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995FE" w14:textId="199167CD" w:rsidR="00A61B45" w:rsidRDefault="00A61B45" w:rsidP="00A61B45">
      <w:r w:rsidRPr="00A61B45">
        <w:t>To</w:t>
      </w:r>
      <w:r>
        <w:t xml:space="preserve">: </w:t>
      </w:r>
      <w:r w:rsidR="00A64781">
        <w:tab/>
        <w:t>Office of the General Counsel, Department of Public Health</w:t>
      </w:r>
    </w:p>
    <w:p w14:paraId="20829187" w14:textId="5E10F3B9" w:rsidR="00A61B45" w:rsidRDefault="00A61B45" w:rsidP="00A64781">
      <w:pPr>
        <w:spacing w:after="0" w:line="240" w:lineRule="auto"/>
      </w:pPr>
      <w:r>
        <w:t xml:space="preserve">From: </w:t>
      </w:r>
      <w:r w:rsidR="00A64781">
        <w:tab/>
      </w:r>
      <w:r>
        <w:t>Amy Sommer, LICSW, Infant Mental Health Mentor (Clinical)</w:t>
      </w:r>
    </w:p>
    <w:p w14:paraId="2CC88010" w14:textId="48DD2185" w:rsidR="00A64781" w:rsidRDefault="00A64781" w:rsidP="00A64781">
      <w:pPr>
        <w:spacing w:after="0" w:line="240" w:lineRule="auto"/>
      </w:pPr>
      <w:r>
        <w:tab/>
        <w:t>28 Duggan Drive</w:t>
      </w:r>
    </w:p>
    <w:p w14:paraId="6BDDA7B9" w14:textId="005F12E5" w:rsidR="00A64781" w:rsidRDefault="00A64781" w:rsidP="00A64781">
      <w:pPr>
        <w:spacing w:after="0" w:line="240" w:lineRule="auto"/>
      </w:pPr>
      <w:r>
        <w:tab/>
        <w:t>Framingham Massachusetts 01702</w:t>
      </w:r>
    </w:p>
    <w:p w14:paraId="5D801647" w14:textId="096640FF" w:rsidR="00A64781" w:rsidRDefault="00A64781" w:rsidP="00A64781">
      <w:pPr>
        <w:spacing w:after="0" w:line="240" w:lineRule="auto"/>
      </w:pPr>
      <w:r>
        <w:tab/>
      </w:r>
      <w:hyperlink r:id="rId5" w:history="1">
        <w:r w:rsidRPr="00924955">
          <w:rPr>
            <w:rStyle w:val="Hyperlink"/>
          </w:rPr>
          <w:t>Arsommer23@gmail.com</w:t>
        </w:r>
      </w:hyperlink>
    </w:p>
    <w:p w14:paraId="76DC9A9A" w14:textId="77777777" w:rsidR="00A64781" w:rsidRDefault="00A64781" w:rsidP="00A64781">
      <w:pPr>
        <w:spacing w:after="0" w:line="240" w:lineRule="auto"/>
      </w:pPr>
    </w:p>
    <w:p w14:paraId="67177A65" w14:textId="7D12421E" w:rsidR="00A61B45" w:rsidRDefault="00A61B45" w:rsidP="00A61B45">
      <w:r>
        <w:t xml:space="preserve">Date: </w:t>
      </w:r>
      <w:r w:rsidR="00A64781">
        <w:tab/>
      </w:r>
      <w:r>
        <w:t>May 21, 2026</w:t>
      </w:r>
    </w:p>
    <w:p w14:paraId="41F5F222" w14:textId="1356CA83" w:rsidR="00A64781" w:rsidRDefault="00A61B45" w:rsidP="00A64781">
      <w:pPr>
        <w:pBdr>
          <w:bottom w:val="single" w:sz="4" w:space="1" w:color="auto"/>
        </w:pBdr>
        <w:rPr>
          <w:rFonts w:ascii="Times New Roman" w:hAnsi="Times New Roman" w:cs="Times New Roman"/>
        </w:rPr>
      </w:pPr>
      <w:r>
        <w:t>RE:</w:t>
      </w:r>
      <w:r w:rsidR="00A64781">
        <w:t xml:space="preserve"> </w:t>
      </w:r>
      <w:r w:rsidR="00A64781">
        <w:tab/>
      </w:r>
      <w:r w:rsidRPr="00FD1A27">
        <w:rPr>
          <w:rFonts w:ascii="Times New Roman" w:hAnsi="Times New Roman" w:cs="Times New Roman"/>
        </w:rPr>
        <w:t xml:space="preserve">105 CMR </w:t>
      </w:r>
      <w:r>
        <w:rPr>
          <w:rFonts w:ascii="Times New Roman" w:hAnsi="Times New Roman" w:cs="Times New Roman"/>
        </w:rPr>
        <w:t>272.000</w:t>
      </w:r>
    </w:p>
    <w:p w14:paraId="7F882AA1" w14:textId="78A30D71" w:rsidR="00A61B45" w:rsidRPr="00A61B45" w:rsidRDefault="00A61B45" w:rsidP="00A61B45">
      <w:r>
        <w:rPr>
          <w:rFonts w:ascii="Times New Roman" w:hAnsi="Times New Roman" w:cs="Times New Roman"/>
        </w:rPr>
        <w:t>To</w:t>
      </w:r>
      <w:r w:rsidRPr="00A61B45">
        <w:t xml:space="preserve"> the Committee:</w:t>
      </w:r>
    </w:p>
    <w:p w14:paraId="25D86038" w14:textId="03A3B3FF" w:rsidR="00A61B45" w:rsidRPr="00A61B45" w:rsidRDefault="00A61B45" w:rsidP="00A61B45">
      <w:r w:rsidRPr="00A61B45">
        <w:t>As a healthcare provider with over 20 years' experience supporting families impacted by substance use, I am glad to see the Commonwealth shift the onus of understanding and caring for these families from the Department of Children and Families to the Department of Public Health. </w:t>
      </w:r>
    </w:p>
    <w:p w14:paraId="09AEEB76" w14:textId="77777777" w:rsidR="009338FA" w:rsidRDefault="00A61B45" w:rsidP="00A61B45">
      <w:r w:rsidRPr="00A61B45">
        <w:t>However, with</w:t>
      </w:r>
      <w:r>
        <w:t xml:space="preserve"> a very broad definition of ‘substance use’ and with</w:t>
      </w:r>
      <w:r w:rsidRPr="00A61B45">
        <w:t>out a concurrent shift in resources</w:t>
      </w:r>
      <w:r>
        <w:t xml:space="preserve"> from DCF to DPH and healthcare providers</w:t>
      </w:r>
      <w:r w:rsidRPr="00A61B45">
        <w:t xml:space="preserve">, the proposed regulations as written </w:t>
      </w:r>
      <w:r w:rsidR="009338FA">
        <w:t xml:space="preserve">risk </w:t>
      </w:r>
      <w:r w:rsidRPr="00A61B45">
        <w:t>creat</w:t>
      </w:r>
      <w:r w:rsidR="009338FA">
        <w:t>ing</w:t>
      </w:r>
      <w:r w:rsidRPr="00A61B45">
        <w:t xml:space="preserve"> </w:t>
      </w:r>
      <w:r w:rsidR="009338FA">
        <w:t>harms and costs that are not a benefit to the Commonwealth and its citizens in the long term.</w:t>
      </w:r>
    </w:p>
    <w:p w14:paraId="78F01663" w14:textId="1DB54A38" w:rsidR="00A61B45" w:rsidRPr="00A61B45" w:rsidRDefault="00A61B45" w:rsidP="00A61B45">
      <w:r w:rsidRPr="00A61B45">
        <w:t>I have two specific concerns</w:t>
      </w:r>
      <w:r w:rsidR="009338FA">
        <w:t xml:space="preserve"> and suggestions for the Committee to consider in the process of redrafting the proposed regulations. </w:t>
      </w:r>
      <w:r w:rsidR="00332DF3">
        <w:t xml:space="preserve">I summarized these recommendations in oral testimony at the 5/21 public comment session. </w:t>
      </w:r>
    </w:p>
    <w:p w14:paraId="4DDCB163" w14:textId="3AC1E689" w:rsidR="00A61B45" w:rsidRDefault="00A61B45" w:rsidP="00A61B45">
      <w:r w:rsidRPr="00A64781">
        <w:rPr>
          <w:b/>
          <w:bCs/>
        </w:rPr>
        <w:t>1)</w:t>
      </w:r>
      <w:r w:rsidRPr="00A61B45">
        <w:t xml:space="preserve"> </w:t>
      </w:r>
      <w:r w:rsidR="00332DF3">
        <w:rPr>
          <w:b/>
          <w:bCs/>
        </w:rPr>
        <w:t xml:space="preserve">Definition of the population: </w:t>
      </w:r>
      <w:r w:rsidRPr="00A61B45">
        <w:t xml:space="preserve">The </w:t>
      </w:r>
      <w:r>
        <w:t>proposed regulations define substance use as “</w:t>
      </w:r>
      <w:r w:rsidRPr="25BED735">
        <w:rPr>
          <w:rFonts w:eastAsia="Franklin Gothic Book"/>
        </w:rPr>
        <w:t xml:space="preserve">presence of any </w:t>
      </w:r>
      <w:r>
        <w:rPr>
          <w:rFonts w:eastAsia="Franklin Gothic Book"/>
        </w:rPr>
        <w:t>[substances]</w:t>
      </w:r>
      <w:r w:rsidRPr="25BED735">
        <w:rPr>
          <w:rFonts w:eastAsia="Franklin Gothic Book"/>
        </w:rPr>
        <w:t xml:space="preserve"> in the </w:t>
      </w:r>
      <w:r w:rsidRPr="00AA760D">
        <w:rPr>
          <w:rFonts w:eastAsia="Franklin Gothic Book"/>
        </w:rPr>
        <w:t>Birthing Person</w:t>
      </w:r>
      <w:r w:rsidRPr="25BED735">
        <w:rPr>
          <w:rFonts w:eastAsia="Franklin Gothic Book"/>
        </w:rPr>
        <w:t xml:space="preserve"> at any time during preg</w:t>
      </w:r>
      <w:r>
        <w:rPr>
          <w:rFonts w:eastAsia="Franklin Gothic Book"/>
        </w:rPr>
        <w:t xml:space="preserve">nancy”. However, </w:t>
      </w:r>
      <w:r w:rsidRPr="00A61B45">
        <w:t xml:space="preserve"> </w:t>
      </w:r>
      <w:r>
        <w:t>this definition represents a significant and impactful increase in the definition of pregnant people who would be subject to surveillance and data collection compared to prior practice in the state, which already created a sense of surveillance in women that</w:t>
      </w:r>
      <w:r w:rsidR="006E2E1E">
        <w:t xml:space="preserve"> demonstrably</w:t>
      </w:r>
      <w:r>
        <w:t xml:space="preserve"> reduced the likelihood that they would seek care. Creating a broader definition of pregnant people subjected to monitoring and data collection </w:t>
      </w:r>
      <w:r>
        <w:rPr>
          <w:i/>
          <w:iCs/>
        </w:rPr>
        <w:t xml:space="preserve">outside of their healthcare team </w:t>
      </w:r>
      <w:r>
        <w:t xml:space="preserve">is not without cost. </w:t>
      </w:r>
      <w:r w:rsidR="006E2E1E">
        <w:t>I</w:t>
      </w:r>
      <w:r w:rsidR="006E2E1E" w:rsidRPr="00A61B45">
        <w:t>f</w:t>
      </w:r>
      <w:r w:rsidR="006E2E1E">
        <w:t xml:space="preserve">, for example, </w:t>
      </w:r>
      <w:r w:rsidR="006E2E1E" w:rsidRPr="00A61B45">
        <w:t xml:space="preserve">healthcare entities begin using the newly proposed definitions of "Substance Use and Substance Use Disorder", </w:t>
      </w:r>
      <w:r w:rsidR="006E2E1E" w:rsidRPr="00A61B45">
        <w:rPr>
          <w:i/>
          <w:iCs/>
        </w:rPr>
        <w:t>every parent who disclosed any marijuana use at any point during pregnancy</w:t>
      </w:r>
      <w:r w:rsidR="006E2E1E" w:rsidRPr="00A61B45">
        <w:t> would be subject to the new regulations. This represents a massive increase in the number of identified individuals</w:t>
      </w:r>
      <w:r w:rsidR="006E2E1E">
        <w:t xml:space="preserve"> who are identified compared to current practice</w:t>
      </w:r>
      <w:r w:rsidR="006E2E1E" w:rsidRPr="00A61B45">
        <w:t xml:space="preserve">. While there may be public health benefit to better capturing the population of individuals who may have used a substance but </w:t>
      </w:r>
      <w:r w:rsidR="006E2E1E" w:rsidRPr="00A61B45">
        <w:rPr>
          <w:u w:val="single"/>
        </w:rPr>
        <w:t>do not</w:t>
      </w:r>
      <w:r w:rsidR="006E2E1E" w:rsidRPr="00A61B45">
        <w:t xml:space="preserve"> meet medical criteria for diagnosis of a substance use disorder, the increased burden </w:t>
      </w:r>
      <w:r w:rsidR="006E2E1E" w:rsidRPr="00A61B45">
        <w:lastRenderedPageBreak/>
        <w:t xml:space="preserve">on </w:t>
      </w:r>
      <w:r w:rsidR="006E2E1E">
        <w:t xml:space="preserve">both the population of birthing people and the institutions who care for them </w:t>
      </w:r>
      <w:r w:rsidR="006E2E1E" w:rsidRPr="00A61B45">
        <w:t>is immense.</w:t>
      </w:r>
    </w:p>
    <w:p w14:paraId="1D6702B5" w14:textId="3A3CFE27" w:rsidR="00A61B45" w:rsidRPr="006E2E1E" w:rsidRDefault="00A61B45" w:rsidP="00A61B45">
      <w:r>
        <w:t xml:space="preserve">The fact that the Commonwealth is proposing an </w:t>
      </w:r>
      <w:r>
        <w:rPr>
          <w:i/>
          <w:iCs/>
        </w:rPr>
        <w:t>increase in surveillance and monitoring of pregnant people</w:t>
      </w:r>
      <w:r>
        <w:t xml:space="preserve"> may go un-noticed, as materials prepared and disseminated prior to this hearing state that “… prior </w:t>
      </w:r>
      <w:r w:rsidR="006E2E1E">
        <w:t>…</w:t>
      </w:r>
      <w:r w:rsidRPr="00A61B45">
        <w:t>DCF regulations required health care providers to file a report of abuse and neglect for every infant identified as having prenatal substance exposure".</w:t>
      </w:r>
      <w:r>
        <w:t xml:space="preserve"> However, </w:t>
      </w:r>
      <w:r w:rsidR="006E2E1E">
        <w:t xml:space="preserve">that is patently untrue. </w:t>
      </w:r>
      <w:r w:rsidR="006E2E1E" w:rsidRPr="00A61B45">
        <w:t xml:space="preserve">Per the 2016 memorandum to mandated reporters from </w:t>
      </w:r>
      <w:r w:rsidR="006E2E1E">
        <w:t>then-</w:t>
      </w:r>
      <w:r w:rsidR="006E2E1E" w:rsidRPr="00A61B45">
        <w:t xml:space="preserve">Secretary Sudders, prior reporting guidelines only included " newborns who were exposed to substances in utero </w:t>
      </w:r>
      <w:r w:rsidR="006E2E1E" w:rsidRPr="00A64781">
        <w:rPr>
          <w:i/>
          <w:iCs/>
        </w:rPr>
        <w:t>and there is reasonable cause to believe that the child is suffering from abuse/neglect</w:t>
      </w:r>
      <w:r w:rsidR="006E2E1E" w:rsidRPr="00A64781">
        <w:t>.</w:t>
      </w:r>
      <w:r w:rsidR="006E2E1E" w:rsidRPr="00A61B45">
        <w:t xml:space="preserve"> "</w:t>
      </w:r>
      <w:r w:rsidR="006E2E1E">
        <w:t xml:space="preserve"> This narrower definition, focusing on child welfare rather than any ingestion of substances at any time post-conception, is much more likely to focus resources on the population who needs them, rather than creating an overly-sensitive mechanism for identifying pregnant people. </w:t>
      </w:r>
    </w:p>
    <w:p w14:paraId="2D97D033" w14:textId="55596A38" w:rsidR="00A61B45" w:rsidRDefault="006E2E1E" w:rsidP="00A61B45">
      <w:r>
        <w:t xml:space="preserve">Therefore, </w:t>
      </w:r>
      <w:r>
        <w:rPr>
          <w:b/>
          <w:bCs/>
        </w:rPr>
        <w:t>m</w:t>
      </w:r>
      <w:r w:rsidR="00A61B45">
        <w:rPr>
          <w:b/>
          <w:bCs/>
        </w:rPr>
        <w:t xml:space="preserve">y first recommendation to the committee is that the definition of people to be covered by </w:t>
      </w:r>
      <w:r>
        <w:rPr>
          <w:b/>
          <w:bCs/>
        </w:rPr>
        <w:t>newly-proposed</w:t>
      </w:r>
      <w:r w:rsidR="00A61B45">
        <w:rPr>
          <w:b/>
          <w:bCs/>
        </w:rPr>
        <w:t xml:space="preserve"> regulations revert to the definition used by</w:t>
      </w:r>
      <w:r>
        <w:rPr>
          <w:b/>
          <w:bCs/>
        </w:rPr>
        <w:t xml:space="preserve"> Secretary Sudders in 2016. </w:t>
      </w:r>
      <w:r w:rsidR="00A61B45">
        <w:rPr>
          <w:b/>
          <w:bCs/>
        </w:rPr>
        <w:t xml:space="preserve"> </w:t>
      </w:r>
      <w:r>
        <w:t xml:space="preserve">This change would have the effect of </w:t>
      </w:r>
    </w:p>
    <w:p w14:paraId="356CFD23" w14:textId="11BA5F0B" w:rsidR="006E2E1E" w:rsidRDefault="006E2E1E" w:rsidP="006E2E1E">
      <w:pPr>
        <w:pStyle w:val="ListParagraph"/>
        <w:numPr>
          <w:ilvl w:val="0"/>
          <w:numId w:val="1"/>
        </w:numPr>
      </w:pPr>
      <w:r>
        <w:t xml:space="preserve">Maintaining at present levels, rather than increasing, the number of birthing people who are impacted by processes that research has clearly demonstrated create barriers to women engaging in prenatal care; and </w:t>
      </w:r>
    </w:p>
    <w:p w14:paraId="0FC19D40" w14:textId="7A105268" w:rsidR="006E2E1E" w:rsidRPr="006E2E1E" w:rsidRDefault="006E2E1E" w:rsidP="006E2E1E">
      <w:pPr>
        <w:pStyle w:val="ListParagraph"/>
        <w:numPr>
          <w:ilvl w:val="0"/>
          <w:numId w:val="1"/>
        </w:numPr>
      </w:pPr>
      <w:r>
        <w:t>Maintaining at present levels, rather than increasing, the number of birthing people who hospitals are required to offer Family Care Plan resources, thus leveling rather than ballooning associated costs and burden to the healthcare system.</w:t>
      </w:r>
    </w:p>
    <w:p w14:paraId="510FA485" w14:textId="63D2DAED" w:rsidR="00271918" w:rsidRDefault="00A61B45">
      <w:r w:rsidRPr="00A64781">
        <w:rPr>
          <w:b/>
          <w:bCs/>
        </w:rPr>
        <w:t>2)</w:t>
      </w:r>
      <w:r w:rsidRPr="00A61B45">
        <w:t xml:space="preserve"> </w:t>
      </w:r>
      <w:r w:rsidR="00332DF3">
        <w:rPr>
          <w:b/>
          <w:bCs/>
        </w:rPr>
        <w:t xml:space="preserve">Payment for services: </w:t>
      </w:r>
      <w:r w:rsidR="006E2E1E">
        <w:t xml:space="preserve">The activities proposed (patient data collection and reporting, and the creation of Family Care Plans) </w:t>
      </w:r>
      <w:r w:rsidR="009338FA">
        <w:t>appropriately shift the focus of caring for families impacted by health-related concerns from the Commonwealth’s child welfare agency (DCF) to the Commonwealth’s public health agency (DPH). Currently, DCF receives funds in its operating budget to staff regional Plan of Safe Care coordinators whose job is explicitly to focus on the needs of this population, and the entire cadre of hundreds of DCF ongoing social workers is paid to create family treatment plans to address the needs the Department identifies. Without creating a funding structure to support the</w:t>
      </w:r>
      <w:r w:rsidR="00A64781">
        <w:t xml:space="preserve"> proposed shift in the burden of</w:t>
      </w:r>
      <w:r w:rsidR="009338FA">
        <w:t xml:space="preserve"> identification of the population, data collection and reporting, and subsequent provision of services </w:t>
      </w:r>
      <w:r w:rsidR="009338FA">
        <w:rPr>
          <w:i/>
          <w:iCs/>
        </w:rPr>
        <w:t xml:space="preserve">not mandated elsewhere, </w:t>
      </w:r>
      <w:r w:rsidR="009338FA">
        <w:t xml:space="preserve">the burden of cost shifts to already over-worked healthcare providers. </w:t>
      </w:r>
      <w:r w:rsidR="009338FA" w:rsidRPr="009338FA">
        <w:t>As healthcare providers currently operate</w:t>
      </w:r>
      <w:r w:rsidR="009338FA">
        <w:rPr>
          <w:b/>
          <w:bCs/>
        </w:rPr>
        <w:t xml:space="preserve">, </w:t>
      </w:r>
      <w:r w:rsidR="009338FA">
        <w:t>they are</w:t>
      </w:r>
      <w:r w:rsidR="00A64781">
        <w:t xml:space="preserve"> already</w:t>
      </w:r>
      <w:r w:rsidR="009338FA">
        <w:t xml:space="preserve"> required to create treatment plans and provide services and/or referrals for </w:t>
      </w:r>
      <w:r w:rsidR="009338FA">
        <w:rPr>
          <w:b/>
          <w:bCs/>
        </w:rPr>
        <w:t>medical diagnoses</w:t>
      </w:r>
      <w:r w:rsidR="009338FA">
        <w:t xml:space="preserve">. Those same medical diagnoses create pathways for ‘billing codes’ </w:t>
      </w:r>
      <w:r w:rsidR="009338FA">
        <w:lastRenderedPageBreak/>
        <w:t>through which medical providers can seek reimbursement. As such, providers are already providing care to people with, for example, opioid use disorder, and to infants with neonatal opioid withdrawal syndrome (NOWS). And, they can seek remuneration for some of the costs of that care based on their patients’ diagnoses, which translate to ICD-10 codes and billable insurance information. The proposed regulations would require that healthcare providers offer this same level of care</w:t>
      </w:r>
      <w:r w:rsidR="00A64781">
        <w:t xml:space="preserve"> to a wide net of patients</w:t>
      </w:r>
      <w:r w:rsidR="009338FA">
        <w:t xml:space="preserve">, </w:t>
      </w:r>
      <w:r w:rsidR="009338FA">
        <w:rPr>
          <w:b/>
          <w:bCs/>
          <w:i/>
          <w:iCs/>
        </w:rPr>
        <w:t>without a diagnosis that would allow for billing</w:t>
      </w:r>
      <w:r w:rsidR="009338FA">
        <w:rPr>
          <w:i/>
          <w:iCs/>
        </w:rPr>
        <w:t xml:space="preserve">. </w:t>
      </w:r>
      <w:r w:rsidR="009338FA">
        <w:t>Any birthing person who</w:t>
      </w:r>
      <w:r w:rsidR="00A64781">
        <w:t>, for example,</w:t>
      </w:r>
      <w:r w:rsidR="009338FA">
        <w:t xml:space="preserve"> has used marijuana, or drank heavily before they knew they were pregnant, would be receiving care </w:t>
      </w:r>
      <w:r w:rsidR="009338FA">
        <w:rPr>
          <w:b/>
          <w:bCs/>
          <w:i/>
          <w:iCs/>
        </w:rPr>
        <w:t>without meeting the criteria for the diagnosis of a substance use disorder</w:t>
      </w:r>
      <w:r w:rsidR="009338FA">
        <w:t xml:space="preserve">. Without means to seek reimbursement, healthcare providers will have to increase their workload without increasing staffing – an untenable burden on an already over-taxed and under-staffed </w:t>
      </w:r>
      <w:r w:rsidR="00A64781">
        <w:t xml:space="preserve">reproductive care </w:t>
      </w:r>
      <w:r w:rsidR="009338FA">
        <w:t xml:space="preserve">system. </w:t>
      </w:r>
    </w:p>
    <w:p w14:paraId="766CF4D9" w14:textId="095F9D1F" w:rsidR="00A64781" w:rsidRDefault="009338FA" w:rsidP="009338FA">
      <w:r>
        <w:t xml:space="preserve">Therefore, </w:t>
      </w:r>
      <w:r>
        <w:rPr>
          <w:b/>
          <w:bCs/>
        </w:rPr>
        <w:t xml:space="preserve">my </w:t>
      </w:r>
      <w:r>
        <w:rPr>
          <w:b/>
          <w:bCs/>
        </w:rPr>
        <w:t>second</w:t>
      </w:r>
      <w:r>
        <w:rPr>
          <w:b/>
          <w:bCs/>
        </w:rPr>
        <w:t xml:space="preserve"> recommendation to the committee is that the </w:t>
      </w:r>
      <w:r w:rsidR="008A3432">
        <w:rPr>
          <w:b/>
          <w:bCs/>
        </w:rPr>
        <w:t xml:space="preserve"> regulations include a 9</w:t>
      </w:r>
      <w:r w:rsidR="008A3432" w:rsidRPr="008A3432">
        <w:rPr>
          <w:b/>
          <w:bCs/>
          <w:vertAlign w:val="superscript"/>
        </w:rPr>
        <w:t>th</w:t>
      </w:r>
      <w:r w:rsidR="008A3432">
        <w:rPr>
          <w:b/>
          <w:bCs/>
        </w:rPr>
        <w:t xml:space="preserve"> Section</w:t>
      </w:r>
      <w:r w:rsidR="008A3432">
        <w:t xml:space="preserve"> defining an Obligation of the Commonwealth to determine, within one year of enactment of these regulations, </w:t>
      </w:r>
      <w:r w:rsidR="008A3432" w:rsidRPr="00332DF3">
        <w:rPr>
          <w:b/>
          <w:bCs/>
        </w:rPr>
        <w:t>pathways for healthcare providers to seek remuneration</w:t>
      </w:r>
      <w:r>
        <w:rPr>
          <w:b/>
          <w:bCs/>
        </w:rPr>
        <w:t>.</w:t>
      </w:r>
      <w:r w:rsidR="008A3432">
        <w:rPr>
          <w:b/>
          <w:bCs/>
        </w:rPr>
        <w:t xml:space="preserve"> </w:t>
      </w:r>
      <w:r w:rsidR="008A3432">
        <w:t>Subsections should</w:t>
      </w:r>
      <w:r w:rsidR="00A64781">
        <w:t>:</w:t>
      </w:r>
      <w:r w:rsidR="008A3432">
        <w:t xml:space="preserve"> </w:t>
      </w:r>
    </w:p>
    <w:p w14:paraId="6669F16C" w14:textId="1EB98F18" w:rsidR="00A64781" w:rsidRDefault="008A3432" w:rsidP="00A64781">
      <w:pPr>
        <w:pStyle w:val="ListParagraph"/>
        <w:numPr>
          <w:ilvl w:val="0"/>
          <w:numId w:val="2"/>
        </w:numPr>
      </w:pPr>
      <w:r>
        <w:t xml:space="preserve">define </w:t>
      </w:r>
      <w:r w:rsidR="00A64781">
        <w:t>the convening and leadership of a committee to complete this work as a responsibility of</w:t>
      </w:r>
      <w:r>
        <w:t xml:space="preserve"> the</w:t>
      </w:r>
      <w:r w:rsidR="00A64781">
        <w:t xml:space="preserve"> Commonwealth’s</w:t>
      </w:r>
      <w:r>
        <w:t xml:space="preserve"> Health Policy Commission</w:t>
      </w:r>
      <w:r w:rsidR="00A64781">
        <w:t>;</w:t>
      </w:r>
    </w:p>
    <w:p w14:paraId="609AF882" w14:textId="35537467" w:rsidR="008A3432" w:rsidRDefault="00A64781" w:rsidP="00A64781">
      <w:pPr>
        <w:pStyle w:val="ListParagraph"/>
        <w:numPr>
          <w:ilvl w:val="0"/>
          <w:numId w:val="2"/>
        </w:numPr>
      </w:pPr>
      <w:r>
        <w:t>mandate the participation of the Commonwealth’s three largest payors to healthcare entities including MassHealth; and</w:t>
      </w:r>
    </w:p>
    <w:p w14:paraId="2CD0A07F" w14:textId="7F8A6C81" w:rsidR="00A64781" w:rsidRDefault="00A64781" w:rsidP="00A64781">
      <w:pPr>
        <w:pStyle w:val="ListParagraph"/>
        <w:numPr>
          <w:ilvl w:val="0"/>
          <w:numId w:val="2"/>
        </w:numPr>
      </w:pPr>
      <w:r>
        <w:t>specifically allow for the possibility that healthcare entities could, if payors are not able to come to agreement, seek reimbursement from the Commonwealth at a fixed rate per patient identified through these regulations, at a sum which can reasonably be expected to cover the time and resources needed to create Family Care Plans to those individuals as required. It is likely that the monies for such reimbursement would be removed from the budget of DCF, which can reasonably be expected to bear less burden related to a decrease in mandated reports and a decrease in investigations at birth following those reports.</w:t>
      </w:r>
    </w:p>
    <w:p w14:paraId="56955B18" w14:textId="14D440E1" w:rsidR="009338FA" w:rsidRDefault="009338FA" w:rsidP="00332DF3">
      <w:pPr>
        <w:pBdr>
          <w:bottom w:val="single" w:sz="4" w:space="1" w:color="auto"/>
        </w:pBdr>
      </w:pPr>
      <w:r>
        <w:rPr>
          <w:b/>
          <w:bCs/>
        </w:rPr>
        <w:t xml:space="preserve"> </w:t>
      </w:r>
      <w:r>
        <w:t>This change would have the effect o</w:t>
      </w:r>
      <w:r w:rsidR="008A3432">
        <w:t xml:space="preserve">f enabling healthcare systems that care for birthing people to increase staffing to meet the burdens of the proposed regulations. </w:t>
      </w:r>
    </w:p>
    <w:p w14:paraId="6C0A5CDD" w14:textId="22CFB961" w:rsidR="009338FA" w:rsidRDefault="009338FA" w:rsidP="009338FA"/>
    <w:p w14:paraId="38AD739E" w14:textId="7F38C78F" w:rsidR="00332DF3" w:rsidRPr="009338FA" w:rsidRDefault="00332DF3" w:rsidP="009338FA">
      <w:r>
        <w:t>Thank you very much for providing the opportunity for me to share testimony today.</w:t>
      </w:r>
    </w:p>
    <w:sectPr w:rsidR="00332DF3" w:rsidRPr="009338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56AF3"/>
    <w:multiLevelType w:val="hybridMultilevel"/>
    <w:tmpl w:val="B46C08C8"/>
    <w:lvl w:ilvl="0" w:tplc="EB4AF4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5DC763E"/>
    <w:multiLevelType w:val="hybridMultilevel"/>
    <w:tmpl w:val="310C2AAC"/>
    <w:lvl w:ilvl="0" w:tplc="59C0AA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30889780">
    <w:abstractNumId w:val="1"/>
  </w:num>
  <w:num w:numId="2" w16cid:durableId="1628660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B45"/>
    <w:rsid w:val="00173728"/>
    <w:rsid w:val="00271918"/>
    <w:rsid w:val="00332DF3"/>
    <w:rsid w:val="006E2E1E"/>
    <w:rsid w:val="008A3432"/>
    <w:rsid w:val="009338FA"/>
    <w:rsid w:val="00A615C0"/>
    <w:rsid w:val="00A61B45"/>
    <w:rsid w:val="00A64781"/>
    <w:rsid w:val="00CC7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DDBCE"/>
  <w15:chartTrackingRefBased/>
  <w15:docId w15:val="{39D20068-8F8D-4483-B1B1-7DCDAE0D7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1B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1B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1B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1B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1B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1B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1B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1B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1B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B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1B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1B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1B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1B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1B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B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B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B45"/>
    <w:rPr>
      <w:rFonts w:eastAsiaTheme="majorEastAsia" w:cstheme="majorBidi"/>
      <w:color w:val="272727" w:themeColor="text1" w:themeTint="D8"/>
    </w:rPr>
  </w:style>
  <w:style w:type="paragraph" w:styleId="Title">
    <w:name w:val="Title"/>
    <w:basedOn w:val="Normal"/>
    <w:next w:val="Normal"/>
    <w:link w:val="TitleChar"/>
    <w:uiPriority w:val="10"/>
    <w:qFormat/>
    <w:rsid w:val="00A61B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B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B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1B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B45"/>
    <w:pPr>
      <w:spacing w:before="160"/>
      <w:jc w:val="center"/>
    </w:pPr>
    <w:rPr>
      <w:i/>
      <w:iCs/>
      <w:color w:val="404040" w:themeColor="text1" w:themeTint="BF"/>
    </w:rPr>
  </w:style>
  <w:style w:type="character" w:customStyle="1" w:styleId="QuoteChar">
    <w:name w:val="Quote Char"/>
    <w:basedOn w:val="DefaultParagraphFont"/>
    <w:link w:val="Quote"/>
    <w:uiPriority w:val="29"/>
    <w:rsid w:val="00A61B45"/>
    <w:rPr>
      <w:i/>
      <w:iCs/>
      <w:color w:val="404040" w:themeColor="text1" w:themeTint="BF"/>
    </w:rPr>
  </w:style>
  <w:style w:type="paragraph" w:styleId="ListParagraph">
    <w:name w:val="List Paragraph"/>
    <w:basedOn w:val="Normal"/>
    <w:uiPriority w:val="34"/>
    <w:qFormat/>
    <w:rsid w:val="00A61B45"/>
    <w:pPr>
      <w:ind w:left="720"/>
      <w:contextualSpacing/>
    </w:pPr>
  </w:style>
  <w:style w:type="character" w:styleId="IntenseEmphasis">
    <w:name w:val="Intense Emphasis"/>
    <w:basedOn w:val="DefaultParagraphFont"/>
    <w:uiPriority w:val="21"/>
    <w:qFormat/>
    <w:rsid w:val="00A61B45"/>
    <w:rPr>
      <w:i/>
      <w:iCs/>
      <w:color w:val="0F4761" w:themeColor="accent1" w:themeShade="BF"/>
    </w:rPr>
  </w:style>
  <w:style w:type="paragraph" w:styleId="IntenseQuote">
    <w:name w:val="Intense Quote"/>
    <w:basedOn w:val="Normal"/>
    <w:next w:val="Normal"/>
    <w:link w:val="IntenseQuoteChar"/>
    <w:uiPriority w:val="30"/>
    <w:qFormat/>
    <w:rsid w:val="00A61B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1B45"/>
    <w:rPr>
      <w:i/>
      <w:iCs/>
      <w:color w:val="0F4761" w:themeColor="accent1" w:themeShade="BF"/>
    </w:rPr>
  </w:style>
  <w:style w:type="character" w:styleId="IntenseReference">
    <w:name w:val="Intense Reference"/>
    <w:basedOn w:val="DefaultParagraphFont"/>
    <w:uiPriority w:val="32"/>
    <w:qFormat/>
    <w:rsid w:val="00A61B45"/>
    <w:rPr>
      <w:b/>
      <w:bCs/>
      <w:smallCaps/>
      <w:color w:val="0F4761" w:themeColor="accent1" w:themeShade="BF"/>
      <w:spacing w:val="5"/>
    </w:rPr>
  </w:style>
  <w:style w:type="character" w:styleId="Hyperlink">
    <w:name w:val="Hyperlink"/>
    <w:basedOn w:val="DefaultParagraphFont"/>
    <w:uiPriority w:val="99"/>
    <w:unhideWhenUsed/>
    <w:rsid w:val="00A64781"/>
    <w:rPr>
      <w:color w:val="467886" w:themeColor="hyperlink"/>
      <w:u w:val="single"/>
    </w:rPr>
  </w:style>
  <w:style w:type="character" w:styleId="UnresolvedMention">
    <w:name w:val="Unresolved Mention"/>
    <w:basedOn w:val="DefaultParagraphFont"/>
    <w:uiPriority w:val="99"/>
    <w:semiHidden/>
    <w:unhideWhenUsed/>
    <w:rsid w:val="00A64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rsommer23@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1129</Words>
  <Characters>6437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sommer</dc:creator>
  <cp:keywords/>
  <dc:description/>
  <cp:lastModifiedBy>Amy sommer</cp:lastModifiedBy>
  <cp:revision>1</cp:revision>
  <dcterms:created xsi:type="dcterms:W3CDTF">2026-05-21T14:48:00Z</dcterms:created>
  <dcterms:modified xsi:type="dcterms:W3CDTF">2026-05-21T15:56:00Z</dcterms:modified>
</cp:coreProperties>
</file>