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44"/>
          <w:szCs w:val="44"/>
        </w:rPr>
        <w:lastRenderedPageBreak/>
        <w:t>NIH Public Access</w:t>
      </w:r>
    </w:p>
    <w:p w:rsidR="00000000" w:rsidRDefault="00D35EC6">
      <w:pPr>
        <w:pStyle w:val="DefaultParagraphFont"/>
        <w:widowControl w:val="0"/>
        <w:autoSpaceDE w:val="0"/>
        <w:autoSpaceDN w:val="0"/>
        <w:adjustRightInd w:val="0"/>
        <w:spacing w:after="0" w:line="41"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-913765</wp:posOffset>
            </wp:positionH>
            <wp:positionV relativeFrom="paragraph">
              <wp:posOffset>-284480</wp:posOffset>
            </wp:positionV>
            <wp:extent cx="6407150" cy="89217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0" cy="89217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8"/>
          <w:szCs w:val="28"/>
        </w:rPr>
        <w:t>Author Manuscript</w:t>
      </w:r>
    </w:p>
    <w:p w:rsidR="00000000" w:rsidRDefault="00D35EC6">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color w:val="B5C7DE"/>
        </w:rPr>
        <w:t>Pharmacoepidemiol Drug Saf</w:t>
      </w:r>
      <w:r>
        <w:rPr>
          <w:rFonts w:ascii="Times New Roman" w:hAnsi="Times New Roman" w:cs="Times New Roman"/>
          <w:color w:val="B5C7DE"/>
        </w:rPr>
        <w:t>. Author manuscript; available in PMC 2012 December 1.</w:t>
      </w:r>
    </w:p>
    <w:p w:rsidR="00000000" w:rsidRDefault="00D35EC6">
      <w:pPr>
        <w:pStyle w:val="DefaultParagraphFont"/>
        <w:widowControl w:val="0"/>
        <w:autoSpaceDE w:val="0"/>
        <w:autoSpaceDN w:val="0"/>
        <w:adjustRightInd w:val="0"/>
        <w:spacing w:after="0" w:line="101"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Published in final edited form as:</w:t>
      </w:r>
    </w:p>
    <w:p w:rsidR="00000000" w:rsidRDefault="00D35EC6">
      <w:pPr>
        <w:pStyle w:val="DefaultParagraphFont"/>
        <w:widowControl w:val="0"/>
        <w:autoSpaceDE w:val="0"/>
        <w:autoSpaceDN w:val="0"/>
        <w:adjustRightInd w:val="0"/>
        <w:spacing w:after="0" w:line="11"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39" w:lineRule="auto"/>
        <w:ind w:left="120"/>
        <w:rPr>
          <w:rFonts w:ascii="Times New Roman" w:hAnsi="Times New Roman" w:cs="Times New Roman"/>
          <w:sz w:val="24"/>
          <w:szCs w:val="24"/>
        </w:rPr>
      </w:pPr>
      <w:r>
        <w:rPr>
          <w:rFonts w:ascii="Times" w:hAnsi="Times" w:cs="Times"/>
          <w:i/>
          <w:iCs/>
          <w:sz w:val="20"/>
          <w:szCs w:val="20"/>
        </w:rPr>
        <w:t>Pharmacoepidemiol Drug Saf</w:t>
      </w:r>
      <w:r>
        <w:rPr>
          <w:rFonts w:ascii="Times" w:hAnsi="Times" w:cs="Times"/>
          <w:sz w:val="20"/>
          <w:szCs w:val="20"/>
        </w:rPr>
        <w:t>. 2011 December ; 20(12): 1262–1268. doi:10.1002/pds.2129.</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1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326" w:lineRule="auto"/>
        <w:ind w:right="380"/>
        <w:rPr>
          <w:rFonts w:ascii="Times New Roman" w:hAnsi="Times New Roman" w:cs="Times New Roman"/>
          <w:sz w:val="24"/>
          <w:szCs w:val="24"/>
        </w:rPr>
      </w:pPr>
      <w:r>
        <w:rPr>
          <w:rFonts w:ascii="Arial" w:hAnsi="Arial" w:cs="Arial"/>
          <w:b/>
          <w:bCs/>
          <w:sz w:val="28"/>
          <w:szCs w:val="28"/>
        </w:rPr>
        <w:t>An Analysis of the Number of Multiple Prescribers for Opioids Utilizing Data from the California Prescription Monitoring Program</w:t>
      </w:r>
    </w:p>
    <w:p w:rsidR="00000000" w:rsidRDefault="00D35EC6">
      <w:pPr>
        <w:pStyle w:val="DefaultParagraphFont"/>
        <w:widowControl w:val="0"/>
        <w:autoSpaceDE w:val="0"/>
        <w:autoSpaceDN w:val="0"/>
        <w:adjustRightInd w:val="0"/>
        <w:spacing w:after="0" w:line="109"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Barth L. Wilsey, MD</w:t>
      </w:r>
      <w:r>
        <w:rPr>
          <w:rFonts w:ascii="Times New Roman" w:hAnsi="Times New Roman" w:cs="Times New Roman"/>
          <w:sz w:val="20"/>
          <w:szCs w:val="20"/>
        </w:rPr>
        <w:t>,</w:t>
      </w:r>
    </w:p>
    <w:p w:rsidR="00000000" w:rsidRDefault="00D35EC6">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8" w:lineRule="auto"/>
        <w:ind w:right="80"/>
        <w:jc w:val="both"/>
        <w:rPr>
          <w:rFonts w:ascii="Times New Roman" w:hAnsi="Times New Roman" w:cs="Times New Roman"/>
          <w:sz w:val="24"/>
          <w:szCs w:val="24"/>
        </w:rPr>
      </w:pPr>
      <w:r>
        <w:rPr>
          <w:rFonts w:ascii="Times New Roman" w:hAnsi="Times New Roman" w:cs="Times New Roman"/>
          <w:sz w:val="20"/>
          <w:szCs w:val="20"/>
        </w:rPr>
        <w:t>VA Northern California Health Care System, Clinical Professor of Anesthesiology, Department of Anesthesiology and Pain Medicine, UC Davis Medical Center, 2315 Stockton Blvd., Sacramento, CA 95817</w:t>
      </w:r>
    </w:p>
    <w:p w:rsidR="00000000" w:rsidRDefault="00D35EC6">
      <w:pPr>
        <w:pStyle w:val="DefaultParagraphFont"/>
        <w:widowControl w:val="0"/>
        <w:autoSpaceDE w:val="0"/>
        <w:autoSpaceDN w:val="0"/>
        <w:adjustRightInd w:val="0"/>
        <w:spacing w:after="0" w:line="7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Scott M. Fishman, MD</w:t>
      </w:r>
      <w:r>
        <w:rPr>
          <w:rFonts w:ascii="Times New Roman" w:hAnsi="Times New Roman" w:cs="Times New Roman"/>
          <w:sz w:val="20"/>
          <w:szCs w:val="20"/>
        </w:rPr>
        <w:t>,</w:t>
      </w:r>
    </w:p>
    <w:p w:rsidR="00000000" w:rsidRDefault="00D35EC6">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right="880"/>
        <w:rPr>
          <w:rFonts w:ascii="Times New Roman" w:hAnsi="Times New Roman" w:cs="Times New Roman"/>
          <w:sz w:val="24"/>
          <w:szCs w:val="24"/>
        </w:rPr>
      </w:pPr>
      <w:r>
        <w:rPr>
          <w:rFonts w:ascii="Times New Roman" w:hAnsi="Times New Roman" w:cs="Times New Roman"/>
          <w:sz w:val="20"/>
          <w:szCs w:val="20"/>
        </w:rPr>
        <w:t xml:space="preserve">Professor and </w:t>
      </w:r>
      <w:r>
        <w:rPr>
          <w:rFonts w:ascii="Times New Roman" w:hAnsi="Times New Roman" w:cs="Times New Roman"/>
          <w:sz w:val="20"/>
          <w:szCs w:val="20"/>
        </w:rPr>
        <w:t>Chief, Division of Pain Medicine, Department of Anesthesiology and Pain Medicine, UC Davis Medical Center, 2315 Stockton Blvd., Sacramento, CA 95817</w:t>
      </w:r>
    </w:p>
    <w:p w:rsidR="00000000" w:rsidRDefault="00D35EC6">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Aaron M. Gilson, MS, MSSW, PhD</w:t>
      </w:r>
      <w:r>
        <w:rPr>
          <w:rFonts w:ascii="Times New Roman" w:hAnsi="Times New Roman" w:cs="Times New Roman"/>
          <w:sz w:val="20"/>
          <w:szCs w:val="20"/>
        </w:rPr>
        <w:t>,</w:t>
      </w:r>
    </w:p>
    <w:p w:rsidR="00000000" w:rsidRDefault="00D35EC6">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8" w:lineRule="auto"/>
        <w:ind w:right="500"/>
        <w:rPr>
          <w:rFonts w:ascii="Times New Roman" w:hAnsi="Times New Roman" w:cs="Times New Roman"/>
          <w:sz w:val="24"/>
          <w:szCs w:val="24"/>
        </w:rPr>
      </w:pPr>
      <w:r>
        <w:rPr>
          <w:rFonts w:ascii="Times New Roman" w:hAnsi="Times New Roman" w:cs="Times New Roman"/>
          <w:sz w:val="20"/>
          <w:szCs w:val="20"/>
        </w:rPr>
        <w:t>Pain &amp; Policy Studies Group, Paul P. Carbone Comprehensive Cancer Center,</w:t>
      </w:r>
      <w:r>
        <w:rPr>
          <w:rFonts w:ascii="Times New Roman" w:hAnsi="Times New Roman" w:cs="Times New Roman"/>
          <w:sz w:val="20"/>
          <w:szCs w:val="20"/>
        </w:rPr>
        <w:t xml:space="preserve"> University of Wisconsin School of Medicine and Public Health, 406 Science Drive, Suite 202, Madison, Wisconsin, USA 53711</w:t>
      </w:r>
    </w:p>
    <w:p w:rsidR="00000000" w:rsidRDefault="00D35EC6">
      <w:pPr>
        <w:pStyle w:val="DefaultParagraphFont"/>
        <w:widowControl w:val="0"/>
        <w:autoSpaceDE w:val="0"/>
        <w:autoSpaceDN w:val="0"/>
        <w:adjustRightInd w:val="0"/>
        <w:spacing w:after="0" w:line="219" w:lineRule="auto"/>
        <w:rPr>
          <w:rFonts w:ascii="Times New Roman" w:hAnsi="Times New Roman" w:cs="Times New Roman"/>
          <w:sz w:val="24"/>
          <w:szCs w:val="24"/>
        </w:rPr>
      </w:pPr>
      <w:r>
        <w:rPr>
          <w:rFonts w:ascii="Arial" w:hAnsi="Arial" w:cs="Arial"/>
          <w:b/>
          <w:bCs/>
          <w:sz w:val="20"/>
          <w:szCs w:val="20"/>
        </w:rPr>
        <w:t>Carlos Casamalhuapa, BS</w:t>
      </w:r>
      <w:r>
        <w:rPr>
          <w:rFonts w:ascii="Times New Roman" w:hAnsi="Times New Roman" w:cs="Times New Roman"/>
          <w:sz w:val="32"/>
          <w:szCs w:val="32"/>
          <w:vertAlign w:val="superscript"/>
        </w:rPr>
        <w:t>*</w:t>
      </w:r>
      <w:r>
        <w:rPr>
          <w:rFonts w:ascii="Times New Roman" w:hAnsi="Times New Roman" w:cs="Times New Roman"/>
          <w:sz w:val="20"/>
          <w:szCs w:val="20"/>
        </w:rPr>
        <w:t>,</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right="280"/>
        <w:rPr>
          <w:rFonts w:ascii="Times New Roman" w:hAnsi="Times New Roman" w:cs="Times New Roman"/>
          <w:sz w:val="24"/>
          <w:szCs w:val="24"/>
        </w:rPr>
      </w:pPr>
      <w:r>
        <w:rPr>
          <w:rFonts w:ascii="Times New Roman" w:hAnsi="Times New Roman" w:cs="Times New Roman"/>
          <w:sz w:val="20"/>
          <w:szCs w:val="20"/>
        </w:rPr>
        <w:t>Applications Programmer, Clinical and Translational Science Center (CTSC), UC Davis Health System, 2921 Stockton Blvd. Suite 1400, Sacramento, CA 95817</w:t>
      </w:r>
    </w:p>
    <w:p w:rsidR="00000000" w:rsidRDefault="00D35EC6">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Hassan Baxi, MS</w:t>
      </w:r>
      <w:r>
        <w:rPr>
          <w:rFonts w:ascii="Times New Roman" w:hAnsi="Times New Roman" w:cs="Times New Roman"/>
          <w:sz w:val="20"/>
          <w:szCs w:val="20"/>
        </w:rPr>
        <w:t>,</w:t>
      </w:r>
    </w:p>
    <w:p w:rsidR="00000000" w:rsidRDefault="00D35EC6">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right="280"/>
        <w:rPr>
          <w:rFonts w:ascii="Times New Roman" w:hAnsi="Times New Roman" w:cs="Times New Roman"/>
          <w:sz w:val="24"/>
          <w:szCs w:val="24"/>
        </w:rPr>
      </w:pPr>
      <w:r>
        <w:rPr>
          <w:rFonts w:ascii="Times New Roman" w:hAnsi="Times New Roman" w:cs="Times New Roman"/>
          <w:sz w:val="20"/>
          <w:szCs w:val="20"/>
        </w:rPr>
        <w:t>Applications Programmer, Clinical and Translational Science Center (CTSC), UC Davis H</w:t>
      </w:r>
      <w:r>
        <w:rPr>
          <w:rFonts w:ascii="Times New Roman" w:hAnsi="Times New Roman" w:cs="Times New Roman"/>
          <w:sz w:val="20"/>
          <w:szCs w:val="20"/>
        </w:rPr>
        <w:t>ealth System, 2921 Stockton Blvd. Suite 1400, Sacramento, CA 95817</w:t>
      </w:r>
    </w:p>
    <w:p w:rsidR="00000000" w:rsidRDefault="00D35EC6">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Tzu-Chun Lin, MS</w:t>
      </w:r>
      <w:r>
        <w:rPr>
          <w:rFonts w:ascii="Times New Roman" w:hAnsi="Times New Roman" w:cs="Times New Roman"/>
          <w:sz w:val="20"/>
          <w:szCs w:val="20"/>
        </w:rPr>
        <w:t>, and</w:t>
      </w:r>
    </w:p>
    <w:p w:rsidR="00000000" w:rsidRDefault="00D35EC6">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right="280"/>
        <w:rPr>
          <w:rFonts w:ascii="Times New Roman" w:hAnsi="Times New Roman" w:cs="Times New Roman"/>
          <w:sz w:val="24"/>
          <w:szCs w:val="24"/>
        </w:rPr>
      </w:pPr>
      <w:r>
        <w:rPr>
          <w:rFonts w:ascii="Times New Roman" w:hAnsi="Times New Roman" w:cs="Times New Roman"/>
          <w:sz w:val="20"/>
          <w:szCs w:val="20"/>
        </w:rPr>
        <w:t>Department of Statistics, University of California, Davis, 4118 Mathematical Sciences Building, One Shields Avenue, Davis, CA 95616</w:t>
      </w:r>
    </w:p>
    <w:p w:rsidR="00000000" w:rsidRDefault="00D35EC6">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Chin-Shang Li, PhD</w:t>
      </w:r>
    </w:p>
    <w:p w:rsidR="00000000" w:rsidRDefault="00D35EC6">
      <w:pPr>
        <w:pStyle w:val="DefaultParagraphFont"/>
        <w:widowControl w:val="0"/>
        <w:autoSpaceDE w:val="0"/>
        <w:autoSpaceDN w:val="0"/>
        <w:adjustRightInd w:val="0"/>
        <w:spacing w:after="0" w:line="3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right="320"/>
        <w:rPr>
          <w:rFonts w:ascii="Times New Roman" w:hAnsi="Times New Roman" w:cs="Times New Roman"/>
          <w:sz w:val="24"/>
          <w:szCs w:val="24"/>
        </w:rPr>
      </w:pPr>
      <w:r>
        <w:rPr>
          <w:rFonts w:ascii="Times New Roman" w:hAnsi="Times New Roman" w:cs="Times New Roman"/>
          <w:sz w:val="20"/>
          <w:szCs w:val="20"/>
        </w:rPr>
        <w:t>Department o</w:t>
      </w:r>
      <w:r>
        <w:rPr>
          <w:rFonts w:ascii="Times New Roman" w:hAnsi="Times New Roman" w:cs="Times New Roman"/>
          <w:sz w:val="20"/>
          <w:szCs w:val="20"/>
        </w:rPr>
        <w:t>f Public Health Sciences, Division of Biostatistics, University of California, Davis, One Shields Avenue, Med Sci 1-C 145, Davis, CA 95616-8638</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Keywords</w:t>
      </w:r>
    </w:p>
    <w:p w:rsidR="00000000" w:rsidRDefault="00D35EC6">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0"/>
          <w:szCs w:val="20"/>
        </w:rPr>
        <w:t>Drug Prescriptions; Narcotics</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3" w:lineRule="auto"/>
        <w:ind w:right="460"/>
        <w:rPr>
          <w:rFonts w:ascii="Times New Roman" w:hAnsi="Times New Roman" w:cs="Times New Roman"/>
          <w:sz w:val="24"/>
          <w:szCs w:val="24"/>
        </w:rPr>
      </w:pPr>
      <w:r>
        <w:rPr>
          <w:rFonts w:ascii="Times New Roman" w:hAnsi="Times New Roman" w:cs="Times New Roman"/>
          <w:b/>
          <w:bCs/>
          <w:sz w:val="16"/>
          <w:szCs w:val="16"/>
        </w:rPr>
        <w:t xml:space="preserve">Address for reprints: </w:t>
      </w:r>
      <w:r>
        <w:rPr>
          <w:rFonts w:ascii="Times New Roman" w:hAnsi="Times New Roman" w:cs="Times New Roman"/>
          <w:sz w:val="16"/>
          <w:szCs w:val="16"/>
        </w:rPr>
        <w:t>Barth L. Wilsey, MD, Pain Academic Office, UC Davis Medical Center, 3020 Ellison Ambulatory Care</w:t>
      </w:r>
      <w:r>
        <w:rPr>
          <w:rFonts w:ascii="Times New Roman" w:hAnsi="Times New Roman" w:cs="Times New Roman"/>
          <w:b/>
          <w:bCs/>
          <w:sz w:val="16"/>
          <w:szCs w:val="16"/>
        </w:rPr>
        <w:t xml:space="preserve"> </w:t>
      </w:r>
      <w:r>
        <w:rPr>
          <w:rFonts w:ascii="Times New Roman" w:hAnsi="Times New Roman" w:cs="Times New Roman"/>
          <w:sz w:val="16"/>
          <w:szCs w:val="16"/>
        </w:rPr>
        <w:t>Center, 4860 Y Street, Sacramento, CA 95817, Office: 916-734-7836, Fax: 916-734-6827, blwilsey@ucdavis.edu.</w:t>
      </w:r>
    </w:p>
    <w:p w:rsidR="00000000" w:rsidRDefault="00D35EC6">
      <w:pPr>
        <w:pStyle w:val="DefaultParagraphFont"/>
        <w:widowControl w:val="0"/>
        <w:autoSpaceDE w:val="0"/>
        <w:autoSpaceDN w:val="0"/>
        <w:adjustRightInd w:val="0"/>
        <w:spacing w:after="0" w:line="183" w:lineRule="auto"/>
        <w:rPr>
          <w:rFonts w:ascii="Times New Roman" w:hAnsi="Times New Roman" w:cs="Times New Roman"/>
          <w:sz w:val="24"/>
          <w:szCs w:val="24"/>
        </w:rPr>
      </w:pPr>
      <w:r>
        <w:rPr>
          <w:rFonts w:ascii="Times New Roman" w:hAnsi="Times New Roman" w:cs="Times New Roman"/>
          <w:sz w:val="31"/>
          <w:szCs w:val="31"/>
          <w:vertAlign w:val="superscript"/>
        </w:rPr>
        <w:t>*</w:t>
      </w:r>
      <w:r>
        <w:rPr>
          <w:rFonts w:ascii="Times New Roman" w:hAnsi="Times New Roman" w:cs="Times New Roman"/>
          <w:sz w:val="16"/>
          <w:szCs w:val="16"/>
        </w:rPr>
        <w:t>Present Position: University of Utah School of Med</w:t>
      </w:r>
      <w:r>
        <w:rPr>
          <w:rFonts w:ascii="Times New Roman" w:hAnsi="Times New Roman" w:cs="Times New Roman"/>
          <w:sz w:val="16"/>
          <w:szCs w:val="16"/>
        </w:rPr>
        <w:t>icine</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2" w:lineRule="auto"/>
        <w:rPr>
          <w:rFonts w:ascii="Times New Roman" w:hAnsi="Times New Roman" w:cs="Times New Roman"/>
          <w:sz w:val="24"/>
          <w:szCs w:val="24"/>
        </w:rPr>
      </w:pPr>
      <w:r>
        <w:rPr>
          <w:rFonts w:ascii="Times New Roman" w:hAnsi="Times New Roman" w:cs="Times New Roman"/>
          <w:b/>
          <w:bCs/>
          <w:sz w:val="16"/>
          <w:szCs w:val="16"/>
        </w:rPr>
        <w:t xml:space="preserve">Conflict of Interest Statement: </w:t>
      </w:r>
      <w:r>
        <w:rPr>
          <w:rFonts w:ascii="Times New Roman" w:hAnsi="Times New Roman" w:cs="Times New Roman"/>
          <w:sz w:val="16"/>
          <w:szCs w:val="16"/>
        </w:rPr>
        <w:t>We, Barth Wilsey, Aaron Gilson, Scott Fishman, Carlos Casamalhuapa, Hassan Baxi, Tzu-Chun Lin,</w:t>
      </w:r>
      <w:r>
        <w:rPr>
          <w:rFonts w:ascii="Times New Roman" w:hAnsi="Times New Roman" w:cs="Times New Roman"/>
          <w:b/>
          <w:bCs/>
          <w:sz w:val="16"/>
          <w:szCs w:val="16"/>
        </w:rPr>
        <w:t xml:space="preserve"> </w:t>
      </w:r>
      <w:r>
        <w:rPr>
          <w:rFonts w:ascii="Times New Roman" w:hAnsi="Times New Roman" w:cs="Times New Roman"/>
          <w:sz w:val="16"/>
          <w:szCs w:val="16"/>
        </w:rPr>
        <w:t>and Chin-Shang Li, declare that we have no proprietary, financial, professional or any other personal interest of any nature or any kind in any service, product or company that could influence the opinion and position presented in the manuscript below enti</w:t>
      </w:r>
      <w:r>
        <w:rPr>
          <w:rFonts w:ascii="Times New Roman" w:hAnsi="Times New Roman" w:cs="Times New Roman"/>
          <w:sz w:val="16"/>
          <w:szCs w:val="16"/>
        </w:rPr>
        <w:t>tled, “An Analysis of the Frequency of Multiple Prescriber Episodes for Opioids Utilizing Data from the California Prescription Monitoring Program.”</w:t>
      </w:r>
    </w:p>
    <w:p w:rsidR="00000000" w:rsidRDefault="00D35EC6">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292" w:right="1820" w:bottom="1159" w:left="490" w:header="720" w:footer="720" w:gutter="0"/>
          <w:cols w:num="2" w:space="1034" w:equalWidth="0">
            <w:col w:w="276" w:space="1034"/>
            <w:col w:w="862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 w:name="page2"/>
      <w:bookmarkEnd w:id="2"/>
      <w:r>
        <w:rPr>
          <w:noProof/>
        </w:rPr>
        <w:lastRenderedPageBreak/>
        <mc:AlternateContent>
          <mc:Choice Requires="wps">
            <w:drawing>
              <wp:anchor distT="0" distB="0" distL="114300" distR="114300" simplePos="0" relativeHeight="25165926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36pt;width:18pt;height:6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DrfAIAAPsEAAAOAAAAZHJzL2Uyb0RvYy54bWysVG2PEyEQ/m7ifyB87+2L25fd3PZy116N&#10;yakXT38ABbZLZAGBdnsa/7sD29ZW/WCMbcIyMDzMzPMM1zf7TqIdt05oVePsKsWIK6qZUJsaf/q4&#10;Gs0wcp4oRqRWvMbP3OGb+csX172peK5bLRm3CECUq3pT49Z7UyWJoy3viLvShivYbLTtiAfTbhJm&#10;SQ/onUzyNJ0kvbbMWE25c7C6HDbxPOI3Daf+fdM47pGsMcTm42jjuA5jMr8m1cYS0wp6CIP8QxQd&#10;EQouPUEtiSdoa8VvUJ2gVjvd+Cuqu0Q3jaA85gDZZOkv2Ty1xPCYCxTHmVOZ3P+Dpe92jxYJVuMS&#10;I0U6oOgDFI2ojeToVShPb1wFXk/m0YYEnXnQ9LNDSi9a8OK31uq+5YRBUFnwTy4OBMPBUbTu32oG&#10;6GTrdazUvrFdAIQaoH0k5PlECN97RGExz2eTFGijsDWbwB+McAWpjqeNdf411x0KkxpbiD2ik92D&#10;84Pr0SVGr6VgKyFlNOxmvZAW7QiI4268mC7vD+ju3E2q4Kx0ODYgDisQJNwR9kK4kexvZZYX6V1e&#10;jlaT2XRUrIrxqJyms1GalXflJC3KYrn6HgLMiqoVjHH1IBQ/Ci8r/o7YQwsMkonSQz0QOM7HMfeL&#10;6N15kmn8/SnJTnjoQyk6KPTJiVSB2HvFIG1SeSLkME8uw4+EQA2O31iVKIPA/KCgtWbPoAKrgSQg&#10;FF4MmLTafsWoh+6rsfuyJZZjJN8oUFKZFUVo12gU42kOhj3fWZ/vEEUBqsYeo2G68EOLb40VmxZu&#10;ymJhlL4F9TUiCiMoc4jqoFnosJjB4TUILXxuR6+fb9b8B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My8Dr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2</w:t>
      </w:r>
    </w:p>
    <w:p w:rsidR="00000000" w:rsidRDefault="00D35EC6">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INTRODUCTION</w:t>
      </w:r>
    </w:p>
    <w:p w:rsidR="00000000" w:rsidRDefault="00D35EC6">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6" w:lineRule="auto"/>
        <w:ind w:left="1440" w:right="20"/>
        <w:rPr>
          <w:rFonts w:ascii="Times New Roman" w:hAnsi="Times New Roman" w:cs="Times New Roman"/>
          <w:sz w:val="24"/>
          <w:szCs w:val="24"/>
        </w:rPr>
      </w:pPr>
      <w:r>
        <w:rPr>
          <w:rFonts w:ascii="Times New Roman" w:hAnsi="Times New Roman" w:cs="Times New Roman"/>
          <w:sz w:val="20"/>
          <w:szCs w:val="20"/>
        </w:rPr>
        <w:t>Non-medical use and diversion of prescription drugs are the reasons that most states monitor controlled substances using prescription monitoring programs (PMPs). These administrative databases can be a valuable investigative tool for law enforcement, as we</w:t>
      </w:r>
      <w:r>
        <w:rPr>
          <w:rFonts w:ascii="Times New Roman" w:hAnsi="Times New Roman" w:cs="Times New Roman"/>
          <w:sz w:val="20"/>
          <w:szCs w:val="20"/>
        </w:rPr>
        <w:t>ll as a potential source of important information for health care professionals. In many states, clinicians can receive reports listing prescriptions for all monitored medications that a patient obtains over a specified time period, with one vital statisti</w:t>
      </w:r>
      <w:r>
        <w:rPr>
          <w:rFonts w:ascii="Times New Roman" w:hAnsi="Times New Roman" w:cs="Times New Roman"/>
          <w:sz w:val="20"/>
          <w:szCs w:val="20"/>
        </w:rPr>
        <w:t>c being the number of prescribers.</w:t>
      </w:r>
    </w:p>
    <w:p w:rsidR="00000000" w:rsidRDefault="00D35EC6">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7" w:lineRule="auto"/>
        <w:ind w:left="1440" w:right="20"/>
        <w:rPr>
          <w:rFonts w:ascii="Times New Roman" w:hAnsi="Times New Roman" w:cs="Times New Roman"/>
          <w:sz w:val="24"/>
          <w:szCs w:val="24"/>
        </w:rPr>
      </w:pPr>
      <w:r>
        <w:rPr>
          <w:rFonts w:ascii="Times New Roman" w:hAnsi="Times New Roman" w:cs="Times New Roman"/>
          <w:sz w:val="20"/>
          <w:szCs w:val="20"/>
        </w:rPr>
        <w:t>Unfortunately, the number of multiple prescribers that a patient utilizes for controlled substances has receiv</w:t>
      </w:r>
      <w:r>
        <w:rPr>
          <w:rFonts w:ascii="Times New Roman" w:hAnsi="Times New Roman" w:cs="Times New Roman"/>
          <w:sz w:val="20"/>
          <w:szCs w:val="20"/>
        </w:rPr>
        <w:t xml:space="preserve">ed limited appraisal. The number of prescribers per patient has, in the past, often been used as a proxy measure for doctor shopping. </w:t>
      </w:r>
      <w:r>
        <w:rPr>
          <w:rFonts w:ascii="Times New Roman" w:hAnsi="Times New Roman" w:cs="Times New Roman"/>
          <w:sz w:val="32"/>
          <w:szCs w:val="32"/>
          <w:vertAlign w:val="superscript"/>
        </w:rPr>
        <w:t>1</w:t>
      </w:r>
      <w:r>
        <w:rPr>
          <w:rFonts w:ascii="Times New Roman" w:hAnsi="Times New Roman" w:cs="Times New Roman"/>
          <w:sz w:val="20"/>
          <w:szCs w:val="20"/>
        </w:rPr>
        <w:t xml:space="preserve"> Many state PMPs have adopted thresholds that trigger notifications to providers and dispensers. As no empirical data cur</w:t>
      </w:r>
      <w:r>
        <w:rPr>
          <w:rFonts w:ascii="Times New Roman" w:hAnsi="Times New Roman" w:cs="Times New Roman"/>
          <w:sz w:val="20"/>
          <w:szCs w:val="20"/>
        </w:rPr>
        <w:t xml:space="preserve">rently exists for this metric, individual states have considerable latitude in selecting a cut-off point. </w:t>
      </w:r>
      <w:r>
        <w:rPr>
          <w:rFonts w:ascii="Times New Roman" w:hAnsi="Times New Roman" w:cs="Times New Roman"/>
          <w:sz w:val="32"/>
          <w:szCs w:val="32"/>
          <w:vertAlign w:val="superscript"/>
        </w:rPr>
        <w:t>2</w:t>
      </w:r>
      <w:r>
        <w:rPr>
          <w:rFonts w:ascii="Times New Roman" w:hAnsi="Times New Roman" w:cs="Times New Roman"/>
          <w:sz w:val="20"/>
          <w:szCs w:val="20"/>
        </w:rPr>
        <w:t xml:space="preserve"> In a study by Parente </w:t>
      </w:r>
      <w:r>
        <w:rPr>
          <w:rFonts w:ascii="Times New Roman" w:hAnsi="Times New Roman" w:cs="Times New Roman"/>
          <w:sz w:val="32"/>
          <w:szCs w:val="32"/>
          <w:vertAlign w:val="superscript"/>
        </w:rPr>
        <w:t>3</w:t>
      </w:r>
      <w:r>
        <w:rPr>
          <w:rFonts w:ascii="Times New Roman" w:hAnsi="Times New Roman" w:cs="Times New Roman"/>
          <w:sz w:val="20"/>
          <w:szCs w:val="20"/>
        </w:rPr>
        <w:t xml:space="preserve"> examining administrative health insurance claims to identify potentially aberrant behaviors involving controlled substances,</w:t>
      </w:r>
      <w:r>
        <w:rPr>
          <w:rFonts w:ascii="Times New Roman" w:hAnsi="Times New Roman" w:cs="Times New Roman"/>
          <w:sz w:val="20"/>
          <w:szCs w:val="20"/>
        </w:rPr>
        <w:t xml:space="preserve"> “multiple prescribers” was defined as the utilization of six or more prescribers by one patient over a one-year period. This quantification was derived by an expert panel comprised of individuals from the medical profession and the pharmaceutical diversio</w:t>
      </w:r>
      <w:r>
        <w:rPr>
          <w:rFonts w:ascii="Times New Roman" w:hAnsi="Times New Roman" w:cs="Times New Roman"/>
          <w:sz w:val="20"/>
          <w:szCs w:val="20"/>
        </w:rPr>
        <w:t xml:space="preserve">n investigation community, relying on “a combination of evidence and professional consensus.” </w:t>
      </w:r>
      <w:r>
        <w:rPr>
          <w:rFonts w:ascii="Times New Roman" w:hAnsi="Times New Roman" w:cs="Times New Roman"/>
          <w:sz w:val="32"/>
          <w:szCs w:val="32"/>
          <w:vertAlign w:val="superscript"/>
        </w:rPr>
        <w:t>3</w:t>
      </w:r>
      <w:r>
        <w:rPr>
          <w:rFonts w:ascii="Times New Roman" w:hAnsi="Times New Roman" w:cs="Times New Roman"/>
          <w:sz w:val="20"/>
          <w:szCs w:val="20"/>
        </w:rPr>
        <w:t xml:space="preserve"> Their operationalization of multiple providers derived from a scenario whereby patients visit several practitioners in a given year, obtaining controlled substa</w:t>
      </w:r>
      <w:r>
        <w:rPr>
          <w:rFonts w:ascii="Times New Roman" w:hAnsi="Times New Roman" w:cs="Times New Roman"/>
          <w:sz w:val="20"/>
          <w:szCs w:val="20"/>
        </w:rPr>
        <w:t>nce prescriptions from a primary care physician, nurse practitioner, dentist, and several medical specialists (personal communication with an author of the above study, J. David Haddox, Purdue Pharma, February 2009). In essence, this expert panel dichotomi</w:t>
      </w:r>
      <w:r>
        <w:rPr>
          <w:rFonts w:ascii="Times New Roman" w:hAnsi="Times New Roman" w:cs="Times New Roman"/>
          <w:sz w:val="20"/>
          <w:szCs w:val="20"/>
        </w:rPr>
        <w:t>zed patients with multiple providers into doctor shoppers and those who utilized an acceptable number of practitioners.</w:t>
      </w:r>
    </w:p>
    <w:p w:rsidR="00000000" w:rsidRDefault="00D35EC6">
      <w:pPr>
        <w:pStyle w:val="DefaultParagraphFont"/>
        <w:widowControl w:val="0"/>
        <w:autoSpaceDE w:val="0"/>
        <w:autoSpaceDN w:val="0"/>
        <w:adjustRightInd w:val="0"/>
        <w:spacing w:after="0" w:line="19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3" w:lineRule="auto"/>
        <w:ind w:left="1440" w:right="40"/>
        <w:rPr>
          <w:rFonts w:ascii="Times New Roman" w:hAnsi="Times New Roman" w:cs="Times New Roman"/>
          <w:sz w:val="24"/>
          <w:szCs w:val="24"/>
        </w:rPr>
      </w:pPr>
      <w:r>
        <w:rPr>
          <w:rFonts w:ascii="Times New Roman" w:hAnsi="Times New Roman" w:cs="Times New Roman"/>
          <w:sz w:val="20"/>
          <w:szCs w:val="20"/>
        </w:rPr>
        <w:t>As PMPs are being increasingly used in the context of patient care, it is important that the use of multiple providers be interpreted c</w:t>
      </w:r>
      <w:r>
        <w:rPr>
          <w:rFonts w:ascii="Times New Roman" w:hAnsi="Times New Roman" w:cs="Times New Roman"/>
          <w:sz w:val="20"/>
          <w:szCs w:val="20"/>
        </w:rPr>
        <w:t>orrectly as this activity may or may not be associated with substance abuse and diversion. At present, only anecdotal and survey data support the efficacy of these programs, and there are concerns about the “chilling effect” that they may have on the presc</w:t>
      </w:r>
      <w:r>
        <w:rPr>
          <w:rFonts w:ascii="Times New Roman" w:hAnsi="Times New Roman" w:cs="Times New Roman"/>
          <w:sz w:val="20"/>
          <w:szCs w:val="20"/>
        </w:rPr>
        <w:t xml:space="preserve">ribing of pain medications. </w:t>
      </w:r>
      <w:r>
        <w:rPr>
          <w:rFonts w:ascii="Times New Roman" w:hAnsi="Times New Roman" w:cs="Times New Roman"/>
          <w:sz w:val="32"/>
          <w:szCs w:val="32"/>
          <w:vertAlign w:val="superscript"/>
        </w:rPr>
        <w:t>4</w:t>
      </w:r>
      <w:r>
        <w:rPr>
          <w:rFonts w:ascii="Times New Roman" w:hAnsi="Times New Roman" w:cs="Times New Roman"/>
          <w:sz w:val="20"/>
          <w:szCs w:val="20"/>
        </w:rPr>
        <w:t xml:space="preserve"> Although only a very small percentage of individuals have dubious intent, prescriptions associated with questionable activity represented millions of opioid dosage units. </w:t>
      </w:r>
      <w:r>
        <w:rPr>
          <w:rFonts w:ascii="Times New Roman" w:hAnsi="Times New Roman" w:cs="Times New Roman"/>
          <w:sz w:val="32"/>
          <w:szCs w:val="32"/>
          <w:vertAlign w:val="superscript"/>
        </w:rPr>
        <w:t>5</w:t>
      </w:r>
      <w:r>
        <w:rPr>
          <w:rFonts w:ascii="Times New Roman" w:hAnsi="Times New Roman" w:cs="Times New Roman"/>
          <w:sz w:val="20"/>
          <w:szCs w:val="20"/>
        </w:rPr>
        <w:t xml:space="preserve"> It is, therefore, important that practitioners and re</w:t>
      </w:r>
      <w:r>
        <w:rPr>
          <w:rFonts w:ascii="Times New Roman" w:hAnsi="Times New Roman" w:cs="Times New Roman"/>
          <w:sz w:val="20"/>
          <w:szCs w:val="20"/>
        </w:rPr>
        <w:t>gulatory agencies receive some guidance on how to construe information gleaned from PMP administrative databases.</w:t>
      </w:r>
    </w:p>
    <w:p w:rsidR="00000000" w:rsidRDefault="00D35EC6">
      <w:pPr>
        <w:pStyle w:val="DefaultParagraphFont"/>
        <w:widowControl w:val="0"/>
        <w:autoSpaceDE w:val="0"/>
        <w:autoSpaceDN w:val="0"/>
        <w:adjustRightInd w:val="0"/>
        <w:spacing w:after="0" w:line="180"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33" w:lineRule="auto"/>
        <w:ind w:left="1440" w:right="60"/>
        <w:rPr>
          <w:rFonts w:ascii="Times New Roman" w:hAnsi="Times New Roman" w:cs="Times New Roman"/>
          <w:sz w:val="24"/>
          <w:szCs w:val="24"/>
        </w:rPr>
      </w:pPr>
      <w:r>
        <w:rPr>
          <w:rFonts w:ascii="Times New Roman" w:hAnsi="Times New Roman" w:cs="Times New Roman"/>
          <w:sz w:val="20"/>
          <w:szCs w:val="20"/>
        </w:rPr>
        <w:t xml:space="preserve">This study examined data from the California PMP, the Controlled Substance Utilization Review and Evaluation System (CURES), to identify the </w:t>
      </w:r>
      <w:r>
        <w:rPr>
          <w:rFonts w:ascii="Times New Roman" w:hAnsi="Times New Roman" w:cs="Times New Roman"/>
          <w:sz w:val="20"/>
          <w:szCs w:val="20"/>
        </w:rPr>
        <w:t xml:space="preserve">characteristics of patients who had two to five prescribers compared to those using only one prescriber. This was structured to empirically validate the classification developed by professional consensus discussed above. </w:t>
      </w:r>
      <w:r>
        <w:rPr>
          <w:rFonts w:ascii="Times New Roman" w:hAnsi="Times New Roman" w:cs="Times New Roman"/>
          <w:sz w:val="32"/>
          <w:szCs w:val="32"/>
          <w:vertAlign w:val="superscript"/>
        </w:rPr>
        <w:t>3</w:t>
      </w:r>
      <w:r>
        <w:rPr>
          <w:rFonts w:ascii="Times New Roman" w:hAnsi="Times New Roman" w:cs="Times New Roman"/>
          <w:sz w:val="20"/>
          <w:szCs w:val="20"/>
        </w:rPr>
        <w:t xml:space="preserve"> It is hypothesized that patients </w:t>
      </w:r>
      <w:r>
        <w:rPr>
          <w:rFonts w:ascii="Times New Roman" w:hAnsi="Times New Roman" w:cs="Times New Roman"/>
          <w:sz w:val="20"/>
          <w:szCs w:val="20"/>
        </w:rPr>
        <w:t>who used two to five providers in a single year, compared to patients who utilized a single provider, have similar (1) utilization of opioid prescriptions and (2) demographic characteristics.</w:t>
      </w:r>
    </w:p>
    <w:p w:rsidR="00000000" w:rsidRDefault="00D35EC6">
      <w:pPr>
        <w:pStyle w:val="DefaultParagraphFont"/>
        <w:widowControl w:val="0"/>
        <w:autoSpaceDE w:val="0"/>
        <w:autoSpaceDN w:val="0"/>
        <w:adjustRightInd w:val="0"/>
        <w:spacing w:after="0" w:line="24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METHODS</w:t>
      </w:r>
    </w:p>
    <w:p w:rsidR="00000000" w:rsidRDefault="00D35EC6">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0"/>
          <w:szCs w:val="20"/>
        </w:rPr>
        <w:t>Administrative Approvals</w:t>
      </w:r>
    </w:p>
    <w:p w:rsidR="00000000" w:rsidRDefault="00D35EC6">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75" w:lineRule="auto"/>
        <w:ind w:left="1440" w:right="200"/>
        <w:rPr>
          <w:rFonts w:ascii="Times New Roman" w:hAnsi="Times New Roman" w:cs="Times New Roman"/>
          <w:sz w:val="24"/>
          <w:szCs w:val="24"/>
        </w:rPr>
      </w:pPr>
      <w:r>
        <w:rPr>
          <w:rFonts w:ascii="Times New Roman" w:hAnsi="Times New Roman" w:cs="Times New Roman"/>
          <w:sz w:val="19"/>
          <w:szCs w:val="19"/>
        </w:rPr>
        <w:t xml:space="preserve">The Institutional Review Board of the UC Davis Medical Center (UCDMC) and the Northern California Veterans Administration Research and Development Committee granted approval with waivers of consent and authorization to conduct this research. The Office of </w:t>
      </w:r>
      <w:r>
        <w:rPr>
          <w:rFonts w:ascii="Times New Roman" w:hAnsi="Times New Roman" w:cs="Times New Roman"/>
          <w:sz w:val="19"/>
          <w:szCs w:val="19"/>
        </w:rPr>
        <w:t>the Attorney General of California (overseer of the California Department of Justice (DOJ) and CURES) required security checks on members of the investigative team</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37"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xml:space="preserve">. Author manuscript; available in </w:t>
      </w:r>
      <w:r>
        <w:rPr>
          <w:rFonts w:ascii="Times New Roman" w:hAnsi="Times New Roman" w:cs="Times New Roman"/>
          <w:sz w:val="16"/>
          <w:szCs w:val="16"/>
        </w:rPr>
        <w:t>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36pt;width:18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PkfAIAAPs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VmMg&#10;SpEOKPoIRSNqKzkqQnl64yrwejQPNiTozL2mXxxSetmCF7+xVvctJwyCyoJ/8uJAMBwcRZv+nWaA&#10;TnZex0odGtsFQKgBOkRCns6E8INHFBbzfDZJgTYKW7MJ/MEIV5DqdNpY599w3aEwqbGF2CM62d87&#10;P7ieXGL0Wgq2FlJGw243S2nRnoA4bsfL6eruiO4u3aQKzkqHYwPisAJBwh1hL4QbyX4us7xIb/Ny&#10;tJ7MpqNiXYxH5TSdjdKsvC0naVEWq/X3EGBWVK1gjKt7ofhJeFnxd8QeW2CQTJQe6mtcjvNxzP1F&#10;9O4yyTT+/pRkJzz0oRQdFPrsRKpA7J1ikDapPBFymCcvw4+EQA1O31iVKIPA/KCgjWZPoAKrgSQg&#10;FF4MmLTafsOoh+6rsfu6I5ZjJN8qUFKZFUVo12gU42kOhr3c2VzuEEUBqsYeo2G69EOL74wV2xZu&#10;ymJhlL4B9TUiCiMoc4jqqFnosJjB8TUILXxpR6+fb9biB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x64Pk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3</w:t>
      </w:r>
    </w:p>
    <w:p w:rsidR="00000000" w:rsidRDefault="00D35EC6">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5" w:lineRule="auto"/>
        <w:ind w:left="1440" w:right="60"/>
        <w:rPr>
          <w:rFonts w:ascii="Times New Roman" w:hAnsi="Times New Roman" w:cs="Times New Roman"/>
          <w:sz w:val="24"/>
          <w:szCs w:val="24"/>
        </w:rPr>
      </w:pPr>
      <w:r>
        <w:rPr>
          <w:rFonts w:ascii="Times New Roman" w:hAnsi="Times New Roman" w:cs="Times New Roman"/>
          <w:sz w:val="20"/>
          <w:szCs w:val="20"/>
        </w:rPr>
        <w:t>who were granted access to the original source electronic information by means of a memorandum of understanding (MOU). The MOU was a legal document devised jointly by UCDMC and the California DOJ; its purpose was to operationalize administrative, physical,</w:t>
      </w:r>
      <w:r>
        <w:rPr>
          <w:rFonts w:ascii="Times New Roman" w:hAnsi="Times New Roman" w:cs="Times New Roman"/>
          <w:sz w:val="20"/>
          <w:szCs w:val="20"/>
        </w:rPr>
        <w:t xml:space="preserve"> and technical safeguards to assure the confidentiality, integrity, and availability of the electronic health information in CURES. To satisfy requirements of anonymity, an algorithm was devised using SQL Server™ to generate de-identified codes for patient</w:t>
      </w:r>
      <w:r>
        <w:rPr>
          <w:rFonts w:ascii="Times New Roman" w:hAnsi="Times New Roman" w:cs="Times New Roman"/>
          <w:sz w:val="20"/>
          <w:szCs w:val="20"/>
        </w:rPr>
        <w:t>s, prescribers, and pharmacies to permit identification of sequential prescriptions.</w:t>
      </w:r>
    </w:p>
    <w:p w:rsidR="00000000" w:rsidRDefault="00D35EC6">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40" w:lineRule="auto"/>
        <w:ind w:left="1440" w:right="140"/>
        <w:rPr>
          <w:rFonts w:ascii="Times New Roman" w:hAnsi="Times New Roman" w:cs="Times New Roman"/>
          <w:sz w:val="24"/>
          <w:szCs w:val="24"/>
        </w:rPr>
      </w:pPr>
      <w:r>
        <w:rPr>
          <w:rFonts w:ascii="Arial" w:hAnsi="Arial" w:cs="Arial"/>
          <w:b/>
          <w:bCs/>
          <w:sz w:val="20"/>
          <w:szCs w:val="20"/>
        </w:rPr>
        <w:t>Data Acquisition—</w:t>
      </w:r>
      <w:r>
        <w:rPr>
          <w:rFonts w:ascii="Times New Roman" w:hAnsi="Times New Roman" w:cs="Times New Roman"/>
          <w:sz w:val="20"/>
          <w:szCs w:val="20"/>
        </w:rPr>
        <w:t>The CURES database contained patient demographics, drug name,</w:t>
      </w:r>
      <w:r>
        <w:rPr>
          <w:rFonts w:ascii="Arial" w:hAnsi="Arial" w:cs="Arial"/>
          <w:b/>
          <w:bCs/>
          <w:sz w:val="20"/>
          <w:szCs w:val="20"/>
        </w:rPr>
        <w:t xml:space="preserve"> </w:t>
      </w:r>
      <w:r>
        <w:rPr>
          <w:rFonts w:ascii="Times New Roman" w:hAnsi="Times New Roman" w:cs="Times New Roman"/>
          <w:sz w:val="20"/>
          <w:szCs w:val="20"/>
        </w:rPr>
        <w:t>dose, refills, administration route, quantity supplied, date of prescription, and prescribe</w:t>
      </w:r>
      <w:r>
        <w:rPr>
          <w:rFonts w:ascii="Times New Roman" w:hAnsi="Times New Roman" w:cs="Times New Roman"/>
          <w:sz w:val="20"/>
          <w:szCs w:val="20"/>
        </w:rPr>
        <w:t>r Drug Enforcement Administration (DEA) registration number. Because unique identifiers for individual patients were not provided in the CURES database, a methodology was employed to permit identification of sequential prescriptions for each individual usi</w:t>
      </w:r>
      <w:r>
        <w:rPr>
          <w:rFonts w:ascii="Times New Roman" w:hAnsi="Times New Roman" w:cs="Times New Roman"/>
          <w:sz w:val="20"/>
          <w:szCs w:val="20"/>
        </w:rPr>
        <w:t xml:space="preserve">ng an algorithm consisting of the first seven characters of the first and last names, gender and age to identify individual patients. </w:t>
      </w:r>
      <w:r>
        <w:rPr>
          <w:rFonts w:ascii="Times New Roman" w:hAnsi="Times New Roman" w:cs="Times New Roman"/>
          <w:sz w:val="32"/>
          <w:szCs w:val="32"/>
          <w:vertAlign w:val="superscript"/>
        </w:rPr>
        <w:t>6</w:t>
      </w:r>
      <w:r>
        <w:rPr>
          <w:rFonts w:ascii="Times New Roman" w:hAnsi="Times New Roman" w:cs="Times New Roman"/>
          <w:sz w:val="20"/>
          <w:szCs w:val="20"/>
        </w:rPr>
        <w:t xml:space="preserve"> Using SQL Server, these four variables were replaced with a unique numerical identifier permitting longitudinal assessme</w:t>
      </w:r>
      <w:r>
        <w:rPr>
          <w:rFonts w:ascii="Times New Roman" w:hAnsi="Times New Roman" w:cs="Times New Roman"/>
          <w:sz w:val="20"/>
          <w:szCs w:val="20"/>
        </w:rPr>
        <w:t>nt of prescribing to the same individual over time. Prescriber information was de-identified substituting a computer-generated code for their DEA registration number and/or their Pharmacy License. In this manner, no individual-level information either left</w:t>
      </w:r>
      <w:r>
        <w:rPr>
          <w:rFonts w:ascii="Times New Roman" w:hAnsi="Times New Roman" w:cs="Times New Roman"/>
          <w:sz w:val="20"/>
          <w:szCs w:val="20"/>
        </w:rPr>
        <w:t xml:space="preserve"> the California DOJ or was entered into the statistical analysis.</w:t>
      </w:r>
    </w:p>
    <w:p w:rsidR="00000000" w:rsidRDefault="00D35EC6">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0"/>
          <w:szCs w:val="20"/>
        </w:rPr>
        <w:t>Study Design</w:t>
      </w:r>
    </w:p>
    <w:p w:rsidR="00000000" w:rsidRDefault="00D35EC6">
      <w:pPr>
        <w:pStyle w:val="DefaultParagraphFont"/>
        <w:widowControl w:val="0"/>
        <w:autoSpaceDE w:val="0"/>
        <w:autoSpaceDN w:val="0"/>
        <w:adjustRightInd w:val="0"/>
        <w:spacing w:after="0" w:line="92"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5" w:lineRule="auto"/>
        <w:ind w:left="1440" w:right="40"/>
        <w:rPr>
          <w:rFonts w:ascii="Times New Roman" w:hAnsi="Times New Roman" w:cs="Times New Roman"/>
          <w:sz w:val="24"/>
          <w:szCs w:val="24"/>
        </w:rPr>
      </w:pPr>
      <w:r>
        <w:rPr>
          <w:rFonts w:ascii="Times New Roman" w:hAnsi="Times New Roman" w:cs="Times New Roman"/>
          <w:b/>
          <w:bCs/>
          <w:i/>
          <w:iCs/>
          <w:sz w:val="20"/>
          <w:szCs w:val="20"/>
        </w:rPr>
        <w:t xml:space="preserve">Study Sample: CURES Prescriptions: </w:t>
      </w:r>
      <w:r>
        <w:rPr>
          <w:rFonts w:ascii="Times New Roman" w:hAnsi="Times New Roman" w:cs="Times New Roman"/>
          <w:sz w:val="20"/>
          <w:szCs w:val="20"/>
        </w:rPr>
        <w:t>Schedule II prescription data over a 96-month period</w:t>
      </w:r>
      <w:r>
        <w:rPr>
          <w:rFonts w:ascii="Times New Roman" w:hAnsi="Times New Roman" w:cs="Times New Roman"/>
          <w:b/>
          <w:bCs/>
          <w:i/>
          <w:iCs/>
          <w:sz w:val="20"/>
          <w:szCs w:val="20"/>
        </w:rPr>
        <w:t xml:space="preserve"> </w:t>
      </w:r>
      <w:r>
        <w:rPr>
          <w:rFonts w:ascii="Times New Roman" w:hAnsi="Times New Roman" w:cs="Times New Roman"/>
          <w:sz w:val="20"/>
          <w:szCs w:val="20"/>
        </w:rPr>
        <w:t>(January 1, 1999 to December 31, 2007) were evaluated. Only 36 months of prescription data (January 1, 2005 to December 31, 2007) were available for Schedule III medications, corresponding to the period when CURES began requiring reporting of these medicat</w:t>
      </w:r>
      <w:r>
        <w:rPr>
          <w:rFonts w:ascii="Times New Roman" w:hAnsi="Times New Roman" w:cs="Times New Roman"/>
          <w:sz w:val="20"/>
          <w:szCs w:val="20"/>
        </w:rPr>
        <w:t>ions. Individual records were excluded for either: (a) missing or incomplete controlled substance data and/or patient pharmacy, or prescriber identification, (b) implausible prescriptions (i.e., duplicate formulations recorded for the same time interval an</w:t>
      </w:r>
      <w:r>
        <w:rPr>
          <w:rFonts w:ascii="Times New Roman" w:hAnsi="Times New Roman" w:cs="Times New Roman"/>
          <w:sz w:val="20"/>
          <w:szCs w:val="20"/>
        </w:rPr>
        <w:t>d commercial transactions), and (c) use of opioid medications not suggestive of practicality or suitability in chronic pain (e.g., rectal suppositories, intravenous preparations, syrups, solutions, etc.).</w:t>
      </w:r>
    </w:p>
    <w:p w:rsidR="00000000" w:rsidRDefault="00D35EC6">
      <w:pPr>
        <w:pStyle w:val="DefaultParagraphFont"/>
        <w:widowControl w:val="0"/>
        <w:autoSpaceDE w:val="0"/>
        <w:autoSpaceDN w:val="0"/>
        <w:adjustRightInd w:val="0"/>
        <w:spacing w:after="0" w:line="199"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0"/>
          <w:szCs w:val="20"/>
        </w:rPr>
        <w:t>Regression Analysis of Number of Prescribers</w:t>
      </w:r>
    </w:p>
    <w:p w:rsidR="00000000" w:rsidRDefault="00D35EC6">
      <w:pPr>
        <w:pStyle w:val="DefaultParagraphFont"/>
        <w:widowControl w:val="0"/>
        <w:autoSpaceDE w:val="0"/>
        <w:autoSpaceDN w:val="0"/>
        <w:adjustRightInd w:val="0"/>
        <w:spacing w:after="0" w:line="92"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16" w:lineRule="auto"/>
        <w:ind w:left="1440"/>
        <w:jc w:val="both"/>
        <w:rPr>
          <w:rFonts w:ascii="Times New Roman" w:hAnsi="Times New Roman" w:cs="Times New Roman"/>
          <w:sz w:val="24"/>
          <w:szCs w:val="24"/>
        </w:rPr>
      </w:pPr>
      <w:r>
        <w:rPr>
          <w:rFonts w:ascii="Times New Roman" w:hAnsi="Times New Roman" w:cs="Times New Roman"/>
          <w:b/>
          <w:bCs/>
          <w:i/>
          <w:iCs/>
          <w:sz w:val="20"/>
          <w:szCs w:val="20"/>
        </w:rPr>
        <w:t>Depe</w:t>
      </w:r>
      <w:r>
        <w:rPr>
          <w:rFonts w:ascii="Times New Roman" w:hAnsi="Times New Roman" w:cs="Times New Roman"/>
          <w:b/>
          <w:bCs/>
          <w:i/>
          <w:iCs/>
          <w:sz w:val="20"/>
          <w:szCs w:val="20"/>
        </w:rPr>
        <w:t xml:space="preserve">ndent Variable: </w:t>
      </w:r>
      <w:r>
        <w:rPr>
          <w:rFonts w:ascii="Times New Roman" w:hAnsi="Times New Roman" w:cs="Times New Roman"/>
          <w:sz w:val="20"/>
          <w:szCs w:val="20"/>
        </w:rPr>
        <w:t>The database was searched in a manner to simulate the operationalized</w:t>
      </w:r>
      <w:r>
        <w:rPr>
          <w:rFonts w:ascii="Times New Roman" w:hAnsi="Times New Roman" w:cs="Times New Roman"/>
          <w:b/>
          <w:bCs/>
          <w:i/>
          <w:iCs/>
          <w:sz w:val="20"/>
          <w:szCs w:val="20"/>
        </w:rPr>
        <w:t xml:space="preserve"> </w:t>
      </w:r>
      <w:r>
        <w:rPr>
          <w:rFonts w:ascii="Times New Roman" w:hAnsi="Times New Roman" w:cs="Times New Roman"/>
          <w:sz w:val="20"/>
          <w:szCs w:val="20"/>
        </w:rPr>
        <w:t xml:space="preserve">multiple prescriber definition in the Parente study. </w:t>
      </w:r>
      <w:r>
        <w:rPr>
          <w:rFonts w:ascii="Times New Roman" w:hAnsi="Times New Roman" w:cs="Times New Roman"/>
          <w:sz w:val="32"/>
          <w:szCs w:val="32"/>
          <w:vertAlign w:val="superscript"/>
        </w:rPr>
        <w:t>3</w:t>
      </w:r>
      <w:r>
        <w:rPr>
          <w:rFonts w:ascii="Times New Roman" w:hAnsi="Times New Roman" w:cs="Times New Roman"/>
          <w:sz w:val="20"/>
          <w:szCs w:val="20"/>
        </w:rPr>
        <w:t xml:space="preserve"> A dichotomized dependent variable was devised using the following types of patients:</w:t>
      </w:r>
    </w:p>
    <w:p w:rsidR="00000000" w:rsidRDefault="00D35EC6">
      <w:pPr>
        <w:pStyle w:val="DefaultParagraphFont"/>
        <w:widowControl w:val="0"/>
        <w:autoSpaceDE w:val="0"/>
        <w:autoSpaceDN w:val="0"/>
        <w:adjustRightInd w:val="0"/>
        <w:spacing w:after="0" w:line="10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6" w:lineRule="auto"/>
        <w:ind w:left="1800" w:right="20"/>
        <w:rPr>
          <w:rFonts w:ascii="Times New Roman" w:hAnsi="Times New Roman" w:cs="Times New Roman"/>
          <w:sz w:val="24"/>
          <w:szCs w:val="24"/>
        </w:rPr>
      </w:pPr>
      <w:r>
        <w:rPr>
          <w:rFonts w:ascii="Times New Roman" w:hAnsi="Times New Roman" w:cs="Times New Roman"/>
          <w:sz w:val="20"/>
          <w:szCs w:val="20"/>
        </w:rPr>
        <w:t>Category 1: Putative Acceptable Use of Multiple Prescribers – the same patient had a prescription for the same opioid issued by two to five prescribers in any 365-day period, and</w:t>
      </w:r>
    </w:p>
    <w:p w:rsidR="00000000" w:rsidRDefault="00D35EC6">
      <w:pPr>
        <w:pStyle w:val="DefaultParagraphFont"/>
        <w:widowControl w:val="0"/>
        <w:autoSpaceDE w:val="0"/>
        <w:autoSpaceDN w:val="0"/>
        <w:adjustRightInd w:val="0"/>
        <w:spacing w:after="0" w:line="75"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81" w:lineRule="auto"/>
        <w:ind w:left="1800" w:right="400"/>
        <w:rPr>
          <w:rFonts w:ascii="Times New Roman" w:hAnsi="Times New Roman" w:cs="Times New Roman"/>
          <w:sz w:val="24"/>
          <w:szCs w:val="24"/>
        </w:rPr>
      </w:pPr>
      <w:r>
        <w:rPr>
          <w:rFonts w:ascii="Times New Roman" w:hAnsi="Times New Roman" w:cs="Times New Roman"/>
          <w:sz w:val="20"/>
          <w:szCs w:val="20"/>
        </w:rPr>
        <w:t>Category 2: No Use of Multiple Prescribers – patients for which the use of m</w:t>
      </w:r>
      <w:r>
        <w:rPr>
          <w:rFonts w:ascii="Times New Roman" w:hAnsi="Times New Roman" w:cs="Times New Roman"/>
          <w:sz w:val="20"/>
          <w:szCs w:val="20"/>
        </w:rPr>
        <w:t>ultiple prescribers was not identified.</w:t>
      </w:r>
    </w:p>
    <w:p w:rsidR="00000000" w:rsidRDefault="00D35EC6">
      <w:pPr>
        <w:pStyle w:val="DefaultParagraphFont"/>
        <w:widowControl w:val="0"/>
        <w:autoSpaceDE w:val="0"/>
        <w:autoSpaceDN w:val="0"/>
        <w:adjustRightInd w:val="0"/>
        <w:spacing w:after="0" w:line="55"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8" w:lineRule="auto"/>
        <w:ind w:left="1440" w:right="140"/>
        <w:rPr>
          <w:rFonts w:ascii="Times New Roman" w:hAnsi="Times New Roman" w:cs="Times New Roman"/>
          <w:sz w:val="24"/>
          <w:szCs w:val="24"/>
        </w:rPr>
      </w:pPr>
      <w:r>
        <w:rPr>
          <w:rFonts w:ascii="Times New Roman" w:hAnsi="Times New Roman" w:cs="Times New Roman"/>
          <w:b/>
          <w:bCs/>
          <w:i/>
          <w:iCs/>
          <w:sz w:val="20"/>
          <w:szCs w:val="20"/>
        </w:rPr>
        <w:t xml:space="preserve">Types of Opioids: </w:t>
      </w:r>
      <w:r>
        <w:rPr>
          <w:rFonts w:ascii="Times New Roman" w:hAnsi="Times New Roman" w:cs="Times New Roman"/>
          <w:sz w:val="20"/>
          <w:szCs w:val="20"/>
        </w:rPr>
        <w:t>Patients using two to five prescribers and those using only a single</w:t>
      </w:r>
      <w:r>
        <w:rPr>
          <w:rFonts w:ascii="Times New Roman" w:hAnsi="Times New Roman" w:cs="Times New Roman"/>
          <w:b/>
          <w:bCs/>
          <w:i/>
          <w:iCs/>
          <w:sz w:val="20"/>
          <w:szCs w:val="20"/>
        </w:rPr>
        <w:t xml:space="preserve"> </w:t>
      </w:r>
      <w:r>
        <w:rPr>
          <w:rFonts w:ascii="Times New Roman" w:hAnsi="Times New Roman" w:cs="Times New Roman"/>
          <w:sz w:val="20"/>
          <w:szCs w:val="20"/>
        </w:rPr>
        <w:t>prescriber in a one year period were compared with respect to their utilization of individual opioids. In justifying the potenti</w:t>
      </w:r>
      <w:r>
        <w:rPr>
          <w:rFonts w:ascii="Times New Roman" w:hAnsi="Times New Roman" w:cs="Times New Roman"/>
          <w:sz w:val="20"/>
          <w:szCs w:val="20"/>
        </w:rPr>
        <w:t xml:space="preserve">al utility of this covariate in the present study, our previous work </w:t>
      </w:r>
      <w:r>
        <w:rPr>
          <w:rFonts w:ascii="Times New Roman" w:hAnsi="Times New Roman" w:cs="Times New Roman"/>
          <w:sz w:val="32"/>
          <w:szCs w:val="32"/>
          <w:vertAlign w:val="superscript"/>
        </w:rPr>
        <w:t>7</w:t>
      </w:r>
      <w:r>
        <w:rPr>
          <w:rFonts w:ascii="Times New Roman" w:hAnsi="Times New Roman" w:cs="Times New Roman"/>
          <w:sz w:val="20"/>
          <w:szCs w:val="20"/>
        </w:rPr>
        <w:t xml:space="preserve"> demonstrated differences in multiple provider episodes for the same opioids.</w:t>
      </w:r>
    </w:p>
    <w:p w:rsidR="00000000" w:rsidRDefault="00D35EC6">
      <w:pPr>
        <w:pStyle w:val="DefaultParagraphFont"/>
        <w:widowControl w:val="0"/>
        <w:autoSpaceDE w:val="0"/>
        <w:autoSpaceDN w:val="0"/>
        <w:adjustRightInd w:val="0"/>
        <w:spacing w:after="0" w:line="2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197" w:lineRule="auto"/>
        <w:ind w:left="1440" w:right="60"/>
        <w:rPr>
          <w:rFonts w:ascii="Times New Roman" w:hAnsi="Times New Roman" w:cs="Times New Roman"/>
          <w:sz w:val="24"/>
          <w:szCs w:val="24"/>
        </w:rPr>
      </w:pPr>
      <w:r>
        <w:rPr>
          <w:rFonts w:ascii="Times New Roman" w:hAnsi="Times New Roman" w:cs="Times New Roman"/>
          <w:b/>
          <w:bCs/>
          <w:i/>
          <w:iCs/>
          <w:sz w:val="20"/>
          <w:szCs w:val="20"/>
        </w:rPr>
        <w:t xml:space="preserve">Demographic Variables (Age, Gender, and Geographic Location): </w:t>
      </w:r>
      <w:r>
        <w:rPr>
          <w:rFonts w:ascii="Times New Roman" w:hAnsi="Times New Roman" w:cs="Times New Roman"/>
          <w:sz w:val="20"/>
          <w:szCs w:val="20"/>
        </w:rPr>
        <w:t>As the prevalence in</w:t>
      </w:r>
      <w:r>
        <w:rPr>
          <w:rFonts w:ascii="Times New Roman" w:hAnsi="Times New Roman" w:cs="Times New Roman"/>
          <w:b/>
          <w:bCs/>
          <w:i/>
          <w:iCs/>
          <w:sz w:val="20"/>
          <w:szCs w:val="20"/>
        </w:rPr>
        <w:t xml:space="preserve"> </w:t>
      </w:r>
      <w:r>
        <w:rPr>
          <w:rFonts w:ascii="Times New Roman" w:hAnsi="Times New Roman" w:cs="Times New Roman"/>
          <w:sz w:val="20"/>
          <w:szCs w:val="20"/>
        </w:rPr>
        <w:t>national surveys of pres</w:t>
      </w:r>
      <w:r>
        <w:rPr>
          <w:rFonts w:ascii="Times New Roman" w:hAnsi="Times New Roman" w:cs="Times New Roman"/>
          <w:sz w:val="20"/>
          <w:szCs w:val="20"/>
        </w:rPr>
        <w:t xml:space="preserve">cription abuse and dependence decreases with age </w:t>
      </w:r>
      <w:r>
        <w:rPr>
          <w:rFonts w:ascii="Times New Roman" w:hAnsi="Times New Roman" w:cs="Times New Roman"/>
          <w:sz w:val="32"/>
          <w:szCs w:val="32"/>
          <w:vertAlign w:val="superscript"/>
        </w:rPr>
        <w:t>8, 9</w:t>
      </w:r>
      <w:r>
        <w:rPr>
          <w:rFonts w:ascii="Times New Roman" w:hAnsi="Times New Roman" w:cs="Times New Roman"/>
          <w:sz w:val="20"/>
          <w:szCs w:val="20"/>
        </w:rPr>
        <w:t xml:space="preserve"> and is higher in males than females, </w:t>
      </w:r>
      <w:r>
        <w:rPr>
          <w:rFonts w:ascii="Times New Roman" w:hAnsi="Times New Roman" w:cs="Times New Roman"/>
          <w:sz w:val="32"/>
          <w:szCs w:val="32"/>
          <w:vertAlign w:val="superscript"/>
        </w:rPr>
        <w:t>8</w:t>
      </w:r>
      <w:r>
        <w:rPr>
          <w:rFonts w:ascii="Times New Roman" w:hAnsi="Times New Roman" w:cs="Times New Roman"/>
          <w:sz w:val="20"/>
          <w:szCs w:val="20"/>
        </w:rPr>
        <w:t xml:space="preserve"> our analysis included age and gender. Geographic location was also integrated as an explanatory variable because of its relationship with doctor shopping;</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9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 w:name="page4"/>
      <w:bookmarkEnd w:id="4"/>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pt;margin-top:36pt;width:18pt;height:6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NlfAIAAPs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jzF&#10;SJEOSvQRkkbUVnI0DunpjavA69E82BCgM/eafnFI6WULXvzGWt23nDAglQX/5MWBYDg4ijb9O80A&#10;ney8jpk6NLYLgJADdIgFeToXhB88orCY57NJCmWjsDWbwB+McAWpTqeNdf4N1x0Kkxpb4B7Ryf7e&#10;+cH15BLZaynYWkgZDbvdLKVFewLiuB0vp6u7I7q7dJMqOCsdjg2IwwqQhDvCXqAbi/1cZnmR3ubl&#10;aD2ZTUfFuhiPymk6G6VZeVtO0qIsVuvvgWBWVK1gjKt7ofhJeFnxd4U9tsAgmSg91Ne4HOfjGPsL&#10;9u4yyDT+/hRkJzz0oRQdJPrsRKpQ2DvFIGxSeSLkME9e0o8FgRycvjErUQah8oOCNpo9gQqshiJB&#10;QeHFgEmr7TeMeui+GruvO2I5RvKtAiWVWVGEdo1GMZ7mYNjLnc3lDlEUoGrsMRqmSz+0+M5YsW3h&#10;piwmRukbUF8jojCCMgdWR81Ch8UIjq9BaOFLO3r9fLMWP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y0LNl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4</w:t>
      </w:r>
    </w:p>
    <w:p w:rsidR="00000000" w:rsidRDefault="00D35EC6">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13" w:lineRule="auto"/>
        <w:ind w:left="1440" w:right="240"/>
        <w:rPr>
          <w:rFonts w:ascii="Times New Roman" w:hAnsi="Times New Roman" w:cs="Times New Roman"/>
          <w:sz w:val="24"/>
          <w:szCs w:val="24"/>
        </w:rPr>
      </w:pPr>
      <w:r>
        <w:rPr>
          <w:rFonts w:ascii="Times New Roman" w:hAnsi="Times New Roman" w:cs="Times New Roman"/>
          <w:sz w:val="20"/>
          <w:szCs w:val="20"/>
        </w:rPr>
        <w:t xml:space="preserve">relative to metropolitan areas with greater than one million people, smaller populated counties appear to be associated with a decreased likelihood of doctor shopping for opioids. </w:t>
      </w:r>
      <w:r>
        <w:rPr>
          <w:rFonts w:ascii="Times New Roman" w:hAnsi="Times New Roman" w:cs="Times New Roman"/>
          <w:sz w:val="32"/>
          <w:szCs w:val="32"/>
          <w:vertAlign w:val="superscript"/>
        </w:rPr>
        <w:t>7</w:t>
      </w:r>
      <w:r>
        <w:rPr>
          <w:rFonts w:ascii="Times New Roman" w:hAnsi="Times New Roman" w:cs="Times New Roman"/>
          <w:sz w:val="20"/>
          <w:szCs w:val="20"/>
        </w:rPr>
        <w:t xml:space="preserve"> Geographic location was stratified into six ordinal categories by separating California counties into groups, based upon published population estimates, </w:t>
      </w:r>
      <w:r>
        <w:rPr>
          <w:rFonts w:ascii="Times New Roman" w:hAnsi="Times New Roman" w:cs="Times New Roman"/>
          <w:sz w:val="32"/>
          <w:szCs w:val="32"/>
          <w:vertAlign w:val="superscript"/>
        </w:rPr>
        <w:t>10</w:t>
      </w:r>
      <w:r>
        <w:rPr>
          <w:rFonts w:ascii="Times New Roman" w:hAnsi="Times New Roman" w:cs="Times New Roman"/>
          <w:sz w:val="20"/>
          <w:szCs w:val="20"/>
        </w:rPr>
        <w:t xml:space="preserve"> so that rurality could be defined in terms of the Office of Management and Budget’s definition of m</w:t>
      </w:r>
      <w:r>
        <w:rPr>
          <w:rFonts w:ascii="Times New Roman" w:hAnsi="Times New Roman" w:cs="Times New Roman"/>
          <w:sz w:val="20"/>
          <w:szCs w:val="20"/>
        </w:rPr>
        <w:t xml:space="preserve">etropolitan and nonmetropolitan populations. </w:t>
      </w:r>
      <w:r>
        <w:rPr>
          <w:rFonts w:ascii="Times New Roman" w:hAnsi="Times New Roman" w:cs="Times New Roman"/>
          <w:sz w:val="32"/>
          <w:szCs w:val="32"/>
          <w:vertAlign w:val="superscript"/>
        </w:rPr>
        <w:t>11, 12</w:t>
      </w:r>
    </w:p>
    <w:p w:rsidR="00000000" w:rsidRDefault="00D35EC6">
      <w:pPr>
        <w:pStyle w:val="DefaultParagraphFont"/>
        <w:widowControl w:val="0"/>
        <w:autoSpaceDE w:val="0"/>
        <w:autoSpaceDN w:val="0"/>
        <w:adjustRightInd w:val="0"/>
        <w:spacing w:after="0" w:line="8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0"/>
          <w:szCs w:val="20"/>
        </w:rPr>
        <w:t>Statistical analyses</w:t>
      </w:r>
    </w:p>
    <w:p w:rsidR="00000000" w:rsidRDefault="00D35EC6">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8" w:lineRule="auto"/>
        <w:ind w:left="1440" w:right="20"/>
        <w:rPr>
          <w:rFonts w:ascii="Times New Roman" w:hAnsi="Times New Roman" w:cs="Times New Roman"/>
          <w:sz w:val="24"/>
          <w:szCs w:val="24"/>
        </w:rPr>
      </w:pPr>
      <w:r>
        <w:rPr>
          <w:rFonts w:ascii="Times New Roman" w:hAnsi="Times New Roman" w:cs="Times New Roman"/>
          <w:sz w:val="20"/>
          <w:szCs w:val="20"/>
        </w:rPr>
        <w:t xml:space="preserve">Descriptive statistics examined the variety of opioids and patients in the CURES </w:t>
      </w:r>
      <w:r>
        <w:rPr>
          <w:rFonts w:ascii="Times New Roman" w:hAnsi="Times New Roman" w:cs="Times New Roman"/>
          <w:sz w:val="20"/>
          <w:szCs w:val="20"/>
        </w:rPr>
        <w:t>database. Logistic regression was used to study the association between the binary dependent variable, the number of providers prescribing opioids to patients during a one-year period, and the above four covariates. All analyses were performed with SAS V9.</w:t>
      </w:r>
      <w:r>
        <w:rPr>
          <w:rFonts w:ascii="Times New Roman" w:hAnsi="Times New Roman" w:cs="Times New Roman"/>
          <w:sz w:val="20"/>
          <w:szCs w:val="20"/>
        </w:rPr>
        <w:t>2 (SAS Institute, Inc., Cary, NC).</w:t>
      </w:r>
    </w:p>
    <w:p w:rsidR="00000000" w:rsidRDefault="00D35EC6">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RESULTS</w:t>
      </w:r>
    </w:p>
    <w:p w:rsidR="00000000" w:rsidRDefault="00D35EC6">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0"/>
          <w:szCs w:val="20"/>
        </w:rPr>
        <w:t>Descriptive Statistics</w:t>
      </w:r>
    </w:p>
    <w:p w:rsidR="00000000" w:rsidRDefault="00D35EC6">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6" w:lineRule="auto"/>
        <w:ind w:left="1440" w:right="200"/>
        <w:rPr>
          <w:rFonts w:ascii="Times New Roman" w:hAnsi="Times New Roman" w:cs="Times New Roman"/>
          <w:sz w:val="24"/>
          <w:szCs w:val="24"/>
        </w:rPr>
      </w:pPr>
      <w:r>
        <w:rPr>
          <w:rFonts w:ascii="Times New Roman" w:hAnsi="Times New Roman" w:cs="Times New Roman"/>
          <w:sz w:val="20"/>
          <w:szCs w:val="20"/>
        </w:rPr>
        <w:t xml:space="preserve">There were 56,723,021 prescriptions collated in the CURES database between 1999 and 2007 distributed to 2,849,464 patients in the Putative Acceptable Use of Multiple Prescribers Category </w:t>
      </w:r>
      <w:r>
        <w:rPr>
          <w:rFonts w:ascii="Times New Roman" w:hAnsi="Times New Roman" w:cs="Times New Roman"/>
          <w:sz w:val="20"/>
          <w:szCs w:val="20"/>
        </w:rPr>
        <w:t>(i.e., patients who received prescriptions from two to five prescribers in the same year), and 10,021,367 patients in the No Use of Multiple Providers Category. Table 1 provides the frequency distributions for each independent variable in these two categor</w:t>
      </w:r>
      <w:r>
        <w:rPr>
          <w:rFonts w:ascii="Times New Roman" w:hAnsi="Times New Roman" w:cs="Times New Roman"/>
          <w:sz w:val="20"/>
          <w:szCs w:val="20"/>
        </w:rPr>
        <w:t>ies.</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0"/>
          <w:szCs w:val="20"/>
        </w:rPr>
        <w:t>Regression Analysis</w:t>
      </w:r>
    </w:p>
    <w:p w:rsidR="00000000" w:rsidRDefault="00D35EC6">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3" w:lineRule="auto"/>
        <w:ind w:left="1440" w:right="40"/>
        <w:rPr>
          <w:rFonts w:ascii="Times New Roman" w:hAnsi="Times New Roman" w:cs="Times New Roman"/>
          <w:sz w:val="24"/>
          <w:szCs w:val="24"/>
        </w:rPr>
      </w:pPr>
      <w:r>
        <w:rPr>
          <w:rFonts w:ascii="Times New Roman" w:hAnsi="Times New Roman" w:cs="Times New Roman"/>
          <w:sz w:val="20"/>
          <w:szCs w:val="20"/>
        </w:rPr>
        <w:t>Statistical comparisons of the frequencies of prescribed opioids in the CURES database, with respect to differences between the two multiple prescriber categories, yielded significant results but did not confirm our hypothesis (Table 2). Patients with a pr</w:t>
      </w:r>
      <w:r>
        <w:rPr>
          <w:rFonts w:ascii="Times New Roman" w:hAnsi="Times New Roman" w:cs="Times New Roman"/>
          <w:sz w:val="20"/>
          <w:szCs w:val="20"/>
        </w:rPr>
        <w:t>escription for the same opioid issued by two to five prescribers in any 365-day period were more likely to use long-acting opioids than hydrocodone, ranging from 7.8% (for the fentanyl patch) to 38.8% (for methadone) depending on the opioid. Conversely, th</w:t>
      </w:r>
      <w:r>
        <w:rPr>
          <w:rFonts w:ascii="Times New Roman" w:hAnsi="Times New Roman" w:cs="Times New Roman"/>
          <w:sz w:val="20"/>
          <w:szCs w:val="20"/>
        </w:rPr>
        <w:t xml:space="preserve">ose same patients were less likely to use short-acting opioids (e.g., meperidine, codeine, hydromorphone, immediate-release morphine, and immediate-release oxycodone). The differences for levorphanol and buccal fentanyl were not statistically significant, </w:t>
      </w:r>
      <w:r>
        <w:rPr>
          <w:rFonts w:ascii="Times New Roman" w:hAnsi="Times New Roman" w:cs="Times New Roman"/>
          <w:sz w:val="20"/>
          <w:szCs w:val="20"/>
        </w:rPr>
        <w:t>probably as a result of the small sample sizes for these opioids.</w:t>
      </w:r>
    </w:p>
    <w:p w:rsidR="00000000" w:rsidRDefault="00D35EC6">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8" w:lineRule="auto"/>
        <w:ind w:left="1440" w:right="100"/>
        <w:rPr>
          <w:rFonts w:ascii="Times New Roman" w:hAnsi="Times New Roman" w:cs="Times New Roman"/>
          <w:sz w:val="24"/>
          <w:szCs w:val="24"/>
        </w:rPr>
      </w:pPr>
      <w:r>
        <w:rPr>
          <w:rFonts w:ascii="Times New Roman" w:hAnsi="Times New Roman" w:cs="Times New Roman"/>
          <w:sz w:val="20"/>
          <w:szCs w:val="20"/>
        </w:rPr>
        <w:t xml:space="preserve">Demographic covariates (Table 2) refuted our other hypothesis. Regarding age, the odds of having two to five providers increased by 1.2% (95% CI, 1.012, 1.012) for each additional year. In </w:t>
      </w:r>
      <w:r>
        <w:rPr>
          <w:rFonts w:ascii="Times New Roman" w:hAnsi="Times New Roman" w:cs="Times New Roman"/>
          <w:sz w:val="20"/>
          <w:szCs w:val="20"/>
        </w:rPr>
        <w:t>the case of gender, patients with two to five providers were 2.7% to 4.4% (95% CI, 0.956, 0.973) more likely to be female. In addition, patients with two to five providers were more likely to arise from smaller geographic areas.</w:t>
      </w:r>
    </w:p>
    <w:p w:rsidR="00000000" w:rsidRDefault="00D35EC6">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DISCUSSION</w:t>
      </w:r>
    </w:p>
    <w:p w:rsidR="00000000" w:rsidRDefault="00D35EC6">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72" w:lineRule="auto"/>
        <w:ind w:left="1440" w:right="80"/>
        <w:rPr>
          <w:rFonts w:ascii="Times New Roman" w:hAnsi="Times New Roman" w:cs="Times New Roman"/>
          <w:sz w:val="24"/>
          <w:szCs w:val="24"/>
        </w:rPr>
      </w:pPr>
      <w:r>
        <w:rPr>
          <w:rFonts w:ascii="Times New Roman" w:hAnsi="Times New Roman" w:cs="Times New Roman"/>
          <w:sz w:val="19"/>
          <w:szCs w:val="19"/>
        </w:rPr>
        <w:t>The major find</w:t>
      </w:r>
      <w:r>
        <w:rPr>
          <w:rFonts w:ascii="Times New Roman" w:hAnsi="Times New Roman" w:cs="Times New Roman"/>
          <w:sz w:val="19"/>
          <w:szCs w:val="19"/>
        </w:rPr>
        <w:t>ing of this study was that utilization of opioid prescriptions and demographic characteristics differed between the groups of patients who used two to five prescribers and those who only used one provider over a one-year period. Although the divergence was</w:t>
      </w:r>
      <w:r>
        <w:rPr>
          <w:rFonts w:ascii="Times New Roman" w:hAnsi="Times New Roman" w:cs="Times New Roman"/>
          <w:sz w:val="19"/>
          <w:szCs w:val="19"/>
        </w:rPr>
        <w:t xml:space="preserve"> not consistent with our initial hypothesis, the differences were in the opposite direction to those consistent with the assumption that the patients who used more than one provider were manipulating the system. The basis for this inference is discussed be</w:t>
      </w:r>
      <w:r>
        <w:rPr>
          <w:rFonts w:ascii="Times New Roman" w:hAnsi="Times New Roman" w:cs="Times New Roman"/>
          <w:sz w:val="19"/>
          <w:szCs w:val="19"/>
        </w:rPr>
        <w:t>low.</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23"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pt;margin-top:36pt;width:18pt;height:68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350fAIAAPsEAAAOAAAAZHJzL2Uyb0RvYy54bWysVG2PEyEQ/m7ifyB87+1Lttvu5raXu9Ya&#10;k1Mvnv4ACmyXyAIC7fY0/ncHtq099YMxtgnLwPDwzMwzXN8ceon23DqhVYOzqxQjrqhmQm0b/Onj&#10;ejLHyHmiGJFa8QY/cYdvFi9fXA+m5rnutGTcIgBRrh5MgzvvTZ0kjna8J+5KG65gs9W2Jx5Mu02Y&#10;JQOg9zLJ07RMBm2ZsZpy52B1NW7iRcRvW079+7Z13CPZYODm42jjuAljsrgm9dYS0wl6pEH+gUVP&#10;hIJLz1Ar4gnaWfEbVC+o1U63/orqPtFtKyiPMUA0WfpLNI8dMTzGAslx5pwm9/9g6bv9g0WCNbjE&#10;SJEeSvQBkkbUVnJUhvQMxtXg9WgebAjQmXtNPzuk9LIDL35rrR46ThiQyoJ/8uxAMBwcRZvhrWaA&#10;TnZex0wdWtsHQMgBOsSCPJ0Lwg8eUVjM83mZQtkobM1L+IMRriD16bSxzr/mukdh0mAL3CM62d87&#10;P7qeXCJ7LQVbCymjYbebpbRoT0Acd9PlbPXqiO4u3aQKzkqHYyPiuAIk4Y6wF+jGYn+rsrxI7/Jq&#10;si7ns0mxLqaTapbOJ2lW3VVlWlTFav09EMyKuhOMcXUvFD8JLyv+rrDHFhglE6WHhgZX03waY3/G&#10;3l0Gmcbfn4LshYc+lKKHRJ+dSB0K+0oxCJvUngg5zpPn9GNBIAenb8xKlEGo/KigjWZPoAKroUhQ&#10;UHgxYNJp+xWjAbqvwe7LjliOkXyjQElVVhShXaNRTGc5GPZyZ3O5QxQFqAZ7jMbp0o8tvjNWbDu4&#10;KYuJUfoW1NeKKIygzJHVUbPQYTGC42sQWvjSjl4/36zFD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Hs350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5</w:t>
      </w:r>
    </w:p>
    <w:p w:rsidR="00000000" w:rsidRDefault="00D35EC6">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3" w:lineRule="auto"/>
        <w:ind w:left="1440" w:right="20"/>
        <w:rPr>
          <w:rFonts w:ascii="Times New Roman" w:hAnsi="Times New Roman" w:cs="Times New Roman"/>
          <w:sz w:val="24"/>
          <w:szCs w:val="24"/>
        </w:rPr>
      </w:pPr>
      <w:r>
        <w:rPr>
          <w:rFonts w:ascii="Times New Roman" w:hAnsi="Times New Roman" w:cs="Times New Roman"/>
          <w:sz w:val="20"/>
          <w:szCs w:val="20"/>
        </w:rPr>
        <w:t>Patients with a prescription for the same opioid issued by two to five prescribers in any 365-day period were more likely to avoid short-acting Schedule II opioids and instead used long-acting Schedule II opioids. The explanation fo</w:t>
      </w:r>
      <w:r>
        <w:rPr>
          <w:rFonts w:ascii="Times New Roman" w:hAnsi="Times New Roman" w:cs="Times New Roman"/>
          <w:sz w:val="20"/>
          <w:szCs w:val="20"/>
        </w:rPr>
        <w:t>r why the group that used two to five providers were prescribed long-acting opioids is not readily discernable. Although recent opioid treatment guidelines posit that there is insufficient evidence to recommend long-acting opioids versus short-acting opioi</w:t>
      </w:r>
      <w:r>
        <w:rPr>
          <w:rFonts w:ascii="Times New Roman" w:hAnsi="Times New Roman" w:cs="Times New Roman"/>
          <w:sz w:val="20"/>
          <w:szCs w:val="20"/>
        </w:rPr>
        <w:t xml:space="preserve">ds, </w:t>
      </w:r>
      <w:r>
        <w:rPr>
          <w:rFonts w:ascii="Times New Roman" w:hAnsi="Times New Roman" w:cs="Times New Roman"/>
          <w:sz w:val="32"/>
          <w:szCs w:val="32"/>
          <w:vertAlign w:val="superscript"/>
        </w:rPr>
        <w:t>13</w:t>
      </w:r>
      <w:r>
        <w:rPr>
          <w:rFonts w:ascii="Times New Roman" w:hAnsi="Times New Roman" w:cs="Times New Roman"/>
          <w:sz w:val="20"/>
          <w:szCs w:val="20"/>
        </w:rPr>
        <w:t xml:space="preserve"> other investigators have stipulated that short-acting Schedule II opioids appear to increase the risk of misuse. </w:t>
      </w:r>
      <w:r>
        <w:rPr>
          <w:rFonts w:ascii="Times New Roman" w:hAnsi="Times New Roman" w:cs="Times New Roman"/>
          <w:sz w:val="32"/>
          <w:szCs w:val="32"/>
          <w:vertAlign w:val="superscript"/>
        </w:rPr>
        <w:t>9</w:t>
      </w:r>
      <w:r>
        <w:rPr>
          <w:rFonts w:ascii="Times New Roman" w:hAnsi="Times New Roman" w:cs="Times New Roman"/>
          <w:sz w:val="20"/>
          <w:szCs w:val="20"/>
        </w:rPr>
        <w:t xml:space="preserve"> The absence of a higher prescribing of short-acting opioid to the patients using two to five providers argues against an increased mis</w:t>
      </w:r>
      <w:r>
        <w:rPr>
          <w:rFonts w:ascii="Times New Roman" w:hAnsi="Times New Roman" w:cs="Times New Roman"/>
          <w:sz w:val="20"/>
          <w:szCs w:val="20"/>
        </w:rPr>
        <w:t>use in this group.</w:t>
      </w:r>
    </w:p>
    <w:p w:rsidR="00000000" w:rsidRDefault="00D35EC6">
      <w:pPr>
        <w:pStyle w:val="DefaultParagraphFont"/>
        <w:widowControl w:val="0"/>
        <w:autoSpaceDE w:val="0"/>
        <w:autoSpaceDN w:val="0"/>
        <w:adjustRightInd w:val="0"/>
        <w:spacing w:after="0" w:line="180"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33" w:lineRule="auto"/>
        <w:ind w:left="1440" w:right="40"/>
        <w:rPr>
          <w:rFonts w:ascii="Times New Roman" w:hAnsi="Times New Roman" w:cs="Times New Roman"/>
          <w:sz w:val="24"/>
          <w:szCs w:val="24"/>
        </w:rPr>
      </w:pPr>
      <w:r>
        <w:rPr>
          <w:rFonts w:ascii="Times New Roman" w:hAnsi="Times New Roman" w:cs="Times New Roman"/>
          <w:sz w:val="20"/>
          <w:szCs w:val="20"/>
        </w:rPr>
        <w:t>In addition, the differences in demographic characteristics of patients with two to five providers compared to those with a single provider were not suggestive of individuals more prone to abusive behaviors. In point of fact, those with</w:t>
      </w:r>
      <w:r>
        <w:rPr>
          <w:rFonts w:ascii="Times New Roman" w:hAnsi="Times New Roman" w:cs="Times New Roman"/>
          <w:sz w:val="20"/>
          <w:szCs w:val="20"/>
        </w:rPr>
        <w:t xml:space="preserve"> two to five providers were not associated with youth, male gender, or larger geographic areas. These first two demographic covariates are associated with substance abuse </w:t>
      </w:r>
      <w:r>
        <w:rPr>
          <w:rFonts w:ascii="Times New Roman" w:hAnsi="Times New Roman" w:cs="Times New Roman"/>
          <w:sz w:val="32"/>
          <w:szCs w:val="32"/>
          <w:vertAlign w:val="superscript"/>
        </w:rPr>
        <w:t>8</w:t>
      </w:r>
      <w:r>
        <w:rPr>
          <w:rFonts w:ascii="Times New Roman" w:hAnsi="Times New Roman" w:cs="Times New Roman"/>
          <w:sz w:val="20"/>
          <w:szCs w:val="20"/>
        </w:rPr>
        <w:t xml:space="preserve"> and the third with doctor shopping. </w:t>
      </w:r>
      <w:r>
        <w:rPr>
          <w:rFonts w:ascii="Times New Roman" w:hAnsi="Times New Roman" w:cs="Times New Roman"/>
          <w:sz w:val="32"/>
          <w:szCs w:val="32"/>
          <w:vertAlign w:val="superscript"/>
        </w:rPr>
        <w:t>7</w:t>
      </w:r>
      <w:r>
        <w:rPr>
          <w:rFonts w:ascii="Times New Roman" w:hAnsi="Times New Roman" w:cs="Times New Roman"/>
          <w:sz w:val="20"/>
          <w:szCs w:val="20"/>
        </w:rPr>
        <w:t xml:space="preserve"> These characteristics of the 2–5 provider pat</w:t>
      </w:r>
      <w:r>
        <w:rPr>
          <w:rFonts w:ascii="Times New Roman" w:hAnsi="Times New Roman" w:cs="Times New Roman"/>
          <w:sz w:val="20"/>
          <w:szCs w:val="20"/>
        </w:rPr>
        <w:t>ient group also do not support an increased likelihood of abuse.</w:t>
      </w:r>
    </w:p>
    <w:p w:rsidR="00000000" w:rsidRDefault="00D35EC6">
      <w:pPr>
        <w:pStyle w:val="DefaultParagraphFont"/>
        <w:widowControl w:val="0"/>
        <w:autoSpaceDE w:val="0"/>
        <w:autoSpaceDN w:val="0"/>
        <w:adjustRightInd w:val="0"/>
        <w:spacing w:after="0" w:line="18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38" w:lineRule="auto"/>
        <w:ind w:left="1440" w:right="20"/>
        <w:rPr>
          <w:rFonts w:ascii="Times New Roman" w:hAnsi="Times New Roman" w:cs="Times New Roman"/>
          <w:sz w:val="24"/>
          <w:szCs w:val="24"/>
        </w:rPr>
      </w:pPr>
      <w:r>
        <w:rPr>
          <w:rFonts w:ascii="Times New Roman" w:hAnsi="Times New Roman" w:cs="Times New Roman"/>
          <w:sz w:val="20"/>
          <w:szCs w:val="20"/>
        </w:rPr>
        <w:t xml:space="preserve">To put these findings </w:t>
      </w:r>
      <w:r>
        <w:rPr>
          <w:rFonts w:ascii="Times New Roman" w:hAnsi="Times New Roman" w:cs="Times New Roman"/>
          <w:sz w:val="20"/>
          <w:szCs w:val="20"/>
        </w:rPr>
        <w:t>into context, it is important to consider other data published on this subject. The use of medical claims data (i.e., ICD-9-CM codes denoting 304.0 [opioid-type dependence], 304.7 [combinations of opioid type with any other], 305.5 [opioid abuse], or 965.0</w:t>
      </w:r>
      <w:r>
        <w:rPr>
          <w:rFonts w:ascii="Times New Roman" w:hAnsi="Times New Roman" w:cs="Times New Roman"/>
          <w:sz w:val="20"/>
          <w:szCs w:val="20"/>
        </w:rPr>
        <w:t xml:space="preserve"> [poisoning by opiates or related narcotics]) combined with prescription drug information has been exploited to produce regression models that identify patients at risk for prescription opioid abuse or misuse. </w:t>
      </w:r>
      <w:r>
        <w:rPr>
          <w:rFonts w:ascii="Times New Roman" w:hAnsi="Times New Roman" w:cs="Times New Roman"/>
          <w:sz w:val="32"/>
          <w:szCs w:val="32"/>
          <w:vertAlign w:val="superscript"/>
        </w:rPr>
        <w:t>14</w:t>
      </w:r>
      <w:r>
        <w:rPr>
          <w:rFonts w:ascii="Times New Roman" w:hAnsi="Times New Roman" w:cs="Times New Roman"/>
          <w:sz w:val="20"/>
          <w:szCs w:val="20"/>
        </w:rPr>
        <w:t xml:space="preserve"> In this modeling, opioid prescriptions from</w:t>
      </w:r>
      <w:r>
        <w:rPr>
          <w:rFonts w:ascii="Times New Roman" w:hAnsi="Times New Roman" w:cs="Times New Roman"/>
          <w:sz w:val="20"/>
          <w:szCs w:val="20"/>
        </w:rPr>
        <w:t xml:space="preserve"> 2 or more physicians measured over a 3-month period were associated with increased risk for prescription opioid abuse. On an annualized basis, this would suggest that 8 prescribers should arouse suspicion of aberrant use, a number not too different from t</w:t>
      </w:r>
      <w:r>
        <w:rPr>
          <w:rFonts w:ascii="Times New Roman" w:hAnsi="Times New Roman" w:cs="Times New Roman"/>
          <w:sz w:val="20"/>
          <w:szCs w:val="20"/>
        </w:rPr>
        <w:t xml:space="preserve">hat suggested by Parente et al. </w:t>
      </w:r>
      <w:r>
        <w:rPr>
          <w:rFonts w:ascii="Times New Roman" w:hAnsi="Times New Roman" w:cs="Times New Roman"/>
          <w:sz w:val="32"/>
          <w:szCs w:val="32"/>
          <w:vertAlign w:val="superscript"/>
        </w:rPr>
        <w:t>3</w:t>
      </w:r>
    </w:p>
    <w:p w:rsidR="00000000" w:rsidRDefault="00D35EC6">
      <w:pPr>
        <w:pStyle w:val="DefaultParagraphFont"/>
        <w:widowControl w:val="0"/>
        <w:autoSpaceDE w:val="0"/>
        <w:autoSpaceDN w:val="0"/>
        <w:adjustRightInd w:val="0"/>
        <w:spacing w:after="0" w:line="46"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9" w:lineRule="auto"/>
        <w:ind w:left="1440"/>
        <w:rPr>
          <w:rFonts w:ascii="Times New Roman" w:hAnsi="Times New Roman" w:cs="Times New Roman"/>
          <w:sz w:val="24"/>
          <w:szCs w:val="24"/>
        </w:rPr>
      </w:pPr>
      <w:r>
        <w:rPr>
          <w:rFonts w:ascii="Times New Roman" w:hAnsi="Times New Roman" w:cs="Times New Roman"/>
          <w:sz w:val="20"/>
          <w:szCs w:val="20"/>
        </w:rPr>
        <w:t>Others have also reported merit in using the number of prescribers as a surrogate measu</w:t>
      </w:r>
      <w:r>
        <w:rPr>
          <w:rFonts w:ascii="Times New Roman" w:hAnsi="Times New Roman" w:cs="Times New Roman"/>
          <w:sz w:val="20"/>
          <w:szCs w:val="20"/>
        </w:rPr>
        <w:t>rement for defining a cut-off point of potentially harmful doctor shopping. Hall et al., when analyzing decedents from prescription overdose fatalities, defined problematic doctor shopping as having received prescriptions for controlled substances from fiv</w:t>
      </w:r>
      <w:r>
        <w:rPr>
          <w:rFonts w:ascii="Times New Roman" w:hAnsi="Times New Roman" w:cs="Times New Roman"/>
          <w:sz w:val="20"/>
          <w:szCs w:val="20"/>
        </w:rPr>
        <w:t xml:space="preserve">e or more clinicians during the year prior to death. </w:t>
      </w:r>
      <w:r>
        <w:rPr>
          <w:rFonts w:ascii="Times New Roman" w:hAnsi="Times New Roman" w:cs="Times New Roman"/>
          <w:sz w:val="32"/>
          <w:szCs w:val="32"/>
          <w:vertAlign w:val="superscript"/>
        </w:rPr>
        <w:t>15</w:t>
      </w:r>
      <w:r>
        <w:rPr>
          <w:rFonts w:ascii="Times New Roman" w:hAnsi="Times New Roman" w:cs="Times New Roman"/>
          <w:sz w:val="20"/>
          <w:szCs w:val="20"/>
        </w:rPr>
        <w:t xml:space="preserve"> A minority of decedents, roughly 1 in 5, met this definition of doctor shopping. The doctor shoppers in this study tended to come from higher-income counties, to be less likely to have been drinking w</w:t>
      </w:r>
      <w:r>
        <w:rPr>
          <w:rFonts w:ascii="Times New Roman" w:hAnsi="Times New Roman" w:cs="Times New Roman"/>
          <w:sz w:val="20"/>
          <w:szCs w:val="20"/>
        </w:rPr>
        <w:t xml:space="preserve">hen they overdosed, and to have taken their drugs orally. In this context, doctor shoppers were thought to represent that part of the drug-abusing population that is less willing to engage in diversion. </w:t>
      </w:r>
      <w:r>
        <w:rPr>
          <w:rFonts w:ascii="Times New Roman" w:hAnsi="Times New Roman" w:cs="Times New Roman"/>
          <w:sz w:val="32"/>
          <w:szCs w:val="32"/>
          <w:vertAlign w:val="superscript"/>
        </w:rPr>
        <w:t>15</w:t>
      </w:r>
      <w:r>
        <w:rPr>
          <w:rFonts w:ascii="Times New Roman" w:hAnsi="Times New Roman" w:cs="Times New Roman"/>
          <w:sz w:val="20"/>
          <w:szCs w:val="20"/>
        </w:rPr>
        <w:t xml:space="preserve"> That these investigators found a negative associat</w:t>
      </w:r>
      <w:r>
        <w:rPr>
          <w:rFonts w:ascii="Times New Roman" w:hAnsi="Times New Roman" w:cs="Times New Roman"/>
          <w:sz w:val="20"/>
          <w:szCs w:val="20"/>
        </w:rPr>
        <w:t>ion between diversion and doctor shopping highlights the need to utilize cut-offs with high specificity (low false-positive rates) so that legitimate patients are not inappropriately labeled as doctor shoppers with negative connotation.</w:t>
      </w:r>
    </w:p>
    <w:p w:rsidR="00000000" w:rsidRDefault="00D35EC6">
      <w:pPr>
        <w:pStyle w:val="DefaultParagraphFont"/>
        <w:widowControl w:val="0"/>
        <w:autoSpaceDE w:val="0"/>
        <w:autoSpaceDN w:val="0"/>
        <w:adjustRightInd w:val="0"/>
        <w:spacing w:after="0" w:line="18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35" w:lineRule="auto"/>
        <w:ind w:left="1440" w:right="20"/>
        <w:rPr>
          <w:rFonts w:ascii="Times New Roman" w:hAnsi="Times New Roman" w:cs="Times New Roman"/>
          <w:sz w:val="24"/>
          <w:szCs w:val="24"/>
        </w:rPr>
      </w:pPr>
      <w:r>
        <w:rPr>
          <w:rFonts w:ascii="Times New Roman" w:hAnsi="Times New Roman" w:cs="Times New Roman"/>
          <w:sz w:val="20"/>
          <w:szCs w:val="20"/>
        </w:rPr>
        <w:t>Another recent stu</w:t>
      </w:r>
      <w:r>
        <w:rPr>
          <w:rFonts w:ascii="Times New Roman" w:hAnsi="Times New Roman" w:cs="Times New Roman"/>
          <w:sz w:val="20"/>
          <w:szCs w:val="20"/>
        </w:rPr>
        <w:t xml:space="preserve">dy provided additional substantiation of the potential viability of a cut-off approximating 5–6 prescribers. </w:t>
      </w:r>
      <w:r>
        <w:rPr>
          <w:rFonts w:ascii="Times New Roman" w:hAnsi="Times New Roman" w:cs="Times New Roman"/>
          <w:sz w:val="32"/>
          <w:szCs w:val="32"/>
          <w:vertAlign w:val="superscript"/>
        </w:rPr>
        <w:t>16</w:t>
      </w:r>
      <w:r>
        <w:rPr>
          <w:rFonts w:ascii="Times New Roman" w:hAnsi="Times New Roman" w:cs="Times New Roman"/>
          <w:sz w:val="20"/>
          <w:szCs w:val="20"/>
        </w:rPr>
        <w:t xml:space="preserve"> Medications evaluated with a potential for abuse (e.g., diazepam, carisoprodol and codeine combinations) were compared with non-addictive drugs </w:t>
      </w:r>
      <w:r>
        <w:rPr>
          <w:rFonts w:ascii="Times New Roman" w:hAnsi="Times New Roman" w:cs="Times New Roman"/>
          <w:sz w:val="20"/>
          <w:szCs w:val="20"/>
        </w:rPr>
        <w:t>(e.g., esomeprazole, metformine and salbutamol). More than 96% of the patients used one or two physicians for prescriptions of the same drug, and less than 0.5 % used five or more physicians. However, the proportion of patients who used five or more physic</w:t>
      </w:r>
      <w:r>
        <w:rPr>
          <w:rFonts w:ascii="Times New Roman" w:hAnsi="Times New Roman" w:cs="Times New Roman"/>
          <w:sz w:val="20"/>
          <w:szCs w:val="20"/>
        </w:rPr>
        <w:t>ians for the addictive drugs was 9.5 times higher than that for a comparable proportion of patients using the non-addictive drugs.</w:t>
      </w:r>
    </w:p>
    <w:p w:rsidR="00000000" w:rsidRDefault="00D35EC6">
      <w:pPr>
        <w:pStyle w:val="DefaultParagraphFont"/>
        <w:widowControl w:val="0"/>
        <w:autoSpaceDE w:val="0"/>
        <w:autoSpaceDN w:val="0"/>
        <w:adjustRightInd w:val="0"/>
        <w:spacing w:after="0" w:line="18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81" w:lineRule="auto"/>
        <w:ind w:left="1440" w:right="80"/>
        <w:rPr>
          <w:rFonts w:ascii="Times New Roman" w:hAnsi="Times New Roman" w:cs="Times New Roman"/>
          <w:sz w:val="24"/>
          <w:szCs w:val="24"/>
        </w:rPr>
      </w:pPr>
      <w:r>
        <w:rPr>
          <w:rFonts w:ascii="Times New Roman" w:hAnsi="Times New Roman" w:cs="Times New Roman"/>
          <w:sz w:val="20"/>
          <w:szCs w:val="20"/>
        </w:rPr>
        <w:t>Law enforcement authorities acknowledge that individuals and criminal groups divert controlled prescription medications, esp</w:t>
      </w:r>
      <w:r>
        <w:rPr>
          <w:rFonts w:ascii="Times New Roman" w:hAnsi="Times New Roman" w:cs="Times New Roman"/>
          <w:sz w:val="20"/>
          <w:szCs w:val="20"/>
        </w:rPr>
        <w:t>ousing the belief that prescription fraud is driven by</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1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6" w:name="page6"/>
      <w:bookmarkEnd w:id="6"/>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36pt;width:18pt;height:6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dYfAIAAPs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jzG&#10;SJEOSvQRkkbUVnI0DenpjavA69E82BCgM/eafnFI6WULXvzGWt23nDAglQX/5MWBYDg4ijb9O80A&#10;ney8jpk6NLYLgJADdIgFeToXhB88orCY57NJCmWjsDWbwB+McAWpTqeNdf4N1x0Kkxpb4B7Ryf7e&#10;+cH15BLZaynYWkgZDbvdLKVFewLiuB0vp6u7I7q7dJMqOCsdjg2IwwqQhDvCXqAbi/1cZnmR3ubl&#10;aD2ZTUfFuhiPymk6G6VZeVtO0qIsVuvvgWBWVK1gjKt7ofhJeFnxd4U9tsAgmSg91Ne4HOfjGPsL&#10;9u4yyDT+/hRkJzz0oRQdJPrsRKpQ2DvFIGxSeSLkME9e0o8FgRycvjErUQah8oOCNpo9gQqshiJB&#10;QeHFgEmr7TeMeui+GruvO2I5RvKtAiWVWVGEdo1GMZ7mYNjLnc3lDlEUoGrsMRqmSz+0+M5YsW3h&#10;piwmRukbUF8jojCCMgdWR81Ch8UIjq9BaOFLO3r9fLMWP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AQVKdY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6</w:t>
      </w:r>
    </w:p>
    <w:p w:rsidR="00000000" w:rsidRDefault="00D35EC6">
      <w:pPr>
        <w:pStyle w:val="DefaultParagraphFont"/>
        <w:widowControl w:val="0"/>
        <w:autoSpaceDE w:val="0"/>
        <w:autoSpaceDN w:val="0"/>
        <w:adjustRightInd w:val="0"/>
        <w:spacing w:after="0" w:line="24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05" w:lineRule="auto"/>
        <w:ind w:left="1440"/>
        <w:rPr>
          <w:rFonts w:ascii="Times New Roman" w:hAnsi="Times New Roman" w:cs="Times New Roman"/>
          <w:sz w:val="24"/>
          <w:szCs w:val="24"/>
        </w:rPr>
      </w:pPr>
      <w:r>
        <w:rPr>
          <w:rFonts w:ascii="Times New Roman" w:hAnsi="Times New Roman" w:cs="Times New Roman"/>
          <w:sz w:val="20"/>
          <w:szCs w:val="20"/>
        </w:rPr>
        <w:t xml:space="preserve">the increasing abuse and addiction to prescription drugs. </w:t>
      </w:r>
      <w:r>
        <w:rPr>
          <w:rFonts w:ascii="Times New Roman" w:hAnsi="Times New Roman" w:cs="Times New Roman"/>
          <w:sz w:val="32"/>
          <w:szCs w:val="32"/>
          <w:vertAlign w:val="superscript"/>
        </w:rPr>
        <w:t>17</w:t>
      </w:r>
      <w:r>
        <w:rPr>
          <w:rFonts w:ascii="Times New Roman" w:hAnsi="Times New Roman" w:cs="Times New Roman"/>
          <w:sz w:val="20"/>
          <w:szCs w:val="20"/>
        </w:rPr>
        <w:t xml:space="preserve"> Insurance companies are responding and developing computer programs to detect fraud and corruption by patients who are doctor shoppers (i.e., those who visit several physicians simultaneously for prescriptions). </w:t>
      </w:r>
      <w:r>
        <w:rPr>
          <w:rFonts w:ascii="Times New Roman" w:hAnsi="Times New Roman" w:cs="Times New Roman"/>
          <w:sz w:val="32"/>
          <w:szCs w:val="32"/>
          <w:vertAlign w:val="superscript"/>
        </w:rPr>
        <w:t>18</w:t>
      </w:r>
      <w:r>
        <w:rPr>
          <w:rFonts w:ascii="Times New Roman" w:hAnsi="Times New Roman" w:cs="Times New Roman"/>
          <w:sz w:val="20"/>
          <w:szCs w:val="20"/>
        </w:rPr>
        <w:t xml:space="preserve"> One large insurer reported that nearly h</w:t>
      </w:r>
      <w:r>
        <w:rPr>
          <w:rFonts w:ascii="Times New Roman" w:hAnsi="Times New Roman" w:cs="Times New Roman"/>
          <w:sz w:val="20"/>
          <w:szCs w:val="20"/>
        </w:rPr>
        <w:t xml:space="preserve">alf of its 1,065 member fraud cases in 2006 (the latest year for which data are available) involved prescription benefits, and most were related to doctor shopping. </w:t>
      </w:r>
      <w:r>
        <w:rPr>
          <w:rFonts w:ascii="Times New Roman" w:hAnsi="Times New Roman" w:cs="Times New Roman"/>
          <w:sz w:val="32"/>
          <w:szCs w:val="32"/>
          <w:vertAlign w:val="superscript"/>
        </w:rPr>
        <w:t>19</w:t>
      </w:r>
      <w:r>
        <w:rPr>
          <w:rFonts w:ascii="Times New Roman" w:hAnsi="Times New Roman" w:cs="Times New Roman"/>
          <w:sz w:val="20"/>
          <w:szCs w:val="20"/>
        </w:rPr>
        <w:t xml:space="preserve"> Given that the new health care reform law enacted advocates deterrence of fraud, </w:t>
      </w:r>
      <w:r>
        <w:rPr>
          <w:rFonts w:ascii="Times New Roman" w:hAnsi="Times New Roman" w:cs="Times New Roman"/>
          <w:sz w:val="32"/>
          <w:szCs w:val="32"/>
          <w:vertAlign w:val="superscript"/>
        </w:rPr>
        <w:t>20</w:t>
      </w:r>
      <w:r>
        <w:rPr>
          <w:rFonts w:ascii="Times New Roman" w:hAnsi="Times New Roman" w:cs="Times New Roman"/>
          <w:sz w:val="20"/>
          <w:szCs w:val="20"/>
        </w:rPr>
        <w:t xml:space="preserve"> it w</w:t>
      </w:r>
      <w:r>
        <w:rPr>
          <w:rFonts w:ascii="Times New Roman" w:hAnsi="Times New Roman" w:cs="Times New Roman"/>
          <w:sz w:val="20"/>
          <w:szCs w:val="20"/>
        </w:rPr>
        <w:t>ould be appropriate to monitor cases of potentially deceitful activity using PMPs. As such, anomaly detection and pattern recognition may become a quid pro quo if we are to be allowed to continue to help patients in pain in a consequential manner.</w:t>
      </w:r>
    </w:p>
    <w:p w:rsidR="00000000" w:rsidRDefault="00D35EC6">
      <w:pPr>
        <w:pStyle w:val="DefaultParagraphFont"/>
        <w:widowControl w:val="0"/>
        <w:autoSpaceDE w:val="0"/>
        <w:autoSpaceDN w:val="0"/>
        <w:adjustRightInd w:val="0"/>
        <w:spacing w:after="0" w:line="19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34" w:lineRule="auto"/>
        <w:ind w:left="1440" w:right="20"/>
        <w:rPr>
          <w:rFonts w:ascii="Times New Roman" w:hAnsi="Times New Roman" w:cs="Times New Roman"/>
          <w:sz w:val="24"/>
          <w:szCs w:val="24"/>
        </w:rPr>
      </w:pPr>
      <w:r>
        <w:rPr>
          <w:rFonts w:ascii="Times New Roman" w:hAnsi="Times New Roman" w:cs="Times New Roman"/>
          <w:sz w:val="20"/>
          <w:szCs w:val="20"/>
        </w:rPr>
        <w:t>In 2007</w:t>
      </w:r>
      <w:r>
        <w:rPr>
          <w:rFonts w:ascii="Times New Roman" w:hAnsi="Times New Roman" w:cs="Times New Roman"/>
          <w:sz w:val="20"/>
          <w:szCs w:val="20"/>
        </w:rPr>
        <w:t xml:space="preserve">, administrators of operational PMPs generated more than 56,000 reports providing prescribers or dispensers with information on patients who may have been abusing prescription drugs and/or doctor shopping during that year. </w:t>
      </w:r>
      <w:r>
        <w:rPr>
          <w:rFonts w:ascii="Times New Roman" w:hAnsi="Times New Roman" w:cs="Times New Roman"/>
          <w:sz w:val="32"/>
          <w:szCs w:val="32"/>
          <w:vertAlign w:val="superscript"/>
        </w:rPr>
        <w:t>2</w:t>
      </w:r>
      <w:r>
        <w:rPr>
          <w:rFonts w:ascii="Times New Roman" w:hAnsi="Times New Roman" w:cs="Times New Roman"/>
          <w:sz w:val="20"/>
          <w:szCs w:val="20"/>
        </w:rPr>
        <w:t xml:space="preserve"> Policy-makers and practitioners</w:t>
      </w:r>
      <w:r>
        <w:rPr>
          <w:rFonts w:ascii="Times New Roman" w:hAnsi="Times New Roman" w:cs="Times New Roman"/>
          <w:sz w:val="20"/>
          <w:szCs w:val="20"/>
        </w:rPr>
        <w:t xml:space="preserve"> might benefit from understanding that some finite degree of using multiple prescribers might be justified and acceptable. Although we have not presented evidence suggesting a level at which suspicion of aberrant behavior might occur, epidemiological explo</w:t>
      </w:r>
      <w:r>
        <w:rPr>
          <w:rFonts w:ascii="Times New Roman" w:hAnsi="Times New Roman" w:cs="Times New Roman"/>
          <w:sz w:val="20"/>
          <w:szCs w:val="20"/>
        </w:rPr>
        <w:t>ration via interviews with patients engaged in this activity should be the next step. As this is not feasible using a secondary data analysis containing de-identified PMP data, other types of methodologies will have to be devised. Similar studies have been</w:t>
      </w:r>
      <w:r>
        <w:rPr>
          <w:rFonts w:ascii="Times New Roman" w:hAnsi="Times New Roman" w:cs="Times New Roman"/>
          <w:sz w:val="20"/>
          <w:szCs w:val="20"/>
        </w:rPr>
        <w:t xml:space="preserve"> performed involving the unlawful channeling of regulated pharmaceuticals from legal sources to the illicit marketplace by interviewing club drug users, street-based illicit drug users, methadone maintenance patients, and HIV-positive individuals who abuse</w:t>
      </w:r>
      <w:r>
        <w:rPr>
          <w:rFonts w:ascii="Times New Roman" w:hAnsi="Times New Roman" w:cs="Times New Roman"/>
          <w:sz w:val="20"/>
          <w:szCs w:val="20"/>
        </w:rPr>
        <w:t xml:space="preserve"> and/or divert drugs. </w:t>
      </w:r>
      <w:r>
        <w:rPr>
          <w:rFonts w:ascii="Times New Roman" w:hAnsi="Times New Roman" w:cs="Times New Roman"/>
          <w:sz w:val="32"/>
          <w:szCs w:val="32"/>
          <w:vertAlign w:val="superscript"/>
        </w:rPr>
        <w:t>21</w:t>
      </w:r>
      <w:r>
        <w:rPr>
          <w:rFonts w:ascii="Times New Roman" w:hAnsi="Times New Roman" w:cs="Times New Roman"/>
          <w:sz w:val="20"/>
          <w:szCs w:val="20"/>
        </w:rPr>
        <w:t xml:space="preserve"> The same can be done with individuals involved in obtaining prescriptions from multiple practitioners. Presently, our data does not support targeting patients with 2–5 prescribers in a one-year period. Further studies that include </w:t>
      </w:r>
      <w:r>
        <w:rPr>
          <w:rFonts w:ascii="Times New Roman" w:hAnsi="Times New Roman" w:cs="Times New Roman"/>
          <w:sz w:val="20"/>
          <w:szCs w:val="20"/>
        </w:rPr>
        <w:t>interview data will be necessary to determine an appropriate cut-off point.</w:t>
      </w:r>
    </w:p>
    <w:p w:rsidR="00000000" w:rsidRDefault="00D35EC6">
      <w:pPr>
        <w:pStyle w:val="DefaultParagraphFont"/>
        <w:widowControl w:val="0"/>
        <w:autoSpaceDE w:val="0"/>
        <w:autoSpaceDN w:val="0"/>
        <w:adjustRightInd w:val="0"/>
        <w:spacing w:after="0" w:line="183"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25" w:lineRule="auto"/>
        <w:ind w:left="1440"/>
        <w:rPr>
          <w:rFonts w:ascii="Times New Roman" w:hAnsi="Times New Roman" w:cs="Times New Roman"/>
          <w:sz w:val="24"/>
          <w:szCs w:val="24"/>
        </w:rPr>
      </w:pPr>
      <w:r>
        <w:rPr>
          <w:rFonts w:ascii="Times New Roman" w:hAnsi="Times New Roman" w:cs="Times New Roman"/>
          <w:sz w:val="20"/>
          <w:szCs w:val="20"/>
        </w:rPr>
        <w:t>Although we validated the consensus of the expert panel specifying that 5 or less prescribers in a one-year period is not a risk factor of potential controlled substance misuse or</w:t>
      </w:r>
      <w:r>
        <w:rPr>
          <w:rFonts w:ascii="Times New Roman" w:hAnsi="Times New Roman" w:cs="Times New Roman"/>
          <w:sz w:val="20"/>
          <w:szCs w:val="20"/>
        </w:rPr>
        <w:t xml:space="preserve"> mismanagement, </w:t>
      </w:r>
      <w:r>
        <w:rPr>
          <w:rFonts w:ascii="Times New Roman" w:hAnsi="Times New Roman" w:cs="Times New Roman"/>
          <w:sz w:val="32"/>
          <w:szCs w:val="32"/>
          <w:vertAlign w:val="superscript"/>
        </w:rPr>
        <w:t>3</w:t>
      </w:r>
      <w:r>
        <w:rPr>
          <w:rFonts w:ascii="Times New Roman" w:hAnsi="Times New Roman" w:cs="Times New Roman"/>
          <w:sz w:val="20"/>
          <w:szCs w:val="20"/>
        </w:rPr>
        <w:t xml:space="preserve"> we did not have the requisite data to define a threshold to trigger PMP notification of providers and dispensers concerning potential misconduct. Another limitation of the present study is the fact that this was a secondary data analysis;</w:t>
      </w:r>
      <w:r>
        <w:rPr>
          <w:rFonts w:ascii="Times New Roman" w:hAnsi="Times New Roman" w:cs="Times New Roman"/>
          <w:sz w:val="20"/>
          <w:szCs w:val="20"/>
        </w:rPr>
        <w:t xml:space="preserve"> we were not able to supplement the CURES database with additional potential covariates that could help to further distinguish users of multiple prescribers from patients with only one prescriber, such as a diagnosis of substance abuse or other psychiatric</w:t>
      </w:r>
      <w:r>
        <w:rPr>
          <w:rFonts w:ascii="Times New Roman" w:hAnsi="Times New Roman" w:cs="Times New Roman"/>
          <w:sz w:val="20"/>
          <w:szCs w:val="20"/>
        </w:rPr>
        <w:t xml:space="preserve"> comorbidities. As these latter variables are commonly associated with prescription opioid abuse, </w:t>
      </w:r>
      <w:r>
        <w:rPr>
          <w:rFonts w:ascii="Times New Roman" w:hAnsi="Times New Roman" w:cs="Times New Roman"/>
          <w:sz w:val="32"/>
          <w:szCs w:val="32"/>
          <w:vertAlign w:val="superscript"/>
        </w:rPr>
        <w:t>22–26</w:t>
      </w:r>
      <w:r>
        <w:rPr>
          <w:rFonts w:ascii="Times New Roman" w:hAnsi="Times New Roman" w:cs="Times New Roman"/>
          <w:sz w:val="20"/>
          <w:szCs w:val="20"/>
        </w:rPr>
        <w:t xml:space="preserve"> determining their correlation with the use of multiple prescribers would be of value.</w:t>
      </w:r>
    </w:p>
    <w:p w:rsidR="00000000" w:rsidRDefault="00D35EC6">
      <w:pPr>
        <w:pStyle w:val="DefaultParagraphFont"/>
        <w:widowControl w:val="0"/>
        <w:autoSpaceDE w:val="0"/>
        <w:autoSpaceDN w:val="0"/>
        <w:adjustRightInd w:val="0"/>
        <w:spacing w:after="0" w:line="185"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41" w:lineRule="auto"/>
        <w:ind w:left="1440"/>
        <w:rPr>
          <w:rFonts w:ascii="Times New Roman" w:hAnsi="Times New Roman" w:cs="Times New Roman"/>
          <w:sz w:val="24"/>
          <w:szCs w:val="24"/>
        </w:rPr>
      </w:pPr>
      <w:r>
        <w:rPr>
          <w:rFonts w:ascii="Times New Roman" w:hAnsi="Times New Roman" w:cs="Times New Roman"/>
          <w:sz w:val="20"/>
          <w:szCs w:val="20"/>
        </w:rPr>
        <w:t>Doctor shopping (i.e., the concurrent use of several physicians b</w:t>
      </w:r>
      <w:r>
        <w:rPr>
          <w:rFonts w:ascii="Times New Roman" w:hAnsi="Times New Roman" w:cs="Times New Roman"/>
          <w:sz w:val="20"/>
          <w:szCs w:val="20"/>
        </w:rPr>
        <w:t xml:space="preserve">y a patient) is one of the most frequent ways of securing medications in order to divert prescription drugs. </w:t>
      </w:r>
      <w:r>
        <w:rPr>
          <w:rFonts w:ascii="Times New Roman" w:hAnsi="Times New Roman" w:cs="Times New Roman"/>
          <w:sz w:val="32"/>
          <w:szCs w:val="32"/>
          <w:vertAlign w:val="superscript"/>
        </w:rPr>
        <w:t>27</w:t>
      </w:r>
      <w:r>
        <w:rPr>
          <w:rFonts w:ascii="Times New Roman" w:hAnsi="Times New Roman" w:cs="Times New Roman"/>
          <w:sz w:val="20"/>
          <w:szCs w:val="20"/>
        </w:rPr>
        <w:t xml:space="preserve"> Clearly, the use of multiple providers for this purpose is abusive. The partitioning of the pejorative term, doctor shopping, from the expressio</w:t>
      </w:r>
      <w:r>
        <w:rPr>
          <w:rFonts w:ascii="Times New Roman" w:hAnsi="Times New Roman" w:cs="Times New Roman"/>
          <w:sz w:val="20"/>
          <w:szCs w:val="20"/>
        </w:rPr>
        <w:t>n utilized to describe the use of a permissible number of providers is a worthy goal. Our study attempted to corroborate that patients who used 2–5 providers to obtain opioids did not differ consequentially in terms of their demographics and prescription u</w:t>
      </w:r>
      <w:r>
        <w:rPr>
          <w:rFonts w:ascii="Times New Roman" w:hAnsi="Times New Roman" w:cs="Times New Roman"/>
          <w:sz w:val="20"/>
          <w:szCs w:val="20"/>
        </w:rPr>
        <w:t>tilization from patients who used only one provider during a one-year period. This is consistent with the proposition that many patients who use up to five prescribers in a one-year period might have justifiable reasons for doing so. Accordingly, PMP offic</w:t>
      </w:r>
      <w:r>
        <w:rPr>
          <w:rFonts w:ascii="Times New Roman" w:hAnsi="Times New Roman" w:cs="Times New Roman"/>
          <w:sz w:val="20"/>
          <w:szCs w:val="20"/>
        </w:rPr>
        <w:t xml:space="preserve">ials might consider adopting a threshold level above five providers in a one-year period when reporting potentially abusive patient activities to physicians. Likewise, providers should interpret reports from state PMPs with caution to constrain the number </w:t>
      </w:r>
      <w:r>
        <w:rPr>
          <w:rFonts w:ascii="Times New Roman" w:hAnsi="Times New Roman" w:cs="Times New Roman"/>
          <w:sz w:val="20"/>
          <w:szCs w:val="20"/>
        </w:rPr>
        <w:t>of false accusations levied against patients with justifiable reasons for utilizing 2–5 providers to obtain opioids in a one-year period. Hopefully, the guidance provided herein for</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77"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7" w:name="page7"/>
      <w:bookmarkEnd w:id="7"/>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pt;margin-top:36pt;width:18pt;height:68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hqfAIAAPs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lxg&#10;pEgHJfoISSNqKzmahfT0xlXg9WgebAjQmXtNvzik9LIFL35jre5bThiQyoJ/8uJAMBwcRZv+nWaA&#10;TnZex0wdGtsFQMgBOsSCPJ0Lwg8eUVjM89kkhbJR2JpN4A9GuIJUp9PGOv+G6w6FSY0tcI/oZH/v&#10;/OB6constRRsLaSMht1ultKiPQFx3I6X09XdEd1dukkVnJUOxwbEYQVIwh1hL9CNxX4us7xIb/Ny&#10;tJ7MpqNiXYxH5TSdjdKsvC0naVEWq/X3QDArqlYwxtW9UPwkvKz4u8IeW2CQTJQe6mtcjvNxjP0F&#10;e3cZZBp/fwqyEx76UIoOEn12IlUo7J1iEDapPBFymCcv6ceCQA5O35iVKINQ+UFBG82eQAVWQ5Gg&#10;oPBiwKTV9htGPXRfjd3XHbEcI/lWgZLKrChCu0ajGE9zMOzlzuZyhygKUDX2GA3TpR9afGes2LZw&#10;UxYTo/QNqK8RURhBmQOro2ahw2IEx9cgtPClHb1+vlmLH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C98vhq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7</w:t>
      </w:r>
    </w:p>
    <w:p w:rsidR="00000000" w:rsidRDefault="00D35EC6">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81" w:lineRule="auto"/>
        <w:ind w:left="1440"/>
        <w:rPr>
          <w:rFonts w:ascii="Times New Roman" w:hAnsi="Times New Roman" w:cs="Times New Roman"/>
          <w:sz w:val="24"/>
          <w:szCs w:val="24"/>
        </w:rPr>
      </w:pPr>
      <w:r>
        <w:rPr>
          <w:rFonts w:ascii="Times New Roman" w:hAnsi="Times New Roman" w:cs="Times New Roman"/>
          <w:sz w:val="20"/>
          <w:szCs w:val="20"/>
        </w:rPr>
        <w:t>regulatory agencies and practitioners will improve the care of chronic pain patients while not adding to the burden of the nonmedical use of opioids through diversion.</w:t>
      </w:r>
    </w:p>
    <w:p w:rsidR="00000000" w:rsidRDefault="00D35EC6">
      <w:pPr>
        <w:pStyle w:val="DefaultParagraphFont"/>
        <w:widowControl w:val="0"/>
        <w:autoSpaceDE w:val="0"/>
        <w:autoSpaceDN w:val="0"/>
        <w:adjustRightInd w:val="0"/>
        <w:spacing w:after="0" w:line="223"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Acknowledgments</w:t>
      </w:r>
    </w:p>
    <w:p w:rsidR="00000000" w:rsidRDefault="00D35EC6">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54" w:lineRule="auto"/>
        <w:ind w:left="1440" w:right="160"/>
        <w:rPr>
          <w:rFonts w:ascii="Times New Roman" w:hAnsi="Times New Roman" w:cs="Times New Roman"/>
          <w:sz w:val="24"/>
          <w:szCs w:val="24"/>
        </w:rPr>
      </w:pPr>
      <w:r>
        <w:rPr>
          <w:rFonts w:ascii="Times New Roman" w:hAnsi="Times New Roman" w:cs="Times New Roman"/>
          <w:sz w:val="16"/>
          <w:szCs w:val="16"/>
        </w:rPr>
        <w:t xml:space="preserve">We gratefully acknowledge funding for this project by the Robert Wood </w:t>
      </w:r>
      <w:r>
        <w:rPr>
          <w:rFonts w:ascii="Times New Roman" w:hAnsi="Times New Roman" w:cs="Times New Roman"/>
          <w:sz w:val="16"/>
          <w:szCs w:val="16"/>
        </w:rPr>
        <w:t xml:space="preserve">Johnson Foundation. We also acknowledge support from the Regents of the University of California, on behalf of its Davis Campus. Statistical and database architect support was derived through Grant Number UL1 RR024146 from the National Center for Research </w:t>
      </w:r>
      <w:r>
        <w:rPr>
          <w:rFonts w:ascii="Times New Roman" w:hAnsi="Times New Roman" w:cs="Times New Roman"/>
          <w:sz w:val="16"/>
          <w:szCs w:val="16"/>
        </w:rPr>
        <w:t>Resources (NCRR), a component of the National Institutes of Health (NIH) and NIH Roadmap for Medical Research, and its contents are solely the responsibility of the authors and do not necessarily represent the official view of NCRR or NIH.</w:t>
      </w:r>
    </w:p>
    <w:p w:rsidR="00000000" w:rsidRDefault="00D35EC6">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REFERENCES</w:t>
      </w:r>
    </w:p>
    <w:p w:rsidR="00000000" w:rsidRDefault="00D35EC6">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0" w:lineRule="auto"/>
        <w:ind w:left="1640" w:right="300" w:hanging="200"/>
        <w:rPr>
          <w:rFonts w:ascii="Times New Roman" w:hAnsi="Times New Roman" w:cs="Times New Roman"/>
          <w:sz w:val="18"/>
          <w:szCs w:val="18"/>
        </w:rPr>
      </w:pPr>
      <w:r>
        <w:rPr>
          <w:rFonts w:ascii="Times New Roman" w:hAnsi="Times New Roman" w:cs="Times New Roman"/>
          <w:sz w:val="18"/>
          <w:szCs w:val="18"/>
        </w:rPr>
        <w:t xml:space="preserve">Simoni-Wastila L, Tompkins C. Balancing diversion control and medical necessity: the case of prescription drugs with abuse potential. Subst Use Misuse. 2001 Jul–Aug; 36(9–10):1275–1296. [PubMed: 11592473]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65" w:lineRule="auto"/>
        <w:ind w:left="1640" w:right="400" w:hanging="200"/>
        <w:rPr>
          <w:rFonts w:ascii="Times New Roman" w:hAnsi="Times New Roman" w:cs="Times New Roman"/>
          <w:sz w:val="18"/>
          <w:szCs w:val="18"/>
        </w:rPr>
      </w:pPr>
      <w:r>
        <w:rPr>
          <w:rFonts w:ascii="Times New Roman" w:hAnsi="Times New Roman" w:cs="Times New Roman"/>
          <w:sz w:val="18"/>
          <w:szCs w:val="18"/>
        </w:rPr>
        <w:t>Broderick, EB. Federal Register. Vol. Vol Volume 74. Washington, DC: Substance Abuse and Mental Health Services Administration, HHS; 2009. Request for Comment on Minimum Requirements for Criteria in Grant Applications Under the National All Schedules Presc</w:t>
      </w:r>
      <w:r>
        <w:rPr>
          <w:rFonts w:ascii="Times New Roman" w:hAnsi="Times New Roman" w:cs="Times New Roman"/>
          <w:sz w:val="18"/>
          <w:szCs w:val="18"/>
        </w:rPr>
        <w:t xml:space="preserve">ription Electronic Reporting Act of 2005 (NASPER). </w:t>
      </w:r>
    </w:p>
    <w:p w:rsidR="00000000" w:rsidRDefault="00D35EC6">
      <w:pPr>
        <w:pStyle w:val="DefaultParagraphFont"/>
        <w:widowControl w:val="0"/>
        <w:autoSpaceDE w:val="0"/>
        <w:autoSpaceDN w:val="0"/>
        <w:adjustRightInd w:val="0"/>
        <w:spacing w:after="0" w:line="5"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0" w:lineRule="auto"/>
        <w:ind w:left="1640" w:right="260" w:hanging="200"/>
        <w:rPr>
          <w:rFonts w:ascii="Times New Roman" w:hAnsi="Times New Roman" w:cs="Times New Roman"/>
          <w:sz w:val="18"/>
          <w:szCs w:val="18"/>
        </w:rPr>
      </w:pPr>
      <w:r>
        <w:rPr>
          <w:rFonts w:ascii="Times New Roman" w:hAnsi="Times New Roman" w:cs="Times New Roman"/>
          <w:sz w:val="18"/>
          <w:szCs w:val="18"/>
        </w:rPr>
        <w:t>Parente ST, Kim SS, Finch MD, et al. Identifying controlled substance patterns of utilization requiring evaluation using administrative claims data. Am J Manag Care. 2004 Nov; 10(11 Pt 1): 783–790. [</w:t>
      </w:r>
      <w:r>
        <w:rPr>
          <w:rFonts w:ascii="Times New Roman" w:hAnsi="Times New Roman" w:cs="Times New Roman"/>
          <w:sz w:val="18"/>
          <w:szCs w:val="18"/>
        </w:rPr>
        <w:t xml:space="preserve">PubMed: 15623267]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8" w:lineRule="auto"/>
        <w:ind w:left="1640" w:right="40" w:hanging="200"/>
        <w:jc w:val="both"/>
        <w:rPr>
          <w:rFonts w:ascii="Times New Roman" w:hAnsi="Times New Roman" w:cs="Times New Roman"/>
          <w:sz w:val="18"/>
          <w:szCs w:val="18"/>
        </w:rPr>
      </w:pPr>
      <w:r>
        <w:rPr>
          <w:rFonts w:ascii="Times New Roman" w:hAnsi="Times New Roman" w:cs="Times New Roman"/>
          <w:sz w:val="18"/>
          <w:szCs w:val="18"/>
        </w:rPr>
        <w:t xml:space="preserve">Katz NP, Adams EH, Benneyan JC, et al. Foundations of opioid risk management. Clin J Pain. 2007 Feb; 23(2):103–118. [PubMed: 17237659] </w:t>
      </w: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0" w:lineRule="auto"/>
        <w:ind w:left="1640" w:right="140" w:hanging="200"/>
        <w:rPr>
          <w:rFonts w:ascii="Times New Roman" w:hAnsi="Times New Roman" w:cs="Times New Roman"/>
          <w:sz w:val="18"/>
          <w:szCs w:val="18"/>
        </w:rPr>
      </w:pPr>
      <w:r>
        <w:rPr>
          <w:rFonts w:ascii="Times New Roman" w:hAnsi="Times New Roman" w:cs="Times New Roman"/>
          <w:sz w:val="18"/>
          <w:szCs w:val="18"/>
        </w:rPr>
        <w:t>Katz N, Panas L, Kim M, et al. Usefulness of prescription monitoring programs for surveillan</w:t>
      </w:r>
      <w:r>
        <w:rPr>
          <w:rFonts w:ascii="Times New Roman" w:hAnsi="Times New Roman" w:cs="Times New Roman"/>
          <w:sz w:val="18"/>
          <w:szCs w:val="18"/>
        </w:rPr>
        <w:t xml:space="preserve">ce-- analysis of Schedule II opioid prescription data in Massachusetts, 1996–2006. Pharmacoepidemiol Drug Saf. 2009 Feb; 19(2):115–123. [PubMed: 20014166]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8" w:lineRule="auto"/>
        <w:ind w:left="1640" w:right="680" w:hanging="200"/>
        <w:jc w:val="both"/>
        <w:rPr>
          <w:rFonts w:ascii="Times New Roman" w:hAnsi="Times New Roman" w:cs="Times New Roman"/>
          <w:sz w:val="18"/>
          <w:szCs w:val="18"/>
        </w:rPr>
      </w:pPr>
      <w:r>
        <w:rPr>
          <w:rFonts w:ascii="Times New Roman" w:hAnsi="Times New Roman" w:cs="Times New Roman"/>
          <w:sz w:val="18"/>
          <w:szCs w:val="18"/>
        </w:rPr>
        <w:t>Newcombe, HB. Handbook of Record Linkage: Methods for Health and Statistical Studies, Administ</w:t>
      </w:r>
      <w:r>
        <w:rPr>
          <w:rFonts w:ascii="Times New Roman" w:hAnsi="Times New Roman" w:cs="Times New Roman"/>
          <w:sz w:val="18"/>
          <w:szCs w:val="18"/>
        </w:rPr>
        <w:t xml:space="preserve">ration, and Business. Oxford, U.K: Oxford University Press; 1988. </w:t>
      </w: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8" w:lineRule="auto"/>
        <w:ind w:left="1640" w:right="460" w:hanging="200"/>
        <w:jc w:val="both"/>
        <w:rPr>
          <w:rFonts w:ascii="Times New Roman" w:hAnsi="Times New Roman" w:cs="Times New Roman"/>
          <w:sz w:val="18"/>
          <w:szCs w:val="18"/>
        </w:rPr>
      </w:pPr>
      <w:r>
        <w:rPr>
          <w:rFonts w:ascii="Times New Roman" w:hAnsi="Times New Roman" w:cs="Times New Roman"/>
          <w:sz w:val="18"/>
          <w:szCs w:val="18"/>
        </w:rPr>
        <w:t xml:space="preserve">Wilsey BL, Fishman SM, Gilson AM, et al. Profiling multiple provider prescribing of opioids, benzodiazepines, stimulants, and anorectics. Drug Alcohol Depend. 2010 Jun 19. </w:t>
      </w: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70" w:lineRule="auto"/>
        <w:ind w:left="1640" w:right="180" w:hanging="200"/>
        <w:rPr>
          <w:rFonts w:ascii="Times New Roman" w:hAnsi="Times New Roman" w:cs="Times New Roman"/>
          <w:sz w:val="18"/>
          <w:szCs w:val="18"/>
        </w:rPr>
      </w:pPr>
      <w:r>
        <w:rPr>
          <w:rFonts w:ascii="Times New Roman" w:hAnsi="Times New Roman" w:cs="Times New Roman"/>
          <w:sz w:val="18"/>
          <w:szCs w:val="18"/>
        </w:rPr>
        <w:t>McCabe S</w:t>
      </w:r>
      <w:r>
        <w:rPr>
          <w:rFonts w:ascii="Times New Roman" w:hAnsi="Times New Roman" w:cs="Times New Roman"/>
          <w:sz w:val="18"/>
          <w:szCs w:val="18"/>
        </w:rPr>
        <w:t xml:space="preserve">E, Cranford JA, West BT. Trends in prescription drug abuse and dependence, co-occurrence with other substance use disorders, and treatment utilization: results from two national surveys. Addict Behav. 2008 Oct; 33(10):1297–1305. [PubMed: 18632211]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620"/>
        </w:tabs>
        <w:overflowPunct w:val="0"/>
        <w:autoSpaceDE w:val="0"/>
        <w:autoSpaceDN w:val="0"/>
        <w:adjustRightInd w:val="0"/>
        <w:spacing w:after="0" w:line="286" w:lineRule="auto"/>
        <w:ind w:left="1640" w:right="20" w:hanging="200"/>
        <w:rPr>
          <w:rFonts w:ascii="Times New Roman" w:hAnsi="Times New Roman" w:cs="Times New Roman"/>
          <w:sz w:val="17"/>
          <w:szCs w:val="17"/>
        </w:rPr>
      </w:pPr>
      <w:r>
        <w:rPr>
          <w:rFonts w:ascii="Times New Roman" w:hAnsi="Times New Roman" w:cs="Times New Roman"/>
          <w:sz w:val="17"/>
          <w:szCs w:val="17"/>
        </w:rPr>
        <w:t>Su</w:t>
      </w:r>
      <w:r>
        <w:rPr>
          <w:rFonts w:ascii="Times New Roman" w:hAnsi="Times New Roman" w:cs="Times New Roman"/>
          <w:sz w:val="17"/>
          <w:szCs w:val="17"/>
        </w:rPr>
        <w:t>llivan MD, Edlund MJ, Fan MY, Devries A, Brennan Braden J, Martin BC. Risks for possible and probable opioid misuse among recipients of chronic opioid therapy in commercial and medicaid insurance plans: The TROUP Study. Pain. 2010 Aug; 150(2):332–339. [Pub</w:t>
      </w:r>
      <w:r>
        <w:rPr>
          <w:rFonts w:ascii="Times New Roman" w:hAnsi="Times New Roman" w:cs="Times New Roman"/>
          <w:sz w:val="17"/>
          <w:szCs w:val="17"/>
        </w:rPr>
        <w:t xml:space="preserve">Med: 20554392]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7"/>
          <w:szCs w:val="17"/>
        </w:rPr>
      </w:pPr>
    </w:p>
    <w:p w:rsidR="00000000" w:rsidRDefault="00D35EC6">
      <w:pPr>
        <w:pStyle w:val="DefaultParagraphFont"/>
        <w:widowControl w:val="0"/>
        <w:numPr>
          <w:ilvl w:val="0"/>
          <w:numId w:val="1"/>
        </w:numPr>
        <w:tabs>
          <w:tab w:val="clear" w:pos="720"/>
          <w:tab w:val="num" w:pos="1720"/>
        </w:tabs>
        <w:overflowPunct w:val="0"/>
        <w:autoSpaceDE w:val="0"/>
        <w:autoSpaceDN w:val="0"/>
        <w:adjustRightInd w:val="0"/>
        <w:spacing w:after="0" w:line="240" w:lineRule="auto"/>
        <w:ind w:left="1720" w:hanging="280"/>
        <w:jc w:val="both"/>
        <w:rPr>
          <w:rFonts w:ascii="Times New Roman" w:hAnsi="Times New Roman" w:cs="Times New Roman"/>
          <w:sz w:val="18"/>
          <w:szCs w:val="18"/>
        </w:rPr>
      </w:pPr>
      <w:r>
        <w:rPr>
          <w:rFonts w:ascii="Times New Roman" w:hAnsi="Times New Roman" w:cs="Times New Roman"/>
          <w:sz w:val="18"/>
          <w:szCs w:val="18"/>
        </w:rPr>
        <w:t xml:space="preserve">[Accessed 3/17/08] California Counties. </w:t>
      </w:r>
      <w:hyperlink r:id="rId7" w:history="1">
        <w:r>
          <w:rPr>
            <w:rFonts w:ascii="Times New Roman" w:hAnsi="Times New Roman" w:cs="Times New Roman"/>
            <w:sz w:val="18"/>
            <w:szCs w:val="18"/>
          </w:rPr>
          <w:t xml:space="preserve"> http://www.csac.counties.org/default.asp?id=39</w:t>
        </w:r>
      </w:hyperlink>
      <w:r>
        <w:rPr>
          <w:rFonts w:ascii="Times New Roman" w:hAnsi="Times New Roman" w:cs="Times New Roman"/>
          <w:sz w:val="18"/>
          <w:szCs w:val="18"/>
        </w:rPr>
        <w:t>9</w:t>
      </w:r>
      <w:r>
        <w:rPr>
          <w:rFonts w:ascii="Times New Roman" w:hAnsi="Times New Roman" w:cs="Times New Roman"/>
          <w:sz w:val="18"/>
          <w:szCs w:val="18"/>
        </w:rPr>
        <w:t xml:space="preserve"> </w:t>
      </w:r>
    </w:p>
    <w:p w:rsidR="00000000" w:rsidRDefault="00D35EC6">
      <w:pPr>
        <w:pStyle w:val="DefaultParagraphFont"/>
        <w:widowControl w:val="0"/>
        <w:autoSpaceDE w:val="0"/>
        <w:autoSpaceDN w:val="0"/>
        <w:adjustRightInd w:val="0"/>
        <w:spacing w:after="0" w:line="53"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78" w:lineRule="auto"/>
        <w:ind w:left="1740" w:right="240" w:hanging="300"/>
        <w:jc w:val="both"/>
        <w:rPr>
          <w:rFonts w:ascii="Times New Roman" w:hAnsi="Times New Roman" w:cs="Times New Roman"/>
          <w:sz w:val="18"/>
          <w:szCs w:val="18"/>
        </w:rPr>
      </w:pPr>
      <w:r>
        <w:rPr>
          <w:rFonts w:ascii="Times New Roman" w:hAnsi="Times New Roman" w:cs="Times New Roman"/>
          <w:sz w:val="18"/>
          <w:szCs w:val="18"/>
        </w:rPr>
        <w:t>Hart LG, Larson EH, Lishner DM</w:t>
      </w:r>
      <w:r>
        <w:rPr>
          <w:rFonts w:ascii="Times New Roman" w:hAnsi="Times New Roman" w:cs="Times New Roman"/>
          <w:sz w:val="18"/>
          <w:szCs w:val="18"/>
        </w:rPr>
        <w:t xml:space="preserve">. Rural definitions for health policy and research. Am J Public Health. 2005 Jul; 95(7):1149–1155. [PubMed: 15983270] </w:t>
      </w: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70" w:lineRule="auto"/>
        <w:ind w:left="1740" w:right="20" w:hanging="300"/>
        <w:rPr>
          <w:rFonts w:ascii="Times New Roman" w:hAnsi="Times New Roman" w:cs="Times New Roman"/>
          <w:sz w:val="18"/>
          <w:szCs w:val="18"/>
        </w:rPr>
      </w:pPr>
      <w:r>
        <w:rPr>
          <w:rFonts w:ascii="Times New Roman" w:hAnsi="Times New Roman" w:cs="Times New Roman"/>
          <w:sz w:val="18"/>
          <w:szCs w:val="18"/>
        </w:rPr>
        <w:t>Ricketts, T.; Johnson-Webb, K.; Taylor, P. Definitions of Rural: A Handbook for Health Policy Makers and Researchers: A Technical Is</w:t>
      </w:r>
      <w:r>
        <w:rPr>
          <w:rFonts w:ascii="Times New Roman" w:hAnsi="Times New Roman" w:cs="Times New Roman"/>
          <w:sz w:val="18"/>
          <w:szCs w:val="18"/>
        </w:rPr>
        <w:t xml:space="preserve">sues Paper prepared for the Federal Office of Rural Health Policy. Health Resources and Services Administration, US DHHS; 1998 June.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78" w:lineRule="auto"/>
        <w:ind w:left="1740" w:right="220" w:hanging="300"/>
        <w:jc w:val="both"/>
        <w:rPr>
          <w:rFonts w:ascii="Times New Roman" w:hAnsi="Times New Roman" w:cs="Times New Roman"/>
          <w:sz w:val="18"/>
          <w:szCs w:val="18"/>
        </w:rPr>
      </w:pPr>
      <w:r>
        <w:rPr>
          <w:rFonts w:ascii="Times New Roman" w:hAnsi="Times New Roman" w:cs="Times New Roman"/>
          <w:sz w:val="18"/>
          <w:szCs w:val="18"/>
        </w:rPr>
        <w:t>Chou R, Fanciullo GJ, Fine PG, et al. Clinical guidelines for the use of chronic opioid therapy in chronic noncancer</w:t>
      </w:r>
      <w:r>
        <w:rPr>
          <w:rFonts w:ascii="Times New Roman" w:hAnsi="Times New Roman" w:cs="Times New Roman"/>
          <w:sz w:val="18"/>
          <w:szCs w:val="18"/>
        </w:rPr>
        <w:t xml:space="preserve"> pain. J Pain. 2009; 10(2):113–130. [PubMed: 19187889] </w:t>
      </w: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70" w:lineRule="auto"/>
        <w:ind w:left="1740" w:right="20" w:hanging="300"/>
        <w:rPr>
          <w:rFonts w:ascii="Times New Roman" w:hAnsi="Times New Roman" w:cs="Times New Roman"/>
          <w:sz w:val="18"/>
          <w:szCs w:val="18"/>
        </w:rPr>
      </w:pPr>
      <w:r>
        <w:rPr>
          <w:rFonts w:ascii="Times New Roman" w:hAnsi="Times New Roman" w:cs="Times New Roman"/>
          <w:sz w:val="18"/>
          <w:szCs w:val="18"/>
        </w:rPr>
        <w:t xml:space="preserve">White AG, Birnbaum HG, Schiller M, Tang J, Katz NP. Analytic models to identify patients at risk for prescription opioid abuse. Am J Manag Care. 2009 Dec; 15(12):897–906. [PubMed: 20001171]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78" w:lineRule="auto"/>
        <w:ind w:left="1740" w:right="600" w:hanging="300"/>
        <w:jc w:val="both"/>
        <w:rPr>
          <w:rFonts w:ascii="Times New Roman" w:hAnsi="Times New Roman" w:cs="Times New Roman"/>
          <w:sz w:val="18"/>
          <w:szCs w:val="18"/>
        </w:rPr>
      </w:pPr>
      <w:r>
        <w:rPr>
          <w:rFonts w:ascii="Times New Roman" w:hAnsi="Times New Roman" w:cs="Times New Roman"/>
          <w:sz w:val="18"/>
          <w:szCs w:val="18"/>
        </w:rPr>
        <w:t xml:space="preserve">Hall AJ, Logan JE, Toblin RL, et al. Patterns of abuse among unintentional pharmaceutical overdose fatalities. JAMA. 2008 Dec 10; 300(22):2613–2620. [PubMed: 19066381] </w:t>
      </w:r>
    </w:p>
    <w:p w:rsidR="00000000" w:rsidRDefault="00D35EC6">
      <w:pPr>
        <w:pStyle w:val="DefaultParagraphFont"/>
        <w:widowControl w:val="0"/>
        <w:numPr>
          <w:ilvl w:val="0"/>
          <w:numId w:val="1"/>
        </w:numPr>
        <w:tabs>
          <w:tab w:val="clear" w:pos="720"/>
          <w:tab w:val="num" w:pos="1710"/>
        </w:tabs>
        <w:overflowPunct w:val="0"/>
        <w:autoSpaceDE w:val="0"/>
        <w:autoSpaceDN w:val="0"/>
        <w:adjustRightInd w:val="0"/>
        <w:spacing w:after="0" w:line="286" w:lineRule="auto"/>
        <w:ind w:left="1740" w:right="480" w:hanging="300"/>
        <w:jc w:val="both"/>
        <w:rPr>
          <w:rFonts w:ascii="Times New Roman" w:hAnsi="Times New Roman" w:cs="Times New Roman"/>
          <w:sz w:val="18"/>
          <w:szCs w:val="18"/>
        </w:rPr>
      </w:pPr>
      <w:r>
        <w:rPr>
          <w:rFonts w:ascii="Times New Roman" w:hAnsi="Times New Roman" w:cs="Times New Roman"/>
          <w:sz w:val="18"/>
          <w:szCs w:val="18"/>
        </w:rPr>
        <w:t xml:space="preserve">Winther RB, Bramness JG. Prescription shopping of addictive drugs in Norway. </w:t>
      </w:r>
      <w:r>
        <w:rPr>
          <w:rFonts w:ascii="Times New Roman" w:hAnsi="Times New Roman" w:cs="Times New Roman"/>
          <w:sz w:val="18"/>
          <w:szCs w:val="18"/>
        </w:rPr>
        <w:t xml:space="preserve">Tidsskr Nor Laegeforen. 2009 Mar 12; 129(6):517–520. [PubMed: 19282887] </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6"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8" w:name="page8"/>
      <w:bookmarkEnd w:id="8"/>
      <w:r>
        <w:rPr>
          <w:noProof/>
        </w:rPr>
        <w:lastRenderedPageBreak/>
        <mc:AlternateContent>
          <mc:Choice Requires="wps">
            <w:drawing>
              <wp:anchor distT="0" distB="0" distL="114300" distR="114300" simplePos="0" relativeHeight="25166540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pt;margin-top:36pt;width:18pt;height:6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YifAIAAPsEAAAOAAAAZHJzL2Uyb0RvYy54bWysVG2PEyEQ/m7ifyB87+2L25fd3PZy116N&#10;yakXT38ABbZLZAGBdnsa/7sD29ZW/WCMbcIyMDw8M/MM1zf7TqIdt05oVePsKsWIK6qZUJsaf/q4&#10;Gs0wcp4oRqRWvMbP3OGb+csX172peK5bLRm3CECUq3pT49Z7UyWJoy3viLvShivYbLTtiAfTbhJm&#10;SQ/onUzyNJ0kvbbMWE25c7C6HDbxPOI3Daf+fdM47pGsMXDzcbRxXIcxmV+TamOJaQU90CD/wKIj&#10;QsGlJ6gl8QRtrfgNqhPUaqcbf0V1l+imEZTHGCCaLP0lmqeWGB5jgeQ4c0qT+3+w9N3u0SLBavwK&#10;I0U6KNEHSBpRG8lRGdLTG1eB15N5tCFAZx40/eyQ0osWvPittbpvOWFAKgv+ycWBYDg4itb9W80A&#10;nWy9jpnaN7YLgJADtI8FeT4VhO89orCY57NJCmWjsDWbwB+McAWpjqeNdf411x0Kkxpb4B7Rye7B&#10;+cH16BLZaynYSkgZDbtZL6RFOwLiuBsvpsv7A7o7d5MqOCsdjg2IwwqQhDvCXqAbi/2tzPIivcvL&#10;0Woym46KVTEeldN0Nkqz8q6cpEVZLFffA8GsqFrBGFcPQvGj8LLi7wp7aIFBMlF6qK9xOc7HMfYL&#10;9u48yDT+/hRkJzz0oRQdJPrkRKpQ2HvFIGxSeSLkME8u6ceCQA6O35iVKINQ+UFBa82eQQVWQ5Gg&#10;oPBiwKTV9itGPXRfjd2XLbEcI/lGgZLKrChCu0ajGE9zMOz5zvp8hygKUDX2GA3ThR9afGus2LRw&#10;UxYTo/QtqK8RURhBmQOrg2ahw2IEh9cgtPC5Hb1+vlnzH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CmXoYifAIAAPs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8</w:t>
      </w:r>
    </w:p>
    <w:p w:rsidR="00000000" w:rsidRDefault="00D35EC6">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8" w:lineRule="auto"/>
        <w:ind w:left="1740" w:right="280" w:hanging="300"/>
        <w:jc w:val="both"/>
        <w:rPr>
          <w:rFonts w:ascii="Times New Roman" w:hAnsi="Times New Roman" w:cs="Times New Roman"/>
          <w:sz w:val="18"/>
          <w:szCs w:val="18"/>
        </w:rPr>
      </w:pPr>
      <w:r>
        <w:rPr>
          <w:rFonts w:ascii="Times New Roman" w:hAnsi="Times New Roman" w:cs="Times New Roman"/>
          <w:sz w:val="18"/>
          <w:szCs w:val="18"/>
        </w:rPr>
        <w:t xml:space="preserve">Wartell, J.; La Vigne, N. Community Oriented Policing Services (COPS). Community Oriented Policing Services (COPS); 2004 May. Prescription Fraud. </w:t>
      </w: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40" w:hanging="300"/>
        <w:rPr>
          <w:rFonts w:ascii="Times New Roman" w:hAnsi="Times New Roman" w:cs="Times New Roman"/>
          <w:sz w:val="18"/>
          <w:szCs w:val="18"/>
        </w:rPr>
      </w:pPr>
      <w:r>
        <w:rPr>
          <w:rFonts w:ascii="Times New Roman" w:hAnsi="Times New Roman" w:cs="Times New Roman"/>
          <w:sz w:val="18"/>
          <w:szCs w:val="18"/>
        </w:rPr>
        <w:t xml:space="preserve">Victorri-Vigneau C, Larour K, Simon D, Pivette J, Jolliet P. Creating and validating a tool able to detect fraud by prescription falsification from health insurance administration databases. Therapie. 2009 Jan–Feb; 64(1):27–31. [PubMed: 19463250]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8" w:lineRule="auto"/>
        <w:ind w:left="1740" w:right="140" w:hanging="300"/>
        <w:jc w:val="both"/>
        <w:rPr>
          <w:rFonts w:ascii="Times New Roman" w:hAnsi="Times New Roman" w:cs="Times New Roman"/>
          <w:sz w:val="18"/>
          <w:szCs w:val="18"/>
        </w:rPr>
      </w:pPr>
      <w:r>
        <w:rPr>
          <w:rFonts w:ascii="Times New Roman" w:hAnsi="Times New Roman" w:cs="Times New Roman"/>
          <w:sz w:val="18"/>
          <w:szCs w:val="18"/>
        </w:rPr>
        <w:t>Pr</w:t>
      </w:r>
      <w:r>
        <w:rPr>
          <w:rFonts w:ascii="Times New Roman" w:hAnsi="Times New Roman" w:cs="Times New Roman"/>
          <w:sz w:val="18"/>
          <w:szCs w:val="18"/>
        </w:rPr>
        <w:t xml:space="preserve">escriptions for Peril: How Insurance Fraud Finances Theft and Abuse of Addictive Prescription Drugs. Vol. 5. Washington, DC: Coalition Against Insurance Fraud; 2007 December. </w:t>
      </w: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8" w:lineRule="auto"/>
        <w:ind w:left="1740" w:right="200" w:hanging="300"/>
        <w:jc w:val="both"/>
        <w:rPr>
          <w:rFonts w:ascii="Times New Roman" w:hAnsi="Times New Roman" w:cs="Times New Roman"/>
          <w:sz w:val="18"/>
          <w:szCs w:val="18"/>
        </w:rPr>
      </w:pPr>
      <w:r>
        <w:rPr>
          <w:rFonts w:ascii="Times New Roman" w:hAnsi="Times New Roman" w:cs="Times New Roman"/>
          <w:sz w:val="18"/>
          <w:szCs w:val="18"/>
        </w:rPr>
        <w:t>Iglehart JK. Finding money for health care reform--rooting out waste, fraud</w:t>
      </w:r>
      <w:r>
        <w:rPr>
          <w:rFonts w:ascii="Times New Roman" w:hAnsi="Times New Roman" w:cs="Times New Roman"/>
          <w:sz w:val="18"/>
          <w:szCs w:val="18"/>
        </w:rPr>
        <w:t xml:space="preserve">, and abuse. N Engl J Med. 2009 Jul 16; 361(3):229–231. [PubMed: 19516025] </w:t>
      </w: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140" w:hanging="300"/>
        <w:rPr>
          <w:rFonts w:ascii="Times New Roman" w:hAnsi="Times New Roman" w:cs="Times New Roman"/>
          <w:sz w:val="18"/>
          <w:szCs w:val="18"/>
        </w:rPr>
      </w:pPr>
      <w:r>
        <w:rPr>
          <w:rFonts w:ascii="Times New Roman" w:hAnsi="Times New Roman" w:cs="Times New Roman"/>
          <w:sz w:val="18"/>
          <w:szCs w:val="18"/>
        </w:rPr>
        <w:t>Inciardi JA, Surratt HL, Kurtz SP, Cicero TJ. Mechanisms of prescription drug diversion among drug-involved club- and street-based populations. Pain Med. 2007 Mar; 8(2):171–18</w:t>
      </w:r>
      <w:r>
        <w:rPr>
          <w:rFonts w:ascii="Times New Roman" w:hAnsi="Times New Roman" w:cs="Times New Roman"/>
          <w:sz w:val="18"/>
          <w:szCs w:val="18"/>
        </w:rPr>
        <w:t xml:space="preserve">3. [PubMed: 17305688]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8" w:lineRule="auto"/>
        <w:ind w:left="1740" w:right="220" w:hanging="300"/>
        <w:jc w:val="both"/>
        <w:rPr>
          <w:rFonts w:ascii="Times New Roman" w:hAnsi="Times New Roman" w:cs="Times New Roman"/>
          <w:sz w:val="18"/>
          <w:szCs w:val="18"/>
        </w:rPr>
      </w:pPr>
      <w:r>
        <w:rPr>
          <w:rFonts w:ascii="Times New Roman" w:hAnsi="Times New Roman" w:cs="Times New Roman"/>
          <w:sz w:val="18"/>
          <w:szCs w:val="18"/>
        </w:rPr>
        <w:t xml:space="preserve">Schieffer BM, Pham Q, Labus J, et al. Pain medication beliefs and medication misuse in chronic pain. J Pain. 2005 Sep; 6(9):620–629. [PubMed: 16139781] </w:t>
      </w: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200" w:hanging="300"/>
        <w:rPr>
          <w:rFonts w:ascii="Times New Roman" w:hAnsi="Times New Roman" w:cs="Times New Roman"/>
          <w:sz w:val="18"/>
          <w:szCs w:val="18"/>
        </w:rPr>
      </w:pPr>
      <w:r>
        <w:rPr>
          <w:rFonts w:ascii="Times New Roman" w:hAnsi="Times New Roman" w:cs="Times New Roman"/>
          <w:sz w:val="18"/>
          <w:szCs w:val="18"/>
        </w:rPr>
        <w:t xml:space="preserve">Edlund MJ, Steffick D, Hudson T, Harris KM, Sullivan M. Risk factors for clinically recognized opioid abuse and dependence among veterans using opioids for chronic non-cancer pain. Pain. 2007 Jun; 129(3):355–362. [PubMed: 17449178]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160" w:hanging="300"/>
        <w:rPr>
          <w:rFonts w:ascii="Times New Roman" w:hAnsi="Times New Roman" w:cs="Times New Roman"/>
          <w:sz w:val="18"/>
          <w:szCs w:val="18"/>
        </w:rPr>
      </w:pPr>
      <w:r>
        <w:rPr>
          <w:rFonts w:ascii="Times New Roman" w:hAnsi="Times New Roman" w:cs="Times New Roman"/>
          <w:sz w:val="18"/>
          <w:szCs w:val="18"/>
        </w:rPr>
        <w:t xml:space="preserve">Wasan AD, Butler </w:t>
      </w:r>
      <w:r>
        <w:rPr>
          <w:rFonts w:ascii="Times New Roman" w:hAnsi="Times New Roman" w:cs="Times New Roman"/>
          <w:sz w:val="18"/>
          <w:szCs w:val="18"/>
        </w:rPr>
        <w:t xml:space="preserve">SF, Budman SH, Benoit C, Fernandez K, Jamison RN. Psychiatric history and psychologic adjustment as risk factors for aberrant drug-related behavior among patients with chronic pain. Clin J Pain. 2007 May; 23(4):307–315. [PubMed: 17449991]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60" w:hanging="300"/>
        <w:rPr>
          <w:rFonts w:ascii="Times New Roman" w:hAnsi="Times New Roman" w:cs="Times New Roman"/>
          <w:sz w:val="18"/>
          <w:szCs w:val="18"/>
        </w:rPr>
      </w:pPr>
      <w:r>
        <w:rPr>
          <w:rFonts w:ascii="Times New Roman" w:hAnsi="Times New Roman" w:cs="Times New Roman"/>
          <w:sz w:val="18"/>
          <w:szCs w:val="18"/>
        </w:rPr>
        <w:t>Wilsey BL,</w:t>
      </w:r>
      <w:r>
        <w:rPr>
          <w:rFonts w:ascii="Times New Roman" w:hAnsi="Times New Roman" w:cs="Times New Roman"/>
          <w:sz w:val="18"/>
          <w:szCs w:val="18"/>
        </w:rPr>
        <w:t xml:space="preserve"> Fishman SM, Tsodikov A, Ogden C, Symreng I, Ernst A. Psychological comorbidities predicting prescription opioid abuse among patients in chronic pain presenting to the emergency department. Pain Med. 2008 Nov; 9(8):1107–1117. [PubMed: 18266809]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220" w:hanging="300"/>
        <w:rPr>
          <w:rFonts w:ascii="Times New Roman" w:hAnsi="Times New Roman" w:cs="Times New Roman"/>
          <w:sz w:val="18"/>
          <w:szCs w:val="18"/>
        </w:rPr>
      </w:pPr>
      <w:r>
        <w:rPr>
          <w:rFonts w:ascii="Times New Roman" w:hAnsi="Times New Roman" w:cs="Times New Roman"/>
          <w:sz w:val="18"/>
          <w:szCs w:val="18"/>
        </w:rPr>
        <w:t xml:space="preserve">Meghani SH, Wiedemer NL, Becker WC, Gracely EJ, Gallagher RM. Predictors of resolution of aberrant drug behavior in chronic pain patients treated in a structured opioid risk management program. Pain Med. 2009 Jul–Aug; 10(5):858–865. [PubMed: 19523029] </w:t>
      </w:r>
    </w:p>
    <w:p w:rsidR="00000000" w:rsidRDefault="00D35EC6">
      <w:pPr>
        <w:pStyle w:val="DefaultParagraphFont"/>
        <w:widowControl w:val="0"/>
        <w:autoSpaceDE w:val="0"/>
        <w:autoSpaceDN w:val="0"/>
        <w:adjustRightInd w:val="0"/>
        <w:spacing w:after="0" w:line="1" w:lineRule="exact"/>
        <w:rPr>
          <w:rFonts w:ascii="Times New Roman" w:hAnsi="Times New Roman" w:cs="Times New Roman"/>
          <w:sz w:val="18"/>
          <w:szCs w:val="18"/>
        </w:rPr>
      </w:pPr>
    </w:p>
    <w:p w:rsidR="00000000" w:rsidRDefault="00D35EC6">
      <w:pPr>
        <w:pStyle w:val="DefaultParagraphFont"/>
        <w:widowControl w:val="0"/>
        <w:numPr>
          <w:ilvl w:val="0"/>
          <w:numId w:val="2"/>
        </w:numPr>
        <w:tabs>
          <w:tab w:val="clear" w:pos="720"/>
          <w:tab w:val="num" w:pos="1710"/>
        </w:tabs>
        <w:overflowPunct w:val="0"/>
        <w:autoSpaceDE w:val="0"/>
        <w:autoSpaceDN w:val="0"/>
        <w:adjustRightInd w:val="0"/>
        <w:spacing w:after="0" w:line="270" w:lineRule="auto"/>
        <w:ind w:left="1740" w:right="220" w:hanging="300"/>
        <w:rPr>
          <w:rFonts w:ascii="Times New Roman" w:hAnsi="Times New Roman" w:cs="Times New Roman"/>
          <w:sz w:val="18"/>
          <w:szCs w:val="18"/>
        </w:rPr>
      </w:pPr>
      <w:r>
        <w:rPr>
          <w:rFonts w:ascii="Times New Roman" w:hAnsi="Times New Roman" w:cs="Times New Roman"/>
          <w:sz w:val="18"/>
          <w:szCs w:val="18"/>
        </w:rPr>
        <w:t xml:space="preserve">Pradel V, Frauger E, Thirion X, et al. Impact of a prescription monitoring program on doctor-shopping for high dosage buprenorphine. Pharmacoepidemiol Drug Saf. 2009 Jan; 18(1):36–43. [PubMed: 19040199] </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w:t>
      </w:r>
      <w:r>
        <w:rPr>
          <w:rFonts w:ascii="Times New Roman" w:hAnsi="Times New Roman" w:cs="Times New Roman"/>
          <w:i/>
          <w:iCs/>
          <w:sz w:val="16"/>
          <w:szCs w:val="16"/>
        </w:rPr>
        <w:t>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9" w:name="page9"/>
      <w:bookmarkEnd w:id="9"/>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pt;margin-top:36pt;width:18pt;height:68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lRfAIAAPwEAAAOAAAAZHJzL2Uyb0RvYy54bWysVNuO2yAQfa/Uf0C8Z32Rc7EVZ7WbbKpK&#10;23bVbT+AAI5RMVAgcbZV/70DTrLZtg9V1UTCDAyHM2dmmF8fOon23DqhVY2zqxQjrqhmQm1r/PnT&#10;ejTDyHmiGJFa8Ro/cYevF69fzXtT8Vy3WjJuEYAoV/Wmxq33pkoSR1veEXelDVew2WjbEQ+m3SbM&#10;kh7QO5nkaTpJem2ZsZpy52B1NWziRcRvGk79h6Zx3CNZY+Dm42jjuAljspiTamuJaQU90iD/wKIj&#10;QsGlZ6gV8QTtrPgNqhPUaqcbf0V1l+imEZTHGCCaLP0lmseWGB5jAXGcOcvk/h8sfb9/sEiwGucY&#10;KdJBij6CaERtJUdZ1Kc3rgK3R/NgQ4TO3Gv6xSGlly248Rtrdd9ywoBVFvRMXhwIhoOjaNO/0wzg&#10;yc7rKNWhsV0ABBHQIWbk6ZwRfvCIwmKezyYp5I3C1mwCfzDCFaQ6nTbW+TdcdyhMamyBfEQn+3vn&#10;B9eTS2SvpWBrIWU07HazlBbtCVTH7Xg5Xd0d0d2lm1TBWelwbEAcVoAk3BH2At2Y7e9llhfpbV6O&#10;1pPZdFSsi/GonKazUZqVt+UkLcpitf4RCGZF1QrGuLoXip8qLyv+LrPHHhhqJtYe6mtcjvNxjP0F&#10;e3cZZBp/fwqyEx4aUYoOhD47kSok9k4xCJtUngg5zJOX9GNCQIPTN6oSyyBkPvSiqzaaPUEVWA1J&#10;goTCkwGTVttvGPXQfjV2X3fEcozkWwWVVGZFEfo1GsV4moNhL3c2lztEUYCqscdomC790OM7Y8W2&#10;hZuyKIzSN1B9jYiF8czqWLPQYjGC43MQevjSjl7Pj9biJ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lmKlR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3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9</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4120"/>
        <w:rPr>
          <w:rFonts w:ascii="Times New Roman" w:hAnsi="Times New Roman" w:cs="Times New Roman"/>
          <w:sz w:val="24"/>
          <w:szCs w:val="24"/>
        </w:rPr>
      </w:pPr>
      <w:r>
        <w:rPr>
          <w:rFonts w:ascii="Arial" w:hAnsi="Arial" w:cs="Arial"/>
          <w:b/>
          <w:bCs/>
          <w:sz w:val="18"/>
          <w:szCs w:val="18"/>
        </w:rPr>
        <w:t>Table 1</w:t>
      </w:r>
    </w:p>
    <w:p w:rsidR="00000000" w:rsidRDefault="00D35EC6">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Prescriber Categories and Independent Variables</w:t>
      </w:r>
    </w:p>
    <w:p w:rsidR="00000000" w:rsidRDefault="00D35EC6">
      <w:pPr>
        <w:pStyle w:val="DefaultParagraphFont"/>
        <w:widowControl w:val="0"/>
        <w:autoSpaceDE w:val="0"/>
        <w:autoSpaceDN w:val="0"/>
        <w:adjustRightInd w:val="0"/>
        <w:spacing w:after="0" w:line="26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0</wp:posOffset>
            </wp:positionH>
            <wp:positionV relativeFrom="paragraph">
              <wp:posOffset>141605</wp:posOffset>
            </wp:positionV>
            <wp:extent cx="715645" cy="12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12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00"/>
        <w:gridCol w:w="1020"/>
        <w:gridCol w:w="2100"/>
        <w:gridCol w:w="920"/>
        <w:gridCol w:w="840"/>
        <w:gridCol w:w="100"/>
        <w:gridCol w:w="20"/>
      </w:tblGrid>
      <w:tr w:rsidR="00000000">
        <w:tblPrEx>
          <w:tblCellMar>
            <w:top w:w="0" w:type="dxa"/>
            <w:left w:w="0" w:type="dxa"/>
            <w:bottom w:w="0" w:type="dxa"/>
            <w:right w:w="0" w:type="dxa"/>
          </w:tblCellMar>
        </w:tblPrEx>
        <w:trPr>
          <w:trHeight w:val="172"/>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72" w:lineRule="exact"/>
              <w:ind w:right="25"/>
              <w:jc w:val="right"/>
              <w:rPr>
                <w:rFonts w:ascii="Times New Roman" w:hAnsi="Times New Roman" w:cs="Times New Roman"/>
                <w:sz w:val="24"/>
                <w:szCs w:val="24"/>
              </w:rPr>
            </w:pPr>
            <w:r>
              <w:rPr>
                <w:rFonts w:ascii="Times New Roman" w:hAnsi="Times New Roman" w:cs="Times New Roman"/>
                <w:b/>
                <w:bCs/>
                <w:sz w:val="15"/>
                <w:szCs w:val="15"/>
              </w:rPr>
              <w:t>Putative</w:t>
            </w:r>
          </w:p>
        </w:tc>
        <w:tc>
          <w:tcPr>
            <w:tcW w:w="940" w:type="dxa"/>
            <w:gridSpan w:val="2"/>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72" w:lineRule="exact"/>
              <w:ind w:right="100"/>
              <w:jc w:val="right"/>
              <w:rPr>
                <w:rFonts w:ascii="Times New Roman" w:hAnsi="Times New Roman" w:cs="Times New Roman"/>
                <w:sz w:val="24"/>
                <w:szCs w:val="24"/>
              </w:rPr>
            </w:pPr>
            <w:r>
              <w:rPr>
                <w:rFonts w:ascii="Times New Roman" w:hAnsi="Times New Roman" w:cs="Times New Roman"/>
                <w:b/>
                <w:bCs/>
                <w:sz w:val="15"/>
                <w:szCs w:val="15"/>
              </w:rPr>
              <w:t>No Use of</w:t>
            </w: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60" w:lineRule="exact"/>
              <w:ind w:right="25"/>
              <w:jc w:val="right"/>
              <w:rPr>
                <w:rFonts w:ascii="Times New Roman" w:hAnsi="Times New Roman" w:cs="Times New Roman"/>
                <w:sz w:val="24"/>
                <w:szCs w:val="24"/>
              </w:rPr>
            </w:pPr>
            <w:r>
              <w:rPr>
                <w:rFonts w:ascii="Times New Roman" w:hAnsi="Times New Roman" w:cs="Times New Roman"/>
                <w:b/>
                <w:bCs/>
                <w:sz w:val="15"/>
                <w:szCs w:val="15"/>
              </w:rPr>
              <w:t>Acceptable</w:t>
            </w:r>
          </w:p>
        </w:tc>
        <w:tc>
          <w:tcPr>
            <w:tcW w:w="940" w:type="dxa"/>
            <w:gridSpan w:val="2"/>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60" w:lineRule="exact"/>
              <w:ind w:right="100"/>
              <w:jc w:val="right"/>
              <w:rPr>
                <w:rFonts w:ascii="Times New Roman" w:hAnsi="Times New Roman" w:cs="Times New Roman"/>
                <w:sz w:val="24"/>
                <w:szCs w:val="24"/>
              </w:rPr>
            </w:pPr>
            <w:r>
              <w:rPr>
                <w:rFonts w:ascii="Times New Roman" w:hAnsi="Times New Roman" w:cs="Times New Roman"/>
                <w:b/>
                <w:bCs/>
                <w:sz w:val="15"/>
                <w:szCs w:val="15"/>
              </w:rPr>
              <w:t>Multiple</w:t>
            </w: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60" w:lineRule="exact"/>
              <w:ind w:right="25"/>
              <w:jc w:val="right"/>
              <w:rPr>
                <w:rFonts w:ascii="Times New Roman" w:hAnsi="Times New Roman" w:cs="Times New Roman"/>
                <w:sz w:val="24"/>
                <w:szCs w:val="24"/>
              </w:rPr>
            </w:pPr>
            <w:r>
              <w:rPr>
                <w:rFonts w:ascii="Times New Roman" w:hAnsi="Times New Roman" w:cs="Times New Roman"/>
                <w:b/>
                <w:bCs/>
                <w:sz w:val="15"/>
                <w:szCs w:val="15"/>
              </w:rPr>
              <w:t>Use of</w:t>
            </w:r>
          </w:p>
        </w:tc>
        <w:tc>
          <w:tcPr>
            <w:tcW w:w="940" w:type="dxa"/>
            <w:gridSpan w:val="2"/>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60" w:lineRule="exact"/>
              <w:ind w:right="100"/>
              <w:jc w:val="right"/>
              <w:rPr>
                <w:rFonts w:ascii="Times New Roman" w:hAnsi="Times New Roman" w:cs="Times New Roman"/>
                <w:sz w:val="24"/>
                <w:szCs w:val="24"/>
              </w:rPr>
            </w:pPr>
            <w:r>
              <w:rPr>
                <w:rFonts w:ascii="Times New Roman" w:hAnsi="Times New Roman" w:cs="Times New Roman"/>
                <w:b/>
                <w:bCs/>
                <w:sz w:val="15"/>
                <w:szCs w:val="15"/>
              </w:rPr>
              <w:t>Prescribers</w:t>
            </w: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160" w:lineRule="exact"/>
              <w:ind w:right="25"/>
              <w:jc w:val="right"/>
              <w:rPr>
                <w:rFonts w:ascii="Times New Roman" w:hAnsi="Times New Roman" w:cs="Times New Roman"/>
                <w:sz w:val="24"/>
                <w:szCs w:val="24"/>
              </w:rPr>
            </w:pPr>
            <w:r>
              <w:rPr>
                <w:rFonts w:ascii="Times New Roman" w:hAnsi="Times New Roman" w:cs="Times New Roman"/>
                <w:b/>
                <w:bCs/>
                <w:sz w:val="15"/>
                <w:szCs w:val="15"/>
              </w:rPr>
              <w:t>Multiple</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b/>
                <w:bCs/>
                <w:sz w:val="15"/>
                <w:szCs w:val="15"/>
              </w:rPr>
              <w:t>Prescribers</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41"/>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Opioids</w:t>
            </w:r>
            <w:r>
              <w:rPr>
                <w:rFonts w:ascii="Times New Roman" w:hAnsi="Times New Roman" w:cs="Times New Roman"/>
                <w:i/>
                <w:iCs/>
                <w:sz w:val="30"/>
                <w:szCs w:val="30"/>
                <w:vertAlign w:val="superscript"/>
              </w:rPr>
              <w:t>*</w:t>
            </w:r>
          </w:p>
        </w:tc>
        <w:tc>
          <w:tcPr>
            <w:tcW w:w="2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9"/>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Schedule</w:t>
            </w: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Hydrocodone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68.3%</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57.4%</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15"/>
                <w:szCs w:val="15"/>
              </w:rPr>
              <w:t>III</w:t>
            </w:r>
          </w:p>
        </w:tc>
        <w:tc>
          <w:tcPr>
            <w:tcW w:w="210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Codeine</w:t>
            </w:r>
          </w:p>
        </w:tc>
        <w:tc>
          <w:tcPr>
            <w:tcW w:w="92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9.8%</w:t>
            </w:r>
          </w:p>
        </w:tc>
        <w:tc>
          <w:tcPr>
            <w:tcW w:w="84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21.2%</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10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92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1"/>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9"/>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Immediate-Release Oxycodone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7.8%</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10.1%</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Extended-Release Oxycodone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3.0%</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2.2%</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Transcutaneous Fentanyl</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4.0%</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3.1%</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Extended-Release Morphine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3.2%</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2.4%</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Schedule</w:t>
            </w: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Methadone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1.5%</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0.9%</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15"/>
                <w:szCs w:val="15"/>
              </w:rPr>
              <w:t>II</w:t>
            </w:r>
          </w:p>
        </w:tc>
        <w:tc>
          <w:tcPr>
            <w:tcW w:w="210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Hydromorphone</w:t>
            </w:r>
          </w:p>
        </w:tc>
        <w:tc>
          <w:tcPr>
            <w:tcW w:w="92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1.5%</w:t>
            </w:r>
          </w:p>
        </w:tc>
        <w:tc>
          <w:tcPr>
            <w:tcW w:w="840" w:type="dxa"/>
            <w:vMerge w:val="restart"/>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1.4%</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10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92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vMerge/>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Immediate-Release Morphine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0.6%</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0.8%</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Oral Transbuccal Fentanyl</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0.1%</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0.1%</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Meperidine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0.1%</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0.3%</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Levorphanol</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0.02%</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0.02%</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1"/>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9"/>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Demographics</w:t>
            </w: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1"/>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9"/>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Age - years (SD)</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50.7 (18.1)</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46.4 (19.8)</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4"/>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Gender - % female</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57.8 (42.2)</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56.9 (43.1)</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5"/>
                <w:szCs w:val="15"/>
              </w:rPr>
              <w:t>Population</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&lt; 20,000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0.29%</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0.28%</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20,000–50,000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1.19%</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0.95%</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50,000–100,00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2.74%</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2.04%</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100,000–500,000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17.84%</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16.02%</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500,000–1,000,000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15.67%</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15.15%</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5"/>
                <w:szCs w:val="15"/>
              </w:rPr>
              <w:t>&gt;1,000,000</w:t>
            </w:r>
          </w:p>
        </w:tc>
        <w:tc>
          <w:tcPr>
            <w:tcW w:w="9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62.26%</w:t>
            </w:r>
          </w:p>
        </w:tc>
        <w:tc>
          <w:tcPr>
            <w:tcW w:w="84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65.55%</w:t>
            </w:r>
          </w:p>
        </w:tc>
        <w:tc>
          <w:tcPr>
            <w:tcW w:w="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
        </w:trPr>
        <w:tc>
          <w:tcPr>
            <w:tcW w:w="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0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D35EC6">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000000" w:rsidRDefault="00D35EC6">
      <w:pPr>
        <w:pStyle w:val="DefaultParagraphFont"/>
        <w:widowControl w:val="0"/>
        <w:overflowPunct w:val="0"/>
        <w:autoSpaceDE w:val="0"/>
        <w:autoSpaceDN w:val="0"/>
        <w:adjustRightInd w:val="0"/>
        <w:spacing w:after="0" w:line="261" w:lineRule="auto"/>
        <w:ind w:right="860"/>
        <w:rPr>
          <w:rFonts w:ascii="Times New Roman" w:hAnsi="Times New Roman" w:cs="Times New Roman"/>
          <w:sz w:val="24"/>
          <w:szCs w:val="24"/>
        </w:rPr>
      </w:pPr>
      <w:r>
        <w:rPr>
          <w:rFonts w:ascii="Times New Roman" w:hAnsi="Times New Roman" w:cs="Times New Roman"/>
          <w:i/>
          <w:iCs/>
          <w:sz w:val="28"/>
          <w:szCs w:val="28"/>
          <w:vertAlign w:val="superscript"/>
        </w:rPr>
        <w:t>*</w:t>
      </w:r>
      <w:r>
        <w:rPr>
          <w:rFonts w:ascii="Times New Roman" w:hAnsi="Times New Roman" w:cs="Times New Roman"/>
          <w:sz w:val="14"/>
          <w:szCs w:val="14"/>
        </w:rPr>
        <w:t>Note: Codeine schedule II, long-acting hydromorphone were excluded from consideration because their numbers were insignificant. Buprenorphine was not included as it was not utilized for the treatment of chronic pain during the period of study (1999–2007).</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24" w:right="3840" w:bottom="1114" w:left="2760" w:header="720" w:footer="720" w:gutter="0"/>
          <w:cols w:space="794" w:equalWidth="0">
            <w:col w:w="5640" w:space="794"/>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0" w:name="page10"/>
      <w:bookmarkEnd w:id="10"/>
      <w:r>
        <w:rPr>
          <w:noProof/>
        </w:rPr>
        <w:lastRenderedPageBreak/>
        <mc:AlternateContent>
          <mc:Choice Requires="wps">
            <w:drawing>
              <wp:anchor distT="0" distB="0" distL="114300" distR="114300" simplePos="0" relativeHeight="251668480"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pt;margin-top:36pt;width:18pt;height:68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gz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xh&#10;pEgHFH2EohG1lRxleahPb1wFbo/mwYYMnbnX9ItDSi9bcOM31uq+5YRBVFnwT14cCIaDo2jTv9MM&#10;4MnO61iqQ2O7AAhFQIfIyNOZEX7wiMJins8mKfBGYWs2gT8Y4QpSnU4b6/wbrjsUJjW2EHxEJ/t7&#10;5wfXk0uMXkvB1kLKaNjtZikt2hNQx+14OV3dHdHdpZtUwVnpcGxAHFYgSLgj7IVwI9vPZZYX6W1e&#10;jtaT2XRUrIvxqJyms1GalbflJC3KYrX+HgLMiqoVjHF1LxQ/KS8r/o7ZYw8MmonaQ32Ny3E+jrm/&#10;iN5dJpnG35+S7ISHRpSig0KfnUgViL1TDNImlSdCDvPkZfiREKjB6RurEmUQmB8UtNHsCVRgNZAE&#10;hMKTAZNW228Y9dB+NXZfd8RyjORbBUoqs6II/RqNYjzNwbCXO5vLHaIoQNXYYzRMl37o8Z2xYtvC&#10;TVksjNI3oL5GRGEEZQ5RHTULLRYzOD4HoYcv7ej189Fa/A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9Jxgz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3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D35EC6">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Wilsey et al.</w:t>
      </w:r>
      <w:r>
        <w:rPr>
          <w:rFonts w:ascii="Times New Roman" w:hAnsi="Times New Roman" w:cs="Times New Roman"/>
          <w:sz w:val="24"/>
          <w:szCs w:val="24"/>
        </w:rPr>
        <w:tab/>
      </w:r>
      <w:r>
        <w:rPr>
          <w:rFonts w:ascii="Times New Roman" w:hAnsi="Times New Roman" w:cs="Times New Roman"/>
          <w:sz w:val="16"/>
          <w:szCs w:val="16"/>
        </w:rPr>
        <w:t>Page 10</w:t>
      </w: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ind w:left="4120"/>
        <w:rPr>
          <w:rFonts w:ascii="Times New Roman" w:hAnsi="Times New Roman" w:cs="Times New Roman"/>
          <w:sz w:val="24"/>
          <w:szCs w:val="24"/>
        </w:rPr>
      </w:pPr>
      <w:r>
        <w:rPr>
          <w:rFonts w:ascii="Arial" w:hAnsi="Arial" w:cs="Arial"/>
          <w:b/>
          <w:bCs/>
          <w:sz w:val="18"/>
          <w:szCs w:val="18"/>
        </w:rPr>
        <w:t>Table 2</w:t>
      </w:r>
    </w:p>
    <w:p w:rsidR="00000000" w:rsidRDefault="00D35EC6">
      <w:pPr>
        <w:pStyle w:val="DefaultParagraphFont"/>
        <w:widowControl w:val="0"/>
        <w:autoSpaceDE w:val="0"/>
        <w:autoSpaceDN w:val="0"/>
        <w:adjustRightInd w:val="0"/>
        <w:spacing w:after="0" w:line="134"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Association of Independent Variables with Categories of Numbers of Prescribers</w:t>
      </w:r>
      <w:r>
        <w:rPr>
          <w:rFonts w:ascii="Arial" w:hAnsi="Arial" w:cs="Arial"/>
          <w:i/>
          <w:iCs/>
          <w:sz w:val="30"/>
          <w:szCs w:val="30"/>
          <w:vertAlign w:val="superscript"/>
        </w:rPr>
        <w:t>♦</w:t>
      </w:r>
    </w:p>
    <w:p w:rsidR="00000000" w:rsidRDefault="00D35EC6">
      <w:pPr>
        <w:pStyle w:val="DefaultParagraphFont"/>
        <w:widowControl w:val="0"/>
        <w:autoSpaceDE w:val="0"/>
        <w:autoSpaceDN w:val="0"/>
        <w:adjustRightInd w:val="0"/>
        <w:spacing w:after="0" w:line="174"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0</wp:posOffset>
            </wp:positionH>
            <wp:positionV relativeFrom="paragraph">
              <wp:posOffset>79375</wp:posOffset>
            </wp:positionV>
            <wp:extent cx="2366645" cy="12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6645" cy="12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0" w:type="dxa"/>
        <w:tblLayout w:type="fixed"/>
        <w:tblCellMar>
          <w:left w:w="0" w:type="dxa"/>
          <w:right w:w="0" w:type="dxa"/>
        </w:tblCellMar>
        <w:tblLook w:val="0000" w:firstRow="0" w:lastRow="0" w:firstColumn="0" w:lastColumn="0" w:noHBand="0" w:noVBand="0"/>
      </w:tblPr>
      <w:tblGrid>
        <w:gridCol w:w="3620"/>
        <w:gridCol w:w="2380"/>
        <w:gridCol w:w="1100"/>
      </w:tblGrid>
      <w:tr w:rsidR="00000000">
        <w:tblPrEx>
          <w:tblCellMar>
            <w:top w:w="0" w:type="dxa"/>
            <w:left w:w="0" w:type="dxa"/>
            <w:bottom w:w="0" w:type="dxa"/>
            <w:right w:w="0" w:type="dxa"/>
          </w:tblCellMar>
        </w:tblPrEx>
        <w:trPr>
          <w:trHeight w:val="20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Effect</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b/>
                <w:bCs/>
                <w:sz w:val="15"/>
                <w:szCs w:val="15"/>
              </w:rPr>
              <w:t>OR = exp (Estimate of coefficient)</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15"/>
                <w:szCs w:val="15"/>
              </w:rPr>
              <w:t>95% CI for OR</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 xml:space="preserve">Opioid type </w:t>
            </w:r>
            <w:r>
              <w:rPr>
                <w:rFonts w:ascii="Times New Roman" w:hAnsi="Times New Roman" w:cs="Times New Roman"/>
                <w:sz w:val="15"/>
                <w:szCs w:val="15"/>
              </w:rPr>
              <w:t>(reference category is Hydrocodone)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Fentanyl Patch</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1.078</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(1.053, 1.104)</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Levorphanol</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0.736</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(0.537,1.011)</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Methadone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1.388</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(1.333, 1.445)</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Extended-Release Morphine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1.138</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(1.108, 1.168)</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Extended-Release Oxycodone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1.123</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(1.092, 1.154)</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Codeine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0.387</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(0.382, 0.392)</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Buccal Fentanyl</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1.064</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(0.938, 1.206)</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Hydromorphone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0.904</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(0.872, 0.938)</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Meperidine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0.309</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(0.279, 0.342)</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Immediate-Release Morphine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0.709</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(0.673, 0.747)</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Immediate-Release Oxycodone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0.649</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(0.639, 0.66)</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Age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1.012</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(1.012, 1.012)</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 xml:space="preserve">Gender </w:t>
            </w:r>
            <w:r>
              <w:rPr>
                <w:rFonts w:ascii="Times New Roman" w:hAnsi="Times New Roman" w:cs="Times New Roman"/>
                <w:sz w:val="15"/>
                <w:szCs w:val="15"/>
              </w:rPr>
              <w:t>(reference category is Female)</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0.964</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(0.956, 0.973)</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5"/>
                <w:szCs w:val="15"/>
              </w:rPr>
              <w:t xml:space="preserve">Population </w:t>
            </w:r>
            <w:r>
              <w:rPr>
                <w:rFonts w:ascii="Times New Roman" w:hAnsi="Times New Roman" w:cs="Times New Roman"/>
                <w:sz w:val="15"/>
                <w:szCs w:val="15"/>
              </w:rPr>
              <w:t>(reference category is &gt; 1,000,000 population)</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&lt;20,000</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1.101</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(1.016, 1.193)</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20,000–50,000</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1.317</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(1.263, 1.374)</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50,000–100,00</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1.416</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(1.376, 1.457)</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100,000–500,000</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1.173</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(1.159, 1.187)</w:t>
            </w:r>
          </w:p>
        </w:tc>
      </w:tr>
      <w:tr w:rsidR="00000000">
        <w:tblPrEx>
          <w:tblCellMar>
            <w:top w:w="0" w:type="dxa"/>
            <w:left w:w="0" w:type="dxa"/>
            <w:bottom w:w="0" w:type="dxa"/>
            <w:right w:w="0" w:type="dxa"/>
          </w:tblCellMar>
        </w:tblPrEx>
        <w:trPr>
          <w:trHeight w:val="280"/>
        </w:trPr>
        <w:tc>
          <w:tcPr>
            <w:tcW w:w="362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5"/>
                <w:szCs w:val="15"/>
              </w:rPr>
              <w:t>500,000–1,000,000</w:t>
            </w:r>
          </w:p>
        </w:tc>
        <w:tc>
          <w:tcPr>
            <w:tcW w:w="238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Times New Roman" w:hAnsi="Times New Roman" w:cs="Times New Roman"/>
                <w:sz w:val="15"/>
                <w:szCs w:val="15"/>
              </w:rPr>
              <w:t>1.088</w:t>
            </w:r>
          </w:p>
        </w:tc>
        <w:tc>
          <w:tcPr>
            <w:tcW w:w="1100" w:type="dxa"/>
            <w:tcBorders>
              <w:top w:val="nil"/>
              <w:left w:val="nil"/>
              <w:bottom w:val="nil"/>
              <w:right w:val="nil"/>
            </w:tcBorders>
            <w:vAlign w:val="bottom"/>
          </w:tcPr>
          <w:p w:rsidR="00000000" w:rsidRDefault="00D35EC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5"/>
                <w:szCs w:val="15"/>
              </w:rPr>
              <w:t>(1.075, 1.102)</w:t>
            </w:r>
          </w:p>
        </w:tc>
      </w:tr>
    </w:tbl>
    <w:p w:rsidR="00000000" w:rsidRDefault="00D35EC6">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30"/>
          <w:szCs w:val="30"/>
          <w:vertAlign w:val="superscript"/>
        </w:rPr>
        <w:t>♦</w:t>
      </w:r>
      <w:r>
        <w:rPr>
          <w:rFonts w:ascii="Times New Roman" w:hAnsi="Times New Roman" w:cs="Times New Roman"/>
          <w:sz w:val="15"/>
          <w:szCs w:val="15"/>
        </w:rPr>
        <w:t>Reference category: No Use of Multiple Prescribers</w:t>
      </w: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24" w:right="1800" w:bottom="1114" w:left="490" w:header="720" w:footer="720" w:gutter="0"/>
          <w:cols w:num="2" w:space="794" w:equalWidth="0">
            <w:col w:w="276" w:space="794"/>
            <w:col w:w="8880"/>
          </w:cols>
          <w:noEndnote/>
        </w:sect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D35EC6">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Pharmacoepidemiol Drug Saf</w:t>
      </w:r>
      <w:r>
        <w:rPr>
          <w:rFonts w:ascii="Times New Roman" w:hAnsi="Times New Roman" w:cs="Times New Roman"/>
          <w:sz w:val="16"/>
          <w:szCs w:val="16"/>
        </w:rPr>
        <w:t>. Author manuscript; available in PMC 2012 December 1.</w:t>
      </w:r>
    </w:p>
    <w:sectPr w:rsidR="00000000">
      <w:type w:val="continuous"/>
      <w:pgSz w:w="12240" w:h="15840"/>
      <w:pgMar w:top="724" w:right="3840" w:bottom="1114" w:left="2760" w:header="720" w:footer="720" w:gutter="0"/>
      <w:cols w:space="794" w:equalWidth="0">
        <w:col w:w="5640" w:space="79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C6"/>
    <w:rsid w:val="00D3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hyperlink" TargetMode="External" Target="http://www.csac.counties.org/default.asp?id=399"/>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4598</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2015-12-14T21:50:00Z</dcterms:created>
  <lastModifiedBy>AutoBVT</lastModifiedBy>
  <dcterms:modified xsi:type="dcterms:W3CDTF">2015-12-14T21:50:00Z</dcterms:modified>
  <revision>2</revision>
</coreProperties>
</file>