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48" w:rsidRDefault="00083D2D">
      <w:pPr>
        <w:pStyle w:val="BodyText"/>
        <w:spacing w:before="2"/>
        <w:rPr>
          <w:rFonts w:ascii="Times New Roman"/>
          <w:i w:val="0"/>
          <w:sz w:val="17"/>
        </w:rPr>
      </w:pPr>
      <w:r>
        <w:rPr>
          <w:rFonts w:ascii="Times New Roman"/>
          <w:i w:val="0"/>
          <w:noProof/>
          <w:sz w:val="17"/>
          <w:lang w:bidi="ar-SA"/>
        </w:rPr>
        <w:drawing>
          <wp:anchor distT="0" distB="0" distL="114300" distR="114300" simplePos="0" relativeHeight="251657216" behindDoc="0" locked="0" layoutInCell="1" allowOverlap="1">
            <wp:simplePos x="0" y="0"/>
            <wp:positionH relativeFrom="column">
              <wp:posOffset>79596</wp:posOffset>
            </wp:positionH>
            <wp:positionV relativeFrom="paragraph">
              <wp:posOffset>53671</wp:posOffset>
            </wp:positionV>
            <wp:extent cx="1193800" cy="1193800"/>
            <wp:effectExtent l="19050" t="57150" r="101600" b="63500"/>
            <wp:wrapNone/>
            <wp:docPr id="8" name="Picture 6"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a:effectLst>
                      <a:outerShdw blurRad="50800" dist="38100" algn="l" rotWithShape="0">
                        <a:prstClr val="black">
                          <a:alpha val="40000"/>
                        </a:prstClr>
                      </a:outerShdw>
                    </a:effectLst>
                  </pic:spPr>
                </pic:pic>
              </a:graphicData>
            </a:graphic>
          </wp:anchor>
        </w:drawing>
      </w:r>
    </w:p>
    <w:p w:rsidR="006C1E48" w:rsidRDefault="00673E06">
      <w:pPr>
        <w:spacing w:before="101"/>
        <w:ind w:left="2404"/>
        <w:rPr>
          <w:rFonts w:ascii="Cambria"/>
          <w:b/>
          <w:sz w:val="28"/>
        </w:rPr>
      </w:pPr>
      <w:r>
        <w:rPr>
          <w:rFonts w:ascii="Cambria"/>
          <w:b/>
          <w:color w:val="1F487C"/>
          <w:sz w:val="28"/>
        </w:rPr>
        <w:t>MassHealth RY2018</w:t>
      </w:r>
    </w:p>
    <w:p w:rsidR="006C1E48" w:rsidRDefault="00673E06">
      <w:pPr>
        <w:spacing w:before="1" w:line="327" w:lineRule="exact"/>
        <w:ind w:left="2404"/>
        <w:rPr>
          <w:rFonts w:ascii="Cambria"/>
          <w:b/>
          <w:sz w:val="28"/>
        </w:rPr>
      </w:pPr>
      <w:r>
        <w:rPr>
          <w:rFonts w:ascii="Cambria"/>
          <w:b/>
          <w:color w:val="1F487C"/>
          <w:sz w:val="28"/>
        </w:rPr>
        <w:t>Nursing Facility Direct Care Program Final Filing</w:t>
      </w:r>
    </w:p>
    <w:p w:rsidR="006C1E48" w:rsidRDefault="00673E06">
      <w:pPr>
        <w:spacing w:line="327" w:lineRule="exact"/>
        <w:ind w:left="2404"/>
        <w:rPr>
          <w:rFonts w:ascii="Cambria"/>
          <w:i/>
          <w:sz w:val="28"/>
        </w:rPr>
      </w:pPr>
      <w:r>
        <w:rPr>
          <w:rFonts w:ascii="Cambria"/>
          <w:i/>
          <w:color w:val="1F487C"/>
          <w:sz w:val="28"/>
        </w:rPr>
        <w:t>Frequently Asked Questions (FAQ)</w:t>
      </w:r>
    </w:p>
    <w:p w:rsidR="006C1E48" w:rsidRDefault="00673E06">
      <w:pPr>
        <w:pStyle w:val="Heading4"/>
        <w:spacing w:before="108"/>
        <w:ind w:left="2404" w:right="0"/>
      </w:pPr>
      <w:r>
        <w:t>v. 6-27-18</w:t>
      </w:r>
    </w:p>
    <w:p w:rsidR="006C1E48" w:rsidRDefault="006C1E48">
      <w:pPr>
        <w:pStyle w:val="BodyText"/>
        <w:rPr>
          <w:i w:val="0"/>
        </w:rPr>
      </w:pPr>
    </w:p>
    <w:p w:rsidR="006C1E48" w:rsidRDefault="006C1E48">
      <w:pPr>
        <w:pStyle w:val="BodyText"/>
        <w:spacing w:before="4"/>
        <w:rPr>
          <w:i w:val="0"/>
          <w:sz w:val="20"/>
        </w:rPr>
      </w:pPr>
    </w:p>
    <w:p w:rsidR="006C1E48" w:rsidRDefault="00673E06">
      <w:pPr>
        <w:ind w:left="2404"/>
        <w:rPr>
          <w:rFonts w:ascii="Cambria"/>
          <w:sz w:val="28"/>
        </w:rPr>
      </w:pPr>
      <w:r>
        <w:rPr>
          <w:rFonts w:ascii="Cambria"/>
          <w:color w:val="365F91"/>
          <w:sz w:val="28"/>
        </w:rPr>
        <w:t>Contents</w:t>
      </w:r>
    </w:p>
    <w:p w:rsidR="006C1E48" w:rsidRDefault="00673E06">
      <w:pPr>
        <w:pStyle w:val="Heading2"/>
        <w:tabs>
          <w:tab w:val="left" w:leader="dot" w:pos="9353"/>
        </w:tabs>
        <w:spacing w:before="50"/>
        <w:ind w:left="112" w:firstLine="0"/>
      </w:pPr>
      <w:hyperlink w:anchor="_bookmark0" w:history="1">
        <w:r>
          <w:rPr>
            <w:color w:val="1F487C"/>
          </w:rPr>
          <w:t>Eligibility and</w:t>
        </w:r>
        <w:r>
          <w:rPr>
            <w:color w:val="1F487C"/>
            <w:spacing w:val="-8"/>
          </w:rPr>
          <w:t xml:space="preserve"> </w:t>
        </w:r>
        <w:r>
          <w:rPr>
            <w:color w:val="1F487C"/>
          </w:rPr>
          <w:t>Eligible</w:t>
        </w:r>
        <w:r>
          <w:rPr>
            <w:color w:val="1F487C"/>
            <w:spacing w:val="-3"/>
          </w:rPr>
          <w:t xml:space="preserve"> </w:t>
        </w:r>
        <w:bookmarkStart w:id="0" w:name="_GoBack"/>
        <w:bookmarkEnd w:id="0"/>
        <w:r>
          <w:rPr>
            <w:color w:val="1F487C"/>
          </w:rPr>
          <w:t>Days</w:t>
        </w:r>
        <w:r>
          <w:rPr>
            <w:color w:val="1F487C"/>
          </w:rPr>
          <w:tab/>
          <w:t>3</w:t>
        </w:r>
      </w:hyperlink>
    </w:p>
    <w:p w:rsidR="006C1E48" w:rsidRDefault="00673E06">
      <w:pPr>
        <w:pStyle w:val="Heading4"/>
        <w:numPr>
          <w:ilvl w:val="0"/>
          <w:numId w:val="4"/>
        </w:numPr>
        <w:tabs>
          <w:tab w:val="left" w:pos="993"/>
          <w:tab w:val="left" w:pos="994"/>
          <w:tab w:val="left" w:leader="dot" w:pos="9353"/>
        </w:tabs>
        <w:spacing w:before="140"/>
        <w:ind w:right="0"/>
      </w:pPr>
      <w:hyperlink w:anchor="_bookmark1" w:history="1">
        <w:r>
          <w:t>What workers are eligible to receive the Direct</w:t>
        </w:r>
        <w:r>
          <w:rPr>
            <w:spacing w:val="-10"/>
          </w:rPr>
          <w:t xml:space="preserve"> </w:t>
        </w:r>
        <w:r>
          <w:t>Care</w:t>
        </w:r>
        <w:r>
          <w:rPr>
            <w:spacing w:val="-4"/>
          </w:rPr>
          <w:t xml:space="preserve"> </w:t>
        </w:r>
        <w:r>
          <w:t>revenue?</w:t>
        </w:r>
        <w:r>
          <w:tab/>
          <w:t>3</w:t>
        </w:r>
      </w:hyperlink>
    </w:p>
    <w:p w:rsidR="006C1E48" w:rsidRDefault="00673E06">
      <w:pPr>
        <w:pStyle w:val="Heading4"/>
        <w:numPr>
          <w:ilvl w:val="0"/>
          <w:numId w:val="4"/>
        </w:numPr>
        <w:tabs>
          <w:tab w:val="left" w:pos="993"/>
          <w:tab w:val="left" w:pos="994"/>
        </w:tabs>
        <w:spacing w:before="141" w:line="276" w:lineRule="auto"/>
        <w:ind w:right="882"/>
      </w:pPr>
      <w:hyperlink w:anchor="_bookmark2" w:history="1">
        <w:r>
          <w:t>Can the state clarify the types of employees that may be included in each of the eight categories?</w:t>
        </w:r>
      </w:hyperlink>
      <w:hyperlink w:anchor="_bookmark2" w:history="1">
        <w:r>
          <w:t xml:space="preserve"> 3</w:t>
        </w:r>
      </w:hyperlink>
    </w:p>
    <w:p w:rsidR="006C1E48" w:rsidRDefault="00673E06">
      <w:pPr>
        <w:pStyle w:val="Heading4"/>
        <w:numPr>
          <w:ilvl w:val="0"/>
          <w:numId w:val="4"/>
        </w:numPr>
        <w:tabs>
          <w:tab w:val="left" w:pos="993"/>
          <w:tab w:val="left" w:pos="994"/>
        </w:tabs>
        <w:spacing w:before="101" w:line="273" w:lineRule="auto"/>
        <w:ind w:right="662"/>
      </w:pPr>
      <w:hyperlink w:anchor="_bookmark3" w:history="1">
        <w:r>
          <w:t>Are employees from a temporary nursing agency that is owned by the nursing facility chain eligible?</w:t>
        </w:r>
      </w:hyperlink>
      <w:hyperlink w:anchor="_bookmark3" w:history="1">
        <w:r>
          <w:t xml:space="preserve"> 4</w:t>
        </w:r>
      </w:hyperlink>
    </w:p>
    <w:p w:rsidR="006C1E48" w:rsidRDefault="00673E06">
      <w:pPr>
        <w:pStyle w:val="Heading4"/>
        <w:numPr>
          <w:ilvl w:val="0"/>
          <w:numId w:val="4"/>
        </w:numPr>
        <w:tabs>
          <w:tab w:val="left" w:pos="993"/>
          <w:tab w:val="left" w:pos="994"/>
          <w:tab w:val="left" w:leader="dot" w:pos="9353"/>
        </w:tabs>
        <w:spacing w:before="105"/>
        <w:ind w:right="0"/>
      </w:pPr>
      <w:hyperlink w:anchor="_bookmark4" w:history="1">
        <w:r>
          <w:t>Are hospice days included in the</w:t>
        </w:r>
        <w:r>
          <w:rPr>
            <w:spacing w:val="-7"/>
          </w:rPr>
          <w:t xml:space="preserve"> </w:t>
        </w:r>
        <w:r>
          <w:t>Medicaid</w:t>
        </w:r>
        <w:r>
          <w:rPr>
            <w:spacing w:val="-2"/>
          </w:rPr>
          <w:t xml:space="preserve"> </w:t>
        </w:r>
        <w:r>
          <w:t>days?</w:t>
        </w:r>
        <w:r>
          <w:tab/>
          <w:t>4</w:t>
        </w:r>
      </w:hyperlink>
    </w:p>
    <w:p w:rsidR="006C1E48" w:rsidRDefault="00673E06">
      <w:pPr>
        <w:pStyle w:val="Heading4"/>
        <w:numPr>
          <w:ilvl w:val="0"/>
          <w:numId w:val="4"/>
        </w:numPr>
        <w:tabs>
          <w:tab w:val="left" w:pos="993"/>
          <w:tab w:val="left" w:pos="994"/>
          <w:tab w:val="left" w:leader="dot" w:pos="9353"/>
        </w:tabs>
        <w:spacing w:before="140"/>
        <w:ind w:right="0"/>
      </w:pPr>
      <w:hyperlink w:anchor="_bookmark5" w:history="1">
        <w:r>
          <w:t>Are contract</w:t>
        </w:r>
        <w:r>
          <w:rPr>
            <w:spacing w:val="-4"/>
          </w:rPr>
          <w:t xml:space="preserve"> </w:t>
        </w:r>
        <w:r>
          <w:t>employees</w:t>
        </w:r>
        <w:r>
          <w:rPr>
            <w:spacing w:val="-1"/>
          </w:rPr>
          <w:t xml:space="preserve"> </w:t>
        </w:r>
        <w:r>
          <w:t>eligible?</w:t>
        </w:r>
        <w:r>
          <w:tab/>
          <w:t>4</w:t>
        </w:r>
      </w:hyperlink>
    </w:p>
    <w:p w:rsidR="006C1E48" w:rsidRDefault="00673E06">
      <w:pPr>
        <w:pStyle w:val="Heading2"/>
        <w:tabs>
          <w:tab w:val="left" w:leader="dot" w:pos="9353"/>
        </w:tabs>
        <w:spacing w:before="139"/>
        <w:ind w:left="112" w:firstLine="0"/>
      </w:pPr>
      <w:hyperlink w:anchor="_bookmark6" w:history="1">
        <w:r>
          <w:rPr>
            <w:color w:val="1F487C"/>
          </w:rPr>
          <w:t>Payments, Spending</w:t>
        </w:r>
        <w:r>
          <w:rPr>
            <w:color w:val="1F487C"/>
            <w:spacing w:val="-4"/>
          </w:rPr>
          <w:t xml:space="preserve"> </w:t>
        </w:r>
        <w:r>
          <w:rPr>
            <w:color w:val="1F487C"/>
          </w:rPr>
          <w:t>and</w:t>
        </w:r>
        <w:r>
          <w:rPr>
            <w:color w:val="1F487C"/>
            <w:spacing w:val="-2"/>
          </w:rPr>
          <w:t xml:space="preserve"> </w:t>
        </w:r>
        <w:r>
          <w:rPr>
            <w:color w:val="1F487C"/>
          </w:rPr>
          <w:t>Rates</w:t>
        </w:r>
        <w:r>
          <w:rPr>
            <w:color w:val="1F487C"/>
          </w:rPr>
          <w:tab/>
          <w:t>4</w:t>
        </w:r>
      </w:hyperlink>
    </w:p>
    <w:p w:rsidR="006C1E48" w:rsidRDefault="00673E06">
      <w:pPr>
        <w:pStyle w:val="Heading4"/>
        <w:numPr>
          <w:ilvl w:val="0"/>
          <w:numId w:val="4"/>
        </w:numPr>
        <w:tabs>
          <w:tab w:val="left" w:pos="993"/>
          <w:tab w:val="left" w:pos="994"/>
          <w:tab w:val="left" w:leader="dot" w:pos="9353"/>
        </w:tabs>
        <w:spacing w:before="142"/>
        <w:ind w:right="0"/>
      </w:pPr>
      <w:hyperlink w:anchor="_bookmark7" w:history="1">
        <w:r>
          <w:t>Are non-payroll payments, such as gift cards, a permissible use</w:t>
        </w:r>
        <w:r>
          <w:rPr>
            <w:spacing w:val="-17"/>
          </w:rPr>
          <w:t xml:space="preserve"> </w:t>
        </w:r>
        <w:r>
          <w:t>of</w:t>
        </w:r>
        <w:r>
          <w:rPr>
            <w:spacing w:val="-2"/>
          </w:rPr>
          <w:t xml:space="preserve"> </w:t>
        </w:r>
        <w:r>
          <w:t>funds?</w:t>
        </w:r>
        <w:r>
          <w:tab/>
          <w:t>4</w:t>
        </w:r>
      </w:hyperlink>
    </w:p>
    <w:p w:rsidR="006C1E48" w:rsidRDefault="00673E06">
      <w:pPr>
        <w:pStyle w:val="Heading4"/>
        <w:numPr>
          <w:ilvl w:val="0"/>
          <w:numId w:val="4"/>
        </w:numPr>
        <w:tabs>
          <w:tab w:val="left" w:pos="993"/>
          <w:tab w:val="left" w:pos="994"/>
          <w:tab w:val="left" w:leader="dot" w:pos="9353"/>
        </w:tabs>
        <w:spacing w:before="139"/>
        <w:ind w:right="0"/>
      </w:pPr>
      <w:hyperlink w:anchor="_bookmark8" w:history="1">
        <w:r>
          <w:t>Where do I include spending on</w:t>
        </w:r>
        <w:r>
          <w:rPr>
            <w:spacing w:val="-9"/>
          </w:rPr>
          <w:t xml:space="preserve"> </w:t>
        </w:r>
        <w:r>
          <w:t>shift</w:t>
        </w:r>
        <w:r>
          <w:rPr>
            <w:spacing w:val="-1"/>
          </w:rPr>
          <w:t xml:space="preserve"> </w:t>
        </w:r>
        <w:r>
          <w:t>differentials?</w:t>
        </w:r>
        <w:r>
          <w:tab/>
          <w:t>4</w:t>
        </w:r>
      </w:hyperlink>
    </w:p>
    <w:p w:rsidR="006C1E48" w:rsidRDefault="00673E06">
      <w:pPr>
        <w:pStyle w:val="Heading4"/>
        <w:numPr>
          <w:ilvl w:val="0"/>
          <w:numId w:val="4"/>
        </w:numPr>
        <w:tabs>
          <w:tab w:val="left" w:pos="993"/>
          <w:tab w:val="left" w:pos="994"/>
          <w:tab w:val="left" w:leader="dot" w:pos="9353"/>
        </w:tabs>
        <w:spacing w:before="140"/>
        <w:ind w:right="0"/>
      </w:pPr>
      <w:hyperlink w:anchor="_bookmark9" w:history="1">
        <w:r>
          <w:t>Where do I include</w:t>
        </w:r>
        <w:r>
          <w:rPr>
            <w:spacing w:val="-6"/>
          </w:rPr>
          <w:t xml:space="preserve"> </w:t>
        </w:r>
        <w:r>
          <w:t>overtime spending?</w:t>
        </w:r>
        <w:r>
          <w:tab/>
          <w:t>4</w:t>
        </w:r>
      </w:hyperlink>
    </w:p>
    <w:p w:rsidR="006C1E48" w:rsidRDefault="00673E06">
      <w:pPr>
        <w:pStyle w:val="Heading4"/>
        <w:numPr>
          <w:ilvl w:val="0"/>
          <w:numId w:val="4"/>
        </w:numPr>
        <w:tabs>
          <w:tab w:val="left" w:pos="993"/>
          <w:tab w:val="left" w:pos="994"/>
          <w:tab w:val="left" w:leader="dot" w:pos="9353"/>
        </w:tabs>
        <w:spacing w:before="142"/>
        <w:ind w:right="0"/>
      </w:pPr>
      <w:hyperlink w:anchor="_bookmark10" w:history="1">
        <w:r>
          <w:t>Does the facility have to provide the Direct Care funds for all</w:t>
        </w:r>
        <w:r>
          <w:rPr>
            <w:spacing w:val="-22"/>
          </w:rPr>
          <w:t xml:space="preserve"> </w:t>
        </w:r>
        <w:r>
          <w:t>eligible</w:t>
        </w:r>
        <w:r>
          <w:rPr>
            <w:spacing w:val="-1"/>
          </w:rPr>
          <w:t xml:space="preserve"> </w:t>
        </w:r>
        <w:r>
          <w:t>staff?</w:t>
        </w:r>
        <w:r>
          <w:tab/>
          <w:t>4</w:t>
        </w:r>
      </w:hyperlink>
    </w:p>
    <w:p w:rsidR="006C1E48" w:rsidRDefault="00673E06">
      <w:pPr>
        <w:pStyle w:val="Heading4"/>
        <w:numPr>
          <w:ilvl w:val="0"/>
          <w:numId w:val="4"/>
        </w:numPr>
        <w:tabs>
          <w:tab w:val="left" w:pos="993"/>
          <w:tab w:val="left" w:pos="994"/>
          <w:tab w:val="left" w:leader="dot" w:pos="9353"/>
        </w:tabs>
        <w:spacing w:before="140"/>
        <w:ind w:right="0"/>
      </w:pPr>
      <w:hyperlink w:anchor="_bookmark11" w:history="1">
        <w:r>
          <w:t>Can facilities use the mo</w:t>
        </w:r>
        <w:r>
          <w:t>ney on</w:t>
        </w:r>
        <w:r>
          <w:rPr>
            <w:spacing w:val="-15"/>
          </w:rPr>
          <w:t xml:space="preserve"> </w:t>
        </w:r>
        <w:r>
          <w:t>new</w:t>
        </w:r>
        <w:r>
          <w:rPr>
            <w:spacing w:val="-3"/>
          </w:rPr>
          <w:t xml:space="preserve"> </w:t>
        </w:r>
        <w:r>
          <w:t>hires?</w:t>
        </w:r>
        <w:r>
          <w:tab/>
          <w:t>5</w:t>
        </w:r>
      </w:hyperlink>
    </w:p>
    <w:p w:rsidR="006C1E48" w:rsidRDefault="00673E06">
      <w:pPr>
        <w:pStyle w:val="Heading4"/>
        <w:numPr>
          <w:ilvl w:val="0"/>
          <w:numId w:val="4"/>
        </w:numPr>
        <w:tabs>
          <w:tab w:val="left" w:pos="993"/>
          <w:tab w:val="left" w:pos="994"/>
          <w:tab w:val="left" w:leader="dot" w:pos="9353"/>
        </w:tabs>
        <w:spacing w:before="139" w:line="276" w:lineRule="auto"/>
        <w:ind w:left="333" w:right="605" w:firstLine="0"/>
      </w:pPr>
      <w:hyperlink w:anchor="_bookmark12" w:history="1">
        <w:r>
          <w:t>What happens if I use contract staff for one period and have employees filling those positions during</w:t>
        </w:r>
      </w:hyperlink>
      <w:hyperlink w:anchor="_bookmark12" w:history="1">
        <w:r>
          <w:t xml:space="preserve"> the other period? For example, if I used a contract service for housekeeping during the base period and</w:t>
        </w:r>
      </w:hyperlink>
      <w:hyperlink w:anchor="_bookmark12" w:history="1">
        <w:r>
          <w:t xml:space="preserve"> hired housekeepers before or during the</w:t>
        </w:r>
        <w:r>
          <w:rPr>
            <w:spacing w:val="-11"/>
          </w:rPr>
          <w:t xml:space="preserve"> </w:t>
        </w:r>
        <w:r>
          <w:t>rate</w:t>
        </w:r>
        <w:r>
          <w:rPr>
            <w:spacing w:val="-3"/>
          </w:rPr>
          <w:t xml:space="preserve"> </w:t>
        </w:r>
        <w:r>
          <w:t>period?</w:t>
        </w:r>
        <w:r>
          <w:tab/>
          <w:t>5</w:t>
        </w:r>
      </w:hyperlink>
    </w:p>
    <w:p w:rsidR="006C1E48" w:rsidRDefault="00673E06">
      <w:pPr>
        <w:pStyle w:val="Heading4"/>
        <w:numPr>
          <w:ilvl w:val="0"/>
          <w:numId w:val="4"/>
        </w:numPr>
        <w:tabs>
          <w:tab w:val="left" w:pos="993"/>
          <w:tab w:val="left" w:pos="994"/>
          <w:tab w:val="left" w:leader="dot" w:pos="9353"/>
        </w:tabs>
        <w:spacing w:before="101" w:line="276" w:lineRule="auto"/>
        <w:ind w:left="333" w:right="825" w:firstLine="0"/>
      </w:pPr>
      <w:hyperlink w:anchor="_bookmark13" w:history="1">
        <w:r>
          <w:t>Can facilities pay different bonus</w:t>
        </w:r>
        <w:r>
          <w:t xml:space="preserve"> amounts to employees within a given department? For example,</w:t>
        </w:r>
      </w:hyperlink>
      <w:hyperlink w:anchor="_bookmark13" w:history="1">
        <w:r>
          <w:t xml:space="preserve"> can a facility pay one LPN a $500 bonus, another</w:t>
        </w:r>
        <w:r>
          <w:rPr>
            <w:spacing w:val="-18"/>
          </w:rPr>
          <w:t xml:space="preserve"> </w:t>
        </w:r>
        <w:r>
          <w:t>one</w:t>
        </w:r>
        <w:r>
          <w:rPr>
            <w:spacing w:val="-3"/>
          </w:rPr>
          <w:t xml:space="preserve"> </w:t>
        </w:r>
        <w:r>
          <w:t>$1,000?</w:t>
        </w:r>
        <w:r>
          <w:tab/>
          <w:t>5</w:t>
        </w:r>
      </w:hyperlink>
    </w:p>
    <w:p w:rsidR="006C1E48" w:rsidRDefault="00673E06">
      <w:pPr>
        <w:pStyle w:val="Heading4"/>
        <w:numPr>
          <w:ilvl w:val="0"/>
          <w:numId w:val="4"/>
        </w:numPr>
        <w:tabs>
          <w:tab w:val="left" w:pos="993"/>
          <w:tab w:val="left" w:pos="994"/>
          <w:tab w:val="left" w:leader="dot" w:pos="9353"/>
        </w:tabs>
        <w:spacing w:before="100"/>
        <w:ind w:right="0"/>
      </w:pPr>
      <w:hyperlink w:anchor="_bookmark14" w:history="1">
        <w:r>
          <w:t>How do facilities know the amount of their Direct Care revenue received for rate</w:t>
        </w:r>
        <w:r>
          <w:rPr>
            <w:spacing w:val="-23"/>
          </w:rPr>
          <w:t xml:space="preserve"> </w:t>
        </w:r>
        <w:r>
          <w:t>year</w:t>
        </w:r>
        <w:r>
          <w:rPr>
            <w:spacing w:val="-3"/>
          </w:rPr>
          <w:t xml:space="preserve"> </w:t>
        </w:r>
        <w:r>
          <w:t>2018?</w:t>
        </w:r>
        <w:r>
          <w:tab/>
          <w:t>5</w:t>
        </w:r>
      </w:hyperlink>
    </w:p>
    <w:p w:rsidR="006C1E48" w:rsidRDefault="00673E06">
      <w:pPr>
        <w:pStyle w:val="Heading4"/>
        <w:numPr>
          <w:ilvl w:val="0"/>
          <w:numId w:val="4"/>
        </w:numPr>
        <w:tabs>
          <w:tab w:val="left" w:pos="993"/>
          <w:tab w:val="left" w:pos="994"/>
          <w:tab w:val="left" w:leader="dot" w:pos="9353"/>
        </w:tabs>
        <w:spacing w:before="141"/>
        <w:ind w:right="0"/>
      </w:pPr>
      <w:hyperlink w:anchor="_bookmark15" w:history="1">
        <w:r>
          <w:t>What are permissible uses of the Direct</w:t>
        </w:r>
        <w:r>
          <w:rPr>
            <w:spacing w:val="-12"/>
          </w:rPr>
          <w:t xml:space="preserve"> </w:t>
        </w:r>
        <w:r>
          <w:t>Care revenue?</w:t>
        </w:r>
        <w:r>
          <w:tab/>
          <w:t>5</w:t>
        </w:r>
      </w:hyperlink>
    </w:p>
    <w:p w:rsidR="006C1E48" w:rsidRDefault="00673E06">
      <w:pPr>
        <w:pStyle w:val="Heading4"/>
        <w:numPr>
          <w:ilvl w:val="0"/>
          <w:numId w:val="4"/>
        </w:numPr>
        <w:tabs>
          <w:tab w:val="left" w:pos="993"/>
          <w:tab w:val="left" w:pos="994"/>
          <w:tab w:val="left" w:leader="dot" w:pos="9353"/>
        </w:tabs>
        <w:spacing w:before="140"/>
        <w:ind w:right="0"/>
      </w:pPr>
      <w:hyperlink w:anchor="_bookmark16" w:history="1">
        <w:r>
          <w:t>Will EOHHS monitor Direct Care</w:t>
        </w:r>
        <w:r>
          <w:rPr>
            <w:spacing w:val="-10"/>
          </w:rPr>
          <w:t xml:space="preserve"> </w:t>
        </w:r>
        <w:r>
          <w:t>spending</w:t>
        </w:r>
        <w:r>
          <w:rPr>
            <w:spacing w:val="-1"/>
          </w:rPr>
          <w:t xml:space="preserve"> </w:t>
        </w:r>
        <w:r>
          <w:t>comp</w:t>
        </w:r>
        <w:r>
          <w:t>liance?</w:t>
        </w:r>
        <w:r>
          <w:tab/>
          <w:t>5</w:t>
        </w:r>
      </w:hyperlink>
    </w:p>
    <w:p w:rsidR="006C1E48" w:rsidRDefault="00673E06">
      <w:pPr>
        <w:pStyle w:val="Heading2"/>
        <w:tabs>
          <w:tab w:val="left" w:leader="dot" w:pos="9353"/>
        </w:tabs>
        <w:spacing w:before="140"/>
        <w:ind w:left="112" w:firstLine="0"/>
      </w:pPr>
      <w:hyperlink w:anchor="_bookmark17" w:history="1">
        <w:r>
          <w:rPr>
            <w:color w:val="1F487C"/>
          </w:rPr>
          <w:t>Reporting, Filing</w:t>
        </w:r>
        <w:r>
          <w:rPr>
            <w:color w:val="1F487C"/>
            <w:spacing w:val="-4"/>
          </w:rPr>
          <w:t xml:space="preserve"> </w:t>
        </w:r>
        <w:r>
          <w:rPr>
            <w:color w:val="1F487C"/>
          </w:rPr>
          <w:t>and</w:t>
        </w:r>
        <w:r>
          <w:rPr>
            <w:color w:val="1F487C"/>
            <w:spacing w:val="-3"/>
          </w:rPr>
          <w:t xml:space="preserve"> </w:t>
        </w:r>
        <w:r>
          <w:rPr>
            <w:color w:val="1F487C"/>
          </w:rPr>
          <w:t>Timelines</w:t>
        </w:r>
        <w:r>
          <w:rPr>
            <w:color w:val="1F487C"/>
          </w:rPr>
          <w:tab/>
          <w:t>7</w:t>
        </w:r>
      </w:hyperlink>
    </w:p>
    <w:p w:rsidR="006C1E48" w:rsidRDefault="00673E06">
      <w:pPr>
        <w:pStyle w:val="Heading4"/>
        <w:numPr>
          <w:ilvl w:val="0"/>
          <w:numId w:val="4"/>
        </w:numPr>
        <w:tabs>
          <w:tab w:val="left" w:pos="993"/>
          <w:tab w:val="left" w:pos="994"/>
          <w:tab w:val="left" w:leader="dot" w:pos="9353"/>
        </w:tabs>
        <w:spacing w:before="142"/>
        <w:ind w:right="0"/>
      </w:pPr>
      <w:hyperlink w:anchor="_bookmark18" w:history="1">
        <w:r>
          <w:t>How does a nursing facility document Direct</w:t>
        </w:r>
        <w:r>
          <w:rPr>
            <w:spacing w:val="-17"/>
          </w:rPr>
          <w:t xml:space="preserve"> </w:t>
        </w:r>
        <w:r>
          <w:t>Care</w:t>
        </w:r>
        <w:r>
          <w:rPr>
            <w:spacing w:val="-1"/>
          </w:rPr>
          <w:t xml:space="preserve"> </w:t>
        </w:r>
        <w:r>
          <w:t>spending?</w:t>
        </w:r>
        <w:r>
          <w:tab/>
          <w:t>7</w:t>
        </w:r>
      </w:hyperlink>
    </w:p>
    <w:p w:rsidR="006C1E48" w:rsidRDefault="00673E06">
      <w:pPr>
        <w:pStyle w:val="Heading4"/>
        <w:numPr>
          <w:ilvl w:val="0"/>
          <w:numId w:val="4"/>
        </w:numPr>
        <w:tabs>
          <w:tab w:val="left" w:pos="993"/>
          <w:tab w:val="left" w:pos="994"/>
          <w:tab w:val="left" w:leader="dot" w:pos="9353"/>
        </w:tabs>
        <w:spacing w:before="139"/>
        <w:ind w:right="0"/>
      </w:pPr>
      <w:hyperlink w:anchor="_bookmark19" w:history="1">
        <w:r>
          <w:t>Is filing the interim compliance form by February 1,</w:t>
        </w:r>
        <w:r>
          <w:rPr>
            <w:spacing w:val="-19"/>
          </w:rPr>
          <w:t xml:space="preserve"> </w:t>
        </w:r>
        <w:r>
          <w:t>2018</w:t>
        </w:r>
        <w:r>
          <w:rPr>
            <w:spacing w:val="-4"/>
          </w:rPr>
          <w:t xml:space="preserve"> </w:t>
        </w:r>
        <w:r>
          <w:t>mandatory?</w:t>
        </w:r>
        <w:r>
          <w:tab/>
          <w:t>7</w:t>
        </w:r>
      </w:hyperlink>
    </w:p>
    <w:p w:rsidR="006C1E48" w:rsidRDefault="00673E06">
      <w:pPr>
        <w:pStyle w:val="Heading4"/>
        <w:numPr>
          <w:ilvl w:val="0"/>
          <w:numId w:val="4"/>
        </w:numPr>
        <w:tabs>
          <w:tab w:val="left" w:pos="993"/>
          <w:tab w:val="left" w:pos="994"/>
          <w:tab w:val="left" w:leader="dot" w:pos="9353"/>
        </w:tabs>
        <w:spacing w:before="140"/>
        <w:ind w:right="0"/>
      </w:pPr>
      <w:hyperlink w:anchor="_bookmark20" w:history="1">
        <w:r>
          <w:t>What is the website for</w:t>
        </w:r>
        <w:r>
          <w:rPr>
            <w:spacing w:val="-4"/>
          </w:rPr>
          <w:t xml:space="preserve"> </w:t>
        </w:r>
        <w:r>
          <w:t>the</w:t>
        </w:r>
        <w:r>
          <w:rPr>
            <w:spacing w:val="-3"/>
          </w:rPr>
          <w:t xml:space="preserve"> </w:t>
        </w:r>
        <w:r>
          <w:t>webform?</w:t>
        </w:r>
        <w:r>
          <w:tab/>
          <w:t>7</w:t>
        </w:r>
      </w:hyperlink>
    </w:p>
    <w:p w:rsidR="006C1E48" w:rsidRDefault="00673E06">
      <w:pPr>
        <w:pStyle w:val="Heading4"/>
        <w:numPr>
          <w:ilvl w:val="0"/>
          <w:numId w:val="4"/>
        </w:numPr>
        <w:tabs>
          <w:tab w:val="left" w:pos="993"/>
          <w:tab w:val="left" w:pos="994"/>
          <w:tab w:val="left" w:leader="dot" w:pos="9353"/>
        </w:tabs>
        <w:spacing w:before="141"/>
        <w:ind w:right="0"/>
      </w:pPr>
      <w:hyperlink w:anchor="_bookmark21" w:history="1">
        <w:r>
          <w:t>What is the due date for submission of the Final</w:t>
        </w:r>
        <w:r>
          <w:rPr>
            <w:spacing w:val="-16"/>
          </w:rPr>
          <w:t xml:space="preserve"> </w:t>
        </w:r>
        <w:r>
          <w:t>Compliance Form?</w:t>
        </w:r>
        <w:r>
          <w:tab/>
          <w:t>7</w:t>
        </w:r>
      </w:hyperlink>
    </w:p>
    <w:p w:rsidR="006C1E48" w:rsidRDefault="006C1E48">
      <w:pPr>
        <w:sectPr w:rsidR="006C1E48">
          <w:footerReference w:type="default" r:id="rId9"/>
          <w:type w:val="continuous"/>
          <w:pgSz w:w="12240" w:h="15840"/>
          <w:pgMar w:top="1180" w:right="620" w:bottom="1180" w:left="1040" w:header="720" w:footer="991" w:gutter="0"/>
          <w:pgNumType w:start="1"/>
          <w:cols w:space="720"/>
        </w:sectPr>
      </w:pPr>
    </w:p>
    <w:sdt>
      <w:sdtPr>
        <w:id w:val="-1389725232"/>
        <w:docPartObj>
          <w:docPartGallery w:val="Table of Contents"/>
          <w:docPartUnique/>
        </w:docPartObj>
      </w:sdtPr>
      <w:sdtEndPr/>
      <w:sdtContent>
        <w:p w:rsidR="006C1E48" w:rsidRDefault="00673E06">
          <w:pPr>
            <w:pStyle w:val="TOC2"/>
            <w:numPr>
              <w:ilvl w:val="0"/>
              <w:numId w:val="4"/>
            </w:numPr>
            <w:tabs>
              <w:tab w:val="left" w:pos="993"/>
              <w:tab w:val="left" w:pos="994"/>
              <w:tab w:val="left" w:leader="dot" w:pos="9353"/>
            </w:tabs>
            <w:spacing w:before="29"/>
          </w:pPr>
          <w:hyperlink w:anchor="_bookmark22" w:history="1">
            <w:r>
              <w:t>Is filing the final compliance form due by July 31,</w:t>
            </w:r>
            <w:r>
              <w:rPr>
                <w:spacing w:val="-19"/>
              </w:rPr>
              <w:t xml:space="preserve"> </w:t>
            </w:r>
            <w:r>
              <w:t>2018</w:t>
            </w:r>
            <w:r>
              <w:rPr>
                <w:spacing w:val="-3"/>
              </w:rPr>
              <w:t xml:space="preserve"> </w:t>
            </w:r>
            <w:r>
              <w:t>mandatory?</w:t>
            </w:r>
            <w:r>
              <w:tab/>
              <w:t>7</w:t>
            </w:r>
          </w:hyperlink>
        </w:p>
        <w:p w:rsidR="006C1E48" w:rsidRDefault="00673E06">
          <w:pPr>
            <w:pStyle w:val="TOC2"/>
            <w:numPr>
              <w:ilvl w:val="0"/>
              <w:numId w:val="4"/>
            </w:numPr>
            <w:tabs>
              <w:tab w:val="left" w:pos="993"/>
              <w:tab w:val="left" w:pos="994"/>
              <w:tab w:val="left" w:leader="dot" w:pos="9353"/>
            </w:tabs>
          </w:pPr>
          <w:hyperlink w:anchor="_bookmark23" w:history="1">
            <w:r>
              <w:t>How does a facility register for the Compliance Fo</w:t>
            </w:r>
            <w:r>
              <w:t>rm</w:t>
            </w:r>
            <w:r>
              <w:rPr>
                <w:spacing w:val="-16"/>
              </w:rPr>
              <w:t xml:space="preserve"> </w:t>
            </w:r>
            <w:r>
              <w:t>web</w:t>
            </w:r>
            <w:r>
              <w:rPr>
                <w:spacing w:val="-2"/>
              </w:rPr>
              <w:t xml:space="preserve"> </w:t>
            </w:r>
            <w:r>
              <w:t>application?</w:t>
            </w:r>
            <w:r>
              <w:tab/>
              <w:t>7</w:t>
            </w:r>
          </w:hyperlink>
        </w:p>
        <w:p w:rsidR="006C1E48" w:rsidRDefault="00673E06">
          <w:pPr>
            <w:pStyle w:val="TOC2"/>
            <w:numPr>
              <w:ilvl w:val="0"/>
              <w:numId w:val="4"/>
            </w:numPr>
            <w:tabs>
              <w:tab w:val="left" w:pos="993"/>
              <w:tab w:val="left" w:pos="994"/>
              <w:tab w:val="left" w:leader="dot" w:pos="9353"/>
            </w:tabs>
            <w:spacing w:before="142" w:line="273" w:lineRule="auto"/>
            <w:ind w:left="333" w:right="1112" w:firstLine="0"/>
          </w:pPr>
          <w:hyperlink w:anchor="_bookmark24" w:history="1">
            <w:r>
              <w:t>How does a facility register new staff or remove staff who will no longer be working on the</w:t>
            </w:r>
          </w:hyperlink>
          <w:hyperlink w:anchor="_bookmark24" w:history="1">
            <w:r>
              <w:t xml:space="preserve"> webform?</w:t>
            </w:r>
            <w:r>
              <w:tab/>
            </w:r>
            <w:r>
              <w:rPr>
                <w:spacing w:val="-17"/>
              </w:rPr>
              <w:t>8</w:t>
            </w:r>
          </w:hyperlink>
        </w:p>
        <w:p w:rsidR="006C1E48" w:rsidRDefault="00673E06">
          <w:pPr>
            <w:pStyle w:val="TOC2"/>
            <w:numPr>
              <w:ilvl w:val="0"/>
              <w:numId w:val="4"/>
            </w:numPr>
            <w:tabs>
              <w:tab w:val="left" w:pos="993"/>
              <w:tab w:val="left" w:pos="994"/>
              <w:tab w:val="left" w:leader="dot" w:pos="9353"/>
            </w:tabs>
            <w:spacing w:before="106"/>
          </w:pPr>
          <w:hyperlink w:anchor="_bookmark25" w:history="1">
            <w:r>
              <w:t>Will EOHHS audit the Compliance</w:t>
            </w:r>
            <w:r>
              <w:rPr>
                <w:spacing w:val="-11"/>
              </w:rPr>
              <w:t xml:space="preserve"> </w:t>
            </w:r>
            <w:r>
              <w:t>Form</w:t>
            </w:r>
            <w:r>
              <w:rPr>
                <w:spacing w:val="-1"/>
              </w:rPr>
              <w:t xml:space="preserve"> </w:t>
            </w:r>
            <w:r>
              <w:t>submissions?</w:t>
            </w:r>
            <w:r>
              <w:tab/>
              <w:t>8</w:t>
            </w:r>
          </w:hyperlink>
        </w:p>
        <w:p w:rsidR="006C1E48" w:rsidRDefault="00673E06">
          <w:pPr>
            <w:pStyle w:val="TOC2"/>
            <w:numPr>
              <w:ilvl w:val="0"/>
              <w:numId w:val="4"/>
            </w:numPr>
            <w:tabs>
              <w:tab w:val="left" w:pos="993"/>
              <w:tab w:val="left" w:pos="994"/>
              <w:tab w:val="left" w:leader="dot" w:pos="9353"/>
            </w:tabs>
            <w:spacing w:line="276" w:lineRule="auto"/>
            <w:ind w:left="333" w:right="1112" w:firstLine="0"/>
          </w:pPr>
          <w:hyperlink w:anchor="_bookmark26" w:history="1">
            <w:r>
              <w:t>What is the baseline period to which increased Direct Care spending for eligible staff will be</w:t>
            </w:r>
          </w:hyperlink>
          <w:hyperlink w:anchor="_bookmark26" w:history="1">
            <w:r>
              <w:t xml:space="preserve"> compared?</w:t>
            </w:r>
            <w:r>
              <w:tab/>
            </w:r>
            <w:r>
              <w:rPr>
                <w:spacing w:val="-17"/>
              </w:rPr>
              <w:t>8</w:t>
            </w:r>
          </w:hyperlink>
        </w:p>
        <w:p w:rsidR="006C1E48" w:rsidRDefault="00673E06">
          <w:pPr>
            <w:pStyle w:val="TOC2"/>
            <w:numPr>
              <w:ilvl w:val="0"/>
              <w:numId w:val="4"/>
            </w:numPr>
            <w:tabs>
              <w:tab w:val="left" w:pos="993"/>
              <w:tab w:val="left" w:pos="994"/>
              <w:tab w:val="left" w:leader="dot" w:pos="9353"/>
            </w:tabs>
            <w:spacing w:before="100" w:line="276" w:lineRule="auto"/>
            <w:ind w:left="333" w:right="993" w:firstLine="0"/>
          </w:pPr>
          <w:hyperlink w:anchor="_bookmark27" w:history="1">
            <w:r>
              <w:t>I’m giving money to different employee types this year than last year. How is the comparison to</w:t>
            </w:r>
          </w:hyperlink>
          <w:hyperlink w:anchor="_bookmark27" w:history="1">
            <w:r>
              <w:t xml:space="preserve"> baseline period</w:t>
            </w:r>
            <w:r>
              <w:rPr>
                <w:spacing w:val="-3"/>
              </w:rPr>
              <w:t xml:space="preserve"> </w:t>
            </w:r>
            <w:r>
              <w:t>data</w:t>
            </w:r>
            <w:r>
              <w:rPr>
                <w:spacing w:val="-3"/>
              </w:rPr>
              <w:t xml:space="preserve"> </w:t>
            </w:r>
            <w:r>
              <w:t>made?</w:t>
            </w:r>
            <w:r>
              <w:tab/>
              <w:t>8</w:t>
            </w:r>
          </w:hyperlink>
        </w:p>
        <w:p w:rsidR="006C1E48" w:rsidRDefault="00673E06">
          <w:pPr>
            <w:pStyle w:val="TOC2"/>
            <w:numPr>
              <w:ilvl w:val="0"/>
              <w:numId w:val="4"/>
            </w:numPr>
            <w:tabs>
              <w:tab w:val="left" w:pos="993"/>
              <w:tab w:val="left" w:pos="994"/>
              <w:tab w:val="left" w:leader="dot" w:pos="9353"/>
            </w:tabs>
            <w:spacing w:before="100" w:line="276" w:lineRule="auto"/>
            <w:ind w:left="333" w:right="788" w:firstLine="0"/>
          </w:pPr>
          <w:hyperlink w:anchor="_bookmark28" w:history="1">
            <w:r>
              <w:t>I</w:t>
            </w:r>
            <w:r>
              <w:rPr>
                <w:spacing w:val="-2"/>
              </w:rPr>
              <w:t xml:space="preserve"> </w:t>
            </w:r>
            <w:r>
              <w:t>forgot</w:t>
            </w:r>
            <w:r>
              <w:rPr>
                <w:spacing w:val="-2"/>
              </w:rPr>
              <w:t xml:space="preserve"> </w:t>
            </w:r>
            <w:r>
              <w:t>to</w:t>
            </w:r>
            <w:r>
              <w:rPr>
                <w:spacing w:val="-3"/>
              </w:rPr>
              <w:t xml:space="preserve"> </w:t>
            </w:r>
            <w:r>
              <w:t>enter</w:t>
            </w:r>
            <w:r>
              <w:rPr>
                <w:spacing w:val="-1"/>
              </w:rPr>
              <w:t xml:space="preserve"> </w:t>
            </w:r>
            <w:r>
              <w:t>base</w:t>
            </w:r>
            <w:r>
              <w:rPr>
                <w:spacing w:val="-1"/>
              </w:rPr>
              <w:t xml:space="preserve"> </w:t>
            </w:r>
            <w:r>
              <w:t>period</w:t>
            </w:r>
            <w:r>
              <w:rPr>
                <w:spacing w:val="-3"/>
              </w:rPr>
              <w:t xml:space="preserve"> </w:t>
            </w:r>
            <w:r>
              <w:t>data</w:t>
            </w:r>
            <w:r>
              <w:rPr>
                <w:spacing w:val="-2"/>
              </w:rPr>
              <w:t xml:space="preserve"> </w:t>
            </w:r>
            <w:r>
              <w:t>for</w:t>
            </w:r>
            <w:r>
              <w:rPr>
                <w:spacing w:val="-5"/>
              </w:rPr>
              <w:t xml:space="preserve"> </w:t>
            </w:r>
            <w:r>
              <w:t>an</w:t>
            </w:r>
            <w:r>
              <w:rPr>
                <w:spacing w:val="-2"/>
              </w:rPr>
              <w:t xml:space="preserve"> </w:t>
            </w:r>
            <w:r>
              <w:t>employee</w:t>
            </w:r>
            <w:r>
              <w:rPr>
                <w:spacing w:val="-1"/>
              </w:rPr>
              <w:t xml:space="preserve"> </w:t>
            </w:r>
            <w:r>
              <w:t>type</w:t>
            </w:r>
            <w:r>
              <w:rPr>
                <w:spacing w:val="-1"/>
              </w:rPr>
              <w:t xml:space="preserve"> </w:t>
            </w:r>
            <w:r>
              <w:t>to</w:t>
            </w:r>
            <w:r>
              <w:rPr>
                <w:spacing w:val="-1"/>
              </w:rPr>
              <w:t xml:space="preserve"> </w:t>
            </w:r>
            <w:r>
              <w:t>whom</w:t>
            </w:r>
            <w:r>
              <w:rPr>
                <w:spacing w:val="-1"/>
              </w:rPr>
              <w:t xml:space="preserve"> </w:t>
            </w:r>
            <w:r>
              <w:t>I’m</w:t>
            </w:r>
            <w:r>
              <w:rPr>
                <w:spacing w:val="-1"/>
              </w:rPr>
              <w:t xml:space="preserve"> </w:t>
            </w:r>
            <w:r>
              <w:t>n</w:t>
            </w:r>
            <w:r>
              <w:t>ow</w:t>
            </w:r>
            <w:r>
              <w:rPr>
                <w:spacing w:val="-1"/>
              </w:rPr>
              <w:t xml:space="preserve"> </w:t>
            </w:r>
            <w:r>
              <w:t>giving</w:t>
            </w:r>
            <w:r>
              <w:rPr>
                <w:spacing w:val="-4"/>
              </w:rPr>
              <w:t xml:space="preserve"> </w:t>
            </w:r>
            <w:r>
              <w:t>Direct</w:t>
            </w:r>
            <w:r>
              <w:rPr>
                <w:spacing w:val="-2"/>
              </w:rPr>
              <w:t xml:space="preserve"> </w:t>
            </w:r>
            <w:r>
              <w:t>Care</w:t>
            </w:r>
            <w:r>
              <w:rPr>
                <w:spacing w:val="-5"/>
              </w:rPr>
              <w:t xml:space="preserve"> </w:t>
            </w:r>
            <w:r>
              <w:t>funds.</w:t>
            </w:r>
          </w:hyperlink>
          <w:hyperlink w:anchor="_bookmark28" w:history="1">
            <w:r>
              <w:t xml:space="preserve"> Can I edit base</w:t>
            </w:r>
            <w:r>
              <w:rPr>
                <w:spacing w:val="-5"/>
              </w:rPr>
              <w:t xml:space="preserve"> </w:t>
            </w:r>
            <w:r>
              <w:t>period</w:t>
            </w:r>
            <w:r>
              <w:rPr>
                <w:spacing w:val="-2"/>
              </w:rPr>
              <w:t xml:space="preserve"> </w:t>
            </w:r>
            <w:r>
              <w:t>data?</w:t>
            </w:r>
            <w:r>
              <w:tab/>
              <w:t>8</w:t>
            </w:r>
          </w:hyperlink>
        </w:p>
        <w:p w:rsidR="006C1E48" w:rsidRDefault="00673E06">
          <w:pPr>
            <w:pStyle w:val="TOC2"/>
            <w:numPr>
              <w:ilvl w:val="0"/>
              <w:numId w:val="4"/>
            </w:numPr>
            <w:tabs>
              <w:tab w:val="left" w:pos="993"/>
              <w:tab w:val="left" w:pos="994"/>
              <w:tab w:val="left" w:leader="dot" w:pos="9353"/>
            </w:tabs>
            <w:spacing w:before="100"/>
          </w:pPr>
          <w:hyperlink w:anchor="_bookmark29" w:history="1">
            <w:r>
              <w:t>Why aren’t overtime hour and wage fields opened</w:t>
            </w:r>
            <w:r>
              <w:rPr>
                <w:spacing w:val="-10"/>
              </w:rPr>
              <w:t xml:space="preserve"> </w:t>
            </w:r>
            <w:r>
              <w:t>in</w:t>
            </w:r>
            <w:r>
              <w:rPr>
                <w:spacing w:val="-4"/>
              </w:rPr>
              <w:t xml:space="preserve"> </w:t>
            </w:r>
            <w:r>
              <w:t>RY16?</w:t>
            </w:r>
            <w:r>
              <w:tab/>
              <w:t>9</w:t>
            </w:r>
          </w:hyperlink>
        </w:p>
        <w:p w:rsidR="006C1E48" w:rsidRDefault="00673E06">
          <w:pPr>
            <w:pStyle w:val="TOC2"/>
            <w:numPr>
              <w:ilvl w:val="0"/>
              <w:numId w:val="4"/>
            </w:numPr>
            <w:tabs>
              <w:tab w:val="left" w:pos="993"/>
              <w:tab w:val="left" w:pos="994"/>
              <w:tab w:val="left" w:leader="dot" w:pos="9353"/>
            </w:tabs>
            <w:spacing w:before="142" w:line="273" w:lineRule="auto"/>
            <w:ind w:left="333" w:right="1112" w:firstLine="0"/>
          </w:pPr>
          <w:hyperlink w:anchor="_bookmark30" w:history="1">
            <w:r>
              <w:t>Is it acceptable to report allocated amounts for expense categories that do not have direct</w:t>
            </w:r>
          </w:hyperlink>
          <w:hyperlink w:anchor="_bookmark30" w:history="1">
            <w:r>
              <w:t xml:space="preserve"> employee-specific costs, such as</w:t>
            </w:r>
            <w:r>
              <w:rPr>
                <w:spacing w:val="-11"/>
              </w:rPr>
              <w:t xml:space="preserve"> </w:t>
            </w:r>
            <w:r>
              <w:t>worker’s</w:t>
            </w:r>
            <w:r>
              <w:rPr>
                <w:spacing w:val="-5"/>
              </w:rPr>
              <w:t xml:space="preserve"> </w:t>
            </w:r>
            <w:r>
              <w:t>compensation?</w:t>
            </w:r>
            <w:r>
              <w:tab/>
            </w:r>
            <w:r>
              <w:rPr>
                <w:spacing w:val="-17"/>
              </w:rPr>
              <w:t>9</w:t>
            </w:r>
          </w:hyperlink>
        </w:p>
        <w:p w:rsidR="006C1E48" w:rsidRDefault="00673E06">
          <w:pPr>
            <w:pStyle w:val="TOC2"/>
            <w:numPr>
              <w:ilvl w:val="0"/>
              <w:numId w:val="4"/>
            </w:numPr>
            <w:tabs>
              <w:tab w:val="left" w:pos="993"/>
              <w:tab w:val="left" w:pos="994"/>
              <w:tab w:val="left" w:leader="dot" w:pos="9353"/>
            </w:tabs>
            <w:spacing w:before="106"/>
          </w:pPr>
          <w:hyperlink w:anchor="_bookmark31" w:history="1">
            <w:r>
              <w:t>Will the Direct Care Program be continued in</w:t>
            </w:r>
            <w:r>
              <w:t xml:space="preserve"> fiscal</w:t>
            </w:r>
            <w:r>
              <w:rPr>
                <w:spacing w:val="-19"/>
              </w:rPr>
              <w:t xml:space="preserve"> </w:t>
            </w:r>
            <w:r>
              <w:t>year</w:t>
            </w:r>
            <w:r>
              <w:rPr>
                <w:spacing w:val="-1"/>
              </w:rPr>
              <w:t xml:space="preserve"> </w:t>
            </w:r>
            <w:r>
              <w:t>2019?</w:t>
            </w:r>
            <w:r>
              <w:tab/>
              <w:t>9</w:t>
            </w:r>
          </w:hyperlink>
        </w:p>
        <w:p w:rsidR="006C1E48" w:rsidRDefault="00673E06">
          <w:pPr>
            <w:pStyle w:val="TOC2"/>
            <w:numPr>
              <w:ilvl w:val="0"/>
              <w:numId w:val="4"/>
            </w:numPr>
            <w:tabs>
              <w:tab w:val="left" w:pos="993"/>
              <w:tab w:val="left" w:pos="994"/>
              <w:tab w:val="left" w:leader="dot" w:pos="9353"/>
            </w:tabs>
          </w:pPr>
          <w:hyperlink w:anchor="_bookmark32" w:history="1">
            <w:r>
              <w:t>Do facilities report the data on an accrual or</w:t>
            </w:r>
            <w:r>
              <w:rPr>
                <w:spacing w:val="-15"/>
              </w:rPr>
              <w:t xml:space="preserve"> </w:t>
            </w:r>
            <w:r>
              <w:t>cash</w:t>
            </w:r>
            <w:r>
              <w:rPr>
                <w:spacing w:val="-3"/>
              </w:rPr>
              <w:t xml:space="preserve"> </w:t>
            </w:r>
            <w:r>
              <w:t>basis?</w:t>
            </w:r>
            <w:r>
              <w:tab/>
              <w:t>9</w:t>
            </w:r>
          </w:hyperlink>
        </w:p>
        <w:p w:rsidR="006C1E48" w:rsidRDefault="00673E06">
          <w:pPr>
            <w:pStyle w:val="TOC1"/>
            <w:tabs>
              <w:tab w:val="left" w:leader="dot" w:pos="9353"/>
            </w:tabs>
          </w:pPr>
          <w:hyperlink w:anchor="_bookmark33" w:history="1">
            <w:r>
              <w:rPr>
                <w:color w:val="1F487C"/>
              </w:rPr>
              <w:t>Compliance</w:t>
            </w:r>
            <w:r>
              <w:rPr>
                <w:color w:val="1F487C"/>
              </w:rPr>
              <w:tab/>
              <w:t>9</w:t>
            </w:r>
          </w:hyperlink>
        </w:p>
        <w:p w:rsidR="006C1E48" w:rsidRDefault="00673E06">
          <w:pPr>
            <w:pStyle w:val="TOC2"/>
            <w:numPr>
              <w:ilvl w:val="0"/>
              <w:numId w:val="4"/>
            </w:numPr>
            <w:tabs>
              <w:tab w:val="left" w:pos="993"/>
              <w:tab w:val="left" w:pos="994"/>
              <w:tab w:val="left" w:leader="dot" w:pos="9353"/>
            </w:tabs>
            <w:spacing w:before="142"/>
          </w:pPr>
          <w:hyperlink w:anchor="_bookmark34" w:history="1">
            <w:r>
              <w:t>Has the agency issued compliance rules governing the Direct</w:t>
            </w:r>
            <w:r>
              <w:rPr>
                <w:spacing w:val="-15"/>
              </w:rPr>
              <w:t xml:space="preserve"> </w:t>
            </w:r>
            <w:r>
              <w:t>Care</w:t>
            </w:r>
            <w:r>
              <w:rPr>
                <w:spacing w:val="-1"/>
              </w:rPr>
              <w:t xml:space="preserve"> </w:t>
            </w:r>
            <w:r>
              <w:t>pro</w:t>
            </w:r>
            <w:r>
              <w:t>gram?</w:t>
            </w:r>
            <w:r>
              <w:tab/>
              <w:t>9</w:t>
            </w:r>
          </w:hyperlink>
        </w:p>
        <w:p w:rsidR="006C1E48" w:rsidRDefault="00673E06">
          <w:pPr>
            <w:pStyle w:val="TOC2"/>
            <w:numPr>
              <w:ilvl w:val="0"/>
              <w:numId w:val="4"/>
            </w:numPr>
            <w:tabs>
              <w:tab w:val="left" w:pos="993"/>
              <w:tab w:val="left" w:pos="994"/>
              <w:tab w:val="left" w:leader="dot" w:pos="9241"/>
            </w:tabs>
            <w:spacing w:before="140" w:line="276" w:lineRule="auto"/>
            <w:ind w:left="333" w:right="681" w:firstLine="0"/>
          </w:pPr>
          <w:hyperlink w:anchor="_bookmark35" w:history="1">
            <w:r>
              <w:t>What happens if EOHHS determines that a facility has not complied with FY18 Direct Care program</w:t>
            </w:r>
          </w:hyperlink>
          <w:hyperlink w:anchor="_bookmark35" w:history="1">
            <w:r>
              <w:t xml:space="preserve"> requirements after reviewing the data the facility has submitted electronically on the Com</w:t>
            </w:r>
            <w:r>
              <w:t>pliance Form? Is</w:t>
            </w:r>
          </w:hyperlink>
          <w:hyperlink w:anchor="_bookmark35" w:history="1">
            <w:r>
              <w:t xml:space="preserve"> there a penalty</w:t>
            </w:r>
            <w:r>
              <w:rPr>
                <w:spacing w:val="-8"/>
              </w:rPr>
              <w:t xml:space="preserve"> </w:t>
            </w:r>
            <w:r>
              <w:t>for</w:t>
            </w:r>
            <w:r>
              <w:rPr>
                <w:spacing w:val="-3"/>
              </w:rPr>
              <w:t xml:space="preserve"> </w:t>
            </w:r>
            <w:r>
              <w:t>noncompliance?</w:t>
            </w:r>
            <w:r>
              <w:tab/>
              <w:t>10</w:t>
            </w:r>
          </w:hyperlink>
        </w:p>
        <w:p w:rsidR="006C1E48" w:rsidRDefault="00673E06">
          <w:pPr>
            <w:pStyle w:val="TOC2"/>
            <w:numPr>
              <w:ilvl w:val="0"/>
              <w:numId w:val="4"/>
            </w:numPr>
            <w:tabs>
              <w:tab w:val="left" w:pos="993"/>
              <w:tab w:val="left" w:pos="994"/>
              <w:tab w:val="left" w:leader="dot" w:pos="9241"/>
            </w:tabs>
            <w:spacing w:before="101"/>
          </w:pPr>
          <w:hyperlink w:anchor="_bookmark36" w:history="1">
            <w:r>
              <w:t>Can compliance be counted across facilities in one chain</w:t>
            </w:r>
            <w:r>
              <w:rPr>
                <w:spacing w:val="-21"/>
              </w:rPr>
              <w:t xml:space="preserve"> </w:t>
            </w:r>
            <w:r>
              <w:t>of</w:t>
            </w:r>
            <w:r>
              <w:rPr>
                <w:spacing w:val="-2"/>
              </w:rPr>
              <w:t xml:space="preserve"> </w:t>
            </w:r>
            <w:r>
              <w:t>facilities?</w:t>
            </w:r>
            <w:r>
              <w:tab/>
              <w:t>10</w:t>
            </w:r>
          </w:hyperlink>
        </w:p>
        <w:p w:rsidR="006C1E48" w:rsidRDefault="00673E06">
          <w:pPr>
            <w:pStyle w:val="TOC2"/>
            <w:numPr>
              <w:ilvl w:val="0"/>
              <w:numId w:val="4"/>
            </w:numPr>
            <w:tabs>
              <w:tab w:val="left" w:pos="993"/>
              <w:tab w:val="left" w:pos="994"/>
              <w:tab w:val="left" w:leader="dot" w:pos="9241"/>
            </w:tabs>
          </w:pPr>
          <w:hyperlink w:anchor="_bookmark37" w:history="1">
            <w:r>
              <w:t>What do we do if we have questions or</w:t>
            </w:r>
            <w:r>
              <w:rPr>
                <w:spacing w:val="-11"/>
              </w:rPr>
              <w:t xml:space="preserve"> </w:t>
            </w:r>
            <w:r>
              <w:t>need</w:t>
            </w:r>
            <w:r>
              <w:rPr>
                <w:spacing w:val="-1"/>
              </w:rPr>
              <w:t xml:space="preserve"> </w:t>
            </w:r>
            <w:r>
              <w:t>clarification?</w:t>
            </w:r>
            <w:r>
              <w:tab/>
              <w:t>10</w:t>
            </w:r>
          </w:hyperlink>
        </w:p>
        <w:p w:rsidR="006C1E48" w:rsidRDefault="00673E06">
          <w:pPr>
            <w:pStyle w:val="TOC1"/>
            <w:tabs>
              <w:tab w:val="left" w:leader="dot" w:pos="9241"/>
            </w:tabs>
            <w:spacing w:before="140"/>
          </w:pPr>
          <w:hyperlink w:anchor="_bookmark38" w:history="1">
            <w:r>
              <w:rPr>
                <w:color w:val="1F487C"/>
              </w:rPr>
              <w:t>Definitions, Calculations</w:t>
            </w:r>
            <w:r>
              <w:rPr>
                <w:color w:val="1F487C"/>
                <w:spacing w:val="-9"/>
              </w:rPr>
              <w:t xml:space="preserve"> </w:t>
            </w:r>
            <w:r>
              <w:rPr>
                <w:color w:val="1F487C"/>
              </w:rPr>
              <w:t>and</w:t>
            </w:r>
            <w:r>
              <w:rPr>
                <w:color w:val="1F487C"/>
                <w:spacing w:val="-5"/>
              </w:rPr>
              <w:t xml:space="preserve"> </w:t>
            </w:r>
            <w:r>
              <w:rPr>
                <w:color w:val="1F487C"/>
              </w:rPr>
              <w:t>Documentation</w:t>
            </w:r>
            <w:r>
              <w:rPr>
                <w:color w:val="1F487C"/>
              </w:rPr>
              <w:tab/>
              <w:t>10</w:t>
            </w:r>
          </w:hyperlink>
        </w:p>
        <w:p w:rsidR="006C1E48" w:rsidRDefault="00673E06">
          <w:pPr>
            <w:pStyle w:val="TOC2"/>
            <w:numPr>
              <w:ilvl w:val="0"/>
              <w:numId w:val="4"/>
            </w:numPr>
            <w:tabs>
              <w:tab w:val="left" w:pos="993"/>
              <w:tab w:val="left" w:pos="994"/>
              <w:tab w:val="left" w:leader="dot" w:pos="9241"/>
            </w:tabs>
            <w:spacing w:before="142"/>
          </w:pPr>
          <w:hyperlink w:anchor="_bookmark39" w:history="1">
            <w:r>
              <w:t>How is full-time equivalent</w:t>
            </w:r>
            <w:r>
              <w:rPr>
                <w:spacing w:val="-11"/>
              </w:rPr>
              <w:t xml:space="preserve"> </w:t>
            </w:r>
            <w:r>
              <w:t>(FTE)</w:t>
            </w:r>
            <w:r>
              <w:rPr>
                <w:spacing w:val="-1"/>
              </w:rPr>
              <w:t xml:space="preserve"> </w:t>
            </w:r>
            <w:r>
              <w:t>calculated?</w:t>
            </w:r>
            <w:r>
              <w:tab/>
              <w:t>10</w:t>
            </w:r>
          </w:hyperlink>
        </w:p>
        <w:p w:rsidR="006C1E48" w:rsidRDefault="00673E06">
          <w:pPr>
            <w:pStyle w:val="TOC2"/>
            <w:numPr>
              <w:ilvl w:val="0"/>
              <w:numId w:val="4"/>
            </w:numPr>
            <w:tabs>
              <w:tab w:val="left" w:pos="993"/>
              <w:tab w:val="left" w:pos="994"/>
              <w:tab w:val="left" w:leader="dot" w:pos="9241"/>
            </w:tabs>
          </w:pPr>
          <w:hyperlink w:anchor="_bookmark40" w:history="1">
            <w:r>
              <w:t>Does “mean number of beds” in Part C line 3 refer to occupied or</w:t>
            </w:r>
            <w:r>
              <w:rPr>
                <w:spacing w:val="-17"/>
              </w:rPr>
              <w:t xml:space="preserve"> </w:t>
            </w:r>
            <w:r>
              <w:t>licensed beds?</w:t>
            </w:r>
            <w:r>
              <w:tab/>
              <w:t>10</w:t>
            </w:r>
          </w:hyperlink>
        </w:p>
        <w:p w:rsidR="006C1E48" w:rsidRDefault="00673E06">
          <w:pPr>
            <w:pStyle w:val="TOC2"/>
            <w:numPr>
              <w:ilvl w:val="0"/>
              <w:numId w:val="4"/>
            </w:numPr>
            <w:tabs>
              <w:tab w:val="left" w:pos="993"/>
              <w:tab w:val="left" w:pos="994"/>
              <w:tab w:val="left" w:leader="dot" w:pos="9241"/>
            </w:tabs>
          </w:pPr>
          <w:hyperlink w:anchor="_bookmark41" w:history="1">
            <w:r>
              <w:t>Should facilities report paid hours or</w:t>
            </w:r>
            <w:r>
              <w:rPr>
                <w:spacing w:val="-14"/>
              </w:rPr>
              <w:t xml:space="preserve"> </w:t>
            </w:r>
            <w:r>
              <w:t>worked</w:t>
            </w:r>
            <w:r>
              <w:rPr>
                <w:spacing w:val="-1"/>
              </w:rPr>
              <w:t xml:space="preserve"> </w:t>
            </w:r>
            <w:r>
              <w:t>hours?</w:t>
            </w:r>
            <w:r>
              <w:tab/>
              <w:t>10</w:t>
            </w:r>
          </w:hyperlink>
        </w:p>
        <w:p w:rsidR="006C1E48" w:rsidRDefault="00673E06">
          <w:pPr>
            <w:pStyle w:val="TOC2"/>
            <w:numPr>
              <w:ilvl w:val="0"/>
              <w:numId w:val="4"/>
            </w:numPr>
            <w:tabs>
              <w:tab w:val="left" w:pos="993"/>
              <w:tab w:val="left" w:pos="994"/>
              <w:tab w:val="left" w:leader="dot" w:pos="9241"/>
            </w:tabs>
            <w:spacing w:before="142"/>
          </w:pPr>
          <w:hyperlink w:anchor="_bookmark42" w:history="1">
            <w:r>
              <w:t>What is the formula for determining the amount of spend</w:t>
            </w:r>
            <w:r>
              <w:t>ing in the</w:t>
            </w:r>
            <w:r>
              <w:rPr>
                <w:spacing w:val="-16"/>
              </w:rPr>
              <w:t xml:space="preserve"> </w:t>
            </w:r>
            <w:r>
              <w:t>rate</w:t>
            </w:r>
            <w:r>
              <w:rPr>
                <w:spacing w:val="1"/>
              </w:rPr>
              <w:t xml:space="preserve"> </w:t>
            </w:r>
            <w:r>
              <w:t>period?</w:t>
            </w:r>
            <w:r>
              <w:tab/>
              <w:t>10</w:t>
            </w:r>
          </w:hyperlink>
        </w:p>
        <w:p w:rsidR="006C1E48" w:rsidRDefault="00673E06">
          <w:pPr>
            <w:pStyle w:val="TOC2"/>
            <w:numPr>
              <w:ilvl w:val="0"/>
              <w:numId w:val="4"/>
            </w:numPr>
            <w:tabs>
              <w:tab w:val="left" w:pos="993"/>
              <w:tab w:val="left" w:pos="994"/>
              <w:tab w:val="left" w:leader="dot" w:pos="9241"/>
            </w:tabs>
            <w:spacing w:before="140" w:line="278" w:lineRule="auto"/>
            <w:ind w:left="333" w:right="943" w:firstLine="0"/>
          </w:pPr>
          <w:hyperlink w:anchor="_bookmark43" w:history="1">
            <w:r>
              <w:t>Which Compliance Form Worksheet section does the facility complete to provide information on</w:t>
            </w:r>
          </w:hyperlink>
          <w:hyperlink w:anchor="_bookmark43" w:history="1">
            <w:r>
              <w:t xml:space="preserve"> hourly wages in the baseline and the</w:t>
            </w:r>
            <w:r>
              <w:rPr>
                <w:spacing w:val="-9"/>
              </w:rPr>
              <w:t xml:space="preserve"> </w:t>
            </w:r>
            <w:r>
              <w:t>rate</w:t>
            </w:r>
            <w:r>
              <w:rPr>
                <w:spacing w:val="-2"/>
              </w:rPr>
              <w:t xml:space="preserve"> </w:t>
            </w:r>
            <w:r>
              <w:t>period?</w:t>
            </w:r>
            <w:r>
              <w:tab/>
              <w:t>11</w:t>
            </w:r>
          </w:hyperlink>
        </w:p>
        <w:p w:rsidR="006C1E48" w:rsidRDefault="00673E06">
          <w:pPr>
            <w:pStyle w:val="TOC2"/>
            <w:numPr>
              <w:ilvl w:val="0"/>
              <w:numId w:val="4"/>
            </w:numPr>
            <w:tabs>
              <w:tab w:val="left" w:pos="993"/>
              <w:tab w:val="left" w:pos="994"/>
              <w:tab w:val="left" w:leader="dot" w:pos="9241"/>
            </w:tabs>
            <w:spacing w:before="95" w:line="276" w:lineRule="auto"/>
            <w:ind w:left="333" w:right="1004" w:firstLine="0"/>
          </w:pPr>
          <w:hyperlink w:anchor="_bookmark44" w:history="1">
            <w:r>
              <w:t>Which Compliance Form Worksheet section does the facility complete to provide the amount of</w:t>
            </w:r>
          </w:hyperlink>
          <w:hyperlink w:anchor="_bookmark44" w:history="1">
            <w:r>
              <w:t xml:space="preserve"> bonuses paid in the</w:t>
            </w:r>
            <w:r>
              <w:rPr>
                <w:spacing w:val="-3"/>
              </w:rPr>
              <w:t xml:space="preserve"> </w:t>
            </w:r>
            <w:r>
              <w:t>rate</w:t>
            </w:r>
            <w:r>
              <w:rPr>
                <w:spacing w:val="1"/>
              </w:rPr>
              <w:t xml:space="preserve"> </w:t>
            </w:r>
            <w:r>
              <w:t>period?</w:t>
            </w:r>
            <w:r>
              <w:tab/>
              <w:t>11</w:t>
            </w:r>
          </w:hyperlink>
        </w:p>
      </w:sdtContent>
    </w:sdt>
    <w:p w:rsidR="006C1E48" w:rsidRDefault="006C1E48">
      <w:pPr>
        <w:spacing w:line="276" w:lineRule="auto"/>
        <w:sectPr w:rsidR="006C1E48">
          <w:pgSz w:w="12240" w:h="15840"/>
          <w:pgMar w:top="1120" w:right="620" w:bottom="1180" w:left="1040" w:header="0" w:footer="991" w:gutter="0"/>
          <w:cols w:space="720"/>
        </w:sectPr>
      </w:pPr>
    </w:p>
    <w:p w:rsidR="006C1E48" w:rsidRDefault="006C1E48">
      <w:pPr>
        <w:pStyle w:val="BodyText"/>
        <w:rPr>
          <w:i w:val="0"/>
          <w:sz w:val="32"/>
        </w:rPr>
      </w:pPr>
    </w:p>
    <w:p w:rsidR="006C1E48" w:rsidRDefault="006C1E48">
      <w:pPr>
        <w:pStyle w:val="BodyText"/>
        <w:rPr>
          <w:i w:val="0"/>
          <w:sz w:val="32"/>
        </w:rPr>
      </w:pPr>
    </w:p>
    <w:p w:rsidR="006C1E48" w:rsidRDefault="00673E06">
      <w:pPr>
        <w:spacing w:before="215"/>
        <w:ind w:left="112"/>
        <w:rPr>
          <w:rFonts w:ascii="Cambria"/>
          <w:b/>
          <w:sz w:val="28"/>
        </w:rPr>
      </w:pPr>
      <w:bookmarkStart w:id="1" w:name="_bookmark0"/>
      <w:bookmarkEnd w:id="1"/>
      <w:r>
        <w:rPr>
          <w:rFonts w:ascii="Cambria"/>
          <w:b/>
          <w:color w:val="365F91"/>
          <w:sz w:val="28"/>
        </w:rPr>
        <w:t>Eligibility and Eligible Days</w:t>
      </w:r>
    </w:p>
    <w:p w:rsidR="006C1E48" w:rsidRDefault="00673E06">
      <w:pPr>
        <w:pStyle w:val="ListParagraph"/>
        <w:numPr>
          <w:ilvl w:val="0"/>
          <w:numId w:val="3"/>
        </w:numPr>
        <w:tabs>
          <w:tab w:val="left" w:pos="473"/>
        </w:tabs>
        <w:spacing w:before="266"/>
        <w:ind w:hanging="360"/>
        <w:rPr>
          <w:b/>
          <w:color w:val="4F81BC"/>
        </w:rPr>
      </w:pPr>
      <w:bookmarkStart w:id="2" w:name="_bookmark1"/>
      <w:bookmarkEnd w:id="2"/>
      <w:r>
        <w:rPr>
          <w:b/>
          <w:color w:val="4F81BC"/>
        </w:rPr>
        <w:t>W</w:t>
      </w:r>
      <w:r>
        <w:rPr>
          <w:b/>
          <w:color w:val="4F81BC"/>
        </w:rPr>
        <w:t>hat workers are eligible to receive the Direct Care</w:t>
      </w:r>
      <w:r>
        <w:rPr>
          <w:b/>
          <w:color w:val="4F81BC"/>
          <w:spacing w:val="-13"/>
        </w:rPr>
        <w:t xml:space="preserve"> </w:t>
      </w:r>
      <w:r>
        <w:rPr>
          <w:b/>
          <w:color w:val="4F81BC"/>
        </w:rPr>
        <w:t>revenue?</w:t>
      </w:r>
    </w:p>
    <w:p w:rsidR="006C1E48" w:rsidRDefault="00673E06">
      <w:pPr>
        <w:pStyle w:val="BodyText"/>
        <w:ind w:left="472" w:right="805"/>
      </w:pPr>
      <w:r>
        <w:rPr>
          <w:b/>
        </w:rPr>
        <w:t>Answer</w:t>
      </w:r>
      <w:r>
        <w:t xml:space="preserve">: The final regulation (101 CMR 206.00: Standard Payments for Nursing Facilities) defines eligible </w:t>
      </w:r>
      <w:r>
        <w:t xml:space="preserve">‘direct care workers’ to include the following staff </w:t>
      </w:r>
      <w:r>
        <w:rPr>
          <w:b/>
        </w:rPr>
        <w:t>employed by the facility</w:t>
      </w:r>
      <w:r>
        <w:t>:</w:t>
      </w:r>
    </w:p>
    <w:p w:rsidR="006C1E48" w:rsidRDefault="00673E06">
      <w:pPr>
        <w:pStyle w:val="ListParagraph"/>
        <w:numPr>
          <w:ilvl w:val="1"/>
          <w:numId w:val="3"/>
        </w:numPr>
        <w:tabs>
          <w:tab w:val="left" w:pos="1192"/>
          <w:tab w:val="left" w:pos="1193"/>
        </w:tabs>
        <w:spacing w:before="1"/>
        <w:rPr>
          <w:i/>
        </w:rPr>
      </w:pPr>
      <w:r>
        <w:rPr>
          <w:i/>
        </w:rPr>
        <w:t>Registered</w:t>
      </w:r>
      <w:r>
        <w:rPr>
          <w:i/>
          <w:spacing w:val="-1"/>
        </w:rPr>
        <w:t xml:space="preserve"> </w:t>
      </w:r>
      <w:r>
        <w:rPr>
          <w:i/>
        </w:rPr>
        <w:t>nurses</w:t>
      </w:r>
    </w:p>
    <w:p w:rsidR="006C1E48" w:rsidRDefault="00673E06">
      <w:pPr>
        <w:pStyle w:val="ListParagraph"/>
        <w:numPr>
          <w:ilvl w:val="1"/>
          <w:numId w:val="3"/>
        </w:numPr>
        <w:tabs>
          <w:tab w:val="left" w:pos="1192"/>
          <w:tab w:val="left" w:pos="1193"/>
        </w:tabs>
        <w:spacing w:before="1"/>
        <w:rPr>
          <w:i/>
        </w:rPr>
      </w:pPr>
      <w:r>
        <w:rPr>
          <w:i/>
        </w:rPr>
        <w:t>Licensed practical</w:t>
      </w:r>
      <w:r>
        <w:rPr>
          <w:i/>
          <w:spacing w:val="-2"/>
        </w:rPr>
        <w:t xml:space="preserve"> </w:t>
      </w:r>
      <w:r>
        <w:rPr>
          <w:i/>
        </w:rPr>
        <w:t>nurses</w:t>
      </w:r>
    </w:p>
    <w:p w:rsidR="006C1E48" w:rsidRDefault="00673E06">
      <w:pPr>
        <w:pStyle w:val="ListParagraph"/>
        <w:numPr>
          <w:ilvl w:val="1"/>
          <w:numId w:val="3"/>
        </w:numPr>
        <w:tabs>
          <w:tab w:val="left" w:pos="1192"/>
          <w:tab w:val="left" w:pos="1193"/>
        </w:tabs>
        <w:rPr>
          <w:i/>
        </w:rPr>
      </w:pPr>
      <w:r>
        <w:rPr>
          <w:i/>
        </w:rPr>
        <w:t>Certified nursing</w:t>
      </w:r>
      <w:r>
        <w:rPr>
          <w:i/>
          <w:spacing w:val="-7"/>
        </w:rPr>
        <w:t xml:space="preserve"> </w:t>
      </w:r>
      <w:r>
        <w:rPr>
          <w:i/>
        </w:rPr>
        <w:t>assistants</w:t>
      </w:r>
    </w:p>
    <w:p w:rsidR="006C1E48" w:rsidRDefault="00673E06">
      <w:pPr>
        <w:pStyle w:val="ListParagraph"/>
        <w:numPr>
          <w:ilvl w:val="1"/>
          <w:numId w:val="3"/>
        </w:numPr>
        <w:tabs>
          <w:tab w:val="left" w:pos="1192"/>
          <w:tab w:val="left" w:pos="1193"/>
        </w:tabs>
        <w:spacing w:before="1" w:line="280" w:lineRule="exact"/>
        <w:rPr>
          <w:i/>
        </w:rPr>
      </w:pPr>
      <w:r>
        <w:rPr>
          <w:i/>
        </w:rPr>
        <w:t>Dietary</w:t>
      </w:r>
      <w:r>
        <w:rPr>
          <w:i/>
          <w:spacing w:val="-1"/>
        </w:rPr>
        <w:t xml:space="preserve"> </w:t>
      </w:r>
      <w:r>
        <w:rPr>
          <w:i/>
        </w:rPr>
        <w:t>aides</w:t>
      </w:r>
    </w:p>
    <w:p w:rsidR="006C1E48" w:rsidRDefault="00673E06">
      <w:pPr>
        <w:pStyle w:val="ListParagraph"/>
        <w:numPr>
          <w:ilvl w:val="1"/>
          <w:numId w:val="3"/>
        </w:numPr>
        <w:tabs>
          <w:tab w:val="left" w:pos="1192"/>
          <w:tab w:val="left" w:pos="1193"/>
        </w:tabs>
        <w:spacing w:line="280" w:lineRule="exact"/>
        <w:rPr>
          <w:i/>
        </w:rPr>
      </w:pPr>
      <w:r>
        <w:rPr>
          <w:i/>
        </w:rPr>
        <w:t>Housekeeping</w:t>
      </w:r>
      <w:r>
        <w:rPr>
          <w:i/>
          <w:spacing w:val="-2"/>
        </w:rPr>
        <w:t xml:space="preserve"> </w:t>
      </w:r>
      <w:r>
        <w:rPr>
          <w:i/>
        </w:rPr>
        <w:t>aides</w:t>
      </w:r>
    </w:p>
    <w:p w:rsidR="006C1E48" w:rsidRDefault="00673E06">
      <w:pPr>
        <w:pStyle w:val="ListParagraph"/>
        <w:numPr>
          <w:ilvl w:val="1"/>
          <w:numId w:val="3"/>
        </w:numPr>
        <w:tabs>
          <w:tab w:val="left" w:pos="1192"/>
          <w:tab w:val="left" w:pos="1193"/>
        </w:tabs>
        <w:rPr>
          <w:i/>
        </w:rPr>
      </w:pPr>
      <w:r>
        <w:rPr>
          <w:i/>
        </w:rPr>
        <w:t>Laundry</w:t>
      </w:r>
      <w:r>
        <w:rPr>
          <w:i/>
          <w:spacing w:val="-3"/>
        </w:rPr>
        <w:t xml:space="preserve"> </w:t>
      </w:r>
      <w:r>
        <w:rPr>
          <w:i/>
        </w:rPr>
        <w:t>aides</w:t>
      </w:r>
    </w:p>
    <w:p w:rsidR="006C1E48" w:rsidRDefault="00673E06">
      <w:pPr>
        <w:pStyle w:val="ListParagraph"/>
        <w:numPr>
          <w:ilvl w:val="1"/>
          <w:numId w:val="3"/>
        </w:numPr>
        <w:tabs>
          <w:tab w:val="left" w:pos="1192"/>
          <w:tab w:val="left" w:pos="1193"/>
        </w:tabs>
        <w:spacing w:before="1"/>
        <w:rPr>
          <w:i/>
        </w:rPr>
      </w:pPr>
      <w:r>
        <w:rPr>
          <w:i/>
        </w:rPr>
        <w:t>Activities</w:t>
      </w:r>
      <w:r>
        <w:rPr>
          <w:i/>
          <w:spacing w:val="-4"/>
        </w:rPr>
        <w:t xml:space="preserve"> </w:t>
      </w:r>
      <w:r>
        <w:rPr>
          <w:i/>
        </w:rPr>
        <w:t>staff</w:t>
      </w:r>
    </w:p>
    <w:p w:rsidR="006C1E48" w:rsidRDefault="00673E06">
      <w:pPr>
        <w:pStyle w:val="ListParagraph"/>
        <w:numPr>
          <w:ilvl w:val="1"/>
          <w:numId w:val="3"/>
        </w:numPr>
        <w:tabs>
          <w:tab w:val="left" w:pos="1192"/>
          <w:tab w:val="left" w:pos="1193"/>
        </w:tabs>
        <w:rPr>
          <w:i/>
        </w:rPr>
      </w:pPr>
      <w:r>
        <w:rPr>
          <w:i/>
        </w:rPr>
        <w:t>Social</w:t>
      </w:r>
      <w:r>
        <w:rPr>
          <w:i/>
          <w:spacing w:val="-4"/>
        </w:rPr>
        <w:t xml:space="preserve"> </w:t>
      </w:r>
      <w:r>
        <w:rPr>
          <w:i/>
        </w:rPr>
        <w:t>workers</w:t>
      </w:r>
    </w:p>
    <w:p w:rsidR="006C1E48" w:rsidRDefault="006C1E48">
      <w:pPr>
        <w:pStyle w:val="BodyText"/>
        <w:spacing w:before="10"/>
        <w:rPr>
          <w:sz w:val="21"/>
        </w:rPr>
      </w:pPr>
    </w:p>
    <w:p w:rsidR="006C1E48" w:rsidRDefault="00673E06">
      <w:pPr>
        <w:pStyle w:val="BodyText"/>
        <w:spacing w:before="1"/>
        <w:ind w:left="472" w:right="805"/>
      </w:pPr>
      <w:r>
        <w:rPr>
          <w:b/>
        </w:rPr>
        <w:t>Note</w:t>
      </w:r>
      <w:r>
        <w:t xml:space="preserve">: These eight positions do not align exactly with the current nursing facility cost report line items. In </w:t>
      </w:r>
      <w:r>
        <w:t>gene</w:t>
      </w:r>
      <w:r>
        <w:t>ral, management and supervisory positions are NOT an allowable use for Direct Care revenue. For example, dieticians would not be eligible for the Direct Care revenue.</w:t>
      </w:r>
    </w:p>
    <w:p w:rsidR="006C1E48" w:rsidRDefault="006C1E48">
      <w:pPr>
        <w:pStyle w:val="BodyText"/>
      </w:pPr>
    </w:p>
    <w:p w:rsidR="006C1E48" w:rsidRDefault="00673E06">
      <w:pPr>
        <w:pStyle w:val="BodyText"/>
        <w:spacing w:before="1"/>
        <w:ind w:left="472" w:right="517"/>
      </w:pPr>
      <w:r>
        <w:t>In situations where the facility has a question about a particular employee position bei</w:t>
      </w:r>
      <w:r>
        <w:t xml:space="preserve">ng eligible for the </w:t>
      </w:r>
      <w:r>
        <w:t xml:space="preserve">Direct Care revenue, it would be prudent for the facility to seek clarification from EOHHS first before spending the funds on that particular position. Please send your question to the following e-mail address: </w:t>
      </w:r>
      <w:hyperlink r:id="rId10">
        <w:r>
          <w:rPr>
            <w:color w:val="0462C1"/>
            <w:u w:val="single" w:color="0462C1"/>
          </w:rPr>
          <w:t>NFDirectCare@umassmed.edu</w:t>
        </w:r>
        <w:r>
          <w:t>.</w:t>
        </w:r>
      </w:hyperlink>
    </w:p>
    <w:p w:rsidR="006C1E48" w:rsidRDefault="006C1E48">
      <w:pPr>
        <w:pStyle w:val="BodyText"/>
        <w:spacing w:before="4"/>
        <w:rPr>
          <w:sz w:val="17"/>
        </w:rPr>
      </w:pPr>
    </w:p>
    <w:p w:rsidR="006C1E48" w:rsidRDefault="00673E06">
      <w:pPr>
        <w:pStyle w:val="ListParagraph"/>
        <w:numPr>
          <w:ilvl w:val="0"/>
          <w:numId w:val="3"/>
        </w:numPr>
        <w:tabs>
          <w:tab w:val="left" w:pos="473"/>
        </w:tabs>
        <w:spacing w:before="56"/>
        <w:ind w:hanging="360"/>
        <w:rPr>
          <w:b/>
          <w:color w:val="4F81BC"/>
        </w:rPr>
      </w:pPr>
      <w:bookmarkStart w:id="3" w:name="_bookmark2"/>
      <w:bookmarkEnd w:id="3"/>
      <w:r>
        <w:rPr>
          <w:b/>
          <w:color w:val="4F81BC"/>
        </w:rPr>
        <w:t>Can the state clarify the types of employees that may be included in each of the eight</w:t>
      </w:r>
      <w:r>
        <w:rPr>
          <w:b/>
          <w:color w:val="4F81BC"/>
          <w:spacing w:val="-23"/>
        </w:rPr>
        <w:t xml:space="preserve"> </w:t>
      </w:r>
      <w:r>
        <w:rPr>
          <w:b/>
          <w:color w:val="4F81BC"/>
        </w:rPr>
        <w:t>categories?</w:t>
      </w:r>
    </w:p>
    <w:p w:rsidR="006C1E48" w:rsidRDefault="006C1E48">
      <w:pPr>
        <w:pStyle w:val="BodyText"/>
        <w:rPr>
          <w:b/>
          <w:i w:val="0"/>
        </w:rPr>
      </w:pPr>
    </w:p>
    <w:p w:rsidR="006C1E48" w:rsidRDefault="00673E06">
      <w:pPr>
        <w:pStyle w:val="BodyText"/>
        <w:ind w:left="472" w:right="725"/>
      </w:pPr>
      <w:r>
        <w:rPr>
          <w:b/>
        </w:rPr>
        <w:t xml:space="preserve">Answer: </w:t>
      </w:r>
      <w:r>
        <w:t xml:space="preserve">Facilities may develop internal policies to categorize positions that do not have titles </w:t>
      </w:r>
      <w:r>
        <w:t>corresponding exactly to the titles identified in the regulation. Expenditures are less likely to be compliant for positions:</w:t>
      </w:r>
    </w:p>
    <w:p w:rsidR="006C1E48" w:rsidRDefault="00673E06">
      <w:pPr>
        <w:pStyle w:val="ListParagraph"/>
        <w:numPr>
          <w:ilvl w:val="0"/>
          <w:numId w:val="2"/>
        </w:numPr>
        <w:tabs>
          <w:tab w:val="left" w:pos="1192"/>
          <w:tab w:val="left" w:pos="1193"/>
        </w:tabs>
        <w:spacing w:before="5" w:line="235" w:lineRule="auto"/>
        <w:ind w:right="543"/>
        <w:rPr>
          <w:i/>
        </w:rPr>
      </w:pPr>
      <w:r>
        <w:rPr>
          <w:i/>
        </w:rPr>
        <w:t>Whose salary expenses are not reported by the facility in the following cost report accounts: 6030.1 6041.1, 6051.1, 5205.1, 5410.</w:t>
      </w:r>
      <w:r>
        <w:rPr>
          <w:i/>
        </w:rPr>
        <w:t>1, 5310.1, 7021.1,</w:t>
      </w:r>
      <w:r>
        <w:rPr>
          <w:i/>
          <w:spacing w:val="1"/>
        </w:rPr>
        <w:t xml:space="preserve"> </w:t>
      </w:r>
      <w:r>
        <w:rPr>
          <w:i/>
        </w:rPr>
        <w:t>6540.0;</w:t>
      </w:r>
    </w:p>
    <w:p w:rsidR="006C1E48" w:rsidRDefault="00673E06">
      <w:pPr>
        <w:pStyle w:val="ListParagraph"/>
        <w:numPr>
          <w:ilvl w:val="0"/>
          <w:numId w:val="2"/>
        </w:numPr>
        <w:tabs>
          <w:tab w:val="left" w:pos="1192"/>
          <w:tab w:val="left" w:pos="1193"/>
        </w:tabs>
        <w:spacing w:line="272" w:lineRule="exact"/>
        <w:rPr>
          <w:i/>
        </w:rPr>
      </w:pPr>
      <w:r>
        <w:rPr>
          <w:i/>
        </w:rPr>
        <w:t>That are not considered low-wage;</w:t>
      </w:r>
      <w:r>
        <w:rPr>
          <w:i/>
          <w:spacing w:val="-5"/>
        </w:rPr>
        <w:t xml:space="preserve"> </w:t>
      </w:r>
      <w:r>
        <w:rPr>
          <w:i/>
        </w:rPr>
        <w:t>and</w:t>
      </w:r>
    </w:p>
    <w:p w:rsidR="006C1E48" w:rsidRDefault="00673E06">
      <w:pPr>
        <w:pStyle w:val="ListParagraph"/>
        <w:numPr>
          <w:ilvl w:val="0"/>
          <w:numId w:val="2"/>
        </w:numPr>
        <w:tabs>
          <w:tab w:val="left" w:pos="1192"/>
          <w:tab w:val="left" w:pos="1193"/>
        </w:tabs>
        <w:spacing w:line="272" w:lineRule="exact"/>
        <w:rPr>
          <w:i/>
        </w:rPr>
      </w:pPr>
      <w:r>
        <w:rPr>
          <w:i/>
        </w:rPr>
        <w:t>That have management or supervisory</w:t>
      </w:r>
      <w:r>
        <w:rPr>
          <w:i/>
          <w:spacing w:val="-4"/>
        </w:rPr>
        <w:t xml:space="preserve"> </w:t>
      </w:r>
      <w:r>
        <w:rPr>
          <w:i/>
        </w:rPr>
        <w:t>responsibilities.</w:t>
      </w:r>
    </w:p>
    <w:p w:rsidR="006C1E48" w:rsidRDefault="006C1E48">
      <w:pPr>
        <w:pStyle w:val="BodyText"/>
        <w:rPr>
          <w:sz w:val="24"/>
        </w:rPr>
      </w:pPr>
    </w:p>
    <w:p w:rsidR="006C1E48" w:rsidRDefault="00673E06">
      <w:pPr>
        <w:pStyle w:val="Heading3"/>
        <w:spacing w:line="278" w:lineRule="auto"/>
      </w:pPr>
      <w:r>
        <w:rPr>
          <w:color w:val="FF0000"/>
        </w:rPr>
        <w:t xml:space="preserve">Staff with supervisory responsibilities who also provide direct care services (RN supervisor, LPN </w:t>
      </w:r>
      <w:r>
        <w:rPr>
          <w:color w:val="FF0000"/>
        </w:rPr>
        <w:t>supervisor, etc.) are NOT eligible.</w:t>
      </w:r>
    </w:p>
    <w:p w:rsidR="006C1E48" w:rsidRDefault="00673E06">
      <w:pPr>
        <w:pStyle w:val="BodyText"/>
        <w:spacing w:before="196" w:line="276" w:lineRule="auto"/>
        <w:ind w:left="472" w:right="517"/>
      </w:pPr>
      <w:r>
        <w:t>An</w:t>
      </w:r>
      <w:r>
        <w:t xml:space="preserve"> exception to the prohibition on supervisors and managers receiving Direct Care funds would be someone </w:t>
      </w:r>
      <w:r>
        <w:t>who may hold a supervisory title but does not manage or supervise any employees or contractors. For example, if the Director of Social Services is the on</w:t>
      </w:r>
      <w:r>
        <w:t xml:space="preserve">ly staff person in that department and is not supervising anyone, s/he may qualify as an eligible employee. Please e-mail </w:t>
      </w:r>
      <w:hyperlink r:id="rId11">
        <w:r>
          <w:rPr>
            <w:color w:val="0462C1"/>
            <w:u w:val="single" w:color="0462C1"/>
          </w:rPr>
          <w:t>NFDirectCAre@umassmed.edu</w:t>
        </w:r>
        <w:r>
          <w:rPr>
            <w:color w:val="0462C1"/>
          </w:rPr>
          <w:t xml:space="preserve"> </w:t>
        </w:r>
      </w:hyperlink>
      <w:r>
        <w:t>to confirm whether an employee is eligible.</w:t>
      </w:r>
    </w:p>
    <w:p w:rsidR="006C1E48" w:rsidRDefault="006C1E48">
      <w:pPr>
        <w:spacing w:line="276" w:lineRule="auto"/>
        <w:sectPr w:rsidR="006C1E48">
          <w:pgSz w:w="12240" w:h="15840"/>
          <w:pgMar w:top="1500" w:right="620" w:bottom="1180" w:left="1040" w:header="0" w:footer="991" w:gutter="0"/>
          <w:cols w:space="720"/>
        </w:sectPr>
      </w:pPr>
    </w:p>
    <w:p w:rsidR="006C1E48" w:rsidRDefault="00673E06">
      <w:pPr>
        <w:pStyle w:val="BodyText"/>
        <w:spacing w:before="29"/>
        <w:ind w:left="472"/>
      </w:pPr>
      <w:r>
        <w:t xml:space="preserve">Additional staff </w:t>
      </w:r>
      <w:r>
        <w:rPr>
          <w:u w:val="single"/>
        </w:rPr>
        <w:t>not</w:t>
      </w:r>
      <w:r>
        <w:t xml:space="preserve"> eligible include:</w:t>
      </w:r>
    </w:p>
    <w:p w:rsidR="006C1E48" w:rsidRDefault="00673E06">
      <w:pPr>
        <w:pStyle w:val="BodyText"/>
        <w:spacing w:before="41" w:line="276" w:lineRule="auto"/>
        <w:ind w:left="832" w:right="2398"/>
      </w:pPr>
      <w:r>
        <w:t xml:space="preserve">Business office staff (clerks, unit secretaries, payroll, HR, records department staff) </w:t>
      </w:r>
      <w:r>
        <w:t>CNA who works as a unit secretary and provides direct care</w:t>
      </w:r>
    </w:p>
    <w:p w:rsidR="006C1E48" w:rsidRDefault="00673E06">
      <w:pPr>
        <w:pStyle w:val="BodyText"/>
        <w:spacing w:line="276" w:lineRule="auto"/>
        <w:ind w:left="832" w:right="1199"/>
      </w:pPr>
      <w:r>
        <w:t>Assistant Direct of Nurses/Assistant Director of Nursing Services (e</w:t>
      </w:r>
      <w:r>
        <w:t xml:space="preserve">ven if they provide direct care </w:t>
      </w:r>
      <w:r>
        <w:t>services)</w:t>
      </w:r>
    </w:p>
    <w:p w:rsidR="006C1E48" w:rsidRDefault="00673E06">
      <w:pPr>
        <w:pStyle w:val="BodyText"/>
        <w:spacing w:line="268" w:lineRule="exact"/>
        <w:ind w:left="832"/>
      </w:pPr>
      <w:r>
        <w:t>Maintenance staff</w:t>
      </w:r>
    </w:p>
    <w:p w:rsidR="006C1E48" w:rsidRDefault="00673E06">
      <w:pPr>
        <w:pStyle w:val="BodyText"/>
        <w:spacing w:before="40"/>
        <w:ind w:left="832"/>
      </w:pPr>
      <w:r>
        <w:t>MMQ and MDS coordinators</w:t>
      </w:r>
    </w:p>
    <w:p w:rsidR="006C1E48" w:rsidRDefault="00673E06">
      <w:pPr>
        <w:pStyle w:val="BodyText"/>
        <w:spacing w:before="41" w:line="276" w:lineRule="auto"/>
        <w:ind w:left="832" w:right="2796"/>
      </w:pPr>
      <w:r>
        <w:t xml:space="preserve">Housekeeping supervisors, maintenance supervisors, food services supervisors </w:t>
      </w:r>
      <w:r>
        <w:t>Rehabilitation staff—physical/occupational/speech therapists, therapy aides Clinicians</w:t>
      </w:r>
    </w:p>
    <w:p w:rsidR="006C1E48" w:rsidRDefault="00673E06">
      <w:pPr>
        <w:pStyle w:val="BodyText"/>
        <w:ind w:left="832"/>
      </w:pPr>
      <w:r>
        <w:t>Teachers, teaching assistants</w:t>
      </w:r>
    </w:p>
    <w:p w:rsidR="006C1E48" w:rsidRDefault="006C1E48">
      <w:pPr>
        <w:pStyle w:val="BodyText"/>
        <w:spacing w:before="2"/>
        <w:rPr>
          <w:sz w:val="25"/>
        </w:rPr>
      </w:pPr>
    </w:p>
    <w:p w:rsidR="006C1E48" w:rsidRDefault="00673E06">
      <w:pPr>
        <w:pStyle w:val="ListParagraph"/>
        <w:numPr>
          <w:ilvl w:val="0"/>
          <w:numId w:val="3"/>
        </w:numPr>
        <w:tabs>
          <w:tab w:val="left" w:pos="473"/>
        </w:tabs>
        <w:ind w:hanging="360"/>
        <w:rPr>
          <w:b/>
          <w:color w:val="4F81BC"/>
        </w:rPr>
      </w:pPr>
      <w:bookmarkStart w:id="4" w:name="_bookmark3"/>
      <w:bookmarkEnd w:id="4"/>
      <w:r>
        <w:rPr>
          <w:b/>
          <w:color w:val="4F81BC"/>
        </w:rPr>
        <w:t>Are employees from a temporary nursing agency that is owned by the nursing facility chain</w:t>
      </w:r>
      <w:r>
        <w:rPr>
          <w:b/>
          <w:color w:val="4F81BC"/>
          <w:spacing w:val="-27"/>
        </w:rPr>
        <w:t xml:space="preserve"> </w:t>
      </w:r>
      <w:r>
        <w:rPr>
          <w:b/>
          <w:color w:val="4F81BC"/>
        </w:rPr>
        <w:t>eligible?</w:t>
      </w:r>
    </w:p>
    <w:p w:rsidR="006C1E48" w:rsidRDefault="00673E06">
      <w:pPr>
        <w:pStyle w:val="BodyText"/>
        <w:spacing w:before="1"/>
        <w:ind w:left="472"/>
      </w:pPr>
      <w:r>
        <w:rPr>
          <w:b/>
        </w:rPr>
        <w:t>Answer</w:t>
      </w:r>
      <w:r>
        <w:t>: No, only employees directly employed by the facility are eligible.</w:t>
      </w:r>
    </w:p>
    <w:p w:rsidR="006C1E48" w:rsidRDefault="006C1E48">
      <w:pPr>
        <w:pStyle w:val="BodyText"/>
        <w:spacing w:before="1"/>
      </w:pPr>
    </w:p>
    <w:p w:rsidR="006C1E48" w:rsidRDefault="00673E06">
      <w:pPr>
        <w:pStyle w:val="ListParagraph"/>
        <w:numPr>
          <w:ilvl w:val="0"/>
          <w:numId w:val="3"/>
        </w:numPr>
        <w:tabs>
          <w:tab w:val="left" w:pos="473"/>
        </w:tabs>
        <w:ind w:hanging="360"/>
        <w:rPr>
          <w:b/>
          <w:color w:val="4F81BC"/>
        </w:rPr>
      </w:pPr>
      <w:bookmarkStart w:id="5" w:name="_bookmark4"/>
      <w:bookmarkEnd w:id="5"/>
      <w:r>
        <w:rPr>
          <w:b/>
          <w:color w:val="4F81BC"/>
        </w:rPr>
        <w:t>Are hospice days included in the Medicaid</w:t>
      </w:r>
      <w:r>
        <w:rPr>
          <w:b/>
          <w:color w:val="4F81BC"/>
          <w:spacing w:val="-9"/>
        </w:rPr>
        <w:t xml:space="preserve"> </w:t>
      </w:r>
      <w:r>
        <w:rPr>
          <w:b/>
          <w:color w:val="4F81BC"/>
        </w:rPr>
        <w:t>days?</w:t>
      </w:r>
    </w:p>
    <w:p w:rsidR="006C1E48" w:rsidRDefault="00673E06">
      <w:pPr>
        <w:pStyle w:val="BodyText"/>
        <w:ind w:left="472" w:right="674"/>
      </w:pPr>
      <w:r>
        <w:rPr>
          <w:b/>
        </w:rPr>
        <w:t>A</w:t>
      </w:r>
      <w:r>
        <w:rPr>
          <w:b/>
        </w:rPr>
        <w:t>nswer</w:t>
      </w:r>
      <w:r>
        <w:t xml:space="preserve">: No, facilities should not include hospice days when reporting days for Part A line 3 and Part C line </w:t>
      </w:r>
      <w:r>
        <w:t>2.</w:t>
      </w:r>
    </w:p>
    <w:p w:rsidR="006C1E48" w:rsidRDefault="006C1E48">
      <w:pPr>
        <w:pStyle w:val="BodyText"/>
        <w:spacing w:before="1"/>
      </w:pPr>
    </w:p>
    <w:p w:rsidR="006C1E48" w:rsidRDefault="00673E06">
      <w:pPr>
        <w:pStyle w:val="ListParagraph"/>
        <w:numPr>
          <w:ilvl w:val="0"/>
          <w:numId w:val="3"/>
        </w:numPr>
        <w:tabs>
          <w:tab w:val="left" w:pos="473"/>
        </w:tabs>
        <w:ind w:hanging="360"/>
        <w:rPr>
          <w:b/>
          <w:color w:val="4F81BC"/>
        </w:rPr>
      </w:pPr>
      <w:bookmarkStart w:id="6" w:name="_bookmark5"/>
      <w:bookmarkEnd w:id="6"/>
      <w:r>
        <w:rPr>
          <w:b/>
          <w:color w:val="4F81BC"/>
        </w:rPr>
        <w:t>Are contract employees</w:t>
      </w:r>
      <w:r>
        <w:rPr>
          <w:b/>
          <w:color w:val="4F81BC"/>
          <w:spacing w:val="-6"/>
        </w:rPr>
        <w:t xml:space="preserve"> </w:t>
      </w:r>
      <w:r>
        <w:rPr>
          <w:b/>
          <w:color w:val="4F81BC"/>
        </w:rPr>
        <w:t>eligible?</w:t>
      </w:r>
    </w:p>
    <w:p w:rsidR="006C1E48" w:rsidRDefault="00673E06">
      <w:pPr>
        <w:pStyle w:val="BodyText"/>
        <w:ind w:left="472" w:right="853"/>
      </w:pPr>
      <w:r>
        <w:rPr>
          <w:b/>
        </w:rPr>
        <w:t>Answer</w:t>
      </w:r>
      <w:r>
        <w:t xml:space="preserve">: No, the Medicaid rate regulation restricts expenditure of Direct Care revenue to staff employed </w:t>
      </w:r>
      <w:r>
        <w:t>directl</w:t>
      </w:r>
      <w:r>
        <w:t>y by the nursing facility. Spending for temporary nursing services and contract employees is not permissible.</w:t>
      </w:r>
    </w:p>
    <w:p w:rsidR="006C1E48" w:rsidRDefault="006C1E48">
      <w:pPr>
        <w:pStyle w:val="BodyText"/>
      </w:pPr>
    </w:p>
    <w:p w:rsidR="006C1E48" w:rsidRDefault="006C1E48">
      <w:pPr>
        <w:pStyle w:val="BodyText"/>
        <w:spacing w:before="11"/>
        <w:rPr>
          <w:sz w:val="26"/>
        </w:rPr>
      </w:pPr>
    </w:p>
    <w:p w:rsidR="006C1E48" w:rsidRDefault="00673E06">
      <w:pPr>
        <w:ind w:left="112"/>
        <w:rPr>
          <w:rFonts w:ascii="Cambria"/>
          <w:b/>
          <w:sz w:val="28"/>
        </w:rPr>
      </w:pPr>
      <w:bookmarkStart w:id="7" w:name="_bookmark6"/>
      <w:bookmarkEnd w:id="7"/>
      <w:r>
        <w:rPr>
          <w:rFonts w:ascii="Cambria"/>
          <w:b/>
          <w:color w:val="365F91"/>
          <w:sz w:val="28"/>
        </w:rPr>
        <w:t>Payments, Spending and Rates</w:t>
      </w:r>
    </w:p>
    <w:p w:rsidR="006C1E48" w:rsidRDefault="00673E06">
      <w:pPr>
        <w:pStyle w:val="ListParagraph"/>
        <w:numPr>
          <w:ilvl w:val="0"/>
          <w:numId w:val="3"/>
        </w:numPr>
        <w:tabs>
          <w:tab w:val="left" w:pos="473"/>
        </w:tabs>
        <w:spacing w:before="269"/>
        <w:ind w:hanging="360"/>
        <w:rPr>
          <w:b/>
          <w:color w:val="4F81BC"/>
        </w:rPr>
      </w:pPr>
      <w:bookmarkStart w:id="8" w:name="_bookmark7"/>
      <w:bookmarkEnd w:id="8"/>
      <w:r>
        <w:rPr>
          <w:b/>
          <w:color w:val="4F81BC"/>
        </w:rPr>
        <w:t>Are non-payroll payments, such as gift cards, a permissible use of</w:t>
      </w:r>
      <w:r>
        <w:rPr>
          <w:b/>
          <w:color w:val="4F81BC"/>
          <w:spacing w:val="-12"/>
        </w:rPr>
        <w:t xml:space="preserve"> </w:t>
      </w:r>
      <w:r>
        <w:rPr>
          <w:b/>
          <w:color w:val="4F81BC"/>
        </w:rPr>
        <w:t>funds?</w:t>
      </w:r>
    </w:p>
    <w:p w:rsidR="006C1E48" w:rsidRDefault="00673E06">
      <w:pPr>
        <w:pStyle w:val="BodyText"/>
        <w:ind w:left="472" w:right="739"/>
      </w:pPr>
      <w:r>
        <w:rPr>
          <w:b/>
        </w:rPr>
        <w:t>Answer</w:t>
      </w:r>
      <w:r>
        <w:t xml:space="preserve">: Gifts cards paid to eligible employees are a permissible use. For documentation and audit </w:t>
      </w:r>
      <w:r>
        <w:t>purposes, the facility must create a log that records the names of employees to whom the gift cards were given and the amount of each gift card, along with a signat</w:t>
      </w:r>
      <w:r>
        <w:t>ure from the recipient indicating that the gift card was received.</w:t>
      </w:r>
    </w:p>
    <w:p w:rsidR="006C1E48" w:rsidRDefault="006C1E48">
      <w:pPr>
        <w:pStyle w:val="BodyText"/>
        <w:spacing w:before="11"/>
        <w:rPr>
          <w:sz w:val="21"/>
        </w:rPr>
      </w:pPr>
    </w:p>
    <w:p w:rsidR="006C1E48" w:rsidRDefault="00673E06">
      <w:pPr>
        <w:pStyle w:val="ListParagraph"/>
        <w:numPr>
          <w:ilvl w:val="0"/>
          <w:numId w:val="3"/>
        </w:numPr>
        <w:tabs>
          <w:tab w:val="left" w:pos="473"/>
        </w:tabs>
        <w:ind w:hanging="360"/>
        <w:rPr>
          <w:b/>
          <w:color w:val="4F81BC"/>
        </w:rPr>
      </w:pPr>
      <w:bookmarkStart w:id="9" w:name="_bookmark8"/>
      <w:bookmarkEnd w:id="9"/>
      <w:r>
        <w:rPr>
          <w:b/>
          <w:color w:val="4F81BC"/>
        </w:rPr>
        <w:t>Where do I include spending on shift</w:t>
      </w:r>
      <w:r>
        <w:rPr>
          <w:b/>
          <w:color w:val="4F81BC"/>
          <w:spacing w:val="-6"/>
        </w:rPr>
        <w:t xml:space="preserve"> </w:t>
      </w:r>
      <w:r>
        <w:rPr>
          <w:b/>
          <w:color w:val="4F81BC"/>
        </w:rPr>
        <w:t>differentials?</w:t>
      </w:r>
    </w:p>
    <w:p w:rsidR="006C1E48" w:rsidRDefault="00673E06">
      <w:pPr>
        <w:pStyle w:val="BodyText"/>
        <w:spacing w:line="278" w:lineRule="auto"/>
        <w:ind w:left="472" w:right="805"/>
      </w:pPr>
      <w:r>
        <w:rPr>
          <w:b/>
        </w:rPr>
        <w:t xml:space="preserve">Answer: </w:t>
      </w:r>
      <w:r>
        <w:t xml:space="preserve">Include shift differentials in the wages for the appropriate employee type. For example, include </w:t>
      </w:r>
      <w:r>
        <w:t>RNs shift differentials in Part</w:t>
      </w:r>
      <w:r>
        <w:t xml:space="preserve"> D, line 1a.</w:t>
      </w:r>
    </w:p>
    <w:p w:rsidR="006C1E48" w:rsidRDefault="00673E06">
      <w:pPr>
        <w:pStyle w:val="ListParagraph"/>
        <w:numPr>
          <w:ilvl w:val="0"/>
          <w:numId w:val="3"/>
        </w:numPr>
        <w:tabs>
          <w:tab w:val="left" w:pos="473"/>
        </w:tabs>
        <w:spacing w:before="196"/>
        <w:ind w:hanging="360"/>
        <w:rPr>
          <w:b/>
          <w:color w:val="4F81BC"/>
        </w:rPr>
      </w:pPr>
      <w:bookmarkStart w:id="10" w:name="_bookmark9"/>
      <w:bookmarkEnd w:id="10"/>
      <w:r>
        <w:rPr>
          <w:b/>
          <w:color w:val="4F81BC"/>
        </w:rPr>
        <w:t>Where do I include overtime</w:t>
      </w:r>
      <w:r>
        <w:rPr>
          <w:b/>
          <w:color w:val="4F81BC"/>
          <w:spacing w:val="-5"/>
        </w:rPr>
        <w:t xml:space="preserve"> </w:t>
      </w:r>
      <w:r>
        <w:rPr>
          <w:b/>
          <w:color w:val="4F81BC"/>
        </w:rPr>
        <w:t>spending?</w:t>
      </w:r>
    </w:p>
    <w:p w:rsidR="006C1E48" w:rsidRDefault="00673E06">
      <w:pPr>
        <w:pStyle w:val="Heading4"/>
        <w:spacing w:line="276" w:lineRule="auto"/>
      </w:pPr>
      <w:r>
        <w:rPr>
          <w:b/>
        </w:rPr>
        <w:t xml:space="preserve">Answer: </w:t>
      </w:r>
      <w:r>
        <w:t>Include overtime spending in the second entry in Part D for each employee type. For example, for RNs, overtime should be entered in Part D, line 1b.</w:t>
      </w:r>
    </w:p>
    <w:p w:rsidR="006C1E48" w:rsidRDefault="006C1E48">
      <w:pPr>
        <w:pStyle w:val="BodyText"/>
        <w:spacing w:before="3"/>
        <w:rPr>
          <w:i w:val="0"/>
          <w:sz w:val="16"/>
        </w:rPr>
      </w:pPr>
    </w:p>
    <w:p w:rsidR="006C1E48" w:rsidRDefault="00673E06">
      <w:pPr>
        <w:pStyle w:val="ListParagraph"/>
        <w:numPr>
          <w:ilvl w:val="0"/>
          <w:numId w:val="3"/>
        </w:numPr>
        <w:tabs>
          <w:tab w:val="left" w:pos="473"/>
        </w:tabs>
        <w:ind w:hanging="360"/>
        <w:rPr>
          <w:b/>
          <w:color w:val="4F81BC"/>
        </w:rPr>
      </w:pPr>
      <w:bookmarkStart w:id="11" w:name="_bookmark10"/>
      <w:bookmarkEnd w:id="11"/>
      <w:r>
        <w:rPr>
          <w:b/>
          <w:color w:val="4F81BC"/>
        </w:rPr>
        <w:t>D</w:t>
      </w:r>
      <w:r>
        <w:rPr>
          <w:b/>
          <w:color w:val="4F81BC"/>
        </w:rPr>
        <w:t>oes the facility have to provide the Direct Care funds for all eligible</w:t>
      </w:r>
      <w:r>
        <w:rPr>
          <w:b/>
          <w:color w:val="4F81BC"/>
          <w:spacing w:val="-12"/>
        </w:rPr>
        <w:t xml:space="preserve"> </w:t>
      </w:r>
      <w:r>
        <w:rPr>
          <w:b/>
          <w:color w:val="4F81BC"/>
        </w:rPr>
        <w:t>staff?</w:t>
      </w:r>
    </w:p>
    <w:p w:rsidR="006C1E48" w:rsidRDefault="00673E06">
      <w:pPr>
        <w:pStyle w:val="BodyText"/>
        <w:spacing w:before="1"/>
        <w:ind w:left="472" w:right="991"/>
      </w:pPr>
      <w:r>
        <w:rPr>
          <w:b/>
        </w:rPr>
        <w:t>Answer</w:t>
      </w:r>
      <w:r>
        <w:t xml:space="preserve">: No -- a facility has discretion to spend the amount for all of these positions </w:t>
      </w:r>
      <w:r>
        <w:rPr>
          <w:b/>
          <w:u w:val="single"/>
        </w:rPr>
        <w:t>or</w:t>
      </w:r>
      <w:r>
        <w:rPr>
          <w:b/>
        </w:rPr>
        <w:t xml:space="preserve"> </w:t>
      </w:r>
      <w:r>
        <w:t xml:space="preserve">only a subset of </w:t>
      </w:r>
      <w:r>
        <w:t>these positions, as indicated in EOHHS’s Administrative Bulletin 18-02</w:t>
      </w:r>
      <w:r>
        <w:t>.</w:t>
      </w:r>
    </w:p>
    <w:p w:rsidR="006C1E48" w:rsidRDefault="006C1E48">
      <w:pPr>
        <w:sectPr w:rsidR="006C1E48">
          <w:pgSz w:w="12240" w:h="15840"/>
          <w:pgMar w:top="1120" w:right="620" w:bottom="1180" w:left="1040" w:header="0" w:footer="991" w:gutter="0"/>
          <w:cols w:space="720"/>
        </w:sectPr>
      </w:pPr>
    </w:p>
    <w:p w:rsidR="006C1E48" w:rsidRDefault="00673E06">
      <w:pPr>
        <w:pStyle w:val="ListParagraph"/>
        <w:numPr>
          <w:ilvl w:val="0"/>
          <w:numId w:val="3"/>
        </w:numPr>
        <w:tabs>
          <w:tab w:val="left" w:pos="473"/>
        </w:tabs>
        <w:spacing w:before="37"/>
        <w:ind w:hanging="360"/>
        <w:rPr>
          <w:b/>
          <w:color w:val="4F81BC"/>
        </w:rPr>
      </w:pPr>
      <w:bookmarkStart w:id="12" w:name="_bookmark11"/>
      <w:bookmarkEnd w:id="12"/>
      <w:r>
        <w:rPr>
          <w:b/>
          <w:color w:val="4F81BC"/>
        </w:rPr>
        <w:t>Can facilities use the money on new</w:t>
      </w:r>
      <w:r>
        <w:rPr>
          <w:b/>
          <w:color w:val="4F81BC"/>
          <w:spacing w:val="-4"/>
        </w:rPr>
        <w:t xml:space="preserve"> </w:t>
      </w:r>
      <w:r>
        <w:rPr>
          <w:b/>
          <w:color w:val="4F81BC"/>
        </w:rPr>
        <w:t>hires?</w:t>
      </w:r>
    </w:p>
    <w:p w:rsidR="006C1E48" w:rsidRDefault="00673E06">
      <w:pPr>
        <w:pStyle w:val="BodyText"/>
        <w:spacing w:before="1"/>
        <w:ind w:left="472" w:right="517"/>
      </w:pPr>
      <w:r>
        <w:rPr>
          <w:b/>
        </w:rPr>
        <w:t>Answer</w:t>
      </w:r>
      <w:r>
        <w:t xml:space="preserve">: Facilities may use the Direct Care revenue to pay bonuses to new hires. However, while wages and </w:t>
      </w:r>
      <w:r>
        <w:t xml:space="preserve">hours paid for new hires will be included in the reporting of hours and expenses for Part C </w:t>
      </w:r>
      <w:r>
        <w:t xml:space="preserve">and Part D, spending on these new employees during the rate period will not be considered an increase simply because the recipient was not employed during the base period. This is because wages, benefits, and overtime pay are measured on a per-hour basis, </w:t>
      </w:r>
      <w:r>
        <w:t>so per-hour spending (not total spending) must increase from the base period to the rate period.</w:t>
      </w:r>
    </w:p>
    <w:p w:rsidR="006C1E48" w:rsidRDefault="006C1E48">
      <w:pPr>
        <w:pStyle w:val="BodyText"/>
        <w:spacing w:before="11"/>
        <w:rPr>
          <w:sz w:val="21"/>
        </w:rPr>
      </w:pPr>
    </w:p>
    <w:p w:rsidR="006C1E48" w:rsidRDefault="00673E06">
      <w:pPr>
        <w:pStyle w:val="ListParagraph"/>
        <w:numPr>
          <w:ilvl w:val="0"/>
          <w:numId w:val="3"/>
        </w:numPr>
        <w:tabs>
          <w:tab w:val="left" w:pos="473"/>
        </w:tabs>
        <w:spacing w:before="1"/>
        <w:ind w:right="571" w:hanging="360"/>
        <w:rPr>
          <w:b/>
          <w:color w:val="4F81BC"/>
        </w:rPr>
      </w:pPr>
      <w:bookmarkStart w:id="13" w:name="_bookmark12"/>
      <w:bookmarkEnd w:id="13"/>
      <w:r>
        <w:rPr>
          <w:b/>
          <w:color w:val="4F81BC"/>
        </w:rPr>
        <w:t>What</w:t>
      </w:r>
      <w:r>
        <w:rPr>
          <w:b/>
          <w:color w:val="4F81BC"/>
          <w:spacing w:val="-2"/>
        </w:rPr>
        <w:t xml:space="preserve"> </w:t>
      </w:r>
      <w:r>
        <w:rPr>
          <w:b/>
          <w:color w:val="4F81BC"/>
        </w:rPr>
        <w:t>happens</w:t>
      </w:r>
      <w:r>
        <w:rPr>
          <w:b/>
          <w:color w:val="4F81BC"/>
          <w:spacing w:val="-2"/>
        </w:rPr>
        <w:t xml:space="preserve"> </w:t>
      </w:r>
      <w:r>
        <w:rPr>
          <w:b/>
          <w:color w:val="4F81BC"/>
        </w:rPr>
        <w:t>if</w:t>
      </w:r>
      <w:r>
        <w:rPr>
          <w:b/>
          <w:color w:val="4F81BC"/>
          <w:spacing w:val="-2"/>
        </w:rPr>
        <w:t xml:space="preserve"> </w:t>
      </w:r>
      <w:r>
        <w:rPr>
          <w:b/>
          <w:color w:val="4F81BC"/>
        </w:rPr>
        <w:t>I</w:t>
      </w:r>
      <w:r>
        <w:rPr>
          <w:b/>
          <w:color w:val="4F81BC"/>
          <w:spacing w:val="-1"/>
        </w:rPr>
        <w:t xml:space="preserve"> </w:t>
      </w:r>
      <w:r>
        <w:rPr>
          <w:b/>
          <w:color w:val="4F81BC"/>
        </w:rPr>
        <w:t>use</w:t>
      </w:r>
      <w:r>
        <w:rPr>
          <w:b/>
          <w:color w:val="4F81BC"/>
          <w:spacing w:val="-5"/>
        </w:rPr>
        <w:t xml:space="preserve"> </w:t>
      </w:r>
      <w:r>
        <w:rPr>
          <w:b/>
          <w:color w:val="4F81BC"/>
        </w:rPr>
        <w:t>contract</w:t>
      </w:r>
      <w:r>
        <w:rPr>
          <w:b/>
          <w:color w:val="4F81BC"/>
          <w:spacing w:val="-3"/>
        </w:rPr>
        <w:t xml:space="preserve"> </w:t>
      </w:r>
      <w:r>
        <w:rPr>
          <w:b/>
          <w:color w:val="4F81BC"/>
        </w:rPr>
        <w:t>staff</w:t>
      </w:r>
      <w:r>
        <w:rPr>
          <w:b/>
          <w:color w:val="4F81BC"/>
          <w:spacing w:val="-3"/>
        </w:rPr>
        <w:t xml:space="preserve"> </w:t>
      </w:r>
      <w:r>
        <w:rPr>
          <w:b/>
          <w:color w:val="4F81BC"/>
        </w:rPr>
        <w:t>for</w:t>
      </w:r>
      <w:r>
        <w:rPr>
          <w:b/>
          <w:color w:val="4F81BC"/>
          <w:spacing w:val="-2"/>
        </w:rPr>
        <w:t xml:space="preserve"> </w:t>
      </w:r>
      <w:r>
        <w:rPr>
          <w:b/>
          <w:color w:val="4F81BC"/>
        </w:rPr>
        <w:t>one</w:t>
      </w:r>
      <w:r>
        <w:rPr>
          <w:b/>
          <w:color w:val="4F81BC"/>
          <w:spacing w:val="-2"/>
        </w:rPr>
        <w:t xml:space="preserve"> </w:t>
      </w:r>
      <w:r>
        <w:rPr>
          <w:b/>
          <w:color w:val="4F81BC"/>
        </w:rPr>
        <w:t>period</w:t>
      </w:r>
      <w:r>
        <w:rPr>
          <w:b/>
          <w:color w:val="4F81BC"/>
          <w:spacing w:val="-3"/>
        </w:rPr>
        <w:t xml:space="preserve"> </w:t>
      </w:r>
      <w:r>
        <w:rPr>
          <w:b/>
          <w:color w:val="4F81BC"/>
        </w:rPr>
        <w:t>and</w:t>
      </w:r>
      <w:r>
        <w:rPr>
          <w:b/>
          <w:color w:val="4F81BC"/>
          <w:spacing w:val="-3"/>
        </w:rPr>
        <w:t xml:space="preserve"> </w:t>
      </w:r>
      <w:r>
        <w:rPr>
          <w:b/>
          <w:color w:val="4F81BC"/>
        </w:rPr>
        <w:t>have</w:t>
      </w:r>
      <w:r>
        <w:rPr>
          <w:b/>
          <w:color w:val="4F81BC"/>
          <w:spacing w:val="-2"/>
        </w:rPr>
        <w:t xml:space="preserve"> </w:t>
      </w:r>
      <w:r>
        <w:rPr>
          <w:b/>
          <w:color w:val="4F81BC"/>
        </w:rPr>
        <w:t>employees</w:t>
      </w:r>
      <w:r>
        <w:rPr>
          <w:b/>
          <w:color w:val="4F81BC"/>
          <w:spacing w:val="-4"/>
        </w:rPr>
        <w:t xml:space="preserve"> </w:t>
      </w:r>
      <w:r>
        <w:rPr>
          <w:b/>
          <w:color w:val="4F81BC"/>
        </w:rPr>
        <w:t>filling</w:t>
      </w:r>
      <w:r>
        <w:rPr>
          <w:b/>
          <w:color w:val="4F81BC"/>
          <w:spacing w:val="-1"/>
        </w:rPr>
        <w:t xml:space="preserve"> </w:t>
      </w:r>
      <w:r>
        <w:rPr>
          <w:b/>
          <w:color w:val="4F81BC"/>
        </w:rPr>
        <w:t>those</w:t>
      </w:r>
      <w:r>
        <w:rPr>
          <w:b/>
          <w:color w:val="4F81BC"/>
          <w:spacing w:val="-3"/>
        </w:rPr>
        <w:t xml:space="preserve"> </w:t>
      </w:r>
      <w:r>
        <w:rPr>
          <w:b/>
          <w:color w:val="4F81BC"/>
        </w:rPr>
        <w:t>positions</w:t>
      </w:r>
      <w:r>
        <w:rPr>
          <w:b/>
          <w:color w:val="4F81BC"/>
          <w:spacing w:val="-4"/>
        </w:rPr>
        <w:t xml:space="preserve"> </w:t>
      </w:r>
      <w:r>
        <w:rPr>
          <w:b/>
          <w:color w:val="4F81BC"/>
        </w:rPr>
        <w:t>during</w:t>
      </w:r>
      <w:r>
        <w:rPr>
          <w:b/>
          <w:color w:val="4F81BC"/>
          <w:spacing w:val="-3"/>
        </w:rPr>
        <w:t xml:space="preserve"> </w:t>
      </w:r>
      <w:r>
        <w:rPr>
          <w:b/>
          <w:color w:val="4F81BC"/>
        </w:rPr>
        <w:t>the other period? For example, if I used a contract service for housekeeping during the base period and hired housekeepers before or during the rate</w:t>
      </w:r>
      <w:r>
        <w:rPr>
          <w:b/>
          <w:color w:val="4F81BC"/>
          <w:spacing w:val="-6"/>
        </w:rPr>
        <w:t xml:space="preserve"> </w:t>
      </w:r>
      <w:r>
        <w:rPr>
          <w:b/>
          <w:color w:val="4F81BC"/>
        </w:rPr>
        <w:t>period?</w:t>
      </w:r>
    </w:p>
    <w:p w:rsidR="006C1E48" w:rsidRDefault="00673E06">
      <w:pPr>
        <w:pStyle w:val="BodyText"/>
        <w:spacing w:line="276" w:lineRule="auto"/>
        <w:ind w:left="472" w:right="805"/>
      </w:pPr>
      <w:r>
        <w:rPr>
          <w:b/>
        </w:rPr>
        <w:t>Answer</w:t>
      </w:r>
      <w:r>
        <w:t xml:space="preserve">: The webform has a drop-down list for each position in Part A, question 3. If the employee type </w:t>
      </w:r>
      <w:r>
        <w:t>was employed the entire rate year, leave the default option “Not contracted” as is. Otherwise, select the appropriate option:</w:t>
      </w:r>
    </w:p>
    <w:p w:rsidR="006C1E48" w:rsidRDefault="006C1E48">
      <w:pPr>
        <w:pStyle w:val="BodyText"/>
        <w:spacing w:before="5"/>
        <w:rPr>
          <w:sz w:val="16"/>
        </w:rPr>
      </w:pPr>
    </w:p>
    <w:p w:rsidR="006C1E48" w:rsidRDefault="00673E06">
      <w:pPr>
        <w:pStyle w:val="ListParagraph"/>
        <w:numPr>
          <w:ilvl w:val="1"/>
          <w:numId w:val="3"/>
        </w:numPr>
        <w:tabs>
          <w:tab w:val="left" w:pos="1192"/>
          <w:tab w:val="left" w:pos="1193"/>
        </w:tabs>
        <w:spacing w:line="276" w:lineRule="auto"/>
        <w:ind w:right="790"/>
        <w:rPr>
          <w:i/>
        </w:rPr>
      </w:pPr>
      <w:r>
        <w:rPr>
          <w:i/>
        </w:rPr>
        <w:t>Contracted Part of Rate Year – i</w:t>
      </w:r>
      <w:r>
        <w:rPr>
          <w:i/>
        </w:rPr>
        <w:t xml:space="preserve">f the position changed from contractor to employee or from employee to contractor during the rate year, select this option. Then, in the question 3b text box </w:t>
      </w:r>
      <w:r>
        <w:t>the “Explanation of why you are editing RY16 data”</w:t>
      </w:r>
      <w:r>
        <w:rPr>
          <w:i/>
        </w:rPr>
        <w:t>, enter the date the position began or ended bei</w:t>
      </w:r>
      <w:r>
        <w:rPr>
          <w:i/>
        </w:rPr>
        <w:t>ng</w:t>
      </w:r>
      <w:r>
        <w:rPr>
          <w:i/>
          <w:spacing w:val="-1"/>
        </w:rPr>
        <w:t xml:space="preserve"> </w:t>
      </w:r>
      <w:r>
        <w:rPr>
          <w:i/>
        </w:rPr>
        <w:t>contractors.</w:t>
      </w:r>
    </w:p>
    <w:p w:rsidR="006C1E48" w:rsidRDefault="00673E06">
      <w:pPr>
        <w:pStyle w:val="Heading4"/>
        <w:spacing w:before="1" w:line="276" w:lineRule="auto"/>
        <w:ind w:left="1192"/>
      </w:pPr>
      <w:r>
        <w:t>After the webforms are submitted, EOHHS may make an adjustment to reflect the staffing differences between the two periods to ensure the reporting between the two periods is consistent. The webform thus may not reflect those manual adjustme</w:t>
      </w:r>
      <w:r>
        <w:t>nts. EOHHS may ask facilities to provide additional information on the reported data.</w:t>
      </w:r>
    </w:p>
    <w:p w:rsidR="006C1E48" w:rsidRDefault="00673E06">
      <w:pPr>
        <w:pStyle w:val="ListParagraph"/>
        <w:numPr>
          <w:ilvl w:val="1"/>
          <w:numId w:val="3"/>
        </w:numPr>
        <w:tabs>
          <w:tab w:val="left" w:pos="1192"/>
          <w:tab w:val="left" w:pos="1193"/>
        </w:tabs>
        <w:spacing w:line="276" w:lineRule="auto"/>
        <w:ind w:right="732"/>
        <w:rPr>
          <w:i/>
        </w:rPr>
      </w:pPr>
      <w:r>
        <w:rPr>
          <w:i/>
        </w:rPr>
        <w:t>Contracted Entire Rate Year – select this option if the position was a contractor for the entire rate year. Users will not be able to enter any data for staff who were co</w:t>
      </w:r>
      <w:r>
        <w:rPr>
          <w:i/>
        </w:rPr>
        <w:t>ntractors the entire year; the cells for those staff will close and any existing data will be</w:t>
      </w:r>
      <w:r>
        <w:rPr>
          <w:i/>
          <w:spacing w:val="-17"/>
        </w:rPr>
        <w:t xml:space="preserve"> </w:t>
      </w:r>
      <w:r>
        <w:rPr>
          <w:i/>
        </w:rPr>
        <w:t>deleted.</w:t>
      </w:r>
    </w:p>
    <w:p w:rsidR="006C1E48" w:rsidRDefault="006C1E48">
      <w:pPr>
        <w:pStyle w:val="BodyText"/>
        <w:spacing w:before="4"/>
        <w:rPr>
          <w:sz w:val="16"/>
        </w:rPr>
      </w:pPr>
    </w:p>
    <w:p w:rsidR="006C1E48" w:rsidRDefault="00673E06">
      <w:pPr>
        <w:pStyle w:val="ListParagraph"/>
        <w:numPr>
          <w:ilvl w:val="0"/>
          <w:numId w:val="3"/>
        </w:numPr>
        <w:tabs>
          <w:tab w:val="left" w:pos="473"/>
        </w:tabs>
        <w:ind w:right="618" w:hanging="360"/>
        <w:rPr>
          <w:b/>
          <w:color w:val="4F81BC"/>
        </w:rPr>
      </w:pPr>
      <w:bookmarkStart w:id="14" w:name="_bookmark13"/>
      <w:bookmarkEnd w:id="14"/>
      <w:r>
        <w:rPr>
          <w:b/>
          <w:color w:val="4F81BC"/>
        </w:rPr>
        <w:t>Can facilities pay different bonus amounts to employees within a given department? For example, can a facility pay one LPN a $500 bonus, another one</w:t>
      </w:r>
      <w:r>
        <w:rPr>
          <w:b/>
          <w:color w:val="4F81BC"/>
          <w:spacing w:val="-8"/>
        </w:rPr>
        <w:t xml:space="preserve"> </w:t>
      </w:r>
      <w:r>
        <w:rPr>
          <w:b/>
          <w:color w:val="4F81BC"/>
        </w:rPr>
        <w:t>$1,</w:t>
      </w:r>
      <w:r>
        <w:rPr>
          <w:b/>
          <w:color w:val="4F81BC"/>
        </w:rPr>
        <w:t>000?</w:t>
      </w:r>
    </w:p>
    <w:p w:rsidR="006C1E48" w:rsidRDefault="00673E06">
      <w:pPr>
        <w:spacing w:before="1"/>
        <w:ind w:left="472"/>
        <w:rPr>
          <w:i/>
        </w:rPr>
      </w:pPr>
      <w:r>
        <w:rPr>
          <w:b/>
        </w:rPr>
        <w:t>Answer</w:t>
      </w:r>
      <w:r>
        <w:t xml:space="preserve">: </w:t>
      </w:r>
      <w:r>
        <w:rPr>
          <w:i/>
        </w:rPr>
        <w:t>Yes.</w:t>
      </w:r>
    </w:p>
    <w:p w:rsidR="006C1E48" w:rsidRDefault="006C1E48">
      <w:pPr>
        <w:pStyle w:val="BodyText"/>
        <w:spacing w:before="10"/>
        <w:rPr>
          <w:sz w:val="21"/>
        </w:rPr>
      </w:pPr>
    </w:p>
    <w:p w:rsidR="006C1E48" w:rsidRDefault="00673E06">
      <w:pPr>
        <w:pStyle w:val="ListParagraph"/>
        <w:numPr>
          <w:ilvl w:val="0"/>
          <w:numId w:val="3"/>
        </w:numPr>
        <w:tabs>
          <w:tab w:val="left" w:pos="473"/>
        </w:tabs>
        <w:ind w:hanging="360"/>
        <w:rPr>
          <w:b/>
          <w:color w:val="4F81BC"/>
        </w:rPr>
      </w:pPr>
      <w:bookmarkStart w:id="15" w:name="_bookmark14"/>
      <w:bookmarkEnd w:id="15"/>
      <w:r>
        <w:rPr>
          <w:b/>
          <w:color w:val="4F81BC"/>
        </w:rPr>
        <w:t>How do facilities know the amount of their Direct Care revenue received for rate year</w:t>
      </w:r>
      <w:r>
        <w:rPr>
          <w:b/>
          <w:color w:val="4F81BC"/>
          <w:spacing w:val="-16"/>
        </w:rPr>
        <w:t xml:space="preserve"> </w:t>
      </w:r>
      <w:r>
        <w:rPr>
          <w:b/>
          <w:color w:val="4F81BC"/>
        </w:rPr>
        <w:t>2018?</w:t>
      </w:r>
    </w:p>
    <w:p w:rsidR="006C1E48" w:rsidRDefault="00673E06">
      <w:pPr>
        <w:pStyle w:val="BodyText"/>
        <w:spacing w:before="1"/>
        <w:ind w:left="472" w:right="881"/>
      </w:pPr>
      <w:r>
        <w:rPr>
          <w:b/>
        </w:rPr>
        <w:t>Answer</w:t>
      </w:r>
      <w:r>
        <w:t xml:space="preserve">: To look up the amounts of Direct Care revenue, please go to </w:t>
      </w:r>
      <w:r>
        <w:t>https:</w:t>
      </w:r>
      <w:hyperlink r:id="rId12">
        <w:r>
          <w:t>//www.mass.gov/files/documents/2018/04/02/direct-care-lump-sum-payments-101-cmr-206.pdf</w:t>
        </w:r>
      </w:hyperlink>
    </w:p>
    <w:p w:rsidR="006C1E48" w:rsidRDefault="006C1E48">
      <w:pPr>
        <w:pStyle w:val="BodyText"/>
      </w:pPr>
    </w:p>
    <w:p w:rsidR="006C1E48" w:rsidRDefault="00673E06">
      <w:pPr>
        <w:pStyle w:val="ListParagraph"/>
        <w:numPr>
          <w:ilvl w:val="0"/>
          <w:numId w:val="3"/>
        </w:numPr>
        <w:tabs>
          <w:tab w:val="left" w:pos="473"/>
        </w:tabs>
        <w:ind w:hanging="360"/>
        <w:rPr>
          <w:b/>
          <w:color w:val="4F81BC"/>
        </w:rPr>
      </w:pPr>
      <w:bookmarkStart w:id="16" w:name="_bookmark15"/>
      <w:bookmarkEnd w:id="16"/>
      <w:r>
        <w:rPr>
          <w:b/>
          <w:color w:val="4F81BC"/>
        </w:rPr>
        <w:t>What are permissible uses of the Direct Care</w:t>
      </w:r>
      <w:r>
        <w:rPr>
          <w:b/>
          <w:color w:val="4F81BC"/>
          <w:spacing w:val="-8"/>
        </w:rPr>
        <w:t xml:space="preserve"> </w:t>
      </w:r>
      <w:r>
        <w:rPr>
          <w:b/>
          <w:color w:val="4F81BC"/>
        </w:rPr>
        <w:t>revenue?</w:t>
      </w:r>
    </w:p>
    <w:p w:rsidR="006C1E48" w:rsidRDefault="00673E06">
      <w:pPr>
        <w:pStyle w:val="BodyText"/>
        <w:ind w:left="472" w:right="597"/>
      </w:pPr>
      <w:r>
        <w:rPr>
          <w:b/>
        </w:rPr>
        <w:t>Answer</w:t>
      </w:r>
      <w:r>
        <w:t xml:space="preserve">: The Medicaid rate regulation specifies that providers must spend Direct Care revenue on the eight </w:t>
      </w:r>
      <w:r>
        <w:t xml:space="preserve">direct care employee positions eligible to receive Direct Care funds via: </w:t>
      </w:r>
      <w:r>
        <w:rPr>
          <w:b/>
        </w:rPr>
        <w:t xml:space="preserve">increased wages, increased </w:t>
      </w:r>
      <w:r>
        <w:rPr>
          <w:b/>
        </w:rPr>
        <w:t>benefits, overtime pay, shift differentials, and bonuse</w:t>
      </w:r>
      <w:r>
        <w:rPr>
          <w:b/>
        </w:rPr>
        <w:t>s</w:t>
      </w:r>
      <w:r>
        <w:t xml:space="preserve">. Spending for those permissible uses occurring on </w:t>
      </w:r>
      <w:r>
        <w:t xml:space="preserve">or after July 1, 2017 will be considered permissible use of Direct Care funding. Facilities may </w:t>
      </w:r>
      <w:r>
        <w:rPr>
          <w:b/>
        </w:rPr>
        <w:t xml:space="preserve">not </w:t>
      </w:r>
      <w:r>
        <w:t xml:space="preserve">spend </w:t>
      </w:r>
      <w:r>
        <w:t>Direct Care revenue for temporary nursing service, contract employees, or directors of nursing.</w:t>
      </w:r>
    </w:p>
    <w:p w:rsidR="006C1E48" w:rsidRDefault="006C1E48">
      <w:pPr>
        <w:pStyle w:val="BodyText"/>
      </w:pPr>
    </w:p>
    <w:p w:rsidR="006C1E48" w:rsidRDefault="00673E06">
      <w:pPr>
        <w:pStyle w:val="ListParagraph"/>
        <w:numPr>
          <w:ilvl w:val="0"/>
          <w:numId w:val="3"/>
        </w:numPr>
        <w:tabs>
          <w:tab w:val="left" w:pos="473"/>
        </w:tabs>
        <w:ind w:hanging="360"/>
        <w:rPr>
          <w:b/>
          <w:color w:val="4F81BC"/>
        </w:rPr>
      </w:pPr>
      <w:bookmarkStart w:id="17" w:name="_bookmark16"/>
      <w:bookmarkEnd w:id="17"/>
      <w:r>
        <w:rPr>
          <w:b/>
          <w:color w:val="4F81BC"/>
        </w:rPr>
        <w:t>W</w:t>
      </w:r>
      <w:r>
        <w:rPr>
          <w:b/>
          <w:color w:val="4F81BC"/>
        </w:rPr>
        <w:t>ill EOHHS monitor Direct Care spending</w:t>
      </w:r>
      <w:r>
        <w:rPr>
          <w:b/>
          <w:color w:val="4F81BC"/>
          <w:spacing w:val="-6"/>
        </w:rPr>
        <w:t xml:space="preserve"> </w:t>
      </w:r>
      <w:r>
        <w:rPr>
          <w:b/>
          <w:color w:val="4F81BC"/>
        </w:rPr>
        <w:t>compliance?</w:t>
      </w:r>
    </w:p>
    <w:p w:rsidR="006C1E48" w:rsidRDefault="00673E06">
      <w:pPr>
        <w:pStyle w:val="BodyText"/>
        <w:ind w:left="472" w:right="918"/>
      </w:pPr>
      <w:r>
        <w:rPr>
          <w:b/>
        </w:rPr>
        <w:t>Answer</w:t>
      </w:r>
      <w:r>
        <w:t xml:space="preserve">: Yes, both the FY2018 budget and 101 CMR 206.00: Standard Payments to Nursing Facilities </w:t>
      </w:r>
      <w:r>
        <w:t>authorize EOHHS to monitor spending compliance. The regulation states that EOHHS will, via administrative bul</w:t>
      </w:r>
      <w:r>
        <w:t>letin or other written issuance, establish rules governing various aspects of the Direct</w:t>
      </w:r>
    </w:p>
    <w:p w:rsidR="006C1E48" w:rsidRDefault="006C1E48">
      <w:pPr>
        <w:sectPr w:rsidR="006C1E48">
          <w:pgSz w:w="12240" w:h="15840"/>
          <w:pgMar w:top="1380" w:right="620" w:bottom="1180" w:left="1040" w:header="0" w:footer="991" w:gutter="0"/>
          <w:cols w:space="720"/>
        </w:sectPr>
      </w:pPr>
    </w:p>
    <w:p w:rsidR="006C1E48" w:rsidRDefault="00673E06">
      <w:pPr>
        <w:pStyle w:val="BodyText"/>
        <w:spacing w:before="29"/>
        <w:ind w:left="472" w:right="1767"/>
      </w:pPr>
      <w:r>
        <w:t xml:space="preserve">Care funds including, but not limited to, reporting requirements, noncompliance, penalties for </w:t>
      </w:r>
      <w:r>
        <w:t>noncompliance, and recovery. See 101 CMR 206.06(13).</w:t>
      </w:r>
    </w:p>
    <w:p w:rsidR="006C1E48" w:rsidRDefault="006C1E48">
      <w:pPr>
        <w:sectPr w:rsidR="006C1E48">
          <w:pgSz w:w="12240" w:h="15840"/>
          <w:pgMar w:top="1120" w:right="620" w:bottom="1180" w:left="1040" w:header="0" w:footer="991" w:gutter="0"/>
          <w:cols w:space="720"/>
        </w:sectPr>
      </w:pPr>
    </w:p>
    <w:p w:rsidR="006C1E48" w:rsidRDefault="00673E06">
      <w:pPr>
        <w:spacing w:before="90"/>
        <w:ind w:left="112"/>
        <w:rPr>
          <w:rFonts w:ascii="Cambria"/>
          <w:b/>
          <w:sz w:val="28"/>
        </w:rPr>
      </w:pPr>
      <w:bookmarkStart w:id="18" w:name="_bookmark17"/>
      <w:bookmarkEnd w:id="18"/>
      <w:r>
        <w:rPr>
          <w:rFonts w:ascii="Cambria"/>
          <w:b/>
          <w:color w:val="365F91"/>
          <w:sz w:val="28"/>
        </w:rPr>
        <w:t>Reporting, Filing and Timelines</w:t>
      </w:r>
    </w:p>
    <w:p w:rsidR="006C1E48" w:rsidRDefault="00673E06">
      <w:pPr>
        <w:pStyle w:val="ListParagraph"/>
        <w:numPr>
          <w:ilvl w:val="0"/>
          <w:numId w:val="3"/>
        </w:numPr>
        <w:tabs>
          <w:tab w:val="left" w:pos="473"/>
        </w:tabs>
        <w:spacing w:before="268"/>
        <w:ind w:hanging="360"/>
        <w:rPr>
          <w:b/>
          <w:color w:val="4F81BC"/>
        </w:rPr>
      </w:pPr>
      <w:bookmarkStart w:id="19" w:name="_bookmark18"/>
      <w:bookmarkEnd w:id="19"/>
      <w:r>
        <w:rPr>
          <w:b/>
          <w:color w:val="4F81BC"/>
        </w:rPr>
        <w:t>How does a nursing facility document Direct Care</w:t>
      </w:r>
      <w:r>
        <w:rPr>
          <w:b/>
          <w:color w:val="4F81BC"/>
          <w:spacing w:val="-2"/>
        </w:rPr>
        <w:t xml:space="preserve"> </w:t>
      </w:r>
      <w:r>
        <w:rPr>
          <w:b/>
          <w:color w:val="4F81BC"/>
        </w:rPr>
        <w:t>spending?</w:t>
      </w:r>
    </w:p>
    <w:p w:rsidR="006C1E48" w:rsidRDefault="00673E06">
      <w:pPr>
        <w:pStyle w:val="BodyText"/>
        <w:spacing w:before="1"/>
        <w:ind w:left="472" w:right="787"/>
        <w:jc w:val="both"/>
      </w:pPr>
      <w:r>
        <w:rPr>
          <w:b/>
          <w:spacing w:val="-3"/>
        </w:rPr>
        <w:t>Answer</w:t>
      </w:r>
      <w:r>
        <w:rPr>
          <w:spacing w:val="-3"/>
        </w:rPr>
        <w:t xml:space="preserve">: Each facility </w:t>
      </w:r>
      <w:r>
        <w:t xml:space="preserve">will be </w:t>
      </w:r>
      <w:r>
        <w:rPr>
          <w:spacing w:val="-3"/>
        </w:rPr>
        <w:t xml:space="preserve">required </w:t>
      </w:r>
      <w:r>
        <w:t xml:space="preserve">to </w:t>
      </w:r>
      <w:r>
        <w:rPr>
          <w:b/>
          <w:spacing w:val="-3"/>
        </w:rPr>
        <w:t xml:space="preserve">electronically submit </w:t>
      </w:r>
      <w:r>
        <w:rPr>
          <w:spacing w:val="-3"/>
        </w:rPr>
        <w:t xml:space="preserve">data </w:t>
      </w:r>
      <w:r>
        <w:t xml:space="preserve">to </w:t>
      </w:r>
      <w:r>
        <w:rPr>
          <w:spacing w:val="-3"/>
        </w:rPr>
        <w:t xml:space="preserve">EOHHS using </w:t>
      </w:r>
      <w:r>
        <w:t xml:space="preserve">a </w:t>
      </w:r>
      <w:r>
        <w:rPr>
          <w:spacing w:val="-3"/>
        </w:rPr>
        <w:t xml:space="preserve">Nursing Facility Direct </w:t>
      </w:r>
      <w:r>
        <w:rPr>
          <w:spacing w:val="-3"/>
        </w:rPr>
        <w:t xml:space="preserve">Care Program Compliance </w:t>
      </w:r>
      <w:r>
        <w:t xml:space="preserve">Form. </w:t>
      </w:r>
      <w:r>
        <w:rPr>
          <w:spacing w:val="-3"/>
        </w:rPr>
        <w:t xml:space="preserve">Based </w:t>
      </w:r>
      <w:r>
        <w:t xml:space="preserve">on </w:t>
      </w:r>
      <w:r>
        <w:rPr>
          <w:spacing w:val="-2"/>
        </w:rPr>
        <w:t>t</w:t>
      </w:r>
      <w:r>
        <w:rPr>
          <w:spacing w:val="-2"/>
        </w:rPr>
        <w:t xml:space="preserve">he </w:t>
      </w:r>
      <w:r>
        <w:rPr>
          <w:spacing w:val="-3"/>
        </w:rPr>
        <w:t xml:space="preserve">information provided </w:t>
      </w:r>
      <w:r>
        <w:t xml:space="preserve">by </w:t>
      </w:r>
      <w:r>
        <w:rPr>
          <w:spacing w:val="-2"/>
        </w:rPr>
        <w:t xml:space="preserve">the </w:t>
      </w:r>
      <w:r>
        <w:rPr>
          <w:spacing w:val="-3"/>
        </w:rPr>
        <w:t xml:space="preserve">facility </w:t>
      </w:r>
      <w:r>
        <w:t xml:space="preserve">on </w:t>
      </w:r>
      <w:r>
        <w:rPr>
          <w:spacing w:val="-2"/>
        </w:rPr>
        <w:t xml:space="preserve">the </w:t>
      </w:r>
      <w:r>
        <w:t xml:space="preserve">form, </w:t>
      </w:r>
      <w:r>
        <w:rPr>
          <w:spacing w:val="-3"/>
        </w:rPr>
        <w:t xml:space="preserve">EOHHS </w:t>
      </w:r>
      <w:r>
        <w:t>will compare the amount of spending counted toward compliance with the amount of Direct Care</w:t>
      </w:r>
    </w:p>
    <w:p w:rsidR="006C1E48" w:rsidRDefault="00673E06">
      <w:pPr>
        <w:pStyle w:val="BodyText"/>
        <w:ind w:left="472" w:right="1471"/>
      </w:pPr>
      <w:r>
        <w:t xml:space="preserve">revenue received to determine if the facility has complied. EOHHS will provide each facility with a </w:t>
      </w:r>
      <w:r>
        <w:t>comp</w:t>
      </w:r>
      <w:r>
        <w:t>liance calculation and notify the facility of its determination.</w:t>
      </w:r>
    </w:p>
    <w:p w:rsidR="006C1E48" w:rsidRDefault="006C1E48">
      <w:pPr>
        <w:pStyle w:val="BodyText"/>
        <w:spacing w:before="11"/>
        <w:rPr>
          <w:sz w:val="21"/>
        </w:rPr>
      </w:pPr>
    </w:p>
    <w:p w:rsidR="006C1E48" w:rsidRDefault="00673E06">
      <w:pPr>
        <w:pStyle w:val="ListParagraph"/>
        <w:numPr>
          <w:ilvl w:val="0"/>
          <w:numId w:val="3"/>
        </w:numPr>
        <w:tabs>
          <w:tab w:val="left" w:pos="473"/>
        </w:tabs>
        <w:ind w:hanging="360"/>
        <w:rPr>
          <w:b/>
          <w:color w:val="4F81BC"/>
        </w:rPr>
      </w:pPr>
      <w:bookmarkStart w:id="20" w:name="_bookmark19"/>
      <w:bookmarkEnd w:id="20"/>
      <w:r>
        <w:rPr>
          <w:b/>
          <w:color w:val="4F81BC"/>
        </w:rPr>
        <w:t>Is filing the interim compliance form by February 1, 2018</w:t>
      </w:r>
      <w:r>
        <w:rPr>
          <w:b/>
          <w:color w:val="4F81BC"/>
          <w:spacing w:val="-3"/>
        </w:rPr>
        <w:t xml:space="preserve"> </w:t>
      </w:r>
      <w:r>
        <w:rPr>
          <w:b/>
          <w:color w:val="4F81BC"/>
        </w:rPr>
        <w:t>mandatory?</w:t>
      </w:r>
    </w:p>
    <w:p w:rsidR="006C1E48" w:rsidRDefault="00673E06">
      <w:pPr>
        <w:pStyle w:val="BodyText"/>
        <w:ind w:left="472" w:right="517"/>
      </w:pPr>
      <w:r>
        <w:rPr>
          <w:b/>
          <w:i w:val="0"/>
        </w:rPr>
        <w:t>Answer</w:t>
      </w:r>
      <w:r>
        <w:rPr>
          <w:i w:val="0"/>
        </w:rPr>
        <w:t xml:space="preserve">: </w:t>
      </w:r>
      <w:r>
        <w:t xml:space="preserve">Yes, for all facilities who received more than $5,000 in Direct Care Add-on funding. Facilities who </w:t>
      </w:r>
      <w:r>
        <w:t>received $5,000 or less in funding are not required to submit the interim compliance form.</w:t>
      </w:r>
    </w:p>
    <w:p w:rsidR="006C1E48" w:rsidRDefault="006C1E48">
      <w:pPr>
        <w:pStyle w:val="BodyText"/>
        <w:spacing w:before="1"/>
      </w:pPr>
    </w:p>
    <w:p w:rsidR="006C1E48" w:rsidRDefault="00673E06">
      <w:pPr>
        <w:pStyle w:val="ListParagraph"/>
        <w:numPr>
          <w:ilvl w:val="0"/>
          <w:numId w:val="3"/>
        </w:numPr>
        <w:tabs>
          <w:tab w:val="left" w:pos="473"/>
        </w:tabs>
        <w:ind w:hanging="360"/>
        <w:rPr>
          <w:b/>
          <w:color w:val="4F81BC"/>
        </w:rPr>
      </w:pPr>
      <w:bookmarkStart w:id="21" w:name="_bookmark20"/>
      <w:bookmarkEnd w:id="21"/>
      <w:r>
        <w:rPr>
          <w:b/>
          <w:color w:val="4F81BC"/>
        </w:rPr>
        <w:t>What is the website for the</w:t>
      </w:r>
      <w:r>
        <w:rPr>
          <w:b/>
          <w:color w:val="4F81BC"/>
          <w:spacing w:val="-7"/>
        </w:rPr>
        <w:t xml:space="preserve"> </w:t>
      </w:r>
      <w:r>
        <w:rPr>
          <w:b/>
          <w:color w:val="4F81BC"/>
        </w:rPr>
        <w:t>webform?</w:t>
      </w:r>
    </w:p>
    <w:p w:rsidR="006C1E48" w:rsidRDefault="00673E06">
      <w:pPr>
        <w:pStyle w:val="BodyText"/>
        <w:ind w:left="472"/>
        <w:jc w:val="both"/>
      </w:pPr>
      <w:r>
        <w:rPr>
          <w:b/>
        </w:rPr>
        <w:t>Answer</w:t>
      </w:r>
      <w:r>
        <w:t xml:space="preserve">: </w:t>
      </w:r>
      <w:hyperlink r:id="rId13">
        <w:r>
          <w:rPr>
            <w:color w:val="0462C1"/>
            <w:u w:val="single" w:color="0462C1"/>
          </w:rPr>
          <w:t>https://www.uenter.org/NF/</w:t>
        </w:r>
      </w:hyperlink>
    </w:p>
    <w:p w:rsidR="006C1E48" w:rsidRDefault="006C1E48">
      <w:pPr>
        <w:pStyle w:val="BodyText"/>
        <w:spacing w:before="11"/>
        <w:rPr>
          <w:sz w:val="14"/>
        </w:rPr>
      </w:pPr>
    </w:p>
    <w:p w:rsidR="006C1E48" w:rsidRDefault="00673E06">
      <w:pPr>
        <w:pStyle w:val="BodyText"/>
        <w:spacing w:before="57" w:line="278" w:lineRule="auto"/>
        <w:ind w:left="472" w:right="1055"/>
      </w:pPr>
      <w:r>
        <w:t xml:space="preserve">Note, if you use Firefox, you may need to add an exception to allow the website to load (via Advanced </w:t>
      </w:r>
      <w:r>
        <w:t>button).</w:t>
      </w:r>
    </w:p>
    <w:p w:rsidR="006C1E48" w:rsidRDefault="00673E06">
      <w:pPr>
        <w:pStyle w:val="BodyText"/>
        <w:spacing w:before="195" w:line="278" w:lineRule="auto"/>
        <w:ind w:left="472" w:right="785"/>
      </w:pPr>
      <w:r>
        <w:t xml:space="preserve">You must have registered with MassHealth and received a user ID and password in order to log on to use </w:t>
      </w:r>
      <w:r>
        <w:t>the webform (see Compliance section below)</w:t>
      </w:r>
      <w:r>
        <w:t>. You will be able to access forms for all of the nursing facilities for which you have registered.</w:t>
      </w:r>
    </w:p>
    <w:p w:rsidR="006C1E48" w:rsidRDefault="00673E06">
      <w:pPr>
        <w:pStyle w:val="ListParagraph"/>
        <w:numPr>
          <w:ilvl w:val="0"/>
          <w:numId w:val="3"/>
        </w:numPr>
        <w:tabs>
          <w:tab w:val="left" w:pos="473"/>
        </w:tabs>
        <w:spacing w:before="193" w:line="267" w:lineRule="exact"/>
        <w:ind w:hanging="360"/>
        <w:rPr>
          <w:b/>
          <w:color w:val="4F81BC"/>
        </w:rPr>
      </w:pPr>
      <w:bookmarkStart w:id="22" w:name="_bookmark21"/>
      <w:bookmarkEnd w:id="22"/>
      <w:r>
        <w:rPr>
          <w:b/>
          <w:color w:val="4F81BC"/>
        </w:rPr>
        <w:t>What is the due date for submission of the Final Compliance</w:t>
      </w:r>
      <w:r>
        <w:rPr>
          <w:b/>
          <w:color w:val="4F81BC"/>
          <w:spacing w:val="-15"/>
        </w:rPr>
        <w:t xml:space="preserve"> </w:t>
      </w:r>
      <w:r>
        <w:rPr>
          <w:b/>
          <w:color w:val="4F81BC"/>
        </w:rPr>
        <w:t>Form?</w:t>
      </w:r>
    </w:p>
    <w:p w:rsidR="006C1E48" w:rsidRDefault="00673E06">
      <w:pPr>
        <w:ind w:left="472" w:right="852"/>
        <w:rPr>
          <w:i/>
        </w:rPr>
      </w:pPr>
      <w:r>
        <w:rPr>
          <w:b/>
          <w:i/>
        </w:rPr>
        <w:t>Answer</w:t>
      </w:r>
      <w:r>
        <w:rPr>
          <w:i/>
        </w:rPr>
        <w:t xml:space="preserve">: </w:t>
      </w:r>
      <w:r>
        <w:rPr>
          <w:b/>
          <w:i/>
        </w:rPr>
        <w:t xml:space="preserve">Final Report Due Date </w:t>
      </w:r>
      <w:r>
        <w:rPr>
          <w:i/>
        </w:rPr>
        <w:t xml:space="preserve">- Facilities must submit the Final Compliance Form no later </w:t>
      </w:r>
      <w:r>
        <w:rPr>
          <w:i/>
        </w:rPr>
        <w:t>than July 31, 2018.</w:t>
      </w:r>
    </w:p>
    <w:p w:rsidR="006C1E48" w:rsidRDefault="006C1E48">
      <w:pPr>
        <w:pStyle w:val="BodyText"/>
      </w:pPr>
    </w:p>
    <w:p w:rsidR="006C1E48" w:rsidRDefault="00673E06">
      <w:pPr>
        <w:pStyle w:val="Heading2"/>
        <w:numPr>
          <w:ilvl w:val="0"/>
          <w:numId w:val="3"/>
        </w:numPr>
        <w:tabs>
          <w:tab w:val="left" w:pos="473"/>
        </w:tabs>
        <w:spacing w:before="1"/>
        <w:ind w:hanging="360"/>
        <w:rPr>
          <w:color w:val="4F81BC"/>
        </w:rPr>
      </w:pPr>
      <w:bookmarkStart w:id="23" w:name="_bookmark22"/>
      <w:bookmarkEnd w:id="23"/>
      <w:r>
        <w:rPr>
          <w:color w:val="4F81BC"/>
        </w:rPr>
        <w:t>Is filing the final compliance form due by July 31, 2018</w:t>
      </w:r>
      <w:r>
        <w:rPr>
          <w:color w:val="4F81BC"/>
          <w:spacing w:val="-5"/>
        </w:rPr>
        <w:t xml:space="preserve"> </w:t>
      </w:r>
      <w:r>
        <w:rPr>
          <w:color w:val="4F81BC"/>
        </w:rPr>
        <w:t>mandatory?</w:t>
      </w:r>
    </w:p>
    <w:p w:rsidR="006C1E48" w:rsidRDefault="00673E06">
      <w:pPr>
        <w:pStyle w:val="BodyText"/>
        <w:ind w:left="472" w:right="725"/>
      </w:pPr>
      <w:r>
        <w:rPr>
          <w:b/>
          <w:i w:val="0"/>
        </w:rPr>
        <w:t>Answer</w:t>
      </w:r>
      <w:r>
        <w:rPr>
          <w:i w:val="0"/>
        </w:rPr>
        <w:t xml:space="preserve">: </w:t>
      </w:r>
      <w:r>
        <w:t xml:space="preserve">Yes, as described in Administrative Bulletin 18-02, all facilities that received more than $5,000 in </w:t>
      </w:r>
      <w:r>
        <w:t>FY18 Direct Care funding must submit a Final Compliance Fo</w:t>
      </w:r>
      <w:r>
        <w:t>rm. Facilities that received $5,000 or less in FY18 Direct Care funding will be required to submit a single abbreviated compliance report to EOHHS by July 31, 2018 in the format specified by EOHHS.</w:t>
      </w:r>
    </w:p>
    <w:p w:rsidR="006C1E48" w:rsidRDefault="006C1E48">
      <w:pPr>
        <w:pStyle w:val="BodyText"/>
        <w:spacing w:before="1"/>
      </w:pPr>
    </w:p>
    <w:p w:rsidR="006C1E48" w:rsidRDefault="00673E06">
      <w:pPr>
        <w:pStyle w:val="Heading2"/>
        <w:numPr>
          <w:ilvl w:val="0"/>
          <w:numId w:val="3"/>
        </w:numPr>
        <w:tabs>
          <w:tab w:val="left" w:pos="473"/>
        </w:tabs>
        <w:spacing w:line="267" w:lineRule="exact"/>
        <w:ind w:hanging="360"/>
        <w:rPr>
          <w:color w:val="4F81BC"/>
        </w:rPr>
      </w:pPr>
      <w:bookmarkStart w:id="24" w:name="_bookmark23"/>
      <w:bookmarkEnd w:id="24"/>
      <w:r>
        <w:rPr>
          <w:color w:val="4F81BC"/>
        </w:rPr>
        <w:t>How does a facility register for the Compliance Form web</w:t>
      </w:r>
      <w:r>
        <w:rPr>
          <w:color w:val="4F81BC"/>
          <w:spacing w:val="-11"/>
        </w:rPr>
        <w:t xml:space="preserve"> </w:t>
      </w:r>
      <w:r>
        <w:rPr>
          <w:color w:val="4F81BC"/>
        </w:rPr>
        <w:t>application?</w:t>
      </w:r>
    </w:p>
    <w:p w:rsidR="006C1E48" w:rsidRDefault="00673E06">
      <w:pPr>
        <w:pStyle w:val="BodyText"/>
        <w:spacing w:line="276" w:lineRule="auto"/>
        <w:ind w:left="472" w:right="574"/>
      </w:pPr>
      <w:r>
        <w:rPr>
          <w:b/>
        </w:rPr>
        <w:t xml:space="preserve">Answer: </w:t>
      </w:r>
      <w:r>
        <w:t xml:space="preserve">Each facility is required to designate one or more contact person(s) who will submit data via the </w:t>
      </w:r>
      <w:r>
        <w:t>Direct Care application and receive notifications about the Direct Care program and relevant reporting deadlines. Facilities must complet</w:t>
      </w:r>
      <w:r>
        <w:t>e the Direct Care Registration form available on the MassHealth Provider Forms webpage (</w:t>
      </w:r>
      <w:hyperlink r:id="rId14">
        <w:r>
          <w:rPr>
            <w:u w:val="single"/>
          </w:rPr>
          <w:t>http://www.mass.gov/eohhs/gov/laws-regs/masshealth</w:t>
        </w:r>
        <w:r>
          <w:rPr>
            <w:u w:val="single"/>
          </w:rPr>
          <w:t>/provider-library/masshealth-</w:t>
        </w:r>
      </w:hyperlink>
      <w:r>
        <w:t xml:space="preserve"> </w:t>
      </w:r>
      <w:hyperlink r:id="rId15">
        <w:r>
          <w:rPr>
            <w:u w:val="single"/>
          </w:rPr>
          <w:t>provider-forms.html</w:t>
        </w:r>
      </w:hyperlink>
      <w:r>
        <w:t xml:space="preserve">) and send the completed form to </w:t>
      </w:r>
      <w:hyperlink r:id="rId16">
        <w:r>
          <w:rPr>
            <w:u w:val="single"/>
          </w:rPr>
          <w:t>NFDi</w:t>
        </w:r>
        <w:r>
          <w:rPr>
            <w:u w:val="single"/>
          </w:rPr>
          <w:t>rectCare@umassmed.edu</w:t>
        </w:r>
        <w:r>
          <w:t>.</w:t>
        </w:r>
      </w:hyperlink>
    </w:p>
    <w:p w:rsidR="006C1E48" w:rsidRDefault="006C1E48">
      <w:pPr>
        <w:pStyle w:val="BodyText"/>
        <w:spacing w:before="10"/>
        <w:rPr>
          <w:sz w:val="11"/>
        </w:rPr>
      </w:pPr>
    </w:p>
    <w:p w:rsidR="006C1E48" w:rsidRDefault="00673E06">
      <w:pPr>
        <w:pStyle w:val="BodyText"/>
        <w:spacing w:before="56" w:line="276" w:lineRule="auto"/>
        <w:ind w:left="472" w:right="538"/>
      </w:pPr>
      <w:r>
        <w:t xml:space="preserve">On the registration form, facilities must list each person who will become a webform user, the user’s e-mail </w:t>
      </w:r>
      <w:r>
        <w:t>address, and phone number, as well as the facility’s name and Medicaid provider number. Enter information by USER (all faci</w:t>
      </w:r>
      <w:r>
        <w:t>lities the first user will access, then all the facilities the second user will access). Contact information can be listed once for each person. For example:</w:t>
      </w:r>
    </w:p>
    <w:p w:rsidR="006C1E48" w:rsidRDefault="006C1E48">
      <w:pPr>
        <w:pStyle w:val="BodyText"/>
        <w:spacing w:before="7"/>
        <w:rPr>
          <w:sz w:val="16"/>
        </w:rPr>
      </w:pPr>
    </w:p>
    <w:tbl>
      <w:tblPr>
        <w:tblStyle w:val="TableGrid"/>
        <w:tblW w:w="0" w:type="auto"/>
        <w:tblLayout w:type="fixed"/>
        <w:tblLook w:val="01E0" w:firstRow="1" w:lastRow="1" w:firstColumn="1" w:lastColumn="1" w:noHBand="0" w:noVBand="0"/>
        <w:tblCaption w:val="Table 1"/>
      </w:tblPr>
      <w:tblGrid>
        <w:gridCol w:w="1080"/>
        <w:gridCol w:w="991"/>
        <w:gridCol w:w="1440"/>
        <w:gridCol w:w="1439"/>
        <w:gridCol w:w="1799"/>
        <w:gridCol w:w="1799"/>
        <w:gridCol w:w="1438"/>
      </w:tblGrid>
      <w:tr w:rsidR="006C1E48" w:rsidTr="00083D2D">
        <w:trPr>
          <w:trHeight w:val="537"/>
          <w:tblHeader/>
        </w:trPr>
        <w:tc>
          <w:tcPr>
            <w:tcW w:w="1080" w:type="dxa"/>
          </w:tcPr>
          <w:p w:rsidR="006C1E48" w:rsidRDefault="00673E06" w:rsidP="00083D2D">
            <w:pPr>
              <w:pStyle w:val="TableParagraph"/>
              <w:spacing w:line="265" w:lineRule="exact"/>
              <w:rPr>
                <w:b/>
              </w:rPr>
            </w:pPr>
            <w:r>
              <w:rPr>
                <w:b/>
              </w:rPr>
              <w:t>First</w:t>
            </w:r>
          </w:p>
          <w:p w:rsidR="006C1E48" w:rsidRDefault="00673E06" w:rsidP="00083D2D">
            <w:pPr>
              <w:pStyle w:val="TableParagraph"/>
              <w:spacing w:line="252" w:lineRule="exact"/>
              <w:rPr>
                <w:b/>
              </w:rPr>
            </w:pPr>
            <w:r>
              <w:rPr>
                <w:b/>
              </w:rPr>
              <w:t>Name</w:t>
            </w:r>
          </w:p>
        </w:tc>
        <w:tc>
          <w:tcPr>
            <w:tcW w:w="991" w:type="dxa"/>
          </w:tcPr>
          <w:p w:rsidR="006C1E48" w:rsidRDefault="00673E06" w:rsidP="00083D2D">
            <w:pPr>
              <w:pStyle w:val="TableParagraph"/>
              <w:spacing w:line="265" w:lineRule="exact"/>
              <w:rPr>
                <w:b/>
              </w:rPr>
            </w:pPr>
            <w:r>
              <w:rPr>
                <w:b/>
              </w:rPr>
              <w:t>Last</w:t>
            </w:r>
          </w:p>
          <w:p w:rsidR="006C1E48" w:rsidRDefault="00673E06" w:rsidP="00083D2D">
            <w:pPr>
              <w:pStyle w:val="TableParagraph"/>
              <w:spacing w:line="252" w:lineRule="exact"/>
              <w:rPr>
                <w:b/>
              </w:rPr>
            </w:pPr>
            <w:r>
              <w:rPr>
                <w:b/>
              </w:rPr>
              <w:t>Name</w:t>
            </w:r>
          </w:p>
        </w:tc>
        <w:tc>
          <w:tcPr>
            <w:tcW w:w="1440" w:type="dxa"/>
          </w:tcPr>
          <w:p w:rsidR="006C1E48" w:rsidRDefault="00673E06" w:rsidP="00083D2D">
            <w:pPr>
              <w:pStyle w:val="TableParagraph"/>
              <w:spacing w:before="131" w:line="240" w:lineRule="auto"/>
              <w:ind w:right="105"/>
              <w:jc w:val="center"/>
              <w:rPr>
                <w:b/>
              </w:rPr>
            </w:pPr>
            <w:r>
              <w:rPr>
                <w:b/>
              </w:rPr>
              <w:t>Organization</w:t>
            </w:r>
          </w:p>
        </w:tc>
        <w:tc>
          <w:tcPr>
            <w:tcW w:w="1439" w:type="dxa"/>
          </w:tcPr>
          <w:p w:rsidR="006C1E48" w:rsidRDefault="00673E06" w:rsidP="00083D2D">
            <w:pPr>
              <w:pStyle w:val="TableParagraph"/>
              <w:spacing w:line="265" w:lineRule="exact"/>
              <w:rPr>
                <w:b/>
              </w:rPr>
            </w:pPr>
            <w:r>
              <w:rPr>
                <w:b/>
              </w:rPr>
              <w:t>Phone</w:t>
            </w:r>
          </w:p>
          <w:p w:rsidR="006C1E48" w:rsidRDefault="00673E06" w:rsidP="00083D2D">
            <w:pPr>
              <w:pStyle w:val="TableParagraph"/>
              <w:spacing w:line="252" w:lineRule="exact"/>
              <w:rPr>
                <w:b/>
              </w:rPr>
            </w:pPr>
            <w:r>
              <w:rPr>
                <w:b/>
              </w:rPr>
              <w:t>Number</w:t>
            </w:r>
          </w:p>
        </w:tc>
        <w:tc>
          <w:tcPr>
            <w:tcW w:w="1799" w:type="dxa"/>
          </w:tcPr>
          <w:p w:rsidR="006C1E48" w:rsidRDefault="00673E06" w:rsidP="00083D2D">
            <w:pPr>
              <w:pStyle w:val="TableParagraph"/>
              <w:spacing w:before="131" w:line="240" w:lineRule="auto"/>
              <w:ind w:right="130"/>
              <w:jc w:val="center"/>
              <w:rPr>
                <w:b/>
              </w:rPr>
            </w:pPr>
            <w:r>
              <w:rPr>
                <w:b/>
              </w:rPr>
              <w:t>Email</w:t>
            </w:r>
          </w:p>
        </w:tc>
        <w:tc>
          <w:tcPr>
            <w:tcW w:w="1799" w:type="dxa"/>
          </w:tcPr>
          <w:p w:rsidR="006C1E48" w:rsidRDefault="00673E06" w:rsidP="00083D2D">
            <w:pPr>
              <w:pStyle w:val="TableParagraph"/>
              <w:spacing w:before="131" w:line="240" w:lineRule="auto"/>
              <w:ind w:right="128"/>
              <w:jc w:val="center"/>
              <w:rPr>
                <w:b/>
              </w:rPr>
            </w:pPr>
            <w:r>
              <w:rPr>
                <w:b/>
              </w:rPr>
              <w:t>Facility name</w:t>
            </w:r>
          </w:p>
        </w:tc>
        <w:tc>
          <w:tcPr>
            <w:tcW w:w="1438" w:type="dxa"/>
          </w:tcPr>
          <w:p w:rsidR="006C1E48" w:rsidRDefault="00673E06" w:rsidP="00083D2D">
            <w:pPr>
              <w:pStyle w:val="TableParagraph"/>
              <w:spacing w:line="265" w:lineRule="exact"/>
              <w:ind w:right="138"/>
              <w:jc w:val="center"/>
              <w:rPr>
                <w:b/>
              </w:rPr>
            </w:pPr>
            <w:r>
              <w:rPr>
                <w:b/>
              </w:rPr>
              <w:t>Facility</w:t>
            </w:r>
          </w:p>
          <w:p w:rsidR="006C1E48" w:rsidRDefault="00673E06" w:rsidP="00083D2D">
            <w:pPr>
              <w:pStyle w:val="TableParagraph"/>
              <w:spacing w:line="252" w:lineRule="exact"/>
              <w:ind w:right="138"/>
              <w:jc w:val="center"/>
              <w:rPr>
                <w:b/>
              </w:rPr>
            </w:pPr>
            <w:r>
              <w:rPr>
                <w:b/>
              </w:rPr>
              <w:t>Medicaid ID</w:t>
            </w:r>
          </w:p>
        </w:tc>
      </w:tr>
      <w:tr w:rsidR="006C1E48" w:rsidTr="00083D2D">
        <w:trPr>
          <w:trHeight w:val="244"/>
          <w:tblHeader/>
        </w:trPr>
        <w:tc>
          <w:tcPr>
            <w:tcW w:w="1080" w:type="dxa"/>
          </w:tcPr>
          <w:p w:rsidR="006C1E48" w:rsidRDefault="00673E06" w:rsidP="00083D2D">
            <w:pPr>
              <w:pStyle w:val="TableParagraph"/>
              <w:rPr>
                <w:sz w:val="20"/>
              </w:rPr>
            </w:pPr>
            <w:r>
              <w:rPr>
                <w:sz w:val="20"/>
              </w:rPr>
              <w:t>John</w:t>
            </w:r>
          </w:p>
        </w:tc>
        <w:tc>
          <w:tcPr>
            <w:tcW w:w="991" w:type="dxa"/>
          </w:tcPr>
          <w:p w:rsidR="006C1E48" w:rsidRDefault="00673E06" w:rsidP="00083D2D">
            <w:pPr>
              <w:pStyle w:val="TableParagraph"/>
              <w:rPr>
                <w:sz w:val="20"/>
              </w:rPr>
            </w:pPr>
            <w:r>
              <w:rPr>
                <w:sz w:val="20"/>
              </w:rPr>
              <w:t>Jones</w:t>
            </w:r>
          </w:p>
        </w:tc>
        <w:tc>
          <w:tcPr>
            <w:tcW w:w="1440" w:type="dxa"/>
          </w:tcPr>
          <w:p w:rsidR="006C1E48" w:rsidRDefault="00673E06" w:rsidP="00083D2D">
            <w:pPr>
              <w:pStyle w:val="TableParagraph"/>
              <w:ind w:right="105"/>
              <w:jc w:val="center"/>
              <w:rPr>
                <w:sz w:val="20"/>
              </w:rPr>
            </w:pPr>
            <w:r>
              <w:rPr>
                <w:sz w:val="20"/>
              </w:rPr>
              <w:t>XYZ Health</w:t>
            </w:r>
          </w:p>
        </w:tc>
        <w:tc>
          <w:tcPr>
            <w:tcW w:w="1439" w:type="dxa"/>
          </w:tcPr>
          <w:p w:rsidR="006C1E48" w:rsidRDefault="00673E06" w:rsidP="00083D2D">
            <w:pPr>
              <w:pStyle w:val="TableParagraph"/>
              <w:rPr>
                <w:sz w:val="20"/>
              </w:rPr>
            </w:pPr>
            <w:r>
              <w:rPr>
                <w:sz w:val="20"/>
              </w:rPr>
              <w:t>617-555-1234</w:t>
            </w:r>
          </w:p>
        </w:tc>
        <w:tc>
          <w:tcPr>
            <w:tcW w:w="1799" w:type="dxa"/>
          </w:tcPr>
          <w:p w:rsidR="006C1E48" w:rsidRDefault="00673E06" w:rsidP="00083D2D">
            <w:pPr>
              <w:pStyle w:val="TableParagraph"/>
              <w:ind w:right="180"/>
              <w:jc w:val="center"/>
              <w:rPr>
                <w:sz w:val="20"/>
              </w:rPr>
            </w:pPr>
            <w:hyperlink r:id="rId17">
              <w:r>
                <w:rPr>
                  <w:color w:val="0462C1"/>
                  <w:sz w:val="20"/>
                  <w:u w:val="single" w:color="0462C1"/>
                </w:rPr>
                <w:t>JJones@ABC.com</w:t>
              </w:r>
            </w:hyperlink>
          </w:p>
        </w:tc>
        <w:tc>
          <w:tcPr>
            <w:tcW w:w="1799" w:type="dxa"/>
          </w:tcPr>
          <w:p w:rsidR="006C1E48" w:rsidRDefault="00673E06" w:rsidP="00083D2D">
            <w:pPr>
              <w:pStyle w:val="TableParagraph"/>
              <w:ind w:right="176"/>
              <w:jc w:val="center"/>
              <w:rPr>
                <w:sz w:val="20"/>
              </w:rPr>
            </w:pPr>
            <w:r>
              <w:rPr>
                <w:sz w:val="20"/>
              </w:rPr>
              <w:t>ABC Nursing Care</w:t>
            </w:r>
          </w:p>
        </w:tc>
        <w:tc>
          <w:tcPr>
            <w:tcW w:w="1438" w:type="dxa"/>
          </w:tcPr>
          <w:p w:rsidR="006C1E48" w:rsidRDefault="00673E06" w:rsidP="00083D2D">
            <w:pPr>
              <w:pStyle w:val="TableParagraph"/>
              <w:rPr>
                <w:i/>
                <w:sz w:val="20"/>
              </w:rPr>
            </w:pPr>
            <w:r>
              <w:rPr>
                <w:i/>
                <w:sz w:val="20"/>
              </w:rPr>
              <w:t>110099999A</w:t>
            </w:r>
          </w:p>
        </w:tc>
      </w:tr>
      <w:tr w:rsidR="00083D2D" w:rsidTr="00083D2D">
        <w:trPr>
          <w:trHeight w:val="244"/>
          <w:tblHeader/>
        </w:trPr>
        <w:tc>
          <w:tcPr>
            <w:tcW w:w="1080" w:type="dxa"/>
          </w:tcPr>
          <w:p w:rsidR="00083D2D" w:rsidRDefault="00083D2D" w:rsidP="00083D2D">
            <w:pPr>
              <w:pStyle w:val="TableParagraph"/>
              <w:ind w:right="272"/>
              <w:jc w:val="center"/>
              <w:rPr>
                <w:sz w:val="20"/>
              </w:rPr>
            </w:pPr>
            <w:r>
              <w:rPr>
                <w:sz w:val="20"/>
              </w:rPr>
              <w:t>John</w:t>
            </w:r>
          </w:p>
        </w:tc>
        <w:tc>
          <w:tcPr>
            <w:tcW w:w="991" w:type="dxa"/>
          </w:tcPr>
          <w:p w:rsidR="00083D2D" w:rsidRDefault="00083D2D" w:rsidP="00083D2D">
            <w:pPr>
              <w:pStyle w:val="TableParagraph"/>
              <w:ind w:right="232"/>
              <w:jc w:val="center"/>
              <w:rPr>
                <w:sz w:val="20"/>
              </w:rPr>
            </w:pPr>
            <w:r>
              <w:rPr>
                <w:sz w:val="20"/>
              </w:rPr>
              <w:t>Jones</w:t>
            </w:r>
          </w:p>
        </w:tc>
        <w:tc>
          <w:tcPr>
            <w:tcW w:w="1440" w:type="dxa"/>
          </w:tcPr>
          <w:p w:rsidR="00083D2D" w:rsidRDefault="00083D2D" w:rsidP="00083D2D">
            <w:pPr>
              <w:pStyle w:val="TableParagraph"/>
              <w:spacing w:line="240" w:lineRule="auto"/>
              <w:rPr>
                <w:rFonts w:ascii="Times New Roman"/>
                <w:sz w:val="16"/>
              </w:rPr>
            </w:pPr>
          </w:p>
        </w:tc>
        <w:tc>
          <w:tcPr>
            <w:tcW w:w="1439" w:type="dxa"/>
          </w:tcPr>
          <w:p w:rsidR="00083D2D" w:rsidRDefault="00083D2D" w:rsidP="00083D2D">
            <w:pPr>
              <w:pStyle w:val="TableParagraph"/>
              <w:spacing w:line="240" w:lineRule="auto"/>
              <w:rPr>
                <w:rFonts w:ascii="Times New Roman"/>
                <w:sz w:val="16"/>
              </w:rPr>
            </w:pPr>
          </w:p>
        </w:tc>
        <w:tc>
          <w:tcPr>
            <w:tcW w:w="1799" w:type="dxa"/>
          </w:tcPr>
          <w:p w:rsidR="00083D2D" w:rsidRDefault="00083D2D" w:rsidP="00083D2D">
            <w:pPr>
              <w:pStyle w:val="TableParagraph"/>
              <w:spacing w:line="240" w:lineRule="auto"/>
              <w:rPr>
                <w:rFonts w:ascii="Times New Roman"/>
                <w:sz w:val="16"/>
              </w:rPr>
            </w:pPr>
          </w:p>
        </w:tc>
        <w:tc>
          <w:tcPr>
            <w:tcW w:w="1799" w:type="dxa"/>
          </w:tcPr>
          <w:p w:rsidR="00083D2D" w:rsidRDefault="00083D2D" w:rsidP="00083D2D">
            <w:pPr>
              <w:pStyle w:val="TableParagraph"/>
              <w:rPr>
                <w:sz w:val="20"/>
              </w:rPr>
            </w:pPr>
            <w:r>
              <w:rPr>
                <w:sz w:val="20"/>
              </w:rPr>
              <w:t>XYZ Living Center</w:t>
            </w:r>
          </w:p>
        </w:tc>
        <w:tc>
          <w:tcPr>
            <w:tcW w:w="1438" w:type="dxa"/>
          </w:tcPr>
          <w:p w:rsidR="00083D2D" w:rsidRDefault="00083D2D" w:rsidP="00083D2D">
            <w:pPr>
              <w:pStyle w:val="TableParagraph"/>
              <w:rPr>
                <w:sz w:val="20"/>
              </w:rPr>
            </w:pPr>
            <w:r>
              <w:rPr>
                <w:sz w:val="20"/>
              </w:rPr>
              <w:t>222222222A</w:t>
            </w:r>
          </w:p>
        </w:tc>
      </w:tr>
      <w:tr w:rsidR="00083D2D" w:rsidTr="00083D2D">
        <w:trPr>
          <w:trHeight w:val="244"/>
          <w:tblHeader/>
        </w:trPr>
        <w:tc>
          <w:tcPr>
            <w:tcW w:w="1080" w:type="dxa"/>
          </w:tcPr>
          <w:p w:rsidR="00083D2D" w:rsidRDefault="00083D2D" w:rsidP="00083D2D">
            <w:pPr>
              <w:pStyle w:val="TableParagraph"/>
              <w:ind w:right="273"/>
              <w:jc w:val="center"/>
              <w:rPr>
                <w:sz w:val="20"/>
              </w:rPr>
            </w:pPr>
            <w:r>
              <w:rPr>
                <w:sz w:val="20"/>
              </w:rPr>
              <w:t>Susan</w:t>
            </w:r>
          </w:p>
        </w:tc>
        <w:tc>
          <w:tcPr>
            <w:tcW w:w="991" w:type="dxa"/>
          </w:tcPr>
          <w:p w:rsidR="00083D2D" w:rsidRDefault="00083D2D" w:rsidP="00083D2D">
            <w:pPr>
              <w:pStyle w:val="TableParagraph"/>
              <w:ind w:right="234"/>
              <w:jc w:val="center"/>
              <w:rPr>
                <w:sz w:val="20"/>
              </w:rPr>
            </w:pPr>
            <w:r>
              <w:rPr>
                <w:sz w:val="20"/>
              </w:rPr>
              <w:t>Smith</w:t>
            </w:r>
          </w:p>
        </w:tc>
        <w:tc>
          <w:tcPr>
            <w:tcW w:w="1440" w:type="dxa"/>
          </w:tcPr>
          <w:p w:rsidR="00083D2D" w:rsidRDefault="00083D2D" w:rsidP="00083D2D">
            <w:pPr>
              <w:pStyle w:val="TableParagraph"/>
              <w:rPr>
                <w:sz w:val="20"/>
              </w:rPr>
            </w:pPr>
            <w:r>
              <w:rPr>
                <w:sz w:val="20"/>
              </w:rPr>
              <w:t>XYZ Health</w:t>
            </w:r>
          </w:p>
        </w:tc>
        <w:tc>
          <w:tcPr>
            <w:tcW w:w="1439" w:type="dxa"/>
          </w:tcPr>
          <w:p w:rsidR="00083D2D" w:rsidRDefault="00083D2D" w:rsidP="00083D2D">
            <w:pPr>
              <w:pStyle w:val="TableParagraph"/>
              <w:rPr>
                <w:sz w:val="20"/>
              </w:rPr>
            </w:pPr>
            <w:r>
              <w:rPr>
                <w:sz w:val="20"/>
              </w:rPr>
              <w:t>617-555-6789</w:t>
            </w:r>
          </w:p>
        </w:tc>
        <w:tc>
          <w:tcPr>
            <w:tcW w:w="1799" w:type="dxa"/>
          </w:tcPr>
          <w:p w:rsidR="00083D2D" w:rsidRDefault="00083D2D" w:rsidP="00083D2D">
            <w:pPr>
              <w:pStyle w:val="TableParagraph"/>
              <w:rPr>
                <w:sz w:val="20"/>
              </w:rPr>
            </w:pPr>
            <w:hyperlink r:id="rId18">
              <w:r>
                <w:rPr>
                  <w:color w:val="0462C1"/>
                  <w:sz w:val="20"/>
                  <w:u w:val="single" w:color="0462C1"/>
                </w:rPr>
                <w:t>Ssmith@ABC.com</w:t>
              </w:r>
            </w:hyperlink>
          </w:p>
        </w:tc>
        <w:tc>
          <w:tcPr>
            <w:tcW w:w="1799" w:type="dxa"/>
          </w:tcPr>
          <w:p w:rsidR="00083D2D" w:rsidRDefault="00083D2D" w:rsidP="00083D2D">
            <w:pPr>
              <w:pStyle w:val="TableParagraph"/>
              <w:rPr>
                <w:sz w:val="20"/>
              </w:rPr>
            </w:pPr>
            <w:r>
              <w:rPr>
                <w:sz w:val="20"/>
              </w:rPr>
              <w:t>ABC Nursing Care</w:t>
            </w:r>
          </w:p>
        </w:tc>
        <w:tc>
          <w:tcPr>
            <w:tcW w:w="1438" w:type="dxa"/>
          </w:tcPr>
          <w:p w:rsidR="00083D2D" w:rsidRDefault="00083D2D" w:rsidP="00083D2D">
            <w:pPr>
              <w:pStyle w:val="TableParagraph"/>
              <w:rPr>
                <w:i/>
                <w:sz w:val="20"/>
              </w:rPr>
            </w:pPr>
            <w:r>
              <w:rPr>
                <w:i/>
                <w:sz w:val="20"/>
              </w:rPr>
              <w:t>110099999A</w:t>
            </w:r>
          </w:p>
        </w:tc>
      </w:tr>
      <w:tr w:rsidR="00083D2D" w:rsidTr="00083D2D">
        <w:trPr>
          <w:trHeight w:val="244"/>
          <w:tblHeader/>
        </w:trPr>
        <w:tc>
          <w:tcPr>
            <w:tcW w:w="1080" w:type="dxa"/>
          </w:tcPr>
          <w:p w:rsidR="00083D2D" w:rsidRDefault="00083D2D" w:rsidP="00083D2D">
            <w:pPr>
              <w:pStyle w:val="TableParagraph"/>
              <w:spacing w:line="225" w:lineRule="exact"/>
              <w:ind w:right="273"/>
              <w:jc w:val="center"/>
              <w:rPr>
                <w:sz w:val="20"/>
              </w:rPr>
            </w:pPr>
            <w:r>
              <w:rPr>
                <w:sz w:val="20"/>
              </w:rPr>
              <w:t>Susan</w:t>
            </w:r>
          </w:p>
        </w:tc>
        <w:tc>
          <w:tcPr>
            <w:tcW w:w="991" w:type="dxa"/>
          </w:tcPr>
          <w:p w:rsidR="00083D2D" w:rsidRDefault="00083D2D" w:rsidP="00083D2D">
            <w:pPr>
              <w:pStyle w:val="TableParagraph"/>
              <w:spacing w:line="225" w:lineRule="exact"/>
              <w:ind w:right="234"/>
              <w:jc w:val="center"/>
              <w:rPr>
                <w:sz w:val="20"/>
              </w:rPr>
            </w:pPr>
            <w:r>
              <w:rPr>
                <w:sz w:val="20"/>
              </w:rPr>
              <w:t>Smith</w:t>
            </w:r>
          </w:p>
        </w:tc>
        <w:tc>
          <w:tcPr>
            <w:tcW w:w="1440" w:type="dxa"/>
          </w:tcPr>
          <w:p w:rsidR="00083D2D" w:rsidRDefault="00083D2D" w:rsidP="00083D2D">
            <w:pPr>
              <w:pStyle w:val="TableParagraph"/>
              <w:spacing w:line="240" w:lineRule="auto"/>
              <w:rPr>
                <w:rFonts w:ascii="Times New Roman"/>
                <w:sz w:val="16"/>
              </w:rPr>
            </w:pPr>
          </w:p>
        </w:tc>
        <w:tc>
          <w:tcPr>
            <w:tcW w:w="1439" w:type="dxa"/>
          </w:tcPr>
          <w:p w:rsidR="00083D2D" w:rsidRDefault="00083D2D" w:rsidP="00083D2D">
            <w:pPr>
              <w:pStyle w:val="TableParagraph"/>
              <w:spacing w:line="240" w:lineRule="auto"/>
              <w:rPr>
                <w:rFonts w:ascii="Times New Roman"/>
                <w:sz w:val="16"/>
              </w:rPr>
            </w:pPr>
          </w:p>
        </w:tc>
        <w:tc>
          <w:tcPr>
            <w:tcW w:w="1799" w:type="dxa"/>
          </w:tcPr>
          <w:p w:rsidR="00083D2D" w:rsidRDefault="00083D2D" w:rsidP="00083D2D">
            <w:pPr>
              <w:pStyle w:val="TableParagraph"/>
              <w:spacing w:line="240" w:lineRule="auto"/>
              <w:rPr>
                <w:rFonts w:ascii="Times New Roman"/>
                <w:sz w:val="16"/>
              </w:rPr>
            </w:pPr>
          </w:p>
        </w:tc>
        <w:tc>
          <w:tcPr>
            <w:tcW w:w="1799" w:type="dxa"/>
          </w:tcPr>
          <w:p w:rsidR="00083D2D" w:rsidRDefault="00083D2D" w:rsidP="00083D2D">
            <w:pPr>
              <w:pStyle w:val="TableParagraph"/>
              <w:spacing w:line="225" w:lineRule="exact"/>
              <w:rPr>
                <w:sz w:val="20"/>
              </w:rPr>
            </w:pPr>
            <w:r>
              <w:rPr>
                <w:sz w:val="20"/>
              </w:rPr>
              <w:t>XYZ Living Center</w:t>
            </w:r>
          </w:p>
        </w:tc>
        <w:tc>
          <w:tcPr>
            <w:tcW w:w="1438" w:type="dxa"/>
          </w:tcPr>
          <w:p w:rsidR="00083D2D" w:rsidRDefault="00083D2D" w:rsidP="00083D2D">
            <w:pPr>
              <w:pStyle w:val="TableParagraph"/>
              <w:spacing w:line="225" w:lineRule="exact"/>
              <w:rPr>
                <w:sz w:val="20"/>
              </w:rPr>
            </w:pPr>
            <w:r>
              <w:rPr>
                <w:sz w:val="20"/>
              </w:rPr>
              <w:t>222222222A</w:t>
            </w:r>
          </w:p>
        </w:tc>
      </w:tr>
    </w:tbl>
    <w:p w:rsidR="006C1E48" w:rsidRDefault="006C1E48">
      <w:pPr>
        <w:pStyle w:val="BodyText"/>
        <w:spacing w:before="6"/>
        <w:rPr>
          <w:sz w:val="18"/>
        </w:rPr>
      </w:pPr>
    </w:p>
    <w:p w:rsidR="006C1E48" w:rsidRDefault="00673E06">
      <w:pPr>
        <w:pStyle w:val="ListParagraph"/>
        <w:numPr>
          <w:ilvl w:val="0"/>
          <w:numId w:val="3"/>
        </w:numPr>
        <w:tabs>
          <w:tab w:val="left" w:pos="473"/>
        </w:tabs>
        <w:spacing w:before="56"/>
        <w:ind w:right="564" w:hanging="360"/>
        <w:rPr>
          <w:i/>
          <w:color w:val="4F81BC"/>
        </w:rPr>
      </w:pPr>
      <w:bookmarkStart w:id="25" w:name="_bookmark24"/>
      <w:bookmarkEnd w:id="25"/>
      <w:r>
        <w:rPr>
          <w:b/>
          <w:color w:val="4F81BC"/>
        </w:rPr>
        <w:t>How does a facility register new staff or remove staff who will no longer be working on the webform?</w:t>
      </w:r>
      <w:r>
        <w:rPr>
          <w:b/>
        </w:rPr>
        <w:t xml:space="preserve"> </w:t>
      </w:r>
      <w:r>
        <w:rPr>
          <w:i/>
        </w:rPr>
        <w:t xml:space="preserve">Answer: To register new staff for the webform, submit a new registration form listing the new people to be added as users and e-mail the form to </w:t>
      </w:r>
      <w:hyperlink r:id="rId19">
        <w:r>
          <w:rPr>
            <w:i/>
            <w:u w:val="single"/>
          </w:rPr>
          <w:t>NFDirectCare@umassmed.edu</w:t>
        </w:r>
        <w:r>
          <w:rPr>
            <w:i/>
          </w:rPr>
          <w:t>.</w:t>
        </w:r>
      </w:hyperlink>
      <w:r>
        <w:rPr>
          <w:i/>
        </w:rPr>
        <w:t xml:space="preserve"> The webform registration form is</w:t>
      </w:r>
      <w:r>
        <w:rPr>
          <w:i/>
        </w:rPr>
        <w:t xml:space="preserve"> found on MassHealth’s website in the Long-Term Care-Nursing Facility section at:</w:t>
      </w:r>
      <w:hyperlink r:id="rId20">
        <w:r>
          <w:rPr>
            <w:i/>
            <w:u w:val="single"/>
          </w:rPr>
          <w:t xml:space="preserve"> </w:t>
        </w:r>
        <w:r>
          <w:rPr>
            <w:i/>
            <w:spacing w:val="-1"/>
            <w:u w:val="single"/>
          </w:rPr>
          <w:t>http://www.mass.gov/eohhs/gov/laws-regs/masshealth/provi</w:t>
        </w:r>
        <w:r>
          <w:rPr>
            <w:i/>
            <w:spacing w:val="-1"/>
            <w:u w:val="single"/>
          </w:rPr>
          <w:t>der-library/masshealth-provider-forms.html</w:t>
        </w:r>
      </w:hyperlink>
    </w:p>
    <w:p w:rsidR="006C1E48" w:rsidRDefault="006C1E48">
      <w:pPr>
        <w:pStyle w:val="BodyText"/>
        <w:spacing w:before="4"/>
        <w:rPr>
          <w:sz w:val="17"/>
        </w:rPr>
      </w:pPr>
    </w:p>
    <w:p w:rsidR="006C1E48" w:rsidRDefault="00673E06">
      <w:pPr>
        <w:pStyle w:val="BodyText"/>
        <w:spacing w:before="56"/>
        <w:ind w:left="472" w:right="1049"/>
      </w:pPr>
      <w:r>
        <w:t xml:space="preserve">If a webform user has left or will no longer be working on this project, then the facility must e-mail </w:t>
      </w:r>
      <w:hyperlink r:id="rId21">
        <w:r>
          <w:rPr>
            <w:color w:val="0462C1"/>
            <w:u w:val="single" w:color="0462C1"/>
          </w:rPr>
          <w:t>NFDirectCare@umassmed.edu</w:t>
        </w:r>
        <w:r>
          <w:rPr>
            <w:color w:val="0462C1"/>
          </w:rPr>
          <w:t xml:space="preserve"> </w:t>
        </w:r>
      </w:hyperlink>
      <w:r>
        <w:t>requesting that person be removed from accessing their webform. The person’s account will be closed or de-linked from the facility, as appropriate.</w:t>
      </w:r>
    </w:p>
    <w:p w:rsidR="006C1E48" w:rsidRDefault="006C1E48">
      <w:pPr>
        <w:pStyle w:val="BodyText"/>
        <w:spacing w:before="2"/>
      </w:pPr>
    </w:p>
    <w:p w:rsidR="006C1E48" w:rsidRDefault="00673E06">
      <w:pPr>
        <w:pStyle w:val="Heading2"/>
        <w:numPr>
          <w:ilvl w:val="0"/>
          <w:numId w:val="3"/>
        </w:numPr>
        <w:tabs>
          <w:tab w:val="left" w:pos="473"/>
        </w:tabs>
        <w:ind w:hanging="360"/>
        <w:rPr>
          <w:color w:val="4F81BC"/>
        </w:rPr>
      </w:pPr>
      <w:bookmarkStart w:id="26" w:name="_bookmark25"/>
      <w:bookmarkEnd w:id="26"/>
      <w:r>
        <w:rPr>
          <w:color w:val="4F81BC"/>
        </w:rPr>
        <w:t>Will EOHHS audit the Compliance Form</w:t>
      </w:r>
      <w:r>
        <w:rPr>
          <w:color w:val="4F81BC"/>
          <w:spacing w:val="-9"/>
        </w:rPr>
        <w:t xml:space="preserve"> </w:t>
      </w:r>
      <w:r>
        <w:rPr>
          <w:color w:val="4F81BC"/>
        </w:rPr>
        <w:t>submissions?</w:t>
      </w:r>
    </w:p>
    <w:p w:rsidR="006C1E48" w:rsidRDefault="00673E06">
      <w:pPr>
        <w:pStyle w:val="BodyText"/>
        <w:ind w:left="472" w:right="635"/>
      </w:pPr>
      <w:r>
        <w:rPr>
          <w:b/>
        </w:rPr>
        <w:t>Answer</w:t>
      </w:r>
      <w:r>
        <w:t>: All data reported on the Compliance Form is subje</w:t>
      </w:r>
      <w:r>
        <w:t xml:space="preserve">ct to review and audit by EOHHS, the Center for </w:t>
      </w:r>
      <w:r>
        <w:t>Health Information and Analysis (CHIA), or their designated contractors. Audits may include field or desk reviews, and facilities may be required to provide additional supporting documents for the base and ra</w:t>
      </w:r>
      <w:r>
        <w:t>te periods including but not limited to:</w:t>
      </w:r>
    </w:p>
    <w:p w:rsidR="006C1E48" w:rsidRDefault="00673E06">
      <w:pPr>
        <w:pStyle w:val="ListParagraph"/>
        <w:numPr>
          <w:ilvl w:val="0"/>
          <w:numId w:val="1"/>
        </w:numPr>
        <w:tabs>
          <w:tab w:val="left" w:pos="1590"/>
          <w:tab w:val="left" w:pos="1591"/>
        </w:tabs>
        <w:spacing w:line="267" w:lineRule="exact"/>
        <w:ind w:hanging="758"/>
        <w:rPr>
          <w:i/>
        </w:rPr>
      </w:pPr>
      <w:r>
        <w:rPr>
          <w:i/>
        </w:rPr>
        <w:t>Workpaper of Direct Care money spent for base and rate</w:t>
      </w:r>
      <w:r>
        <w:rPr>
          <w:i/>
          <w:spacing w:val="-9"/>
        </w:rPr>
        <w:t xml:space="preserve"> </w:t>
      </w:r>
      <w:r>
        <w:rPr>
          <w:i/>
        </w:rPr>
        <w:t>periods</w:t>
      </w:r>
    </w:p>
    <w:p w:rsidR="006C1E48" w:rsidRDefault="00673E06">
      <w:pPr>
        <w:pStyle w:val="ListParagraph"/>
        <w:numPr>
          <w:ilvl w:val="0"/>
          <w:numId w:val="1"/>
        </w:numPr>
        <w:tabs>
          <w:tab w:val="left" w:pos="1588"/>
          <w:tab w:val="left" w:pos="1589"/>
        </w:tabs>
        <w:spacing w:before="41"/>
        <w:ind w:left="1588" w:hanging="756"/>
        <w:rPr>
          <w:i/>
        </w:rPr>
      </w:pPr>
      <w:r>
        <w:rPr>
          <w:i/>
        </w:rPr>
        <w:t>Payroll tax workpaper for base and rate</w:t>
      </w:r>
      <w:r>
        <w:rPr>
          <w:i/>
          <w:spacing w:val="-6"/>
        </w:rPr>
        <w:t xml:space="preserve"> </w:t>
      </w:r>
      <w:r>
        <w:rPr>
          <w:i/>
        </w:rPr>
        <w:t>periods</w:t>
      </w:r>
    </w:p>
    <w:p w:rsidR="006C1E48" w:rsidRDefault="00673E06">
      <w:pPr>
        <w:pStyle w:val="ListParagraph"/>
        <w:numPr>
          <w:ilvl w:val="0"/>
          <w:numId w:val="1"/>
        </w:numPr>
        <w:tabs>
          <w:tab w:val="left" w:pos="1588"/>
          <w:tab w:val="left" w:pos="1589"/>
        </w:tabs>
        <w:spacing w:before="39"/>
        <w:ind w:left="1588" w:hanging="756"/>
        <w:rPr>
          <w:i/>
        </w:rPr>
      </w:pPr>
      <w:r>
        <w:rPr>
          <w:i/>
        </w:rPr>
        <w:t>Payroll reconciliation workpaper for base and rate</w:t>
      </w:r>
      <w:r>
        <w:rPr>
          <w:i/>
          <w:spacing w:val="-6"/>
        </w:rPr>
        <w:t xml:space="preserve"> </w:t>
      </w:r>
      <w:r>
        <w:rPr>
          <w:i/>
        </w:rPr>
        <w:t>periods</w:t>
      </w:r>
    </w:p>
    <w:p w:rsidR="006C1E48" w:rsidRDefault="00673E06">
      <w:pPr>
        <w:pStyle w:val="ListParagraph"/>
        <w:numPr>
          <w:ilvl w:val="0"/>
          <w:numId w:val="1"/>
        </w:numPr>
        <w:tabs>
          <w:tab w:val="left" w:pos="1590"/>
          <w:tab w:val="left" w:pos="1591"/>
        </w:tabs>
        <w:spacing w:before="41"/>
        <w:ind w:hanging="758"/>
        <w:rPr>
          <w:i/>
        </w:rPr>
      </w:pPr>
      <w:r>
        <w:rPr>
          <w:i/>
        </w:rPr>
        <w:t>General Ledger for base and rate</w:t>
      </w:r>
      <w:r>
        <w:rPr>
          <w:i/>
          <w:spacing w:val="-8"/>
        </w:rPr>
        <w:t xml:space="preserve"> </w:t>
      </w:r>
      <w:r>
        <w:rPr>
          <w:i/>
        </w:rPr>
        <w:t>periods</w:t>
      </w:r>
    </w:p>
    <w:p w:rsidR="006C1E48" w:rsidRDefault="00673E06">
      <w:pPr>
        <w:pStyle w:val="ListParagraph"/>
        <w:numPr>
          <w:ilvl w:val="0"/>
          <w:numId w:val="1"/>
        </w:numPr>
        <w:tabs>
          <w:tab w:val="left" w:pos="1588"/>
          <w:tab w:val="left" w:pos="1589"/>
        </w:tabs>
        <w:spacing w:before="41"/>
        <w:ind w:left="1588" w:hanging="756"/>
        <w:rPr>
          <w:i/>
        </w:rPr>
      </w:pPr>
      <w:r>
        <w:rPr>
          <w:i/>
        </w:rPr>
        <w:t>Mast</w:t>
      </w:r>
      <w:r>
        <w:rPr>
          <w:i/>
        </w:rPr>
        <w:t>er payroll Register base and rate periods, detailed by employee and YTD</w:t>
      </w:r>
      <w:r>
        <w:rPr>
          <w:i/>
          <w:spacing w:val="-21"/>
        </w:rPr>
        <w:t xml:space="preserve"> </w:t>
      </w:r>
      <w:r>
        <w:rPr>
          <w:i/>
        </w:rPr>
        <w:t>earnings</w:t>
      </w:r>
    </w:p>
    <w:p w:rsidR="006C1E48" w:rsidRDefault="00673E06">
      <w:pPr>
        <w:pStyle w:val="ListParagraph"/>
        <w:numPr>
          <w:ilvl w:val="0"/>
          <w:numId w:val="1"/>
        </w:numPr>
        <w:tabs>
          <w:tab w:val="left" w:pos="1588"/>
          <w:tab w:val="left" w:pos="1589"/>
        </w:tabs>
        <w:spacing w:before="41"/>
        <w:ind w:left="1588" w:hanging="756"/>
        <w:rPr>
          <w:i/>
        </w:rPr>
      </w:pPr>
      <w:r>
        <w:rPr>
          <w:i/>
        </w:rPr>
        <w:t>Payroll time register by department &amp; employee, base and rate</w:t>
      </w:r>
      <w:r>
        <w:rPr>
          <w:i/>
          <w:spacing w:val="-8"/>
        </w:rPr>
        <w:t xml:space="preserve"> </w:t>
      </w:r>
      <w:r>
        <w:rPr>
          <w:i/>
        </w:rPr>
        <w:t>periods</w:t>
      </w:r>
    </w:p>
    <w:p w:rsidR="006C1E48" w:rsidRDefault="00673E06">
      <w:pPr>
        <w:pStyle w:val="ListParagraph"/>
        <w:numPr>
          <w:ilvl w:val="0"/>
          <w:numId w:val="1"/>
        </w:numPr>
        <w:tabs>
          <w:tab w:val="left" w:pos="1588"/>
          <w:tab w:val="left" w:pos="1589"/>
        </w:tabs>
        <w:spacing w:before="39"/>
        <w:ind w:left="1588" w:hanging="756"/>
        <w:rPr>
          <w:i/>
        </w:rPr>
      </w:pPr>
      <w:r>
        <w:rPr>
          <w:i/>
        </w:rPr>
        <w:t>Payroll bonus detail if applicable for base and rate</w:t>
      </w:r>
      <w:r>
        <w:rPr>
          <w:i/>
          <w:spacing w:val="-7"/>
        </w:rPr>
        <w:t xml:space="preserve"> </w:t>
      </w:r>
      <w:r>
        <w:rPr>
          <w:i/>
        </w:rPr>
        <w:t>periods</w:t>
      </w:r>
    </w:p>
    <w:p w:rsidR="006C1E48" w:rsidRDefault="00673E06">
      <w:pPr>
        <w:pStyle w:val="ListParagraph"/>
        <w:numPr>
          <w:ilvl w:val="0"/>
          <w:numId w:val="1"/>
        </w:numPr>
        <w:tabs>
          <w:tab w:val="left" w:pos="1588"/>
          <w:tab w:val="left" w:pos="1589"/>
        </w:tabs>
        <w:spacing w:before="41"/>
        <w:ind w:left="1588" w:hanging="756"/>
        <w:rPr>
          <w:i/>
        </w:rPr>
      </w:pPr>
      <w:r>
        <w:rPr>
          <w:i/>
        </w:rPr>
        <w:t>Payroll accrual detail for base and rate</w:t>
      </w:r>
      <w:r>
        <w:rPr>
          <w:i/>
          <w:spacing w:val="-7"/>
        </w:rPr>
        <w:t xml:space="preserve"> </w:t>
      </w:r>
      <w:r>
        <w:rPr>
          <w:i/>
        </w:rPr>
        <w:t>per</w:t>
      </w:r>
      <w:r>
        <w:rPr>
          <w:i/>
        </w:rPr>
        <w:t>iods</w:t>
      </w:r>
    </w:p>
    <w:p w:rsidR="006C1E48" w:rsidRDefault="00673E06">
      <w:pPr>
        <w:pStyle w:val="ListParagraph"/>
        <w:numPr>
          <w:ilvl w:val="0"/>
          <w:numId w:val="1"/>
        </w:numPr>
        <w:tabs>
          <w:tab w:val="left" w:pos="1588"/>
          <w:tab w:val="left" w:pos="1589"/>
        </w:tabs>
        <w:spacing w:before="41"/>
        <w:ind w:left="1588" w:hanging="756"/>
        <w:rPr>
          <w:i/>
        </w:rPr>
      </w:pPr>
      <w:r>
        <w:rPr>
          <w:i/>
        </w:rPr>
        <w:t>Payroll tax quarterly filings for base and rate</w:t>
      </w:r>
      <w:r>
        <w:rPr>
          <w:i/>
          <w:spacing w:val="-6"/>
        </w:rPr>
        <w:t xml:space="preserve"> </w:t>
      </w:r>
      <w:r>
        <w:rPr>
          <w:i/>
        </w:rPr>
        <w:t>periods</w:t>
      </w:r>
    </w:p>
    <w:p w:rsidR="006C1E48" w:rsidRDefault="006C1E48">
      <w:pPr>
        <w:pStyle w:val="BodyText"/>
        <w:spacing w:before="7"/>
        <w:rPr>
          <w:sz w:val="25"/>
        </w:rPr>
      </w:pPr>
    </w:p>
    <w:p w:rsidR="006C1E48" w:rsidRDefault="00673E06">
      <w:pPr>
        <w:pStyle w:val="Heading2"/>
        <w:numPr>
          <w:ilvl w:val="0"/>
          <w:numId w:val="3"/>
        </w:numPr>
        <w:tabs>
          <w:tab w:val="left" w:pos="473"/>
        </w:tabs>
        <w:ind w:hanging="360"/>
        <w:rPr>
          <w:color w:val="4F81BC"/>
        </w:rPr>
      </w:pPr>
      <w:bookmarkStart w:id="27" w:name="_bookmark26"/>
      <w:bookmarkEnd w:id="27"/>
      <w:r>
        <w:rPr>
          <w:color w:val="4F81BC"/>
        </w:rPr>
        <w:t>What is the baseline period to which increased Direct Care spending for eligible staff will be</w:t>
      </w:r>
      <w:r>
        <w:rPr>
          <w:color w:val="4F81BC"/>
          <w:spacing w:val="-26"/>
        </w:rPr>
        <w:t xml:space="preserve"> </w:t>
      </w:r>
      <w:r>
        <w:rPr>
          <w:color w:val="4F81BC"/>
        </w:rPr>
        <w:t>compared?</w:t>
      </w:r>
    </w:p>
    <w:p w:rsidR="006C1E48" w:rsidRDefault="00673E06">
      <w:pPr>
        <w:spacing w:before="1"/>
        <w:ind w:left="472"/>
        <w:rPr>
          <w:i/>
        </w:rPr>
      </w:pPr>
      <w:r>
        <w:rPr>
          <w:b/>
          <w:i/>
        </w:rPr>
        <w:t>Answer</w:t>
      </w:r>
      <w:r>
        <w:rPr>
          <w:i/>
        </w:rPr>
        <w:t xml:space="preserve">: The </w:t>
      </w:r>
      <w:r>
        <w:rPr>
          <w:b/>
          <w:i/>
        </w:rPr>
        <w:t xml:space="preserve">baseline period </w:t>
      </w:r>
      <w:r>
        <w:rPr>
          <w:i/>
        </w:rPr>
        <w:t>is January 1, 2016 through June 30, 2016.</w:t>
      </w:r>
    </w:p>
    <w:p w:rsidR="006C1E48" w:rsidRDefault="006C1E48">
      <w:pPr>
        <w:pStyle w:val="BodyText"/>
        <w:spacing w:before="2"/>
      </w:pPr>
    </w:p>
    <w:p w:rsidR="006C1E48" w:rsidRDefault="00673E06">
      <w:pPr>
        <w:pStyle w:val="Heading2"/>
        <w:numPr>
          <w:ilvl w:val="0"/>
          <w:numId w:val="3"/>
        </w:numPr>
        <w:tabs>
          <w:tab w:val="left" w:pos="473"/>
        </w:tabs>
        <w:spacing w:line="237" w:lineRule="auto"/>
        <w:ind w:right="1316" w:hanging="360"/>
        <w:rPr>
          <w:color w:val="4F81BC"/>
        </w:rPr>
      </w:pPr>
      <w:bookmarkStart w:id="28" w:name="_bookmark27"/>
      <w:bookmarkEnd w:id="28"/>
      <w:r>
        <w:rPr>
          <w:color w:val="4F81BC"/>
        </w:rPr>
        <w:t>I’m</w:t>
      </w:r>
      <w:r>
        <w:rPr>
          <w:color w:val="4F81BC"/>
        </w:rPr>
        <w:t xml:space="preserve"> giving money to different employee types this year than last year. How is the comparison to baseline period data</w:t>
      </w:r>
      <w:r>
        <w:rPr>
          <w:color w:val="4F81BC"/>
          <w:spacing w:val="-4"/>
        </w:rPr>
        <w:t xml:space="preserve"> </w:t>
      </w:r>
      <w:r>
        <w:rPr>
          <w:color w:val="4F81BC"/>
        </w:rPr>
        <w:t>made?</w:t>
      </w:r>
    </w:p>
    <w:p w:rsidR="006C1E48" w:rsidRDefault="00673E06">
      <w:pPr>
        <w:pStyle w:val="BodyText"/>
        <w:spacing w:before="2" w:line="276" w:lineRule="auto"/>
        <w:ind w:left="472" w:right="635"/>
      </w:pPr>
      <w:r>
        <w:rPr>
          <w:b/>
        </w:rPr>
        <w:t xml:space="preserve">Answer: </w:t>
      </w:r>
      <w:r>
        <w:t xml:space="preserve">Each year, the rate year data is compared to the base period data, based on which employee </w:t>
      </w:r>
      <w:r>
        <w:t>types received Direct Care funds in t</w:t>
      </w:r>
      <w:r>
        <w:t xml:space="preserve">he rate year, per question A.3. For example, if a facility in RY17 gave bonuses to RNs and raises to CNAs (as denoted in question A.3), then the RY16 and RY17 hours and expenses for those two employee types were compared in Part E to determine compliance. </w:t>
      </w:r>
      <w:r>
        <w:t>If the facility in RY18 gave Direct Care funds to housekeeping aides (raises), LPNs (shift differentials) and social workers (raises), then the RY16 and RY18 hours and expenses for those three employee types will be compared in Part E.</w:t>
      </w:r>
    </w:p>
    <w:p w:rsidR="006C1E48" w:rsidRDefault="006C1E48">
      <w:pPr>
        <w:pStyle w:val="BodyText"/>
        <w:spacing w:before="4"/>
        <w:rPr>
          <w:sz w:val="16"/>
        </w:rPr>
      </w:pPr>
    </w:p>
    <w:p w:rsidR="006C1E48" w:rsidRDefault="00673E06">
      <w:pPr>
        <w:pStyle w:val="Heading2"/>
        <w:numPr>
          <w:ilvl w:val="0"/>
          <w:numId w:val="3"/>
        </w:numPr>
        <w:tabs>
          <w:tab w:val="left" w:pos="473"/>
        </w:tabs>
        <w:spacing w:before="1"/>
        <w:ind w:right="567" w:hanging="360"/>
        <w:rPr>
          <w:color w:val="4F81BC"/>
        </w:rPr>
      </w:pPr>
      <w:bookmarkStart w:id="29" w:name="_bookmark28"/>
      <w:bookmarkEnd w:id="29"/>
      <w:r>
        <w:rPr>
          <w:color w:val="4F81BC"/>
        </w:rPr>
        <w:t>I forgot to enter b</w:t>
      </w:r>
      <w:r>
        <w:rPr>
          <w:color w:val="4F81BC"/>
        </w:rPr>
        <w:t>ase period data for an employee type to whom I’m now giving Direct Care funds.</w:t>
      </w:r>
      <w:r>
        <w:rPr>
          <w:color w:val="4F81BC"/>
          <w:spacing w:val="9"/>
        </w:rPr>
        <w:t xml:space="preserve"> </w:t>
      </w:r>
      <w:r>
        <w:rPr>
          <w:color w:val="4F81BC"/>
        </w:rPr>
        <w:t>Can I edit base period</w:t>
      </w:r>
      <w:r>
        <w:rPr>
          <w:color w:val="4F81BC"/>
          <w:spacing w:val="-3"/>
        </w:rPr>
        <w:t xml:space="preserve"> </w:t>
      </w:r>
      <w:r>
        <w:rPr>
          <w:color w:val="4F81BC"/>
        </w:rPr>
        <w:t>data?</w:t>
      </w:r>
    </w:p>
    <w:p w:rsidR="006C1E48" w:rsidRDefault="00673E06">
      <w:pPr>
        <w:pStyle w:val="BodyText"/>
        <w:spacing w:line="276" w:lineRule="auto"/>
        <w:ind w:left="472" w:right="805"/>
      </w:pPr>
      <w:r>
        <w:rPr>
          <w:b/>
        </w:rPr>
        <w:t xml:space="preserve">Answer: </w:t>
      </w:r>
      <w:r>
        <w:t xml:space="preserve">Yes, users are able to edit base period data by checking the dial button “Edit RY16 data” above </w:t>
      </w:r>
      <w:r>
        <w:t>Part C of the webform. This will open the RY</w:t>
      </w:r>
      <w:r>
        <w:t>16 fields. Users must also explain in the reason for the</w:t>
      </w:r>
    </w:p>
    <w:p w:rsidR="006C1E48" w:rsidRDefault="006C1E48">
      <w:pPr>
        <w:spacing w:line="276" w:lineRule="auto"/>
        <w:sectPr w:rsidR="006C1E48">
          <w:pgSz w:w="12240" w:h="15840"/>
          <w:pgMar w:top="1160" w:right="620" w:bottom="1180" w:left="1040" w:header="0" w:footer="991" w:gutter="0"/>
          <w:cols w:space="720"/>
        </w:sectPr>
      </w:pPr>
    </w:p>
    <w:p w:rsidR="006C1E48" w:rsidRDefault="00673E06">
      <w:pPr>
        <w:pStyle w:val="BodyText"/>
        <w:spacing w:before="29" w:line="278" w:lineRule="auto"/>
        <w:ind w:left="472" w:right="845"/>
      </w:pPr>
      <w:r>
        <w:t xml:space="preserve">changes they are making in the “Explanation of why you are editing RY16 data” text box, such as facility </w:t>
      </w:r>
      <w:r>
        <w:t>neglected to enter data in RY17.</w:t>
      </w:r>
    </w:p>
    <w:p w:rsidR="006C1E48" w:rsidRDefault="00673E06">
      <w:pPr>
        <w:pStyle w:val="BodyText"/>
        <w:spacing w:before="195" w:line="276" w:lineRule="auto"/>
        <w:ind w:left="472" w:right="737"/>
        <w:jc w:val="both"/>
      </w:pPr>
      <w:r>
        <w:t>Note, new values entered for RY16 in Parts C an</w:t>
      </w:r>
      <w:r>
        <w:t xml:space="preserve">d D are subject to EOHHS' review, comparison to previous </w:t>
      </w:r>
      <w:r>
        <w:t>values, and approval; EOHHS' approval may thus change the compliance calculation and final compliance status.</w:t>
      </w:r>
    </w:p>
    <w:p w:rsidR="006C1E48" w:rsidRDefault="006C1E48">
      <w:pPr>
        <w:pStyle w:val="BodyText"/>
        <w:spacing w:before="4"/>
        <w:rPr>
          <w:sz w:val="16"/>
        </w:rPr>
      </w:pPr>
    </w:p>
    <w:p w:rsidR="006C1E48" w:rsidRDefault="00673E06">
      <w:pPr>
        <w:pStyle w:val="Heading2"/>
        <w:numPr>
          <w:ilvl w:val="0"/>
          <w:numId w:val="3"/>
        </w:numPr>
        <w:tabs>
          <w:tab w:val="left" w:pos="473"/>
        </w:tabs>
        <w:ind w:hanging="360"/>
        <w:rPr>
          <w:color w:val="4F81BC"/>
        </w:rPr>
      </w:pPr>
      <w:bookmarkStart w:id="30" w:name="_bookmark29"/>
      <w:bookmarkEnd w:id="30"/>
      <w:r>
        <w:rPr>
          <w:color w:val="4F81BC"/>
        </w:rPr>
        <w:t>Why aren’t overtime hour and wage fields opened in</w:t>
      </w:r>
      <w:r>
        <w:rPr>
          <w:color w:val="4F81BC"/>
          <w:spacing w:val="-10"/>
        </w:rPr>
        <w:t xml:space="preserve"> </w:t>
      </w:r>
      <w:r>
        <w:rPr>
          <w:color w:val="4F81BC"/>
        </w:rPr>
        <w:t>RY16?</w:t>
      </w:r>
    </w:p>
    <w:p w:rsidR="006C1E48" w:rsidRDefault="00673E06">
      <w:pPr>
        <w:pStyle w:val="BodyText"/>
        <w:spacing w:line="276" w:lineRule="auto"/>
        <w:ind w:left="472" w:right="665"/>
      </w:pPr>
      <w:r>
        <w:rPr>
          <w:b/>
        </w:rPr>
        <w:t xml:space="preserve">Answer: </w:t>
      </w:r>
      <w:r>
        <w:t xml:space="preserve">In RY17, overtime was not distinguished from regular hours and wages. Therefore no facilities </w:t>
      </w:r>
      <w:r>
        <w:t>entered RY16 overtime hours or wages. To keep this consistent, when facilities edit RY16 data now, they should include overtime hours with regular hours and overt</w:t>
      </w:r>
      <w:r>
        <w:t>ime wages with regular wages, as they did last year. The breakout in the base period is not necessary because Part E calculations are based on a comparison of total expenses (salaries and benefits) and total hours for the base vs. rate periods.</w:t>
      </w:r>
    </w:p>
    <w:p w:rsidR="006C1E48" w:rsidRDefault="006C1E48">
      <w:pPr>
        <w:pStyle w:val="BodyText"/>
        <w:spacing w:before="6"/>
        <w:rPr>
          <w:sz w:val="16"/>
        </w:rPr>
      </w:pPr>
    </w:p>
    <w:p w:rsidR="006C1E48" w:rsidRDefault="00673E06">
      <w:pPr>
        <w:pStyle w:val="Heading2"/>
        <w:numPr>
          <w:ilvl w:val="0"/>
          <w:numId w:val="3"/>
        </w:numPr>
        <w:tabs>
          <w:tab w:val="left" w:pos="473"/>
        </w:tabs>
        <w:ind w:right="832" w:hanging="360"/>
        <w:rPr>
          <w:color w:val="4F81BC"/>
        </w:rPr>
      </w:pPr>
      <w:bookmarkStart w:id="31" w:name="_bookmark30"/>
      <w:bookmarkEnd w:id="31"/>
      <w:r>
        <w:rPr>
          <w:color w:val="4F81BC"/>
        </w:rPr>
        <w:t>Is it acce</w:t>
      </w:r>
      <w:r>
        <w:rPr>
          <w:color w:val="4F81BC"/>
        </w:rPr>
        <w:t>ptable to report allocated amounts for expense categories that do not have direct employee- specific costs, such as worker’s</w:t>
      </w:r>
      <w:r>
        <w:rPr>
          <w:color w:val="4F81BC"/>
          <w:spacing w:val="-9"/>
        </w:rPr>
        <w:t xml:space="preserve"> </w:t>
      </w:r>
      <w:r>
        <w:rPr>
          <w:color w:val="4F81BC"/>
        </w:rPr>
        <w:t>compensation?</w:t>
      </w:r>
    </w:p>
    <w:p w:rsidR="006C1E48" w:rsidRDefault="00673E06">
      <w:pPr>
        <w:pStyle w:val="BodyText"/>
        <w:spacing w:before="1"/>
        <w:ind w:left="472" w:right="597"/>
      </w:pPr>
      <w:r>
        <w:rPr>
          <w:b/>
        </w:rPr>
        <w:t>Answer</w:t>
      </w:r>
      <w:r>
        <w:t xml:space="preserve">: Yes, facilities may use allocation method to determine amounts for expenses that are not directly </w:t>
      </w:r>
      <w:r>
        <w:t>attributabl</w:t>
      </w:r>
      <w:r>
        <w:t>e to specific employees. The allocation should be based on a reasonable and generally accepted accounting method. Expenses that are directly attributable to employees, such as salaries and payroll taxes, may not be estimated using allocations.</w:t>
      </w:r>
    </w:p>
    <w:p w:rsidR="006C1E48" w:rsidRDefault="006C1E48">
      <w:pPr>
        <w:pStyle w:val="BodyText"/>
        <w:spacing w:before="11"/>
        <w:rPr>
          <w:sz w:val="21"/>
        </w:rPr>
      </w:pPr>
    </w:p>
    <w:p w:rsidR="006C1E48" w:rsidRDefault="00673E06">
      <w:pPr>
        <w:pStyle w:val="Heading2"/>
        <w:numPr>
          <w:ilvl w:val="0"/>
          <w:numId w:val="3"/>
        </w:numPr>
        <w:tabs>
          <w:tab w:val="left" w:pos="473"/>
        </w:tabs>
        <w:ind w:hanging="360"/>
        <w:rPr>
          <w:color w:val="4F81BC"/>
        </w:rPr>
      </w:pPr>
      <w:bookmarkStart w:id="32" w:name="_bookmark31"/>
      <w:bookmarkEnd w:id="32"/>
      <w:r>
        <w:rPr>
          <w:color w:val="4F81BC"/>
        </w:rPr>
        <w:t>Will the Di</w:t>
      </w:r>
      <w:r>
        <w:rPr>
          <w:color w:val="4F81BC"/>
        </w:rPr>
        <w:t>rect Care Program be continued in fiscal year</w:t>
      </w:r>
      <w:r>
        <w:rPr>
          <w:color w:val="4F81BC"/>
          <w:spacing w:val="-9"/>
        </w:rPr>
        <w:t xml:space="preserve"> </w:t>
      </w:r>
      <w:r>
        <w:rPr>
          <w:color w:val="4F81BC"/>
        </w:rPr>
        <w:t>2019?</w:t>
      </w:r>
    </w:p>
    <w:p w:rsidR="006C1E48" w:rsidRDefault="00673E06">
      <w:pPr>
        <w:pStyle w:val="BodyText"/>
        <w:ind w:left="472"/>
      </w:pPr>
      <w:r>
        <w:rPr>
          <w:b/>
        </w:rPr>
        <w:t>Answer</w:t>
      </w:r>
      <w:r>
        <w:t>: The Direct Care Program is subject to annual legislative appropriation.</w:t>
      </w:r>
    </w:p>
    <w:p w:rsidR="006C1E48" w:rsidRDefault="006C1E48">
      <w:pPr>
        <w:pStyle w:val="BodyText"/>
      </w:pPr>
    </w:p>
    <w:p w:rsidR="006C1E48" w:rsidRDefault="00673E06">
      <w:pPr>
        <w:pStyle w:val="Heading2"/>
        <w:numPr>
          <w:ilvl w:val="0"/>
          <w:numId w:val="3"/>
        </w:numPr>
        <w:tabs>
          <w:tab w:val="left" w:pos="473"/>
        </w:tabs>
        <w:spacing w:before="1"/>
        <w:ind w:hanging="360"/>
        <w:rPr>
          <w:color w:val="4F81BC"/>
        </w:rPr>
      </w:pPr>
      <w:bookmarkStart w:id="33" w:name="_bookmark32"/>
      <w:bookmarkEnd w:id="33"/>
      <w:r>
        <w:rPr>
          <w:color w:val="4F81BC"/>
        </w:rPr>
        <w:t>Do facilities report the data on an accrual or cash</w:t>
      </w:r>
      <w:r>
        <w:rPr>
          <w:color w:val="4F81BC"/>
          <w:spacing w:val="-12"/>
        </w:rPr>
        <w:t xml:space="preserve"> </w:t>
      </w:r>
      <w:r>
        <w:rPr>
          <w:color w:val="4F81BC"/>
        </w:rPr>
        <w:t>basis?</w:t>
      </w:r>
    </w:p>
    <w:p w:rsidR="006C1E48" w:rsidRDefault="00673E06">
      <w:pPr>
        <w:pStyle w:val="BodyText"/>
        <w:ind w:left="472" w:right="520"/>
      </w:pPr>
      <w:r>
        <w:rPr>
          <w:b/>
        </w:rPr>
        <w:t xml:space="preserve">Answer: </w:t>
      </w:r>
      <w:r>
        <w:t>As noted in EOHHS’s Administrative Bulletin 18-02, all d</w:t>
      </w:r>
      <w:r>
        <w:t xml:space="preserve">ata reported on the Compliance Form must </w:t>
      </w:r>
      <w:r>
        <w:t>be reported on an accrual basis. Note that the accrual of paid leave time must be consistent between the base and rate periods. For example, do not accrue vacation time in the rate period while failing to accrue vac</w:t>
      </w:r>
      <w:r>
        <w:t>ation time in the base period.</w:t>
      </w:r>
    </w:p>
    <w:p w:rsidR="006C1E48" w:rsidRDefault="006C1E48">
      <w:pPr>
        <w:pStyle w:val="BodyText"/>
      </w:pPr>
    </w:p>
    <w:p w:rsidR="006C1E48" w:rsidRDefault="006C1E48">
      <w:pPr>
        <w:pStyle w:val="BodyText"/>
        <w:spacing w:before="11"/>
        <w:rPr>
          <w:sz w:val="26"/>
        </w:rPr>
      </w:pPr>
    </w:p>
    <w:p w:rsidR="006C1E48" w:rsidRDefault="00673E06">
      <w:pPr>
        <w:pStyle w:val="Heading1"/>
      </w:pPr>
      <w:bookmarkStart w:id="34" w:name="_bookmark33"/>
      <w:bookmarkEnd w:id="34"/>
      <w:r>
        <w:rPr>
          <w:color w:val="365F91"/>
        </w:rPr>
        <w:t>Compliance</w:t>
      </w:r>
    </w:p>
    <w:p w:rsidR="006C1E48" w:rsidRDefault="00673E06">
      <w:pPr>
        <w:pStyle w:val="Heading2"/>
        <w:numPr>
          <w:ilvl w:val="0"/>
          <w:numId w:val="3"/>
        </w:numPr>
        <w:tabs>
          <w:tab w:val="left" w:pos="473"/>
        </w:tabs>
        <w:spacing w:before="269" w:line="267" w:lineRule="exact"/>
        <w:ind w:hanging="360"/>
        <w:rPr>
          <w:color w:val="4F81BC"/>
        </w:rPr>
      </w:pPr>
      <w:bookmarkStart w:id="35" w:name="_bookmark34"/>
      <w:bookmarkEnd w:id="35"/>
      <w:r>
        <w:rPr>
          <w:color w:val="4F81BC"/>
        </w:rPr>
        <w:t>Has the agency issued compliance rules governing the Direct Care</w:t>
      </w:r>
      <w:r>
        <w:rPr>
          <w:color w:val="4F81BC"/>
          <w:spacing w:val="-12"/>
        </w:rPr>
        <w:t xml:space="preserve"> </w:t>
      </w:r>
      <w:r>
        <w:rPr>
          <w:color w:val="4F81BC"/>
        </w:rPr>
        <w:t>program?</w:t>
      </w:r>
    </w:p>
    <w:p w:rsidR="006C1E48" w:rsidRDefault="00673E06">
      <w:pPr>
        <w:pStyle w:val="BodyText"/>
        <w:spacing w:line="267" w:lineRule="exact"/>
        <w:ind w:left="472"/>
      </w:pPr>
      <w:r>
        <w:rPr>
          <w:b/>
        </w:rPr>
        <w:t>Answer</w:t>
      </w:r>
      <w:r>
        <w:t>: Yes, via an Administrative Bulletin and Compliance Form Worksheet Instructions.</w:t>
      </w:r>
    </w:p>
    <w:p w:rsidR="006C1E48" w:rsidRDefault="00673E06">
      <w:pPr>
        <w:pStyle w:val="ListParagraph"/>
        <w:numPr>
          <w:ilvl w:val="1"/>
          <w:numId w:val="3"/>
        </w:numPr>
        <w:tabs>
          <w:tab w:val="left" w:pos="1192"/>
          <w:tab w:val="left" w:pos="1193"/>
        </w:tabs>
        <w:ind w:right="729"/>
        <w:rPr>
          <w:i/>
        </w:rPr>
      </w:pPr>
      <w:r>
        <w:rPr>
          <w:b/>
          <w:i/>
        </w:rPr>
        <w:t xml:space="preserve">Administrative Bulletin </w:t>
      </w:r>
      <w:r>
        <w:rPr>
          <w:i/>
        </w:rPr>
        <w:t xml:space="preserve">- EOHHS has issued an </w:t>
      </w:r>
      <w:r>
        <w:rPr>
          <w:i/>
          <w:u w:val="single"/>
        </w:rPr>
        <w:t>Administrative Bulletin 18-02</w:t>
      </w:r>
      <w:r>
        <w:rPr>
          <w:i/>
        </w:rPr>
        <w:t xml:space="preserve"> (https://</w:t>
      </w:r>
      <w:hyperlink r:id="rId22">
        <w:r>
          <w:rPr>
            <w:i/>
          </w:rPr>
          <w:t xml:space="preserve">www.mass.gov/files/documents/2018/01/24/ab-18-02.pdf) </w:t>
        </w:r>
      </w:hyperlink>
      <w:r>
        <w:rPr>
          <w:i/>
        </w:rPr>
        <w:t>setting forth the compliance criteria, reporting requirements, penalty amount and r</w:t>
      </w:r>
      <w:r>
        <w:rPr>
          <w:i/>
        </w:rPr>
        <w:t>ecovery provisions for the FY18 Direct Care program.</w:t>
      </w:r>
    </w:p>
    <w:p w:rsidR="006C1E48" w:rsidRDefault="00673E06">
      <w:pPr>
        <w:pStyle w:val="ListParagraph"/>
        <w:numPr>
          <w:ilvl w:val="1"/>
          <w:numId w:val="3"/>
        </w:numPr>
        <w:tabs>
          <w:tab w:val="left" w:pos="1192"/>
          <w:tab w:val="left" w:pos="1193"/>
        </w:tabs>
        <w:spacing w:before="2"/>
        <w:ind w:right="688"/>
        <w:rPr>
          <w:i/>
        </w:rPr>
      </w:pPr>
      <w:r>
        <w:rPr>
          <w:b/>
          <w:i/>
        </w:rPr>
        <w:t xml:space="preserve">Compliance Form Directions and Compliance Form Manual Worksheet </w:t>
      </w:r>
      <w:r>
        <w:rPr>
          <w:i/>
        </w:rPr>
        <w:t>– EOHHS will distribute the FY18 Final Compliance Form Worksheet and Compliance Form Instructions to nursing facilities via email once they</w:t>
      </w:r>
      <w:r>
        <w:rPr>
          <w:i/>
        </w:rPr>
        <w:t xml:space="preserve"> are finalized. Providers may request a copy of the Worksheet and the Form by emailing</w:t>
      </w:r>
      <w:r>
        <w:rPr>
          <w:i/>
          <w:spacing w:val="-2"/>
        </w:rPr>
        <w:t xml:space="preserve"> </w:t>
      </w:r>
      <w:hyperlink r:id="rId23">
        <w:r>
          <w:rPr>
            <w:i/>
          </w:rPr>
          <w:t>NFDirectCare@umassmed.edu.</w:t>
        </w:r>
      </w:hyperlink>
    </w:p>
    <w:p w:rsidR="006C1E48" w:rsidRDefault="006C1E48">
      <w:pPr>
        <w:sectPr w:rsidR="006C1E48">
          <w:pgSz w:w="12240" w:h="15840"/>
          <w:pgMar w:top="1120" w:right="620" w:bottom="1180" w:left="1040" w:header="0" w:footer="991" w:gutter="0"/>
          <w:cols w:space="720"/>
        </w:sectPr>
      </w:pPr>
    </w:p>
    <w:p w:rsidR="006C1E48" w:rsidRDefault="00673E06">
      <w:pPr>
        <w:pStyle w:val="Heading2"/>
        <w:numPr>
          <w:ilvl w:val="0"/>
          <w:numId w:val="3"/>
        </w:numPr>
        <w:tabs>
          <w:tab w:val="left" w:pos="473"/>
        </w:tabs>
        <w:spacing w:before="29"/>
        <w:ind w:right="575" w:hanging="360"/>
        <w:rPr>
          <w:color w:val="4F81BC"/>
        </w:rPr>
      </w:pPr>
      <w:bookmarkStart w:id="36" w:name="_bookmark35"/>
      <w:bookmarkEnd w:id="36"/>
      <w:r>
        <w:rPr>
          <w:color w:val="4F81BC"/>
        </w:rPr>
        <w:t xml:space="preserve">What happens if EOHHS determines that a facility has not complied with FY18 </w:t>
      </w:r>
      <w:r>
        <w:rPr>
          <w:color w:val="4F81BC"/>
        </w:rPr>
        <w:t>Direct Care program requirements after reviewing the data the facility has submitted electronically on the Compliance Form? Is there a penalty for</w:t>
      </w:r>
      <w:r>
        <w:rPr>
          <w:color w:val="4F81BC"/>
          <w:spacing w:val="-1"/>
        </w:rPr>
        <w:t xml:space="preserve"> </w:t>
      </w:r>
      <w:r>
        <w:rPr>
          <w:color w:val="4F81BC"/>
        </w:rPr>
        <w:t>noncompliance?</w:t>
      </w:r>
    </w:p>
    <w:p w:rsidR="006C1E48" w:rsidRDefault="00673E06">
      <w:pPr>
        <w:pStyle w:val="BodyText"/>
        <w:spacing w:before="1"/>
        <w:ind w:left="472" w:right="551"/>
      </w:pPr>
      <w:r>
        <w:rPr>
          <w:b/>
        </w:rPr>
        <w:t>Answer</w:t>
      </w:r>
      <w:r>
        <w:t>: If EOHHS notifies a facility that it has failed to spend the full amount of its Direct</w:t>
      </w:r>
      <w:r>
        <w:t xml:space="preserve"> Care revenue in </w:t>
      </w:r>
      <w:r>
        <w:t xml:space="preserve">accordance with the requirements of 101 CMR 206.06(13) and Administrative Bulletin 18-02, the facility will have 30 days from the date of the notification to issue a one-time bonus to eligible employees in the amount of the unspent funds. </w:t>
      </w:r>
      <w:r>
        <w:t>The facility will be required to provide EOHHS with documentation demonstrating that the bonus was paid to the eligible employees by entering amounts paid by employee type into a webform and by uploading backup payroll materials (including weekly payroll r</w:t>
      </w:r>
      <w:r>
        <w:t>egisters detailing each bonus payment) to the webform. If the facility fails to issue one-time bonuses within 30 days or issues bonuses to ineligible employees, EOHHS will recoup the entire amount of unspent or impermissibly spent Direct Care funds from th</w:t>
      </w:r>
      <w:r>
        <w:t>e facility pursuant to 130 CMR 450.260(F), plus a penalty of 25% of the unspent or impermissibly spent amount as described in Section 5 of Administrative Bulletin 18-02, pursuant to 130 CMR</w:t>
      </w:r>
      <w:r>
        <w:rPr>
          <w:spacing w:val="-3"/>
        </w:rPr>
        <w:t xml:space="preserve"> </w:t>
      </w:r>
      <w:r>
        <w:t>450.238-240.</w:t>
      </w:r>
    </w:p>
    <w:p w:rsidR="006C1E48" w:rsidRDefault="006C1E48">
      <w:pPr>
        <w:pStyle w:val="BodyText"/>
        <w:spacing w:before="11"/>
        <w:rPr>
          <w:sz w:val="21"/>
        </w:rPr>
      </w:pPr>
    </w:p>
    <w:p w:rsidR="006C1E48" w:rsidRDefault="00673E06">
      <w:pPr>
        <w:pStyle w:val="Heading2"/>
        <w:numPr>
          <w:ilvl w:val="0"/>
          <w:numId w:val="3"/>
        </w:numPr>
        <w:tabs>
          <w:tab w:val="left" w:pos="473"/>
        </w:tabs>
        <w:ind w:hanging="360"/>
        <w:rPr>
          <w:color w:val="4F81BC"/>
        </w:rPr>
      </w:pPr>
      <w:bookmarkStart w:id="37" w:name="_bookmark36"/>
      <w:bookmarkEnd w:id="37"/>
      <w:r>
        <w:rPr>
          <w:color w:val="4F81BC"/>
        </w:rPr>
        <w:t>Can compliance be counted across facilities in one c</w:t>
      </w:r>
      <w:r>
        <w:rPr>
          <w:color w:val="4F81BC"/>
        </w:rPr>
        <w:t>hain of</w:t>
      </w:r>
      <w:r>
        <w:rPr>
          <w:color w:val="4F81BC"/>
          <w:spacing w:val="-13"/>
        </w:rPr>
        <w:t xml:space="preserve"> </w:t>
      </w:r>
      <w:r>
        <w:rPr>
          <w:color w:val="4F81BC"/>
        </w:rPr>
        <w:t>facilities?</w:t>
      </w:r>
    </w:p>
    <w:p w:rsidR="006C1E48" w:rsidRDefault="00673E06">
      <w:pPr>
        <w:pStyle w:val="BodyText"/>
        <w:ind w:left="472"/>
      </w:pPr>
      <w:r>
        <w:rPr>
          <w:b/>
        </w:rPr>
        <w:t>Answer</w:t>
      </w:r>
      <w:r>
        <w:t>: No, compliance will be determined on an individual facility basis.</w:t>
      </w:r>
    </w:p>
    <w:p w:rsidR="006C1E48" w:rsidRDefault="006C1E48">
      <w:pPr>
        <w:pStyle w:val="BodyText"/>
      </w:pPr>
    </w:p>
    <w:p w:rsidR="006C1E48" w:rsidRDefault="00673E06">
      <w:pPr>
        <w:pStyle w:val="Heading2"/>
        <w:numPr>
          <w:ilvl w:val="0"/>
          <w:numId w:val="3"/>
        </w:numPr>
        <w:tabs>
          <w:tab w:val="left" w:pos="473"/>
        </w:tabs>
        <w:ind w:hanging="360"/>
        <w:rPr>
          <w:color w:val="4F81BC"/>
        </w:rPr>
      </w:pPr>
      <w:bookmarkStart w:id="38" w:name="_bookmark37"/>
      <w:bookmarkEnd w:id="38"/>
      <w:r>
        <w:rPr>
          <w:color w:val="4F81BC"/>
        </w:rPr>
        <w:t>What do we do if we have questions or need</w:t>
      </w:r>
      <w:r>
        <w:rPr>
          <w:color w:val="4F81BC"/>
          <w:spacing w:val="-10"/>
        </w:rPr>
        <w:t xml:space="preserve"> </w:t>
      </w:r>
      <w:r>
        <w:rPr>
          <w:color w:val="4F81BC"/>
        </w:rPr>
        <w:t>clarification?</w:t>
      </w:r>
    </w:p>
    <w:p w:rsidR="006C1E48" w:rsidRDefault="00673E06">
      <w:pPr>
        <w:pStyle w:val="BodyText"/>
        <w:spacing w:before="1"/>
        <w:ind w:left="472" w:right="674"/>
      </w:pPr>
      <w:r>
        <w:rPr>
          <w:b/>
        </w:rPr>
        <w:t>Answer</w:t>
      </w:r>
      <w:r>
        <w:t>: EOHHS has created an e-mail address for facilities if they have questions concerning the Direc</w:t>
      </w:r>
      <w:r>
        <w:t xml:space="preserve">t </w:t>
      </w:r>
      <w:r>
        <w:t xml:space="preserve">Care payments, programmatic questions, or completing required reporting. Please send your questions to the following e-mail address: </w:t>
      </w:r>
      <w:hyperlink r:id="rId24">
        <w:r>
          <w:rPr>
            <w:color w:val="0462C1"/>
            <w:u w:val="single" w:color="0462C1"/>
          </w:rPr>
          <w:t>NFDirectCare@umassmed.edu</w:t>
        </w:r>
        <w:r>
          <w:t>.</w:t>
        </w:r>
      </w:hyperlink>
    </w:p>
    <w:p w:rsidR="006C1E48" w:rsidRDefault="006C1E48">
      <w:pPr>
        <w:pStyle w:val="BodyText"/>
        <w:spacing w:before="2"/>
      </w:pPr>
    </w:p>
    <w:p w:rsidR="006C1E48" w:rsidRDefault="00673E06">
      <w:pPr>
        <w:pStyle w:val="Heading1"/>
      </w:pPr>
      <w:bookmarkStart w:id="39" w:name="_bookmark38"/>
      <w:bookmarkEnd w:id="39"/>
      <w:r>
        <w:rPr>
          <w:color w:val="365F91"/>
        </w:rPr>
        <w:t>Definitions, Calculations and Documentation</w:t>
      </w:r>
    </w:p>
    <w:p w:rsidR="006C1E48" w:rsidRDefault="00673E06">
      <w:pPr>
        <w:pStyle w:val="Heading2"/>
        <w:numPr>
          <w:ilvl w:val="0"/>
          <w:numId w:val="3"/>
        </w:numPr>
        <w:tabs>
          <w:tab w:val="left" w:pos="473"/>
        </w:tabs>
        <w:spacing w:before="266"/>
        <w:ind w:hanging="360"/>
        <w:rPr>
          <w:color w:val="4F81BC"/>
        </w:rPr>
      </w:pPr>
      <w:bookmarkStart w:id="40" w:name="_bookmark39"/>
      <w:bookmarkEnd w:id="40"/>
      <w:r>
        <w:rPr>
          <w:color w:val="4F81BC"/>
        </w:rPr>
        <w:t>How is full-time equivalent (FTE) calculated?</w:t>
      </w:r>
    </w:p>
    <w:p w:rsidR="006C1E48" w:rsidRDefault="00673E06">
      <w:pPr>
        <w:pStyle w:val="BodyText"/>
        <w:ind w:left="472" w:right="598"/>
      </w:pPr>
      <w:r>
        <w:rPr>
          <w:b/>
        </w:rPr>
        <w:t>Answer</w:t>
      </w:r>
      <w:r>
        <w:t xml:space="preserve">: The number of employee paid hours divided by 2,080 (which is 40 hours per week multiplied by 52 </w:t>
      </w:r>
      <w:r>
        <w:t>weeks).</w:t>
      </w:r>
    </w:p>
    <w:p w:rsidR="006C1E48" w:rsidRDefault="006C1E48">
      <w:pPr>
        <w:pStyle w:val="BodyText"/>
        <w:spacing w:before="1"/>
      </w:pPr>
    </w:p>
    <w:p w:rsidR="006C1E48" w:rsidRDefault="00673E06">
      <w:pPr>
        <w:pStyle w:val="Heading2"/>
        <w:numPr>
          <w:ilvl w:val="0"/>
          <w:numId w:val="3"/>
        </w:numPr>
        <w:tabs>
          <w:tab w:val="left" w:pos="473"/>
        </w:tabs>
        <w:ind w:hanging="360"/>
        <w:rPr>
          <w:color w:val="4F81BC"/>
        </w:rPr>
      </w:pPr>
      <w:bookmarkStart w:id="41" w:name="_bookmark40"/>
      <w:bookmarkEnd w:id="41"/>
      <w:r>
        <w:rPr>
          <w:color w:val="4F81BC"/>
        </w:rPr>
        <w:t>D</w:t>
      </w:r>
      <w:r>
        <w:rPr>
          <w:color w:val="4F81BC"/>
        </w:rPr>
        <w:t>oes “mean number of beds” in Part C line 3 refer to occupied or licensed</w:t>
      </w:r>
      <w:r>
        <w:rPr>
          <w:color w:val="4F81BC"/>
          <w:spacing w:val="-11"/>
        </w:rPr>
        <w:t xml:space="preserve"> </w:t>
      </w:r>
      <w:r>
        <w:rPr>
          <w:color w:val="4F81BC"/>
        </w:rPr>
        <w:t>beds?</w:t>
      </w:r>
    </w:p>
    <w:p w:rsidR="006C1E48" w:rsidRDefault="00673E06">
      <w:pPr>
        <w:ind w:left="472"/>
        <w:rPr>
          <w:i/>
        </w:rPr>
      </w:pPr>
      <w:r>
        <w:rPr>
          <w:b/>
          <w:i/>
        </w:rPr>
        <w:t>Answer</w:t>
      </w:r>
      <w:r>
        <w:rPr>
          <w:i/>
        </w:rPr>
        <w:t>: Licensed beds.</w:t>
      </w:r>
    </w:p>
    <w:p w:rsidR="006C1E48" w:rsidRDefault="006C1E48">
      <w:pPr>
        <w:pStyle w:val="BodyText"/>
        <w:spacing w:before="1"/>
      </w:pPr>
    </w:p>
    <w:p w:rsidR="006C1E48" w:rsidRDefault="00673E06">
      <w:pPr>
        <w:pStyle w:val="Heading2"/>
        <w:numPr>
          <w:ilvl w:val="0"/>
          <w:numId w:val="3"/>
        </w:numPr>
        <w:tabs>
          <w:tab w:val="left" w:pos="473"/>
        </w:tabs>
        <w:ind w:hanging="360"/>
        <w:rPr>
          <w:color w:val="4F81BC"/>
        </w:rPr>
      </w:pPr>
      <w:bookmarkStart w:id="42" w:name="_bookmark41"/>
      <w:bookmarkEnd w:id="42"/>
      <w:r>
        <w:rPr>
          <w:color w:val="4F81BC"/>
        </w:rPr>
        <w:t>Should facilities report paid hours or worked</w:t>
      </w:r>
      <w:r>
        <w:rPr>
          <w:color w:val="4F81BC"/>
          <w:spacing w:val="-8"/>
        </w:rPr>
        <w:t xml:space="preserve"> </w:t>
      </w:r>
      <w:r>
        <w:rPr>
          <w:color w:val="4F81BC"/>
        </w:rPr>
        <w:t>hours?</w:t>
      </w:r>
    </w:p>
    <w:p w:rsidR="006C1E48" w:rsidRDefault="00673E06">
      <w:pPr>
        <w:pStyle w:val="BodyText"/>
        <w:ind w:left="472"/>
      </w:pPr>
      <w:r>
        <w:rPr>
          <w:b/>
        </w:rPr>
        <w:t>Answer</w:t>
      </w:r>
      <w:r>
        <w:t>: Facilities should report paid hours, including any paid time off (e.g. vacation, holiday, si</w:t>
      </w:r>
      <w:r>
        <w:t>ck, etc.).</w:t>
      </w:r>
    </w:p>
    <w:p w:rsidR="006C1E48" w:rsidRDefault="006C1E48">
      <w:pPr>
        <w:pStyle w:val="BodyText"/>
        <w:spacing w:before="10"/>
        <w:rPr>
          <w:sz w:val="21"/>
        </w:rPr>
      </w:pPr>
    </w:p>
    <w:p w:rsidR="006C1E48" w:rsidRDefault="00673E06">
      <w:pPr>
        <w:pStyle w:val="Heading2"/>
        <w:numPr>
          <w:ilvl w:val="0"/>
          <w:numId w:val="3"/>
        </w:numPr>
        <w:tabs>
          <w:tab w:val="left" w:pos="473"/>
        </w:tabs>
        <w:ind w:hanging="360"/>
        <w:rPr>
          <w:color w:val="4F81BC"/>
        </w:rPr>
      </w:pPr>
      <w:bookmarkStart w:id="43" w:name="_bookmark42"/>
      <w:bookmarkEnd w:id="43"/>
      <w:r>
        <w:rPr>
          <w:color w:val="4F81BC"/>
        </w:rPr>
        <w:t>What is the formula for determining the amount of spending in the rate</w:t>
      </w:r>
      <w:r>
        <w:rPr>
          <w:color w:val="4F81BC"/>
          <w:spacing w:val="-17"/>
        </w:rPr>
        <w:t xml:space="preserve"> </w:t>
      </w:r>
      <w:r>
        <w:rPr>
          <w:color w:val="4F81BC"/>
        </w:rPr>
        <w:t>period?</w:t>
      </w:r>
    </w:p>
    <w:p w:rsidR="006C1E48" w:rsidRDefault="00673E06">
      <w:pPr>
        <w:pStyle w:val="BodyText"/>
        <w:spacing w:before="1"/>
        <w:ind w:left="472" w:right="805"/>
      </w:pPr>
      <w:r>
        <w:rPr>
          <w:b/>
        </w:rPr>
        <w:t>Answer</w:t>
      </w:r>
      <w:r>
        <w:t xml:space="preserve">: EOHHS will determine the amount of spending that will be counted toward compliance by </w:t>
      </w:r>
      <w:r>
        <w:t>summing two amounts: hourly wage and bonus:</w:t>
      </w:r>
    </w:p>
    <w:p w:rsidR="006C1E48" w:rsidRDefault="006C1E48">
      <w:pPr>
        <w:pStyle w:val="BodyText"/>
      </w:pPr>
    </w:p>
    <w:p w:rsidR="006C1E48" w:rsidRDefault="00673E06">
      <w:pPr>
        <w:pStyle w:val="ListParagraph"/>
        <w:numPr>
          <w:ilvl w:val="1"/>
          <w:numId w:val="3"/>
        </w:numPr>
        <w:tabs>
          <w:tab w:val="left" w:pos="1192"/>
          <w:tab w:val="left" w:pos="1193"/>
        </w:tabs>
        <w:spacing w:before="1"/>
        <w:ind w:right="594"/>
        <w:rPr>
          <w:i/>
        </w:rPr>
      </w:pPr>
      <w:r>
        <w:rPr>
          <w:b/>
          <w:i/>
        </w:rPr>
        <w:t xml:space="preserve">Hourly wage </w:t>
      </w:r>
      <w:r>
        <w:rPr>
          <w:i/>
        </w:rPr>
        <w:t>- The amount o</w:t>
      </w:r>
      <w:r>
        <w:rPr>
          <w:i/>
        </w:rPr>
        <w:t xml:space="preserve">f </w:t>
      </w:r>
      <w:r>
        <w:rPr>
          <w:b/>
          <w:i/>
        </w:rPr>
        <w:t xml:space="preserve">increased spending in eligible staff wages, benefits, and overtime pay per hour </w:t>
      </w:r>
      <w:r>
        <w:rPr>
          <w:i/>
        </w:rPr>
        <w:t xml:space="preserve">between a base period of January 1, 2016, through June 30, 2016, and a rate period of </w:t>
      </w:r>
      <w:r>
        <w:rPr>
          <w:b/>
          <w:i/>
        </w:rPr>
        <w:t>July 1, 2017 through June 30, 2018</w:t>
      </w:r>
      <w:r>
        <w:rPr>
          <w:i/>
        </w:rPr>
        <w:t>. The amount of increased spending is determined by mu</w:t>
      </w:r>
      <w:r>
        <w:rPr>
          <w:i/>
        </w:rPr>
        <w:t xml:space="preserve">ltiplying the difference in the aggregate direct care per hour spending between the rate period and the base period by the aggregate number of direct care hours in the rate period for the eligible direct care employee positions for which Direct Care funds </w:t>
      </w:r>
      <w:r>
        <w:rPr>
          <w:i/>
        </w:rPr>
        <w:t>have been spent by the</w:t>
      </w:r>
      <w:r>
        <w:rPr>
          <w:i/>
          <w:spacing w:val="-15"/>
        </w:rPr>
        <w:t xml:space="preserve"> </w:t>
      </w:r>
      <w:r>
        <w:rPr>
          <w:i/>
        </w:rPr>
        <w:t>facility.</w:t>
      </w:r>
    </w:p>
    <w:p w:rsidR="006C1E48" w:rsidRDefault="00673E06">
      <w:pPr>
        <w:pStyle w:val="ListParagraph"/>
        <w:numPr>
          <w:ilvl w:val="1"/>
          <w:numId w:val="3"/>
        </w:numPr>
        <w:tabs>
          <w:tab w:val="left" w:pos="1192"/>
          <w:tab w:val="left" w:pos="1193"/>
        </w:tabs>
        <w:ind w:right="700"/>
        <w:rPr>
          <w:i/>
        </w:rPr>
      </w:pPr>
      <w:r>
        <w:rPr>
          <w:b/>
          <w:i/>
        </w:rPr>
        <w:t xml:space="preserve">Bonuses </w:t>
      </w:r>
      <w:r>
        <w:rPr>
          <w:i/>
        </w:rPr>
        <w:t xml:space="preserve">- The total amount paid by the facility in bonuses to eligible staff between </w:t>
      </w:r>
      <w:r>
        <w:rPr>
          <w:b/>
          <w:i/>
        </w:rPr>
        <w:t>July 1, 2017, and June 30, 2018, except for bonuses paid in FY18 to comply with FY17 program</w:t>
      </w:r>
      <w:r>
        <w:rPr>
          <w:b/>
          <w:i/>
          <w:spacing w:val="-34"/>
        </w:rPr>
        <w:t xml:space="preserve"> </w:t>
      </w:r>
      <w:r>
        <w:rPr>
          <w:b/>
          <w:i/>
        </w:rPr>
        <w:t>requirements</w:t>
      </w:r>
      <w:r>
        <w:rPr>
          <w:i/>
        </w:rPr>
        <w:t>.</w:t>
      </w:r>
    </w:p>
    <w:p w:rsidR="006C1E48" w:rsidRDefault="006C1E48">
      <w:pPr>
        <w:sectPr w:rsidR="006C1E48">
          <w:pgSz w:w="12240" w:h="15840"/>
          <w:pgMar w:top="1120" w:right="620" w:bottom="1180" w:left="1040" w:header="0" w:footer="991" w:gutter="0"/>
          <w:cols w:space="720"/>
        </w:sectPr>
      </w:pPr>
    </w:p>
    <w:p w:rsidR="006C1E48" w:rsidRDefault="00673E06">
      <w:pPr>
        <w:pStyle w:val="Heading2"/>
        <w:numPr>
          <w:ilvl w:val="0"/>
          <w:numId w:val="3"/>
        </w:numPr>
        <w:tabs>
          <w:tab w:val="left" w:pos="473"/>
        </w:tabs>
        <w:spacing w:before="29"/>
        <w:ind w:right="639" w:hanging="360"/>
        <w:rPr>
          <w:color w:val="4F81BC"/>
        </w:rPr>
      </w:pPr>
      <w:bookmarkStart w:id="44" w:name="_bookmark43"/>
      <w:bookmarkEnd w:id="44"/>
      <w:r>
        <w:rPr>
          <w:color w:val="4F81BC"/>
        </w:rPr>
        <w:t xml:space="preserve">Which Compliance </w:t>
      </w:r>
      <w:r>
        <w:rPr>
          <w:color w:val="4F81BC"/>
        </w:rPr>
        <w:t>Form Worksheet section does the facility complete to provide information on hourly wages in the baseline and the rate</w:t>
      </w:r>
      <w:r>
        <w:rPr>
          <w:color w:val="4F81BC"/>
          <w:spacing w:val="-10"/>
        </w:rPr>
        <w:t xml:space="preserve"> </w:t>
      </w:r>
      <w:r>
        <w:rPr>
          <w:color w:val="4F81BC"/>
        </w:rPr>
        <w:t>period?</w:t>
      </w:r>
    </w:p>
    <w:p w:rsidR="006C1E48" w:rsidRDefault="00673E06">
      <w:pPr>
        <w:pStyle w:val="BodyText"/>
        <w:spacing w:before="1"/>
        <w:ind w:left="472" w:right="725"/>
      </w:pPr>
      <w:r>
        <w:rPr>
          <w:b/>
          <w:spacing w:val="-3"/>
        </w:rPr>
        <w:t xml:space="preserve">Answer: Part </w:t>
      </w:r>
      <w:r>
        <w:rPr>
          <w:b/>
        </w:rPr>
        <w:t xml:space="preserve">C </w:t>
      </w:r>
      <w:r>
        <w:t xml:space="preserve">of </w:t>
      </w:r>
      <w:r>
        <w:rPr>
          <w:spacing w:val="-2"/>
        </w:rPr>
        <w:t xml:space="preserve">the </w:t>
      </w:r>
      <w:r>
        <w:rPr>
          <w:spacing w:val="-3"/>
        </w:rPr>
        <w:t xml:space="preserve">Compliance </w:t>
      </w:r>
      <w:r>
        <w:t xml:space="preserve">Form </w:t>
      </w:r>
      <w:r>
        <w:rPr>
          <w:spacing w:val="-3"/>
        </w:rPr>
        <w:t xml:space="preserve">worksheet collects statistical information </w:t>
      </w:r>
      <w:r>
        <w:t xml:space="preserve">on </w:t>
      </w:r>
      <w:r>
        <w:rPr>
          <w:spacing w:val="-3"/>
        </w:rPr>
        <w:t xml:space="preserve">regular and overtime </w:t>
      </w:r>
      <w:r>
        <w:rPr>
          <w:spacing w:val="-3"/>
        </w:rPr>
        <w:t xml:space="preserve">hours and </w:t>
      </w:r>
      <w:r>
        <w:rPr>
          <w:b/>
          <w:spacing w:val="-3"/>
        </w:rPr>
        <w:t xml:space="preserve">Part </w:t>
      </w:r>
      <w:r>
        <w:rPr>
          <w:b/>
        </w:rPr>
        <w:t xml:space="preserve">D </w:t>
      </w:r>
      <w:r>
        <w:rPr>
          <w:spacing w:val="-3"/>
        </w:rPr>
        <w:t xml:space="preserve">collects statistical information about regular and overtime wages and benefits </w:t>
      </w:r>
      <w:r>
        <w:t xml:space="preserve">for </w:t>
      </w:r>
      <w:r>
        <w:rPr>
          <w:spacing w:val="-3"/>
        </w:rPr>
        <w:t xml:space="preserve">both </w:t>
      </w:r>
      <w:r>
        <w:rPr>
          <w:spacing w:val="-2"/>
        </w:rPr>
        <w:t xml:space="preserve">the </w:t>
      </w:r>
      <w:r>
        <w:rPr>
          <w:spacing w:val="-3"/>
        </w:rPr>
        <w:t xml:space="preserve">baseline </w:t>
      </w:r>
      <w:r>
        <w:t xml:space="preserve">and rate </w:t>
      </w:r>
      <w:r>
        <w:rPr>
          <w:spacing w:val="-3"/>
        </w:rPr>
        <w:t xml:space="preserve">period. </w:t>
      </w:r>
      <w:r>
        <w:t xml:space="preserve">Part E </w:t>
      </w:r>
      <w:r>
        <w:rPr>
          <w:spacing w:val="-3"/>
        </w:rPr>
        <w:t xml:space="preserve">auto-calculates </w:t>
      </w:r>
      <w:r>
        <w:rPr>
          <w:spacing w:val="-2"/>
        </w:rPr>
        <w:t xml:space="preserve">the </w:t>
      </w:r>
      <w:r>
        <w:rPr>
          <w:spacing w:val="-3"/>
        </w:rPr>
        <w:t xml:space="preserve">changes </w:t>
      </w:r>
      <w:r>
        <w:t xml:space="preserve">in </w:t>
      </w:r>
      <w:r>
        <w:rPr>
          <w:spacing w:val="-3"/>
        </w:rPr>
        <w:t xml:space="preserve">hourly wage, </w:t>
      </w:r>
      <w:r>
        <w:t xml:space="preserve">if any, </w:t>
      </w:r>
      <w:r>
        <w:rPr>
          <w:spacing w:val="-3"/>
        </w:rPr>
        <w:t xml:space="preserve">between </w:t>
      </w:r>
      <w:r>
        <w:rPr>
          <w:spacing w:val="-2"/>
        </w:rPr>
        <w:t xml:space="preserve">the </w:t>
      </w:r>
      <w:r>
        <w:rPr>
          <w:spacing w:val="-3"/>
        </w:rPr>
        <w:t xml:space="preserve">base and </w:t>
      </w:r>
      <w:r>
        <w:t xml:space="preserve">rate </w:t>
      </w:r>
      <w:r>
        <w:rPr>
          <w:spacing w:val="-3"/>
        </w:rPr>
        <w:t xml:space="preserve">periods, </w:t>
      </w:r>
      <w:r>
        <w:t xml:space="preserve">in </w:t>
      </w:r>
      <w:r>
        <w:rPr>
          <w:spacing w:val="-3"/>
        </w:rPr>
        <w:t xml:space="preserve">aggregate </w:t>
      </w:r>
      <w:r>
        <w:t xml:space="preserve">for </w:t>
      </w:r>
      <w:r>
        <w:rPr>
          <w:spacing w:val="-3"/>
        </w:rPr>
        <w:t xml:space="preserve">all staff </w:t>
      </w:r>
      <w:r>
        <w:rPr>
          <w:spacing w:val="-2"/>
        </w:rPr>
        <w:t xml:space="preserve">who </w:t>
      </w:r>
      <w:r>
        <w:rPr>
          <w:spacing w:val="-3"/>
        </w:rPr>
        <w:t>have received</w:t>
      </w:r>
      <w:r>
        <w:rPr>
          <w:spacing w:val="-3"/>
        </w:rPr>
        <w:t xml:space="preserve"> Direct Care funds either through wage/benefit increases and/or bonuses.</w:t>
      </w:r>
    </w:p>
    <w:p w:rsidR="006C1E48" w:rsidRDefault="006C1E48">
      <w:pPr>
        <w:pStyle w:val="BodyText"/>
        <w:spacing w:before="11"/>
        <w:rPr>
          <w:sz w:val="21"/>
        </w:rPr>
      </w:pPr>
    </w:p>
    <w:p w:rsidR="006C1E48" w:rsidRDefault="00673E06">
      <w:pPr>
        <w:pStyle w:val="BodyText"/>
        <w:ind w:left="472" w:right="1217"/>
      </w:pPr>
      <w:r>
        <w:rPr>
          <w:b/>
          <w:spacing w:val="-3"/>
        </w:rPr>
        <w:t>Note</w:t>
      </w:r>
      <w:r>
        <w:rPr>
          <w:spacing w:val="-3"/>
        </w:rPr>
        <w:t xml:space="preserve">: While </w:t>
      </w:r>
      <w:r>
        <w:t xml:space="preserve">a </w:t>
      </w:r>
      <w:r>
        <w:rPr>
          <w:spacing w:val="-3"/>
        </w:rPr>
        <w:t xml:space="preserve">facility can </w:t>
      </w:r>
      <w:r>
        <w:t xml:space="preserve">choose to </w:t>
      </w:r>
      <w:r>
        <w:rPr>
          <w:spacing w:val="-3"/>
        </w:rPr>
        <w:t xml:space="preserve">spend Direct Care revenue </w:t>
      </w:r>
      <w:r>
        <w:t xml:space="preserve">on a </w:t>
      </w:r>
      <w:r>
        <w:rPr>
          <w:spacing w:val="-3"/>
        </w:rPr>
        <w:t xml:space="preserve">subset </w:t>
      </w:r>
      <w:r>
        <w:t xml:space="preserve">of eligible </w:t>
      </w:r>
      <w:r>
        <w:rPr>
          <w:spacing w:val="-3"/>
        </w:rPr>
        <w:t xml:space="preserve">positions, </w:t>
      </w:r>
      <w:r>
        <w:t xml:space="preserve">it </w:t>
      </w:r>
      <w:r>
        <w:rPr>
          <w:spacing w:val="-3"/>
        </w:rPr>
        <w:t xml:space="preserve">must </w:t>
      </w:r>
      <w:r>
        <w:rPr>
          <w:spacing w:val="-3"/>
        </w:rPr>
        <w:t xml:space="preserve">complete </w:t>
      </w:r>
      <w:r>
        <w:rPr>
          <w:spacing w:val="-2"/>
        </w:rPr>
        <w:t xml:space="preserve">the </w:t>
      </w:r>
      <w:r>
        <w:rPr>
          <w:spacing w:val="-3"/>
        </w:rPr>
        <w:t xml:space="preserve">statistical information </w:t>
      </w:r>
      <w:r>
        <w:t xml:space="preserve">for </w:t>
      </w:r>
      <w:r>
        <w:rPr>
          <w:spacing w:val="-3"/>
        </w:rPr>
        <w:t>all eight positions.</w:t>
      </w:r>
    </w:p>
    <w:p w:rsidR="006C1E48" w:rsidRDefault="006C1E48">
      <w:pPr>
        <w:pStyle w:val="BodyText"/>
      </w:pPr>
    </w:p>
    <w:p w:rsidR="006C1E48" w:rsidRDefault="00673E06">
      <w:pPr>
        <w:pStyle w:val="Heading2"/>
        <w:numPr>
          <w:ilvl w:val="0"/>
          <w:numId w:val="3"/>
        </w:numPr>
        <w:tabs>
          <w:tab w:val="left" w:pos="473"/>
        </w:tabs>
        <w:spacing w:before="1"/>
        <w:ind w:right="541" w:hanging="360"/>
        <w:rPr>
          <w:color w:val="4F81BC"/>
        </w:rPr>
      </w:pPr>
      <w:bookmarkStart w:id="45" w:name="_bookmark44"/>
      <w:bookmarkEnd w:id="45"/>
      <w:r>
        <w:rPr>
          <w:color w:val="4F81BC"/>
        </w:rPr>
        <w:t>Which Complia</w:t>
      </w:r>
      <w:r>
        <w:rPr>
          <w:color w:val="4F81BC"/>
        </w:rPr>
        <w:t>nce Form Worksheet section does the facility complete to provide the amount of bonuses paid in the rate</w:t>
      </w:r>
      <w:r>
        <w:rPr>
          <w:color w:val="4F81BC"/>
          <w:spacing w:val="-4"/>
        </w:rPr>
        <w:t xml:space="preserve"> </w:t>
      </w:r>
      <w:r>
        <w:rPr>
          <w:color w:val="4F81BC"/>
        </w:rPr>
        <w:t>period?</w:t>
      </w:r>
    </w:p>
    <w:p w:rsidR="006C1E48" w:rsidRDefault="00673E06">
      <w:pPr>
        <w:pStyle w:val="BodyText"/>
        <w:ind w:left="472" w:right="805"/>
      </w:pPr>
      <w:r>
        <w:rPr>
          <w:b/>
          <w:spacing w:val="-3"/>
        </w:rPr>
        <w:t xml:space="preserve">Answer: </w:t>
      </w:r>
      <w:r>
        <w:rPr>
          <w:spacing w:val="-3"/>
        </w:rPr>
        <w:t xml:space="preserve">Facilities that issued bonuses </w:t>
      </w:r>
      <w:r>
        <w:t xml:space="preserve">to meet </w:t>
      </w:r>
      <w:r>
        <w:rPr>
          <w:spacing w:val="-2"/>
        </w:rPr>
        <w:t xml:space="preserve">the </w:t>
      </w:r>
      <w:r>
        <w:rPr>
          <w:spacing w:val="-3"/>
        </w:rPr>
        <w:t xml:space="preserve">Direct Care </w:t>
      </w:r>
      <w:r>
        <w:rPr>
          <w:spacing w:val="-4"/>
        </w:rPr>
        <w:t xml:space="preserve">compliance </w:t>
      </w:r>
      <w:r>
        <w:t xml:space="preserve">test </w:t>
      </w:r>
      <w:r>
        <w:rPr>
          <w:spacing w:val="-3"/>
        </w:rPr>
        <w:t xml:space="preserve">must complete </w:t>
      </w:r>
      <w:r>
        <w:rPr>
          <w:b/>
          <w:spacing w:val="-3"/>
        </w:rPr>
        <w:t xml:space="preserve">Part </w:t>
      </w:r>
      <w:r>
        <w:rPr>
          <w:b/>
        </w:rPr>
        <w:t xml:space="preserve">B </w:t>
      </w:r>
      <w:r>
        <w:t xml:space="preserve">of </w:t>
      </w:r>
      <w:r>
        <w:rPr>
          <w:spacing w:val="-2"/>
        </w:rPr>
        <w:t xml:space="preserve">the </w:t>
      </w:r>
      <w:r>
        <w:rPr>
          <w:spacing w:val="-3"/>
        </w:rPr>
        <w:t xml:space="preserve">Compliance </w:t>
      </w:r>
      <w:r>
        <w:t xml:space="preserve">Form </w:t>
      </w:r>
      <w:r>
        <w:rPr>
          <w:spacing w:val="-3"/>
        </w:rPr>
        <w:t xml:space="preserve">worksheet. </w:t>
      </w:r>
      <w:r>
        <w:t xml:space="preserve">If </w:t>
      </w:r>
      <w:r>
        <w:rPr>
          <w:spacing w:val="-2"/>
        </w:rPr>
        <w:t xml:space="preserve">the </w:t>
      </w:r>
      <w:r>
        <w:rPr>
          <w:spacing w:val="-3"/>
        </w:rPr>
        <w:t xml:space="preserve">facility did </w:t>
      </w:r>
      <w:r>
        <w:t xml:space="preserve">not </w:t>
      </w:r>
      <w:r>
        <w:rPr>
          <w:spacing w:val="-3"/>
        </w:rPr>
        <w:t xml:space="preserve">use </w:t>
      </w:r>
      <w:r>
        <w:t xml:space="preserve">a </w:t>
      </w:r>
      <w:r>
        <w:rPr>
          <w:spacing w:val="-3"/>
        </w:rPr>
        <w:t xml:space="preserve">bonus </w:t>
      </w:r>
      <w:r>
        <w:t xml:space="preserve">for </w:t>
      </w:r>
      <w:r>
        <w:rPr>
          <w:spacing w:val="-3"/>
        </w:rPr>
        <w:t xml:space="preserve">this purpose, </w:t>
      </w:r>
      <w:r>
        <w:t xml:space="preserve">Part B </w:t>
      </w:r>
      <w:r>
        <w:rPr>
          <w:spacing w:val="-3"/>
        </w:rPr>
        <w:t xml:space="preserve">should not </w:t>
      </w:r>
      <w:r>
        <w:t xml:space="preserve">be </w:t>
      </w:r>
      <w:r>
        <w:rPr>
          <w:spacing w:val="-3"/>
        </w:rPr>
        <w:t>completed.</w:t>
      </w:r>
    </w:p>
    <w:sectPr w:rsidR="006C1E48">
      <w:pgSz w:w="12240" w:h="15840"/>
      <w:pgMar w:top="1120" w:right="620" w:bottom="1180" w:left="1040" w:header="0" w:footer="9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E06" w:rsidRDefault="00673E06">
      <w:r>
        <w:separator/>
      </w:r>
    </w:p>
  </w:endnote>
  <w:endnote w:type="continuationSeparator" w:id="0">
    <w:p w:rsidR="00673E06" w:rsidRDefault="0067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D2D" w:rsidRPr="00083D2D" w:rsidRDefault="00083D2D" w:rsidP="00083D2D">
    <w:pPr>
      <w:spacing w:line="223" w:lineRule="exact"/>
      <w:ind w:left="8640" w:hanging="8550"/>
      <w:rPr>
        <w:b/>
        <w:sz w:val="20"/>
      </w:rPr>
    </w:pPr>
    <w:r>
      <w:rPr>
        <w:sz w:val="20"/>
      </w:rPr>
      <w:t>FY18 Direct Care Program FAQ</w:t>
    </w:r>
    <w:r>
      <w:rPr>
        <w:sz w:val="20"/>
      </w:rPr>
      <w:t xml:space="preserve"> </w:t>
    </w:r>
    <w:r>
      <w:rPr>
        <w:sz w:val="20"/>
      </w:rPr>
      <w:tab/>
    </w:r>
    <w:r>
      <w:rPr>
        <w:sz w:val="20"/>
      </w:rPr>
      <w:t xml:space="preserve">p. </w:t>
    </w:r>
    <w:r>
      <w:fldChar w:fldCharType="begin"/>
    </w:r>
    <w:r>
      <w:rPr>
        <w:b/>
        <w:sz w:val="20"/>
      </w:rPr>
      <w:instrText xml:space="preserve"> PAGE </w:instrText>
    </w:r>
    <w:r>
      <w:fldChar w:fldCharType="separate"/>
    </w:r>
    <w:r w:rsidR="00673E06">
      <w:rPr>
        <w:b/>
        <w:noProof/>
        <w:sz w:val="20"/>
      </w:rPr>
      <w:t>1</w:t>
    </w:r>
    <w:r>
      <w:fldChar w:fldCharType="end"/>
    </w:r>
    <w:r>
      <w:rPr>
        <w:b/>
        <w:sz w:val="20"/>
      </w:rPr>
      <w:t xml:space="preserve"> </w:t>
    </w:r>
    <w:r>
      <w:rPr>
        <w:sz w:val="20"/>
      </w:rPr>
      <w:t xml:space="preserve">of </w:t>
    </w:r>
    <w:r>
      <w:rPr>
        <w:b/>
        <w:sz w:val="20"/>
      </w:rPr>
      <w:t>11</w:t>
    </w:r>
  </w:p>
  <w:p w:rsidR="006C1E48" w:rsidRDefault="006C1E48" w:rsidP="00083D2D">
    <w:pPr>
      <w:pStyle w:val="BodyText"/>
      <w:spacing w:line="14" w:lineRule="auto"/>
      <w:ind w:left="8640" w:hanging="8550"/>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E06" w:rsidRDefault="00673E06">
      <w:r>
        <w:separator/>
      </w:r>
    </w:p>
  </w:footnote>
  <w:footnote w:type="continuationSeparator" w:id="0">
    <w:p w:rsidR="00673E06" w:rsidRDefault="00673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001C"/>
    <w:multiLevelType w:val="hybridMultilevel"/>
    <w:tmpl w:val="C882A420"/>
    <w:lvl w:ilvl="0" w:tplc="DF8223F4">
      <w:start w:val="1"/>
      <w:numFmt w:val="decimal"/>
      <w:lvlText w:val="%1."/>
      <w:lvlJc w:val="left"/>
      <w:pPr>
        <w:ind w:left="472" w:hanging="361"/>
        <w:jc w:val="left"/>
      </w:pPr>
      <w:rPr>
        <w:rFonts w:hint="default"/>
        <w:b/>
        <w:bCs/>
        <w:w w:val="100"/>
        <w:lang w:val="en-US" w:eastAsia="en-US" w:bidi="en-US"/>
      </w:rPr>
    </w:lvl>
    <w:lvl w:ilvl="1" w:tplc="CE70537A">
      <w:numFmt w:val="bullet"/>
      <w:lvlText w:val=""/>
      <w:lvlJc w:val="left"/>
      <w:pPr>
        <w:ind w:left="1192" w:hanging="360"/>
      </w:pPr>
      <w:rPr>
        <w:rFonts w:ascii="Symbol" w:eastAsia="Symbol" w:hAnsi="Symbol" w:cs="Symbol" w:hint="default"/>
        <w:w w:val="100"/>
        <w:sz w:val="22"/>
        <w:szCs w:val="22"/>
        <w:lang w:val="en-US" w:eastAsia="en-US" w:bidi="en-US"/>
      </w:rPr>
    </w:lvl>
    <w:lvl w:ilvl="2" w:tplc="EEDAE4E6">
      <w:numFmt w:val="bullet"/>
      <w:lvlText w:val="•"/>
      <w:lvlJc w:val="left"/>
      <w:pPr>
        <w:ind w:left="2242" w:hanging="360"/>
      </w:pPr>
      <w:rPr>
        <w:rFonts w:hint="default"/>
        <w:lang w:val="en-US" w:eastAsia="en-US" w:bidi="en-US"/>
      </w:rPr>
    </w:lvl>
    <w:lvl w:ilvl="3" w:tplc="F85C9648">
      <w:numFmt w:val="bullet"/>
      <w:lvlText w:val="•"/>
      <w:lvlJc w:val="left"/>
      <w:pPr>
        <w:ind w:left="3284" w:hanging="360"/>
      </w:pPr>
      <w:rPr>
        <w:rFonts w:hint="default"/>
        <w:lang w:val="en-US" w:eastAsia="en-US" w:bidi="en-US"/>
      </w:rPr>
    </w:lvl>
    <w:lvl w:ilvl="4" w:tplc="F0769CC0">
      <w:numFmt w:val="bullet"/>
      <w:lvlText w:val="•"/>
      <w:lvlJc w:val="left"/>
      <w:pPr>
        <w:ind w:left="4326" w:hanging="360"/>
      </w:pPr>
      <w:rPr>
        <w:rFonts w:hint="default"/>
        <w:lang w:val="en-US" w:eastAsia="en-US" w:bidi="en-US"/>
      </w:rPr>
    </w:lvl>
    <w:lvl w:ilvl="5" w:tplc="17C410A8">
      <w:numFmt w:val="bullet"/>
      <w:lvlText w:val="•"/>
      <w:lvlJc w:val="left"/>
      <w:pPr>
        <w:ind w:left="5368" w:hanging="360"/>
      </w:pPr>
      <w:rPr>
        <w:rFonts w:hint="default"/>
        <w:lang w:val="en-US" w:eastAsia="en-US" w:bidi="en-US"/>
      </w:rPr>
    </w:lvl>
    <w:lvl w:ilvl="6" w:tplc="467A2296">
      <w:numFmt w:val="bullet"/>
      <w:lvlText w:val="•"/>
      <w:lvlJc w:val="left"/>
      <w:pPr>
        <w:ind w:left="6411" w:hanging="360"/>
      </w:pPr>
      <w:rPr>
        <w:rFonts w:hint="default"/>
        <w:lang w:val="en-US" w:eastAsia="en-US" w:bidi="en-US"/>
      </w:rPr>
    </w:lvl>
    <w:lvl w:ilvl="7" w:tplc="4A446DA0">
      <w:numFmt w:val="bullet"/>
      <w:lvlText w:val="•"/>
      <w:lvlJc w:val="left"/>
      <w:pPr>
        <w:ind w:left="7453" w:hanging="360"/>
      </w:pPr>
      <w:rPr>
        <w:rFonts w:hint="default"/>
        <w:lang w:val="en-US" w:eastAsia="en-US" w:bidi="en-US"/>
      </w:rPr>
    </w:lvl>
    <w:lvl w:ilvl="8" w:tplc="FCD4E404">
      <w:numFmt w:val="bullet"/>
      <w:lvlText w:val="•"/>
      <w:lvlJc w:val="left"/>
      <w:pPr>
        <w:ind w:left="8495" w:hanging="360"/>
      </w:pPr>
      <w:rPr>
        <w:rFonts w:hint="default"/>
        <w:lang w:val="en-US" w:eastAsia="en-US" w:bidi="en-US"/>
      </w:rPr>
    </w:lvl>
  </w:abstractNum>
  <w:abstractNum w:abstractNumId="1">
    <w:nsid w:val="17BD66A0"/>
    <w:multiLevelType w:val="hybridMultilevel"/>
    <w:tmpl w:val="8E8C18CA"/>
    <w:lvl w:ilvl="0" w:tplc="44B2C8AE">
      <w:start w:val="1"/>
      <w:numFmt w:val="decimal"/>
      <w:lvlText w:val="%1."/>
      <w:lvlJc w:val="left"/>
      <w:pPr>
        <w:ind w:left="993" w:hanging="660"/>
        <w:jc w:val="left"/>
      </w:pPr>
      <w:rPr>
        <w:rFonts w:hint="default"/>
        <w:w w:val="100"/>
        <w:lang w:val="en-US" w:eastAsia="en-US" w:bidi="en-US"/>
      </w:rPr>
    </w:lvl>
    <w:lvl w:ilvl="1" w:tplc="5100BC20">
      <w:numFmt w:val="bullet"/>
      <w:lvlText w:val="•"/>
      <w:lvlJc w:val="left"/>
      <w:pPr>
        <w:ind w:left="1958" w:hanging="660"/>
      </w:pPr>
      <w:rPr>
        <w:rFonts w:hint="default"/>
        <w:lang w:val="en-US" w:eastAsia="en-US" w:bidi="en-US"/>
      </w:rPr>
    </w:lvl>
    <w:lvl w:ilvl="2" w:tplc="9566D110">
      <w:numFmt w:val="bullet"/>
      <w:lvlText w:val="•"/>
      <w:lvlJc w:val="left"/>
      <w:pPr>
        <w:ind w:left="2916" w:hanging="660"/>
      </w:pPr>
      <w:rPr>
        <w:rFonts w:hint="default"/>
        <w:lang w:val="en-US" w:eastAsia="en-US" w:bidi="en-US"/>
      </w:rPr>
    </w:lvl>
    <w:lvl w:ilvl="3" w:tplc="CAA0EABE">
      <w:numFmt w:val="bullet"/>
      <w:lvlText w:val="•"/>
      <w:lvlJc w:val="left"/>
      <w:pPr>
        <w:ind w:left="3874" w:hanging="660"/>
      </w:pPr>
      <w:rPr>
        <w:rFonts w:hint="default"/>
        <w:lang w:val="en-US" w:eastAsia="en-US" w:bidi="en-US"/>
      </w:rPr>
    </w:lvl>
    <w:lvl w:ilvl="4" w:tplc="2FB47B24">
      <w:numFmt w:val="bullet"/>
      <w:lvlText w:val="•"/>
      <w:lvlJc w:val="left"/>
      <w:pPr>
        <w:ind w:left="4832" w:hanging="660"/>
      </w:pPr>
      <w:rPr>
        <w:rFonts w:hint="default"/>
        <w:lang w:val="en-US" w:eastAsia="en-US" w:bidi="en-US"/>
      </w:rPr>
    </w:lvl>
    <w:lvl w:ilvl="5" w:tplc="8E40BAC4">
      <w:numFmt w:val="bullet"/>
      <w:lvlText w:val="•"/>
      <w:lvlJc w:val="left"/>
      <w:pPr>
        <w:ind w:left="5790" w:hanging="660"/>
      </w:pPr>
      <w:rPr>
        <w:rFonts w:hint="default"/>
        <w:lang w:val="en-US" w:eastAsia="en-US" w:bidi="en-US"/>
      </w:rPr>
    </w:lvl>
    <w:lvl w:ilvl="6" w:tplc="6E3438B0">
      <w:numFmt w:val="bullet"/>
      <w:lvlText w:val="•"/>
      <w:lvlJc w:val="left"/>
      <w:pPr>
        <w:ind w:left="6748" w:hanging="660"/>
      </w:pPr>
      <w:rPr>
        <w:rFonts w:hint="default"/>
        <w:lang w:val="en-US" w:eastAsia="en-US" w:bidi="en-US"/>
      </w:rPr>
    </w:lvl>
    <w:lvl w:ilvl="7" w:tplc="0914BC56">
      <w:numFmt w:val="bullet"/>
      <w:lvlText w:val="•"/>
      <w:lvlJc w:val="left"/>
      <w:pPr>
        <w:ind w:left="7706" w:hanging="660"/>
      </w:pPr>
      <w:rPr>
        <w:rFonts w:hint="default"/>
        <w:lang w:val="en-US" w:eastAsia="en-US" w:bidi="en-US"/>
      </w:rPr>
    </w:lvl>
    <w:lvl w:ilvl="8" w:tplc="A552D9EC">
      <w:numFmt w:val="bullet"/>
      <w:lvlText w:val="•"/>
      <w:lvlJc w:val="left"/>
      <w:pPr>
        <w:ind w:left="8664" w:hanging="660"/>
      </w:pPr>
      <w:rPr>
        <w:rFonts w:hint="default"/>
        <w:lang w:val="en-US" w:eastAsia="en-US" w:bidi="en-US"/>
      </w:rPr>
    </w:lvl>
  </w:abstractNum>
  <w:abstractNum w:abstractNumId="2">
    <w:nsid w:val="230E1363"/>
    <w:multiLevelType w:val="hybridMultilevel"/>
    <w:tmpl w:val="F340799C"/>
    <w:lvl w:ilvl="0" w:tplc="CE9CC1D8">
      <w:numFmt w:val="bullet"/>
      <w:lvlText w:val="•"/>
      <w:lvlJc w:val="left"/>
      <w:pPr>
        <w:ind w:left="1590" w:hanging="759"/>
      </w:pPr>
      <w:rPr>
        <w:rFonts w:ascii="Calibri" w:eastAsia="Calibri" w:hAnsi="Calibri" w:cs="Calibri" w:hint="default"/>
        <w:i/>
        <w:w w:val="100"/>
        <w:sz w:val="22"/>
        <w:szCs w:val="22"/>
        <w:lang w:val="en-US" w:eastAsia="en-US" w:bidi="en-US"/>
      </w:rPr>
    </w:lvl>
    <w:lvl w:ilvl="1" w:tplc="292E477A">
      <w:numFmt w:val="bullet"/>
      <w:lvlText w:val="•"/>
      <w:lvlJc w:val="left"/>
      <w:pPr>
        <w:ind w:left="2498" w:hanging="759"/>
      </w:pPr>
      <w:rPr>
        <w:rFonts w:hint="default"/>
        <w:lang w:val="en-US" w:eastAsia="en-US" w:bidi="en-US"/>
      </w:rPr>
    </w:lvl>
    <w:lvl w:ilvl="2" w:tplc="70BA294A">
      <w:numFmt w:val="bullet"/>
      <w:lvlText w:val="•"/>
      <w:lvlJc w:val="left"/>
      <w:pPr>
        <w:ind w:left="3396" w:hanging="759"/>
      </w:pPr>
      <w:rPr>
        <w:rFonts w:hint="default"/>
        <w:lang w:val="en-US" w:eastAsia="en-US" w:bidi="en-US"/>
      </w:rPr>
    </w:lvl>
    <w:lvl w:ilvl="3" w:tplc="89645F66">
      <w:numFmt w:val="bullet"/>
      <w:lvlText w:val="•"/>
      <w:lvlJc w:val="left"/>
      <w:pPr>
        <w:ind w:left="4294" w:hanging="759"/>
      </w:pPr>
      <w:rPr>
        <w:rFonts w:hint="default"/>
        <w:lang w:val="en-US" w:eastAsia="en-US" w:bidi="en-US"/>
      </w:rPr>
    </w:lvl>
    <w:lvl w:ilvl="4" w:tplc="42788B3C">
      <w:numFmt w:val="bullet"/>
      <w:lvlText w:val="•"/>
      <w:lvlJc w:val="left"/>
      <w:pPr>
        <w:ind w:left="5192" w:hanging="759"/>
      </w:pPr>
      <w:rPr>
        <w:rFonts w:hint="default"/>
        <w:lang w:val="en-US" w:eastAsia="en-US" w:bidi="en-US"/>
      </w:rPr>
    </w:lvl>
    <w:lvl w:ilvl="5" w:tplc="F1D05834">
      <w:numFmt w:val="bullet"/>
      <w:lvlText w:val="•"/>
      <w:lvlJc w:val="left"/>
      <w:pPr>
        <w:ind w:left="6090" w:hanging="759"/>
      </w:pPr>
      <w:rPr>
        <w:rFonts w:hint="default"/>
        <w:lang w:val="en-US" w:eastAsia="en-US" w:bidi="en-US"/>
      </w:rPr>
    </w:lvl>
    <w:lvl w:ilvl="6" w:tplc="5C98B810">
      <w:numFmt w:val="bullet"/>
      <w:lvlText w:val="•"/>
      <w:lvlJc w:val="left"/>
      <w:pPr>
        <w:ind w:left="6988" w:hanging="759"/>
      </w:pPr>
      <w:rPr>
        <w:rFonts w:hint="default"/>
        <w:lang w:val="en-US" w:eastAsia="en-US" w:bidi="en-US"/>
      </w:rPr>
    </w:lvl>
    <w:lvl w:ilvl="7" w:tplc="DD8E5120">
      <w:numFmt w:val="bullet"/>
      <w:lvlText w:val="•"/>
      <w:lvlJc w:val="left"/>
      <w:pPr>
        <w:ind w:left="7886" w:hanging="759"/>
      </w:pPr>
      <w:rPr>
        <w:rFonts w:hint="default"/>
        <w:lang w:val="en-US" w:eastAsia="en-US" w:bidi="en-US"/>
      </w:rPr>
    </w:lvl>
    <w:lvl w:ilvl="8" w:tplc="9BFA755A">
      <w:numFmt w:val="bullet"/>
      <w:lvlText w:val="•"/>
      <w:lvlJc w:val="left"/>
      <w:pPr>
        <w:ind w:left="8784" w:hanging="759"/>
      </w:pPr>
      <w:rPr>
        <w:rFonts w:hint="default"/>
        <w:lang w:val="en-US" w:eastAsia="en-US" w:bidi="en-US"/>
      </w:rPr>
    </w:lvl>
  </w:abstractNum>
  <w:abstractNum w:abstractNumId="3">
    <w:nsid w:val="33754520"/>
    <w:multiLevelType w:val="hybridMultilevel"/>
    <w:tmpl w:val="275C3E4C"/>
    <w:lvl w:ilvl="0" w:tplc="59D484C4">
      <w:numFmt w:val="bullet"/>
      <w:lvlText w:val="o"/>
      <w:lvlJc w:val="left"/>
      <w:pPr>
        <w:ind w:left="1192" w:hanging="360"/>
      </w:pPr>
      <w:rPr>
        <w:rFonts w:ascii="Courier New" w:eastAsia="Courier New" w:hAnsi="Courier New" w:cs="Courier New" w:hint="default"/>
        <w:w w:val="100"/>
        <w:sz w:val="22"/>
        <w:szCs w:val="22"/>
        <w:lang w:val="en-US" w:eastAsia="en-US" w:bidi="en-US"/>
      </w:rPr>
    </w:lvl>
    <w:lvl w:ilvl="1" w:tplc="C2C818F2">
      <w:numFmt w:val="bullet"/>
      <w:lvlText w:val="•"/>
      <w:lvlJc w:val="left"/>
      <w:pPr>
        <w:ind w:left="2138" w:hanging="360"/>
      </w:pPr>
      <w:rPr>
        <w:rFonts w:hint="default"/>
        <w:lang w:val="en-US" w:eastAsia="en-US" w:bidi="en-US"/>
      </w:rPr>
    </w:lvl>
    <w:lvl w:ilvl="2" w:tplc="67127A1E">
      <w:numFmt w:val="bullet"/>
      <w:lvlText w:val="•"/>
      <w:lvlJc w:val="left"/>
      <w:pPr>
        <w:ind w:left="3076" w:hanging="360"/>
      </w:pPr>
      <w:rPr>
        <w:rFonts w:hint="default"/>
        <w:lang w:val="en-US" w:eastAsia="en-US" w:bidi="en-US"/>
      </w:rPr>
    </w:lvl>
    <w:lvl w:ilvl="3" w:tplc="54B8706E">
      <w:numFmt w:val="bullet"/>
      <w:lvlText w:val="•"/>
      <w:lvlJc w:val="left"/>
      <w:pPr>
        <w:ind w:left="4014" w:hanging="360"/>
      </w:pPr>
      <w:rPr>
        <w:rFonts w:hint="default"/>
        <w:lang w:val="en-US" w:eastAsia="en-US" w:bidi="en-US"/>
      </w:rPr>
    </w:lvl>
    <w:lvl w:ilvl="4" w:tplc="A446BCB8">
      <w:numFmt w:val="bullet"/>
      <w:lvlText w:val="•"/>
      <w:lvlJc w:val="left"/>
      <w:pPr>
        <w:ind w:left="4952" w:hanging="360"/>
      </w:pPr>
      <w:rPr>
        <w:rFonts w:hint="default"/>
        <w:lang w:val="en-US" w:eastAsia="en-US" w:bidi="en-US"/>
      </w:rPr>
    </w:lvl>
    <w:lvl w:ilvl="5" w:tplc="6E6A71FC">
      <w:numFmt w:val="bullet"/>
      <w:lvlText w:val="•"/>
      <w:lvlJc w:val="left"/>
      <w:pPr>
        <w:ind w:left="5890" w:hanging="360"/>
      </w:pPr>
      <w:rPr>
        <w:rFonts w:hint="default"/>
        <w:lang w:val="en-US" w:eastAsia="en-US" w:bidi="en-US"/>
      </w:rPr>
    </w:lvl>
    <w:lvl w:ilvl="6" w:tplc="5596BBE8">
      <w:numFmt w:val="bullet"/>
      <w:lvlText w:val="•"/>
      <w:lvlJc w:val="left"/>
      <w:pPr>
        <w:ind w:left="6828" w:hanging="360"/>
      </w:pPr>
      <w:rPr>
        <w:rFonts w:hint="default"/>
        <w:lang w:val="en-US" w:eastAsia="en-US" w:bidi="en-US"/>
      </w:rPr>
    </w:lvl>
    <w:lvl w:ilvl="7" w:tplc="6C207B90">
      <w:numFmt w:val="bullet"/>
      <w:lvlText w:val="•"/>
      <w:lvlJc w:val="left"/>
      <w:pPr>
        <w:ind w:left="7766" w:hanging="360"/>
      </w:pPr>
      <w:rPr>
        <w:rFonts w:hint="default"/>
        <w:lang w:val="en-US" w:eastAsia="en-US" w:bidi="en-US"/>
      </w:rPr>
    </w:lvl>
    <w:lvl w:ilvl="8" w:tplc="C1883036">
      <w:numFmt w:val="bullet"/>
      <w:lvlText w:val="•"/>
      <w:lvlJc w:val="left"/>
      <w:pPr>
        <w:ind w:left="8704" w:hanging="360"/>
      </w:pPr>
      <w:rPr>
        <w:rFonts w:hint="default"/>
        <w:lang w:val="en-US" w:eastAsia="en-US" w:bidi="en-U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48"/>
    <w:rsid w:val="00083D2D"/>
    <w:rsid w:val="00673E06"/>
    <w:rsid w:val="006C1E48"/>
    <w:rsid w:val="00D4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2"/>
      <w:outlineLvl w:val="0"/>
    </w:pPr>
    <w:rPr>
      <w:rFonts w:ascii="Cambria" w:eastAsia="Cambria" w:hAnsi="Cambria" w:cs="Cambria"/>
      <w:b/>
      <w:bCs/>
      <w:sz w:val="28"/>
      <w:szCs w:val="28"/>
    </w:rPr>
  </w:style>
  <w:style w:type="paragraph" w:styleId="Heading2">
    <w:name w:val="heading 2"/>
    <w:basedOn w:val="Normal"/>
    <w:uiPriority w:val="1"/>
    <w:qFormat/>
    <w:pPr>
      <w:ind w:left="472" w:hanging="360"/>
      <w:outlineLvl w:val="1"/>
    </w:pPr>
    <w:rPr>
      <w:b/>
      <w:bCs/>
    </w:rPr>
  </w:style>
  <w:style w:type="paragraph" w:styleId="Heading3">
    <w:name w:val="heading 3"/>
    <w:basedOn w:val="Normal"/>
    <w:uiPriority w:val="1"/>
    <w:qFormat/>
    <w:pPr>
      <w:spacing w:before="207"/>
      <w:ind w:left="472" w:right="1458"/>
      <w:outlineLvl w:val="2"/>
    </w:pPr>
    <w:rPr>
      <w:b/>
      <w:bCs/>
      <w:i/>
    </w:rPr>
  </w:style>
  <w:style w:type="paragraph" w:styleId="Heading4">
    <w:name w:val="heading 4"/>
    <w:basedOn w:val="Normal"/>
    <w:uiPriority w:val="1"/>
    <w:qFormat/>
    <w:pPr>
      <w:ind w:left="472" w:right="80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12"/>
    </w:pPr>
    <w:rPr>
      <w:b/>
      <w:bCs/>
    </w:rPr>
  </w:style>
  <w:style w:type="paragraph" w:styleId="TOC2">
    <w:name w:val="toc 2"/>
    <w:basedOn w:val="Normal"/>
    <w:uiPriority w:val="1"/>
    <w:qFormat/>
    <w:pPr>
      <w:spacing w:before="139"/>
      <w:ind w:left="993" w:hanging="660"/>
    </w:pPr>
  </w:style>
  <w:style w:type="paragraph" w:styleId="BodyText">
    <w:name w:val="Body Text"/>
    <w:basedOn w:val="Normal"/>
    <w:uiPriority w:val="1"/>
    <w:qFormat/>
    <w:rPr>
      <w:i/>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pPr>
      <w:spacing w:line="224" w:lineRule="exact"/>
    </w:pPr>
  </w:style>
  <w:style w:type="paragraph" w:styleId="BalloonText">
    <w:name w:val="Balloon Text"/>
    <w:basedOn w:val="Normal"/>
    <w:link w:val="BalloonTextChar"/>
    <w:uiPriority w:val="99"/>
    <w:semiHidden/>
    <w:unhideWhenUsed/>
    <w:rsid w:val="00083D2D"/>
    <w:rPr>
      <w:rFonts w:ascii="Tahoma" w:hAnsi="Tahoma" w:cs="Tahoma"/>
      <w:sz w:val="16"/>
      <w:szCs w:val="16"/>
    </w:rPr>
  </w:style>
  <w:style w:type="character" w:customStyle="1" w:styleId="BalloonTextChar">
    <w:name w:val="Balloon Text Char"/>
    <w:basedOn w:val="DefaultParagraphFont"/>
    <w:link w:val="BalloonText"/>
    <w:uiPriority w:val="99"/>
    <w:semiHidden/>
    <w:rsid w:val="00083D2D"/>
    <w:rPr>
      <w:rFonts w:ascii="Tahoma" w:eastAsia="Calibri" w:hAnsi="Tahoma" w:cs="Tahoma"/>
      <w:sz w:val="16"/>
      <w:szCs w:val="16"/>
      <w:lang w:bidi="en-US"/>
    </w:rPr>
  </w:style>
  <w:style w:type="paragraph" w:styleId="Header">
    <w:name w:val="header"/>
    <w:basedOn w:val="Normal"/>
    <w:link w:val="HeaderChar"/>
    <w:uiPriority w:val="99"/>
    <w:unhideWhenUsed/>
    <w:rsid w:val="00083D2D"/>
    <w:pPr>
      <w:tabs>
        <w:tab w:val="center" w:pos="4680"/>
        <w:tab w:val="right" w:pos="9360"/>
      </w:tabs>
    </w:pPr>
  </w:style>
  <w:style w:type="character" w:customStyle="1" w:styleId="HeaderChar">
    <w:name w:val="Header Char"/>
    <w:basedOn w:val="DefaultParagraphFont"/>
    <w:link w:val="Header"/>
    <w:uiPriority w:val="99"/>
    <w:rsid w:val="00083D2D"/>
    <w:rPr>
      <w:rFonts w:ascii="Calibri" w:eastAsia="Calibri" w:hAnsi="Calibri" w:cs="Calibri"/>
      <w:lang w:bidi="en-US"/>
    </w:rPr>
  </w:style>
  <w:style w:type="paragraph" w:styleId="Footer">
    <w:name w:val="footer"/>
    <w:basedOn w:val="Normal"/>
    <w:link w:val="FooterChar"/>
    <w:uiPriority w:val="99"/>
    <w:unhideWhenUsed/>
    <w:rsid w:val="00083D2D"/>
    <w:pPr>
      <w:tabs>
        <w:tab w:val="center" w:pos="4680"/>
        <w:tab w:val="right" w:pos="9360"/>
      </w:tabs>
    </w:pPr>
  </w:style>
  <w:style w:type="character" w:customStyle="1" w:styleId="FooterChar">
    <w:name w:val="Footer Char"/>
    <w:basedOn w:val="DefaultParagraphFont"/>
    <w:link w:val="Footer"/>
    <w:uiPriority w:val="99"/>
    <w:rsid w:val="00083D2D"/>
    <w:rPr>
      <w:rFonts w:ascii="Calibri" w:eastAsia="Calibri" w:hAnsi="Calibri" w:cs="Calibri"/>
      <w:lang w:bidi="en-US"/>
    </w:rPr>
  </w:style>
  <w:style w:type="table" w:styleId="TableGrid">
    <w:name w:val="Table Grid"/>
    <w:basedOn w:val="TableNormal"/>
    <w:uiPriority w:val="59"/>
    <w:rsid w:val="0008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2"/>
      <w:outlineLvl w:val="0"/>
    </w:pPr>
    <w:rPr>
      <w:rFonts w:ascii="Cambria" w:eastAsia="Cambria" w:hAnsi="Cambria" w:cs="Cambria"/>
      <w:b/>
      <w:bCs/>
      <w:sz w:val="28"/>
      <w:szCs w:val="28"/>
    </w:rPr>
  </w:style>
  <w:style w:type="paragraph" w:styleId="Heading2">
    <w:name w:val="heading 2"/>
    <w:basedOn w:val="Normal"/>
    <w:uiPriority w:val="1"/>
    <w:qFormat/>
    <w:pPr>
      <w:ind w:left="472" w:hanging="360"/>
      <w:outlineLvl w:val="1"/>
    </w:pPr>
    <w:rPr>
      <w:b/>
      <w:bCs/>
    </w:rPr>
  </w:style>
  <w:style w:type="paragraph" w:styleId="Heading3">
    <w:name w:val="heading 3"/>
    <w:basedOn w:val="Normal"/>
    <w:uiPriority w:val="1"/>
    <w:qFormat/>
    <w:pPr>
      <w:spacing w:before="207"/>
      <w:ind w:left="472" w:right="1458"/>
      <w:outlineLvl w:val="2"/>
    </w:pPr>
    <w:rPr>
      <w:b/>
      <w:bCs/>
      <w:i/>
    </w:rPr>
  </w:style>
  <w:style w:type="paragraph" w:styleId="Heading4">
    <w:name w:val="heading 4"/>
    <w:basedOn w:val="Normal"/>
    <w:uiPriority w:val="1"/>
    <w:qFormat/>
    <w:pPr>
      <w:ind w:left="472" w:right="80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12"/>
    </w:pPr>
    <w:rPr>
      <w:b/>
      <w:bCs/>
    </w:rPr>
  </w:style>
  <w:style w:type="paragraph" w:styleId="TOC2">
    <w:name w:val="toc 2"/>
    <w:basedOn w:val="Normal"/>
    <w:uiPriority w:val="1"/>
    <w:qFormat/>
    <w:pPr>
      <w:spacing w:before="139"/>
      <w:ind w:left="993" w:hanging="660"/>
    </w:pPr>
  </w:style>
  <w:style w:type="paragraph" w:styleId="BodyText">
    <w:name w:val="Body Text"/>
    <w:basedOn w:val="Normal"/>
    <w:uiPriority w:val="1"/>
    <w:qFormat/>
    <w:rPr>
      <w:i/>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pPr>
      <w:spacing w:line="224" w:lineRule="exact"/>
    </w:pPr>
  </w:style>
  <w:style w:type="paragraph" w:styleId="BalloonText">
    <w:name w:val="Balloon Text"/>
    <w:basedOn w:val="Normal"/>
    <w:link w:val="BalloonTextChar"/>
    <w:uiPriority w:val="99"/>
    <w:semiHidden/>
    <w:unhideWhenUsed/>
    <w:rsid w:val="00083D2D"/>
    <w:rPr>
      <w:rFonts w:ascii="Tahoma" w:hAnsi="Tahoma" w:cs="Tahoma"/>
      <w:sz w:val="16"/>
      <w:szCs w:val="16"/>
    </w:rPr>
  </w:style>
  <w:style w:type="character" w:customStyle="1" w:styleId="BalloonTextChar">
    <w:name w:val="Balloon Text Char"/>
    <w:basedOn w:val="DefaultParagraphFont"/>
    <w:link w:val="BalloonText"/>
    <w:uiPriority w:val="99"/>
    <w:semiHidden/>
    <w:rsid w:val="00083D2D"/>
    <w:rPr>
      <w:rFonts w:ascii="Tahoma" w:eastAsia="Calibri" w:hAnsi="Tahoma" w:cs="Tahoma"/>
      <w:sz w:val="16"/>
      <w:szCs w:val="16"/>
      <w:lang w:bidi="en-US"/>
    </w:rPr>
  </w:style>
  <w:style w:type="paragraph" w:styleId="Header">
    <w:name w:val="header"/>
    <w:basedOn w:val="Normal"/>
    <w:link w:val="HeaderChar"/>
    <w:uiPriority w:val="99"/>
    <w:unhideWhenUsed/>
    <w:rsid w:val="00083D2D"/>
    <w:pPr>
      <w:tabs>
        <w:tab w:val="center" w:pos="4680"/>
        <w:tab w:val="right" w:pos="9360"/>
      </w:tabs>
    </w:pPr>
  </w:style>
  <w:style w:type="character" w:customStyle="1" w:styleId="HeaderChar">
    <w:name w:val="Header Char"/>
    <w:basedOn w:val="DefaultParagraphFont"/>
    <w:link w:val="Header"/>
    <w:uiPriority w:val="99"/>
    <w:rsid w:val="00083D2D"/>
    <w:rPr>
      <w:rFonts w:ascii="Calibri" w:eastAsia="Calibri" w:hAnsi="Calibri" w:cs="Calibri"/>
      <w:lang w:bidi="en-US"/>
    </w:rPr>
  </w:style>
  <w:style w:type="paragraph" w:styleId="Footer">
    <w:name w:val="footer"/>
    <w:basedOn w:val="Normal"/>
    <w:link w:val="FooterChar"/>
    <w:uiPriority w:val="99"/>
    <w:unhideWhenUsed/>
    <w:rsid w:val="00083D2D"/>
    <w:pPr>
      <w:tabs>
        <w:tab w:val="center" w:pos="4680"/>
        <w:tab w:val="right" w:pos="9360"/>
      </w:tabs>
    </w:pPr>
  </w:style>
  <w:style w:type="character" w:customStyle="1" w:styleId="FooterChar">
    <w:name w:val="Footer Char"/>
    <w:basedOn w:val="DefaultParagraphFont"/>
    <w:link w:val="Footer"/>
    <w:uiPriority w:val="99"/>
    <w:rsid w:val="00083D2D"/>
    <w:rPr>
      <w:rFonts w:ascii="Calibri" w:eastAsia="Calibri" w:hAnsi="Calibri" w:cs="Calibri"/>
      <w:lang w:bidi="en-US"/>
    </w:rPr>
  </w:style>
  <w:style w:type="table" w:styleId="TableGrid">
    <w:name w:val="Table Grid"/>
    <w:basedOn w:val="TableNormal"/>
    <w:uiPriority w:val="59"/>
    <w:rsid w:val="0008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enter.org/NF/" TargetMode="External"/><Relationship Id="rId18" Type="http://schemas.openxmlformats.org/officeDocument/2006/relationships/hyperlink" Target="mailto:Ssmith@ABC.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NFDirectCare@umassmed.edu" TargetMode="External"/><Relationship Id="rId7" Type="http://schemas.openxmlformats.org/officeDocument/2006/relationships/endnotes" Target="endnotes.xml"/><Relationship Id="rId12" Type="http://schemas.openxmlformats.org/officeDocument/2006/relationships/hyperlink" Target="http://www.mass.gov/files/documents/2018/04/02/direct-care-lump-sum-payments-101-cmr-206.pdf" TargetMode="External"/><Relationship Id="rId17" Type="http://schemas.openxmlformats.org/officeDocument/2006/relationships/hyperlink" Target="mailto:JJones@ABC.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FDirectCare@umassmed.edu" TargetMode="External"/><Relationship Id="rId20" Type="http://schemas.openxmlformats.org/officeDocument/2006/relationships/hyperlink" Target="http://www.mass.gov/eohhs/gov/laws-regs/masshealth/provider-library/masshealth-provider-form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FDirectCAre@umassmed.edu" TargetMode="External"/><Relationship Id="rId24" Type="http://schemas.openxmlformats.org/officeDocument/2006/relationships/hyperlink" Target="mailto:NFDirectCare@umassmed.edu" TargetMode="External"/><Relationship Id="rId5" Type="http://schemas.openxmlformats.org/officeDocument/2006/relationships/webSettings" Target="webSettings.xml"/><Relationship Id="rId15" Type="http://schemas.openxmlformats.org/officeDocument/2006/relationships/hyperlink" Target="http://www.mass.gov/eohhs/gov/laws-regs/masshealth/provider-library/masshealth-provider-forms.html" TargetMode="External"/><Relationship Id="rId23" Type="http://schemas.openxmlformats.org/officeDocument/2006/relationships/hyperlink" Target="mailto:NFDirectCare@umassmed.edu" TargetMode="External"/><Relationship Id="rId10" Type="http://schemas.openxmlformats.org/officeDocument/2006/relationships/hyperlink" Target="mailto:NFDirectCare@umassmed.edu" TargetMode="External"/><Relationship Id="rId19" Type="http://schemas.openxmlformats.org/officeDocument/2006/relationships/hyperlink" Target="mailto:NFDirectCare@umassmed.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ss.gov/eohhs/gov/laws-regs/masshealth/provider-library/masshealth-provider-forms.html" TargetMode="External"/><Relationship Id="rId22" Type="http://schemas.openxmlformats.org/officeDocument/2006/relationships/hyperlink" Target="http://www.mass.gov/files/documents/2018/01/24/ab-18-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4145</Words>
  <Characters>23629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Administrator</cp:lastModifiedBy>
  <cp:revision>3</cp:revision>
  <dcterms:created xsi:type="dcterms:W3CDTF">2019-04-03T14:43:00Z</dcterms:created>
  <dcterms:modified xsi:type="dcterms:W3CDTF">2019-04-03T14:51:00Z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2018-07-05T00:00:00Z</vt:filetime>
  </property>
  <property fmtid="{D5CDD505-2E9C-101B-9397-08002B2CF9AE}" pid="3" name="Creator">
    <vt:lpwstr>Microsoft® Word 2010</vt:lpwstr>
  </property>
  <property fmtid="{D5CDD505-2E9C-101B-9397-08002B2CF9AE}" pid="4" name="LastSaved">
    <vt:filetime>2019-04-03T00:00:00Z</vt:filetime>
  </property>
</Properties>
</file>