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11"/>
        </w:rPr>
      </w:pPr>
    </w:p>
    <w:p>
      <w:pPr>
        <w:spacing w:after="0"/>
        <w:rPr>
          <w:rFonts w:ascii="Times New Roman"/>
          <w:sz w:val="11"/>
        </w:rPr>
        <w:sectPr>
          <w:type w:val="continuous"/>
          <w:pgSz w:w="12240" w:h="15840"/>
          <w:pgMar w:top="1220" w:bottom="280" w:left="1060" w:right="380"/>
        </w:sect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0"/>
        <w:rPr>
          <w:rFonts w:ascii="Times New Roman"/>
          <w:sz w:val="23"/>
        </w:rPr>
      </w:pPr>
    </w:p>
    <w:p>
      <w:pPr>
        <w:spacing w:line="293" w:lineRule="exact" w:before="0"/>
        <w:ind w:left="108" w:right="218" w:firstLine="0"/>
        <w:jc w:val="center"/>
        <w:rPr>
          <w:rFonts w:ascii="Arial Rounded MT Bold"/>
          <w:sz w:val="16"/>
        </w:rPr>
      </w:pPr>
      <w:r>
        <w:rPr/>
        <w:drawing>
          <wp:anchor distT="0" distB="0" distL="0" distR="0" allowOverlap="1" layoutInCell="1" locked="0" behindDoc="0" simplePos="0" relativeHeight="15729664">
            <wp:simplePos x="0" y="0"/>
            <wp:positionH relativeFrom="page">
              <wp:posOffset>814749</wp:posOffset>
            </wp:positionH>
            <wp:positionV relativeFrom="paragraph">
              <wp:posOffset>-1308629</wp:posOffset>
            </wp:positionV>
            <wp:extent cx="893892" cy="106871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3892" cy="1068719"/>
                    </a:xfrm>
                    <a:prstGeom prst="rect">
                      <a:avLst/>
                    </a:prstGeom>
                  </pic:spPr>
                </pic:pic>
              </a:graphicData>
            </a:graphic>
          </wp:anchor>
        </w:drawing>
      </w:r>
      <w:r>
        <w:rPr>
          <w:rFonts w:ascii="Arial Rounded MT Bold"/>
          <w:sz w:val="16"/>
        </w:rPr>
        <w:t>CHARLES</w:t>
      </w:r>
      <w:r>
        <w:rPr>
          <w:rFonts w:ascii="Arial Rounded MT Bold"/>
          <w:spacing w:val="-4"/>
          <w:sz w:val="16"/>
        </w:rPr>
        <w:t> </w:t>
      </w:r>
      <w:r>
        <w:rPr>
          <w:rFonts w:ascii="Arial Rounded MT Bold"/>
          <w:sz w:val="16"/>
        </w:rPr>
        <w:t>D.</w:t>
      </w:r>
      <w:r>
        <w:rPr>
          <w:rFonts w:ascii="Arial Rounded MT Bold"/>
          <w:spacing w:val="-2"/>
          <w:sz w:val="16"/>
        </w:rPr>
        <w:t> BAKER</w:t>
      </w:r>
    </w:p>
    <w:p>
      <w:pPr>
        <w:spacing w:line="210" w:lineRule="exact" w:before="0"/>
        <w:ind w:left="101" w:right="218" w:firstLine="0"/>
        <w:jc w:val="center"/>
        <w:rPr>
          <w:rFonts w:ascii="Arial Rounded MT Bold"/>
          <w:sz w:val="14"/>
        </w:rPr>
      </w:pPr>
      <w:r>
        <w:rPr>
          <w:rFonts w:ascii="Arial Rounded MT Bold"/>
          <w:spacing w:val="-2"/>
          <w:sz w:val="14"/>
        </w:rPr>
        <w:t>Governor</w:t>
      </w:r>
    </w:p>
    <w:p>
      <w:pPr>
        <w:spacing w:line="258" w:lineRule="exact" w:before="0"/>
        <w:ind w:left="106" w:right="218" w:firstLine="0"/>
        <w:jc w:val="center"/>
        <w:rPr>
          <w:rFonts w:ascii="Arial Rounded MT Bold"/>
          <w:sz w:val="16"/>
        </w:rPr>
      </w:pPr>
      <w:r>
        <w:rPr>
          <w:rFonts w:ascii="Arial Rounded MT Bold"/>
          <w:sz w:val="16"/>
        </w:rPr>
        <w:t>KARYN</w:t>
      </w:r>
      <w:r>
        <w:rPr>
          <w:rFonts w:ascii="Arial Rounded MT Bold"/>
          <w:spacing w:val="-5"/>
          <w:sz w:val="16"/>
        </w:rPr>
        <w:t> </w:t>
      </w:r>
      <w:r>
        <w:rPr>
          <w:rFonts w:ascii="Arial Rounded MT Bold"/>
          <w:sz w:val="16"/>
        </w:rPr>
        <w:t>E.</w:t>
      </w:r>
      <w:r>
        <w:rPr>
          <w:rFonts w:ascii="Arial Rounded MT Bold"/>
          <w:spacing w:val="-3"/>
          <w:sz w:val="16"/>
        </w:rPr>
        <w:t> </w:t>
      </w:r>
      <w:r>
        <w:rPr>
          <w:rFonts w:ascii="Arial Rounded MT Bold"/>
          <w:spacing w:val="-2"/>
          <w:sz w:val="16"/>
        </w:rPr>
        <w:t>POLITO</w:t>
      </w:r>
    </w:p>
    <w:p>
      <w:pPr>
        <w:spacing w:line="246" w:lineRule="exact" w:before="0"/>
        <w:ind w:left="104" w:right="218" w:firstLine="0"/>
        <w:jc w:val="center"/>
        <w:rPr>
          <w:rFonts w:ascii="Arial Rounded MT Bold"/>
          <w:sz w:val="14"/>
        </w:rPr>
      </w:pPr>
      <w:r>
        <w:rPr>
          <w:rFonts w:ascii="Arial Rounded MT Bold"/>
          <w:sz w:val="14"/>
        </w:rPr>
        <w:t>Lieutenant</w:t>
      </w:r>
      <w:r>
        <w:rPr>
          <w:rFonts w:ascii="Arial Rounded MT Bold"/>
          <w:spacing w:val="-6"/>
          <w:sz w:val="14"/>
        </w:rPr>
        <w:t> </w:t>
      </w:r>
      <w:r>
        <w:rPr>
          <w:rFonts w:ascii="Arial Rounded MT Bold"/>
          <w:spacing w:val="-2"/>
          <w:sz w:val="14"/>
        </w:rPr>
        <w:t>Governor</w:t>
      </w:r>
    </w:p>
    <w:p>
      <w:pPr>
        <w:pStyle w:val="BodyText"/>
        <w:rPr>
          <w:rFonts w:ascii="Arial Rounded MT Bold"/>
          <w:sz w:val="16"/>
        </w:rPr>
      </w:pPr>
    </w:p>
    <w:p>
      <w:pPr>
        <w:pStyle w:val="BodyText"/>
        <w:spacing w:before="13"/>
        <w:rPr>
          <w:rFonts w:ascii="Arial Rounded MT Bold"/>
          <w:sz w:val="8"/>
        </w:rPr>
      </w:pPr>
    </w:p>
    <w:p>
      <w:pPr>
        <w:pStyle w:val="BodyText"/>
        <w:spacing w:before="1"/>
        <w:ind w:left="380"/>
      </w:pPr>
      <w:r>
        <w:rPr/>
        <w:t>January</w:t>
      </w:r>
      <w:r>
        <w:rPr>
          <w:spacing w:val="-2"/>
        </w:rPr>
        <w:t> </w:t>
      </w:r>
      <w:r>
        <w:rPr/>
        <w:t>4,</w:t>
      </w:r>
      <w:r>
        <w:rPr>
          <w:spacing w:val="-1"/>
        </w:rPr>
        <w:t> </w:t>
      </w:r>
      <w:r>
        <w:rPr>
          <w:spacing w:val="-4"/>
        </w:rPr>
        <w:t>2023</w:t>
      </w:r>
    </w:p>
    <w:p>
      <w:pPr>
        <w:spacing w:line="414" w:lineRule="exact" w:before="89"/>
        <w:ind w:left="118" w:right="0" w:firstLine="0"/>
        <w:jc w:val="center"/>
        <w:rPr>
          <w:rFonts w:ascii="Arial"/>
          <w:sz w:val="36"/>
        </w:rPr>
      </w:pPr>
      <w:r>
        <w:rPr/>
        <w:br w:type="column"/>
      </w:r>
      <w:r>
        <w:rPr>
          <w:rFonts w:ascii="Arial"/>
          <w:sz w:val="36"/>
        </w:rPr>
        <w:t>The</w:t>
      </w:r>
      <w:r>
        <w:rPr>
          <w:rFonts w:ascii="Arial"/>
          <w:spacing w:val="-7"/>
          <w:sz w:val="36"/>
        </w:rPr>
        <w:t> </w:t>
      </w:r>
      <w:r>
        <w:rPr>
          <w:rFonts w:ascii="Arial"/>
          <w:sz w:val="36"/>
        </w:rPr>
        <w:t>Commonwealth</w:t>
      </w:r>
      <w:r>
        <w:rPr>
          <w:rFonts w:ascii="Arial"/>
          <w:spacing w:val="-5"/>
          <w:sz w:val="36"/>
        </w:rPr>
        <w:t> </w:t>
      </w:r>
      <w:r>
        <w:rPr>
          <w:rFonts w:ascii="Arial"/>
          <w:sz w:val="36"/>
        </w:rPr>
        <w:t>of</w:t>
      </w:r>
      <w:r>
        <w:rPr>
          <w:rFonts w:ascii="Arial"/>
          <w:spacing w:val="-3"/>
          <w:sz w:val="36"/>
        </w:rPr>
        <w:t> </w:t>
      </w:r>
      <w:r>
        <w:rPr>
          <w:rFonts w:ascii="Arial"/>
          <w:spacing w:val="-2"/>
          <w:sz w:val="36"/>
        </w:rPr>
        <w:t>Massachusetts</w:t>
      </w:r>
    </w:p>
    <w:p>
      <w:pPr>
        <w:spacing w:line="242" w:lineRule="auto" w:before="0"/>
        <w:ind w:left="233" w:right="109"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9"/>
          <w:sz w:val="28"/>
        </w:rPr>
        <w:t> </w:t>
      </w:r>
      <w:r>
        <w:rPr>
          <w:rFonts w:ascii="Arial"/>
          <w:sz w:val="28"/>
        </w:rPr>
        <w:t>Services Department of Public Health</w:t>
      </w:r>
    </w:p>
    <w:p>
      <w:pPr>
        <w:spacing w:line="317" w:lineRule="exact" w:before="0"/>
        <w:ind w:left="125" w:right="0" w:firstLine="0"/>
        <w:jc w:val="center"/>
        <w:rPr>
          <w:rFonts w:ascii="Arial"/>
          <w:sz w:val="28"/>
        </w:rPr>
      </w:pPr>
      <w:r>
        <w:rPr>
          <w:rFonts w:ascii="Arial"/>
          <w:sz w:val="28"/>
        </w:rPr>
        <w:t>250</w:t>
      </w:r>
      <w:r>
        <w:rPr>
          <w:rFonts w:ascii="Arial"/>
          <w:spacing w:val="-10"/>
          <w:sz w:val="28"/>
        </w:rPr>
        <w:t> </w:t>
      </w:r>
      <w:r>
        <w:rPr>
          <w:rFonts w:ascii="Arial"/>
          <w:sz w:val="28"/>
        </w:rPr>
        <w:t>Washington</w:t>
      </w:r>
      <w:r>
        <w:rPr>
          <w:rFonts w:ascii="Arial"/>
          <w:spacing w:val="-7"/>
          <w:sz w:val="28"/>
        </w:rPr>
        <w:t> </w:t>
      </w:r>
      <w:r>
        <w:rPr>
          <w:rFonts w:ascii="Arial"/>
          <w:sz w:val="28"/>
        </w:rPr>
        <w:t>Street,</w:t>
      </w:r>
      <w:r>
        <w:rPr>
          <w:rFonts w:ascii="Arial"/>
          <w:spacing w:val="-4"/>
          <w:sz w:val="28"/>
        </w:rPr>
        <w:t> </w:t>
      </w:r>
      <w:r>
        <w:rPr>
          <w:rFonts w:ascii="Arial"/>
          <w:sz w:val="28"/>
        </w:rPr>
        <w:t>Boston,</w:t>
      </w:r>
      <w:r>
        <w:rPr>
          <w:rFonts w:ascii="Arial"/>
          <w:spacing w:val="-8"/>
          <w:sz w:val="28"/>
        </w:rPr>
        <w:t> </w:t>
      </w:r>
      <w:r>
        <w:rPr>
          <w:rFonts w:ascii="Arial"/>
          <w:sz w:val="28"/>
        </w:rPr>
        <w:t>MA</w:t>
      </w:r>
      <w:r>
        <w:rPr>
          <w:rFonts w:ascii="Arial"/>
          <w:spacing w:val="-7"/>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
        <w:rPr>
          <w:rFonts w:ascii="Arial"/>
          <w:sz w:val="20"/>
        </w:rPr>
      </w:pPr>
    </w:p>
    <w:p>
      <w:pPr>
        <w:spacing w:line="294" w:lineRule="exact" w:before="0"/>
        <w:ind w:left="3" w:right="747" w:firstLine="0"/>
        <w:jc w:val="center"/>
        <w:rPr>
          <w:rFonts w:ascii="Arial Rounded MT Bold"/>
          <w:sz w:val="16"/>
        </w:rPr>
      </w:pPr>
      <w:r>
        <w:rPr/>
        <w:pict>
          <v:shapetype id="_x0000_t202" o:spt="202" coordsize="21600,21600" path="m,l,21600r21600,l21600,xe">
            <v:stroke joinstyle="miter"/>
            <v:path gradientshapeok="t" o:connecttype="rect"/>
          </v:shapetype>
          <v:shape style="position:absolute;margin-left:446.880005pt;margin-top:2.855851pt;width:108.6pt;height:65pt;mso-position-horizontal-relative:page;mso-position-vertical-relative:paragraph;z-index:-16600064" type="#_x0000_t202" id="docshape1" filled="false" stroked="false">
            <v:textbox inset="0,0,0,0">
              <w:txbxContent>
                <w:p>
                  <w:pPr>
                    <w:spacing w:line="135" w:lineRule="exact" w:before="0"/>
                    <w:ind w:left="0" w:right="0" w:firstLine="0"/>
                    <w:jc w:val="center"/>
                    <w:rPr>
                      <w:rFonts w:ascii="Arial Rounded MT Bold"/>
                      <w:sz w:val="16"/>
                    </w:rPr>
                  </w:pPr>
                  <w:r>
                    <w:rPr>
                      <w:rFonts w:ascii="Arial Rounded MT Bold"/>
                      <w:sz w:val="16"/>
                    </w:rPr>
                    <w:t>MARYLOU</w:t>
                  </w:r>
                  <w:r>
                    <w:rPr>
                      <w:rFonts w:ascii="Arial Rounded MT Bold"/>
                      <w:spacing w:val="-7"/>
                      <w:sz w:val="16"/>
                    </w:rPr>
                    <w:t> </w:t>
                  </w:r>
                  <w:r>
                    <w:rPr>
                      <w:rFonts w:ascii="Arial Rounded MT Bold"/>
                      <w:spacing w:val="-2"/>
                      <w:sz w:val="16"/>
                    </w:rPr>
                    <w:t>SUDDERS</w:t>
                  </w:r>
                </w:p>
                <w:p>
                  <w:pPr>
                    <w:spacing w:line="210" w:lineRule="exact" w:before="0"/>
                    <w:ind w:left="0" w:right="1" w:firstLine="0"/>
                    <w:jc w:val="center"/>
                    <w:rPr>
                      <w:rFonts w:ascii="Arial Rounded MT Bold"/>
                      <w:sz w:val="14"/>
                    </w:rPr>
                  </w:pPr>
                  <w:r>
                    <w:rPr>
                      <w:rFonts w:ascii="Arial Rounded MT Bold"/>
                      <w:spacing w:val="-2"/>
                      <w:sz w:val="14"/>
                    </w:rPr>
                    <w:t>Secretary</w:t>
                  </w:r>
                </w:p>
                <w:p>
                  <w:pPr>
                    <w:spacing w:line="257" w:lineRule="exact" w:before="0"/>
                    <w:ind w:left="0" w:right="0" w:firstLine="0"/>
                    <w:jc w:val="center"/>
                    <w:rPr>
                      <w:rFonts w:ascii="Arial Rounded MT Bold"/>
                      <w:sz w:val="16"/>
                    </w:rPr>
                  </w:pPr>
                  <w:r>
                    <w:rPr>
                      <w:rFonts w:ascii="Arial Rounded MT Bold"/>
                      <w:sz w:val="16"/>
                    </w:rPr>
                    <w:t>MONICA</w:t>
                  </w:r>
                  <w:r>
                    <w:rPr>
                      <w:rFonts w:ascii="Arial Rounded MT Bold"/>
                      <w:spacing w:val="-5"/>
                      <w:sz w:val="16"/>
                    </w:rPr>
                    <w:t> </w:t>
                  </w:r>
                  <w:r>
                    <w:rPr>
                      <w:rFonts w:ascii="Arial Rounded MT Bold"/>
                      <w:sz w:val="16"/>
                    </w:rPr>
                    <w:t>BHAREL,</w:t>
                  </w:r>
                  <w:r>
                    <w:rPr>
                      <w:rFonts w:ascii="Arial Rounded MT Bold"/>
                      <w:spacing w:val="-5"/>
                      <w:sz w:val="16"/>
                    </w:rPr>
                    <w:t> </w:t>
                  </w:r>
                  <w:r>
                    <w:rPr>
                      <w:rFonts w:ascii="Arial Rounded MT Bold"/>
                      <w:sz w:val="16"/>
                    </w:rPr>
                    <w:t>MD,</w:t>
                  </w:r>
                  <w:r>
                    <w:rPr>
                      <w:rFonts w:ascii="Arial Rounded MT Bold"/>
                      <w:spacing w:val="-4"/>
                      <w:sz w:val="16"/>
                    </w:rPr>
                    <w:t> </w:t>
                  </w:r>
                  <w:r>
                    <w:rPr>
                      <w:rFonts w:ascii="Arial Rounded MT Bold"/>
                      <w:spacing w:val="-5"/>
                      <w:sz w:val="16"/>
                    </w:rPr>
                    <w:t>MPH</w:t>
                  </w:r>
                </w:p>
                <w:p>
                  <w:pPr>
                    <w:spacing w:line="244" w:lineRule="exact" w:before="0"/>
                    <w:ind w:left="0" w:right="4" w:firstLine="0"/>
                    <w:jc w:val="center"/>
                    <w:rPr>
                      <w:rFonts w:ascii="Arial Rounded MT Bold"/>
                      <w:sz w:val="14"/>
                    </w:rPr>
                  </w:pPr>
                  <w:r>
                    <w:rPr>
                      <w:rFonts w:ascii="Arial Rounded MT Bold"/>
                      <w:spacing w:val="-2"/>
                      <w:sz w:val="14"/>
                    </w:rPr>
                    <w:t>Commissioner</w:t>
                  </w:r>
                </w:p>
                <w:p>
                  <w:pPr>
                    <w:spacing w:line="161" w:lineRule="exact" w:before="132"/>
                    <w:ind w:left="0" w:right="4" w:firstLine="0"/>
                    <w:jc w:val="center"/>
                    <w:rPr>
                      <w:rFonts w:ascii="Arial"/>
                      <w:b/>
                      <w:sz w:val="14"/>
                    </w:rPr>
                  </w:pPr>
                  <w:r>
                    <w:rPr>
                      <w:rFonts w:ascii="Arial"/>
                      <w:b/>
                      <w:spacing w:val="-2"/>
                      <w:sz w:val="14"/>
                    </w:rPr>
                    <w:t>Tel:</w:t>
                  </w:r>
                  <w:r>
                    <w:rPr>
                      <w:rFonts w:ascii="Arial"/>
                      <w:b/>
                      <w:spacing w:val="12"/>
                      <w:sz w:val="14"/>
                    </w:rPr>
                    <w:t> </w:t>
                  </w:r>
                  <w:r>
                    <w:rPr>
                      <w:rFonts w:ascii="Arial"/>
                      <w:b/>
                      <w:spacing w:val="-2"/>
                      <w:sz w:val="14"/>
                    </w:rPr>
                    <w:t>617-624-</w:t>
                  </w:r>
                  <w:r>
                    <w:rPr>
                      <w:rFonts w:ascii="Arial"/>
                      <w:b/>
                      <w:spacing w:val="-4"/>
                      <w:sz w:val="14"/>
                    </w:rPr>
                    <w:t>6000</w:t>
                  </w:r>
                </w:p>
                <w:p>
                  <w:pPr>
                    <w:spacing w:before="0"/>
                    <w:ind w:left="0" w:right="3" w:firstLine="0"/>
                    <w:jc w:val="center"/>
                    <w:rPr>
                      <w:rFonts w:ascii="Arial"/>
                      <w:b/>
                      <w:sz w:val="14"/>
                    </w:rPr>
                  </w:pPr>
                  <w:hyperlink r:id="rId6">
                    <w:r>
                      <w:rPr>
                        <w:rFonts w:ascii="Arial"/>
                        <w:b/>
                        <w:spacing w:val="-2"/>
                        <w:sz w:val="14"/>
                      </w:rPr>
                      <w:t>www.mass.gov/dph</w:t>
                    </w:r>
                  </w:hyperlink>
                </w:p>
              </w:txbxContent>
            </v:textbox>
            <w10:wrap type="none"/>
          </v:shape>
        </w:pict>
      </w:r>
      <w:r>
        <w:rPr/>
        <w:pict>
          <v:rect style="position:absolute;margin-left:442.5pt;margin-top:-4.855985pt;width:142.85pt;height:89.45pt;mso-position-horizontal-relative:page;mso-position-vertical-relative:paragraph;z-index:-16599040" id="docshape2" filled="true" fillcolor="#ffffff" stroked="false">
            <v:fill type="solid"/>
            <w10:wrap type="none"/>
          </v:rect>
        </w:pict>
      </w:r>
      <w:r>
        <w:rPr>
          <w:rFonts w:ascii="Arial Rounded MT Bold"/>
          <w:sz w:val="16"/>
        </w:rPr>
        <w:t>MARYLOU</w:t>
      </w:r>
      <w:r>
        <w:rPr>
          <w:rFonts w:ascii="Arial Rounded MT Bold"/>
          <w:spacing w:val="-7"/>
          <w:sz w:val="16"/>
        </w:rPr>
        <w:t> </w:t>
      </w:r>
      <w:r>
        <w:rPr>
          <w:rFonts w:ascii="Arial Rounded MT Bold"/>
          <w:spacing w:val="-2"/>
          <w:sz w:val="16"/>
        </w:rPr>
        <w:t>SUDDERS</w:t>
      </w:r>
    </w:p>
    <w:p>
      <w:pPr>
        <w:spacing w:line="210" w:lineRule="exact" w:before="0"/>
        <w:ind w:left="2" w:right="749" w:firstLine="0"/>
        <w:jc w:val="center"/>
        <w:rPr>
          <w:rFonts w:ascii="Arial Rounded MT Bold"/>
          <w:sz w:val="14"/>
        </w:rPr>
      </w:pPr>
      <w:r>
        <w:rPr>
          <w:rFonts w:ascii="Arial Rounded MT Bold"/>
          <w:spacing w:val="-2"/>
          <w:sz w:val="14"/>
        </w:rPr>
        <w:t>Secretary</w:t>
      </w:r>
    </w:p>
    <w:p>
      <w:pPr>
        <w:spacing w:line="257" w:lineRule="exact" w:before="0"/>
        <w:ind w:left="3" w:right="749" w:firstLine="0"/>
        <w:jc w:val="center"/>
        <w:rPr>
          <w:rFonts w:ascii="Arial Rounded MT Bold"/>
          <w:sz w:val="16"/>
        </w:rPr>
      </w:pPr>
      <w:r>
        <w:rPr>
          <w:rFonts w:ascii="Arial Rounded MT Bold"/>
          <w:sz w:val="16"/>
        </w:rPr>
        <w:t>MARGRET</w:t>
      </w:r>
      <w:r>
        <w:rPr>
          <w:rFonts w:ascii="Arial Rounded MT Bold"/>
          <w:spacing w:val="-3"/>
          <w:sz w:val="16"/>
        </w:rPr>
        <w:t> </w:t>
      </w:r>
      <w:r>
        <w:rPr>
          <w:rFonts w:ascii="Arial Rounded MT Bold"/>
          <w:sz w:val="16"/>
        </w:rPr>
        <w:t>R.</w:t>
      </w:r>
      <w:r>
        <w:rPr>
          <w:rFonts w:ascii="Arial Rounded MT Bold"/>
          <w:spacing w:val="-5"/>
          <w:sz w:val="16"/>
        </w:rPr>
        <w:t> </w:t>
      </w:r>
      <w:r>
        <w:rPr>
          <w:rFonts w:ascii="Arial Rounded MT Bold"/>
          <w:spacing w:val="-4"/>
          <w:sz w:val="16"/>
        </w:rPr>
        <w:t>COOKE</w:t>
      </w:r>
    </w:p>
    <w:p>
      <w:pPr>
        <w:spacing w:line="246" w:lineRule="exact" w:before="0"/>
        <w:ind w:left="0" w:right="749" w:firstLine="0"/>
        <w:jc w:val="center"/>
        <w:rPr>
          <w:rFonts w:ascii="Arial Rounded MT Bold"/>
          <w:sz w:val="14"/>
        </w:rPr>
      </w:pPr>
      <w:r>
        <w:rPr>
          <w:rFonts w:ascii="Arial Rounded MT Bold"/>
          <w:spacing w:val="-2"/>
          <w:sz w:val="14"/>
        </w:rPr>
        <w:t>Commissioner</w:t>
      </w:r>
    </w:p>
    <w:p>
      <w:pPr>
        <w:spacing w:line="161" w:lineRule="exact" w:before="130"/>
        <w:ind w:left="3" w:right="753" w:firstLine="0"/>
        <w:jc w:val="center"/>
        <w:rPr>
          <w:rFonts w:ascii="Arial"/>
          <w:b/>
          <w:sz w:val="14"/>
        </w:rPr>
      </w:pPr>
      <w:r>
        <w:rPr>
          <w:rFonts w:ascii="Arial"/>
          <w:b/>
          <w:spacing w:val="-2"/>
          <w:sz w:val="14"/>
        </w:rPr>
        <w:t>Tel:</w:t>
      </w:r>
      <w:r>
        <w:rPr>
          <w:rFonts w:ascii="Arial"/>
          <w:b/>
          <w:spacing w:val="12"/>
          <w:sz w:val="14"/>
        </w:rPr>
        <w:t> </w:t>
      </w:r>
      <w:r>
        <w:rPr>
          <w:rFonts w:ascii="Arial"/>
          <w:b/>
          <w:spacing w:val="-2"/>
          <w:sz w:val="14"/>
        </w:rPr>
        <w:t>617-624-</w:t>
      </w:r>
      <w:r>
        <w:rPr>
          <w:rFonts w:ascii="Arial"/>
          <w:b/>
          <w:spacing w:val="-4"/>
          <w:sz w:val="14"/>
        </w:rPr>
        <w:t>6000</w:t>
      </w:r>
    </w:p>
    <w:p>
      <w:pPr>
        <w:spacing w:before="0"/>
        <w:ind w:left="0" w:right="749"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1220" w:bottom="280" w:left="1060" w:right="380"/>
          <w:cols w:num="3" w:equalWidth="0">
            <w:col w:w="1951" w:space="151"/>
            <w:col w:w="6239" w:space="40"/>
            <w:col w:w="2419"/>
          </w:cols>
        </w:sectPr>
      </w:pPr>
    </w:p>
    <w:p>
      <w:pPr>
        <w:pStyle w:val="BodyText"/>
        <w:rPr>
          <w:rFonts w:ascii="Arial"/>
          <w:b/>
          <w:sz w:val="20"/>
        </w:rPr>
      </w:pPr>
    </w:p>
    <w:p>
      <w:pPr>
        <w:pStyle w:val="BodyText"/>
        <w:spacing w:before="7"/>
        <w:rPr>
          <w:rFonts w:ascii="Arial"/>
          <w:b/>
          <w:sz w:val="26"/>
        </w:rPr>
      </w:pPr>
    </w:p>
    <w:p>
      <w:pPr>
        <w:pStyle w:val="BodyText"/>
        <w:spacing w:before="51"/>
        <w:ind w:left="379" w:right="8307"/>
      </w:pPr>
      <w:r>
        <w:rPr/>
        <w:t>Steven</w:t>
      </w:r>
      <w:r>
        <w:rPr>
          <w:spacing w:val="-14"/>
        </w:rPr>
        <w:t> </w:t>
      </w:r>
      <w:r>
        <w:rPr/>
        <w:t>T.</w:t>
      </w:r>
      <w:r>
        <w:rPr>
          <w:spacing w:val="-14"/>
        </w:rPr>
        <w:t> </w:t>
      </w:r>
      <w:r>
        <w:rPr/>
        <w:t>James House Clerk</w:t>
      </w:r>
    </w:p>
    <w:p>
      <w:pPr>
        <w:pStyle w:val="BodyText"/>
        <w:ind w:left="379" w:right="7509"/>
      </w:pPr>
      <w:r>
        <w:rPr/>
        <w:t>State</w:t>
      </w:r>
      <w:r>
        <w:rPr>
          <w:spacing w:val="-12"/>
        </w:rPr>
        <w:t> </w:t>
      </w:r>
      <w:r>
        <w:rPr/>
        <w:t>House</w:t>
      </w:r>
      <w:r>
        <w:rPr>
          <w:spacing w:val="-12"/>
        </w:rPr>
        <w:t> </w:t>
      </w:r>
      <w:r>
        <w:rPr/>
        <w:t>Room</w:t>
      </w:r>
      <w:r>
        <w:rPr>
          <w:spacing w:val="-12"/>
        </w:rPr>
        <w:t> </w:t>
      </w:r>
      <w:r>
        <w:rPr/>
        <w:t>145 Boston, MA 02133</w:t>
      </w:r>
    </w:p>
    <w:p>
      <w:pPr>
        <w:pStyle w:val="BodyText"/>
        <w:spacing w:before="12"/>
        <w:rPr>
          <w:sz w:val="23"/>
        </w:rPr>
      </w:pPr>
    </w:p>
    <w:p>
      <w:pPr>
        <w:pStyle w:val="BodyText"/>
        <w:ind w:left="379" w:right="8307"/>
      </w:pPr>
      <w:r>
        <w:rPr/>
        <w:t>Michael</w:t>
      </w:r>
      <w:r>
        <w:rPr>
          <w:spacing w:val="-14"/>
        </w:rPr>
        <w:t> </w:t>
      </w:r>
      <w:r>
        <w:rPr/>
        <w:t>D.</w:t>
      </w:r>
      <w:r>
        <w:rPr>
          <w:spacing w:val="-14"/>
        </w:rPr>
        <w:t> </w:t>
      </w:r>
      <w:r>
        <w:rPr/>
        <w:t>Hurley Senate Clerk</w:t>
      </w:r>
    </w:p>
    <w:p>
      <w:pPr>
        <w:pStyle w:val="BodyText"/>
        <w:ind w:left="379" w:right="7509"/>
      </w:pPr>
      <w:r>
        <w:rPr/>
        <w:t>State</w:t>
      </w:r>
      <w:r>
        <w:rPr>
          <w:spacing w:val="-11"/>
        </w:rPr>
        <w:t> </w:t>
      </w:r>
      <w:r>
        <w:rPr/>
        <w:t>House</w:t>
      </w:r>
      <w:r>
        <w:rPr>
          <w:spacing w:val="-11"/>
        </w:rPr>
        <w:t> </w:t>
      </w:r>
      <w:r>
        <w:rPr/>
        <w:t>Room</w:t>
      </w:r>
      <w:r>
        <w:rPr>
          <w:spacing w:val="-12"/>
        </w:rPr>
        <w:t> </w:t>
      </w:r>
      <w:r>
        <w:rPr/>
        <w:t>335 Boston, MA 02133</w:t>
      </w:r>
    </w:p>
    <w:p>
      <w:pPr>
        <w:pStyle w:val="BodyText"/>
        <w:spacing w:before="11"/>
        <w:rPr>
          <w:sz w:val="23"/>
        </w:rPr>
      </w:pPr>
    </w:p>
    <w:p>
      <w:pPr>
        <w:pStyle w:val="BodyText"/>
        <w:ind w:left="379"/>
      </w:pPr>
      <w:r>
        <w:rPr/>
        <w:t>Dear</w:t>
      </w:r>
      <w:r>
        <w:rPr>
          <w:spacing w:val="-2"/>
        </w:rPr>
        <w:t> </w:t>
      </w:r>
      <w:r>
        <w:rPr/>
        <w:t>Mr.</w:t>
      </w:r>
      <w:r>
        <w:rPr>
          <w:spacing w:val="2"/>
        </w:rPr>
        <w:t> </w:t>
      </w:r>
      <w:r>
        <w:rPr>
          <w:spacing w:val="-2"/>
        </w:rPr>
        <w:t>Clerk:</w:t>
      </w:r>
    </w:p>
    <w:p>
      <w:pPr>
        <w:pStyle w:val="BodyText"/>
      </w:pPr>
    </w:p>
    <w:p>
      <w:pPr>
        <w:pStyle w:val="BodyText"/>
        <w:ind w:left="379" w:right="1487"/>
      </w:pPr>
      <w:r>
        <w:rPr/>
        <w:t>Pursuant to Chapter 313 of the Acts of 2010, please find enclosed a report from the Department</w:t>
      </w:r>
      <w:r>
        <w:rPr>
          <w:spacing w:val="-4"/>
        </w:rPr>
        <w:t> </w:t>
      </w:r>
      <w:r>
        <w:rPr/>
        <w:t>of</w:t>
      </w:r>
      <w:r>
        <w:rPr>
          <w:spacing w:val="-4"/>
        </w:rPr>
        <w:t> </w:t>
      </w:r>
      <w:r>
        <w:rPr/>
        <w:t>Public</w:t>
      </w:r>
      <w:r>
        <w:rPr>
          <w:spacing w:val="-3"/>
        </w:rPr>
        <w:t> </w:t>
      </w:r>
      <w:r>
        <w:rPr/>
        <w:t>Health</w:t>
      </w:r>
      <w:r>
        <w:rPr>
          <w:spacing w:val="-4"/>
        </w:rPr>
        <w:t> </w:t>
      </w:r>
      <w:r>
        <w:rPr/>
        <w:t>entitled</w:t>
      </w:r>
      <w:r>
        <w:rPr>
          <w:spacing w:val="-4"/>
        </w:rPr>
        <w:t> </w:t>
      </w:r>
      <w:r>
        <w:rPr/>
        <w:t>“CY20</w:t>
      </w:r>
      <w:r>
        <w:rPr>
          <w:spacing w:val="-4"/>
        </w:rPr>
        <w:t> </w:t>
      </w:r>
      <w:r>
        <w:rPr/>
        <w:t>Summary</w:t>
      </w:r>
      <w:r>
        <w:rPr>
          <w:spacing w:val="-3"/>
        </w:rPr>
        <w:t> </w:t>
      </w:r>
      <w:r>
        <w:rPr/>
        <w:t>of</w:t>
      </w:r>
      <w:r>
        <w:rPr>
          <w:spacing w:val="-4"/>
        </w:rPr>
        <w:t> </w:t>
      </w:r>
      <w:r>
        <w:rPr/>
        <w:t>Activities</w:t>
      </w:r>
      <w:r>
        <w:rPr>
          <w:spacing w:val="-3"/>
        </w:rPr>
        <w:t> </w:t>
      </w:r>
      <w:r>
        <w:rPr/>
        <w:t>related</w:t>
      </w:r>
      <w:r>
        <w:rPr>
          <w:spacing w:val="-4"/>
        </w:rPr>
        <w:t> </w:t>
      </w:r>
      <w:r>
        <w:rPr/>
        <w:t>to</w:t>
      </w:r>
      <w:r>
        <w:rPr>
          <w:spacing w:val="-4"/>
        </w:rPr>
        <w:t> </w:t>
      </w:r>
      <w:r>
        <w:rPr/>
        <w:t>Screening</w:t>
      </w:r>
      <w:r>
        <w:rPr>
          <w:spacing w:val="-4"/>
        </w:rPr>
        <w:t> </w:t>
      </w:r>
      <w:r>
        <w:rPr/>
        <w:t>for Postpartum Depression.”</w:t>
      </w:r>
    </w:p>
    <w:p>
      <w:pPr>
        <w:pStyle w:val="BodyText"/>
      </w:pPr>
    </w:p>
    <w:p>
      <w:pPr>
        <w:pStyle w:val="BodyText"/>
        <w:spacing w:before="1"/>
      </w:pPr>
    </w:p>
    <w:p>
      <w:pPr>
        <w:pStyle w:val="BodyText"/>
        <w:ind w:left="380"/>
      </w:pPr>
      <w:r>
        <w:rPr>
          <w:spacing w:val="-2"/>
        </w:rPr>
        <w:t>Sincerely,</w:t>
      </w:r>
    </w:p>
    <w:p>
      <w:pPr>
        <w:pStyle w:val="BodyText"/>
        <w:spacing w:before="11"/>
      </w:pPr>
      <w:r>
        <w:rPr/>
        <w:drawing>
          <wp:anchor distT="0" distB="0" distL="0" distR="0" allowOverlap="1" layoutInCell="1" locked="0" behindDoc="0" simplePos="0" relativeHeight="0">
            <wp:simplePos x="0" y="0"/>
            <wp:positionH relativeFrom="page">
              <wp:posOffset>804128</wp:posOffset>
            </wp:positionH>
            <wp:positionV relativeFrom="paragraph">
              <wp:posOffset>208678</wp:posOffset>
            </wp:positionV>
            <wp:extent cx="1524004" cy="347472"/>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524004" cy="347472"/>
                    </a:xfrm>
                    <a:prstGeom prst="rect">
                      <a:avLst/>
                    </a:prstGeom>
                  </pic:spPr>
                </pic:pic>
              </a:graphicData>
            </a:graphic>
          </wp:anchor>
        </w:drawing>
      </w:r>
    </w:p>
    <w:p>
      <w:pPr>
        <w:pStyle w:val="BodyText"/>
        <w:spacing w:before="3"/>
        <w:ind w:left="380" w:right="8834"/>
      </w:pPr>
      <w:r>
        <w:rPr/>
        <w:t>Margaret</w:t>
      </w:r>
      <w:r>
        <w:rPr>
          <w:spacing w:val="-14"/>
        </w:rPr>
        <w:t> </w:t>
      </w:r>
      <w:r>
        <w:rPr/>
        <w:t>Cooke </w:t>
      </w:r>
      <w:r>
        <w:rPr>
          <w:spacing w:val="-2"/>
        </w:rPr>
        <w:t>Commissioner</w:t>
      </w:r>
    </w:p>
    <w:p>
      <w:pPr>
        <w:pStyle w:val="BodyText"/>
        <w:spacing w:line="293" w:lineRule="exact"/>
        <w:ind w:left="380"/>
      </w:pPr>
      <w:r>
        <w:rPr/>
        <w:t>Department</w:t>
      </w:r>
      <w:r>
        <w:rPr>
          <w:spacing w:val="-2"/>
        </w:rPr>
        <w:t> </w:t>
      </w:r>
      <w:r>
        <w:rPr/>
        <w:t>of</w:t>
      </w:r>
      <w:r>
        <w:rPr>
          <w:spacing w:val="-1"/>
        </w:rPr>
        <w:t> </w:t>
      </w:r>
      <w:r>
        <w:rPr/>
        <w:t>Public </w:t>
      </w:r>
      <w:r>
        <w:rPr>
          <w:spacing w:val="-2"/>
        </w:rPr>
        <w:t>Health</w:t>
      </w:r>
    </w:p>
    <w:p>
      <w:pPr>
        <w:pStyle w:val="BodyText"/>
        <w:rPr>
          <w:sz w:val="20"/>
        </w:rPr>
      </w:pPr>
    </w:p>
    <w:p>
      <w:pPr>
        <w:pStyle w:val="BodyText"/>
        <w:tabs>
          <w:tab w:pos="1099" w:val="left" w:leader="none"/>
        </w:tabs>
        <w:ind w:left="1100" w:right="1487" w:hanging="720"/>
      </w:pPr>
      <w:r>
        <w:rPr>
          <w:spacing w:val="-4"/>
        </w:rPr>
        <w:t>Cc:</w:t>
      </w:r>
      <w:r>
        <w:rPr/>
        <w:tab/>
        <w:t>Representative</w:t>
      </w:r>
      <w:r>
        <w:rPr>
          <w:spacing w:val="-3"/>
        </w:rPr>
        <w:t> </w:t>
      </w:r>
      <w:r>
        <w:rPr/>
        <w:t>James</w:t>
      </w:r>
      <w:r>
        <w:rPr>
          <w:spacing w:val="-4"/>
        </w:rPr>
        <w:t> </w:t>
      </w:r>
      <w:r>
        <w:rPr/>
        <w:t>O’Day,</w:t>
      </w:r>
      <w:r>
        <w:rPr>
          <w:spacing w:val="-3"/>
        </w:rPr>
        <w:t> </w:t>
      </w:r>
      <w:r>
        <w:rPr/>
        <w:t>Co-Chair</w:t>
      </w:r>
      <w:r>
        <w:rPr>
          <w:spacing w:val="-6"/>
        </w:rPr>
        <w:t> </w:t>
      </w:r>
      <w:r>
        <w:rPr/>
        <w:t>of</w:t>
      </w:r>
      <w:r>
        <w:rPr>
          <w:spacing w:val="-3"/>
        </w:rPr>
        <w:t> </w:t>
      </w:r>
      <w:r>
        <w:rPr/>
        <w:t>the</w:t>
      </w:r>
      <w:r>
        <w:rPr>
          <w:spacing w:val="-5"/>
        </w:rPr>
        <w:t> </w:t>
      </w:r>
      <w:r>
        <w:rPr/>
        <w:t>Ellen</w:t>
      </w:r>
      <w:r>
        <w:rPr>
          <w:spacing w:val="-3"/>
        </w:rPr>
        <w:t> </w:t>
      </w:r>
      <w:r>
        <w:rPr/>
        <w:t>Story</w:t>
      </w:r>
      <w:r>
        <w:rPr>
          <w:spacing w:val="-4"/>
        </w:rPr>
        <w:t> </w:t>
      </w:r>
      <w:r>
        <w:rPr/>
        <w:t>PPD</w:t>
      </w:r>
      <w:r>
        <w:rPr>
          <w:spacing w:val="-3"/>
        </w:rPr>
        <w:t> </w:t>
      </w:r>
      <w:r>
        <w:rPr/>
        <w:t>Legislative</w:t>
      </w:r>
      <w:r>
        <w:rPr>
          <w:spacing w:val="-5"/>
        </w:rPr>
        <w:t> </w:t>
      </w:r>
      <w:r>
        <w:rPr/>
        <w:t>Commission Senator Joan Lovely, Co-Chair of the Ellen Story PPD Legislative Commission</w:t>
      </w:r>
    </w:p>
    <w:p>
      <w:pPr>
        <w:spacing w:after="0"/>
        <w:sectPr>
          <w:type w:val="continuous"/>
          <w:pgSz w:w="12240" w:h="15840"/>
          <w:pgMar w:top="1220" w:bottom="280" w:left="1060" w:right="380"/>
        </w:sectPr>
      </w:pPr>
    </w:p>
    <w:p>
      <w:pPr>
        <w:pStyle w:val="BodyText"/>
        <w:rPr>
          <w:sz w:val="20"/>
        </w:rPr>
      </w:pPr>
      <w:r>
        <w:rPr/>
        <w:pict>
          <v:group style="position:absolute;margin-left:0pt;margin-top:9.35pt;width:612pt;height:782.65pt;mso-position-horizontal-relative:page;mso-position-vertical-relative:page;z-index:-16597504" id="docshapegroup3" coordorigin="0,187" coordsize="12240,15653">
            <v:shape style="position:absolute;left:1440;top:1440;width:9360;height:3874" type="#_x0000_t75" id="docshape4" stroked="false">
              <v:imagedata r:id="rId8" o:title=""/>
            </v:shape>
            <v:shape style="position:absolute;left:0;top:979;width:12240;height:14861" type="#_x0000_t75" id="docshape5" stroked="false">
              <v:imagedata r:id="rId9" o:title=""/>
            </v:shape>
            <v:shape style="position:absolute;left:187;top:187;width:11923;height:15422" type="#_x0000_t75" id="docshape6" stroked="false">
              <v:imagedata r:id="rId10" o:title=""/>
            </v:shape>
            <v:shape style="position:absolute;left:0;top:202;width:12239;height:2534" type="#_x0000_t75" id="docshape7" stroked="false">
              <v:imagedata r:id="rId11"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ind w:left="442"/>
        <w:rPr>
          <w:sz w:val="20"/>
        </w:rPr>
      </w:pPr>
      <w:r>
        <w:rPr>
          <w:sz w:val="20"/>
        </w:rPr>
        <w:pict>
          <v:shape style="width:456.25pt;height:239.9pt;mso-position-horizontal-relative:char;mso-position-vertical-relative:line" type="#_x0000_t202" id="docshape8" filled="true" fillcolor="#ffffff" stroked="false">
            <w10:anchorlock/>
            <v:textbox inset="0,0,0,0">
              <w:txbxContent>
                <w:p>
                  <w:pPr>
                    <w:pStyle w:val="BodyText"/>
                    <w:spacing w:before="2"/>
                    <w:rPr>
                      <w:color w:val="000000"/>
                      <w:sz w:val="71"/>
                    </w:rPr>
                  </w:pPr>
                </w:p>
                <w:p>
                  <w:pPr>
                    <w:spacing w:line="232" w:lineRule="auto" w:before="0"/>
                    <w:ind w:left="153" w:right="154" w:firstLine="0"/>
                    <w:jc w:val="center"/>
                    <w:rPr>
                      <w:rFonts w:ascii="Times New Roman"/>
                      <w:b/>
                      <w:color w:val="000000"/>
                      <w:sz w:val="72"/>
                    </w:rPr>
                  </w:pPr>
                  <w:r>
                    <w:rPr>
                      <w:rFonts w:ascii="Times New Roman"/>
                      <w:b/>
                      <w:color w:val="042F63"/>
                      <w:sz w:val="72"/>
                    </w:rPr>
                    <w:t>CY20</w:t>
                  </w:r>
                  <w:r>
                    <w:rPr>
                      <w:rFonts w:ascii="Times New Roman"/>
                      <w:b/>
                      <w:color w:val="042F63"/>
                      <w:spacing w:val="-14"/>
                      <w:sz w:val="72"/>
                    </w:rPr>
                    <w:t> </w:t>
                  </w:r>
                  <w:r>
                    <w:rPr>
                      <w:rFonts w:ascii="Times New Roman"/>
                      <w:b/>
                      <w:color w:val="042F63"/>
                      <w:sz w:val="72"/>
                    </w:rPr>
                    <w:t>Summary</w:t>
                  </w:r>
                  <w:r>
                    <w:rPr>
                      <w:rFonts w:ascii="Times New Roman"/>
                      <w:b/>
                      <w:color w:val="042F63"/>
                      <w:spacing w:val="-14"/>
                      <w:sz w:val="72"/>
                    </w:rPr>
                    <w:t> </w:t>
                  </w:r>
                  <w:r>
                    <w:rPr>
                      <w:rFonts w:ascii="Times New Roman"/>
                      <w:b/>
                      <w:color w:val="042F63"/>
                      <w:sz w:val="72"/>
                    </w:rPr>
                    <w:t>of</w:t>
                  </w:r>
                  <w:r>
                    <w:rPr>
                      <w:rFonts w:ascii="Times New Roman"/>
                      <w:b/>
                      <w:color w:val="042F63"/>
                      <w:spacing w:val="-14"/>
                      <w:sz w:val="72"/>
                    </w:rPr>
                    <w:t> </w:t>
                  </w:r>
                  <w:r>
                    <w:rPr>
                      <w:rFonts w:ascii="Times New Roman"/>
                      <w:b/>
                      <w:color w:val="042F63"/>
                      <w:sz w:val="72"/>
                    </w:rPr>
                    <w:t>Activities Related to Screening for Postpartum Depression</w:t>
                  </w:r>
                </w:p>
              </w:txbxContent>
            </v:textbox>
            <v:fill type="solid"/>
          </v:shape>
        </w:pict>
      </w:r>
      <w:r>
        <w:rPr>
          <w:sz w:val="20"/>
        </w:rPr>
      </w:r>
    </w:p>
    <w:p>
      <w:pPr>
        <w:pStyle w:val="BodyText"/>
        <w:rPr>
          <w:sz w:val="20"/>
        </w:rPr>
      </w:pPr>
    </w:p>
    <w:p>
      <w:pPr>
        <w:pStyle w:val="BodyText"/>
        <w:rPr>
          <w:sz w:val="20"/>
        </w:rPr>
      </w:pPr>
    </w:p>
    <w:p>
      <w:pPr>
        <w:pStyle w:val="BodyText"/>
        <w:rPr>
          <w:sz w:val="20"/>
        </w:rPr>
      </w:pPr>
    </w:p>
    <w:p>
      <w:pPr>
        <w:pStyle w:val="BodyText"/>
        <w:spacing w:before="8"/>
        <w:rPr>
          <w:sz w:val="13"/>
        </w:rPr>
      </w:pPr>
      <w:r>
        <w:rPr/>
        <w:pict>
          <v:shape style="position:absolute;margin-left:213.983002pt;margin-top:9.534571pt;width:195.55pt;height:76.150pt;mso-position-horizontal-relative:page;mso-position-vertical-relative:paragraph;z-index:-15726080;mso-wrap-distance-left:0;mso-wrap-distance-right:0" type="#_x0000_t202" id="docshape9" filled="true" fillcolor="#ffffff" stroked="false">
            <v:textbox inset="0,0,0,0">
              <w:txbxContent>
                <w:p>
                  <w:pPr>
                    <w:spacing w:before="81"/>
                    <w:ind w:left="1101" w:right="0" w:firstLine="0"/>
                    <w:jc w:val="left"/>
                    <w:rPr>
                      <w:rFonts w:ascii="Times New Roman"/>
                      <w:b/>
                      <w:color w:val="000000"/>
                      <w:sz w:val="48"/>
                    </w:rPr>
                  </w:pPr>
                  <w:r>
                    <w:rPr>
                      <w:rFonts w:ascii="Times New Roman"/>
                      <w:b/>
                      <w:color w:val="042F63"/>
                      <w:spacing w:val="-2"/>
                      <w:sz w:val="48"/>
                    </w:rPr>
                    <w:t>January</w:t>
                  </w:r>
                </w:p>
              </w:txbxContent>
            </v:textbox>
            <v:fill type="solid"/>
            <w10:wrap type="topAndBottom"/>
          </v:shape>
        </w:pict>
      </w:r>
    </w:p>
    <w:p>
      <w:pPr>
        <w:spacing w:after="0"/>
        <w:rPr>
          <w:sz w:val="13"/>
        </w:rPr>
        <w:sectPr>
          <w:pgSz w:w="12240" w:h="15840"/>
          <w:pgMar w:top="1820" w:bottom="280" w:left="1060" w:right="380"/>
        </w:sectPr>
      </w:pPr>
    </w:p>
    <w:p>
      <w:pPr>
        <w:pStyle w:val="Heading1"/>
      </w:pPr>
      <w:bookmarkStart w:name="Legislative Mandate" w:id="1"/>
      <w:bookmarkEnd w:id="1"/>
      <w:r>
        <w:rPr>
          <w:b w:val="0"/>
        </w:rPr>
      </w:r>
      <w:r>
        <w:rPr/>
        <w:t>Legislative</w:t>
      </w:r>
      <w:r>
        <w:rPr>
          <w:spacing w:val="-6"/>
        </w:rPr>
        <w:t> </w:t>
      </w:r>
      <w:r>
        <w:rPr>
          <w:spacing w:val="-2"/>
        </w:rPr>
        <w:t>Mandate</w:t>
      </w:r>
    </w:p>
    <w:p>
      <w:pPr>
        <w:pStyle w:val="BodyText"/>
        <w:spacing w:before="11"/>
        <w:rPr>
          <w:b/>
          <w:sz w:val="23"/>
        </w:rPr>
      </w:pPr>
    </w:p>
    <w:p>
      <w:pPr>
        <w:pStyle w:val="BodyText"/>
        <w:ind w:left="380"/>
      </w:pPr>
      <w:r>
        <w:rPr/>
        <w:t>The</w:t>
      </w:r>
      <w:r>
        <w:rPr>
          <w:spacing w:val="-5"/>
        </w:rPr>
        <w:t> </w:t>
      </w:r>
      <w:r>
        <w:rPr/>
        <w:t>following</w:t>
      </w:r>
      <w:r>
        <w:rPr>
          <w:spacing w:val="-3"/>
        </w:rPr>
        <w:t> </w:t>
      </w:r>
      <w:r>
        <w:rPr/>
        <w:t>report</w:t>
      </w:r>
      <w:r>
        <w:rPr>
          <w:spacing w:val="1"/>
        </w:rPr>
        <w:t> </w:t>
      </w:r>
      <w:r>
        <w:rPr/>
        <w:t>is</w:t>
      </w:r>
      <w:r>
        <w:rPr>
          <w:spacing w:val="-3"/>
        </w:rPr>
        <w:t> </w:t>
      </w:r>
      <w:r>
        <w:rPr/>
        <w:t>hereby</w:t>
      </w:r>
      <w:r>
        <w:rPr>
          <w:spacing w:val="-1"/>
        </w:rPr>
        <w:t> </w:t>
      </w:r>
      <w:r>
        <w:rPr/>
        <w:t>issued</w:t>
      </w:r>
      <w:r>
        <w:rPr>
          <w:spacing w:val="-1"/>
        </w:rPr>
        <w:t> </w:t>
      </w:r>
      <w:r>
        <w:rPr/>
        <w:t>pursuant</w:t>
      </w:r>
      <w:r>
        <w:rPr>
          <w:spacing w:val="-2"/>
        </w:rPr>
        <w:t> </w:t>
      </w:r>
      <w:r>
        <w:rPr/>
        <w:t>to</w:t>
      </w:r>
      <w:r>
        <w:rPr>
          <w:spacing w:val="-2"/>
        </w:rPr>
        <w:t> </w:t>
      </w:r>
      <w:r>
        <w:rPr/>
        <w:t>Chapter</w:t>
      </w:r>
      <w:r>
        <w:rPr>
          <w:spacing w:val="-3"/>
        </w:rPr>
        <w:t> </w:t>
      </w:r>
      <w:r>
        <w:rPr/>
        <w:t>313</w:t>
      </w:r>
      <w:r>
        <w:rPr>
          <w:spacing w:val="-2"/>
        </w:rPr>
        <w:t> </w:t>
      </w:r>
      <w:r>
        <w:rPr/>
        <w:t>of</w:t>
      </w:r>
      <w:r>
        <w:rPr>
          <w:spacing w:val="-1"/>
        </w:rPr>
        <w:t> </w:t>
      </w:r>
      <w:r>
        <w:rPr/>
        <w:t>the</w:t>
      </w:r>
      <w:r>
        <w:rPr>
          <w:spacing w:val="-2"/>
        </w:rPr>
        <w:t> </w:t>
      </w:r>
      <w:r>
        <w:rPr/>
        <w:t>Acts</w:t>
      </w:r>
      <w:r>
        <w:rPr>
          <w:spacing w:val="-3"/>
        </w:rPr>
        <w:t> </w:t>
      </w:r>
      <w:r>
        <w:rPr/>
        <w:t>of</w:t>
      </w:r>
      <w:r>
        <w:rPr>
          <w:spacing w:val="1"/>
        </w:rPr>
        <w:t> </w:t>
      </w:r>
      <w:r>
        <w:rPr/>
        <w:t>2010</w:t>
      </w:r>
      <w:r>
        <w:rPr>
          <w:spacing w:val="-1"/>
        </w:rPr>
        <w:t> </w:t>
      </w:r>
      <w:r>
        <w:rPr/>
        <w:t>as</w:t>
      </w:r>
      <w:r>
        <w:rPr>
          <w:spacing w:val="-2"/>
        </w:rPr>
        <w:t> follows:</w:t>
      </w:r>
    </w:p>
    <w:p>
      <w:pPr>
        <w:pStyle w:val="BodyText"/>
        <w:spacing w:before="2"/>
      </w:pPr>
    </w:p>
    <w:p>
      <w:pPr>
        <w:spacing w:before="0"/>
        <w:ind w:left="380" w:right="1059" w:firstLine="0"/>
        <w:jc w:val="left"/>
        <w:rPr>
          <w:i/>
          <w:sz w:val="24"/>
        </w:rPr>
      </w:pPr>
      <w:r>
        <w:rPr>
          <w:sz w:val="24"/>
        </w:rPr>
        <w:t>The Department of Public Health “</w:t>
      </w:r>
      <w:r>
        <w:rPr>
          <w:i/>
          <w:sz w:val="24"/>
        </w:rPr>
        <w:t>shall issue regulations that require providers and carriers to</w:t>
      </w:r>
      <w:r>
        <w:rPr>
          <w:i/>
          <w:sz w:val="24"/>
        </w:rPr>
        <w:t> annually</w:t>
      </w:r>
      <w:r>
        <w:rPr>
          <w:i/>
          <w:spacing w:val="-3"/>
          <w:sz w:val="24"/>
        </w:rPr>
        <w:t> </w:t>
      </w:r>
      <w:r>
        <w:rPr>
          <w:i/>
          <w:sz w:val="24"/>
        </w:rPr>
        <w:t>submit</w:t>
      </w:r>
      <w:r>
        <w:rPr>
          <w:i/>
          <w:spacing w:val="-2"/>
          <w:sz w:val="24"/>
        </w:rPr>
        <w:t> </w:t>
      </w:r>
      <w:r>
        <w:rPr>
          <w:i/>
          <w:sz w:val="24"/>
        </w:rPr>
        <w:t>data</w:t>
      </w:r>
      <w:r>
        <w:rPr>
          <w:i/>
          <w:spacing w:val="-5"/>
          <w:sz w:val="24"/>
        </w:rPr>
        <w:t> </w:t>
      </w:r>
      <w:r>
        <w:rPr>
          <w:i/>
          <w:sz w:val="24"/>
        </w:rPr>
        <w:t>on</w:t>
      </w:r>
      <w:r>
        <w:rPr>
          <w:i/>
          <w:spacing w:val="-2"/>
          <w:sz w:val="24"/>
        </w:rPr>
        <w:t> </w:t>
      </w:r>
      <w:r>
        <w:rPr>
          <w:i/>
          <w:sz w:val="24"/>
        </w:rPr>
        <w:t>screening</w:t>
      </w:r>
      <w:r>
        <w:rPr>
          <w:i/>
          <w:spacing w:val="-5"/>
          <w:sz w:val="24"/>
        </w:rPr>
        <w:t> </w:t>
      </w:r>
      <w:r>
        <w:rPr>
          <w:i/>
          <w:sz w:val="24"/>
        </w:rPr>
        <w:t>for</w:t>
      </w:r>
      <w:r>
        <w:rPr>
          <w:i/>
          <w:spacing w:val="-4"/>
          <w:sz w:val="24"/>
        </w:rPr>
        <w:t> </w:t>
      </w:r>
      <w:r>
        <w:rPr>
          <w:i/>
          <w:sz w:val="24"/>
        </w:rPr>
        <w:t>postpartum</w:t>
      </w:r>
      <w:r>
        <w:rPr>
          <w:i/>
          <w:spacing w:val="-4"/>
          <w:sz w:val="24"/>
        </w:rPr>
        <w:t> </w:t>
      </w:r>
      <w:r>
        <w:rPr>
          <w:i/>
          <w:sz w:val="24"/>
        </w:rPr>
        <w:t>depression.</w:t>
      </w:r>
      <w:r>
        <w:rPr>
          <w:i/>
          <w:spacing w:val="-4"/>
          <w:sz w:val="24"/>
        </w:rPr>
        <w:t> </w:t>
      </w:r>
      <w:r>
        <w:rPr>
          <w:i/>
          <w:sz w:val="24"/>
        </w:rPr>
        <w:t>Following</w:t>
      </w:r>
      <w:r>
        <w:rPr>
          <w:i/>
          <w:spacing w:val="-5"/>
          <w:sz w:val="24"/>
        </w:rPr>
        <w:t> </w:t>
      </w:r>
      <w:r>
        <w:rPr>
          <w:i/>
          <w:sz w:val="24"/>
        </w:rPr>
        <w:t>the</w:t>
      </w:r>
      <w:r>
        <w:rPr>
          <w:i/>
          <w:spacing w:val="-3"/>
          <w:sz w:val="24"/>
        </w:rPr>
        <w:t> </w:t>
      </w:r>
      <w:r>
        <w:rPr>
          <w:i/>
          <w:sz w:val="24"/>
        </w:rPr>
        <w:t>receipt</w:t>
      </w:r>
      <w:r>
        <w:rPr>
          <w:i/>
          <w:spacing w:val="-5"/>
          <w:sz w:val="24"/>
        </w:rPr>
        <w:t> </w:t>
      </w:r>
      <w:r>
        <w:rPr>
          <w:i/>
          <w:sz w:val="24"/>
        </w:rPr>
        <w:t>of</w:t>
      </w:r>
      <w:r>
        <w:rPr>
          <w:i/>
          <w:spacing w:val="-2"/>
          <w:sz w:val="24"/>
        </w:rPr>
        <w:t> </w:t>
      </w:r>
      <w:r>
        <w:rPr>
          <w:i/>
          <w:sz w:val="24"/>
        </w:rPr>
        <w:t>data,</w:t>
      </w:r>
      <w:r>
        <w:rPr>
          <w:i/>
          <w:spacing w:val="-6"/>
          <w:sz w:val="24"/>
        </w:rPr>
        <w:t> </w:t>
      </w:r>
      <w:r>
        <w:rPr>
          <w:i/>
          <w:sz w:val="24"/>
        </w:rPr>
        <w:t>the commissioner of public health shall issue an annual summary of the activities related to screening for postpartum depression, including best practices and effective screening tools. The department shall annually file the summary with the commissioner of public health and the clerks of the</w:t>
      </w:r>
      <w:r>
        <w:rPr>
          <w:i/>
          <w:spacing w:val="-3"/>
          <w:sz w:val="24"/>
        </w:rPr>
        <w:t> </w:t>
      </w:r>
      <w:r>
        <w:rPr>
          <w:i/>
          <w:sz w:val="24"/>
        </w:rPr>
        <w:t>house of representatives</w:t>
      </w:r>
      <w:r>
        <w:rPr>
          <w:i/>
          <w:spacing w:val="-3"/>
          <w:sz w:val="24"/>
        </w:rPr>
        <w:t> </w:t>
      </w:r>
      <w:r>
        <w:rPr>
          <w:i/>
          <w:sz w:val="24"/>
        </w:rPr>
        <w:t>and</w:t>
      </w:r>
      <w:r>
        <w:rPr>
          <w:i/>
          <w:spacing w:val="-2"/>
          <w:sz w:val="24"/>
        </w:rPr>
        <w:t> </w:t>
      </w:r>
      <w:r>
        <w:rPr>
          <w:i/>
          <w:sz w:val="24"/>
        </w:rPr>
        <w:t>the senate not later</w:t>
      </w:r>
      <w:r>
        <w:rPr>
          <w:i/>
          <w:spacing w:val="-4"/>
          <w:sz w:val="24"/>
        </w:rPr>
        <w:t> </w:t>
      </w:r>
      <w:r>
        <w:rPr>
          <w:i/>
          <w:sz w:val="24"/>
        </w:rPr>
        <w:t>than</w:t>
      </w:r>
      <w:r>
        <w:rPr>
          <w:i/>
          <w:spacing w:val="-2"/>
          <w:sz w:val="24"/>
        </w:rPr>
        <w:t> </w:t>
      </w:r>
      <w:r>
        <w:rPr>
          <w:i/>
          <w:sz w:val="24"/>
        </w:rPr>
        <w:t>June 30; provided,</w:t>
      </w:r>
      <w:r>
        <w:rPr>
          <w:i/>
          <w:spacing w:val="-1"/>
          <w:sz w:val="24"/>
        </w:rPr>
        <w:t> </w:t>
      </w:r>
      <w:r>
        <w:rPr>
          <w:i/>
          <w:sz w:val="24"/>
        </w:rPr>
        <w:t>however, that the first report is due not later than June 30, 2011.”</w:t>
      </w:r>
    </w:p>
    <w:p>
      <w:pPr>
        <w:spacing w:after="0"/>
        <w:jc w:val="left"/>
        <w:rPr>
          <w:sz w:val="24"/>
        </w:rPr>
        <w:sectPr>
          <w:pgSz w:w="12240" w:h="15840"/>
          <w:pgMar w:top="1420" w:bottom="280" w:left="1060" w:right="380"/>
        </w:sectPr>
      </w:pPr>
    </w:p>
    <w:p>
      <w:pPr>
        <w:pStyle w:val="Heading1"/>
      </w:pPr>
      <w:bookmarkStart w:name="Executive Summary" w:id="2"/>
      <w:bookmarkEnd w:id="2"/>
      <w:r>
        <w:rPr>
          <w:b w:val="0"/>
        </w:rPr>
      </w:r>
      <w:r>
        <w:rPr/>
        <w:t>Executive</w:t>
      </w:r>
      <w:r>
        <w:rPr>
          <w:spacing w:val="-4"/>
        </w:rPr>
        <w:t> </w:t>
      </w:r>
      <w:r>
        <w:rPr>
          <w:spacing w:val="-2"/>
        </w:rPr>
        <w:t>Summary</w:t>
      </w:r>
    </w:p>
    <w:p>
      <w:pPr>
        <w:pStyle w:val="BodyText"/>
        <w:spacing w:before="11"/>
        <w:rPr>
          <w:b/>
          <w:sz w:val="23"/>
        </w:rPr>
      </w:pPr>
    </w:p>
    <w:p>
      <w:pPr>
        <w:pStyle w:val="BodyText"/>
        <w:ind w:left="379" w:right="1129"/>
      </w:pPr>
      <w:r>
        <w:rPr/>
        <w:t>About one in eight American birth parents experience depressive symptoms after delivery. Untreated</w:t>
      </w:r>
      <w:r>
        <w:rPr>
          <w:spacing w:val="-4"/>
        </w:rPr>
        <w:t> </w:t>
      </w:r>
      <w:r>
        <w:rPr/>
        <w:t>postpartum</w:t>
      </w:r>
      <w:r>
        <w:rPr>
          <w:spacing w:val="-5"/>
        </w:rPr>
        <w:t> </w:t>
      </w:r>
      <w:r>
        <w:rPr/>
        <w:t>depression</w:t>
      </w:r>
      <w:r>
        <w:rPr>
          <w:spacing w:val="-2"/>
        </w:rPr>
        <w:t> </w:t>
      </w:r>
      <w:r>
        <w:rPr/>
        <w:t>(PPD)</w:t>
      </w:r>
      <w:r>
        <w:rPr>
          <w:spacing w:val="-3"/>
        </w:rPr>
        <w:t> </w:t>
      </w:r>
      <w:r>
        <w:rPr/>
        <w:t>has</w:t>
      </w:r>
      <w:r>
        <w:rPr>
          <w:spacing w:val="-5"/>
        </w:rPr>
        <w:t> </w:t>
      </w:r>
      <w:r>
        <w:rPr/>
        <w:t>negative</w:t>
      </w:r>
      <w:r>
        <w:rPr>
          <w:spacing w:val="-2"/>
        </w:rPr>
        <w:t> </w:t>
      </w:r>
      <w:r>
        <w:rPr/>
        <w:t>consequences</w:t>
      </w:r>
      <w:r>
        <w:rPr>
          <w:spacing w:val="-5"/>
        </w:rPr>
        <w:t> </w:t>
      </w:r>
      <w:r>
        <w:rPr/>
        <w:t>for</w:t>
      </w:r>
      <w:r>
        <w:rPr>
          <w:spacing w:val="-5"/>
        </w:rPr>
        <w:t> </w:t>
      </w:r>
      <w:r>
        <w:rPr/>
        <w:t>both</w:t>
      </w:r>
      <w:r>
        <w:rPr>
          <w:spacing w:val="-4"/>
        </w:rPr>
        <w:t> </w:t>
      </w:r>
      <w:r>
        <w:rPr/>
        <w:t>children</w:t>
      </w:r>
      <w:r>
        <w:rPr>
          <w:spacing w:val="-4"/>
        </w:rPr>
        <w:t> </w:t>
      </w:r>
      <w:r>
        <w:rPr/>
        <w:t>and</w:t>
      </w:r>
      <w:r>
        <w:rPr>
          <w:spacing w:val="-2"/>
        </w:rPr>
        <w:t> </w:t>
      </w:r>
      <w:r>
        <w:rPr/>
        <w:t>birth parents.</w:t>
      </w:r>
      <w:r>
        <w:rPr>
          <w:spacing w:val="-2"/>
        </w:rPr>
        <w:t> </w:t>
      </w:r>
      <w:r>
        <w:rPr/>
        <w:t>To</w:t>
      </w:r>
      <w:r>
        <w:rPr>
          <w:spacing w:val="-3"/>
        </w:rPr>
        <w:t> </w:t>
      </w:r>
      <w:r>
        <w:rPr/>
        <w:t>promote</w:t>
      </w:r>
      <w:r>
        <w:rPr>
          <w:spacing w:val="-3"/>
        </w:rPr>
        <w:t> </w:t>
      </w:r>
      <w:r>
        <w:rPr/>
        <w:t>the</w:t>
      </w:r>
      <w:r>
        <w:rPr>
          <w:spacing w:val="-6"/>
        </w:rPr>
        <w:t> </w:t>
      </w:r>
      <w:r>
        <w:rPr/>
        <w:t>health</w:t>
      </w:r>
      <w:r>
        <w:rPr>
          <w:spacing w:val="-1"/>
        </w:rPr>
        <w:t> </w:t>
      </w:r>
      <w:r>
        <w:rPr/>
        <w:t>and</w:t>
      </w:r>
      <w:r>
        <w:rPr>
          <w:spacing w:val="-3"/>
        </w:rPr>
        <w:t> </w:t>
      </w:r>
      <w:r>
        <w:rPr/>
        <w:t>well-being</w:t>
      </w:r>
      <w:r>
        <w:rPr>
          <w:spacing w:val="-4"/>
        </w:rPr>
        <w:t> </w:t>
      </w:r>
      <w:r>
        <w:rPr/>
        <w:t>of</w:t>
      </w:r>
      <w:r>
        <w:rPr>
          <w:spacing w:val="-3"/>
        </w:rPr>
        <w:t> </w:t>
      </w:r>
      <w:r>
        <w:rPr/>
        <w:t>birth parents,</w:t>
      </w:r>
      <w:r>
        <w:rPr>
          <w:spacing w:val="-1"/>
        </w:rPr>
        <w:t> </w:t>
      </w:r>
      <w:r>
        <w:rPr/>
        <w:t>children,</w:t>
      </w:r>
      <w:r>
        <w:rPr>
          <w:spacing w:val="-1"/>
        </w:rPr>
        <w:t> </w:t>
      </w:r>
      <w:r>
        <w:rPr/>
        <w:t>and</w:t>
      </w:r>
      <w:r>
        <w:rPr>
          <w:spacing w:val="-3"/>
        </w:rPr>
        <w:t> </w:t>
      </w:r>
      <w:r>
        <w:rPr/>
        <w:t>family,</w:t>
      </w:r>
      <w:r>
        <w:rPr>
          <w:spacing w:val="-4"/>
        </w:rPr>
        <w:t> </w:t>
      </w:r>
      <w:r>
        <w:rPr/>
        <w:t>on</w:t>
      </w:r>
      <w:r>
        <w:rPr>
          <w:spacing w:val="-3"/>
        </w:rPr>
        <w:t> </w:t>
      </w:r>
      <w:r>
        <w:rPr/>
        <w:t>August 19, 2010, Chapter 313 of the Acts of 2010, </w:t>
      </w:r>
      <w:r>
        <w:rPr>
          <w:i/>
        </w:rPr>
        <w:t>An Act Relative to Postpartum Depression</w:t>
      </w:r>
      <w:r>
        <w:rPr/>
        <w:t>, was signed into law in Massachusetts. Pursuant to this law, a PPD Special Legislative Commission was established, and the PPD Regulations (105 CMR 271.000) were promulgated in December 2014 requiring data reporting by both carriers and providers for routine clinical appointments in which medical services are provided to a person who has given birth within the previous six </w:t>
      </w:r>
      <w:r>
        <w:rPr>
          <w:spacing w:val="-2"/>
        </w:rPr>
        <w:t>months.</w:t>
      </w:r>
    </w:p>
    <w:p>
      <w:pPr>
        <w:pStyle w:val="BodyText"/>
        <w:spacing w:before="1"/>
      </w:pPr>
    </w:p>
    <w:p>
      <w:pPr>
        <w:pStyle w:val="BodyText"/>
        <w:ind w:left="379" w:right="1059"/>
      </w:pPr>
      <w:r>
        <w:rPr/>
        <w:t>To further improve PPD screening data reporting and to investigate the status of perinatal mental health and its impacts on birthing parents and their children, the Massachusetts Department of Public Health adopted depressive symptom questions in the Pregnancy Risk Assessment Monitoring System (PRAMS) in FY11 and starting in FY14, funded PPD screening at community</w:t>
      </w:r>
      <w:r>
        <w:rPr>
          <w:spacing w:val="-3"/>
        </w:rPr>
        <w:t> </w:t>
      </w:r>
      <w:r>
        <w:rPr/>
        <w:t>health</w:t>
      </w:r>
      <w:r>
        <w:rPr>
          <w:spacing w:val="-1"/>
        </w:rPr>
        <w:t> </w:t>
      </w:r>
      <w:r>
        <w:rPr/>
        <w:t>centers</w:t>
      </w:r>
      <w:r>
        <w:rPr>
          <w:spacing w:val="-3"/>
        </w:rPr>
        <w:t> </w:t>
      </w:r>
      <w:r>
        <w:rPr/>
        <w:t>and</w:t>
      </w:r>
      <w:r>
        <w:rPr>
          <w:spacing w:val="-4"/>
        </w:rPr>
        <w:t> </w:t>
      </w:r>
      <w:r>
        <w:rPr/>
        <w:t>home</w:t>
      </w:r>
      <w:r>
        <w:rPr>
          <w:spacing w:val="-2"/>
        </w:rPr>
        <w:t> </w:t>
      </w:r>
      <w:r>
        <w:rPr/>
        <w:t>visiting</w:t>
      </w:r>
      <w:r>
        <w:rPr>
          <w:spacing w:val="-5"/>
        </w:rPr>
        <w:t> </w:t>
      </w:r>
      <w:r>
        <w:rPr/>
        <w:t>programs</w:t>
      </w:r>
      <w:r>
        <w:rPr>
          <w:spacing w:val="-3"/>
        </w:rPr>
        <w:t> </w:t>
      </w:r>
      <w:r>
        <w:rPr/>
        <w:t>serving</w:t>
      </w:r>
      <w:r>
        <w:rPr>
          <w:spacing w:val="-5"/>
        </w:rPr>
        <w:t> </w:t>
      </w:r>
      <w:r>
        <w:rPr/>
        <w:t>pregnant</w:t>
      </w:r>
      <w:r>
        <w:rPr>
          <w:spacing w:val="-4"/>
        </w:rPr>
        <w:t> </w:t>
      </w:r>
      <w:r>
        <w:rPr/>
        <w:t>and</w:t>
      </w:r>
      <w:r>
        <w:rPr>
          <w:spacing w:val="-4"/>
        </w:rPr>
        <w:t> </w:t>
      </w:r>
      <w:r>
        <w:rPr/>
        <w:t>parenting</w:t>
      </w:r>
      <w:r>
        <w:rPr>
          <w:spacing w:val="-5"/>
        </w:rPr>
        <w:t> </w:t>
      </w:r>
      <w:r>
        <w:rPr/>
        <w:t>families.</w:t>
      </w:r>
    </w:p>
    <w:p>
      <w:pPr>
        <w:spacing w:after="0"/>
        <w:sectPr>
          <w:footerReference w:type="even" r:id="rId12"/>
          <w:footerReference w:type="default" r:id="rId13"/>
          <w:pgSz w:w="12240" w:h="15840"/>
          <w:pgMar w:footer="765" w:header="0" w:top="1420" w:bottom="960" w:left="1060" w:right="380"/>
          <w:pgNumType w:start="4"/>
        </w:sectPr>
      </w:pPr>
    </w:p>
    <w:p>
      <w:pPr>
        <w:pStyle w:val="Heading1"/>
      </w:pPr>
      <w:bookmarkStart w:name="Introduction" w:id="3"/>
      <w:bookmarkEnd w:id="3"/>
      <w:r>
        <w:rPr>
          <w:b w:val="0"/>
        </w:rPr>
      </w:r>
      <w:r>
        <w:rPr>
          <w:spacing w:val="-2"/>
        </w:rPr>
        <w:t>Introduction</w:t>
      </w:r>
    </w:p>
    <w:p>
      <w:pPr>
        <w:pStyle w:val="BodyText"/>
        <w:spacing w:before="11"/>
        <w:rPr>
          <w:b/>
          <w:sz w:val="23"/>
        </w:rPr>
      </w:pPr>
    </w:p>
    <w:p>
      <w:pPr>
        <w:pStyle w:val="BodyText"/>
        <w:ind w:left="379" w:right="1059"/>
      </w:pPr>
      <w:r>
        <w:rPr/>
        <w:t>About one in eight American mothers experienced depressive symptoms after delivery in</w:t>
      </w:r>
      <w:r>
        <w:rPr>
          <w:spacing w:val="40"/>
        </w:rPr>
        <w:t> </w:t>
      </w:r>
      <w:r>
        <w:rPr/>
        <w:t>2018.</w:t>
      </w:r>
      <w:r>
        <w:rPr>
          <w:vertAlign w:val="superscript"/>
        </w:rPr>
        <w:t>1</w:t>
      </w:r>
      <w:r>
        <w:rPr>
          <w:vertAlign w:val="baseline"/>
        </w:rPr>
        <w:t> Untreated postpartum depression (PPD) has negative consequences for both children and</w:t>
      </w:r>
      <w:r>
        <w:rPr>
          <w:spacing w:val="-3"/>
          <w:vertAlign w:val="baseline"/>
        </w:rPr>
        <w:t> </w:t>
      </w:r>
      <w:r>
        <w:rPr>
          <w:vertAlign w:val="baseline"/>
        </w:rPr>
        <w:t>birth</w:t>
      </w:r>
      <w:r>
        <w:rPr>
          <w:spacing w:val="-3"/>
          <w:vertAlign w:val="baseline"/>
        </w:rPr>
        <w:t> </w:t>
      </w:r>
      <w:r>
        <w:rPr>
          <w:vertAlign w:val="baseline"/>
        </w:rPr>
        <w:t>parents.</w:t>
      </w:r>
      <w:r>
        <w:rPr>
          <w:spacing w:val="-2"/>
          <w:vertAlign w:val="baseline"/>
        </w:rPr>
        <w:t> </w:t>
      </w:r>
      <w:r>
        <w:rPr>
          <w:vertAlign w:val="baseline"/>
        </w:rPr>
        <w:t>Children</w:t>
      </w:r>
      <w:r>
        <w:rPr>
          <w:spacing w:val="-3"/>
          <w:vertAlign w:val="baseline"/>
        </w:rPr>
        <w:t> </w:t>
      </w:r>
      <w:r>
        <w:rPr>
          <w:vertAlign w:val="baseline"/>
        </w:rPr>
        <w:t>born</w:t>
      </w:r>
      <w:r>
        <w:rPr>
          <w:spacing w:val="-3"/>
          <w:vertAlign w:val="baseline"/>
        </w:rPr>
        <w:t> </w:t>
      </w:r>
      <w:r>
        <w:rPr>
          <w:vertAlign w:val="baseline"/>
        </w:rPr>
        <w:t>to</w:t>
      </w:r>
      <w:r>
        <w:rPr>
          <w:spacing w:val="-1"/>
          <w:vertAlign w:val="baseline"/>
        </w:rPr>
        <w:t> </w:t>
      </w:r>
      <w:r>
        <w:rPr>
          <w:vertAlign w:val="baseline"/>
        </w:rPr>
        <w:t>individuals</w:t>
      </w:r>
      <w:r>
        <w:rPr>
          <w:spacing w:val="-4"/>
          <w:vertAlign w:val="baseline"/>
        </w:rPr>
        <w:t> </w:t>
      </w:r>
      <w:r>
        <w:rPr>
          <w:vertAlign w:val="baseline"/>
        </w:rPr>
        <w:t>with</w:t>
      </w:r>
      <w:r>
        <w:rPr>
          <w:spacing w:val="-3"/>
          <w:vertAlign w:val="baseline"/>
        </w:rPr>
        <w:t> </w:t>
      </w:r>
      <w:r>
        <w:rPr>
          <w:vertAlign w:val="baseline"/>
        </w:rPr>
        <w:t>PPD</w:t>
      </w:r>
      <w:r>
        <w:rPr>
          <w:spacing w:val="-3"/>
          <w:vertAlign w:val="baseline"/>
        </w:rPr>
        <w:t> </w:t>
      </w:r>
      <w:r>
        <w:rPr>
          <w:vertAlign w:val="baseline"/>
        </w:rPr>
        <w:t>were</w:t>
      </w:r>
      <w:r>
        <w:rPr>
          <w:spacing w:val="-3"/>
          <w:vertAlign w:val="baseline"/>
        </w:rPr>
        <w:t> </w:t>
      </w:r>
      <w:r>
        <w:rPr>
          <w:vertAlign w:val="baseline"/>
        </w:rPr>
        <w:t>more</w:t>
      </w:r>
      <w:r>
        <w:rPr>
          <w:spacing w:val="-3"/>
          <w:vertAlign w:val="baseline"/>
        </w:rPr>
        <w:t> </w:t>
      </w:r>
      <w:r>
        <w:rPr>
          <w:vertAlign w:val="baseline"/>
        </w:rPr>
        <w:t>likely</w:t>
      </w:r>
      <w:r>
        <w:rPr>
          <w:spacing w:val="-5"/>
          <w:vertAlign w:val="baseline"/>
        </w:rPr>
        <w:t> </w:t>
      </w:r>
      <w:r>
        <w:rPr>
          <w:vertAlign w:val="baseline"/>
        </w:rPr>
        <w:t>to</w:t>
      </w:r>
      <w:r>
        <w:rPr>
          <w:spacing w:val="-3"/>
          <w:vertAlign w:val="baseline"/>
        </w:rPr>
        <w:t> </w:t>
      </w:r>
      <w:r>
        <w:rPr>
          <w:vertAlign w:val="baseline"/>
        </w:rPr>
        <w:t>have</w:t>
      </w:r>
      <w:r>
        <w:rPr>
          <w:spacing w:val="-3"/>
          <w:vertAlign w:val="baseline"/>
        </w:rPr>
        <w:t> </w:t>
      </w:r>
      <w:r>
        <w:rPr>
          <w:vertAlign w:val="baseline"/>
        </w:rPr>
        <w:t>poor</w:t>
      </w:r>
      <w:r>
        <w:rPr>
          <w:spacing w:val="-4"/>
          <w:vertAlign w:val="baseline"/>
        </w:rPr>
        <w:t> </w:t>
      </w:r>
      <w:r>
        <w:rPr>
          <w:vertAlign w:val="baseline"/>
        </w:rPr>
        <w:t>cognitive functioning, behavioral inhibition, emotional maladjustment, violent behavior, externalizing disorders, or</w:t>
      </w:r>
      <w:r>
        <w:rPr>
          <w:spacing w:val="-2"/>
          <w:vertAlign w:val="baseline"/>
        </w:rPr>
        <w:t> </w:t>
      </w:r>
      <w:r>
        <w:rPr>
          <w:vertAlign w:val="baseline"/>
        </w:rPr>
        <w:t>psychiatric</w:t>
      </w:r>
      <w:r>
        <w:rPr>
          <w:spacing w:val="-3"/>
          <w:vertAlign w:val="baseline"/>
        </w:rPr>
        <w:t> </w:t>
      </w:r>
      <w:r>
        <w:rPr>
          <w:vertAlign w:val="baseline"/>
        </w:rPr>
        <w:t>and</w:t>
      </w:r>
      <w:r>
        <w:rPr>
          <w:spacing w:val="-1"/>
          <w:vertAlign w:val="baseline"/>
        </w:rPr>
        <w:t> </w:t>
      </w:r>
      <w:r>
        <w:rPr>
          <w:vertAlign w:val="baseline"/>
        </w:rPr>
        <w:t>medical</w:t>
      </w:r>
      <w:r>
        <w:rPr>
          <w:spacing w:val="-2"/>
          <w:vertAlign w:val="baseline"/>
        </w:rPr>
        <w:t> </w:t>
      </w:r>
      <w:r>
        <w:rPr>
          <w:vertAlign w:val="baseline"/>
        </w:rPr>
        <w:t>disorders.</w:t>
      </w:r>
      <w:r>
        <w:rPr>
          <w:vertAlign w:val="superscript"/>
        </w:rPr>
        <w:t>2-9</w:t>
      </w:r>
      <w:r>
        <w:rPr>
          <w:spacing w:val="-2"/>
          <w:vertAlign w:val="baseline"/>
        </w:rPr>
        <w:t> </w:t>
      </w:r>
      <w:r>
        <w:rPr>
          <w:vertAlign w:val="baseline"/>
        </w:rPr>
        <w:t>Furthermore,</w:t>
      </w:r>
      <w:r>
        <w:rPr>
          <w:spacing w:val="-2"/>
          <w:vertAlign w:val="baseline"/>
        </w:rPr>
        <w:t> </w:t>
      </w:r>
      <w:r>
        <w:rPr>
          <w:vertAlign w:val="baseline"/>
        </w:rPr>
        <w:t>individuals with</w:t>
      </w:r>
      <w:r>
        <w:rPr>
          <w:spacing w:val="-1"/>
          <w:vertAlign w:val="baseline"/>
        </w:rPr>
        <w:t> </w:t>
      </w:r>
      <w:r>
        <w:rPr>
          <w:vertAlign w:val="baseline"/>
        </w:rPr>
        <w:t>PPD</w:t>
      </w:r>
      <w:r>
        <w:rPr>
          <w:spacing w:val="-1"/>
          <w:vertAlign w:val="baseline"/>
        </w:rPr>
        <w:t> </w:t>
      </w:r>
      <w:r>
        <w:rPr>
          <w:vertAlign w:val="baseline"/>
        </w:rPr>
        <w:t>were more likely to have weight problems, alcohol and illicit drug use, social relationship problems, breastfeeding problems, or persistent depression.</w:t>
      </w:r>
      <w:r>
        <w:rPr>
          <w:vertAlign w:val="superscript"/>
        </w:rPr>
        <w:t>10-15</w:t>
      </w:r>
      <w:r>
        <w:rPr>
          <w:spacing w:val="-12"/>
          <w:vertAlign w:val="baseline"/>
        </w:rPr>
        <w:t> </w:t>
      </w:r>
      <w:r>
        <w:rPr>
          <w:vertAlign w:val="baseline"/>
        </w:rPr>
        <w:t>A 2017 study of</w:t>
      </w:r>
      <w:r>
        <w:rPr>
          <w:spacing w:val="40"/>
          <w:vertAlign w:val="baseline"/>
        </w:rPr>
        <w:t> </w:t>
      </w:r>
      <w:r>
        <w:rPr>
          <w:vertAlign w:val="baseline"/>
        </w:rPr>
        <w:t>births in the United States</w:t>
      </w:r>
      <w:r>
        <w:rPr>
          <w:spacing w:val="-3"/>
          <w:vertAlign w:val="baseline"/>
        </w:rPr>
        <w:t> </w:t>
      </w:r>
      <w:r>
        <w:rPr>
          <w:vertAlign w:val="baseline"/>
        </w:rPr>
        <w:t>further</w:t>
      </w:r>
      <w:r>
        <w:rPr>
          <w:spacing w:val="-3"/>
          <w:vertAlign w:val="baseline"/>
        </w:rPr>
        <w:t> </w:t>
      </w:r>
      <w:r>
        <w:rPr>
          <w:vertAlign w:val="baseline"/>
        </w:rPr>
        <w:t>estimated</w:t>
      </w:r>
      <w:r>
        <w:rPr>
          <w:spacing w:val="-2"/>
          <w:vertAlign w:val="baseline"/>
        </w:rPr>
        <w:t> </w:t>
      </w:r>
      <w:r>
        <w:rPr>
          <w:vertAlign w:val="baseline"/>
        </w:rPr>
        <w:t>that untreated</w:t>
      </w:r>
      <w:r>
        <w:rPr>
          <w:spacing w:val="-2"/>
          <w:vertAlign w:val="baseline"/>
        </w:rPr>
        <w:t> </w:t>
      </w:r>
      <w:r>
        <w:rPr>
          <w:vertAlign w:val="baseline"/>
        </w:rPr>
        <w:t>mood and anxiety</w:t>
      </w:r>
      <w:r>
        <w:rPr>
          <w:spacing w:val="-1"/>
          <w:vertAlign w:val="baseline"/>
        </w:rPr>
        <w:t> </w:t>
      </w:r>
      <w:r>
        <w:rPr>
          <w:vertAlign w:val="baseline"/>
        </w:rPr>
        <w:t>disorders</w:t>
      </w:r>
      <w:r>
        <w:rPr>
          <w:spacing w:val="-1"/>
          <w:vertAlign w:val="baseline"/>
        </w:rPr>
        <w:t> </w:t>
      </w:r>
      <w:r>
        <w:rPr>
          <w:vertAlign w:val="baseline"/>
        </w:rPr>
        <w:t>in</w:t>
      </w:r>
      <w:r>
        <w:rPr>
          <w:spacing w:val="-2"/>
          <w:vertAlign w:val="baseline"/>
        </w:rPr>
        <w:t> </w:t>
      </w:r>
      <w:r>
        <w:rPr>
          <w:vertAlign w:val="baseline"/>
        </w:rPr>
        <w:t>birth</w:t>
      </w:r>
      <w:r>
        <w:rPr>
          <w:spacing w:val="-2"/>
          <w:vertAlign w:val="baseline"/>
        </w:rPr>
        <w:t> </w:t>
      </w:r>
      <w:r>
        <w:rPr>
          <w:vertAlign w:val="baseline"/>
        </w:rPr>
        <w:t>parents</w:t>
      </w:r>
      <w:r>
        <w:rPr>
          <w:spacing w:val="-3"/>
          <w:vertAlign w:val="baseline"/>
        </w:rPr>
        <w:t> </w:t>
      </w:r>
      <w:r>
        <w:rPr>
          <w:vertAlign w:val="baseline"/>
        </w:rPr>
        <w:t>cost a</w:t>
      </w:r>
      <w:r>
        <w:rPr>
          <w:spacing w:val="-3"/>
          <w:vertAlign w:val="baseline"/>
        </w:rPr>
        <w:t> </w:t>
      </w:r>
      <w:r>
        <w:rPr>
          <w:vertAlign w:val="baseline"/>
        </w:rPr>
        <w:t>total of $14 billion from conception to 5 years postpartum, with an average of $31,800 per mother- infant dyad.</w:t>
      </w:r>
      <w:r>
        <w:rPr>
          <w:vertAlign w:val="superscript"/>
        </w:rPr>
        <w:t>16</w:t>
      </w:r>
    </w:p>
    <w:p>
      <w:pPr>
        <w:pStyle w:val="BodyText"/>
        <w:spacing w:before="1"/>
      </w:pPr>
    </w:p>
    <w:p>
      <w:pPr>
        <w:pStyle w:val="BodyText"/>
        <w:ind w:left="380" w:right="1059"/>
      </w:pPr>
      <w:r>
        <w:rPr/>
        <w:t>To promote the health and well-being of birth parents, children, and families, on August 19, 2010, Chapter 313 of the Acts of 2010, </w:t>
      </w:r>
      <w:r>
        <w:rPr>
          <w:i/>
        </w:rPr>
        <w:t>An Act Relative to Postpartum Depression</w:t>
      </w:r>
      <w:r>
        <w:rPr/>
        <w:t>, was signed into</w:t>
      </w:r>
      <w:r>
        <w:rPr>
          <w:spacing w:val="-3"/>
        </w:rPr>
        <w:t> </w:t>
      </w:r>
      <w:r>
        <w:rPr/>
        <w:t>law.</w:t>
      </w:r>
      <w:r>
        <w:rPr>
          <w:spacing w:val="-5"/>
        </w:rPr>
        <w:t> </w:t>
      </w:r>
      <w:r>
        <w:rPr/>
        <w:t>This</w:t>
      </w:r>
      <w:r>
        <w:rPr>
          <w:spacing w:val="-4"/>
        </w:rPr>
        <w:t> </w:t>
      </w:r>
      <w:r>
        <w:rPr/>
        <w:t>legislation</w:t>
      </w:r>
      <w:r>
        <w:rPr>
          <w:spacing w:val="-3"/>
        </w:rPr>
        <w:t> </w:t>
      </w:r>
      <w:r>
        <w:rPr/>
        <w:t>has</w:t>
      </w:r>
      <w:r>
        <w:rPr>
          <w:spacing w:val="-2"/>
        </w:rPr>
        <w:t> </w:t>
      </w:r>
      <w:r>
        <w:rPr/>
        <w:t>two</w:t>
      </w:r>
      <w:r>
        <w:rPr>
          <w:spacing w:val="-3"/>
        </w:rPr>
        <w:t> </w:t>
      </w:r>
      <w:r>
        <w:rPr/>
        <w:t>primary</w:t>
      </w:r>
      <w:r>
        <w:rPr>
          <w:spacing w:val="-5"/>
        </w:rPr>
        <w:t> </w:t>
      </w:r>
      <w:r>
        <w:rPr/>
        <w:t>components:</w:t>
      </w:r>
      <w:r>
        <w:rPr>
          <w:spacing w:val="-3"/>
        </w:rPr>
        <w:t> </w:t>
      </w:r>
      <w:r>
        <w:rPr/>
        <w:t>(1)</w:t>
      </w:r>
      <w:r>
        <w:rPr>
          <w:spacing w:val="-2"/>
        </w:rPr>
        <w:t> </w:t>
      </w:r>
      <w:r>
        <w:rPr/>
        <w:t>establishing</w:t>
      </w:r>
      <w:r>
        <w:rPr>
          <w:spacing w:val="-2"/>
        </w:rPr>
        <w:t> </w:t>
      </w:r>
      <w:r>
        <w:rPr/>
        <w:t>a</w:t>
      </w:r>
      <w:r>
        <w:rPr>
          <w:spacing w:val="-4"/>
        </w:rPr>
        <w:t> </w:t>
      </w:r>
      <w:r>
        <w:rPr/>
        <w:t>postpartum</w:t>
      </w:r>
      <w:r>
        <w:rPr>
          <w:spacing w:val="-4"/>
        </w:rPr>
        <w:t> </w:t>
      </w:r>
      <w:r>
        <w:rPr/>
        <w:t>depression (PPD) Legislative Commission and (2) requiring that the Massachusetts Department of Public Health (DPH) promote a culture of awareness, de-stigmatization, and screening for postpartum </w:t>
      </w:r>
      <w:r>
        <w:rPr>
          <w:spacing w:val="-2"/>
        </w:rPr>
        <w:t>depression.</w:t>
      </w:r>
    </w:p>
    <w:p>
      <w:pPr>
        <w:pStyle w:val="BodyText"/>
        <w:spacing w:before="1"/>
      </w:pPr>
    </w:p>
    <w:p>
      <w:pPr>
        <w:spacing w:before="0"/>
        <w:ind w:left="380" w:right="0" w:firstLine="0"/>
        <w:jc w:val="left"/>
        <w:rPr>
          <w:i/>
          <w:sz w:val="24"/>
        </w:rPr>
      </w:pPr>
      <w:r>
        <w:rPr>
          <w:i/>
          <w:sz w:val="24"/>
        </w:rPr>
        <w:t>Specifically,</w:t>
      </w:r>
      <w:r>
        <w:rPr>
          <w:i/>
          <w:spacing w:val="-4"/>
          <w:sz w:val="24"/>
        </w:rPr>
        <w:t> </w:t>
      </w:r>
      <w:r>
        <w:rPr>
          <w:i/>
          <w:sz w:val="24"/>
        </w:rPr>
        <w:t>DPH</w:t>
      </w:r>
      <w:r>
        <w:rPr>
          <w:i/>
          <w:spacing w:val="-1"/>
          <w:sz w:val="24"/>
        </w:rPr>
        <w:t> </w:t>
      </w:r>
      <w:r>
        <w:rPr>
          <w:i/>
          <w:sz w:val="24"/>
        </w:rPr>
        <w:t>is</w:t>
      </w:r>
      <w:r>
        <w:rPr>
          <w:i/>
          <w:spacing w:val="-3"/>
          <w:sz w:val="24"/>
        </w:rPr>
        <w:t> </w:t>
      </w:r>
      <w:r>
        <w:rPr>
          <w:i/>
          <w:sz w:val="24"/>
        </w:rPr>
        <w:t>charged</w:t>
      </w:r>
      <w:r>
        <w:rPr>
          <w:i/>
          <w:spacing w:val="-2"/>
          <w:sz w:val="24"/>
        </w:rPr>
        <w:t> </w:t>
      </w:r>
      <w:r>
        <w:rPr>
          <w:i/>
          <w:spacing w:val="-4"/>
          <w:sz w:val="24"/>
        </w:rPr>
        <w:t>with:</w:t>
      </w:r>
    </w:p>
    <w:p>
      <w:pPr>
        <w:pStyle w:val="ListParagraph"/>
        <w:numPr>
          <w:ilvl w:val="0"/>
          <w:numId w:val="1"/>
        </w:numPr>
        <w:tabs>
          <w:tab w:pos="1099" w:val="left" w:leader="none"/>
          <w:tab w:pos="1100" w:val="left" w:leader="none"/>
        </w:tabs>
        <w:spacing w:line="240" w:lineRule="auto" w:before="60" w:after="0"/>
        <w:ind w:left="1100" w:right="0" w:hanging="360"/>
        <w:jc w:val="left"/>
        <w:rPr>
          <w:sz w:val="24"/>
        </w:rPr>
      </w:pPr>
      <w:r>
        <w:rPr>
          <w:sz w:val="24"/>
        </w:rPr>
        <w:t>Developing</w:t>
      </w:r>
      <w:r>
        <w:rPr>
          <w:spacing w:val="-2"/>
          <w:sz w:val="24"/>
        </w:rPr>
        <w:t> </w:t>
      </w:r>
      <w:r>
        <w:rPr>
          <w:sz w:val="24"/>
        </w:rPr>
        <w:t>standards</w:t>
      </w:r>
      <w:r>
        <w:rPr>
          <w:spacing w:val="-3"/>
          <w:sz w:val="24"/>
        </w:rPr>
        <w:t> </w:t>
      </w:r>
      <w:r>
        <w:rPr>
          <w:sz w:val="24"/>
        </w:rPr>
        <w:t>for</w:t>
      </w:r>
      <w:r>
        <w:rPr>
          <w:spacing w:val="-4"/>
          <w:sz w:val="24"/>
        </w:rPr>
        <w:t> </w:t>
      </w:r>
      <w:r>
        <w:rPr>
          <w:sz w:val="24"/>
        </w:rPr>
        <w:t>effective</w:t>
      </w:r>
      <w:r>
        <w:rPr>
          <w:spacing w:val="-2"/>
          <w:sz w:val="24"/>
        </w:rPr>
        <w:t> </w:t>
      </w:r>
      <w:r>
        <w:rPr>
          <w:sz w:val="24"/>
        </w:rPr>
        <w:t>PPD</w:t>
      </w:r>
      <w:r>
        <w:rPr>
          <w:spacing w:val="1"/>
          <w:sz w:val="24"/>
        </w:rPr>
        <w:t> </w:t>
      </w:r>
      <w:r>
        <w:rPr>
          <w:spacing w:val="-2"/>
          <w:sz w:val="24"/>
        </w:rPr>
        <w:t>screening;</w:t>
      </w:r>
    </w:p>
    <w:p>
      <w:pPr>
        <w:pStyle w:val="ListParagraph"/>
        <w:numPr>
          <w:ilvl w:val="0"/>
          <w:numId w:val="1"/>
        </w:numPr>
        <w:tabs>
          <w:tab w:pos="1099" w:val="left" w:leader="none"/>
          <w:tab w:pos="1100" w:val="left" w:leader="none"/>
        </w:tabs>
        <w:spacing w:line="240" w:lineRule="auto" w:before="60" w:after="0"/>
        <w:ind w:left="1100" w:right="1300" w:hanging="360"/>
        <w:jc w:val="left"/>
        <w:rPr>
          <w:sz w:val="24"/>
        </w:rPr>
      </w:pPr>
      <w:r>
        <w:rPr>
          <w:sz w:val="24"/>
        </w:rPr>
        <w:t>Making</w:t>
      </w:r>
      <w:r>
        <w:rPr>
          <w:spacing w:val="-3"/>
          <w:sz w:val="24"/>
        </w:rPr>
        <w:t> </w:t>
      </w:r>
      <w:r>
        <w:rPr>
          <w:sz w:val="24"/>
        </w:rPr>
        <w:t>recommendations</w:t>
      </w:r>
      <w:r>
        <w:rPr>
          <w:spacing w:val="-3"/>
          <w:sz w:val="24"/>
        </w:rPr>
        <w:t> </w:t>
      </w:r>
      <w:r>
        <w:rPr>
          <w:sz w:val="24"/>
        </w:rPr>
        <w:t>to</w:t>
      </w:r>
      <w:r>
        <w:rPr>
          <w:spacing w:val="-4"/>
          <w:sz w:val="24"/>
        </w:rPr>
        <w:t> </w:t>
      </w:r>
      <w:r>
        <w:rPr>
          <w:sz w:val="24"/>
        </w:rPr>
        <w:t>health</w:t>
      </w:r>
      <w:r>
        <w:rPr>
          <w:spacing w:val="-4"/>
          <w:sz w:val="24"/>
        </w:rPr>
        <w:t> </w:t>
      </w:r>
      <w:r>
        <w:rPr>
          <w:sz w:val="24"/>
        </w:rPr>
        <w:t>plans</w:t>
      </w:r>
      <w:r>
        <w:rPr>
          <w:spacing w:val="-5"/>
          <w:sz w:val="24"/>
        </w:rPr>
        <w:t> </w:t>
      </w:r>
      <w:r>
        <w:rPr>
          <w:sz w:val="24"/>
        </w:rPr>
        <w:t>and</w:t>
      </w:r>
      <w:r>
        <w:rPr>
          <w:spacing w:val="-4"/>
          <w:sz w:val="24"/>
        </w:rPr>
        <w:t> </w:t>
      </w:r>
      <w:r>
        <w:rPr>
          <w:sz w:val="24"/>
        </w:rPr>
        <w:t>health</w:t>
      </w:r>
      <w:r>
        <w:rPr>
          <w:spacing w:val="-2"/>
          <w:sz w:val="24"/>
        </w:rPr>
        <w:t> </w:t>
      </w:r>
      <w:r>
        <w:rPr>
          <w:sz w:val="24"/>
        </w:rPr>
        <w:t>care</w:t>
      </w:r>
      <w:r>
        <w:rPr>
          <w:spacing w:val="-4"/>
          <w:sz w:val="24"/>
        </w:rPr>
        <w:t> </w:t>
      </w:r>
      <w:r>
        <w:rPr>
          <w:sz w:val="24"/>
        </w:rPr>
        <w:t>providers</w:t>
      </w:r>
      <w:r>
        <w:rPr>
          <w:spacing w:val="-3"/>
          <w:sz w:val="24"/>
        </w:rPr>
        <w:t> </w:t>
      </w:r>
      <w:r>
        <w:rPr>
          <w:sz w:val="24"/>
        </w:rPr>
        <w:t>for</w:t>
      </w:r>
      <w:r>
        <w:rPr>
          <w:spacing w:val="-5"/>
          <w:sz w:val="24"/>
        </w:rPr>
        <w:t> </w:t>
      </w:r>
      <w:r>
        <w:rPr>
          <w:sz w:val="24"/>
        </w:rPr>
        <w:t>PPD</w:t>
      </w:r>
      <w:r>
        <w:rPr>
          <w:spacing w:val="-2"/>
          <w:sz w:val="24"/>
        </w:rPr>
        <w:t> </w:t>
      </w:r>
      <w:r>
        <w:rPr>
          <w:sz w:val="24"/>
        </w:rPr>
        <w:t>screening data reporting;</w:t>
      </w:r>
    </w:p>
    <w:p>
      <w:pPr>
        <w:pStyle w:val="ListParagraph"/>
        <w:numPr>
          <w:ilvl w:val="0"/>
          <w:numId w:val="1"/>
        </w:numPr>
        <w:tabs>
          <w:tab w:pos="1099" w:val="left" w:leader="none"/>
          <w:tab w:pos="1100" w:val="left" w:leader="none"/>
        </w:tabs>
        <w:spacing w:line="240" w:lineRule="auto" w:before="59" w:after="0"/>
        <w:ind w:left="1100" w:right="1717" w:hanging="360"/>
        <w:jc w:val="left"/>
        <w:rPr>
          <w:sz w:val="24"/>
        </w:rPr>
      </w:pPr>
      <w:r>
        <w:rPr>
          <w:sz w:val="24"/>
        </w:rPr>
        <w:t>Issuing</w:t>
      </w:r>
      <w:r>
        <w:rPr>
          <w:spacing w:val="-3"/>
          <w:sz w:val="24"/>
        </w:rPr>
        <w:t> </w:t>
      </w:r>
      <w:r>
        <w:rPr>
          <w:sz w:val="24"/>
        </w:rPr>
        <w:t>regulations</w:t>
      </w:r>
      <w:r>
        <w:rPr>
          <w:spacing w:val="-5"/>
          <w:sz w:val="24"/>
        </w:rPr>
        <w:t> </w:t>
      </w:r>
      <w:r>
        <w:rPr>
          <w:sz w:val="24"/>
        </w:rPr>
        <w:t>that</w:t>
      </w:r>
      <w:r>
        <w:rPr>
          <w:spacing w:val="-1"/>
          <w:sz w:val="24"/>
        </w:rPr>
        <w:t> </w:t>
      </w:r>
      <w:r>
        <w:rPr>
          <w:sz w:val="24"/>
        </w:rPr>
        <w:t>require</w:t>
      </w:r>
      <w:r>
        <w:rPr>
          <w:spacing w:val="-2"/>
          <w:sz w:val="24"/>
        </w:rPr>
        <w:t> </w:t>
      </w:r>
      <w:r>
        <w:rPr>
          <w:sz w:val="24"/>
        </w:rPr>
        <w:t>health</w:t>
      </w:r>
      <w:r>
        <w:rPr>
          <w:spacing w:val="-4"/>
          <w:sz w:val="24"/>
        </w:rPr>
        <w:t> </w:t>
      </w:r>
      <w:r>
        <w:rPr>
          <w:sz w:val="24"/>
        </w:rPr>
        <w:t>plans</w:t>
      </w:r>
      <w:r>
        <w:rPr>
          <w:spacing w:val="-5"/>
          <w:sz w:val="24"/>
        </w:rPr>
        <w:t> </w:t>
      </w:r>
      <w:r>
        <w:rPr>
          <w:sz w:val="24"/>
        </w:rPr>
        <w:t>and</w:t>
      </w:r>
      <w:r>
        <w:rPr>
          <w:spacing w:val="-4"/>
          <w:sz w:val="24"/>
        </w:rPr>
        <w:t> </w:t>
      </w:r>
      <w:r>
        <w:rPr>
          <w:sz w:val="24"/>
        </w:rPr>
        <w:t>health</w:t>
      </w:r>
      <w:r>
        <w:rPr>
          <w:spacing w:val="-1"/>
          <w:sz w:val="24"/>
        </w:rPr>
        <w:t> </w:t>
      </w:r>
      <w:r>
        <w:rPr>
          <w:sz w:val="24"/>
        </w:rPr>
        <w:t>care</w:t>
      </w:r>
      <w:r>
        <w:rPr>
          <w:spacing w:val="-4"/>
          <w:sz w:val="24"/>
        </w:rPr>
        <w:t> </w:t>
      </w:r>
      <w:r>
        <w:rPr>
          <w:sz w:val="24"/>
        </w:rPr>
        <w:t>providers</w:t>
      </w:r>
      <w:r>
        <w:rPr>
          <w:spacing w:val="-5"/>
          <w:sz w:val="24"/>
        </w:rPr>
        <w:t> </w:t>
      </w:r>
      <w:r>
        <w:rPr>
          <w:sz w:val="24"/>
        </w:rPr>
        <w:t>to</w:t>
      </w:r>
      <w:r>
        <w:rPr>
          <w:spacing w:val="-7"/>
          <w:sz w:val="24"/>
        </w:rPr>
        <w:t> </w:t>
      </w:r>
      <w:r>
        <w:rPr>
          <w:sz w:val="24"/>
        </w:rPr>
        <w:t>annually submit data on screening for postpartum depression; and</w:t>
      </w:r>
    </w:p>
    <w:p>
      <w:pPr>
        <w:pStyle w:val="ListParagraph"/>
        <w:numPr>
          <w:ilvl w:val="0"/>
          <w:numId w:val="1"/>
        </w:numPr>
        <w:tabs>
          <w:tab w:pos="1099" w:val="left" w:leader="none"/>
          <w:tab w:pos="1100" w:val="left" w:leader="none"/>
        </w:tabs>
        <w:spacing w:line="240" w:lineRule="auto" w:before="60" w:after="0"/>
        <w:ind w:left="1100" w:right="1945" w:hanging="360"/>
        <w:jc w:val="left"/>
        <w:rPr>
          <w:sz w:val="24"/>
        </w:rPr>
      </w:pPr>
      <w:r>
        <w:rPr>
          <w:sz w:val="24"/>
        </w:rPr>
        <w:t>Issuing</w:t>
      </w:r>
      <w:r>
        <w:rPr>
          <w:spacing w:val="-3"/>
          <w:sz w:val="24"/>
        </w:rPr>
        <w:t> </w:t>
      </w:r>
      <w:r>
        <w:rPr>
          <w:sz w:val="24"/>
        </w:rPr>
        <w:t>an</w:t>
      </w:r>
      <w:r>
        <w:rPr>
          <w:spacing w:val="-4"/>
          <w:sz w:val="24"/>
        </w:rPr>
        <w:t> </w:t>
      </w:r>
      <w:r>
        <w:rPr>
          <w:sz w:val="24"/>
        </w:rPr>
        <w:t>annual</w:t>
      </w:r>
      <w:r>
        <w:rPr>
          <w:spacing w:val="-5"/>
          <w:sz w:val="24"/>
        </w:rPr>
        <w:t> </w:t>
      </w:r>
      <w:r>
        <w:rPr>
          <w:sz w:val="24"/>
        </w:rPr>
        <w:t>summary</w:t>
      </w:r>
      <w:r>
        <w:rPr>
          <w:spacing w:val="-3"/>
          <w:sz w:val="24"/>
        </w:rPr>
        <w:t> </w:t>
      </w:r>
      <w:r>
        <w:rPr>
          <w:sz w:val="24"/>
        </w:rPr>
        <w:t>of</w:t>
      </w:r>
      <w:r>
        <w:rPr>
          <w:spacing w:val="-4"/>
          <w:sz w:val="24"/>
        </w:rPr>
        <w:t> </w:t>
      </w:r>
      <w:r>
        <w:rPr>
          <w:sz w:val="24"/>
        </w:rPr>
        <w:t>the</w:t>
      </w:r>
      <w:r>
        <w:rPr>
          <w:spacing w:val="-2"/>
          <w:sz w:val="24"/>
        </w:rPr>
        <w:t> </w:t>
      </w:r>
      <w:r>
        <w:rPr>
          <w:sz w:val="24"/>
        </w:rPr>
        <w:t>activities</w:t>
      </w:r>
      <w:r>
        <w:rPr>
          <w:spacing w:val="-3"/>
          <w:sz w:val="24"/>
        </w:rPr>
        <w:t> </w:t>
      </w:r>
      <w:r>
        <w:rPr>
          <w:sz w:val="24"/>
        </w:rPr>
        <w:t>related</w:t>
      </w:r>
      <w:r>
        <w:rPr>
          <w:spacing w:val="-2"/>
          <w:sz w:val="24"/>
        </w:rPr>
        <w:t> </w:t>
      </w:r>
      <w:r>
        <w:rPr>
          <w:sz w:val="24"/>
        </w:rPr>
        <w:t>to</w:t>
      </w:r>
      <w:r>
        <w:rPr>
          <w:spacing w:val="-2"/>
          <w:sz w:val="24"/>
        </w:rPr>
        <w:t> </w:t>
      </w:r>
      <w:r>
        <w:rPr>
          <w:sz w:val="24"/>
        </w:rPr>
        <w:t>screening</w:t>
      </w:r>
      <w:r>
        <w:rPr>
          <w:spacing w:val="-5"/>
          <w:sz w:val="24"/>
        </w:rPr>
        <w:t> </w:t>
      </w:r>
      <w:r>
        <w:rPr>
          <w:sz w:val="24"/>
        </w:rPr>
        <w:t>for</w:t>
      </w:r>
      <w:r>
        <w:rPr>
          <w:spacing w:val="-5"/>
          <w:sz w:val="24"/>
        </w:rPr>
        <w:t> </w:t>
      </w:r>
      <w:r>
        <w:rPr>
          <w:sz w:val="24"/>
        </w:rPr>
        <w:t>postpartum depression including best practices and effective screening tools.</w:t>
      </w:r>
    </w:p>
    <w:p>
      <w:pPr>
        <w:pStyle w:val="BodyText"/>
        <w:spacing w:before="10"/>
        <w:rPr>
          <w:sz w:val="28"/>
        </w:rPr>
      </w:pPr>
    </w:p>
    <w:p>
      <w:pPr>
        <w:pStyle w:val="BodyText"/>
        <w:spacing w:before="1"/>
        <w:ind w:left="380" w:right="1059"/>
      </w:pPr>
      <w:r>
        <w:rPr/>
        <w:t>A legislative requirement outlined in Chapter 313 of the Acts of 2010, </w:t>
      </w:r>
      <w:r>
        <w:rPr>
          <w:i/>
        </w:rPr>
        <w:t>An Act Relative to</w:t>
      </w:r>
      <w:r>
        <w:rPr>
          <w:i/>
        </w:rPr>
        <w:t> Postpartum Depression</w:t>
      </w:r>
      <w:r>
        <w:rPr/>
        <w:t>, is the implementation of PPD Screening Regulations, which requires providers</w:t>
      </w:r>
      <w:r>
        <w:rPr>
          <w:spacing w:val="-2"/>
        </w:rPr>
        <w:t> </w:t>
      </w:r>
      <w:r>
        <w:rPr/>
        <w:t>to</w:t>
      </w:r>
      <w:r>
        <w:rPr>
          <w:spacing w:val="-1"/>
        </w:rPr>
        <w:t> </w:t>
      </w:r>
      <w:r>
        <w:rPr/>
        <w:t>report</w:t>
      </w:r>
      <w:r>
        <w:rPr>
          <w:spacing w:val="-3"/>
        </w:rPr>
        <w:t> </w:t>
      </w:r>
      <w:r>
        <w:rPr/>
        <w:t>their</w:t>
      </w:r>
      <w:r>
        <w:rPr>
          <w:spacing w:val="-6"/>
        </w:rPr>
        <w:t> </w:t>
      </w:r>
      <w:r>
        <w:rPr/>
        <w:t>PPD</w:t>
      </w:r>
      <w:r>
        <w:rPr>
          <w:spacing w:val="-2"/>
        </w:rPr>
        <w:t> </w:t>
      </w:r>
      <w:r>
        <w:rPr/>
        <w:t>screening</w:t>
      </w:r>
      <w:r>
        <w:rPr>
          <w:spacing w:val="-2"/>
        </w:rPr>
        <w:t> </w:t>
      </w:r>
      <w:r>
        <w:rPr/>
        <w:t>data</w:t>
      </w:r>
      <w:r>
        <w:rPr>
          <w:spacing w:val="-4"/>
        </w:rPr>
        <w:t> </w:t>
      </w:r>
      <w:r>
        <w:rPr/>
        <w:t>through</w:t>
      </w:r>
      <w:r>
        <w:rPr>
          <w:spacing w:val="-3"/>
        </w:rPr>
        <w:t> </w:t>
      </w:r>
      <w:r>
        <w:rPr/>
        <w:t>the</w:t>
      </w:r>
      <w:r>
        <w:rPr>
          <w:spacing w:val="-3"/>
        </w:rPr>
        <w:t> </w:t>
      </w:r>
      <w:r>
        <w:rPr/>
        <w:t>submission</w:t>
      </w:r>
      <w:r>
        <w:rPr>
          <w:spacing w:val="-3"/>
        </w:rPr>
        <w:t> </w:t>
      </w:r>
      <w:r>
        <w:rPr/>
        <w:t>of</w:t>
      </w:r>
      <w:r>
        <w:rPr>
          <w:spacing w:val="-3"/>
        </w:rPr>
        <w:t> </w:t>
      </w:r>
      <w:r>
        <w:rPr/>
        <w:t>service</w:t>
      </w:r>
      <w:r>
        <w:rPr>
          <w:spacing w:val="-1"/>
        </w:rPr>
        <w:t> </w:t>
      </w:r>
      <w:r>
        <w:rPr/>
        <w:t>codes</w:t>
      </w:r>
      <w:r>
        <w:rPr>
          <w:spacing w:val="-4"/>
        </w:rPr>
        <w:t> </w:t>
      </w:r>
      <w:r>
        <w:rPr/>
        <w:t>to</w:t>
      </w:r>
      <w:r>
        <w:rPr>
          <w:spacing w:val="-3"/>
        </w:rPr>
        <w:t> </w:t>
      </w:r>
      <w:r>
        <w:rPr/>
        <w:t>the</w:t>
      </w:r>
      <w:r>
        <w:rPr>
          <w:spacing w:val="-1"/>
        </w:rPr>
        <w:t> </w:t>
      </w:r>
      <w:r>
        <w:rPr/>
        <w:t>All Payors Claims</w:t>
      </w:r>
      <w:r>
        <w:rPr>
          <w:spacing w:val="-2"/>
        </w:rPr>
        <w:t> </w:t>
      </w:r>
      <w:r>
        <w:rPr/>
        <w:t>Database (APCD). Due to challenges in accessing</w:t>
      </w:r>
      <w:r>
        <w:rPr>
          <w:spacing w:val="-2"/>
        </w:rPr>
        <w:t> </w:t>
      </w:r>
      <w:r>
        <w:rPr/>
        <w:t>the APCD</w:t>
      </w:r>
      <w:r>
        <w:rPr>
          <w:spacing w:val="-1"/>
        </w:rPr>
        <w:t> </w:t>
      </w:r>
      <w:r>
        <w:rPr/>
        <w:t>data</w:t>
      </w:r>
      <w:r>
        <w:rPr>
          <w:spacing w:val="-2"/>
        </w:rPr>
        <w:t> </w:t>
      </w:r>
      <w:r>
        <w:rPr/>
        <w:t>from</w:t>
      </w:r>
      <w:r>
        <w:rPr>
          <w:spacing w:val="-2"/>
        </w:rPr>
        <w:t> </w:t>
      </w:r>
      <w:r>
        <w:rPr/>
        <w:t>the Center for Health Information and Analysis (CHIA) and linking it to the birth data from Vital Records, there have been considerable delays in meeting this annual reporting component. This report provides a summary of activities for calendar year 2020.</w:t>
      </w:r>
    </w:p>
    <w:p>
      <w:pPr>
        <w:spacing w:after="0"/>
        <w:sectPr>
          <w:pgSz w:w="12240" w:h="15840"/>
          <w:pgMar w:header="0" w:footer="765" w:top="1420" w:bottom="960" w:left="1060" w:right="380"/>
        </w:sectPr>
      </w:pPr>
    </w:p>
    <w:p>
      <w:pPr>
        <w:pStyle w:val="Heading1"/>
      </w:pPr>
      <w:bookmarkStart w:name="Report" w:id="4"/>
      <w:bookmarkEnd w:id="4"/>
      <w:r>
        <w:rPr>
          <w:b w:val="0"/>
        </w:rPr>
      </w:r>
      <w:r>
        <w:rPr>
          <w:spacing w:val="-2"/>
        </w:rPr>
        <w:t>Report</w:t>
      </w:r>
    </w:p>
    <w:p>
      <w:pPr>
        <w:pStyle w:val="BodyText"/>
        <w:rPr>
          <w:b/>
          <w:sz w:val="28"/>
        </w:rPr>
      </w:pPr>
    </w:p>
    <w:p>
      <w:pPr>
        <w:pStyle w:val="BodyText"/>
        <w:spacing w:before="1"/>
        <w:ind w:left="380" w:right="1059"/>
      </w:pPr>
      <w:r>
        <w:rPr/>
        <w:t>The Massachusetts Department of Public Health (DPH) collects postpartum depression (PPD) data</w:t>
      </w:r>
      <w:r>
        <w:rPr>
          <w:spacing w:val="-4"/>
        </w:rPr>
        <w:t> </w:t>
      </w:r>
      <w:r>
        <w:rPr/>
        <w:t>and</w:t>
      </w:r>
      <w:r>
        <w:rPr>
          <w:spacing w:val="-1"/>
        </w:rPr>
        <w:t> </w:t>
      </w:r>
      <w:r>
        <w:rPr/>
        <w:t>funds</w:t>
      </w:r>
      <w:r>
        <w:rPr>
          <w:spacing w:val="-3"/>
        </w:rPr>
        <w:t> </w:t>
      </w:r>
      <w:r>
        <w:rPr/>
        <w:t>several</w:t>
      </w:r>
      <w:r>
        <w:rPr>
          <w:spacing w:val="-3"/>
        </w:rPr>
        <w:t> </w:t>
      </w:r>
      <w:r>
        <w:rPr/>
        <w:t>programs</w:t>
      </w:r>
      <w:r>
        <w:rPr>
          <w:spacing w:val="-3"/>
        </w:rPr>
        <w:t> </w:t>
      </w:r>
      <w:r>
        <w:rPr/>
        <w:t>in</w:t>
      </w:r>
      <w:r>
        <w:rPr>
          <w:spacing w:val="-3"/>
        </w:rPr>
        <w:t> </w:t>
      </w:r>
      <w:r>
        <w:rPr/>
        <w:t>PPD</w:t>
      </w:r>
      <w:r>
        <w:rPr>
          <w:spacing w:val="-1"/>
        </w:rPr>
        <w:t> </w:t>
      </w:r>
      <w:r>
        <w:rPr/>
        <w:t>service</w:t>
      </w:r>
      <w:r>
        <w:rPr>
          <w:spacing w:val="-2"/>
        </w:rPr>
        <w:t> </w:t>
      </w:r>
      <w:r>
        <w:rPr/>
        <w:t>provision.</w:t>
      </w:r>
      <w:r>
        <w:rPr>
          <w:spacing w:val="-3"/>
        </w:rPr>
        <w:t> </w:t>
      </w:r>
      <w:r>
        <w:rPr/>
        <w:t>Below</w:t>
      </w:r>
      <w:r>
        <w:rPr>
          <w:spacing w:val="-1"/>
        </w:rPr>
        <w:t> </w:t>
      </w:r>
      <w:r>
        <w:rPr/>
        <w:t>is</w:t>
      </w:r>
      <w:r>
        <w:rPr>
          <w:spacing w:val="-4"/>
        </w:rPr>
        <w:t> </w:t>
      </w:r>
      <w:r>
        <w:rPr/>
        <w:t>a</w:t>
      </w:r>
      <w:r>
        <w:rPr>
          <w:spacing w:val="-2"/>
        </w:rPr>
        <w:t> </w:t>
      </w:r>
      <w:r>
        <w:rPr/>
        <w:t>summary</w:t>
      </w:r>
      <w:r>
        <w:rPr>
          <w:spacing w:val="-3"/>
        </w:rPr>
        <w:t> </w:t>
      </w:r>
      <w:r>
        <w:rPr/>
        <w:t>of</w:t>
      </w:r>
      <w:r>
        <w:rPr>
          <w:spacing w:val="-3"/>
        </w:rPr>
        <w:t> </w:t>
      </w:r>
      <w:r>
        <w:rPr/>
        <w:t>the</w:t>
      </w:r>
      <w:r>
        <w:rPr>
          <w:spacing w:val="-3"/>
        </w:rPr>
        <w:t> </w:t>
      </w:r>
      <w:r>
        <w:rPr/>
        <w:t>PPD</w:t>
      </w:r>
      <w:r>
        <w:rPr>
          <w:spacing w:val="-3"/>
        </w:rPr>
        <w:t> </w:t>
      </w:r>
      <w:r>
        <w:rPr/>
        <w:t>data collected and activities conducted in calendar year 2020 (CY20).</w:t>
      </w:r>
    </w:p>
    <w:p>
      <w:pPr>
        <w:pStyle w:val="BodyText"/>
        <w:spacing w:before="10"/>
        <w:rPr>
          <w:sz w:val="27"/>
        </w:rPr>
      </w:pPr>
    </w:p>
    <w:p>
      <w:pPr>
        <w:pStyle w:val="Heading2"/>
      </w:pPr>
      <w:r>
        <w:rPr/>
        <w:t>PPD</w:t>
      </w:r>
      <w:r>
        <w:rPr>
          <w:spacing w:val="-4"/>
        </w:rPr>
        <w:t> </w:t>
      </w:r>
      <w:r>
        <w:rPr/>
        <w:t>Regulations</w:t>
      </w:r>
      <w:r>
        <w:rPr>
          <w:spacing w:val="-2"/>
        </w:rPr>
        <w:t> </w:t>
      </w:r>
      <w:r>
        <w:rPr/>
        <w:t>-</w:t>
      </w:r>
      <w:r>
        <w:rPr>
          <w:spacing w:val="-2"/>
        </w:rPr>
        <w:t> </w:t>
      </w:r>
      <w:r>
        <w:rPr/>
        <w:t>105</w:t>
      </w:r>
      <w:r>
        <w:rPr>
          <w:spacing w:val="-1"/>
        </w:rPr>
        <w:t> </w:t>
      </w:r>
      <w:r>
        <w:rPr/>
        <w:t>CMR</w:t>
      </w:r>
      <w:r>
        <w:rPr>
          <w:spacing w:val="-2"/>
        </w:rPr>
        <w:t> 271.000</w:t>
      </w:r>
    </w:p>
    <w:p>
      <w:pPr>
        <w:pStyle w:val="BodyText"/>
        <w:spacing w:before="2"/>
        <w:rPr>
          <w:b/>
        </w:rPr>
      </w:pPr>
    </w:p>
    <w:p>
      <w:pPr>
        <w:pStyle w:val="BodyText"/>
        <w:ind w:left="380" w:right="1059"/>
      </w:pPr>
      <w:r>
        <w:rPr>
          <w:i/>
        </w:rPr>
        <w:t>An</w:t>
      </w:r>
      <w:r>
        <w:rPr>
          <w:i/>
          <w:spacing w:val="-2"/>
        </w:rPr>
        <w:t> </w:t>
      </w:r>
      <w:r>
        <w:rPr>
          <w:i/>
        </w:rPr>
        <w:t>Act</w:t>
      </w:r>
      <w:r>
        <w:rPr>
          <w:i/>
          <w:spacing w:val="-3"/>
        </w:rPr>
        <w:t> </w:t>
      </w:r>
      <w:r>
        <w:rPr>
          <w:i/>
        </w:rPr>
        <w:t>Relative</w:t>
      </w:r>
      <w:r>
        <w:rPr>
          <w:i/>
          <w:spacing w:val="-3"/>
        </w:rPr>
        <w:t> </w:t>
      </w:r>
      <w:r>
        <w:rPr>
          <w:i/>
        </w:rPr>
        <w:t>to</w:t>
      </w:r>
      <w:r>
        <w:rPr>
          <w:i/>
          <w:spacing w:val="-5"/>
        </w:rPr>
        <w:t> </w:t>
      </w:r>
      <w:r>
        <w:rPr>
          <w:i/>
        </w:rPr>
        <w:t>Postpartum</w:t>
      </w:r>
      <w:r>
        <w:rPr>
          <w:i/>
          <w:spacing w:val="-2"/>
        </w:rPr>
        <w:t> </w:t>
      </w:r>
      <w:r>
        <w:rPr>
          <w:i/>
        </w:rPr>
        <w:t>Depression,</w:t>
      </w:r>
      <w:r>
        <w:rPr>
          <w:i/>
          <w:spacing w:val="-2"/>
        </w:rPr>
        <w:t> </w:t>
      </w:r>
      <w:r>
        <w:rPr>
          <w:i/>
        </w:rPr>
        <w:t>Chapter</w:t>
      </w:r>
      <w:r>
        <w:rPr>
          <w:i/>
          <w:spacing w:val="-2"/>
        </w:rPr>
        <w:t> </w:t>
      </w:r>
      <w:r>
        <w:rPr>
          <w:i/>
        </w:rPr>
        <w:t>313</w:t>
      </w:r>
      <w:r>
        <w:rPr>
          <w:i/>
          <w:spacing w:val="-1"/>
        </w:rPr>
        <w:t> </w:t>
      </w:r>
      <w:r>
        <w:rPr>
          <w:i/>
        </w:rPr>
        <w:t>of the</w:t>
      </w:r>
      <w:r>
        <w:rPr>
          <w:i/>
          <w:spacing w:val="-4"/>
        </w:rPr>
        <w:t> </w:t>
      </w:r>
      <w:r>
        <w:rPr>
          <w:i/>
        </w:rPr>
        <w:t>Acts</w:t>
      </w:r>
      <w:r>
        <w:rPr>
          <w:i/>
          <w:spacing w:val="-1"/>
        </w:rPr>
        <w:t> </w:t>
      </w:r>
      <w:r>
        <w:rPr>
          <w:i/>
        </w:rPr>
        <w:t>of</w:t>
      </w:r>
      <w:r>
        <w:rPr>
          <w:i/>
          <w:spacing w:val="-3"/>
        </w:rPr>
        <w:t> </w:t>
      </w:r>
      <w:r>
        <w:rPr>
          <w:i/>
        </w:rPr>
        <w:t>2010</w:t>
      </w:r>
      <w:r>
        <w:rPr>
          <w:i/>
          <w:spacing w:val="-3"/>
        </w:rPr>
        <w:t> </w:t>
      </w:r>
      <w:r>
        <w:rPr/>
        <w:t>charged</w:t>
      </w:r>
      <w:r>
        <w:rPr>
          <w:spacing w:val="-3"/>
        </w:rPr>
        <w:t> </w:t>
      </w:r>
      <w:r>
        <w:rPr/>
        <w:t>DPH</w:t>
      </w:r>
      <w:r>
        <w:rPr>
          <w:spacing w:val="-5"/>
        </w:rPr>
        <w:t> </w:t>
      </w:r>
      <w:r>
        <w:rPr/>
        <w:t>to</w:t>
      </w:r>
      <w:r>
        <w:rPr>
          <w:spacing w:val="-3"/>
        </w:rPr>
        <w:t> </w:t>
      </w:r>
      <w:r>
        <w:rPr/>
        <w:t>issue regulations</w:t>
      </w:r>
      <w:r>
        <w:rPr>
          <w:spacing w:val="-2"/>
        </w:rPr>
        <w:t> </w:t>
      </w:r>
      <w:r>
        <w:rPr/>
        <w:t>that</w:t>
      </w:r>
      <w:r>
        <w:rPr>
          <w:spacing w:val="-1"/>
        </w:rPr>
        <w:t> </w:t>
      </w:r>
      <w:r>
        <w:rPr/>
        <w:t>require</w:t>
      </w:r>
      <w:r>
        <w:rPr>
          <w:spacing w:val="-2"/>
        </w:rPr>
        <w:t> </w:t>
      </w:r>
      <w:r>
        <w:rPr/>
        <w:t>carriers and</w:t>
      </w:r>
      <w:r>
        <w:rPr>
          <w:spacing w:val="-1"/>
        </w:rPr>
        <w:t> </w:t>
      </w:r>
      <w:r>
        <w:rPr/>
        <w:t>health care</w:t>
      </w:r>
      <w:r>
        <w:rPr>
          <w:spacing w:val="-1"/>
        </w:rPr>
        <w:t> </w:t>
      </w:r>
      <w:r>
        <w:rPr/>
        <w:t>providers to annually submit</w:t>
      </w:r>
      <w:r>
        <w:rPr>
          <w:spacing w:val="-1"/>
        </w:rPr>
        <w:t> </w:t>
      </w:r>
      <w:r>
        <w:rPr/>
        <w:t>data on screening for PPD. This data reporting is intended to help DPH understand statewide PPD screening patterns and outcomes, to improve the detection of this prevalent condition and ultimately facilitate treatment for birthing parents in need of help.</w:t>
      </w:r>
    </w:p>
    <w:p>
      <w:pPr>
        <w:pStyle w:val="BodyText"/>
        <w:spacing w:before="11"/>
        <w:rPr>
          <w:sz w:val="23"/>
        </w:rPr>
      </w:pPr>
    </w:p>
    <w:p>
      <w:pPr>
        <w:pStyle w:val="BodyText"/>
        <w:spacing w:before="1"/>
        <w:ind w:left="380" w:right="1059"/>
      </w:pPr>
      <w:r>
        <w:rPr/>
        <w:t>The PPD Regulations (105 CMR 271.000) were promulgated in December 2014 and require annual reporting by a provider that conducts or oversees screening for PPD, using a validated screening</w:t>
      </w:r>
      <w:r>
        <w:rPr>
          <w:spacing w:val="-5"/>
        </w:rPr>
        <w:t> </w:t>
      </w:r>
      <w:r>
        <w:rPr/>
        <w:t>tool,</w:t>
      </w:r>
      <w:r>
        <w:rPr>
          <w:spacing w:val="-3"/>
        </w:rPr>
        <w:t> </w:t>
      </w:r>
      <w:r>
        <w:rPr/>
        <w:t>during</w:t>
      </w:r>
      <w:r>
        <w:rPr>
          <w:spacing w:val="-3"/>
        </w:rPr>
        <w:t> </w:t>
      </w:r>
      <w:r>
        <w:rPr/>
        <w:t>a</w:t>
      </w:r>
      <w:r>
        <w:rPr>
          <w:spacing w:val="-2"/>
        </w:rPr>
        <w:t> </w:t>
      </w:r>
      <w:r>
        <w:rPr/>
        <w:t>routine</w:t>
      </w:r>
      <w:r>
        <w:rPr>
          <w:spacing w:val="-2"/>
        </w:rPr>
        <w:t> </w:t>
      </w:r>
      <w:r>
        <w:rPr/>
        <w:t>clinical</w:t>
      </w:r>
      <w:r>
        <w:rPr>
          <w:spacing w:val="-2"/>
        </w:rPr>
        <w:t> </w:t>
      </w:r>
      <w:r>
        <w:rPr/>
        <w:t>appointment</w:t>
      </w:r>
      <w:r>
        <w:rPr>
          <w:spacing w:val="-4"/>
        </w:rPr>
        <w:t> </w:t>
      </w:r>
      <w:r>
        <w:rPr/>
        <w:t>in</w:t>
      </w:r>
      <w:r>
        <w:rPr>
          <w:spacing w:val="-4"/>
        </w:rPr>
        <w:t> </w:t>
      </w:r>
      <w:r>
        <w:rPr/>
        <w:t>which</w:t>
      </w:r>
      <w:r>
        <w:rPr>
          <w:spacing w:val="-1"/>
        </w:rPr>
        <w:t> </w:t>
      </w:r>
      <w:r>
        <w:rPr/>
        <w:t>medical</w:t>
      </w:r>
      <w:r>
        <w:rPr>
          <w:spacing w:val="-2"/>
        </w:rPr>
        <w:t> </w:t>
      </w:r>
      <w:r>
        <w:rPr/>
        <w:t>services</w:t>
      </w:r>
      <w:r>
        <w:rPr>
          <w:spacing w:val="-3"/>
        </w:rPr>
        <w:t> </w:t>
      </w:r>
      <w:r>
        <w:rPr/>
        <w:t>are</w:t>
      </w:r>
      <w:r>
        <w:rPr>
          <w:spacing w:val="-2"/>
        </w:rPr>
        <w:t> </w:t>
      </w:r>
      <w:r>
        <w:rPr/>
        <w:t>provided</w:t>
      </w:r>
      <w:r>
        <w:rPr>
          <w:spacing w:val="-4"/>
        </w:rPr>
        <w:t> </w:t>
      </w:r>
      <w:r>
        <w:rPr/>
        <w:t>to</w:t>
      </w:r>
      <w:r>
        <w:rPr>
          <w:spacing w:val="-2"/>
        </w:rPr>
        <w:t> </w:t>
      </w:r>
      <w:r>
        <w:rPr/>
        <w:t>a person who has given birth within the previous six months. The regulation also applies to a carrier that receives a claim for this PPD screening.</w:t>
      </w:r>
    </w:p>
    <w:p>
      <w:pPr>
        <w:pStyle w:val="BodyText"/>
        <w:spacing w:before="11"/>
        <w:rPr>
          <w:sz w:val="23"/>
        </w:rPr>
      </w:pPr>
    </w:p>
    <w:p>
      <w:pPr>
        <w:pStyle w:val="Heading2"/>
      </w:pPr>
      <w:r>
        <w:rPr/>
        <w:t>Provider </w:t>
      </w:r>
      <w:r>
        <w:rPr>
          <w:spacing w:val="-4"/>
        </w:rPr>
        <w:t>Data</w:t>
      </w:r>
    </w:p>
    <w:p>
      <w:pPr>
        <w:pStyle w:val="BodyText"/>
        <w:spacing w:before="2"/>
        <w:rPr>
          <w:b/>
        </w:rPr>
      </w:pPr>
    </w:p>
    <w:p>
      <w:pPr>
        <w:pStyle w:val="BodyText"/>
        <w:ind w:left="380" w:right="1059"/>
      </w:pPr>
      <w:r>
        <w:rPr/>
        <w:t>Providers responsible for adhering to these regulations are obstetrician-gynecologists (OB- GYNs), Family</w:t>
      </w:r>
      <w:r>
        <w:rPr>
          <w:spacing w:val="-3"/>
        </w:rPr>
        <w:t> </w:t>
      </w:r>
      <w:r>
        <w:rPr/>
        <w:t>Medicine</w:t>
      </w:r>
      <w:r>
        <w:rPr>
          <w:spacing w:val="-1"/>
        </w:rPr>
        <w:t> </w:t>
      </w:r>
      <w:r>
        <w:rPr/>
        <w:t>Practitioners,</w:t>
      </w:r>
      <w:r>
        <w:rPr>
          <w:spacing w:val="-2"/>
        </w:rPr>
        <w:t> </w:t>
      </w:r>
      <w:r>
        <w:rPr/>
        <w:t>and Advanced Practice Nurses (including</w:t>
      </w:r>
      <w:r>
        <w:rPr>
          <w:spacing w:val="-2"/>
        </w:rPr>
        <w:t> </w:t>
      </w:r>
      <w:r>
        <w:rPr/>
        <w:t>Nurse</w:t>
      </w:r>
      <w:r>
        <w:rPr>
          <w:spacing w:val="-1"/>
        </w:rPr>
        <w:t> </w:t>
      </w:r>
      <w:r>
        <w:rPr/>
        <w:t>Midwives and</w:t>
      </w:r>
      <w:r>
        <w:rPr>
          <w:spacing w:val="-4"/>
        </w:rPr>
        <w:t> </w:t>
      </w:r>
      <w:r>
        <w:rPr/>
        <w:t>Nurse</w:t>
      </w:r>
      <w:r>
        <w:rPr>
          <w:spacing w:val="-2"/>
        </w:rPr>
        <w:t> </w:t>
      </w:r>
      <w:r>
        <w:rPr/>
        <w:t>Practitioners),</w:t>
      </w:r>
      <w:r>
        <w:rPr>
          <w:spacing w:val="-5"/>
        </w:rPr>
        <w:t> </w:t>
      </w:r>
      <w:r>
        <w:rPr/>
        <w:t>and</w:t>
      </w:r>
      <w:r>
        <w:rPr>
          <w:spacing w:val="-4"/>
        </w:rPr>
        <w:t> </w:t>
      </w:r>
      <w:r>
        <w:rPr/>
        <w:t>Physician</w:t>
      </w:r>
      <w:r>
        <w:rPr>
          <w:spacing w:val="-1"/>
        </w:rPr>
        <w:t> </w:t>
      </w:r>
      <w:r>
        <w:rPr/>
        <w:t>Assistants,</w:t>
      </w:r>
      <w:r>
        <w:rPr>
          <w:spacing w:val="-2"/>
        </w:rPr>
        <w:t> </w:t>
      </w:r>
      <w:r>
        <w:rPr/>
        <w:t>who</w:t>
      </w:r>
      <w:r>
        <w:rPr>
          <w:spacing w:val="-4"/>
        </w:rPr>
        <w:t> </w:t>
      </w:r>
      <w:r>
        <w:rPr/>
        <w:t>practice</w:t>
      </w:r>
      <w:r>
        <w:rPr>
          <w:spacing w:val="-2"/>
        </w:rPr>
        <w:t> </w:t>
      </w:r>
      <w:r>
        <w:rPr/>
        <w:t>in</w:t>
      </w:r>
      <w:r>
        <w:rPr>
          <w:spacing w:val="-1"/>
        </w:rPr>
        <w:t> </w:t>
      </w:r>
      <w:r>
        <w:rPr/>
        <w:t>a</w:t>
      </w:r>
      <w:r>
        <w:rPr>
          <w:spacing w:val="-5"/>
        </w:rPr>
        <w:t> </w:t>
      </w:r>
      <w:r>
        <w:rPr/>
        <w:t>family</w:t>
      </w:r>
      <w:r>
        <w:rPr>
          <w:spacing w:val="-3"/>
        </w:rPr>
        <w:t> </w:t>
      </w:r>
      <w:r>
        <w:rPr/>
        <w:t>medicine</w:t>
      </w:r>
      <w:r>
        <w:rPr>
          <w:spacing w:val="-1"/>
        </w:rPr>
        <w:t> </w:t>
      </w:r>
      <w:r>
        <w:rPr/>
        <w:t>or</w:t>
      </w:r>
      <w:r>
        <w:rPr>
          <w:spacing w:val="-5"/>
        </w:rPr>
        <w:t> </w:t>
      </w:r>
      <w:r>
        <w:rPr/>
        <w:t>OB-GYN </w:t>
      </w:r>
      <w:r>
        <w:rPr>
          <w:spacing w:val="-2"/>
        </w:rPr>
        <w:t>setting.</w:t>
      </w:r>
    </w:p>
    <w:p>
      <w:pPr>
        <w:pStyle w:val="BodyText"/>
        <w:spacing w:before="11"/>
        <w:rPr>
          <w:sz w:val="23"/>
        </w:rPr>
      </w:pPr>
    </w:p>
    <w:p>
      <w:pPr>
        <w:pStyle w:val="BodyText"/>
        <w:ind w:left="380" w:right="1487"/>
      </w:pPr>
      <w:r>
        <w:rPr/>
        <w:t>Data</w:t>
      </w:r>
      <w:r>
        <w:rPr>
          <w:spacing w:val="-5"/>
        </w:rPr>
        <w:t> </w:t>
      </w:r>
      <w:r>
        <w:rPr/>
        <w:t>collection</w:t>
      </w:r>
      <w:r>
        <w:rPr>
          <w:spacing w:val="-4"/>
        </w:rPr>
        <w:t> </w:t>
      </w:r>
      <w:r>
        <w:rPr/>
        <w:t>from</w:t>
      </w:r>
      <w:r>
        <w:rPr>
          <w:spacing w:val="-5"/>
        </w:rPr>
        <w:t> </w:t>
      </w:r>
      <w:r>
        <w:rPr/>
        <w:t>providers</w:t>
      </w:r>
      <w:r>
        <w:rPr>
          <w:spacing w:val="-3"/>
        </w:rPr>
        <w:t> </w:t>
      </w:r>
      <w:r>
        <w:rPr/>
        <w:t>began</w:t>
      </w:r>
      <w:r>
        <w:rPr>
          <w:spacing w:val="-4"/>
        </w:rPr>
        <w:t> </w:t>
      </w:r>
      <w:r>
        <w:rPr/>
        <w:t>in</w:t>
      </w:r>
      <w:r>
        <w:rPr>
          <w:spacing w:val="-1"/>
        </w:rPr>
        <w:t> </w:t>
      </w:r>
      <w:r>
        <w:rPr/>
        <w:t>calendar</w:t>
      </w:r>
      <w:r>
        <w:rPr>
          <w:spacing w:val="-5"/>
        </w:rPr>
        <w:t> </w:t>
      </w:r>
      <w:r>
        <w:rPr/>
        <w:t>year</w:t>
      </w:r>
      <w:r>
        <w:rPr>
          <w:spacing w:val="-2"/>
        </w:rPr>
        <w:t> </w:t>
      </w:r>
      <w:r>
        <w:rPr/>
        <w:t>2015.</w:t>
      </w:r>
      <w:r>
        <w:rPr>
          <w:spacing w:val="-3"/>
        </w:rPr>
        <w:t> </w:t>
      </w:r>
      <w:r>
        <w:rPr/>
        <w:t>Providers</w:t>
      </w:r>
      <w:r>
        <w:rPr>
          <w:spacing w:val="-5"/>
        </w:rPr>
        <w:t> </w:t>
      </w:r>
      <w:r>
        <w:rPr/>
        <w:t>may</w:t>
      </w:r>
      <w:r>
        <w:rPr>
          <w:spacing w:val="-3"/>
        </w:rPr>
        <w:t> </w:t>
      </w:r>
      <w:r>
        <w:rPr/>
        <w:t>report</w:t>
      </w:r>
      <w:r>
        <w:rPr>
          <w:spacing w:val="-4"/>
        </w:rPr>
        <w:t> </w:t>
      </w:r>
      <w:r>
        <w:rPr/>
        <w:t>their</w:t>
      </w:r>
      <w:r>
        <w:rPr>
          <w:spacing w:val="-2"/>
        </w:rPr>
        <w:t> </w:t>
      </w:r>
      <w:r>
        <w:rPr/>
        <w:t>PPD Screening data to DPH in one of two ways:</w:t>
      </w:r>
    </w:p>
    <w:p>
      <w:pPr>
        <w:pStyle w:val="BodyText"/>
        <w:spacing w:before="8"/>
        <w:rPr>
          <w:sz w:val="19"/>
        </w:rPr>
      </w:pPr>
    </w:p>
    <w:p>
      <w:pPr>
        <w:pStyle w:val="ListParagraph"/>
        <w:numPr>
          <w:ilvl w:val="0"/>
          <w:numId w:val="2"/>
        </w:numPr>
        <w:tabs>
          <w:tab w:pos="1100" w:val="left" w:leader="none"/>
        </w:tabs>
        <w:spacing w:line="240" w:lineRule="auto" w:before="0" w:after="0"/>
        <w:ind w:left="1099" w:right="1385" w:hanging="360"/>
        <w:jc w:val="left"/>
        <w:rPr>
          <w:sz w:val="24"/>
        </w:rPr>
      </w:pPr>
      <w:r>
        <w:rPr>
          <w:sz w:val="24"/>
        </w:rPr>
        <w:t>Providers can submit an annual written report to DPH by March 1 for the previous calendar</w:t>
      </w:r>
      <w:r>
        <w:rPr>
          <w:spacing w:val="-4"/>
          <w:sz w:val="24"/>
        </w:rPr>
        <w:t> </w:t>
      </w:r>
      <w:r>
        <w:rPr>
          <w:sz w:val="24"/>
        </w:rPr>
        <w:t>year</w:t>
      </w:r>
      <w:r>
        <w:rPr>
          <w:spacing w:val="-4"/>
          <w:sz w:val="24"/>
        </w:rPr>
        <w:t> </w:t>
      </w:r>
      <w:r>
        <w:rPr>
          <w:sz w:val="24"/>
        </w:rPr>
        <w:t>using</w:t>
      </w:r>
      <w:r>
        <w:rPr>
          <w:spacing w:val="-4"/>
          <w:sz w:val="24"/>
        </w:rPr>
        <w:t> </w:t>
      </w:r>
      <w:r>
        <w:rPr>
          <w:sz w:val="24"/>
        </w:rPr>
        <w:t>the</w:t>
      </w:r>
      <w:r>
        <w:rPr>
          <w:spacing w:val="-2"/>
          <w:sz w:val="24"/>
        </w:rPr>
        <w:t> </w:t>
      </w:r>
      <w:r>
        <w:rPr>
          <w:sz w:val="24"/>
        </w:rPr>
        <w:t>“Annual</w:t>
      </w:r>
      <w:r>
        <w:rPr>
          <w:spacing w:val="-2"/>
          <w:sz w:val="24"/>
        </w:rPr>
        <w:t> </w:t>
      </w:r>
      <w:r>
        <w:rPr>
          <w:sz w:val="24"/>
        </w:rPr>
        <w:t>PPD</w:t>
      </w:r>
      <w:r>
        <w:rPr>
          <w:spacing w:val="-3"/>
          <w:sz w:val="24"/>
        </w:rPr>
        <w:t> </w:t>
      </w:r>
      <w:r>
        <w:rPr>
          <w:sz w:val="24"/>
        </w:rPr>
        <w:t>Data</w:t>
      </w:r>
      <w:r>
        <w:rPr>
          <w:spacing w:val="-2"/>
          <w:sz w:val="24"/>
        </w:rPr>
        <w:t> </w:t>
      </w:r>
      <w:r>
        <w:rPr>
          <w:sz w:val="24"/>
        </w:rPr>
        <w:t>Reporting</w:t>
      </w:r>
      <w:r>
        <w:rPr>
          <w:spacing w:val="-3"/>
          <w:sz w:val="24"/>
        </w:rPr>
        <w:t> </w:t>
      </w:r>
      <w:r>
        <w:rPr>
          <w:sz w:val="24"/>
        </w:rPr>
        <w:t>Form”</w:t>
      </w:r>
      <w:r>
        <w:rPr>
          <w:spacing w:val="-3"/>
          <w:sz w:val="24"/>
        </w:rPr>
        <w:t> </w:t>
      </w:r>
      <w:r>
        <w:rPr>
          <w:sz w:val="24"/>
        </w:rPr>
        <w:t>available</w:t>
      </w:r>
      <w:r>
        <w:rPr>
          <w:spacing w:val="-2"/>
          <w:sz w:val="24"/>
        </w:rPr>
        <w:t> </w:t>
      </w:r>
      <w:r>
        <w:rPr>
          <w:sz w:val="24"/>
        </w:rPr>
        <w:t>on</w:t>
      </w:r>
      <w:r>
        <w:rPr>
          <w:spacing w:val="-3"/>
          <w:sz w:val="24"/>
        </w:rPr>
        <w:t> </w:t>
      </w:r>
      <w:r>
        <w:rPr>
          <w:sz w:val="24"/>
        </w:rPr>
        <w:t>the</w:t>
      </w:r>
      <w:r>
        <w:rPr>
          <w:spacing w:val="-2"/>
          <w:sz w:val="24"/>
        </w:rPr>
        <w:t> </w:t>
      </w:r>
      <w:hyperlink r:id="rId14">
        <w:r>
          <w:rPr>
            <w:color w:val="0000FF"/>
            <w:sz w:val="24"/>
            <w:u w:val="single" w:color="0000FF"/>
          </w:rPr>
          <w:t>DPH</w:t>
        </w:r>
        <w:r>
          <w:rPr>
            <w:color w:val="0000FF"/>
            <w:spacing w:val="-5"/>
            <w:sz w:val="24"/>
            <w:u w:val="single" w:color="0000FF"/>
          </w:rPr>
          <w:t> </w:t>
        </w:r>
        <w:r>
          <w:rPr>
            <w:color w:val="0000FF"/>
            <w:sz w:val="24"/>
            <w:u w:val="single" w:color="0000FF"/>
          </w:rPr>
          <w:t>web</w:t>
        </w:r>
      </w:hyperlink>
      <w:r>
        <w:rPr>
          <w:color w:val="0000FF"/>
          <w:sz w:val="24"/>
        </w:rPr>
        <w:t> </w:t>
      </w:r>
      <w:hyperlink r:id="rId14">
        <w:r>
          <w:rPr>
            <w:color w:val="0000FF"/>
            <w:sz w:val="24"/>
            <w:u w:val="single" w:color="0000FF"/>
          </w:rPr>
          <w:t>page dedicated to PPD</w:t>
        </w:r>
      </w:hyperlink>
      <w:r>
        <w:rPr>
          <w:sz w:val="24"/>
        </w:rPr>
        <w:t>.</w:t>
      </w:r>
    </w:p>
    <w:p>
      <w:pPr>
        <w:pStyle w:val="BodyText"/>
        <w:spacing w:before="9"/>
        <w:rPr>
          <w:sz w:val="19"/>
        </w:rPr>
      </w:pPr>
    </w:p>
    <w:p>
      <w:pPr>
        <w:pStyle w:val="ListParagraph"/>
        <w:numPr>
          <w:ilvl w:val="0"/>
          <w:numId w:val="2"/>
        </w:numPr>
        <w:tabs>
          <w:tab w:pos="1100" w:val="left" w:leader="none"/>
        </w:tabs>
        <w:spacing w:line="240" w:lineRule="auto" w:before="51" w:after="0"/>
        <w:ind w:left="1099" w:right="1235" w:hanging="360"/>
        <w:jc w:val="left"/>
        <w:rPr>
          <w:sz w:val="24"/>
        </w:rPr>
      </w:pPr>
      <w:r>
        <w:rPr>
          <w:sz w:val="24"/>
        </w:rPr>
        <w:t>Alternatively, providers may use the Healthcare Common Procedure Coding System (HCPCS) code of S3005 (Performance Measurement, Evaluation of Patient Self- Assessment,</w:t>
      </w:r>
      <w:r>
        <w:rPr>
          <w:spacing w:val="-5"/>
          <w:sz w:val="24"/>
        </w:rPr>
        <w:t> </w:t>
      </w:r>
      <w:r>
        <w:rPr>
          <w:sz w:val="24"/>
        </w:rPr>
        <w:t>Depression)</w:t>
      </w:r>
      <w:r>
        <w:rPr>
          <w:spacing w:val="-3"/>
          <w:sz w:val="24"/>
        </w:rPr>
        <w:t> </w:t>
      </w:r>
      <w:r>
        <w:rPr>
          <w:sz w:val="24"/>
        </w:rPr>
        <w:t>with</w:t>
      </w:r>
      <w:r>
        <w:rPr>
          <w:spacing w:val="-2"/>
          <w:sz w:val="24"/>
        </w:rPr>
        <w:t> </w:t>
      </w:r>
      <w:r>
        <w:rPr>
          <w:sz w:val="24"/>
        </w:rPr>
        <w:t>a</w:t>
      </w:r>
      <w:r>
        <w:rPr>
          <w:spacing w:val="-5"/>
          <w:sz w:val="24"/>
        </w:rPr>
        <w:t> </w:t>
      </w:r>
      <w:r>
        <w:rPr>
          <w:sz w:val="24"/>
        </w:rPr>
        <w:t>diagnostic</w:t>
      </w:r>
      <w:r>
        <w:rPr>
          <w:spacing w:val="-6"/>
          <w:sz w:val="24"/>
        </w:rPr>
        <w:t> </w:t>
      </w:r>
      <w:r>
        <w:rPr>
          <w:sz w:val="24"/>
        </w:rPr>
        <w:t>range</w:t>
      </w:r>
      <w:r>
        <w:rPr>
          <w:spacing w:val="-7"/>
          <w:sz w:val="24"/>
        </w:rPr>
        <w:t> </w:t>
      </w:r>
      <w:r>
        <w:rPr>
          <w:sz w:val="24"/>
        </w:rPr>
        <w:t>Z39.2</w:t>
      </w:r>
      <w:r>
        <w:rPr>
          <w:spacing w:val="-2"/>
          <w:sz w:val="24"/>
        </w:rPr>
        <w:t> </w:t>
      </w:r>
      <w:r>
        <w:rPr>
          <w:sz w:val="24"/>
        </w:rPr>
        <w:t>(Routine</w:t>
      </w:r>
      <w:r>
        <w:rPr>
          <w:spacing w:val="-2"/>
          <w:sz w:val="24"/>
        </w:rPr>
        <w:t> </w:t>
      </w:r>
      <w:r>
        <w:rPr>
          <w:sz w:val="24"/>
        </w:rPr>
        <w:t>Postpartum</w:t>
      </w:r>
      <w:r>
        <w:rPr>
          <w:spacing w:val="-2"/>
          <w:sz w:val="24"/>
        </w:rPr>
        <w:t> </w:t>
      </w:r>
      <w:r>
        <w:rPr>
          <w:sz w:val="24"/>
        </w:rPr>
        <w:t>follow</w:t>
      </w:r>
      <w:r>
        <w:rPr>
          <w:spacing w:val="-4"/>
          <w:sz w:val="24"/>
        </w:rPr>
        <w:t> </w:t>
      </w:r>
      <w:r>
        <w:rPr>
          <w:sz w:val="24"/>
        </w:rPr>
        <w:t>up, formerly ICD9 V24 - Screening for Postpartum Depression) and with a modifier as a mechanism for reporting PPD screening (see below).</w:t>
      </w:r>
    </w:p>
    <w:p>
      <w:pPr>
        <w:spacing w:after="0" w:line="240" w:lineRule="auto"/>
        <w:jc w:val="left"/>
        <w:rPr>
          <w:sz w:val="24"/>
        </w:rPr>
        <w:sectPr>
          <w:pgSz w:w="12240" w:h="15840"/>
          <w:pgMar w:header="0" w:footer="765" w:top="1420" w:bottom="960" w:left="1060" w:right="380"/>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0"/>
        <w:gridCol w:w="2304"/>
        <w:gridCol w:w="2304"/>
      </w:tblGrid>
      <w:tr>
        <w:trPr>
          <w:trHeight w:val="537" w:hRule="atLeast"/>
        </w:trPr>
        <w:tc>
          <w:tcPr>
            <w:tcW w:w="5760" w:type="dxa"/>
          </w:tcPr>
          <w:p>
            <w:pPr>
              <w:pStyle w:val="TableParagraph"/>
              <w:spacing w:before="133"/>
              <w:ind w:left="107"/>
              <w:rPr>
                <w:b/>
                <w:sz w:val="22"/>
              </w:rPr>
            </w:pPr>
            <w:r>
              <w:rPr>
                <w:b/>
                <w:sz w:val="22"/>
              </w:rPr>
              <w:t>Servicing</w:t>
            </w:r>
            <w:r>
              <w:rPr>
                <w:b/>
                <w:spacing w:val="-5"/>
                <w:sz w:val="22"/>
              </w:rPr>
              <w:t> </w:t>
            </w:r>
            <w:r>
              <w:rPr>
                <w:b/>
                <w:spacing w:val="-2"/>
                <w:sz w:val="22"/>
              </w:rPr>
              <w:t>Provider</w:t>
            </w:r>
          </w:p>
        </w:tc>
        <w:tc>
          <w:tcPr>
            <w:tcW w:w="2304" w:type="dxa"/>
          </w:tcPr>
          <w:p>
            <w:pPr>
              <w:pStyle w:val="TableParagraph"/>
              <w:spacing w:line="268" w:lineRule="exact" w:before="0"/>
              <w:ind w:left="107"/>
              <w:rPr>
                <w:b/>
                <w:sz w:val="22"/>
              </w:rPr>
            </w:pPr>
            <w:r>
              <w:rPr>
                <w:b/>
                <w:sz w:val="22"/>
              </w:rPr>
              <w:t>Modifier</w:t>
            </w:r>
            <w:r>
              <w:rPr>
                <w:b/>
                <w:spacing w:val="-6"/>
                <w:sz w:val="22"/>
              </w:rPr>
              <w:t> </w:t>
            </w:r>
            <w:r>
              <w:rPr>
                <w:b/>
                <w:sz w:val="22"/>
              </w:rPr>
              <w:t>for</w:t>
            </w:r>
            <w:r>
              <w:rPr>
                <w:b/>
                <w:spacing w:val="-3"/>
                <w:sz w:val="22"/>
              </w:rPr>
              <w:t> </w:t>
            </w:r>
            <w:r>
              <w:rPr>
                <w:b/>
                <w:sz w:val="22"/>
              </w:rPr>
              <w:t>use</w:t>
            </w:r>
            <w:r>
              <w:rPr>
                <w:b/>
                <w:spacing w:val="-5"/>
                <w:sz w:val="22"/>
              </w:rPr>
              <w:t> </w:t>
            </w:r>
            <w:r>
              <w:rPr>
                <w:b/>
                <w:spacing w:val="-4"/>
                <w:sz w:val="22"/>
              </w:rPr>
              <w:t>with</w:t>
            </w:r>
          </w:p>
          <w:p>
            <w:pPr>
              <w:pStyle w:val="TableParagraph"/>
              <w:spacing w:line="249" w:lineRule="exact" w:before="0"/>
              <w:ind w:left="107"/>
              <w:rPr>
                <w:b/>
                <w:sz w:val="22"/>
              </w:rPr>
            </w:pPr>
            <w:r>
              <w:rPr>
                <w:b/>
                <w:sz w:val="22"/>
              </w:rPr>
              <w:t>a</w:t>
            </w:r>
            <w:r>
              <w:rPr>
                <w:b/>
                <w:spacing w:val="-4"/>
                <w:sz w:val="22"/>
              </w:rPr>
              <w:t> </w:t>
            </w:r>
            <w:r>
              <w:rPr>
                <w:b/>
                <w:sz w:val="22"/>
              </w:rPr>
              <w:t>positive</w:t>
            </w:r>
            <w:r>
              <w:rPr>
                <w:b/>
                <w:spacing w:val="-3"/>
                <w:sz w:val="22"/>
              </w:rPr>
              <w:t> </w:t>
            </w:r>
            <w:r>
              <w:rPr>
                <w:b/>
                <w:sz w:val="22"/>
              </w:rPr>
              <w:t>PPD</w:t>
            </w:r>
            <w:r>
              <w:rPr>
                <w:b/>
                <w:spacing w:val="-2"/>
                <w:sz w:val="22"/>
              </w:rPr>
              <w:t> screen</w:t>
            </w:r>
          </w:p>
        </w:tc>
        <w:tc>
          <w:tcPr>
            <w:tcW w:w="2304" w:type="dxa"/>
          </w:tcPr>
          <w:p>
            <w:pPr>
              <w:pStyle w:val="TableParagraph"/>
              <w:spacing w:line="268" w:lineRule="exact" w:before="0"/>
              <w:ind w:left="107"/>
              <w:rPr>
                <w:b/>
                <w:sz w:val="22"/>
              </w:rPr>
            </w:pPr>
            <w:r>
              <w:rPr>
                <w:b/>
                <w:sz w:val="22"/>
              </w:rPr>
              <w:t>Modifier</w:t>
            </w:r>
            <w:r>
              <w:rPr>
                <w:b/>
                <w:spacing w:val="-6"/>
                <w:sz w:val="22"/>
              </w:rPr>
              <w:t> </w:t>
            </w:r>
            <w:r>
              <w:rPr>
                <w:b/>
                <w:sz w:val="22"/>
              </w:rPr>
              <w:t>for</w:t>
            </w:r>
            <w:r>
              <w:rPr>
                <w:b/>
                <w:spacing w:val="-3"/>
                <w:sz w:val="22"/>
              </w:rPr>
              <w:t> </w:t>
            </w:r>
            <w:r>
              <w:rPr>
                <w:b/>
                <w:sz w:val="22"/>
              </w:rPr>
              <w:t>use</w:t>
            </w:r>
            <w:r>
              <w:rPr>
                <w:b/>
                <w:spacing w:val="-5"/>
                <w:sz w:val="22"/>
              </w:rPr>
              <w:t> </w:t>
            </w:r>
            <w:r>
              <w:rPr>
                <w:b/>
                <w:spacing w:val="-4"/>
                <w:sz w:val="22"/>
              </w:rPr>
              <w:t>with</w:t>
            </w:r>
          </w:p>
          <w:p>
            <w:pPr>
              <w:pStyle w:val="TableParagraph"/>
              <w:spacing w:line="249" w:lineRule="exact" w:before="0"/>
              <w:ind w:left="107"/>
              <w:rPr>
                <w:b/>
                <w:sz w:val="22"/>
              </w:rPr>
            </w:pPr>
            <w:r>
              <w:rPr>
                <w:b/>
                <w:sz w:val="22"/>
              </w:rPr>
              <w:t>a</w:t>
            </w:r>
            <w:r>
              <w:rPr>
                <w:b/>
                <w:spacing w:val="-2"/>
                <w:sz w:val="22"/>
              </w:rPr>
              <w:t> </w:t>
            </w:r>
            <w:r>
              <w:rPr>
                <w:b/>
                <w:sz w:val="22"/>
              </w:rPr>
              <w:t>negative</w:t>
            </w:r>
            <w:r>
              <w:rPr>
                <w:b/>
                <w:spacing w:val="-4"/>
                <w:sz w:val="22"/>
              </w:rPr>
              <w:t> </w:t>
            </w:r>
            <w:r>
              <w:rPr>
                <w:b/>
                <w:sz w:val="22"/>
              </w:rPr>
              <w:t>PPD</w:t>
            </w:r>
            <w:r>
              <w:rPr>
                <w:b/>
                <w:spacing w:val="-2"/>
                <w:sz w:val="22"/>
              </w:rPr>
              <w:t> screen</w:t>
            </w:r>
          </w:p>
        </w:tc>
      </w:tr>
      <w:tr>
        <w:trPr>
          <w:trHeight w:val="805" w:hRule="atLeast"/>
        </w:trPr>
        <w:tc>
          <w:tcPr>
            <w:tcW w:w="5760" w:type="dxa"/>
          </w:tcPr>
          <w:p>
            <w:pPr>
              <w:pStyle w:val="TableParagraph"/>
              <w:spacing w:before="0"/>
              <w:ind w:left="107"/>
              <w:rPr>
                <w:i/>
                <w:sz w:val="22"/>
              </w:rPr>
            </w:pPr>
            <w:r>
              <w:rPr>
                <w:i/>
                <w:sz w:val="22"/>
              </w:rPr>
              <w:t>OB-GYNs,</w:t>
            </w:r>
            <w:r>
              <w:rPr>
                <w:i/>
                <w:spacing w:val="-4"/>
                <w:sz w:val="22"/>
              </w:rPr>
              <w:t> </w:t>
            </w:r>
            <w:r>
              <w:rPr>
                <w:i/>
                <w:sz w:val="22"/>
              </w:rPr>
              <w:t>Family</w:t>
            </w:r>
            <w:r>
              <w:rPr>
                <w:i/>
                <w:spacing w:val="-7"/>
                <w:sz w:val="22"/>
              </w:rPr>
              <w:t> </w:t>
            </w:r>
            <w:r>
              <w:rPr>
                <w:i/>
                <w:sz w:val="22"/>
              </w:rPr>
              <w:t>Medicine</w:t>
            </w:r>
            <w:r>
              <w:rPr>
                <w:i/>
                <w:spacing w:val="-6"/>
                <w:sz w:val="22"/>
              </w:rPr>
              <w:t> </w:t>
            </w:r>
            <w:r>
              <w:rPr>
                <w:i/>
                <w:sz w:val="22"/>
              </w:rPr>
              <w:t>Practitioners,</w:t>
            </w:r>
            <w:r>
              <w:rPr>
                <w:i/>
                <w:spacing w:val="-4"/>
                <w:sz w:val="22"/>
              </w:rPr>
              <w:t> </w:t>
            </w:r>
            <w:r>
              <w:rPr>
                <w:i/>
                <w:sz w:val="22"/>
              </w:rPr>
              <w:t>Advanced</w:t>
            </w:r>
            <w:r>
              <w:rPr>
                <w:i/>
                <w:spacing w:val="-5"/>
                <w:sz w:val="22"/>
              </w:rPr>
              <w:t> </w:t>
            </w:r>
            <w:r>
              <w:rPr>
                <w:i/>
                <w:sz w:val="22"/>
              </w:rPr>
              <w:t>Practice</w:t>
            </w:r>
            <w:r>
              <w:rPr>
                <w:i/>
                <w:sz w:val="22"/>
              </w:rPr>
              <w:t> Nurses</w:t>
            </w:r>
            <w:r>
              <w:rPr>
                <w:i/>
                <w:spacing w:val="-7"/>
                <w:sz w:val="22"/>
              </w:rPr>
              <w:t> </w:t>
            </w:r>
            <w:r>
              <w:rPr>
                <w:i/>
                <w:sz w:val="22"/>
              </w:rPr>
              <w:t>including</w:t>
            </w:r>
            <w:r>
              <w:rPr>
                <w:i/>
                <w:spacing w:val="-5"/>
                <w:sz w:val="22"/>
              </w:rPr>
              <w:t> </w:t>
            </w:r>
            <w:r>
              <w:rPr>
                <w:i/>
                <w:sz w:val="22"/>
              </w:rPr>
              <w:t>Nurse</w:t>
            </w:r>
            <w:r>
              <w:rPr>
                <w:i/>
                <w:spacing w:val="-6"/>
                <w:sz w:val="22"/>
              </w:rPr>
              <w:t> </w:t>
            </w:r>
            <w:r>
              <w:rPr>
                <w:i/>
                <w:sz w:val="22"/>
              </w:rPr>
              <w:t>Midwifes</w:t>
            </w:r>
            <w:r>
              <w:rPr>
                <w:i/>
                <w:spacing w:val="-3"/>
                <w:sz w:val="22"/>
              </w:rPr>
              <w:t> </w:t>
            </w:r>
            <w:r>
              <w:rPr>
                <w:i/>
                <w:sz w:val="22"/>
              </w:rPr>
              <w:t>and</w:t>
            </w:r>
            <w:r>
              <w:rPr>
                <w:i/>
                <w:spacing w:val="-5"/>
                <w:sz w:val="22"/>
              </w:rPr>
              <w:t> </w:t>
            </w:r>
            <w:r>
              <w:rPr>
                <w:i/>
                <w:sz w:val="22"/>
              </w:rPr>
              <w:t>Nurse</w:t>
            </w:r>
            <w:r>
              <w:rPr>
                <w:i/>
                <w:spacing w:val="-6"/>
                <w:sz w:val="22"/>
              </w:rPr>
              <w:t> </w:t>
            </w:r>
            <w:r>
              <w:rPr>
                <w:i/>
                <w:sz w:val="22"/>
              </w:rPr>
              <w:t>Practitioners,</w:t>
            </w:r>
            <w:r>
              <w:rPr>
                <w:i/>
                <w:spacing w:val="-6"/>
                <w:sz w:val="22"/>
              </w:rPr>
              <w:t> </w:t>
            </w:r>
            <w:r>
              <w:rPr>
                <w:i/>
                <w:spacing w:val="-10"/>
                <w:sz w:val="22"/>
              </w:rPr>
              <w:t>&amp;</w:t>
            </w:r>
          </w:p>
          <w:p>
            <w:pPr>
              <w:pStyle w:val="TableParagraph"/>
              <w:spacing w:line="249" w:lineRule="exact" w:before="0"/>
              <w:ind w:left="107"/>
              <w:rPr>
                <w:i/>
                <w:sz w:val="22"/>
              </w:rPr>
            </w:pPr>
            <w:r>
              <w:rPr>
                <w:i/>
                <w:sz w:val="22"/>
              </w:rPr>
              <w:t>Physician</w:t>
            </w:r>
            <w:r>
              <w:rPr>
                <w:i/>
                <w:spacing w:val="-6"/>
                <w:sz w:val="22"/>
              </w:rPr>
              <w:t> </w:t>
            </w:r>
            <w:r>
              <w:rPr>
                <w:i/>
                <w:spacing w:val="-2"/>
                <w:sz w:val="22"/>
              </w:rPr>
              <w:t>Assistants</w:t>
            </w:r>
          </w:p>
        </w:tc>
        <w:tc>
          <w:tcPr>
            <w:tcW w:w="2304" w:type="dxa"/>
          </w:tcPr>
          <w:p>
            <w:pPr>
              <w:pStyle w:val="TableParagraph"/>
              <w:spacing w:before="11"/>
              <w:rPr>
                <w:sz w:val="21"/>
              </w:rPr>
            </w:pPr>
          </w:p>
          <w:p>
            <w:pPr>
              <w:pStyle w:val="TableParagraph"/>
              <w:spacing w:before="0"/>
              <w:ind w:left="1009" w:right="1001"/>
              <w:jc w:val="center"/>
              <w:rPr>
                <w:sz w:val="22"/>
              </w:rPr>
            </w:pPr>
            <w:r>
              <w:rPr>
                <w:spacing w:val="-5"/>
                <w:sz w:val="22"/>
              </w:rPr>
              <w:t>U1</w:t>
            </w:r>
          </w:p>
        </w:tc>
        <w:tc>
          <w:tcPr>
            <w:tcW w:w="2304" w:type="dxa"/>
          </w:tcPr>
          <w:p>
            <w:pPr>
              <w:pStyle w:val="TableParagraph"/>
              <w:spacing w:before="11"/>
              <w:rPr>
                <w:sz w:val="21"/>
              </w:rPr>
            </w:pPr>
          </w:p>
          <w:p>
            <w:pPr>
              <w:pStyle w:val="TableParagraph"/>
              <w:spacing w:before="0"/>
              <w:ind w:left="1009" w:right="1001"/>
              <w:jc w:val="center"/>
              <w:rPr>
                <w:sz w:val="22"/>
              </w:rPr>
            </w:pPr>
            <w:r>
              <w:rPr>
                <w:spacing w:val="-5"/>
                <w:sz w:val="22"/>
              </w:rPr>
              <w:t>U2</w:t>
            </w:r>
          </w:p>
        </w:tc>
      </w:tr>
    </w:tbl>
    <w:p>
      <w:pPr>
        <w:pStyle w:val="BodyText"/>
        <w:spacing w:before="5"/>
        <w:rPr>
          <w:sz w:val="21"/>
        </w:rPr>
      </w:pPr>
    </w:p>
    <w:p>
      <w:pPr>
        <w:pStyle w:val="BodyText"/>
        <w:spacing w:before="51"/>
        <w:ind w:left="380" w:right="1089"/>
      </w:pPr>
      <w:r>
        <w:rPr/>
        <w:t>Depending on the private carrier, the service code is set to pay at $0.00 or at $0.01. Private carriers</w:t>
      </w:r>
      <w:r>
        <w:rPr>
          <w:spacing w:val="-3"/>
        </w:rPr>
        <w:t> </w:t>
      </w:r>
      <w:r>
        <w:rPr/>
        <w:t>have</w:t>
      </w:r>
      <w:r>
        <w:rPr>
          <w:spacing w:val="-4"/>
        </w:rPr>
        <w:t> </w:t>
      </w:r>
      <w:r>
        <w:rPr/>
        <w:t>been</w:t>
      </w:r>
      <w:r>
        <w:rPr>
          <w:spacing w:val="-4"/>
        </w:rPr>
        <w:t> </w:t>
      </w:r>
      <w:r>
        <w:rPr/>
        <w:t>accepting</w:t>
      </w:r>
      <w:r>
        <w:rPr>
          <w:spacing w:val="-5"/>
        </w:rPr>
        <w:t> </w:t>
      </w:r>
      <w:r>
        <w:rPr/>
        <w:t>this</w:t>
      </w:r>
      <w:r>
        <w:rPr>
          <w:spacing w:val="-5"/>
        </w:rPr>
        <w:t> </w:t>
      </w:r>
      <w:r>
        <w:rPr/>
        <w:t>service</w:t>
      </w:r>
      <w:r>
        <w:rPr>
          <w:spacing w:val="-2"/>
        </w:rPr>
        <w:t> </w:t>
      </w:r>
      <w:r>
        <w:rPr/>
        <w:t>code</w:t>
      </w:r>
      <w:r>
        <w:rPr>
          <w:spacing w:val="-4"/>
        </w:rPr>
        <w:t> </w:t>
      </w:r>
      <w:r>
        <w:rPr/>
        <w:t>from</w:t>
      </w:r>
      <w:r>
        <w:rPr>
          <w:spacing w:val="-2"/>
        </w:rPr>
        <w:t> </w:t>
      </w:r>
      <w:r>
        <w:rPr/>
        <w:t>the</w:t>
      </w:r>
      <w:r>
        <w:rPr>
          <w:spacing w:val="-2"/>
        </w:rPr>
        <w:t> </w:t>
      </w:r>
      <w:r>
        <w:rPr/>
        <w:t>servicing</w:t>
      </w:r>
      <w:r>
        <w:rPr>
          <w:spacing w:val="-5"/>
        </w:rPr>
        <w:t> </w:t>
      </w:r>
      <w:r>
        <w:rPr/>
        <w:t>providers</w:t>
      </w:r>
      <w:r>
        <w:rPr>
          <w:spacing w:val="-3"/>
        </w:rPr>
        <w:t> </w:t>
      </w:r>
      <w:r>
        <w:rPr/>
        <w:t>identified</w:t>
      </w:r>
      <w:r>
        <w:rPr>
          <w:spacing w:val="-4"/>
        </w:rPr>
        <w:t> </w:t>
      </w:r>
      <w:r>
        <w:rPr/>
        <w:t>above</w:t>
      </w:r>
      <w:r>
        <w:rPr>
          <w:spacing w:val="-2"/>
        </w:rPr>
        <w:t> </w:t>
      </w:r>
      <w:r>
        <w:rPr/>
        <w:t>and are reporting it directly to the </w:t>
      </w:r>
      <w:hyperlink r:id="rId15">
        <w:r>
          <w:rPr>
            <w:color w:val="0000FF"/>
            <w:u w:val="single" w:color="0000FF"/>
          </w:rPr>
          <w:t>All Payer Claims Database (APCD)</w:t>
        </w:r>
      </w:hyperlink>
      <w:r>
        <w:rPr>
          <w:color w:val="0000FF"/>
        </w:rPr>
        <w:t> </w:t>
      </w:r>
      <w:r>
        <w:rPr/>
        <w:t>at the Massachusetts </w:t>
      </w:r>
      <w:hyperlink r:id="rId16">
        <w:r>
          <w:rPr>
            <w:color w:val="0000FF"/>
            <w:u w:val="single" w:color="0000FF"/>
          </w:rPr>
          <w:t>Center</w:t>
        </w:r>
      </w:hyperlink>
      <w:r>
        <w:rPr>
          <w:color w:val="0000FF"/>
        </w:rPr>
        <w:t> </w:t>
      </w:r>
      <w:hyperlink r:id="rId16">
        <w:r>
          <w:rPr>
            <w:color w:val="0000FF"/>
            <w:u w:val="single" w:color="0000FF"/>
          </w:rPr>
          <w:t>for Health Information &amp; Analysis (CHIA)</w:t>
        </w:r>
      </w:hyperlink>
      <w:r>
        <w:rPr/>
        <w:t>, as required under PPD Regulations.</w:t>
      </w:r>
    </w:p>
    <w:p>
      <w:pPr>
        <w:pStyle w:val="BodyText"/>
        <w:spacing w:before="9"/>
        <w:rPr>
          <w:sz w:val="19"/>
        </w:rPr>
      </w:pPr>
    </w:p>
    <w:p>
      <w:pPr>
        <w:pStyle w:val="BodyText"/>
        <w:spacing w:before="52"/>
        <w:ind w:left="380" w:right="1487"/>
      </w:pPr>
      <w:r>
        <w:rPr/>
        <w:t>Effective May 16, 2016, </w:t>
      </w:r>
      <w:hyperlink r:id="rId17">
        <w:r>
          <w:rPr>
            <w:color w:val="0000FF"/>
            <w:u w:val="single" w:color="0000FF"/>
          </w:rPr>
          <w:t>MassHealth</w:t>
        </w:r>
      </w:hyperlink>
      <w:r>
        <w:rPr>
          <w:color w:val="0000FF"/>
        </w:rPr>
        <w:t> </w:t>
      </w:r>
      <w:r>
        <w:rPr/>
        <w:t>began paying perinatal care providers for the administration</w:t>
      </w:r>
      <w:r>
        <w:rPr>
          <w:spacing w:val="-4"/>
        </w:rPr>
        <w:t> </w:t>
      </w:r>
      <w:r>
        <w:rPr/>
        <w:t>of</w:t>
      </w:r>
      <w:r>
        <w:rPr>
          <w:spacing w:val="-4"/>
        </w:rPr>
        <w:t> </w:t>
      </w:r>
      <w:r>
        <w:rPr/>
        <w:t>standardized</w:t>
      </w:r>
      <w:r>
        <w:rPr>
          <w:spacing w:val="-4"/>
        </w:rPr>
        <w:t> </w:t>
      </w:r>
      <w:r>
        <w:rPr/>
        <w:t>depression</w:t>
      </w:r>
      <w:r>
        <w:rPr>
          <w:spacing w:val="-4"/>
        </w:rPr>
        <w:t> </w:t>
      </w:r>
      <w:r>
        <w:rPr/>
        <w:t>screening</w:t>
      </w:r>
      <w:r>
        <w:rPr>
          <w:spacing w:val="-3"/>
        </w:rPr>
        <w:t> </w:t>
      </w:r>
      <w:r>
        <w:rPr/>
        <w:t>during</w:t>
      </w:r>
      <w:r>
        <w:rPr>
          <w:spacing w:val="-5"/>
        </w:rPr>
        <w:t> </w:t>
      </w:r>
      <w:r>
        <w:rPr/>
        <w:t>pregnancy</w:t>
      </w:r>
      <w:r>
        <w:rPr>
          <w:spacing w:val="-3"/>
        </w:rPr>
        <w:t> </w:t>
      </w:r>
      <w:r>
        <w:rPr/>
        <w:t>and</w:t>
      </w:r>
      <w:r>
        <w:rPr>
          <w:spacing w:val="-3"/>
        </w:rPr>
        <w:t> </w:t>
      </w:r>
      <w:r>
        <w:rPr/>
        <w:t>the</w:t>
      </w:r>
      <w:r>
        <w:rPr>
          <w:spacing w:val="-5"/>
        </w:rPr>
        <w:t> </w:t>
      </w:r>
      <w:r>
        <w:rPr/>
        <w:t>postpartum period utilizing the above HCPCS code.</w:t>
      </w:r>
    </w:p>
    <w:p>
      <w:pPr>
        <w:pStyle w:val="BodyText"/>
        <w:spacing w:before="1"/>
      </w:pPr>
    </w:p>
    <w:p>
      <w:pPr>
        <w:pStyle w:val="Heading2"/>
      </w:pPr>
      <w:r>
        <w:rPr/>
        <w:t>PPD</w:t>
      </w:r>
      <w:r>
        <w:rPr>
          <w:spacing w:val="-2"/>
        </w:rPr>
        <w:t> </w:t>
      </w:r>
      <w:r>
        <w:rPr/>
        <w:t>Data</w:t>
      </w:r>
      <w:r>
        <w:rPr>
          <w:spacing w:val="-2"/>
        </w:rPr>
        <w:t> </w:t>
      </w:r>
      <w:r>
        <w:rPr/>
        <w:t>Collected</w:t>
      </w:r>
      <w:r>
        <w:rPr>
          <w:spacing w:val="-3"/>
        </w:rPr>
        <w:t> </w:t>
      </w:r>
      <w:r>
        <w:rPr/>
        <w:t>through</w:t>
      </w:r>
      <w:r>
        <w:rPr>
          <w:spacing w:val="-1"/>
        </w:rPr>
        <w:t> </w:t>
      </w:r>
      <w:r>
        <w:rPr/>
        <w:t>Claims</w:t>
      </w:r>
      <w:r>
        <w:rPr>
          <w:spacing w:val="-2"/>
        </w:rPr>
        <w:t> </w:t>
      </w:r>
      <w:r>
        <w:rPr/>
        <w:t>Codes</w:t>
      </w:r>
      <w:r>
        <w:rPr>
          <w:spacing w:val="-1"/>
        </w:rPr>
        <w:t> </w:t>
      </w:r>
      <w:r>
        <w:rPr/>
        <w:t>&amp;</w:t>
      </w:r>
      <w:r>
        <w:rPr>
          <w:spacing w:val="-3"/>
        </w:rPr>
        <w:t> </w:t>
      </w:r>
      <w:r>
        <w:rPr/>
        <w:t>Linkage</w:t>
      </w:r>
      <w:r>
        <w:rPr>
          <w:spacing w:val="-2"/>
        </w:rPr>
        <w:t> </w:t>
      </w:r>
      <w:r>
        <w:rPr/>
        <w:t>with</w:t>
      </w:r>
      <w:r>
        <w:rPr>
          <w:spacing w:val="-2"/>
        </w:rPr>
        <w:t> </w:t>
      </w:r>
      <w:r>
        <w:rPr>
          <w:spacing w:val="-4"/>
        </w:rPr>
        <w:t>APCD</w:t>
      </w:r>
    </w:p>
    <w:p>
      <w:pPr>
        <w:pStyle w:val="BodyText"/>
        <w:rPr>
          <w:b/>
        </w:rPr>
      </w:pPr>
    </w:p>
    <w:p>
      <w:pPr>
        <w:pStyle w:val="BodyText"/>
        <w:ind w:left="380" w:right="1129"/>
      </w:pPr>
      <w:r>
        <w:rPr>
          <w:b/>
        </w:rPr>
        <w:t>Background:</w:t>
      </w:r>
      <w:r>
        <w:rPr>
          <w:b/>
          <w:spacing w:val="-4"/>
        </w:rPr>
        <w:t> </w:t>
      </w:r>
      <w:r>
        <w:rPr/>
        <w:t>Chapter</w:t>
      </w:r>
      <w:r>
        <w:rPr>
          <w:spacing w:val="-5"/>
        </w:rPr>
        <w:t> </w:t>
      </w:r>
      <w:r>
        <w:rPr/>
        <w:t>313</w:t>
      </w:r>
      <w:r>
        <w:rPr>
          <w:spacing w:val="-2"/>
        </w:rPr>
        <w:t> </w:t>
      </w:r>
      <w:r>
        <w:rPr/>
        <w:t>of</w:t>
      </w:r>
      <w:r>
        <w:rPr>
          <w:spacing w:val="-4"/>
        </w:rPr>
        <w:t> </w:t>
      </w:r>
      <w:r>
        <w:rPr/>
        <w:t>the</w:t>
      </w:r>
      <w:r>
        <w:rPr>
          <w:spacing w:val="-4"/>
        </w:rPr>
        <w:t> </w:t>
      </w:r>
      <w:r>
        <w:rPr/>
        <w:t>Acts</w:t>
      </w:r>
      <w:r>
        <w:rPr>
          <w:spacing w:val="-3"/>
        </w:rPr>
        <w:t> </w:t>
      </w:r>
      <w:r>
        <w:rPr/>
        <w:t>of</w:t>
      </w:r>
      <w:r>
        <w:rPr>
          <w:spacing w:val="-1"/>
        </w:rPr>
        <w:t> </w:t>
      </w:r>
      <w:r>
        <w:rPr/>
        <w:t>2010,</w:t>
      </w:r>
      <w:r>
        <w:rPr>
          <w:spacing w:val="-5"/>
        </w:rPr>
        <w:t> </w:t>
      </w:r>
      <w:r>
        <w:rPr/>
        <w:t>An</w:t>
      </w:r>
      <w:r>
        <w:rPr>
          <w:spacing w:val="-6"/>
        </w:rPr>
        <w:t> </w:t>
      </w:r>
      <w:r>
        <w:rPr/>
        <w:t>Act</w:t>
      </w:r>
      <w:r>
        <w:rPr>
          <w:spacing w:val="-1"/>
        </w:rPr>
        <w:t> </w:t>
      </w:r>
      <w:r>
        <w:rPr/>
        <w:t>Relative</w:t>
      </w:r>
      <w:r>
        <w:rPr>
          <w:spacing w:val="-4"/>
        </w:rPr>
        <w:t> </w:t>
      </w:r>
      <w:r>
        <w:rPr/>
        <w:t>to</w:t>
      </w:r>
      <w:r>
        <w:rPr>
          <w:spacing w:val="-2"/>
        </w:rPr>
        <w:t> </w:t>
      </w:r>
      <w:r>
        <w:rPr/>
        <w:t>Postpartum</w:t>
      </w:r>
      <w:r>
        <w:rPr>
          <w:spacing w:val="-2"/>
        </w:rPr>
        <w:t> </w:t>
      </w:r>
      <w:r>
        <w:rPr/>
        <w:t>Depression,</w:t>
      </w:r>
      <w:r>
        <w:rPr>
          <w:spacing w:val="-2"/>
        </w:rPr>
        <w:t> </w:t>
      </w:r>
      <w:r>
        <w:rPr/>
        <w:t>called for submission of data on postpartum depression (PPD) screening to examine the frequency and scope of PPD among new mothers in Massachusetts. PPD defined as depression occurring within 12 months after giving birth, includes feelings of sadness, hopelessness, and anhedonia—the loss of interest in previously pleasurable activities. PPD is an important public health issue with profound long-term consequences for mothers and families if left untreated, including impaired mother-infant bonding, delayed social and cognitive development in children, and increased risk of maternal suicide</w:t>
      </w:r>
    </w:p>
    <w:p>
      <w:pPr>
        <w:pStyle w:val="BodyText"/>
        <w:ind w:left="380" w:right="1487"/>
      </w:pPr>
      <w:r>
        <w:rPr/>
        <w:t>and infant death.</w:t>
      </w:r>
      <w:r>
        <w:rPr>
          <w:spacing w:val="-15"/>
        </w:rPr>
        <w:t> </w:t>
      </w:r>
      <w:r>
        <w:rPr>
          <w:vertAlign w:val="superscript"/>
        </w:rPr>
        <w:t>17</w:t>
      </w:r>
      <w:r>
        <w:rPr>
          <w:vertAlign w:val="baseline"/>
        </w:rPr>
        <w:t> It is recognized that greater than 50% of mothers with PPD are not identified</w:t>
      </w:r>
      <w:r>
        <w:rPr>
          <w:spacing w:val="-2"/>
          <w:vertAlign w:val="baseline"/>
        </w:rPr>
        <w:t> </w:t>
      </w:r>
      <w:r>
        <w:rPr>
          <w:vertAlign w:val="baseline"/>
        </w:rPr>
        <w:t>and</w:t>
      </w:r>
      <w:r>
        <w:rPr>
          <w:spacing w:val="-3"/>
          <w:vertAlign w:val="baseline"/>
        </w:rPr>
        <w:t> </w:t>
      </w:r>
      <w:r>
        <w:rPr>
          <w:vertAlign w:val="baseline"/>
        </w:rPr>
        <w:t>thus</w:t>
      </w:r>
      <w:r>
        <w:rPr>
          <w:spacing w:val="-4"/>
          <w:vertAlign w:val="baseline"/>
        </w:rPr>
        <w:t> </w:t>
      </w:r>
      <w:r>
        <w:rPr>
          <w:vertAlign w:val="baseline"/>
        </w:rPr>
        <w:t>do</w:t>
      </w:r>
      <w:r>
        <w:rPr>
          <w:spacing w:val="-3"/>
          <w:vertAlign w:val="baseline"/>
        </w:rPr>
        <w:t> </w:t>
      </w:r>
      <w:r>
        <w:rPr>
          <w:vertAlign w:val="baseline"/>
        </w:rPr>
        <w:t>not seek</w:t>
      </w:r>
      <w:r>
        <w:rPr>
          <w:spacing w:val="-5"/>
          <w:vertAlign w:val="baseline"/>
        </w:rPr>
        <w:t> </w:t>
      </w:r>
      <w:r>
        <w:rPr>
          <w:vertAlign w:val="baseline"/>
        </w:rPr>
        <w:t>help</w:t>
      </w:r>
      <w:r>
        <w:rPr>
          <w:spacing w:val="-3"/>
          <w:vertAlign w:val="baseline"/>
        </w:rPr>
        <w:t> </w:t>
      </w:r>
      <w:r>
        <w:rPr>
          <w:vertAlign w:val="baseline"/>
        </w:rPr>
        <w:t>from</w:t>
      </w:r>
      <w:r>
        <w:rPr>
          <w:spacing w:val="-1"/>
          <w:vertAlign w:val="baseline"/>
        </w:rPr>
        <w:t> </w:t>
      </w:r>
      <w:r>
        <w:rPr>
          <w:vertAlign w:val="baseline"/>
        </w:rPr>
        <w:t>a</w:t>
      </w:r>
      <w:r>
        <w:rPr>
          <w:spacing w:val="-4"/>
          <w:vertAlign w:val="baseline"/>
        </w:rPr>
        <w:t> </w:t>
      </w:r>
      <w:r>
        <w:rPr>
          <w:vertAlign w:val="baseline"/>
        </w:rPr>
        <w:t>health</w:t>
      </w:r>
      <w:r>
        <w:rPr>
          <w:spacing w:val="-3"/>
          <w:vertAlign w:val="baseline"/>
        </w:rPr>
        <w:t> </w:t>
      </w:r>
      <w:r>
        <w:rPr>
          <w:vertAlign w:val="baseline"/>
        </w:rPr>
        <w:t>care</w:t>
      </w:r>
      <w:r>
        <w:rPr>
          <w:spacing w:val="-1"/>
          <w:vertAlign w:val="baseline"/>
        </w:rPr>
        <w:t> </w:t>
      </w:r>
      <w:r>
        <w:rPr>
          <w:vertAlign w:val="baseline"/>
        </w:rPr>
        <w:t>or</w:t>
      </w:r>
      <w:r>
        <w:rPr>
          <w:spacing w:val="-4"/>
          <w:vertAlign w:val="baseline"/>
        </w:rPr>
        <w:t> </w:t>
      </w:r>
      <w:r>
        <w:rPr>
          <w:vertAlign w:val="baseline"/>
        </w:rPr>
        <w:t>mental</w:t>
      </w:r>
      <w:r>
        <w:rPr>
          <w:spacing w:val="-4"/>
          <w:vertAlign w:val="baseline"/>
        </w:rPr>
        <w:t> </w:t>
      </w:r>
      <w:r>
        <w:rPr>
          <w:vertAlign w:val="baseline"/>
        </w:rPr>
        <w:t>health</w:t>
      </w:r>
      <w:r>
        <w:rPr>
          <w:spacing w:val="-3"/>
          <w:vertAlign w:val="baseline"/>
        </w:rPr>
        <w:t> </w:t>
      </w:r>
      <w:r>
        <w:rPr>
          <w:vertAlign w:val="baseline"/>
        </w:rPr>
        <w:t>professional.</w:t>
      </w:r>
      <w:r>
        <w:rPr>
          <w:spacing w:val="-19"/>
          <w:vertAlign w:val="baseline"/>
        </w:rPr>
        <w:t> </w:t>
      </w:r>
      <w:r>
        <w:rPr>
          <w:vertAlign w:val="superscript"/>
        </w:rPr>
        <w:t>18</w:t>
      </w:r>
    </w:p>
    <w:p>
      <w:pPr>
        <w:pStyle w:val="BodyText"/>
      </w:pPr>
    </w:p>
    <w:p>
      <w:pPr>
        <w:pStyle w:val="BodyText"/>
        <w:spacing w:before="1"/>
        <w:ind w:left="380" w:right="1059"/>
      </w:pPr>
      <w:r>
        <w:rPr>
          <w:b/>
        </w:rPr>
        <w:t>Methodology: </w:t>
      </w:r>
      <w:hyperlink r:id="rId15">
        <w:r>
          <w:rPr>
            <w:color w:val="0000FF"/>
            <w:u w:val="single" w:color="0000FF"/>
          </w:rPr>
          <w:t>Massachusetts All-Payer Claims Database</w:t>
        </w:r>
      </w:hyperlink>
      <w:r>
        <w:rPr>
          <w:color w:val="0000FF"/>
        </w:rPr>
        <w:t> </w:t>
      </w:r>
      <w:r>
        <w:rPr/>
        <w:t>(APCD) collected by the </w:t>
      </w:r>
      <w:hyperlink r:id="rId16">
        <w:r>
          <w:rPr>
            <w:color w:val="0000FF"/>
            <w:u w:val="single" w:color="0000FF"/>
          </w:rPr>
          <w:t>Center for</w:t>
        </w:r>
      </w:hyperlink>
      <w:r>
        <w:rPr>
          <w:color w:val="0000FF"/>
        </w:rPr>
        <w:t> </w:t>
      </w:r>
      <w:hyperlink r:id="rId16">
        <w:r>
          <w:rPr>
            <w:color w:val="0000FF"/>
            <w:u w:val="single" w:color="0000FF"/>
          </w:rPr>
          <w:t>Health Information &amp;</w:t>
        </w:r>
        <w:r>
          <w:rPr>
            <w:color w:val="0000FF"/>
            <w:spacing w:val="-4"/>
            <w:u w:val="single" w:color="0000FF"/>
          </w:rPr>
          <w:t> </w:t>
        </w:r>
        <w:r>
          <w:rPr>
            <w:color w:val="0000FF"/>
            <w:u w:val="single" w:color="0000FF"/>
          </w:rPr>
          <w:t>Analysis</w:t>
        </w:r>
      </w:hyperlink>
      <w:r>
        <w:rPr>
          <w:color w:val="0000FF"/>
          <w:spacing w:val="-2"/>
        </w:rPr>
        <w:t> </w:t>
      </w:r>
      <w:r>
        <w:rPr/>
        <w:t>(CHIA)</w:t>
      </w:r>
      <w:r>
        <w:rPr>
          <w:spacing w:val="-2"/>
        </w:rPr>
        <w:t> </w:t>
      </w:r>
      <w:r>
        <w:rPr/>
        <w:t>were</w:t>
      </w:r>
      <w:r>
        <w:rPr>
          <w:spacing w:val="-1"/>
        </w:rPr>
        <w:t> </w:t>
      </w:r>
      <w:r>
        <w:rPr/>
        <w:t>linked</w:t>
      </w:r>
      <w:r>
        <w:rPr>
          <w:spacing w:val="-5"/>
        </w:rPr>
        <w:t> </w:t>
      </w:r>
      <w:r>
        <w:rPr/>
        <w:t>to</w:t>
      </w:r>
      <w:r>
        <w:rPr>
          <w:spacing w:val="-3"/>
        </w:rPr>
        <w:t> </w:t>
      </w:r>
      <w:r>
        <w:rPr/>
        <w:t>the</w:t>
      </w:r>
      <w:r>
        <w:rPr>
          <w:spacing w:val="-3"/>
        </w:rPr>
        <w:t> </w:t>
      </w:r>
      <w:r>
        <w:rPr/>
        <w:t>Massachusetts</w:t>
      </w:r>
      <w:r>
        <w:rPr>
          <w:spacing w:val="-4"/>
        </w:rPr>
        <w:t> </w:t>
      </w:r>
      <w:r>
        <w:rPr/>
        <w:t>birth certificate</w:t>
      </w:r>
      <w:r>
        <w:rPr>
          <w:spacing w:val="-3"/>
        </w:rPr>
        <w:t> </w:t>
      </w:r>
      <w:r>
        <w:rPr/>
        <w:t>data</w:t>
      </w:r>
      <w:r>
        <w:rPr>
          <w:spacing w:val="-1"/>
        </w:rPr>
        <w:t> </w:t>
      </w:r>
      <w:r>
        <w:rPr/>
        <w:t>for calendar year 2019. CHIA has created a new APCD Master Patient Index (MPI) that assigns a single</w:t>
      </w:r>
      <w:r>
        <w:rPr>
          <w:spacing w:val="-2"/>
        </w:rPr>
        <w:t> </w:t>
      </w:r>
      <w:r>
        <w:rPr/>
        <w:t>unique</w:t>
      </w:r>
      <w:r>
        <w:rPr>
          <w:spacing w:val="-4"/>
        </w:rPr>
        <w:t> </w:t>
      </w:r>
      <w:r>
        <w:rPr/>
        <w:t>surrogate</w:t>
      </w:r>
      <w:r>
        <w:rPr>
          <w:spacing w:val="-4"/>
        </w:rPr>
        <w:t> </w:t>
      </w:r>
      <w:r>
        <w:rPr/>
        <w:t>key</w:t>
      </w:r>
      <w:r>
        <w:rPr>
          <w:spacing w:val="-3"/>
        </w:rPr>
        <w:t> </w:t>
      </w:r>
      <w:r>
        <w:rPr/>
        <w:t>to</w:t>
      </w:r>
      <w:r>
        <w:rPr>
          <w:spacing w:val="-4"/>
        </w:rPr>
        <w:t> </w:t>
      </w:r>
      <w:r>
        <w:rPr/>
        <w:t>each</w:t>
      </w:r>
      <w:r>
        <w:rPr>
          <w:spacing w:val="-4"/>
        </w:rPr>
        <w:t> </w:t>
      </w:r>
      <w:r>
        <w:rPr/>
        <w:t>person,</w:t>
      </w:r>
      <w:r>
        <w:rPr>
          <w:spacing w:val="-2"/>
        </w:rPr>
        <w:t> </w:t>
      </w:r>
      <w:r>
        <w:rPr/>
        <w:t>regardless</w:t>
      </w:r>
      <w:r>
        <w:rPr>
          <w:spacing w:val="-3"/>
        </w:rPr>
        <w:t> </w:t>
      </w:r>
      <w:r>
        <w:rPr/>
        <w:t>of</w:t>
      </w:r>
      <w:r>
        <w:rPr>
          <w:spacing w:val="-1"/>
        </w:rPr>
        <w:t> </w:t>
      </w:r>
      <w:r>
        <w:rPr/>
        <w:t>how</w:t>
      </w:r>
      <w:r>
        <w:rPr>
          <w:spacing w:val="-4"/>
        </w:rPr>
        <w:t> </w:t>
      </w:r>
      <w:r>
        <w:rPr/>
        <w:t>many</w:t>
      </w:r>
      <w:r>
        <w:rPr>
          <w:spacing w:val="-6"/>
        </w:rPr>
        <w:t> </w:t>
      </w:r>
      <w:r>
        <w:rPr/>
        <w:t>different</w:t>
      </w:r>
      <w:r>
        <w:rPr>
          <w:spacing w:val="-4"/>
        </w:rPr>
        <w:t> </w:t>
      </w:r>
      <w:r>
        <w:rPr/>
        <w:t>insurance</w:t>
      </w:r>
      <w:r>
        <w:rPr>
          <w:spacing w:val="-2"/>
        </w:rPr>
        <w:t> </w:t>
      </w:r>
      <w:r>
        <w:rPr/>
        <w:t>carriers have submitted data about the person. APCD data obfuscation begins by processing Member Eligibility (ME) data through CHIA’s data intake application called FileSecure which is deployed as on-premises software at the data submitter. FileSecure prepares Member Eligibility data for use in</w:t>
      </w:r>
      <w:r>
        <w:rPr>
          <w:spacing w:val="-1"/>
        </w:rPr>
        <w:t> </w:t>
      </w:r>
      <w:r>
        <w:rPr/>
        <w:t>the</w:t>
      </w:r>
      <w:r>
        <w:rPr>
          <w:spacing w:val="-2"/>
        </w:rPr>
        <w:t> </w:t>
      </w:r>
      <w:r>
        <w:rPr/>
        <w:t>APCD</w:t>
      </w:r>
      <w:r>
        <w:rPr>
          <w:spacing w:val="-1"/>
        </w:rPr>
        <w:t> </w:t>
      </w:r>
      <w:r>
        <w:rPr/>
        <w:t>MPI. All</w:t>
      </w:r>
      <w:r>
        <w:rPr>
          <w:spacing w:val="-4"/>
        </w:rPr>
        <w:t> </w:t>
      </w:r>
      <w:r>
        <w:rPr/>
        <w:t>legacy APCD</w:t>
      </w:r>
      <w:r>
        <w:rPr>
          <w:spacing w:val="-1"/>
        </w:rPr>
        <w:t> </w:t>
      </w:r>
      <w:r>
        <w:rPr/>
        <w:t>data</w:t>
      </w:r>
      <w:r>
        <w:rPr>
          <w:spacing w:val="-2"/>
        </w:rPr>
        <w:t> </w:t>
      </w:r>
      <w:r>
        <w:rPr/>
        <w:t>submitted</w:t>
      </w:r>
      <w:r>
        <w:rPr>
          <w:spacing w:val="-1"/>
        </w:rPr>
        <w:t> </w:t>
      </w:r>
      <w:r>
        <w:rPr/>
        <w:t>to</w:t>
      </w:r>
      <w:r>
        <w:rPr>
          <w:spacing w:val="-1"/>
        </w:rPr>
        <w:t> </w:t>
      </w:r>
      <w:r>
        <w:rPr/>
        <w:t>CHIA prior</w:t>
      </w:r>
      <w:r>
        <w:rPr>
          <w:spacing w:val="-2"/>
        </w:rPr>
        <w:t> </w:t>
      </w:r>
      <w:r>
        <w:rPr/>
        <w:t>to</w:t>
      </w:r>
      <w:r>
        <w:rPr>
          <w:spacing w:val="-1"/>
        </w:rPr>
        <w:t> </w:t>
      </w:r>
      <w:r>
        <w:rPr/>
        <w:t>the</w:t>
      </w:r>
      <w:r>
        <w:rPr>
          <w:spacing w:val="-1"/>
        </w:rPr>
        <w:t> </w:t>
      </w:r>
      <w:r>
        <w:rPr/>
        <w:t>FileSecure</w:t>
      </w:r>
      <w:r>
        <w:rPr>
          <w:spacing w:val="-1"/>
        </w:rPr>
        <w:t> </w:t>
      </w:r>
      <w:r>
        <w:rPr/>
        <w:t>application deployment has been prepared and securely hashed using the exact same logic that FileSecure uses to process newly submitted data. The birth certificate data were also standardized and hashed using the same logic. First name (hashed), last name (hashed), date of birth (hashed), and zip code (5 digit) were used in APCD MPI matching scoring. CHIA’s MPI solution employs a probabilistic approach that uses these fields to generate a score that represents how well a record matches to another record. When two records are compared, each field is given a CHIA- assigned weight based on whether the field values being compared agree, disagree, or if either of the fields is empty. Techniques used to accommodate minor variations such as misspellings</w:t>
      </w:r>
    </w:p>
    <w:p>
      <w:pPr>
        <w:spacing w:after="0"/>
        <w:sectPr>
          <w:pgSz w:w="12240" w:h="15840"/>
          <w:pgMar w:header="0" w:footer="765" w:top="1420" w:bottom="960" w:left="1060" w:right="380"/>
        </w:sectPr>
      </w:pPr>
    </w:p>
    <w:p>
      <w:pPr>
        <w:pStyle w:val="BodyText"/>
        <w:spacing w:before="39"/>
        <w:ind w:left="380" w:right="1165"/>
      </w:pPr>
      <w:r>
        <w:rPr/>
        <w:t>and digit transpositions cannot be applied to hashed data. The weights from each field comparison are summed to determine the total record score. If the record score exceeds the CHIA-defined</w:t>
      </w:r>
      <w:r>
        <w:rPr>
          <w:spacing w:val="-4"/>
        </w:rPr>
        <w:t> </w:t>
      </w:r>
      <w:r>
        <w:rPr/>
        <w:t>threshold,</w:t>
      </w:r>
      <w:r>
        <w:rPr>
          <w:spacing w:val="-5"/>
        </w:rPr>
        <w:t> </w:t>
      </w:r>
      <w:r>
        <w:rPr/>
        <w:t>the</w:t>
      </w:r>
      <w:r>
        <w:rPr>
          <w:spacing w:val="-4"/>
        </w:rPr>
        <w:t> </w:t>
      </w:r>
      <w:r>
        <w:rPr/>
        <w:t>records</w:t>
      </w:r>
      <w:r>
        <w:rPr>
          <w:spacing w:val="-3"/>
        </w:rPr>
        <w:t> </w:t>
      </w:r>
      <w:r>
        <w:rPr/>
        <w:t>are</w:t>
      </w:r>
      <w:r>
        <w:rPr>
          <w:spacing w:val="-4"/>
        </w:rPr>
        <w:t> </w:t>
      </w:r>
      <w:r>
        <w:rPr/>
        <w:t>considered</w:t>
      </w:r>
      <w:r>
        <w:rPr>
          <w:spacing w:val="-2"/>
        </w:rPr>
        <w:t> </w:t>
      </w:r>
      <w:r>
        <w:rPr/>
        <w:t>a</w:t>
      </w:r>
      <w:r>
        <w:rPr>
          <w:spacing w:val="-5"/>
        </w:rPr>
        <w:t> </w:t>
      </w:r>
      <w:r>
        <w:rPr/>
        <w:t>match</w:t>
      </w:r>
      <w:r>
        <w:rPr>
          <w:spacing w:val="-4"/>
        </w:rPr>
        <w:t> </w:t>
      </w:r>
      <w:r>
        <w:rPr/>
        <w:t>and</w:t>
      </w:r>
      <w:r>
        <w:rPr>
          <w:spacing w:val="-2"/>
        </w:rPr>
        <w:t> </w:t>
      </w:r>
      <w:r>
        <w:rPr/>
        <w:t>are</w:t>
      </w:r>
      <w:r>
        <w:rPr>
          <w:spacing w:val="-2"/>
        </w:rPr>
        <w:t> </w:t>
      </w:r>
      <w:r>
        <w:rPr/>
        <w:t>linked</w:t>
      </w:r>
      <w:r>
        <w:rPr>
          <w:spacing w:val="-1"/>
        </w:rPr>
        <w:t> </w:t>
      </w:r>
      <w:r>
        <w:rPr/>
        <w:t>together</w:t>
      </w:r>
      <w:r>
        <w:rPr>
          <w:spacing w:val="-5"/>
        </w:rPr>
        <w:t> </w:t>
      </w:r>
      <w:r>
        <w:rPr/>
        <w:t>as</w:t>
      </w:r>
      <w:r>
        <w:rPr>
          <w:spacing w:val="-3"/>
        </w:rPr>
        <w:t> </w:t>
      </w:r>
      <w:r>
        <w:rPr/>
        <w:t>a</w:t>
      </w:r>
      <w:r>
        <w:rPr>
          <w:spacing w:val="-2"/>
        </w:rPr>
        <w:t> </w:t>
      </w:r>
      <w:r>
        <w:rPr/>
        <w:t>single entity (person). Records linked together are assigned a surrogate key known as a Member Enterprise ID, or MEID for short.</w:t>
      </w:r>
    </w:p>
    <w:p>
      <w:pPr>
        <w:pStyle w:val="BodyText"/>
        <w:spacing w:before="11"/>
        <w:rPr>
          <w:sz w:val="23"/>
        </w:rPr>
      </w:pPr>
    </w:p>
    <w:p>
      <w:pPr>
        <w:pStyle w:val="BodyText"/>
        <w:ind w:left="379" w:right="1059"/>
      </w:pPr>
      <w:r>
        <w:rPr>
          <w:b/>
        </w:rPr>
        <w:t>Results: </w:t>
      </w:r>
      <w:r>
        <w:rPr/>
        <w:t>During the time period of January 2019 through December 2019, there are 65,916 unique</w:t>
      </w:r>
      <w:r>
        <w:rPr>
          <w:spacing w:val="-4"/>
        </w:rPr>
        <w:t> </w:t>
      </w:r>
      <w:r>
        <w:rPr/>
        <w:t>deliveries</w:t>
      </w:r>
      <w:r>
        <w:rPr>
          <w:spacing w:val="-5"/>
        </w:rPr>
        <w:t> </w:t>
      </w:r>
      <w:r>
        <w:rPr/>
        <w:t>from</w:t>
      </w:r>
      <w:r>
        <w:rPr>
          <w:spacing w:val="-5"/>
        </w:rPr>
        <w:t> </w:t>
      </w:r>
      <w:r>
        <w:rPr/>
        <w:t>birth</w:t>
      </w:r>
      <w:r>
        <w:rPr>
          <w:spacing w:val="-1"/>
        </w:rPr>
        <w:t> </w:t>
      </w:r>
      <w:r>
        <w:rPr/>
        <w:t>certificates,</w:t>
      </w:r>
      <w:r>
        <w:rPr>
          <w:spacing w:val="-5"/>
        </w:rPr>
        <w:t> </w:t>
      </w:r>
      <w:r>
        <w:rPr/>
        <w:t>of</w:t>
      </w:r>
      <w:r>
        <w:rPr>
          <w:spacing w:val="-4"/>
        </w:rPr>
        <w:t> </w:t>
      </w:r>
      <w:r>
        <w:rPr/>
        <w:t>which</w:t>
      </w:r>
      <w:r>
        <w:rPr>
          <w:spacing w:val="-4"/>
        </w:rPr>
        <w:t> </w:t>
      </w:r>
      <w:r>
        <w:rPr/>
        <w:t>47,951</w:t>
      </w:r>
      <w:r>
        <w:rPr>
          <w:spacing w:val="-2"/>
        </w:rPr>
        <w:t> </w:t>
      </w:r>
      <w:r>
        <w:rPr/>
        <w:t>(72.7%)</w:t>
      </w:r>
      <w:r>
        <w:rPr>
          <w:spacing w:val="-3"/>
        </w:rPr>
        <w:t> </w:t>
      </w:r>
      <w:r>
        <w:rPr/>
        <w:t>were</w:t>
      </w:r>
      <w:r>
        <w:rPr>
          <w:spacing w:val="-4"/>
        </w:rPr>
        <w:t> </w:t>
      </w:r>
      <w:r>
        <w:rPr/>
        <w:t>linked</w:t>
      </w:r>
      <w:r>
        <w:rPr>
          <w:spacing w:val="-4"/>
        </w:rPr>
        <w:t> </w:t>
      </w:r>
      <w:r>
        <w:rPr/>
        <w:t>to</w:t>
      </w:r>
      <w:r>
        <w:rPr>
          <w:spacing w:val="-2"/>
        </w:rPr>
        <w:t> </w:t>
      </w:r>
      <w:r>
        <w:rPr/>
        <w:t>an</w:t>
      </w:r>
      <w:r>
        <w:rPr>
          <w:spacing w:val="-1"/>
        </w:rPr>
        <w:t> </w:t>
      </w:r>
      <w:r>
        <w:rPr/>
        <w:t>APCD</w:t>
      </w:r>
      <w:r>
        <w:rPr>
          <w:spacing w:val="-1"/>
        </w:rPr>
        <w:t> </w:t>
      </w:r>
      <w:r>
        <w:rPr/>
        <w:t>claim. The numbers of women screened for PPD within 6 months after delivery ranged from 808 in February 2019 to 1,027 in August 2019 (Figure 1). During the time period of January 2019 through December 2019, 10,976 (22.9%) out of 47,951 deliveries were screened for PPD and 1,161 (10.6%) had a positive screen.</w:t>
      </w:r>
    </w:p>
    <w:p>
      <w:pPr>
        <w:pStyle w:val="BodyText"/>
        <w:spacing w:before="1"/>
      </w:pPr>
    </w:p>
    <w:p>
      <w:pPr>
        <w:pStyle w:val="BodyText"/>
        <w:spacing w:before="1"/>
        <w:ind w:left="379" w:right="1129"/>
      </w:pPr>
      <w:r>
        <w:rPr/>
        <w:t>The proportion of women who were screened for PPD was higher among Asian (30.6%) and American</w:t>
      </w:r>
      <w:r>
        <w:rPr>
          <w:spacing w:val="-2"/>
        </w:rPr>
        <w:t> </w:t>
      </w:r>
      <w:r>
        <w:rPr/>
        <w:t>Indian</w:t>
      </w:r>
      <w:r>
        <w:rPr>
          <w:spacing w:val="-2"/>
        </w:rPr>
        <w:t> </w:t>
      </w:r>
      <w:r>
        <w:rPr/>
        <w:t>or</w:t>
      </w:r>
      <w:r>
        <w:rPr>
          <w:spacing w:val="-5"/>
        </w:rPr>
        <w:t> </w:t>
      </w:r>
      <w:r>
        <w:rPr/>
        <w:t>those</w:t>
      </w:r>
      <w:r>
        <w:rPr>
          <w:spacing w:val="-3"/>
        </w:rPr>
        <w:t> </w:t>
      </w:r>
      <w:r>
        <w:rPr/>
        <w:t>who</w:t>
      </w:r>
      <w:r>
        <w:rPr>
          <w:spacing w:val="-3"/>
        </w:rPr>
        <w:t> </w:t>
      </w:r>
      <w:r>
        <w:rPr/>
        <w:t>identified</w:t>
      </w:r>
      <w:r>
        <w:rPr>
          <w:spacing w:val="-4"/>
        </w:rPr>
        <w:t> </w:t>
      </w:r>
      <w:r>
        <w:rPr/>
        <w:t>as</w:t>
      </w:r>
      <w:r>
        <w:rPr>
          <w:spacing w:val="-4"/>
        </w:rPr>
        <w:t> </w:t>
      </w:r>
      <w:r>
        <w:rPr/>
        <w:t>“Other”</w:t>
      </w:r>
      <w:r>
        <w:rPr>
          <w:spacing w:val="-3"/>
        </w:rPr>
        <w:t> </w:t>
      </w:r>
      <w:r>
        <w:rPr/>
        <w:t>(25.8%)</w:t>
      </w:r>
      <w:r>
        <w:rPr>
          <w:spacing w:val="-4"/>
        </w:rPr>
        <w:t> </w:t>
      </w:r>
      <w:r>
        <w:rPr/>
        <w:t>and</w:t>
      </w:r>
      <w:r>
        <w:rPr>
          <w:spacing w:val="-2"/>
        </w:rPr>
        <w:t> </w:t>
      </w:r>
      <w:r>
        <w:rPr/>
        <w:t>compared</w:t>
      </w:r>
      <w:r>
        <w:rPr>
          <w:spacing w:val="-2"/>
        </w:rPr>
        <w:t> </w:t>
      </w:r>
      <w:r>
        <w:rPr/>
        <w:t>to</w:t>
      </w:r>
      <w:r>
        <w:rPr>
          <w:spacing w:val="-3"/>
        </w:rPr>
        <w:t> </w:t>
      </w:r>
      <w:r>
        <w:rPr/>
        <w:t>20.0%</w:t>
      </w:r>
      <w:r>
        <w:rPr>
          <w:spacing w:val="-4"/>
        </w:rPr>
        <w:t> </w:t>
      </w:r>
      <w:r>
        <w:rPr/>
        <w:t>and</w:t>
      </w:r>
      <w:r>
        <w:rPr>
          <w:spacing w:val="-2"/>
        </w:rPr>
        <w:t> </w:t>
      </w:r>
      <w:r>
        <w:rPr/>
        <w:t>19.2% among Hispanic and Black non-Hispanic, respectively. The proportion of PPD screening was lower among preterm deliveries compared to full term deliveries (19.6% vs. 23.2%). A higher proportion of screening was seen among women with higher levels of education and the highest percentage of screening was observed among women with associate or bachelor’s degrees and postgraduate (23.0%, Table 1 in Appendix).</w:t>
      </w:r>
    </w:p>
    <w:p>
      <w:pPr>
        <w:pStyle w:val="BodyText"/>
        <w:spacing w:before="10"/>
        <w:rPr>
          <w:sz w:val="23"/>
        </w:rPr>
      </w:pPr>
    </w:p>
    <w:p>
      <w:pPr>
        <w:pStyle w:val="BodyText"/>
        <w:ind w:left="379" w:right="1129"/>
      </w:pPr>
      <w:r>
        <w:rPr/>
        <w:t>Reviewing the results of screening indicates that</w:t>
      </w:r>
      <w:r>
        <w:rPr>
          <w:spacing w:val="40"/>
        </w:rPr>
        <w:t> </w:t>
      </w:r>
      <w:r>
        <w:rPr/>
        <w:t>Hispanic individuals (13.0%) had a higher positive proportion compared to White non-Hispanic (10.5%), Black non-Hispanic (10.0%), American Indian or “Other” (8.1%), and Asian (6.9%) women. The positive proportion was higher among women who were covered by Medicaid than those on private insurance (13.1% vs. 6.6%). The positive percentage of screening decreased while women’s education level increased,</w:t>
      </w:r>
      <w:r>
        <w:rPr>
          <w:spacing w:val="-5"/>
        </w:rPr>
        <w:t> </w:t>
      </w:r>
      <w:r>
        <w:rPr/>
        <w:t>except</w:t>
      </w:r>
      <w:r>
        <w:rPr>
          <w:spacing w:val="-1"/>
        </w:rPr>
        <w:t> </w:t>
      </w:r>
      <w:r>
        <w:rPr/>
        <w:t>for</w:t>
      </w:r>
      <w:r>
        <w:rPr>
          <w:spacing w:val="-5"/>
        </w:rPr>
        <w:t> </w:t>
      </w:r>
      <w:r>
        <w:rPr/>
        <w:t>women</w:t>
      </w:r>
      <w:r>
        <w:rPr>
          <w:spacing w:val="-4"/>
        </w:rPr>
        <w:t> </w:t>
      </w:r>
      <w:r>
        <w:rPr/>
        <w:t>who</w:t>
      </w:r>
      <w:r>
        <w:rPr>
          <w:spacing w:val="-4"/>
        </w:rPr>
        <w:t> </w:t>
      </w:r>
      <w:r>
        <w:rPr/>
        <w:t>had</w:t>
      </w:r>
      <w:r>
        <w:rPr>
          <w:spacing w:val="-2"/>
        </w:rPr>
        <w:t> </w:t>
      </w:r>
      <w:r>
        <w:rPr/>
        <w:t>graduate</w:t>
      </w:r>
      <w:r>
        <w:rPr>
          <w:spacing w:val="-4"/>
        </w:rPr>
        <w:t> </w:t>
      </w:r>
      <w:r>
        <w:rPr/>
        <w:t>degrees</w:t>
      </w:r>
      <w:r>
        <w:rPr>
          <w:spacing w:val="-3"/>
        </w:rPr>
        <w:t> </w:t>
      </w:r>
      <w:r>
        <w:rPr/>
        <w:t>–</w:t>
      </w:r>
      <w:r>
        <w:rPr>
          <w:spacing w:val="-4"/>
        </w:rPr>
        <w:t> </w:t>
      </w:r>
      <w:r>
        <w:rPr/>
        <w:t>they</w:t>
      </w:r>
      <w:r>
        <w:rPr>
          <w:spacing w:val="-3"/>
        </w:rPr>
        <w:t> </w:t>
      </w:r>
      <w:r>
        <w:rPr/>
        <w:t>had</w:t>
      </w:r>
      <w:r>
        <w:rPr>
          <w:spacing w:val="-2"/>
        </w:rPr>
        <w:t> </w:t>
      </w:r>
      <w:r>
        <w:rPr/>
        <w:t>lower</w:t>
      </w:r>
      <w:r>
        <w:rPr>
          <w:spacing w:val="-5"/>
        </w:rPr>
        <w:t> </w:t>
      </w:r>
      <w:r>
        <w:rPr/>
        <w:t>positive</w:t>
      </w:r>
      <w:r>
        <w:rPr>
          <w:spacing w:val="-4"/>
        </w:rPr>
        <w:t> </w:t>
      </w:r>
      <w:r>
        <w:rPr/>
        <w:t>proportions than women with no college education but higher positive proportion than women who only received undergraduate education (Table 2 in Appendix).</w:t>
      </w:r>
    </w:p>
    <w:p>
      <w:pPr>
        <w:pStyle w:val="BodyText"/>
        <w:spacing w:before="1"/>
      </w:pPr>
    </w:p>
    <w:p>
      <w:pPr>
        <w:pStyle w:val="Heading2"/>
        <w:ind w:left="379"/>
      </w:pPr>
      <w:r>
        <w:rPr/>
        <w:t>PPD</w:t>
      </w:r>
      <w:r>
        <w:rPr>
          <w:spacing w:val="-3"/>
        </w:rPr>
        <w:t> </w:t>
      </w:r>
      <w:r>
        <w:rPr/>
        <w:t>Screening</w:t>
      </w:r>
      <w:r>
        <w:rPr>
          <w:spacing w:val="-3"/>
        </w:rPr>
        <w:t> </w:t>
      </w:r>
      <w:r>
        <w:rPr/>
        <w:t>Data</w:t>
      </w:r>
      <w:r>
        <w:rPr>
          <w:spacing w:val="-2"/>
        </w:rPr>
        <w:t> </w:t>
      </w:r>
      <w:r>
        <w:rPr/>
        <w:t>Collected</w:t>
      </w:r>
      <w:r>
        <w:rPr>
          <w:spacing w:val="-2"/>
        </w:rPr>
        <w:t> </w:t>
      </w:r>
      <w:r>
        <w:rPr/>
        <w:t>through</w:t>
      </w:r>
      <w:r>
        <w:rPr>
          <w:spacing w:val="-3"/>
        </w:rPr>
        <w:t> </w:t>
      </w:r>
      <w:r>
        <w:rPr/>
        <w:t>Written</w:t>
      </w:r>
      <w:r>
        <w:rPr>
          <w:spacing w:val="-3"/>
        </w:rPr>
        <w:t> </w:t>
      </w:r>
      <w:r>
        <w:rPr>
          <w:spacing w:val="-2"/>
        </w:rPr>
        <w:t>Reports</w:t>
      </w:r>
    </w:p>
    <w:p>
      <w:pPr>
        <w:pStyle w:val="BodyText"/>
        <w:rPr>
          <w:b/>
        </w:rPr>
      </w:pPr>
    </w:p>
    <w:p>
      <w:pPr>
        <w:pStyle w:val="BodyText"/>
        <w:ind w:left="379" w:right="1059"/>
      </w:pPr>
      <w:r>
        <w:rPr/>
        <w:t>For</w:t>
      </w:r>
      <w:r>
        <w:rPr>
          <w:spacing w:val="-2"/>
        </w:rPr>
        <w:t> </w:t>
      </w:r>
      <w:r>
        <w:rPr/>
        <w:t>calendar</w:t>
      </w:r>
      <w:r>
        <w:rPr>
          <w:spacing w:val="-2"/>
        </w:rPr>
        <w:t> </w:t>
      </w:r>
      <w:r>
        <w:rPr/>
        <w:t>year</w:t>
      </w:r>
      <w:r>
        <w:rPr>
          <w:spacing w:val="-2"/>
        </w:rPr>
        <w:t> </w:t>
      </w:r>
      <w:r>
        <w:rPr/>
        <w:t>2020,</w:t>
      </w:r>
      <w:r>
        <w:rPr>
          <w:spacing w:val="-7"/>
        </w:rPr>
        <w:t> </w:t>
      </w:r>
      <w:r>
        <w:rPr/>
        <w:t>one</w:t>
      </w:r>
      <w:r>
        <w:rPr>
          <w:spacing w:val="-2"/>
        </w:rPr>
        <w:t> </w:t>
      </w:r>
      <w:r>
        <w:rPr/>
        <w:t>Annual</w:t>
      </w:r>
      <w:r>
        <w:rPr>
          <w:spacing w:val="-5"/>
        </w:rPr>
        <w:t> </w:t>
      </w:r>
      <w:r>
        <w:rPr/>
        <w:t>PPD</w:t>
      </w:r>
      <w:r>
        <w:rPr>
          <w:spacing w:val="-1"/>
        </w:rPr>
        <w:t> </w:t>
      </w:r>
      <w:r>
        <w:rPr/>
        <w:t>Screening</w:t>
      </w:r>
      <w:r>
        <w:rPr>
          <w:spacing w:val="-3"/>
        </w:rPr>
        <w:t> </w:t>
      </w:r>
      <w:r>
        <w:rPr/>
        <w:t>Data</w:t>
      </w:r>
      <w:r>
        <w:rPr>
          <w:spacing w:val="-2"/>
        </w:rPr>
        <w:t> </w:t>
      </w:r>
      <w:r>
        <w:rPr/>
        <w:t>Reporting</w:t>
      </w:r>
      <w:r>
        <w:rPr>
          <w:spacing w:val="-3"/>
        </w:rPr>
        <w:t> </w:t>
      </w:r>
      <w:r>
        <w:rPr/>
        <w:t>Form</w:t>
      </w:r>
      <w:r>
        <w:rPr>
          <w:spacing w:val="-5"/>
        </w:rPr>
        <w:t> </w:t>
      </w:r>
      <w:r>
        <w:rPr/>
        <w:t>was</w:t>
      </w:r>
      <w:r>
        <w:rPr>
          <w:spacing w:val="-3"/>
        </w:rPr>
        <w:t> </w:t>
      </w:r>
      <w:r>
        <w:rPr/>
        <w:t>received</w:t>
      </w:r>
      <w:r>
        <w:rPr>
          <w:spacing w:val="-4"/>
        </w:rPr>
        <w:t> </w:t>
      </w:r>
      <w:r>
        <w:rPr/>
        <w:t>from</w:t>
      </w:r>
      <w:r>
        <w:rPr>
          <w:spacing w:val="-5"/>
        </w:rPr>
        <w:t> </w:t>
      </w:r>
      <w:r>
        <w:rPr/>
        <w:t>a medical practice. Results include:</w:t>
      </w:r>
    </w:p>
    <w:p>
      <w:pPr>
        <w:pStyle w:val="ListParagraph"/>
        <w:numPr>
          <w:ilvl w:val="0"/>
          <w:numId w:val="3"/>
        </w:numPr>
        <w:tabs>
          <w:tab w:pos="1099" w:val="left" w:leader="none"/>
          <w:tab w:pos="1100" w:val="left" w:leader="none"/>
        </w:tabs>
        <w:spacing w:line="293" w:lineRule="exact" w:before="0" w:after="0"/>
        <w:ind w:left="1100" w:right="0" w:hanging="361"/>
        <w:jc w:val="left"/>
        <w:rPr>
          <w:sz w:val="24"/>
        </w:rPr>
      </w:pPr>
      <w:r>
        <w:rPr>
          <w:sz w:val="24"/>
        </w:rPr>
        <w:t>The</w:t>
      </w:r>
      <w:r>
        <w:rPr>
          <w:spacing w:val="-4"/>
          <w:sz w:val="24"/>
        </w:rPr>
        <w:t> </w:t>
      </w:r>
      <w:r>
        <w:rPr>
          <w:sz w:val="24"/>
        </w:rPr>
        <w:t>practice</w:t>
      </w:r>
      <w:r>
        <w:rPr>
          <w:spacing w:val="-3"/>
          <w:sz w:val="24"/>
        </w:rPr>
        <w:t> </w:t>
      </w:r>
      <w:r>
        <w:rPr>
          <w:sz w:val="24"/>
        </w:rPr>
        <w:t>reported screening</w:t>
      </w:r>
      <w:r>
        <w:rPr>
          <w:spacing w:val="-4"/>
          <w:sz w:val="24"/>
        </w:rPr>
        <w:t> </w:t>
      </w:r>
      <w:r>
        <w:rPr>
          <w:sz w:val="24"/>
        </w:rPr>
        <w:t>719</w:t>
      </w:r>
      <w:r>
        <w:rPr>
          <w:spacing w:val="-1"/>
          <w:sz w:val="24"/>
        </w:rPr>
        <w:t> </w:t>
      </w:r>
      <w:r>
        <w:rPr>
          <w:sz w:val="24"/>
        </w:rPr>
        <w:t>(83.5%)</w:t>
      </w:r>
      <w:r>
        <w:rPr>
          <w:spacing w:val="-3"/>
          <w:sz w:val="24"/>
        </w:rPr>
        <w:t> </w:t>
      </w:r>
      <w:r>
        <w:rPr>
          <w:sz w:val="24"/>
        </w:rPr>
        <w:t>of 861</w:t>
      </w:r>
      <w:r>
        <w:rPr>
          <w:spacing w:val="-1"/>
          <w:sz w:val="24"/>
        </w:rPr>
        <w:t> </w:t>
      </w:r>
      <w:r>
        <w:rPr>
          <w:sz w:val="24"/>
        </w:rPr>
        <w:t>postpartum</w:t>
      </w:r>
      <w:r>
        <w:rPr>
          <w:spacing w:val="-1"/>
          <w:sz w:val="24"/>
        </w:rPr>
        <w:t> </w:t>
      </w:r>
      <w:r>
        <w:rPr>
          <w:sz w:val="24"/>
        </w:rPr>
        <w:t>patients</w:t>
      </w:r>
      <w:r>
        <w:rPr>
          <w:spacing w:val="-4"/>
          <w:sz w:val="24"/>
        </w:rPr>
        <w:t> </w:t>
      </w:r>
      <w:r>
        <w:rPr>
          <w:spacing w:val="-2"/>
          <w:sz w:val="24"/>
        </w:rPr>
        <w:t>seen.</w:t>
      </w:r>
    </w:p>
    <w:p>
      <w:pPr>
        <w:pStyle w:val="ListParagraph"/>
        <w:numPr>
          <w:ilvl w:val="0"/>
          <w:numId w:val="3"/>
        </w:numPr>
        <w:tabs>
          <w:tab w:pos="1099" w:val="left" w:leader="none"/>
          <w:tab w:pos="1100" w:val="left" w:leader="none"/>
        </w:tabs>
        <w:spacing w:line="242" w:lineRule="auto" w:before="0" w:after="0"/>
        <w:ind w:left="1099" w:right="1695" w:hanging="360"/>
        <w:jc w:val="left"/>
        <w:rPr>
          <w:sz w:val="24"/>
        </w:rPr>
      </w:pPr>
      <w:r>
        <w:rPr>
          <w:sz w:val="24"/>
        </w:rPr>
        <w:t>The</w:t>
      </w:r>
      <w:r>
        <w:rPr>
          <w:spacing w:val="-5"/>
          <w:sz w:val="24"/>
        </w:rPr>
        <w:t> </w:t>
      </w:r>
      <w:r>
        <w:rPr>
          <w:sz w:val="24"/>
        </w:rPr>
        <w:t>practice</w:t>
      </w:r>
      <w:r>
        <w:rPr>
          <w:spacing w:val="-4"/>
          <w:sz w:val="24"/>
        </w:rPr>
        <w:t> </w:t>
      </w:r>
      <w:r>
        <w:rPr>
          <w:sz w:val="24"/>
        </w:rPr>
        <w:t>reported</w:t>
      </w:r>
      <w:r>
        <w:rPr>
          <w:spacing w:val="-4"/>
          <w:sz w:val="24"/>
        </w:rPr>
        <w:t> </w:t>
      </w:r>
      <w:r>
        <w:rPr>
          <w:sz w:val="24"/>
        </w:rPr>
        <w:t>using</w:t>
      </w:r>
      <w:r>
        <w:rPr>
          <w:spacing w:val="-3"/>
          <w:sz w:val="24"/>
        </w:rPr>
        <w:t> </w:t>
      </w:r>
      <w:r>
        <w:rPr>
          <w:sz w:val="24"/>
        </w:rPr>
        <w:t>the</w:t>
      </w:r>
      <w:r>
        <w:rPr>
          <w:spacing w:val="-5"/>
          <w:sz w:val="24"/>
        </w:rPr>
        <w:t> </w:t>
      </w:r>
      <w:r>
        <w:rPr>
          <w:sz w:val="24"/>
        </w:rPr>
        <w:t>Patient</w:t>
      </w:r>
      <w:r>
        <w:rPr>
          <w:spacing w:val="-1"/>
          <w:sz w:val="24"/>
        </w:rPr>
        <w:t> </w:t>
      </w:r>
      <w:r>
        <w:rPr>
          <w:sz w:val="24"/>
        </w:rPr>
        <w:t>Health</w:t>
      </w:r>
      <w:r>
        <w:rPr>
          <w:spacing w:val="-1"/>
          <w:sz w:val="24"/>
        </w:rPr>
        <w:t> </w:t>
      </w:r>
      <w:r>
        <w:rPr>
          <w:sz w:val="24"/>
        </w:rPr>
        <w:t>Questionnaire</w:t>
      </w:r>
      <w:r>
        <w:rPr>
          <w:spacing w:val="-4"/>
          <w:sz w:val="24"/>
        </w:rPr>
        <w:t> </w:t>
      </w:r>
      <w:r>
        <w:rPr>
          <w:sz w:val="24"/>
        </w:rPr>
        <w:t>-9</w:t>
      </w:r>
      <w:r>
        <w:rPr>
          <w:spacing w:val="-4"/>
          <w:sz w:val="24"/>
        </w:rPr>
        <w:t> </w:t>
      </w:r>
      <w:r>
        <w:rPr>
          <w:sz w:val="24"/>
        </w:rPr>
        <w:t>(PHQ-9)</w:t>
      </w:r>
      <w:r>
        <w:rPr>
          <w:spacing w:val="-6"/>
          <w:sz w:val="24"/>
        </w:rPr>
        <w:t> </w:t>
      </w:r>
      <w:r>
        <w:rPr>
          <w:sz w:val="24"/>
        </w:rPr>
        <w:t>to</w:t>
      </w:r>
      <w:r>
        <w:rPr>
          <w:spacing w:val="-4"/>
          <w:sz w:val="24"/>
        </w:rPr>
        <w:t> </w:t>
      </w:r>
      <w:r>
        <w:rPr>
          <w:sz w:val="24"/>
        </w:rPr>
        <w:t>screen women for PPD.</w:t>
      </w:r>
    </w:p>
    <w:p>
      <w:pPr>
        <w:pStyle w:val="ListParagraph"/>
        <w:numPr>
          <w:ilvl w:val="0"/>
          <w:numId w:val="3"/>
        </w:numPr>
        <w:tabs>
          <w:tab w:pos="1099" w:val="left" w:leader="none"/>
          <w:tab w:pos="1100" w:val="left" w:leader="none"/>
        </w:tabs>
        <w:spacing w:line="289" w:lineRule="exact" w:before="0" w:after="0"/>
        <w:ind w:left="1100" w:right="0" w:hanging="361"/>
        <w:jc w:val="left"/>
        <w:rPr>
          <w:sz w:val="24"/>
        </w:rPr>
      </w:pPr>
      <w:r>
        <w:rPr>
          <w:sz w:val="24"/>
        </w:rPr>
        <w:t>Overall,</w:t>
      </w:r>
      <w:r>
        <w:rPr>
          <w:spacing w:val="-3"/>
          <w:sz w:val="24"/>
        </w:rPr>
        <w:t> </w:t>
      </w:r>
      <w:r>
        <w:rPr>
          <w:sz w:val="24"/>
        </w:rPr>
        <w:t>29</w:t>
      </w:r>
      <w:r>
        <w:rPr>
          <w:spacing w:val="-3"/>
          <w:sz w:val="24"/>
        </w:rPr>
        <w:t> </w:t>
      </w:r>
      <w:r>
        <w:rPr>
          <w:sz w:val="24"/>
        </w:rPr>
        <w:t>postpartum</w:t>
      </w:r>
      <w:r>
        <w:rPr>
          <w:spacing w:val="-4"/>
          <w:sz w:val="24"/>
        </w:rPr>
        <w:t> </w:t>
      </w:r>
      <w:r>
        <w:rPr>
          <w:sz w:val="24"/>
        </w:rPr>
        <w:t>individuals</w:t>
      </w:r>
      <w:r>
        <w:rPr>
          <w:spacing w:val="-2"/>
          <w:sz w:val="24"/>
        </w:rPr>
        <w:t> </w:t>
      </w:r>
      <w:r>
        <w:rPr>
          <w:sz w:val="24"/>
        </w:rPr>
        <w:t>(4%)</w:t>
      </w:r>
      <w:r>
        <w:rPr>
          <w:spacing w:val="-2"/>
          <w:sz w:val="24"/>
        </w:rPr>
        <w:t> </w:t>
      </w:r>
      <w:r>
        <w:rPr>
          <w:sz w:val="24"/>
        </w:rPr>
        <w:t>screened</w:t>
      </w:r>
      <w:r>
        <w:rPr>
          <w:spacing w:val="-3"/>
          <w:sz w:val="24"/>
        </w:rPr>
        <w:t> </w:t>
      </w:r>
      <w:r>
        <w:rPr>
          <w:sz w:val="24"/>
        </w:rPr>
        <w:t>positive</w:t>
      </w:r>
      <w:r>
        <w:rPr>
          <w:spacing w:val="-3"/>
          <w:sz w:val="24"/>
        </w:rPr>
        <w:t> </w:t>
      </w:r>
      <w:r>
        <w:rPr>
          <w:sz w:val="24"/>
        </w:rPr>
        <w:t>for</w:t>
      </w:r>
      <w:r>
        <w:rPr>
          <w:spacing w:val="-3"/>
          <w:sz w:val="24"/>
        </w:rPr>
        <w:t> </w:t>
      </w:r>
      <w:r>
        <w:rPr>
          <w:spacing w:val="-5"/>
          <w:sz w:val="24"/>
        </w:rPr>
        <w:t>PPD</w:t>
      </w:r>
    </w:p>
    <w:p>
      <w:pPr>
        <w:pStyle w:val="BodyText"/>
        <w:spacing w:before="1"/>
        <w:rPr>
          <w:sz w:val="26"/>
        </w:rPr>
      </w:pPr>
    </w:p>
    <w:p>
      <w:pPr>
        <w:pStyle w:val="Heading2"/>
        <w:spacing w:before="1"/>
        <w:ind w:left="379"/>
      </w:pPr>
      <w:r>
        <w:rPr/>
        <w:t>PPD</w:t>
      </w:r>
      <w:r>
        <w:rPr>
          <w:spacing w:val="-2"/>
        </w:rPr>
        <w:t> </w:t>
      </w:r>
      <w:r>
        <w:rPr/>
        <w:t>Screening</w:t>
      </w:r>
      <w:r>
        <w:rPr>
          <w:spacing w:val="-2"/>
        </w:rPr>
        <w:t> Programs</w:t>
      </w:r>
    </w:p>
    <w:p>
      <w:pPr>
        <w:pStyle w:val="BodyText"/>
        <w:spacing w:before="11"/>
        <w:rPr>
          <w:b/>
          <w:sz w:val="23"/>
        </w:rPr>
      </w:pPr>
    </w:p>
    <w:p>
      <w:pPr>
        <w:pStyle w:val="BodyText"/>
        <w:ind w:left="379" w:right="1059"/>
      </w:pPr>
      <w:r>
        <w:rPr/>
        <w:t>The</w:t>
      </w:r>
      <w:r>
        <w:rPr>
          <w:spacing w:val="-2"/>
        </w:rPr>
        <w:t> </w:t>
      </w:r>
      <w:r>
        <w:rPr/>
        <w:t>Fiscal</w:t>
      </w:r>
      <w:r>
        <w:rPr>
          <w:spacing w:val="-5"/>
        </w:rPr>
        <w:t> </w:t>
      </w:r>
      <w:r>
        <w:rPr/>
        <w:t>Year</w:t>
      </w:r>
      <w:r>
        <w:rPr>
          <w:spacing w:val="-5"/>
        </w:rPr>
        <w:t> </w:t>
      </w:r>
      <w:r>
        <w:rPr/>
        <w:t>(FY)</w:t>
      </w:r>
      <w:r>
        <w:rPr>
          <w:spacing w:val="-3"/>
        </w:rPr>
        <w:t> </w:t>
      </w:r>
      <w:r>
        <w:rPr/>
        <w:t>2020</w:t>
      </w:r>
      <w:r>
        <w:rPr>
          <w:spacing w:val="-4"/>
        </w:rPr>
        <w:t> </w:t>
      </w:r>
      <w:r>
        <w:rPr/>
        <w:t>budget</w:t>
      </w:r>
      <w:r>
        <w:rPr>
          <w:spacing w:val="-4"/>
        </w:rPr>
        <w:t> </w:t>
      </w:r>
      <w:r>
        <w:rPr/>
        <w:t>included</w:t>
      </w:r>
      <w:r>
        <w:rPr>
          <w:spacing w:val="-2"/>
        </w:rPr>
        <w:t> </w:t>
      </w:r>
      <w:r>
        <w:rPr/>
        <w:t>language</w:t>
      </w:r>
      <w:r>
        <w:rPr>
          <w:spacing w:val="-2"/>
        </w:rPr>
        <w:t> </w:t>
      </w:r>
      <w:r>
        <w:rPr/>
        <w:t>requiring</w:t>
      </w:r>
      <w:r>
        <w:rPr>
          <w:spacing w:val="-3"/>
        </w:rPr>
        <w:t> </w:t>
      </w:r>
      <w:r>
        <w:rPr/>
        <w:t>DPH</w:t>
      </w:r>
      <w:r>
        <w:rPr>
          <w:spacing w:val="-3"/>
        </w:rPr>
        <w:t> </w:t>
      </w:r>
      <w:r>
        <w:rPr/>
        <w:t>to</w:t>
      </w:r>
      <w:r>
        <w:rPr>
          <w:spacing w:val="-2"/>
        </w:rPr>
        <w:t> </w:t>
      </w:r>
      <w:r>
        <w:rPr/>
        <w:t>continue</w:t>
      </w:r>
      <w:r>
        <w:rPr>
          <w:spacing w:val="-5"/>
        </w:rPr>
        <w:t> </w:t>
      </w:r>
      <w:r>
        <w:rPr/>
        <w:t>PPD</w:t>
      </w:r>
      <w:r>
        <w:rPr>
          <w:spacing w:val="-1"/>
        </w:rPr>
        <w:t> </w:t>
      </w:r>
      <w:r>
        <w:rPr/>
        <w:t>screening programs at Community Health Centers (CHC) at four sites across the Commonwealth.</w:t>
      </w:r>
    </w:p>
    <w:p>
      <w:pPr>
        <w:pStyle w:val="BodyText"/>
        <w:spacing w:line="293" w:lineRule="exact"/>
        <w:ind w:left="379"/>
      </w:pPr>
      <w:r>
        <w:rPr/>
        <w:t>$300,000</w:t>
      </w:r>
      <w:r>
        <w:rPr>
          <w:spacing w:val="-3"/>
        </w:rPr>
        <w:t> </w:t>
      </w:r>
      <w:r>
        <w:rPr/>
        <w:t>was</w:t>
      </w:r>
      <w:r>
        <w:rPr>
          <w:spacing w:val="-4"/>
        </w:rPr>
        <w:t> </w:t>
      </w:r>
      <w:r>
        <w:rPr/>
        <w:t>distributed evenly</w:t>
      </w:r>
      <w:r>
        <w:rPr>
          <w:spacing w:val="-2"/>
        </w:rPr>
        <w:t> </w:t>
      </w:r>
      <w:r>
        <w:rPr/>
        <w:t>across</w:t>
      </w:r>
      <w:r>
        <w:rPr>
          <w:spacing w:val="-2"/>
        </w:rPr>
        <w:t> </w:t>
      </w:r>
      <w:r>
        <w:rPr/>
        <w:t>all</w:t>
      </w:r>
      <w:r>
        <w:rPr>
          <w:spacing w:val="-4"/>
        </w:rPr>
        <w:t> </w:t>
      </w:r>
      <w:r>
        <w:rPr/>
        <w:t>four sites.</w:t>
      </w:r>
      <w:r>
        <w:rPr>
          <w:spacing w:val="-2"/>
        </w:rPr>
        <w:t> </w:t>
      </w:r>
      <w:r>
        <w:rPr/>
        <w:t>This</w:t>
      </w:r>
      <w:r>
        <w:rPr>
          <w:spacing w:val="-2"/>
        </w:rPr>
        <w:t> </w:t>
      </w:r>
      <w:r>
        <w:rPr/>
        <w:t>funding</w:t>
      </w:r>
      <w:r>
        <w:rPr>
          <w:spacing w:val="-4"/>
        </w:rPr>
        <w:t> </w:t>
      </w:r>
      <w:r>
        <w:rPr/>
        <w:t>allowed</w:t>
      </w:r>
      <w:r>
        <w:rPr>
          <w:spacing w:val="-3"/>
        </w:rPr>
        <w:t> </w:t>
      </w:r>
      <w:r>
        <w:rPr/>
        <w:t>these</w:t>
      </w:r>
      <w:r>
        <w:rPr>
          <w:spacing w:val="-1"/>
        </w:rPr>
        <w:t> </w:t>
      </w:r>
      <w:r>
        <w:rPr/>
        <w:t>CHCs</w:t>
      </w:r>
      <w:r>
        <w:rPr>
          <w:spacing w:val="-1"/>
        </w:rPr>
        <w:t> </w:t>
      </w:r>
      <w:r>
        <w:rPr>
          <w:spacing w:val="-5"/>
        </w:rPr>
        <w:t>to</w:t>
      </w:r>
    </w:p>
    <w:p>
      <w:pPr>
        <w:spacing w:after="0" w:line="293" w:lineRule="exact"/>
        <w:sectPr>
          <w:pgSz w:w="12240" w:h="15840"/>
          <w:pgMar w:header="0" w:footer="765" w:top="1400" w:bottom="960" w:left="1060" w:right="380"/>
        </w:sectPr>
      </w:pPr>
    </w:p>
    <w:p>
      <w:pPr>
        <w:pStyle w:val="BodyText"/>
        <w:spacing w:before="39"/>
        <w:ind w:left="380" w:right="1059"/>
      </w:pPr>
      <w:r>
        <w:rPr/>
        <w:t>continue</w:t>
      </w:r>
      <w:r>
        <w:rPr>
          <w:spacing w:val="-5"/>
        </w:rPr>
        <w:t> </w:t>
      </w:r>
      <w:r>
        <w:rPr/>
        <w:t>to</w:t>
      </w:r>
      <w:r>
        <w:rPr>
          <w:spacing w:val="-4"/>
        </w:rPr>
        <w:t> </w:t>
      </w:r>
      <w:r>
        <w:rPr/>
        <w:t>employ</w:t>
      </w:r>
      <w:r>
        <w:rPr>
          <w:spacing w:val="-3"/>
        </w:rPr>
        <w:t> </w:t>
      </w:r>
      <w:r>
        <w:rPr/>
        <w:t>part</w:t>
      </w:r>
      <w:r>
        <w:rPr>
          <w:spacing w:val="-4"/>
        </w:rPr>
        <w:t> </w:t>
      </w:r>
      <w:r>
        <w:rPr/>
        <w:t>time</w:t>
      </w:r>
      <w:r>
        <w:rPr>
          <w:spacing w:val="-2"/>
        </w:rPr>
        <w:t> </w:t>
      </w:r>
      <w:r>
        <w:rPr/>
        <w:t>Community</w:t>
      </w:r>
      <w:r>
        <w:rPr>
          <w:spacing w:val="-3"/>
        </w:rPr>
        <w:t> </w:t>
      </w:r>
      <w:r>
        <w:rPr/>
        <w:t>Health</w:t>
      </w:r>
      <w:r>
        <w:rPr>
          <w:spacing w:val="-4"/>
        </w:rPr>
        <w:t> </w:t>
      </w:r>
      <w:r>
        <w:rPr/>
        <w:t>Workers</w:t>
      </w:r>
      <w:r>
        <w:rPr>
          <w:spacing w:val="-3"/>
        </w:rPr>
        <w:t> </w:t>
      </w:r>
      <w:r>
        <w:rPr/>
        <w:t>(CHW)</w:t>
      </w:r>
      <w:r>
        <w:rPr>
          <w:spacing w:val="-3"/>
        </w:rPr>
        <w:t> </w:t>
      </w:r>
      <w:r>
        <w:rPr/>
        <w:t>to</w:t>
      </w:r>
      <w:r>
        <w:rPr>
          <w:spacing w:val="-2"/>
        </w:rPr>
        <w:t> </w:t>
      </w:r>
      <w:r>
        <w:rPr/>
        <w:t>assist</w:t>
      </w:r>
      <w:r>
        <w:rPr>
          <w:spacing w:val="-6"/>
        </w:rPr>
        <w:t> </w:t>
      </w:r>
      <w:r>
        <w:rPr/>
        <w:t>with</w:t>
      </w:r>
      <w:r>
        <w:rPr>
          <w:spacing w:val="-2"/>
        </w:rPr>
        <w:t> </w:t>
      </w:r>
      <w:r>
        <w:rPr/>
        <w:t>PPD</w:t>
      </w:r>
      <w:r>
        <w:rPr>
          <w:spacing w:val="-1"/>
        </w:rPr>
        <w:t> </w:t>
      </w:r>
      <w:r>
        <w:rPr/>
        <w:t>screening and referral activities. The four CHCs included: Family Health Center in Worcester, Holyoke Health Center, Stanley Street Treatment &amp; Resources (SSTAR) Health Center, and the Lynn Community Health Center.</w:t>
      </w:r>
    </w:p>
    <w:p>
      <w:pPr>
        <w:pStyle w:val="BodyText"/>
        <w:spacing w:before="11"/>
        <w:rPr>
          <w:sz w:val="23"/>
        </w:rPr>
      </w:pPr>
    </w:p>
    <w:p>
      <w:pPr>
        <w:pStyle w:val="BodyText"/>
        <w:spacing w:before="1"/>
        <w:ind w:left="380" w:right="1115"/>
      </w:pPr>
      <w:r>
        <w:rPr/>
        <w:t>The</w:t>
      </w:r>
      <w:r>
        <w:rPr>
          <w:spacing w:val="-1"/>
        </w:rPr>
        <w:t> </w:t>
      </w:r>
      <w:r>
        <w:rPr/>
        <w:t>CHCs</w:t>
      </w:r>
      <w:r>
        <w:rPr>
          <w:spacing w:val="-2"/>
        </w:rPr>
        <w:t> </w:t>
      </w:r>
      <w:r>
        <w:rPr/>
        <w:t>are</w:t>
      </w:r>
      <w:r>
        <w:rPr>
          <w:spacing w:val="-3"/>
        </w:rPr>
        <w:t> </w:t>
      </w:r>
      <w:r>
        <w:rPr/>
        <w:t>required</w:t>
      </w:r>
      <w:r>
        <w:rPr>
          <w:spacing w:val="-3"/>
        </w:rPr>
        <w:t> </w:t>
      </w:r>
      <w:r>
        <w:rPr/>
        <w:t>to</w:t>
      </w:r>
      <w:r>
        <w:rPr>
          <w:spacing w:val="-3"/>
        </w:rPr>
        <w:t> </w:t>
      </w:r>
      <w:r>
        <w:rPr/>
        <w:t>submit</w:t>
      </w:r>
      <w:r>
        <w:rPr>
          <w:spacing w:val="-3"/>
        </w:rPr>
        <w:t> </w:t>
      </w:r>
      <w:r>
        <w:rPr/>
        <w:t>PPD</w:t>
      </w:r>
      <w:r>
        <w:rPr>
          <w:spacing w:val="-3"/>
        </w:rPr>
        <w:t> </w:t>
      </w:r>
      <w:r>
        <w:rPr/>
        <w:t>screening</w:t>
      </w:r>
      <w:r>
        <w:rPr>
          <w:spacing w:val="-4"/>
        </w:rPr>
        <w:t> </w:t>
      </w:r>
      <w:r>
        <w:rPr/>
        <w:t>data</w:t>
      </w:r>
      <w:r>
        <w:rPr>
          <w:spacing w:val="-1"/>
        </w:rPr>
        <w:t> </w:t>
      </w:r>
      <w:r>
        <w:rPr/>
        <w:t>on a</w:t>
      </w:r>
      <w:r>
        <w:rPr>
          <w:spacing w:val="-4"/>
        </w:rPr>
        <w:t> </w:t>
      </w:r>
      <w:r>
        <w:rPr/>
        <w:t>quarterly</w:t>
      </w:r>
      <w:r>
        <w:rPr>
          <w:spacing w:val="-2"/>
        </w:rPr>
        <w:t> </w:t>
      </w:r>
      <w:r>
        <w:rPr/>
        <w:t>basis</w:t>
      </w:r>
      <w:r>
        <w:rPr>
          <w:spacing w:val="-4"/>
        </w:rPr>
        <w:t> </w:t>
      </w:r>
      <w:r>
        <w:rPr/>
        <w:t>to</w:t>
      </w:r>
      <w:r>
        <w:rPr>
          <w:spacing w:val="-1"/>
        </w:rPr>
        <w:t> </w:t>
      </w:r>
      <w:r>
        <w:rPr/>
        <w:t>DPH,</w:t>
      </w:r>
      <w:r>
        <w:rPr>
          <w:spacing w:val="-4"/>
        </w:rPr>
        <w:t> </w:t>
      </w:r>
      <w:r>
        <w:rPr/>
        <w:t>inclusive</w:t>
      </w:r>
      <w:r>
        <w:rPr>
          <w:spacing w:val="-3"/>
        </w:rPr>
        <w:t> </w:t>
      </w:r>
      <w:r>
        <w:rPr/>
        <w:t>of</w:t>
      </w:r>
      <w:r>
        <w:rPr>
          <w:spacing w:val="-3"/>
        </w:rPr>
        <w:t> </w:t>
      </w:r>
      <w:r>
        <w:rPr/>
        <w:t>all dates during which services were provided. Anecdotal data collected from the CHCs suggested a decrease in the number of people seen at their</w:t>
      </w:r>
      <w:r>
        <w:rPr>
          <w:spacing w:val="-1"/>
        </w:rPr>
        <w:t> </w:t>
      </w:r>
      <w:r>
        <w:rPr/>
        <w:t>site due to the COVID-19 pandemic.</w:t>
      </w:r>
      <w:r>
        <w:rPr>
          <w:spacing w:val="40"/>
        </w:rPr>
        <w:t> </w:t>
      </w:r>
      <w:r>
        <w:rPr/>
        <w:t>Families reported</w:t>
      </w:r>
      <w:r>
        <w:rPr>
          <w:spacing w:val="-3"/>
        </w:rPr>
        <w:t> </w:t>
      </w:r>
      <w:r>
        <w:rPr/>
        <w:t>fear</w:t>
      </w:r>
      <w:r>
        <w:rPr>
          <w:spacing w:val="-1"/>
        </w:rPr>
        <w:t> </w:t>
      </w:r>
      <w:r>
        <w:rPr/>
        <w:t>of leaving</w:t>
      </w:r>
      <w:r>
        <w:rPr>
          <w:spacing w:val="-4"/>
        </w:rPr>
        <w:t> </w:t>
      </w:r>
      <w:r>
        <w:rPr/>
        <w:t>their</w:t>
      </w:r>
      <w:r>
        <w:rPr>
          <w:spacing w:val="-4"/>
        </w:rPr>
        <w:t> </w:t>
      </w:r>
      <w:r>
        <w:rPr/>
        <w:t>homes</w:t>
      </w:r>
      <w:r>
        <w:rPr>
          <w:spacing w:val="-4"/>
        </w:rPr>
        <w:t> </w:t>
      </w:r>
      <w:r>
        <w:rPr/>
        <w:t>due</w:t>
      </w:r>
      <w:r>
        <w:rPr>
          <w:spacing w:val="-4"/>
        </w:rPr>
        <w:t> </w:t>
      </w:r>
      <w:r>
        <w:rPr/>
        <w:t>the</w:t>
      </w:r>
      <w:r>
        <w:rPr>
          <w:spacing w:val="-3"/>
        </w:rPr>
        <w:t> </w:t>
      </w:r>
      <w:r>
        <w:rPr/>
        <w:t>COVID -19</w:t>
      </w:r>
      <w:r>
        <w:rPr>
          <w:spacing w:val="-1"/>
        </w:rPr>
        <w:t> </w:t>
      </w:r>
      <w:r>
        <w:rPr/>
        <w:t>risk</w:t>
      </w:r>
      <w:r>
        <w:rPr>
          <w:spacing w:val="-3"/>
        </w:rPr>
        <w:t> </w:t>
      </w:r>
      <w:r>
        <w:rPr/>
        <w:t>exposures.</w:t>
      </w:r>
      <w:r>
        <w:rPr>
          <w:spacing w:val="40"/>
        </w:rPr>
        <w:t> </w:t>
      </w:r>
      <w:r>
        <w:rPr/>
        <w:t>As</w:t>
      </w:r>
      <w:r>
        <w:rPr>
          <w:spacing w:val="-4"/>
        </w:rPr>
        <w:t> </w:t>
      </w:r>
      <w:r>
        <w:rPr/>
        <w:t>a</w:t>
      </w:r>
      <w:r>
        <w:rPr>
          <w:spacing w:val="-1"/>
        </w:rPr>
        <w:t> </w:t>
      </w:r>
      <w:r>
        <w:rPr/>
        <w:t>result,</w:t>
      </w:r>
      <w:r>
        <w:rPr>
          <w:spacing w:val="-4"/>
        </w:rPr>
        <w:t> </w:t>
      </w:r>
      <w:r>
        <w:rPr/>
        <w:t>the</w:t>
      </w:r>
      <w:r>
        <w:rPr>
          <w:spacing w:val="-3"/>
        </w:rPr>
        <w:t> </w:t>
      </w:r>
      <w:r>
        <w:rPr/>
        <w:t>number of people who received a PPD screening decreased.</w:t>
      </w:r>
      <w:r>
        <w:rPr>
          <w:spacing w:val="40"/>
        </w:rPr>
        <w:t> </w:t>
      </w:r>
      <w:r>
        <w:rPr/>
        <w:t>The following is a summary of the data received from all four sites.</w:t>
      </w:r>
    </w:p>
    <w:p>
      <w:pPr>
        <w:pStyle w:val="BodyText"/>
        <w:spacing w:before="1"/>
      </w:pPr>
    </w:p>
    <w:p>
      <w:pPr>
        <w:pStyle w:val="ListParagraph"/>
        <w:numPr>
          <w:ilvl w:val="0"/>
          <w:numId w:val="3"/>
        </w:numPr>
        <w:tabs>
          <w:tab w:pos="1099" w:val="left" w:leader="none"/>
          <w:tab w:pos="1100" w:val="left" w:leader="none"/>
        </w:tabs>
        <w:spacing w:line="240" w:lineRule="auto" w:before="0" w:after="0"/>
        <w:ind w:left="1100" w:right="1545" w:hanging="360"/>
        <w:jc w:val="left"/>
        <w:rPr>
          <w:sz w:val="24"/>
        </w:rPr>
      </w:pPr>
      <w:r>
        <w:rPr>
          <w:sz w:val="24"/>
        </w:rPr>
        <w:t>CHCs</w:t>
      </w:r>
      <w:r>
        <w:rPr>
          <w:spacing w:val="-4"/>
          <w:sz w:val="24"/>
        </w:rPr>
        <w:t> </w:t>
      </w:r>
      <w:r>
        <w:rPr>
          <w:sz w:val="24"/>
        </w:rPr>
        <w:t>reported</w:t>
      </w:r>
      <w:r>
        <w:rPr>
          <w:spacing w:val="-2"/>
          <w:sz w:val="24"/>
        </w:rPr>
        <w:t> </w:t>
      </w:r>
      <w:r>
        <w:rPr>
          <w:sz w:val="24"/>
        </w:rPr>
        <w:t>557</w:t>
      </w:r>
      <w:r>
        <w:rPr>
          <w:spacing w:val="-5"/>
          <w:sz w:val="24"/>
        </w:rPr>
        <w:t> </w:t>
      </w:r>
      <w:r>
        <w:rPr>
          <w:sz w:val="24"/>
        </w:rPr>
        <w:t>face-to-face</w:t>
      </w:r>
      <w:r>
        <w:rPr>
          <w:spacing w:val="-5"/>
          <w:sz w:val="24"/>
        </w:rPr>
        <w:t> </w:t>
      </w:r>
      <w:r>
        <w:rPr>
          <w:sz w:val="24"/>
        </w:rPr>
        <w:t>encounters</w:t>
      </w:r>
      <w:r>
        <w:rPr>
          <w:spacing w:val="-6"/>
          <w:sz w:val="24"/>
        </w:rPr>
        <w:t> </w:t>
      </w:r>
      <w:r>
        <w:rPr>
          <w:sz w:val="24"/>
        </w:rPr>
        <w:t>with</w:t>
      </w:r>
      <w:r>
        <w:rPr>
          <w:spacing w:val="-5"/>
          <w:sz w:val="24"/>
        </w:rPr>
        <w:t> </w:t>
      </w:r>
      <w:r>
        <w:rPr>
          <w:sz w:val="24"/>
        </w:rPr>
        <w:t>pregnant</w:t>
      </w:r>
      <w:r>
        <w:rPr>
          <w:spacing w:val="-2"/>
          <w:sz w:val="24"/>
        </w:rPr>
        <w:t> </w:t>
      </w:r>
      <w:r>
        <w:rPr>
          <w:sz w:val="24"/>
        </w:rPr>
        <w:t>individuals</w:t>
      </w:r>
      <w:r>
        <w:rPr>
          <w:spacing w:val="-6"/>
          <w:sz w:val="24"/>
        </w:rPr>
        <w:t> </w:t>
      </w:r>
      <w:r>
        <w:rPr>
          <w:sz w:val="24"/>
        </w:rPr>
        <w:t>during</w:t>
      </w:r>
      <w:r>
        <w:rPr>
          <w:spacing w:val="-4"/>
          <w:sz w:val="24"/>
        </w:rPr>
        <w:t> </w:t>
      </w:r>
      <w:r>
        <w:rPr>
          <w:sz w:val="24"/>
        </w:rPr>
        <w:t>clinical visits, with 542 (97.3%) receiving a PPD screen.</w:t>
      </w:r>
    </w:p>
    <w:p>
      <w:pPr>
        <w:pStyle w:val="ListParagraph"/>
        <w:numPr>
          <w:ilvl w:val="0"/>
          <w:numId w:val="3"/>
        </w:numPr>
        <w:tabs>
          <w:tab w:pos="1099" w:val="left" w:leader="none"/>
          <w:tab w:pos="1100" w:val="left" w:leader="none"/>
        </w:tabs>
        <w:spacing w:line="240" w:lineRule="auto" w:before="119" w:after="0"/>
        <w:ind w:left="1100" w:right="1283" w:hanging="360"/>
        <w:jc w:val="left"/>
        <w:rPr>
          <w:sz w:val="24"/>
        </w:rPr>
      </w:pPr>
      <w:r>
        <w:rPr>
          <w:sz w:val="24"/>
        </w:rPr>
        <w:t>CHCs</w:t>
      </w:r>
      <w:r>
        <w:rPr>
          <w:spacing w:val="-4"/>
          <w:sz w:val="24"/>
        </w:rPr>
        <w:t> </w:t>
      </w:r>
      <w:r>
        <w:rPr>
          <w:sz w:val="24"/>
        </w:rPr>
        <w:t>reported</w:t>
      </w:r>
      <w:r>
        <w:rPr>
          <w:spacing w:val="-2"/>
          <w:sz w:val="24"/>
        </w:rPr>
        <w:t> </w:t>
      </w:r>
      <w:r>
        <w:rPr>
          <w:sz w:val="24"/>
        </w:rPr>
        <w:t>579</w:t>
      </w:r>
      <w:r>
        <w:rPr>
          <w:spacing w:val="-5"/>
          <w:sz w:val="24"/>
        </w:rPr>
        <w:t> </w:t>
      </w:r>
      <w:r>
        <w:rPr>
          <w:sz w:val="24"/>
        </w:rPr>
        <w:t>face-to-face</w:t>
      </w:r>
      <w:r>
        <w:rPr>
          <w:spacing w:val="-5"/>
          <w:sz w:val="24"/>
        </w:rPr>
        <w:t> </w:t>
      </w:r>
      <w:r>
        <w:rPr>
          <w:sz w:val="24"/>
        </w:rPr>
        <w:t>encounters</w:t>
      </w:r>
      <w:r>
        <w:rPr>
          <w:spacing w:val="-6"/>
          <w:sz w:val="24"/>
        </w:rPr>
        <w:t> </w:t>
      </w:r>
      <w:r>
        <w:rPr>
          <w:sz w:val="24"/>
        </w:rPr>
        <w:t>with</w:t>
      </w:r>
      <w:r>
        <w:rPr>
          <w:spacing w:val="-5"/>
          <w:sz w:val="24"/>
        </w:rPr>
        <w:t> </w:t>
      </w:r>
      <w:r>
        <w:rPr>
          <w:sz w:val="24"/>
        </w:rPr>
        <w:t>postpartum</w:t>
      </w:r>
      <w:r>
        <w:rPr>
          <w:spacing w:val="-6"/>
          <w:sz w:val="24"/>
        </w:rPr>
        <w:t> </w:t>
      </w:r>
      <w:r>
        <w:rPr>
          <w:sz w:val="24"/>
        </w:rPr>
        <w:t>individuals</w:t>
      </w:r>
      <w:r>
        <w:rPr>
          <w:spacing w:val="-4"/>
          <w:sz w:val="24"/>
        </w:rPr>
        <w:t> </w:t>
      </w:r>
      <w:r>
        <w:rPr>
          <w:sz w:val="24"/>
        </w:rPr>
        <w:t>during</w:t>
      </w:r>
      <w:r>
        <w:rPr>
          <w:spacing w:val="-4"/>
          <w:sz w:val="24"/>
        </w:rPr>
        <w:t> </w:t>
      </w:r>
      <w:r>
        <w:rPr>
          <w:sz w:val="24"/>
        </w:rPr>
        <w:t>clinical visits, with 419 (72.4%) receiving a PPD screen.</w:t>
      </w:r>
    </w:p>
    <w:p>
      <w:pPr>
        <w:pStyle w:val="BodyText"/>
        <w:spacing w:line="237" w:lineRule="auto" w:before="122"/>
        <w:ind w:left="1820" w:right="1059" w:hanging="360"/>
      </w:pPr>
      <w:r>
        <w:rPr>
          <w:rFonts w:ascii="Courier New" w:hAnsi="Courier New"/>
        </w:rPr>
        <w:t>‒</w:t>
      </w:r>
      <w:r>
        <w:rPr>
          <w:rFonts w:ascii="Courier New" w:hAnsi="Courier New"/>
          <w:spacing w:val="40"/>
        </w:rPr>
        <w:t> </w:t>
      </w:r>
      <w:r>
        <w:rPr/>
        <w:t>Of the 419 postpartum individuals who received a PPD screen, 14 (3.3%) scored either</w:t>
      </w:r>
      <w:r>
        <w:rPr>
          <w:spacing w:val="-1"/>
        </w:rPr>
        <w:t> </w:t>
      </w:r>
      <w:r>
        <w:rPr/>
        <w:t>a</w:t>
      </w:r>
      <w:r>
        <w:rPr>
          <w:spacing w:val="-4"/>
        </w:rPr>
        <w:t> </w:t>
      </w:r>
      <w:r>
        <w:rPr/>
        <w:t>10,</w:t>
      </w:r>
      <w:r>
        <w:rPr>
          <w:spacing w:val="-4"/>
        </w:rPr>
        <w:t> </w:t>
      </w:r>
      <w:r>
        <w:rPr/>
        <w:t>11</w:t>
      </w:r>
      <w:r>
        <w:rPr>
          <w:spacing w:val="-3"/>
        </w:rPr>
        <w:t> </w:t>
      </w:r>
      <w:r>
        <w:rPr/>
        <w:t>or</w:t>
      </w:r>
      <w:r>
        <w:rPr>
          <w:spacing w:val="-4"/>
        </w:rPr>
        <w:t> </w:t>
      </w:r>
      <w:r>
        <w:rPr/>
        <w:t>12</w:t>
      </w:r>
      <w:r>
        <w:rPr>
          <w:spacing w:val="-3"/>
        </w:rPr>
        <w:t> </w:t>
      </w:r>
      <w:r>
        <w:rPr/>
        <w:t>on</w:t>
      </w:r>
      <w:r>
        <w:rPr>
          <w:spacing w:val="-3"/>
        </w:rPr>
        <w:t> </w:t>
      </w:r>
      <w:r>
        <w:rPr/>
        <w:t>the</w:t>
      </w:r>
      <w:r>
        <w:rPr>
          <w:spacing w:val="-1"/>
        </w:rPr>
        <w:t> </w:t>
      </w:r>
      <w:hyperlink r:id="rId18">
        <w:r>
          <w:rPr>
            <w:color w:val="0000FF"/>
            <w:u w:val="single" w:color="0000FF"/>
          </w:rPr>
          <w:t>Edinburgh</w:t>
        </w:r>
        <w:r>
          <w:rPr>
            <w:color w:val="0000FF"/>
            <w:spacing w:val="-1"/>
            <w:u w:val="single" w:color="0000FF"/>
          </w:rPr>
          <w:t> </w:t>
        </w:r>
        <w:r>
          <w:rPr>
            <w:color w:val="0000FF"/>
            <w:u w:val="single" w:color="0000FF"/>
          </w:rPr>
          <w:t>Postnatal</w:t>
        </w:r>
        <w:r>
          <w:rPr>
            <w:color w:val="0000FF"/>
            <w:spacing w:val="-6"/>
            <w:u w:val="single" w:color="0000FF"/>
          </w:rPr>
          <w:t> </w:t>
        </w:r>
        <w:r>
          <w:rPr>
            <w:color w:val="0000FF"/>
            <w:u w:val="single" w:color="0000FF"/>
          </w:rPr>
          <w:t>Depression</w:t>
        </w:r>
        <w:r>
          <w:rPr>
            <w:color w:val="0000FF"/>
            <w:spacing w:val="-3"/>
            <w:u w:val="single" w:color="0000FF"/>
          </w:rPr>
          <w:t> </w:t>
        </w:r>
        <w:r>
          <w:rPr>
            <w:color w:val="0000FF"/>
            <w:u w:val="single" w:color="0000FF"/>
          </w:rPr>
          <w:t>Scale</w:t>
        </w:r>
        <w:r>
          <w:rPr>
            <w:color w:val="0000FF"/>
            <w:spacing w:val="-1"/>
            <w:u w:val="single" w:color="0000FF"/>
          </w:rPr>
          <w:t> </w:t>
        </w:r>
        <w:r>
          <w:rPr>
            <w:color w:val="0000FF"/>
            <w:u w:val="single" w:color="0000FF"/>
          </w:rPr>
          <w:t>(EPDS)</w:t>
        </w:r>
      </w:hyperlink>
      <w:r>
        <w:rPr>
          <w:color w:val="0000FF"/>
          <w:spacing w:val="-4"/>
        </w:rPr>
        <w:t> </w:t>
      </w:r>
      <w:r>
        <w:rPr/>
        <w:t>or</w:t>
      </w:r>
      <w:r>
        <w:rPr>
          <w:spacing w:val="-1"/>
        </w:rPr>
        <w:t> </w:t>
      </w:r>
      <w:r>
        <w:rPr/>
        <w:t>1</w:t>
      </w:r>
      <w:r>
        <w:rPr>
          <w:spacing w:val="-3"/>
        </w:rPr>
        <w:t> </w:t>
      </w:r>
      <w:r>
        <w:rPr/>
        <w:t>–</w:t>
      </w:r>
      <w:r>
        <w:rPr>
          <w:spacing w:val="-1"/>
        </w:rPr>
        <w:t> </w:t>
      </w:r>
      <w:r>
        <w:rPr/>
        <w:t>9 on the </w:t>
      </w:r>
      <w:hyperlink r:id="rId19">
        <w:r>
          <w:rPr>
            <w:color w:val="0000FF"/>
            <w:u w:val="single" w:color="0000FF"/>
          </w:rPr>
          <w:t>Patient Health Questionnaire (PHQ-9)</w:t>
        </w:r>
      </w:hyperlink>
      <w:r>
        <w:rPr/>
        <w:t>, indicating mild depressive </w:t>
      </w:r>
      <w:r>
        <w:rPr>
          <w:spacing w:val="-2"/>
        </w:rPr>
        <w:t>symptoms.</w:t>
      </w:r>
    </w:p>
    <w:p>
      <w:pPr>
        <w:pStyle w:val="BodyText"/>
        <w:spacing w:line="237" w:lineRule="auto" w:before="124"/>
        <w:ind w:left="1820" w:right="1059" w:hanging="360"/>
      </w:pPr>
      <w:r>
        <w:rPr>
          <w:rFonts w:ascii="Courier New" w:hAnsi="Courier New"/>
        </w:rPr>
        <w:t>‒</w:t>
      </w:r>
      <w:r>
        <w:rPr>
          <w:rFonts w:ascii="Courier New" w:hAnsi="Courier New"/>
          <w:spacing w:val="40"/>
        </w:rPr>
        <w:t> </w:t>
      </w:r>
      <w:r>
        <w:rPr/>
        <w:t>Of</w:t>
      </w:r>
      <w:r>
        <w:rPr>
          <w:spacing w:val="-1"/>
        </w:rPr>
        <w:t> </w:t>
      </w:r>
      <w:r>
        <w:rPr/>
        <w:t>the</w:t>
      </w:r>
      <w:r>
        <w:rPr>
          <w:spacing w:val="-3"/>
        </w:rPr>
        <w:t> </w:t>
      </w:r>
      <w:r>
        <w:rPr/>
        <w:t>419</w:t>
      </w:r>
      <w:r>
        <w:rPr>
          <w:spacing w:val="-3"/>
        </w:rPr>
        <w:t> </w:t>
      </w:r>
      <w:r>
        <w:rPr/>
        <w:t>postpartum</w:t>
      </w:r>
      <w:r>
        <w:rPr>
          <w:spacing w:val="-4"/>
        </w:rPr>
        <w:t> </w:t>
      </w:r>
      <w:r>
        <w:rPr/>
        <w:t>individuals</w:t>
      </w:r>
      <w:r>
        <w:rPr>
          <w:spacing w:val="-4"/>
        </w:rPr>
        <w:t> </w:t>
      </w:r>
      <w:r>
        <w:rPr/>
        <w:t>who</w:t>
      </w:r>
      <w:r>
        <w:rPr>
          <w:spacing w:val="-3"/>
        </w:rPr>
        <w:t> </w:t>
      </w:r>
      <w:r>
        <w:rPr/>
        <w:t>received</w:t>
      </w:r>
      <w:r>
        <w:rPr>
          <w:spacing w:val="-3"/>
        </w:rPr>
        <w:t> </w:t>
      </w:r>
      <w:r>
        <w:rPr/>
        <w:t>a</w:t>
      </w:r>
      <w:r>
        <w:rPr>
          <w:spacing w:val="-1"/>
        </w:rPr>
        <w:t> </w:t>
      </w:r>
      <w:r>
        <w:rPr/>
        <w:t>PPD</w:t>
      </w:r>
      <w:r>
        <w:rPr>
          <w:spacing w:val="-1"/>
        </w:rPr>
        <w:t> </w:t>
      </w:r>
      <w:r>
        <w:rPr/>
        <w:t>screen,</w:t>
      </w:r>
      <w:r>
        <w:rPr>
          <w:spacing w:val="-1"/>
        </w:rPr>
        <w:t> </w:t>
      </w:r>
      <w:r>
        <w:rPr/>
        <w:t>9</w:t>
      </w:r>
      <w:r>
        <w:rPr>
          <w:spacing w:val="-3"/>
        </w:rPr>
        <w:t> </w:t>
      </w:r>
      <w:r>
        <w:rPr/>
        <w:t>(2.1%)</w:t>
      </w:r>
      <w:r>
        <w:rPr>
          <w:spacing w:val="-2"/>
        </w:rPr>
        <w:t> </w:t>
      </w:r>
      <w:r>
        <w:rPr/>
        <w:t>scored either a 13 or above on the </w:t>
      </w:r>
      <w:hyperlink r:id="rId18">
        <w:r>
          <w:rPr>
            <w:color w:val="0000FF"/>
            <w:u w:val="single" w:color="0000FF"/>
          </w:rPr>
          <w:t>EPDS</w:t>
        </w:r>
      </w:hyperlink>
      <w:r>
        <w:rPr>
          <w:color w:val="0000FF"/>
        </w:rPr>
        <w:t> </w:t>
      </w:r>
      <w:r>
        <w:rPr/>
        <w:t>or 10 or above on the </w:t>
      </w:r>
      <w:hyperlink r:id="rId19">
        <w:r>
          <w:rPr>
            <w:color w:val="0000FF"/>
            <w:u w:val="single" w:color="0000FF"/>
          </w:rPr>
          <w:t>PHQ-9</w:t>
        </w:r>
      </w:hyperlink>
      <w:r>
        <w:rPr/>
        <w:t>, indicating moderate to severe depressive symptoms.</w:t>
      </w:r>
    </w:p>
    <w:p>
      <w:pPr>
        <w:pStyle w:val="ListParagraph"/>
        <w:numPr>
          <w:ilvl w:val="0"/>
          <w:numId w:val="3"/>
        </w:numPr>
        <w:tabs>
          <w:tab w:pos="1099" w:val="left" w:leader="none"/>
          <w:tab w:pos="1100" w:val="left" w:leader="none"/>
        </w:tabs>
        <w:spacing w:line="240" w:lineRule="auto" w:before="121" w:after="0"/>
        <w:ind w:left="1100" w:right="0" w:hanging="360"/>
        <w:jc w:val="left"/>
        <w:rPr>
          <w:sz w:val="24"/>
        </w:rPr>
      </w:pPr>
      <w:r>
        <w:rPr>
          <w:sz w:val="24"/>
        </w:rPr>
        <w:t>CHCs</w:t>
      </w:r>
      <w:r>
        <w:rPr>
          <w:spacing w:val="-4"/>
          <w:sz w:val="24"/>
        </w:rPr>
        <w:t> </w:t>
      </w:r>
      <w:r>
        <w:rPr>
          <w:sz w:val="24"/>
        </w:rPr>
        <w:t>reported</w:t>
      </w:r>
      <w:r>
        <w:rPr>
          <w:spacing w:val="-2"/>
          <w:sz w:val="24"/>
        </w:rPr>
        <w:t> </w:t>
      </w:r>
      <w:r>
        <w:rPr>
          <w:sz w:val="24"/>
        </w:rPr>
        <w:t>that</w:t>
      </w:r>
      <w:r>
        <w:rPr>
          <w:spacing w:val="-3"/>
          <w:sz w:val="24"/>
        </w:rPr>
        <w:t> </w:t>
      </w:r>
      <w:r>
        <w:rPr>
          <w:sz w:val="24"/>
        </w:rPr>
        <w:t>their</w:t>
      </w:r>
      <w:r>
        <w:rPr>
          <w:spacing w:val="-5"/>
          <w:sz w:val="24"/>
        </w:rPr>
        <w:t> </w:t>
      </w:r>
      <w:r>
        <w:rPr>
          <w:sz w:val="24"/>
        </w:rPr>
        <w:t>CHW provided 711</w:t>
      </w:r>
      <w:r>
        <w:rPr>
          <w:spacing w:val="-2"/>
          <w:sz w:val="24"/>
        </w:rPr>
        <w:t> </w:t>
      </w:r>
      <w:r>
        <w:rPr>
          <w:sz w:val="24"/>
        </w:rPr>
        <w:t>face-to-face</w:t>
      </w:r>
      <w:r>
        <w:rPr>
          <w:spacing w:val="-2"/>
          <w:sz w:val="24"/>
        </w:rPr>
        <w:t> </w:t>
      </w:r>
      <w:r>
        <w:rPr>
          <w:sz w:val="24"/>
        </w:rPr>
        <w:t>encounters</w:t>
      </w:r>
      <w:r>
        <w:rPr>
          <w:spacing w:val="-4"/>
          <w:sz w:val="24"/>
        </w:rPr>
        <w:t> </w:t>
      </w:r>
      <w:r>
        <w:rPr>
          <w:sz w:val="24"/>
        </w:rPr>
        <w:t>with a</w:t>
      </w:r>
      <w:r>
        <w:rPr>
          <w:spacing w:val="-3"/>
          <w:sz w:val="24"/>
        </w:rPr>
        <w:t> </w:t>
      </w:r>
      <w:r>
        <w:rPr>
          <w:spacing w:val="-2"/>
          <w:sz w:val="24"/>
        </w:rPr>
        <w:t>parent.</w:t>
      </w:r>
    </w:p>
    <w:p>
      <w:pPr>
        <w:pStyle w:val="ListParagraph"/>
        <w:numPr>
          <w:ilvl w:val="0"/>
          <w:numId w:val="3"/>
        </w:numPr>
        <w:tabs>
          <w:tab w:pos="1099" w:val="left" w:leader="none"/>
          <w:tab w:pos="1100" w:val="left" w:leader="none"/>
        </w:tabs>
        <w:spacing w:line="240" w:lineRule="auto" w:before="119" w:after="0"/>
        <w:ind w:left="1100" w:right="1089" w:hanging="360"/>
        <w:jc w:val="left"/>
        <w:rPr>
          <w:sz w:val="24"/>
        </w:rPr>
      </w:pPr>
      <w:r>
        <w:rPr>
          <w:sz w:val="24"/>
        </w:rPr>
        <w:t>CHCs reported 1,433 indirect/collateral contacts, including phone calls, made on behalf of the parents serviced by the program, including but not limited to: searches for basic need</w:t>
      </w:r>
      <w:r>
        <w:rPr>
          <w:spacing w:val="-4"/>
          <w:sz w:val="24"/>
        </w:rPr>
        <w:t> </w:t>
      </w:r>
      <w:r>
        <w:rPr>
          <w:sz w:val="24"/>
        </w:rPr>
        <w:t>items,</w:t>
      </w:r>
      <w:r>
        <w:rPr>
          <w:spacing w:val="-2"/>
          <w:sz w:val="24"/>
        </w:rPr>
        <w:t> </w:t>
      </w:r>
      <w:r>
        <w:rPr>
          <w:sz w:val="24"/>
        </w:rPr>
        <w:t>calls</w:t>
      </w:r>
      <w:r>
        <w:rPr>
          <w:spacing w:val="-5"/>
          <w:sz w:val="24"/>
        </w:rPr>
        <w:t> </w:t>
      </w:r>
      <w:r>
        <w:rPr>
          <w:sz w:val="24"/>
        </w:rPr>
        <w:t>to</w:t>
      </w:r>
      <w:r>
        <w:rPr>
          <w:spacing w:val="-4"/>
          <w:sz w:val="24"/>
        </w:rPr>
        <w:t> </w:t>
      </w:r>
      <w:r>
        <w:rPr>
          <w:sz w:val="24"/>
        </w:rPr>
        <w:t>providers</w:t>
      </w:r>
      <w:r>
        <w:rPr>
          <w:spacing w:val="-5"/>
          <w:sz w:val="24"/>
        </w:rPr>
        <w:t> </w:t>
      </w:r>
      <w:r>
        <w:rPr>
          <w:sz w:val="24"/>
        </w:rPr>
        <w:t>to</w:t>
      </w:r>
      <w:r>
        <w:rPr>
          <w:spacing w:val="-4"/>
          <w:sz w:val="24"/>
        </w:rPr>
        <w:t> </w:t>
      </w:r>
      <w:r>
        <w:rPr>
          <w:sz w:val="24"/>
        </w:rPr>
        <w:t>determine</w:t>
      </w:r>
      <w:r>
        <w:rPr>
          <w:spacing w:val="-2"/>
          <w:sz w:val="24"/>
        </w:rPr>
        <w:t> </w:t>
      </w:r>
      <w:r>
        <w:rPr>
          <w:sz w:val="24"/>
        </w:rPr>
        <w:t>availability</w:t>
      </w:r>
      <w:r>
        <w:rPr>
          <w:spacing w:val="-3"/>
          <w:sz w:val="24"/>
        </w:rPr>
        <w:t> </w:t>
      </w:r>
      <w:r>
        <w:rPr>
          <w:sz w:val="24"/>
        </w:rPr>
        <w:t>versus</w:t>
      </w:r>
      <w:r>
        <w:rPr>
          <w:spacing w:val="-3"/>
          <w:sz w:val="24"/>
        </w:rPr>
        <w:t> </w:t>
      </w:r>
      <w:r>
        <w:rPr>
          <w:sz w:val="24"/>
        </w:rPr>
        <w:t>a</w:t>
      </w:r>
      <w:r>
        <w:rPr>
          <w:spacing w:val="-5"/>
          <w:sz w:val="24"/>
        </w:rPr>
        <w:t> </w:t>
      </w:r>
      <w:r>
        <w:rPr>
          <w:sz w:val="24"/>
        </w:rPr>
        <w:t>wait</w:t>
      </w:r>
      <w:r>
        <w:rPr>
          <w:spacing w:val="-1"/>
          <w:sz w:val="24"/>
        </w:rPr>
        <w:t> </w:t>
      </w:r>
      <w:r>
        <w:rPr>
          <w:sz w:val="24"/>
        </w:rPr>
        <w:t>list</w:t>
      </w:r>
      <w:r>
        <w:rPr>
          <w:spacing w:val="-1"/>
          <w:sz w:val="24"/>
        </w:rPr>
        <w:t> </w:t>
      </w:r>
      <w:r>
        <w:rPr>
          <w:sz w:val="24"/>
        </w:rPr>
        <w:t>for</w:t>
      </w:r>
      <w:r>
        <w:rPr>
          <w:spacing w:val="-2"/>
          <w:sz w:val="24"/>
        </w:rPr>
        <w:t> </w:t>
      </w:r>
      <w:r>
        <w:rPr>
          <w:sz w:val="24"/>
        </w:rPr>
        <w:t>services,</w:t>
      </w:r>
      <w:r>
        <w:rPr>
          <w:spacing w:val="-2"/>
          <w:sz w:val="24"/>
        </w:rPr>
        <w:t> </w:t>
      </w:r>
      <w:r>
        <w:rPr>
          <w:sz w:val="24"/>
        </w:rPr>
        <w:t>and referral screens for eligibility with community-based organizations.</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CHCs</w:t>
      </w:r>
      <w:r>
        <w:rPr>
          <w:spacing w:val="-5"/>
          <w:sz w:val="24"/>
        </w:rPr>
        <w:t> </w:t>
      </w:r>
      <w:r>
        <w:rPr>
          <w:sz w:val="24"/>
        </w:rPr>
        <w:t>reported</w:t>
      </w:r>
      <w:r>
        <w:rPr>
          <w:spacing w:val="-1"/>
          <w:sz w:val="24"/>
        </w:rPr>
        <w:t> </w:t>
      </w:r>
      <w:r>
        <w:rPr>
          <w:sz w:val="24"/>
        </w:rPr>
        <w:t>1,177</w:t>
      </w:r>
      <w:r>
        <w:rPr>
          <w:spacing w:val="-4"/>
          <w:sz w:val="24"/>
        </w:rPr>
        <w:t> </w:t>
      </w:r>
      <w:r>
        <w:rPr>
          <w:sz w:val="24"/>
        </w:rPr>
        <w:t>referrals</w:t>
      </w:r>
      <w:r>
        <w:rPr>
          <w:spacing w:val="-2"/>
          <w:sz w:val="24"/>
        </w:rPr>
        <w:t> </w:t>
      </w:r>
      <w:r>
        <w:rPr>
          <w:sz w:val="24"/>
        </w:rPr>
        <w:t>initiated</w:t>
      </w:r>
      <w:r>
        <w:rPr>
          <w:spacing w:val="-4"/>
          <w:sz w:val="24"/>
        </w:rPr>
        <w:t> </w:t>
      </w:r>
      <w:r>
        <w:rPr>
          <w:sz w:val="24"/>
        </w:rPr>
        <w:t>with</w:t>
      </w:r>
      <w:r>
        <w:rPr>
          <w:spacing w:val="-3"/>
          <w:sz w:val="24"/>
        </w:rPr>
        <w:t> </w:t>
      </w:r>
      <w:r>
        <w:rPr>
          <w:sz w:val="24"/>
        </w:rPr>
        <w:t>989</w:t>
      </w:r>
      <w:r>
        <w:rPr>
          <w:spacing w:val="-2"/>
          <w:sz w:val="24"/>
        </w:rPr>
        <w:t> </w:t>
      </w:r>
      <w:r>
        <w:rPr>
          <w:sz w:val="24"/>
        </w:rPr>
        <w:t>(84%)</w:t>
      </w:r>
      <w:r>
        <w:rPr>
          <w:spacing w:val="-3"/>
          <w:sz w:val="24"/>
        </w:rPr>
        <w:t> </w:t>
      </w:r>
      <w:r>
        <w:rPr>
          <w:sz w:val="24"/>
        </w:rPr>
        <w:t>referrals</w:t>
      </w:r>
      <w:r>
        <w:rPr>
          <w:spacing w:val="-2"/>
          <w:sz w:val="24"/>
        </w:rPr>
        <w:t> completed.</w:t>
      </w:r>
    </w:p>
    <w:p>
      <w:pPr>
        <w:pStyle w:val="BodyText"/>
        <w:spacing w:before="9"/>
        <w:rPr>
          <w:sz w:val="37"/>
        </w:rPr>
      </w:pPr>
    </w:p>
    <w:p>
      <w:pPr>
        <w:pStyle w:val="Heading2"/>
      </w:pPr>
      <w:r>
        <w:rPr/>
        <w:t>Early</w:t>
      </w:r>
      <w:r>
        <w:rPr>
          <w:spacing w:val="-3"/>
        </w:rPr>
        <w:t> </w:t>
      </w:r>
      <w:r>
        <w:rPr/>
        <w:t>Intervention</w:t>
      </w:r>
      <w:r>
        <w:rPr>
          <w:spacing w:val="-2"/>
        </w:rPr>
        <w:t> </w:t>
      </w:r>
      <w:r>
        <w:rPr/>
        <w:t>Parenting</w:t>
      </w:r>
      <w:r>
        <w:rPr>
          <w:spacing w:val="-2"/>
        </w:rPr>
        <w:t> Partnerships</w:t>
      </w:r>
    </w:p>
    <w:p>
      <w:pPr>
        <w:pStyle w:val="BodyText"/>
        <w:rPr>
          <w:b/>
          <w:sz w:val="22"/>
        </w:rPr>
      </w:pPr>
    </w:p>
    <w:p>
      <w:pPr>
        <w:pStyle w:val="BodyText"/>
        <w:ind w:left="380" w:right="1110"/>
        <w:jc w:val="both"/>
      </w:pPr>
      <w:r>
        <w:rPr/>
        <w:t>DPH’s </w:t>
      </w:r>
      <w:hyperlink r:id="rId20">
        <w:r>
          <w:rPr>
            <w:color w:val="0000FF"/>
            <w:u w:val="single" w:color="0000FF"/>
          </w:rPr>
          <w:t>Early Intervention</w:t>
        </w:r>
        <w:r>
          <w:rPr>
            <w:color w:val="0000FF"/>
            <w:spacing w:val="-2"/>
            <w:u w:val="single" w:color="0000FF"/>
          </w:rPr>
          <w:t> </w:t>
        </w:r>
        <w:r>
          <w:rPr>
            <w:color w:val="0000FF"/>
            <w:u w:val="single" w:color="0000FF"/>
          </w:rPr>
          <w:t>Parenting</w:t>
        </w:r>
        <w:r>
          <w:rPr>
            <w:color w:val="0000FF"/>
            <w:spacing w:val="-1"/>
            <w:u w:val="single" w:color="0000FF"/>
          </w:rPr>
          <w:t> </w:t>
        </w:r>
        <w:r>
          <w:rPr>
            <w:color w:val="0000FF"/>
            <w:u w:val="single" w:color="0000FF"/>
          </w:rPr>
          <w:t>Partnerships</w:t>
        </w:r>
        <w:r>
          <w:rPr>
            <w:color w:val="0000FF"/>
            <w:spacing w:val="-1"/>
            <w:u w:val="single" w:color="0000FF"/>
          </w:rPr>
          <w:t> </w:t>
        </w:r>
        <w:r>
          <w:rPr>
            <w:color w:val="0000FF"/>
            <w:u w:val="single" w:color="0000FF"/>
          </w:rPr>
          <w:t>(EIPP)</w:t>
        </w:r>
      </w:hyperlink>
      <w:r>
        <w:rPr>
          <w:color w:val="0000FF"/>
        </w:rPr>
        <w:t> </w:t>
      </w:r>
      <w:r>
        <w:rPr/>
        <w:t>is a</w:t>
      </w:r>
      <w:r>
        <w:rPr>
          <w:spacing w:val="-1"/>
        </w:rPr>
        <w:t> </w:t>
      </w:r>
      <w:r>
        <w:rPr/>
        <w:t>home visiting</w:t>
      </w:r>
      <w:r>
        <w:rPr>
          <w:spacing w:val="-1"/>
        </w:rPr>
        <w:t> </w:t>
      </w:r>
      <w:r>
        <w:rPr/>
        <w:t>program</w:t>
      </w:r>
      <w:r>
        <w:rPr>
          <w:spacing w:val="-1"/>
        </w:rPr>
        <w:t> </w:t>
      </w:r>
      <w:r>
        <w:rPr/>
        <w:t>for</w:t>
      </w:r>
      <w:r>
        <w:rPr>
          <w:spacing w:val="-1"/>
        </w:rPr>
        <w:t> </w:t>
      </w:r>
      <w:r>
        <w:rPr/>
        <w:t>expectant parents and</w:t>
      </w:r>
      <w:r>
        <w:rPr>
          <w:spacing w:val="-1"/>
        </w:rPr>
        <w:t> </w:t>
      </w:r>
      <w:r>
        <w:rPr/>
        <w:t>families with infants</w:t>
      </w:r>
      <w:r>
        <w:rPr>
          <w:spacing w:val="-2"/>
        </w:rPr>
        <w:t> </w:t>
      </w:r>
      <w:r>
        <w:rPr/>
        <w:t>who</w:t>
      </w:r>
      <w:r>
        <w:rPr>
          <w:spacing w:val="-1"/>
        </w:rPr>
        <w:t> </w:t>
      </w:r>
      <w:r>
        <w:rPr/>
        <w:t>are</w:t>
      </w:r>
      <w:r>
        <w:rPr>
          <w:spacing w:val="-1"/>
        </w:rPr>
        <w:t> </w:t>
      </w:r>
      <w:r>
        <w:rPr/>
        <w:t>high need</w:t>
      </w:r>
      <w:r>
        <w:rPr>
          <w:spacing w:val="-1"/>
        </w:rPr>
        <w:t> </w:t>
      </w:r>
      <w:r>
        <w:rPr/>
        <w:t>due</w:t>
      </w:r>
      <w:r>
        <w:rPr>
          <w:spacing w:val="-1"/>
        </w:rPr>
        <w:t> </w:t>
      </w:r>
      <w:r>
        <w:rPr/>
        <w:t>to practical</w:t>
      </w:r>
      <w:r>
        <w:rPr>
          <w:spacing w:val="-2"/>
        </w:rPr>
        <w:t> </w:t>
      </w:r>
      <w:r>
        <w:rPr/>
        <w:t>barriers (e.g., low</w:t>
      </w:r>
      <w:r>
        <w:rPr>
          <w:spacing w:val="-1"/>
        </w:rPr>
        <w:t> </w:t>
      </w:r>
      <w:r>
        <w:rPr/>
        <w:t>financial resources,</w:t>
      </w:r>
      <w:r>
        <w:rPr>
          <w:spacing w:val="-6"/>
        </w:rPr>
        <w:t> </w:t>
      </w:r>
      <w:r>
        <w:rPr/>
        <w:t>housing</w:t>
      </w:r>
      <w:r>
        <w:rPr>
          <w:spacing w:val="-4"/>
        </w:rPr>
        <w:t> </w:t>
      </w:r>
      <w:r>
        <w:rPr/>
        <w:t>instability),</w:t>
      </w:r>
      <w:r>
        <w:rPr>
          <w:spacing w:val="-3"/>
        </w:rPr>
        <w:t> </w:t>
      </w:r>
      <w:r>
        <w:rPr/>
        <w:t>emotional</w:t>
      </w:r>
      <w:r>
        <w:rPr>
          <w:spacing w:val="-3"/>
        </w:rPr>
        <w:t> </w:t>
      </w:r>
      <w:r>
        <w:rPr/>
        <w:t>and/or</w:t>
      </w:r>
      <w:r>
        <w:rPr>
          <w:spacing w:val="-8"/>
        </w:rPr>
        <w:t> </w:t>
      </w:r>
      <w:r>
        <w:rPr/>
        <w:t>behavioral</w:t>
      </w:r>
      <w:r>
        <w:rPr>
          <w:spacing w:val="-6"/>
        </w:rPr>
        <w:t> </w:t>
      </w:r>
      <w:r>
        <w:rPr/>
        <w:t>health</w:t>
      </w:r>
      <w:r>
        <w:rPr>
          <w:spacing w:val="-2"/>
        </w:rPr>
        <w:t> </w:t>
      </w:r>
      <w:r>
        <w:rPr/>
        <w:t>challenges</w:t>
      </w:r>
      <w:r>
        <w:rPr>
          <w:spacing w:val="-4"/>
        </w:rPr>
        <w:t> </w:t>
      </w:r>
      <w:r>
        <w:rPr/>
        <w:t>(e.g.,</w:t>
      </w:r>
      <w:r>
        <w:rPr>
          <w:spacing w:val="-3"/>
        </w:rPr>
        <w:t> </w:t>
      </w:r>
      <w:r>
        <w:rPr/>
        <w:t>depression, substance use), or other stressors (e.g., immigration-related stress). The goals of EIPP are to:</w:t>
      </w:r>
    </w:p>
    <w:p>
      <w:pPr>
        <w:pStyle w:val="ListParagraph"/>
        <w:numPr>
          <w:ilvl w:val="0"/>
          <w:numId w:val="3"/>
        </w:numPr>
        <w:tabs>
          <w:tab w:pos="1099" w:val="left" w:leader="none"/>
          <w:tab w:pos="1100" w:val="left" w:leader="none"/>
        </w:tabs>
        <w:spacing w:line="240" w:lineRule="auto" w:before="62" w:after="0"/>
        <w:ind w:left="1100" w:right="0" w:hanging="360"/>
        <w:jc w:val="left"/>
        <w:rPr>
          <w:sz w:val="24"/>
        </w:rPr>
      </w:pPr>
      <w:r>
        <w:rPr>
          <w:sz w:val="24"/>
        </w:rPr>
        <w:t>Connect</w:t>
      </w:r>
      <w:r>
        <w:rPr>
          <w:spacing w:val="-3"/>
          <w:sz w:val="24"/>
        </w:rPr>
        <w:t> </w:t>
      </w:r>
      <w:r>
        <w:rPr>
          <w:sz w:val="24"/>
        </w:rPr>
        <w:t>families</w:t>
      </w:r>
      <w:r>
        <w:rPr>
          <w:spacing w:val="-4"/>
          <w:sz w:val="24"/>
        </w:rPr>
        <w:t> </w:t>
      </w:r>
      <w:r>
        <w:rPr>
          <w:sz w:val="24"/>
        </w:rPr>
        <w:t>with local </w:t>
      </w:r>
      <w:r>
        <w:rPr>
          <w:spacing w:val="-2"/>
          <w:sz w:val="24"/>
        </w:rPr>
        <w:t>resources;</w:t>
      </w:r>
    </w:p>
    <w:p>
      <w:pPr>
        <w:pStyle w:val="ListParagraph"/>
        <w:numPr>
          <w:ilvl w:val="0"/>
          <w:numId w:val="3"/>
        </w:numPr>
        <w:tabs>
          <w:tab w:pos="1099" w:val="left" w:leader="none"/>
          <w:tab w:pos="1100" w:val="left" w:leader="none"/>
        </w:tabs>
        <w:spacing w:line="240" w:lineRule="auto" w:before="59" w:after="0"/>
        <w:ind w:left="1100" w:right="0" w:hanging="360"/>
        <w:jc w:val="left"/>
        <w:rPr>
          <w:sz w:val="24"/>
        </w:rPr>
      </w:pPr>
      <w:r>
        <w:rPr>
          <w:sz w:val="24"/>
        </w:rPr>
        <w:t>Provide</w:t>
      </w:r>
      <w:r>
        <w:rPr>
          <w:spacing w:val="-3"/>
          <w:sz w:val="24"/>
        </w:rPr>
        <w:t> </w:t>
      </w:r>
      <w:r>
        <w:rPr>
          <w:sz w:val="24"/>
        </w:rPr>
        <w:t>and</w:t>
      </w:r>
      <w:r>
        <w:rPr>
          <w:spacing w:val="-3"/>
          <w:sz w:val="24"/>
        </w:rPr>
        <w:t> </w:t>
      </w:r>
      <w:r>
        <w:rPr>
          <w:sz w:val="24"/>
        </w:rPr>
        <w:t>build families’</w:t>
      </w:r>
      <w:r>
        <w:rPr>
          <w:spacing w:val="-1"/>
          <w:sz w:val="24"/>
        </w:rPr>
        <w:t> </w:t>
      </w:r>
      <w:r>
        <w:rPr>
          <w:sz w:val="24"/>
        </w:rPr>
        <w:t>social</w:t>
      </w:r>
      <w:r>
        <w:rPr>
          <w:spacing w:val="-2"/>
          <w:sz w:val="24"/>
        </w:rPr>
        <w:t> support;</w:t>
      </w:r>
    </w:p>
    <w:p>
      <w:pPr>
        <w:pStyle w:val="ListParagraph"/>
        <w:numPr>
          <w:ilvl w:val="0"/>
          <w:numId w:val="3"/>
        </w:numPr>
        <w:tabs>
          <w:tab w:pos="1099" w:val="left" w:leader="none"/>
          <w:tab w:pos="1100" w:val="left" w:leader="none"/>
        </w:tabs>
        <w:spacing w:line="240" w:lineRule="auto" w:before="60" w:after="0"/>
        <w:ind w:left="1100" w:right="0" w:hanging="361"/>
        <w:jc w:val="left"/>
        <w:rPr>
          <w:sz w:val="24"/>
        </w:rPr>
      </w:pPr>
      <w:r>
        <w:rPr>
          <w:sz w:val="24"/>
        </w:rPr>
        <w:t>Appropriately</w:t>
      </w:r>
      <w:r>
        <w:rPr>
          <w:spacing w:val="-2"/>
          <w:sz w:val="24"/>
        </w:rPr>
        <w:t> </w:t>
      </w:r>
      <w:r>
        <w:rPr>
          <w:sz w:val="24"/>
        </w:rPr>
        <w:t>engage</w:t>
      </w:r>
      <w:r>
        <w:rPr>
          <w:spacing w:val="-2"/>
          <w:sz w:val="24"/>
        </w:rPr>
        <w:t> </w:t>
      </w:r>
      <w:r>
        <w:rPr>
          <w:sz w:val="24"/>
        </w:rPr>
        <w:t>families</w:t>
      </w:r>
      <w:r>
        <w:rPr>
          <w:spacing w:val="-1"/>
          <w:sz w:val="24"/>
        </w:rPr>
        <w:t> </w:t>
      </w:r>
      <w:r>
        <w:rPr>
          <w:sz w:val="24"/>
        </w:rPr>
        <w:t>in</w:t>
      </w:r>
      <w:r>
        <w:rPr>
          <w:spacing w:val="-3"/>
          <w:sz w:val="24"/>
        </w:rPr>
        <w:t> </w:t>
      </w:r>
      <w:r>
        <w:rPr>
          <w:sz w:val="24"/>
        </w:rPr>
        <w:t>health</w:t>
      </w:r>
      <w:r>
        <w:rPr>
          <w:spacing w:val="-2"/>
          <w:sz w:val="24"/>
        </w:rPr>
        <w:t> </w:t>
      </w:r>
      <w:r>
        <w:rPr>
          <w:sz w:val="24"/>
        </w:rPr>
        <w:t>care </w:t>
      </w:r>
      <w:r>
        <w:rPr>
          <w:spacing w:val="-2"/>
          <w:sz w:val="24"/>
        </w:rPr>
        <w:t>systems;</w:t>
      </w:r>
    </w:p>
    <w:p>
      <w:pPr>
        <w:pStyle w:val="ListParagraph"/>
        <w:numPr>
          <w:ilvl w:val="0"/>
          <w:numId w:val="3"/>
        </w:numPr>
        <w:tabs>
          <w:tab w:pos="1099" w:val="left" w:leader="none"/>
          <w:tab w:pos="1100" w:val="left" w:leader="none"/>
        </w:tabs>
        <w:spacing w:line="240" w:lineRule="auto" w:before="60" w:after="0"/>
        <w:ind w:left="1100" w:right="0" w:hanging="361"/>
        <w:jc w:val="left"/>
        <w:rPr>
          <w:sz w:val="24"/>
        </w:rPr>
      </w:pPr>
      <w:r>
        <w:rPr>
          <w:sz w:val="24"/>
        </w:rPr>
        <w:t>Provide</w:t>
      </w:r>
      <w:r>
        <w:rPr>
          <w:spacing w:val="-2"/>
          <w:sz w:val="24"/>
        </w:rPr>
        <w:t> </w:t>
      </w:r>
      <w:r>
        <w:rPr>
          <w:sz w:val="24"/>
        </w:rPr>
        <w:t>parenting</w:t>
      </w:r>
      <w:r>
        <w:rPr>
          <w:spacing w:val="-3"/>
          <w:sz w:val="24"/>
        </w:rPr>
        <w:t> </w:t>
      </w:r>
      <w:r>
        <w:rPr>
          <w:spacing w:val="-2"/>
          <w:sz w:val="24"/>
        </w:rPr>
        <w:t>education;</w:t>
      </w:r>
    </w:p>
    <w:p>
      <w:pPr>
        <w:spacing w:after="0" w:line="240" w:lineRule="auto"/>
        <w:jc w:val="left"/>
        <w:rPr>
          <w:sz w:val="24"/>
        </w:rPr>
        <w:sectPr>
          <w:pgSz w:w="12240" w:h="15840"/>
          <w:pgMar w:header="0" w:footer="765" w:top="1400" w:bottom="960" w:left="1060" w:right="380"/>
        </w:sectPr>
      </w:pPr>
    </w:p>
    <w:p>
      <w:pPr>
        <w:pStyle w:val="ListParagraph"/>
        <w:numPr>
          <w:ilvl w:val="0"/>
          <w:numId w:val="3"/>
        </w:numPr>
        <w:tabs>
          <w:tab w:pos="1099" w:val="left" w:leader="none"/>
          <w:tab w:pos="1100" w:val="left" w:leader="none"/>
        </w:tabs>
        <w:spacing w:line="240" w:lineRule="auto" w:before="59" w:after="0"/>
        <w:ind w:left="1100" w:right="0" w:hanging="360"/>
        <w:jc w:val="left"/>
        <w:rPr>
          <w:sz w:val="24"/>
        </w:rPr>
      </w:pPr>
      <w:r>
        <w:rPr>
          <w:sz w:val="24"/>
        </w:rPr>
        <w:t>Promote</w:t>
      </w:r>
      <w:r>
        <w:rPr>
          <w:spacing w:val="-4"/>
          <w:sz w:val="24"/>
        </w:rPr>
        <w:t> </w:t>
      </w:r>
      <w:r>
        <w:rPr>
          <w:sz w:val="24"/>
        </w:rPr>
        <w:t>positive</w:t>
      </w:r>
      <w:r>
        <w:rPr>
          <w:spacing w:val="-2"/>
          <w:sz w:val="24"/>
        </w:rPr>
        <w:t> </w:t>
      </w:r>
      <w:r>
        <w:rPr>
          <w:sz w:val="24"/>
        </w:rPr>
        <w:t>parent-child</w:t>
      </w:r>
      <w:r>
        <w:rPr>
          <w:spacing w:val="-1"/>
          <w:sz w:val="24"/>
        </w:rPr>
        <w:t> </w:t>
      </w:r>
      <w:r>
        <w:rPr>
          <w:sz w:val="24"/>
        </w:rPr>
        <w:t>attachment</w:t>
      </w:r>
      <w:r>
        <w:rPr>
          <w:spacing w:val="-1"/>
          <w:sz w:val="24"/>
        </w:rPr>
        <w:t> </w:t>
      </w:r>
      <w:r>
        <w:rPr>
          <w:sz w:val="24"/>
        </w:rPr>
        <w:t>and</w:t>
      </w:r>
      <w:r>
        <w:rPr>
          <w:spacing w:val="-3"/>
          <w:sz w:val="24"/>
        </w:rPr>
        <w:t> </w:t>
      </w:r>
      <w:r>
        <w:rPr>
          <w:sz w:val="24"/>
        </w:rPr>
        <w:t>healthy</w:t>
      </w:r>
      <w:r>
        <w:rPr>
          <w:spacing w:val="-3"/>
          <w:sz w:val="24"/>
        </w:rPr>
        <w:t> </w:t>
      </w:r>
      <w:r>
        <w:rPr>
          <w:sz w:val="24"/>
        </w:rPr>
        <w:t>child</w:t>
      </w:r>
      <w:r>
        <w:rPr>
          <w:spacing w:val="-3"/>
          <w:sz w:val="24"/>
        </w:rPr>
        <w:t> </w:t>
      </w:r>
      <w:r>
        <w:rPr>
          <w:sz w:val="24"/>
        </w:rPr>
        <w:t>development;</w:t>
      </w:r>
      <w:r>
        <w:rPr>
          <w:spacing w:val="-4"/>
          <w:sz w:val="24"/>
        </w:rPr>
        <w:t> </w:t>
      </w:r>
      <w:r>
        <w:rPr>
          <w:spacing w:val="-5"/>
          <w:sz w:val="24"/>
        </w:rPr>
        <w:t>and</w:t>
      </w:r>
    </w:p>
    <w:p>
      <w:pPr>
        <w:pStyle w:val="ListParagraph"/>
        <w:numPr>
          <w:ilvl w:val="0"/>
          <w:numId w:val="3"/>
        </w:numPr>
        <w:tabs>
          <w:tab w:pos="1099" w:val="left" w:leader="none"/>
          <w:tab w:pos="1100" w:val="left" w:leader="none"/>
        </w:tabs>
        <w:spacing w:line="240" w:lineRule="auto" w:before="60" w:after="0"/>
        <w:ind w:left="1100" w:right="1343" w:hanging="360"/>
        <w:jc w:val="left"/>
        <w:rPr>
          <w:sz w:val="24"/>
        </w:rPr>
      </w:pPr>
      <w:r>
        <w:rPr>
          <w:sz w:val="24"/>
        </w:rPr>
        <w:t>Support</w:t>
      </w:r>
      <w:r>
        <w:rPr>
          <w:spacing w:val="-5"/>
          <w:sz w:val="24"/>
        </w:rPr>
        <w:t> </w:t>
      </w:r>
      <w:r>
        <w:rPr>
          <w:sz w:val="24"/>
        </w:rPr>
        <w:t>families</w:t>
      </w:r>
      <w:r>
        <w:rPr>
          <w:spacing w:val="-4"/>
          <w:sz w:val="24"/>
        </w:rPr>
        <w:t> </w:t>
      </w:r>
      <w:r>
        <w:rPr>
          <w:sz w:val="24"/>
        </w:rPr>
        <w:t>experiencing</w:t>
      </w:r>
      <w:r>
        <w:rPr>
          <w:spacing w:val="-4"/>
          <w:sz w:val="24"/>
        </w:rPr>
        <w:t> </w:t>
      </w:r>
      <w:r>
        <w:rPr>
          <w:sz w:val="24"/>
        </w:rPr>
        <w:t>multiple</w:t>
      </w:r>
      <w:r>
        <w:rPr>
          <w:spacing w:val="-3"/>
          <w:sz w:val="24"/>
        </w:rPr>
        <w:t> </w:t>
      </w:r>
      <w:r>
        <w:rPr>
          <w:sz w:val="24"/>
        </w:rPr>
        <w:t>stressors</w:t>
      </w:r>
      <w:r>
        <w:rPr>
          <w:spacing w:val="-6"/>
          <w:sz w:val="24"/>
        </w:rPr>
        <w:t> </w:t>
      </w:r>
      <w:r>
        <w:rPr>
          <w:sz w:val="24"/>
        </w:rPr>
        <w:t>to</w:t>
      </w:r>
      <w:r>
        <w:rPr>
          <w:spacing w:val="-3"/>
          <w:sz w:val="24"/>
        </w:rPr>
        <w:t> </w:t>
      </w:r>
      <w:r>
        <w:rPr>
          <w:sz w:val="24"/>
        </w:rPr>
        <w:t>prevent</w:t>
      </w:r>
      <w:r>
        <w:rPr>
          <w:spacing w:val="-2"/>
          <w:sz w:val="24"/>
        </w:rPr>
        <w:t> </w:t>
      </w:r>
      <w:r>
        <w:rPr>
          <w:sz w:val="24"/>
        </w:rPr>
        <w:t>child</w:t>
      </w:r>
      <w:r>
        <w:rPr>
          <w:spacing w:val="-2"/>
          <w:sz w:val="24"/>
        </w:rPr>
        <w:t> </w:t>
      </w:r>
      <w:r>
        <w:rPr>
          <w:sz w:val="24"/>
        </w:rPr>
        <w:t>social</w:t>
      </w:r>
      <w:r>
        <w:rPr>
          <w:spacing w:val="-6"/>
          <w:sz w:val="24"/>
        </w:rPr>
        <w:t> </w:t>
      </w:r>
      <w:r>
        <w:rPr>
          <w:sz w:val="24"/>
        </w:rPr>
        <w:t>and</w:t>
      </w:r>
      <w:r>
        <w:rPr>
          <w:spacing w:val="-2"/>
          <w:sz w:val="24"/>
        </w:rPr>
        <w:t> </w:t>
      </w:r>
      <w:r>
        <w:rPr>
          <w:sz w:val="24"/>
        </w:rPr>
        <w:t>emotional delays, and link with Early Intervention (EI) services where appropriate.</w:t>
      </w:r>
    </w:p>
    <w:p>
      <w:pPr>
        <w:pStyle w:val="BodyText"/>
        <w:spacing w:before="10"/>
        <w:rPr>
          <w:sz w:val="28"/>
        </w:rPr>
      </w:pPr>
    </w:p>
    <w:p>
      <w:pPr>
        <w:pStyle w:val="BodyText"/>
        <w:spacing w:before="1"/>
        <w:ind w:left="380" w:right="1129"/>
      </w:pPr>
      <w:r>
        <w:rPr/>
        <w:t>EIPP provides home visiting and group services to over 300 families annually by a maternal- child</w:t>
      </w:r>
      <w:r>
        <w:rPr>
          <w:spacing w:val="-4"/>
        </w:rPr>
        <w:t> </w:t>
      </w:r>
      <w:r>
        <w:rPr/>
        <w:t>health</w:t>
      </w:r>
      <w:r>
        <w:rPr>
          <w:spacing w:val="-2"/>
        </w:rPr>
        <w:t> </w:t>
      </w:r>
      <w:r>
        <w:rPr/>
        <w:t>(MCH)</w:t>
      </w:r>
      <w:r>
        <w:rPr>
          <w:spacing w:val="-3"/>
        </w:rPr>
        <w:t> </w:t>
      </w:r>
      <w:r>
        <w:rPr/>
        <w:t>team</w:t>
      </w:r>
      <w:r>
        <w:rPr>
          <w:spacing w:val="-5"/>
        </w:rPr>
        <w:t> </w:t>
      </w:r>
      <w:r>
        <w:rPr/>
        <w:t>that</w:t>
      </w:r>
      <w:r>
        <w:rPr>
          <w:spacing w:val="-1"/>
        </w:rPr>
        <w:t> </w:t>
      </w:r>
      <w:r>
        <w:rPr/>
        <w:t>includes</w:t>
      </w:r>
      <w:r>
        <w:rPr>
          <w:spacing w:val="-5"/>
        </w:rPr>
        <w:t> </w:t>
      </w:r>
      <w:r>
        <w:rPr/>
        <w:t>a</w:t>
      </w:r>
      <w:r>
        <w:rPr>
          <w:spacing w:val="-5"/>
        </w:rPr>
        <w:t> </w:t>
      </w:r>
      <w:r>
        <w:rPr/>
        <w:t>MCH</w:t>
      </w:r>
      <w:r>
        <w:rPr>
          <w:spacing w:val="-3"/>
        </w:rPr>
        <w:t> </w:t>
      </w:r>
      <w:r>
        <w:rPr/>
        <w:t>nurse,</w:t>
      </w:r>
      <w:r>
        <w:rPr>
          <w:spacing w:val="-2"/>
        </w:rPr>
        <w:t> </w:t>
      </w:r>
      <w:r>
        <w:rPr/>
        <w:t>a</w:t>
      </w:r>
      <w:r>
        <w:rPr>
          <w:spacing w:val="-2"/>
        </w:rPr>
        <w:t> </w:t>
      </w:r>
      <w:r>
        <w:rPr/>
        <w:t>mental</w:t>
      </w:r>
      <w:r>
        <w:rPr>
          <w:spacing w:val="-2"/>
        </w:rPr>
        <w:t> </w:t>
      </w:r>
      <w:r>
        <w:rPr/>
        <w:t>health</w:t>
      </w:r>
      <w:r>
        <w:rPr>
          <w:spacing w:val="-1"/>
        </w:rPr>
        <w:t> </w:t>
      </w:r>
      <w:r>
        <w:rPr/>
        <w:t>clinical</w:t>
      </w:r>
      <w:r>
        <w:rPr>
          <w:spacing w:val="-2"/>
        </w:rPr>
        <w:t> </w:t>
      </w:r>
      <w:r>
        <w:rPr/>
        <w:t>professional,</w:t>
      </w:r>
      <w:r>
        <w:rPr>
          <w:spacing w:val="-3"/>
        </w:rPr>
        <w:t> </w:t>
      </w:r>
      <w:r>
        <w:rPr/>
        <w:t>and</w:t>
      </w:r>
      <w:r>
        <w:rPr>
          <w:spacing w:val="-4"/>
        </w:rPr>
        <w:t> </w:t>
      </w:r>
      <w:r>
        <w:rPr/>
        <w:t>a community health worker (CHW). EIPP provides parental and infant health assessment and monitoring, health education and guidance, screening and appropriate referrals, and linkage with the </w:t>
      </w:r>
      <w:hyperlink r:id="rId21">
        <w:r>
          <w:rPr>
            <w:color w:val="0000FF"/>
            <w:u w:val="single" w:color="0000FF"/>
          </w:rPr>
          <w:t>Women, Infants &amp; Children (WIC) Program</w:t>
        </w:r>
      </w:hyperlink>
      <w:r>
        <w:rPr>
          <w:color w:val="0000FF"/>
        </w:rPr>
        <w:t> </w:t>
      </w:r>
      <w:r>
        <w:rPr/>
        <w:t>and other resources.</w:t>
      </w:r>
    </w:p>
    <w:p>
      <w:pPr>
        <w:pStyle w:val="BodyText"/>
        <w:spacing w:before="10"/>
        <w:rPr>
          <w:sz w:val="19"/>
        </w:rPr>
      </w:pPr>
    </w:p>
    <w:p>
      <w:pPr>
        <w:pStyle w:val="BodyText"/>
        <w:spacing w:before="52"/>
        <w:ind w:left="380" w:right="1059"/>
      </w:pPr>
      <w:r>
        <w:rPr/>
        <w:t>Programmatic</w:t>
      </w:r>
      <w:r>
        <w:rPr>
          <w:spacing w:val="-4"/>
        </w:rPr>
        <w:t> </w:t>
      </w:r>
      <w:r>
        <w:rPr/>
        <w:t>performance</w:t>
      </w:r>
      <w:r>
        <w:rPr>
          <w:spacing w:val="-3"/>
        </w:rPr>
        <w:t> </w:t>
      </w:r>
      <w:r>
        <w:rPr/>
        <w:t>measures</w:t>
      </w:r>
      <w:r>
        <w:rPr>
          <w:spacing w:val="-4"/>
        </w:rPr>
        <w:t> </w:t>
      </w:r>
      <w:r>
        <w:rPr/>
        <w:t>and</w:t>
      </w:r>
      <w:r>
        <w:rPr>
          <w:spacing w:val="-5"/>
        </w:rPr>
        <w:t> </w:t>
      </w:r>
      <w:r>
        <w:rPr/>
        <w:t>parental</w:t>
      </w:r>
      <w:r>
        <w:rPr>
          <w:spacing w:val="-3"/>
        </w:rPr>
        <w:t> </w:t>
      </w:r>
      <w:r>
        <w:rPr/>
        <w:t>and</w:t>
      </w:r>
      <w:r>
        <w:rPr>
          <w:spacing w:val="-3"/>
        </w:rPr>
        <w:t> </w:t>
      </w:r>
      <w:r>
        <w:rPr/>
        <w:t>infant</w:t>
      </w:r>
      <w:r>
        <w:rPr>
          <w:spacing w:val="-5"/>
        </w:rPr>
        <w:t> </w:t>
      </w:r>
      <w:r>
        <w:rPr/>
        <w:t>outcomes</w:t>
      </w:r>
      <w:r>
        <w:rPr>
          <w:spacing w:val="-8"/>
        </w:rPr>
        <w:t> </w:t>
      </w:r>
      <w:r>
        <w:rPr/>
        <w:t>range</w:t>
      </w:r>
      <w:r>
        <w:rPr>
          <w:spacing w:val="-5"/>
        </w:rPr>
        <w:t> </w:t>
      </w:r>
      <w:r>
        <w:rPr/>
        <w:t>from</w:t>
      </w:r>
      <w:r>
        <w:rPr>
          <w:spacing w:val="-5"/>
        </w:rPr>
        <w:t> </w:t>
      </w:r>
      <w:r>
        <w:rPr/>
        <w:t>improved management of alcohol, tobacco and other drugs, improved parenting skills, improved emotional health, increased rates of exclusive breastfeeding, increased attendance at postpartum visits, and improved nutrition.</w:t>
      </w:r>
    </w:p>
    <w:p>
      <w:pPr>
        <w:pStyle w:val="BodyText"/>
        <w:spacing w:before="11"/>
        <w:rPr>
          <w:sz w:val="23"/>
        </w:rPr>
      </w:pPr>
    </w:p>
    <w:p>
      <w:pPr>
        <w:pStyle w:val="BodyText"/>
        <w:ind w:left="380" w:right="1059"/>
      </w:pPr>
      <w:r>
        <w:rPr/>
        <w:t>Data</w:t>
      </w:r>
      <w:r>
        <w:rPr>
          <w:spacing w:val="-4"/>
        </w:rPr>
        <w:t> </w:t>
      </w:r>
      <w:r>
        <w:rPr/>
        <w:t>on</w:t>
      </w:r>
      <w:r>
        <w:rPr>
          <w:spacing w:val="-3"/>
        </w:rPr>
        <w:t> </w:t>
      </w:r>
      <w:r>
        <w:rPr/>
        <w:t>the</w:t>
      </w:r>
      <w:r>
        <w:rPr>
          <w:spacing w:val="-3"/>
        </w:rPr>
        <w:t> </w:t>
      </w:r>
      <w:r>
        <w:rPr/>
        <w:t>291</w:t>
      </w:r>
      <w:r>
        <w:rPr>
          <w:spacing w:val="-3"/>
        </w:rPr>
        <w:t> </w:t>
      </w:r>
      <w:r>
        <w:rPr/>
        <w:t>EIPP</w:t>
      </w:r>
      <w:r>
        <w:rPr>
          <w:spacing w:val="-3"/>
        </w:rPr>
        <w:t> </w:t>
      </w:r>
      <w:r>
        <w:rPr/>
        <w:t>Participants</w:t>
      </w:r>
      <w:r>
        <w:rPr>
          <w:spacing w:val="-2"/>
        </w:rPr>
        <w:t> </w:t>
      </w:r>
      <w:r>
        <w:rPr/>
        <w:t>enrolled</w:t>
      </w:r>
      <w:r>
        <w:rPr>
          <w:spacing w:val="-3"/>
        </w:rPr>
        <w:t> </w:t>
      </w:r>
      <w:r>
        <w:rPr/>
        <w:t>during</w:t>
      </w:r>
      <w:r>
        <w:rPr>
          <w:spacing w:val="-4"/>
        </w:rPr>
        <w:t> </w:t>
      </w:r>
      <w:r>
        <w:rPr/>
        <w:t>CY20</w:t>
      </w:r>
      <w:r>
        <w:rPr>
          <w:spacing w:val="-1"/>
        </w:rPr>
        <w:t> </w:t>
      </w:r>
      <w:r>
        <w:rPr/>
        <w:t>include</w:t>
      </w:r>
      <w:r>
        <w:rPr>
          <w:spacing w:val="-3"/>
        </w:rPr>
        <w:t> </w:t>
      </w:r>
      <w:r>
        <w:rPr/>
        <w:t>the</w:t>
      </w:r>
      <w:r>
        <w:rPr>
          <w:spacing w:val="-3"/>
        </w:rPr>
        <w:t> </w:t>
      </w:r>
      <w:r>
        <w:rPr/>
        <w:t>following</w:t>
      </w:r>
      <w:r>
        <w:rPr>
          <w:spacing w:val="-2"/>
        </w:rPr>
        <w:t> </w:t>
      </w:r>
      <w:r>
        <w:rPr/>
        <w:t>eligibility</w:t>
      </w:r>
      <w:r>
        <w:rPr>
          <w:spacing w:val="-2"/>
        </w:rPr>
        <w:t> </w:t>
      </w:r>
      <w:r>
        <w:rPr/>
        <w:t>criteria (participants may meet more than one):</w:t>
      </w:r>
    </w:p>
    <w:p>
      <w:pPr>
        <w:pStyle w:val="BodyText"/>
        <w:rPr>
          <w:sz w:val="20"/>
        </w:rPr>
      </w:pPr>
    </w:p>
    <w:p>
      <w:pPr>
        <w:pStyle w:val="BodyText"/>
        <w:spacing w:before="8"/>
        <w:rPr>
          <w:sz w:val="13"/>
        </w:rPr>
      </w:pPr>
    </w:p>
    <w:tbl>
      <w:tblPr>
        <w:tblW w:w="0" w:type="auto"/>
        <w:jc w:val="left"/>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2"/>
        <w:gridCol w:w="6118"/>
      </w:tblGrid>
      <w:tr>
        <w:trPr>
          <w:trHeight w:val="314" w:hRule="atLeast"/>
        </w:trPr>
        <w:tc>
          <w:tcPr>
            <w:tcW w:w="3232" w:type="dxa"/>
            <w:tcBorders>
              <w:bottom w:val="single" w:sz="4" w:space="0" w:color="000000"/>
            </w:tcBorders>
          </w:tcPr>
          <w:p>
            <w:pPr>
              <w:pStyle w:val="TableParagraph"/>
              <w:spacing w:line="244" w:lineRule="exact" w:before="0"/>
              <w:ind w:left="522" w:right="427"/>
              <w:jc w:val="center"/>
              <w:rPr>
                <w:b/>
                <w:sz w:val="24"/>
              </w:rPr>
            </w:pPr>
            <w:r>
              <w:rPr>
                <w:b/>
                <w:sz w:val="24"/>
              </w:rPr>
              <w:t>Percent</w:t>
            </w:r>
            <w:r>
              <w:rPr>
                <w:b/>
                <w:spacing w:val="-1"/>
                <w:sz w:val="24"/>
              </w:rPr>
              <w:t> </w:t>
            </w:r>
            <w:r>
              <w:rPr>
                <w:b/>
                <w:sz w:val="24"/>
              </w:rPr>
              <w:t>of</w:t>
            </w:r>
            <w:r>
              <w:rPr>
                <w:b/>
                <w:spacing w:val="-1"/>
                <w:sz w:val="24"/>
              </w:rPr>
              <w:t> </w:t>
            </w:r>
            <w:r>
              <w:rPr>
                <w:b/>
                <w:spacing w:val="-2"/>
                <w:sz w:val="24"/>
              </w:rPr>
              <w:t>Participants</w:t>
            </w:r>
          </w:p>
        </w:tc>
        <w:tc>
          <w:tcPr>
            <w:tcW w:w="6118" w:type="dxa"/>
            <w:tcBorders>
              <w:bottom w:val="single" w:sz="4" w:space="0" w:color="000000"/>
            </w:tcBorders>
          </w:tcPr>
          <w:p>
            <w:pPr>
              <w:pStyle w:val="TableParagraph"/>
              <w:spacing w:line="244" w:lineRule="exact" w:before="0"/>
              <w:ind w:left="427" w:right="335"/>
              <w:jc w:val="center"/>
              <w:rPr>
                <w:b/>
                <w:sz w:val="24"/>
              </w:rPr>
            </w:pPr>
            <w:r>
              <w:rPr>
                <w:b/>
                <w:sz w:val="24"/>
              </w:rPr>
              <w:t>Eligibility </w:t>
            </w:r>
            <w:r>
              <w:rPr>
                <w:b/>
                <w:spacing w:val="-2"/>
                <w:sz w:val="24"/>
              </w:rPr>
              <w:t>Criteria</w:t>
            </w:r>
          </w:p>
        </w:tc>
      </w:tr>
      <w:tr>
        <w:trPr>
          <w:trHeight w:val="431" w:hRule="atLeast"/>
        </w:trPr>
        <w:tc>
          <w:tcPr>
            <w:tcW w:w="3232" w:type="dxa"/>
            <w:tcBorders>
              <w:top w:val="single" w:sz="4" w:space="0" w:color="000000"/>
              <w:bottom w:val="single" w:sz="4" w:space="0" w:color="000000"/>
            </w:tcBorders>
          </w:tcPr>
          <w:p>
            <w:pPr>
              <w:pStyle w:val="TableParagraph"/>
              <w:spacing w:before="69"/>
              <w:ind w:left="520" w:right="427"/>
              <w:jc w:val="center"/>
              <w:rPr>
                <w:sz w:val="24"/>
              </w:rPr>
            </w:pPr>
            <w:r>
              <w:rPr>
                <w:spacing w:val="-2"/>
                <w:sz w:val="24"/>
              </w:rPr>
              <w:t>83.5%</w:t>
            </w:r>
          </w:p>
        </w:tc>
        <w:tc>
          <w:tcPr>
            <w:tcW w:w="6118" w:type="dxa"/>
            <w:tcBorders>
              <w:top w:val="single" w:sz="4" w:space="0" w:color="000000"/>
              <w:bottom w:val="single" w:sz="4" w:space="0" w:color="000000"/>
            </w:tcBorders>
          </w:tcPr>
          <w:p>
            <w:pPr>
              <w:pStyle w:val="TableParagraph"/>
              <w:spacing w:before="69"/>
              <w:ind w:left="427" w:right="335"/>
              <w:jc w:val="center"/>
              <w:rPr>
                <w:sz w:val="24"/>
              </w:rPr>
            </w:pPr>
            <w:r>
              <w:rPr>
                <w:sz w:val="24"/>
              </w:rPr>
              <w:t>High level</w:t>
            </w:r>
            <w:r>
              <w:rPr>
                <w:spacing w:val="-2"/>
                <w:sz w:val="24"/>
              </w:rPr>
              <w:t> </w:t>
            </w:r>
            <w:r>
              <w:rPr>
                <w:sz w:val="24"/>
              </w:rPr>
              <w:t>of</w:t>
            </w:r>
            <w:r>
              <w:rPr>
                <w:spacing w:val="1"/>
                <w:sz w:val="24"/>
              </w:rPr>
              <w:t> </w:t>
            </w:r>
            <w:r>
              <w:rPr>
                <w:spacing w:val="-2"/>
                <w:sz w:val="24"/>
              </w:rPr>
              <w:t>stress</w:t>
            </w:r>
          </w:p>
        </w:tc>
      </w:tr>
      <w:tr>
        <w:trPr>
          <w:trHeight w:val="434" w:hRule="atLeast"/>
        </w:trPr>
        <w:tc>
          <w:tcPr>
            <w:tcW w:w="3232" w:type="dxa"/>
            <w:tcBorders>
              <w:top w:val="single" w:sz="4" w:space="0" w:color="000000"/>
              <w:bottom w:val="single" w:sz="4" w:space="0" w:color="000000"/>
            </w:tcBorders>
          </w:tcPr>
          <w:p>
            <w:pPr>
              <w:pStyle w:val="TableParagraph"/>
              <w:spacing w:before="71"/>
              <w:ind w:left="520" w:right="427"/>
              <w:jc w:val="center"/>
              <w:rPr>
                <w:sz w:val="24"/>
              </w:rPr>
            </w:pPr>
            <w:r>
              <w:rPr>
                <w:spacing w:val="-5"/>
                <w:sz w:val="24"/>
              </w:rPr>
              <w:t>66%</w:t>
            </w:r>
          </w:p>
        </w:tc>
        <w:tc>
          <w:tcPr>
            <w:tcW w:w="6118" w:type="dxa"/>
            <w:tcBorders>
              <w:top w:val="single" w:sz="4" w:space="0" w:color="000000"/>
              <w:bottom w:val="single" w:sz="4" w:space="0" w:color="000000"/>
            </w:tcBorders>
          </w:tcPr>
          <w:p>
            <w:pPr>
              <w:pStyle w:val="TableParagraph"/>
              <w:spacing w:before="71"/>
              <w:ind w:left="425" w:right="337"/>
              <w:jc w:val="center"/>
              <w:rPr>
                <w:sz w:val="24"/>
              </w:rPr>
            </w:pPr>
            <w:r>
              <w:rPr>
                <w:sz w:val="24"/>
              </w:rPr>
              <w:t>Inadequate</w:t>
            </w:r>
            <w:r>
              <w:rPr>
                <w:spacing w:val="-2"/>
                <w:sz w:val="24"/>
              </w:rPr>
              <w:t> </w:t>
            </w:r>
            <w:r>
              <w:rPr>
                <w:sz w:val="24"/>
              </w:rPr>
              <w:t>food</w:t>
            </w:r>
            <w:r>
              <w:rPr>
                <w:spacing w:val="-1"/>
                <w:sz w:val="24"/>
              </w:rPr>
              <w:t> </w:t>
            </w:r>
            <w:r>
              <w:rPr>
                <w:sz w:val="24"/>
              </w:rPr>
              <w:t>or</w:t>
            </w:r>
            <w:r>
              <w:rPr>
                <w:spacing w:val="-2"/>
                <w:sz w:val="24"/>
              </w:rPr>
              <w:t> clothing</w:t>
            </w:r>
          </w:p>
        </w:tc>
      </w:tr>
      <w:tr>
        <w:trPr>
          <w:trHeight w:val="431" w:hRule="atLeast"/>
        </w:trPr>
        <w:tc>
          <w:tcPr>
            <w:tcW w:w="3232" w:type="dxa"/>
            <w:tcBorders>
              <w:top w:val="single" w:sz="4" w:space="0" w:color="000000"/>
              <w:bottom w:val="single" w:sz="4" w:space="0" w:color="000000"/>
            </w:tcBorders>
          </w:tcPr>
          <w:p>
            <w:pPr>
              <w:pStyle w:val="TableParagraph"/>
              <w:spacing w:before="69"/>
              <w:ind w:left="520" w:right="427"/>
              <w:jc w:val="center"/>
              <w:rPr>
                <w:sz w:val="24"/>
              </w:rPr>
            </w:pPr>
            <w:r>
              <w:rPr>
                <w:spacing w:val="-2"/>
                <w:sz w:val="24"/>
              </w:rPr>
              <w:t>54.6%</w:t>
            </w:r>
          </w:p>
        </w:tc>
        <w:tc>
          <w:tcPr>
            <w:tcW w:w="6118" w:type="dxa"/>
            <w:tcBorders>
              <w:top w:val="single" w:sz="4" w:space="0" w:color="000000"/>
              <w:bottom w:val="single" w:sz="4" w:space="0" w:color="000000"/>
            </w:tcBorders>
          </w:tcPr>
          <w:p>
            <w:pPr>
              <w:pStyle w:val="TableParagraph"/>
              <w:spacing w:before="69"/>
              <w:ind w:left="427" w:right="337"/>
              <w:jc w:val="center"/>
              <w:rPr>
                <w:sz w:val="24"/>
              </w:rPr>
            </w:pPr>
            <w:r>
              <w:rPr>
                <w:sz w:val="24"/>
              </w:rPr>
              <w:t>History</w:t>
            </w:r>
            <w:r>
              <w:rPr>
                <w:spacing w:val="-2"/>
                <w:sz w:val="24"/>
              </w:rPr>
              <w:t> </w:t>
            </w:r>
            <w:r>
              <w:rPr>
                <w:sz w:val="24"/>
              </w:rPr>
              <w:t>of</w:t>
            </w:r>
            <w:r>
              <w:rPr>
                <w:spacing w:val="-3"/>
                <w:sz w:val="24"/>
              </w:rPr>
              <w:t> </w:t>
            </w:r>
            <w:r>
              <w:rPr>
                <w:sz w:val="24"/>
              </w:rPr>
              <w:t>depression</w:t>
            </w:r>
            <w:r>
              <w:rPr>
                <w:spacing w:val="-2"/>
                <w:sz w:val="24"/>
              </w:rPr>
              <w:t> </w:t>
            </w:r>
            <w:r>
              <w:rPr>
                <w:sz w:val="24"/>
              </w:rPr>
              <w:t>including</w:t>
            </w:r>
            <w:r>
              <w:rPr>
                <w:spacing w:val="-3"/>
                <w:sz w:val="24"/>
              </w:rPr>
              <w:t> </w:t>
            </w:r>
            <w:r>
              <w:rPr>
                <w:sz w:val="24"/>
              </w:rPr>
              <w:t>postpartum</w:t>
            </w:r>
            <w:r>
              <w:rPr>
                <w:spacing w:val="-1"/>
                <w:sz w:val="24"/>
              </w:rPr>
              <w:t> </w:t>
            </w:r>
            <w:r>
              <w:rPr>
                <w:spacing w:val="-2"/>
                <w:sz w:val="24"/>
              </w:rPr>
              <w:t>depression</w:t>
            </w:r>
          </w:p>
        </w:tc>
      </w:tr>
      <w:tr>
        <w:trPr>
          <w:trHeight w:val="431" w:hRule="atLeast"/>
        </w:trPr>
        <w:tc>
          <w:tcPr>
            <w:tcW w:w="3232" w:type="dxa"/>
            <w:tcBorders>
              <w:top w:val="single" w:sz="4" w:space="0" w:color="000000"/>
              <w:bottom w:val="single" w:sz="4" w:space="0" w:color="000000"/>
            </w:tcBorders>
          </w:tcPr>
          <w:p>
            <w:pPr>
              <w:pStyle w:val="TableParagraph"/>
              <w:spacing w:before="69"/>
              <w:ind w:left="520" w:right="427"/>
              <w:jc w:val="center"/>
              <w:rPr>
                <w:sz w:val="24"/>
              </w:rPr>
            </w:pPr>
            <w:r>
              <w:rPr>
                <w:spacing w:val="-5"/>
                <w:sz w:val="24"/>
              </w:rPr>
              <w:t>34%</w:t>
            </w:r>
          </w:p>
        </w:tc>
        <w:tc>
          <w:tcPr>
            <w:tcW w:w="6118" w:type="dxa"/>
            <w:tcBorders>
              <w:top w:val="single" w:sz="4" w:space="0" w:color="000000"/>
              <w:bottom w:val="single" w:sz="4" w:space="0" w:color="000000"/>
            </w:tcBorders>
          </w:tcPr>
          <w:p>
            <w:pPr>
              <w:pStyle w:val="TableParagraph"/>
              <w:spacing w:before="69"/>
              <w:ind w:left="427" w:right="337"/>
              <w:jc w:val="center"/>
              <w:rPr>
                <w:sz w:val="24"/>
              </w:rPr>
            </w:pPr>
            <w:r>
              <w:rPr>
                <w:sz w:val="24"/>
              </w:rPr>
              <w:t>Homelessness</w:t>
            </w:r>
            <w:r>
              <w:rPr>
                <w:spacing w:val="-4"/>
                <w:sz w:val="24"/>
              </w:rPr>
              <w:t> </w:t>
            </w:r>
            <w:r>
              <w:rPr>
                <w:sz w:val="24"/>
              </w:rPr>
              <w:t>or</w:t>
            </w:r>
            <w:r>
              <w:rPr>
                <w:spacing w:val="-4"/>
                <w:sz w:val="24"/>
              </w:rPr>
              <w:t> </w:t>
            </w:r>
            <w:r>
              <w:rPr>
                <w:sz w:val="24"/>
              </w:rPr>
              <w:t>housing</w:t>
            </w:r>
            <w:r>
              <w:rPr>
                <w:spacing w:val="-3"/>
                <w:sz w:val="24"/>
              </w:rPr>
              <w:t> </w:t>
            </w:r>
            <w:r>
              <w:rPr>
                <w:spacing w:val="-2"/>
                <w:sz w:val="24"/>
              </w:rPr>
              <w:t>instability</w:t>
            </w:r>
          </w:p>
        </w:tc>
      </w:tr>
      <w:tr>
        <w:trPr>
          <w:trHeight w:val="431" w:hRule="atLeast"/>
        </w:trPr>
        <w:tc>
          <w:tcPr>
            <w:tcW w:w="3232" w:type="dxa"/>
            <w:tcBorders>
              <w:top w:val="single" w:sz="4" w:space="0" w:color="000000"/>
              <w:bottom w:val="single" w:sz="4" w:space="0" w:color="000000"/>
            </w:tcBorders>
          </w:tcPr>
          <w:p>
            <w:pPr>
              <w:pStyle w:val="TableParagraph"/>
              <w:spacing w:before="69"/>
              <w:ind w:left="520" w:right="427"/>
              <w:jc w:val="center"/>
              <w:rPr>
                <w:sz w:val="24"/>
              </w:rPr>
            </w:pPr>
            <w:r>
              <w:rPr>
                <w:spacing w:val="-2"/>
                <w:sz w:val="24"/>
              </w:rPr>
              <w:t>16.5%</w:t>
            </w:r>
          </w:p>
        </w:tc>
        <w:tc>
          <w:tcPr>
            <w:tcW w:w="6118" w:type="dxa"/>
            <w:tcBorders>
              <w:top w:val="single" w:sz="4" w:space="0" w:color="000000"/>
              <w:bottom w:val="single" w:sz="4" w:space="0" w:color="000000"/>
            </w:tcBorders>
          </w:tcPr>
          <w:p>
            <w:pPr>
              <w:pStyle w:val="TableParagraph"/>
              <w:spacing w:before="69"/>
              <w:ind w:left="426" w:right="337"/>
              <w:jc w:val="center"/>
              <w:rPr>
                <w:sz w:val="24"/>
              </w:rPr>
            </w:pPr>
            <w:r>
              <w:rPr>
                <w:sz w:val="24"/>
              </w:rPr>
              <w:t>Tobacco</w:t>
            </w:r>
            <w:r>
              <w:rPr>
                <w:spacing w:val="-2"/>
                <w:sz w:val="24"/>
              </w:rPr>
              <w:t> </w:t>
            </w:r>
            <w:r>
              <w:rPr>
                <w:spacing w:val="-5"/>
                <w:sz w:val="24"/>
              </w:rPr>
              <w:t>use</w:t>
            </w:r>
          </w:p>
        </w:tc>
      </w:tr>
      <w:tr>
        <w:trPr>
          <w:trHeight w:val="431" w:hRule="atLeast"/>
        </w:trPr>
        <w:tc>
          <w:tcPr>
            <w:tcW w:w="3232" w:type="dxa"/>
            <w:tcBorders>
              <w:top w:val="single" w:sz="4" w:space="0" w:color="000000"/>
              <w:bottom w:val="single" w:sz="4" w:space="0" w:color="000000"/>
            </w:tcBorders>
          </w:tcPr>
          <w:p>
            <w:pPr>
              <w:pStyle w:val="TableParagraph"/>
              <w:spacing w:before="69"/>
              <w:ind w:left="520" w:right="427"/>
              <w:jc w:val="center"/>
              <w:rPr>
                <w:sz w:val="24"/>
              </w:rPr>
            </w:pPr>
            <w:r>
              <w:rPr>
                <w:spacing w:val="-2"/>
                <w:sz w:val="24"/>
              </w:rPr>
              <w:t>10.3%</w:t>
            </w:r>
          </w:p>
        </w:tc>
        <w:tc>
          <w:tcPr>
            <w:tcW w:w="6118" w:type="dxa"/>
            <w:tcBorders>
              <w:top w:val="single" w:sz="4" w:space="0" w:color="000000"/>
              <w:bottom w:val="single" w:sz="4" w:space="0" w:color="000000"/>
            </w:tcBorders>
          </w:tcPr>
          <w:p>
            <w:pPr>
              <w:pStyle w:val="TableParagraph"/>
              <w:spacing w:before="69"/>
              <w:ind w:left="427" w:right="336"/>
              <w:jc w:val="center"/>
              <w:rPr>
                <w:sz w:val="24"/>
              </w:rPr>
            </w:pPr>
            <w:r>
              <w:rPr>
                <w:sz w:val="24"/>
              </w:rPr>
              <w:t>Substance</w:t>
            </w:r>
            <w:r>
              <w:rPr>
                <w:spacing w:val="-1"/>
                <w:sz w:val="24"/>
              </w:rPr>
              <w:t> </w:t>
            </w:r>
            <w:r>
              <w:rPr>
                <w:sz w:val="24"/>
              </w:rPr>
              <w:t>abuse</w:t>
            </w:r>
            <w:r>
              <w:rPr>
                <w:spacing w:val="-2"/>
                <w:sz w:val="24"/>
              </w:rPr>
              <w:t> </w:t>
            </w:r>
            <w:r>
              <w:rPr>
                <w:sz w:val="24"/>
              </w:rPr>
              <w:t>in</w:t>
            </w:r>
            <w:r>
              <w:rPr>
                <w:spacing w:val="-2"/>
                <w:sz w:val="24"/>
              </w:rPr>
              <w:t> </w:t>
            </w:r>
            <w:r>
              <w:rPr>
                <w:sz w:val="24"/>
              </w:rPr>
              <w:t>the</w:t>
            </w:r>
            <w:r>
              <w:rPr>
                <w:spacing w:val="-2"/>
                <w:sz w:val="24"/>
              </w:rPr>
              <w:t> </w:t>
            </w:r>
            <w:r>
              <w:rPr>
                <w:spacing w:val="-4"/>
                <w:sz w:val="24"/>
              </w:rPr>
              <w:t>home</w:t>
            </w:r>
          </w:p>
        </w:tc>
      </w:tr>
      <w:tr>
        <w:trPr>
          <w:trHeight w:val="431" w:hRule="atLeast"/>
        </w:trPr>
        <w:tc>
          <w:tcPr>
            <w:tcW w:w="3232" w:type="dxa"/>
            <w:tcBorders>
              <w:top w:val="single" w:sz="4" w:space="0" w:color="000000"/>
              <w:bottom w:val="single" w:sz="4" w:space="0" w:color="000000"/>
            </w:tcBorders>
          </w:tcPr>
          <w:p>
            <w:pPr>
              <w:pStyle w:val="TableParagraph"/>
              <w:spacing w:before="69"/>
              <w:ind w:left="518" w:right="427"/>
              <w:jc w:val="center"/>
              <w:rPr>
                <w:sz w:val="24"/>
              </w:rPr>
            </w:pPr>
            <w:r>
              <w:rPr>
                <w:spacing w:val="-4"/>
                <w:sz w:val="24"/>
              </w:rPr>
              <w:t>9.6%</w:t>
            </w:r>
          </w:p>
        </w:tc>
        <w:tc>
          <w:tcPr>
            <w:tcW w:w="6118" w:type="dxa"/>
            <w:tcBorders>
              <w:top w:val="single" w:sz="4" w:space="0" w:color="000000"/>
              <w:bottom w:val="single" w:sz="4" w:space="0" w:color="000000"/>
            </w:tcBorders>
          </w:tcPr>
          <w:p>
            <w:pPr>
              <w:pStyle w:val="TableParagraph"/>
              <w:spacing w:before="69"/>
              <w:ind w:left="425" w:right="337"/>
              <w:jc w:val="center"/>
              <w:rPr>
                <w:sz w:val="24"/>
              </w:rPr>
            </w:pPr>
            <w:r>
              <w:rPr>
                <w:sz w:val="24"/>
              </w:rPr>
              <w:t>Less</w:t>
            </w:r>
            <w:r>
              <w:rPr>
                <w:spacing w:val="-2"/>
                <w:sz w:val="24"/>
              </w:rPr>
              <w:t> </w:t>
            </w:r>
            <w:r>
              <w:rPr>
                <w:sz w:val="24"/>
              </w:rPr>
              <w:t>than a</w:t>
            </w:r>
            <w:r>
              <w:rPr>
                <w:spacing w:val="-3"/>
                <w:sz w:val="24"/>
              </w:rPr>
              <w:t> </w:t>
            </w:r>
            <w:r>
              <w:rPr>
                <w:sz w:val="24"/>
              </w:rPr>
              <w:t>10</w:t>
            </w:r>
            <w:r>
              <w:rPr>
                <w:sz w:val="24"/>
                <w:vertAlign w:val="superscript"/>
              </w:rPr>
              <w:t>th</w:t>
            </w:r>
            <w:r>
              <w:rPr>
                <w:spacing w:val="-2"/>
                <w:sz w:val="24"/>
                <w:vertAlign w:val="baseline"/>
              </w:rPr>
              <w:t> </w:t>
            </w:r>
            <w:r>
              <w:rPr>
                <w:sz w:val="24"/>
                <w:vertAlign w:val="baseline"/>
              </w:rPr>
              <w:t>grade</w:t>
            </w:r>
            <w:r>
              <w:rPr>
                <w:spacing w:val="-2"/>
                <w:sz w:val="24"/>
                <w:vertAlign w:val="baseline"/>
              </w:rPr>
              <w:t> education</w:t>
            </w:r>
          </w:p>
        </w:tc>
      </w:tr>
      <w:tr>
        <w:trPr>
          <w:trHeight w:val="359" w:hRule="atLeast"/>
        </w:trPr>
        <w:tc>
          <w:tcPr>
            <w:tcW w:w="3232" w:type="dxa"/>
            <w:tcBorders>
              <w:top w:val="single" w:sz="4" w:space="0" w:color="000000"/>
            </w:tcBorders>
          </w:tcPr>
          <w:p>
            <w:pPr>
              <w:pStyle w:val="TableParagraph"/>
              <w:spacing w:line="269" w:lineRule="exact" w:before="71"/>
              <w:ind w:left="517" w:right="427"/>
              <w:jc w:val="center"/>
              <w:rPr>
                <w:sz w:val="24"/>
              </w:rPr>
            </w:pPr>
            <w:r>
              <w:rPr>
                <w:spacing w:val="-4"/>
                <w:sz w:val="24"/>
              </w:rPr>
              <w:t>3.1%</w:t>
            </w:r>
          </w:p>
        </w:tc>
        <w:tc>
          <w:tcPr>
            <w:tcW w:w="6118" w:type="dxa"/>
            <w:tcBorders>
              <w:top w:val="single" w:sz="4" w:space="0" w:color="000000"/>
            </w:tcBorders>
          </w:tcPr>
          <w:p>
            <w:pPr>
              <w:pStyle w:val="TableParagraph"/>
              <w:spacing w:line="269" w:lineRule="exact" w:before="71"/>
              <w:ind w:left="427" w:right="336"/>
              <w:jc w:val="center"/>
              <w:rPr>
                <w:sz w:val="24"/>
              </w:rPr>
            </w:pPr>
            <w:r>
              <w:rPr>
                <w:sz w:val="24"/>
              </w:rPr>
              <w:t>Violence</w:t>
            </w:r>
            <w:r>
              <w:rPr>
                <w:spacing w:val="-2"/>
                <w:sz w:val="24"/>
              </w:rPr>
              <w:t> </w:t>
            </w:r>
            <w:r>
              <w:rPr>
                <w:sz w:val="24"/>
              </w:rPr>
              <w:t>in</w:t>
            </w:r>
            <w:r>
              <w:rPr>
                <w:spacing w:val="-1"/>
                <w:sz w:val="24"/>
              </w:rPr>
              <w:t> </w:t>
            </w:r>
            <w:r>
              <w:rPr>
                <w:sz w:val="24"/>
              </w:rPr>
              <w:t>the</w:t>
            </w:r>
            <w:r>
              <w:rPr>
                <w:spacing w:val="-1"/>
                <w:sz w:val="24"/>
              </w:rPr>
              <w:t> </w:t>
            </w:r>
            <w:r>
              <w:rPr>
                <w:spacing w:val="-4"/>
                <w:sz w:val="24"/>
              </w:rPr>
              <w:t>home</w:t>
            </w:r>
          </w:p>
        </w:tc>
      </w:tr>
    </w:tbl>
    <w:p>
      <w:pPr>
        <w:pStyle w:val="BodyText"/>
        <w:rPr>
          <w:sz w:val="20"/>
        </w:rPr>
      </w:pPr>
    </w:p>
    <w:p>
      <w:pPr>
        <w:pStyle w:val="BodyText"/>
        <w:rPr>
          <w:sz w:val="20"/>
        </w:rPr>
      </w:pPr>
    </w:p>
    <w:p>
      <w:pPr>
        <w:pStyle w:val="BodyText"/>
        <w:spacing w:before="176"/>
        <w:ind w:left="379" w:right="1089"/>
      </w:pPr>
      <w:r>
        <w:rPr/>
        <w:t>At enrollment and at other key stages of program engagement, all EIPP participants receive a Comprehensive</w:t>
      </w:r>
      <w:r>
        <w:rPr>
          <w:spacing w:val="-3"/>
        </w:rPr>
        <w:t> </w:t>
      </w:r>
      <w:r>
        <w:rPr/>
        <w:t>Health</w:t>
      </w:r>
      <w:r>
        <w:rPr>
          <w:spacing w:val="-5"/>
        </w:rPr>
        <w:t> </w:t>
      </w:r>
      <w:r>
        <w:rPr/>
        <w:t>Assessment</w:t>
      </w:r>
      <w:r>
        <w:rPr>
          <w:spacing w:val="-2"/>
        </w:rPr>
        <w:t> </w:t>
      </w:r>
      <w:r>
        <w:rPr/>
        <w:t>(CHA)</w:t>
      </w:r>
      <w:r>
        <w:rPr>
          <w:spacing w:val="-4"/>
        </w:rPr>
        <w:t> </w:t>
      </w:r>
      <w:r>
        <w:rPr/>
        <w:t>that</w:t>
      </w:r>
      <w:r>
        <w:rPr>
          <w:spacing w:val="-5"/>
        </w:rPr>
        <w:t> </w:t>
      </w:r>
      <w:r>
        <w:rPr/>
        <w:t>assesses</w:t>
      </w:r>
      <w:r>
        <w:rPr>
          <w:spacing w:val="-4"/>
        </w:rPr>
        <w:t> </w:t>
      </w:r>
      <w:r>
        <w:rPr/>
        <w:t>the</w:t>
      </w:r>
      <w:r>
        <w:rPr>
          <w:spacing w:val="-3"/>
        </w:rPr>
        <w:t> </w:t>
      </w:r>
      <w:r>
        <w:rPr/>
        <w:t>social,</w:t>
      </w:r>
      <w:r>
        <w:rPr>
          <w:spacing w:val="-6"/>
        </w:rPr>
        <w:t> </w:t>
      </w:r>
      <w:r>
        <w:rPr/>
        <w:t>emotional,</w:t>
      </w:r>
      <w:r>
        <w:rPr>
          <w:spacing w:val="-3"/>
        </w:rPr>
        <w:t> </w:t>
      </w:r>
      <w:r>
        <w:rPr/>
        <w:t>and</w:t>
      </w:r>
      <w:r>
        <w:rPr>
          <w:spacing w:val="-2"/>
        </w:rPr>
        <w:t> </w:t>
      </w:r>
      <w:r>
        <w:rPr/>
        <w:t>physical</w:t>
      </w:r>
      <w:r>
        <w:rPr>
          <w:spacing w:val="-3"/>
        </w:rPr>
        <w:t> </w:t>
      </w:r>
      <w:r>
        <w:rPr/>
        <w:t>well- being</w:t>
      </w:r>
      <w:r>
        <w:rPr>
          <w:spacing w:val="-3"/>
        </w:rPr>
        <w:t> </w:t>
      </w:r>
      <w:r>
        <w:rPr/>
        <w:t>of</w:t>
      </w:r>
      <w:r>
        <w:rPr>
          <w:spacing w:val="-2"/>
        </w:rPr>
        <w:t> </w:t>
      </w:r>
      <w:r>
        <w:rPr/>
        <w:t>the</w:t>
      </w:r>
      <w:r>
        <w:rPr>
          <w:spacing w:val="-3"/>
        </w:rPr>
        <w:t> </w:t>
      </w:r>
      <w:r>
        <w:rPr/>
        <w:t>participant</w:t>
      </w:r>
      <w:r>
        <w:rPr>
          <w:spacing w:val="-2"/>
        </w:rPr>
        <w:t> </w:t>
      </w:r>
      <w:r>
        <w:rPr/>
        <w:t>and infant</w:t>
      </w:r>
      <w:r>
        <w:rPr>
          <w:spacing w:val="-2"/>
        </w:rPr>
        <w:t> </w:t>
      </w:r>
      <w:r>
        <w:rPr/>
        <w:t>in</w:t>
      </w:r>
      <w:r>
        <w:rPr>
          <w:spacing w:val="-2"/>
        </w:rPr>
        <w:t> </w:t>
      </w:r>
      <w:r>
        <w:rPr/>
        <w:t>the context</w:t>
      </w:r>
      <w:r>
        <w:rPr>
          <w:spacing w:val="-2"/>
        </w:rPr>
        <w:t> </w:t>
      </w:r>
      <w:r>
        <w:rPr/>
        <w:t>of</w:t>
      </w:r>
      <w:r>
        <w:rPr>
          <w:spacing w:val="-2"/>
        </w:rPr>
        <w:t> </w:t>
      </w:r>
      <w:r>
        <w:rPr/>
        <w:t>their</w:t>
      </w:r>
      <w:r>
        <w:rPr>
          <w:spacing w:val="-3"/>
        </w:rPr>
        <w:t> </w:t>
      </w:r>
      <w:r>
        <w:rPr/>
        <w:t>family.</w:t>
      </w:r>
      <w:r>
        <w:rPr>
          <w:spacing w:val="-1"/>
        </w:rPr>
        <w:t> </w:t>
      </w:r>
      <w:r>
        <w:rPr/>
        <w:t>This</w:t>
      </w:r>
      <w:r>
        <w:rPr>
          <w:spacing w:val="-1"/>
        </w:rPr>
        <w:t> </w:t>
      </w:r>
      <w:r>
        <w:rPr/>
        <w:t>CHA</w:t>
      </w:r>
      <w:r>
        <w:rPr>
          <w:spacing w:val="-3"/>
        </w:rPr>
        <w:t> </w:t>
      </w:r>
      <w:r>
        <w:rPr/>
        <w:t>includes</w:t>
      </w:r>
      <w:r>
        <w:rPr>
          <w:spacing w:val="-3"/>
        </w:rPr>
        <w:t> </w:t>
      </w:r>
      <w:r>
        <w:rPr/>
        <w:t>both a</w:t>
      </w:r>
      <w:r>
        <w:rPr>
          <w:spacing w:val="-3"/>
        </w:rPr>
        <w:t> </w:t>
      </w:r>
      <w:r>
        <w:rPr/>
        <w:t>Social Connectedness screen utilizing a three-question survey and a PPD screen, utilizing the </w:t>
      </w:r>
      <w:hyperlink r:id="rId18">
        <w:r>
          <w:rPr>
            <w:color w:val="0000FF"/>
            <w:u w:val="single" w:color="0000FF"/>
          </w:rPr>
          <w:t>Edinburgh Postnatal Depression Scale (EPDS)</w:t>
        </w:r>
      </w:hyperlink>
      <w:r>
        <w:rPr/>
        <w:t>.</w:t>
      </w:r>
    </w:p>
    <w:p>
      <w:pPr>
        <w:pStyle w:val="BodyText"/>
        <w:spacing w:before="8"/>
        <w:rPr>
          <w:sz w:val="19"/>
        </w:rPr>
      </w:pPr>
    </w:p>
    <w:p>
      <w:pPr>
        <w:spacing w:before="52"/>
        <w:ind w:left="380" w:right="1059" w:firstLine="0"/>
        <w:jc w:val="left"/>
        <w:rPr>
          <w:i/>
          <w:sz w:val="24"/>
        </w:rPr>
      </w:pPr>
      <w:r>
        <w:rPr>
          <w:i/>
          <w:sz w:val="24"/>
        </w:rPr>
        <w:t>In</w:t>
      </w:r>
      <w:r>
        <w:rPr>
          <w:i/>
          <w:spacing w:val="-5"/>
          <w:sz w:val="24"/>
        </w:rPr>
        <w:t> </w:t>
      </w:r>
      <w:r>
        <w:rPr>
          <w:i/>
          <w:sz w:val="24"/>
        </w:rPr>
        <w:t>CY20,</w:t>
      </w:r>
      <w:r>
        <w:rPr>
          <w:i/>
          <w:spacing w:val="-3"/>
          <w:sz w:val="24"/>
        </w:rPr>
        <w:t> </w:t>
      </w:r>
      <w:r>
        <w:rPr>
          <w:i/>
          <w:sz w:val="24"/>
        </w:rPr>
        <w:t>194</w:t>
      </w:r>
      <w:r>
        <w:rPr>
          <w:i/>
          <w:spacing w:val="-3"/>
          <w:sz w:val="24"/>
        </w:rPr>
        <w:t> </w:t>
      </w:r>
      <w:r>
        <w:rPr>
          <w:i/>
          <w:sz w:val="24"/>
        </w:rPr>
        <w:t>participants</w:t>
      </w:r>
      <w:r>
        <w:rPr>
          <w:i/>
          <w:spacing w:val="-3"/>
          <w:sz w:val="24"/>
        </w:rPr>
        <w:t> </w:t>
      </w:r>
      <w:r>
        <w:rPr>
          <w:i/>
          <w:sz w:val="24"/>
        </w:rPr>
        <w:t>received</w:t>
      </w:r>
      <w:r>
        <w:rPr>
          <w:i/>
          <w:spacing w:val="-5"/>
          <w:sz w:val="24"/>
        </w:rPr>
        <w:t> </w:t>
      </w:r>
      <w:r>
        <w:rPr>
          <w:i/>
          <w:sz w:val="24"/>
        </w:rPr>
        <w:t>the</w:t>
      </w:r>
      <w:r>
        <w:rPr>
          <w:i/>
          <w:spacing w:val="-3"/>
          <w:sz w:val="24"/>
        </w:rPr>
        <w:t> </w:t>
      </w:r>
      <w:r>
        <w:rPr>
          <w:i/>
          <w:sz w:val="24"/>
        </w:rPr>
        <w:t>Social</w:t>
      </w:r>
      <w:r>
        <w:rPr>
          <w:i/>
          <w:spacing w:val="-3"/>
          <w:sz w:val="24"/>
        </w:rPr>
        <w:t> </w:t>
      </w:r>
      <w:r>
        <w:rPr>
          <w:i/>
          <w:sz w:val="24"/>
        </w:rPr>
        <w:t>Connectedness</w:t>
      </w:r>
      <w:r>
        <w:rPr>
          <w:i/>
          <w:spacing w:val="-3"/>
          <w:sz w:val="24"/>
        </w:rPr>
        <w:t> </w:t>
      </w:r>
      <w:r>
        <w:rPr>
          <w:i/>
          <w:sz w:val="24"/>
        </w:rPr>
        <w:t>screening,</w:t>
      </w:r>
      <w:r>
        <w:rPr>
          <w:i/>
          <w:spacing w:val="-3"/>
          <w:sz w:val="24"/>
        </w:rPr>
        <w:t> </w:t>
      </w:r>
      <w:r>
        <w:rPr>
          <w:i/>
          <w:sz w:val="24"/>
        </w:rPr>
        <w:t>utilizing</w:t>
      </w:r>
      <w:r>
        <w:rPr>
          <w:i/>
          <w:spacing w:val="-5"/>
          <w:sz w:val="24"/>
        </w:rPr>
        <w:t> </w:t>
      </w:r>
      <w:r>
        <w:rPr>
          <w:i/>
          <w:sz w:val="24"/>
        </w:rPr>
        <w:t>a</w:t>
      </w:r>
      <w:r>
        <w:rPr>
          <w:i/>
          <w:spacing w:val="-5"/>
          <w:sz w:val="24"/>
        </w:rPr>
        <w:t> </w:t>
      </w:r>
      <w:r>
        <w:rPr>
          <w:i/>
          <w:sz w:val="24"/>
        </w:rPr>
        <w:t>screening</w:t>
      </w:r>
      <w:r>
        <w:rPr>
          <w:i/>
          <w:spacing w:val="-4"/>
          <w:sz w:val="24"/>
        </w:rPr>
        <w:t> </w:t>
      </w:r>
      <w:r>
        <w:rPr>
          <w:i/>
          <w:sz w:val="24"/>
        </w:rPr>
        <w:t>tool</w:t>
      </w:r>
      <w:r>
        <w:rPr>
          <w:i/>
          <w:sz w:val="24"/>
        </w:rPr>
        <w:t> at 2 months postpartum.</w:t>
      </w:r>
    </w:p>
    <w:p>
      <w:pPr>
        <w:spacing w:after="0"/>
        <w:jc w:val="left"/>
        <w:rPr>
          <w:sz w:val="24"/>
        </w:rPr>
        <w:sectPr>
          <w:pgSz w:w="12240" w:h="15840"/>
          <w:pgMar w:header="0" w:footer="765" w:top="1380" w:bottom="960" w:left="1060" w:right="380"/>
        </w:sectPr>
      </w:pPr>
    </w:p>
    <w:p>
      <w:pPr>
        <w:pStyle w:val="ListParagraph"/>
        <w:numPr>
          <w:ilvl w:val="0"/>
          <w:numId w:val="3"/>
        </w:numPr>
        <w:tabs>
          <w:tab w:pos="1099" w:val="left" w:leader="none"/>
          <w:tab w:pos="1100" w:val="left" w:leader="none"/>
        </w:tabs>
        <w:spacing w:line="240" w:lineRule="auto" w:before="59" w:after="0"/>
        <w:ind w:left="1100" w:right="1645" w:hanging="360"/>
        <w:jc w:val="left"/>
        <w:rPr>
          <w:sz w:val="24"/>
        </w:rPr>
      </w:pPr>
      <w:r>
        <w:rPr>
          <w:sz w:val="24"/>
        </w:rPr>
        <w:t>Twenty-four</w:t>
      </w:r>
      <w:r>
        <w:rPr>
          <w:spacing w:val="-5"/>
          <w:sz w:val="24"/>
        </w:rPr>
        <w:t> </w:t>
      </w:r>
      <w:r>
        <w:rPr>
          <w:sz w:val="24"/>
        </w:rPr>
        <w:t>participants</w:t>
      </w:r>
      <w:r>
        <w:rPr>
          <w:spacing w:val="-5"/>
          <w:sz w:val="24"/>
        </w:rPr>
        <w:t> </w:t>
      </w:r>
      <w:r>
        <w:rPr>
          <w:sz w:val="24"/>
        </w:rPr>
        <w:t>(12.4%)</w:t>
      </w:r>
      <w:r>
        <w:rPr>
          <w:spacing w:val="-3"/>
          <w:sz w:val="24"/>
        </w:rPr>
        <w:t> </w:t>
      </w:r>
      <w:r>
        <w:rPr>
          <w:sz w:val="24"/>
        </w:rPr>
        <w:t>indicated</w:t>
      </w:r>
      <w:r>
        <w:rPr>
          <w:spacing w:val="-4"/>
          <w:sz w:val="24"/>
        </w:rPr>
        <w:t> </w:t>
      </w:r>
      <w:r>
        <w:rPr>
          <w:sz w:val="24"/>
        </w:rPr>
        <w:t>that</w:t>
      </w:r>
      <w:r>
        <w:rPr>
          <w:spacing w:val="-4"/>
          <w:sz w:val="24"/>
        </w:rPr>
        <w:t> </w:t>
      </w:r>
      <w:r>
        <w:rPr>
          <w:sz w:val="24"/>
        </w:rPr>
        <w:t>they</w:t>
      </w:r>
      <w:r>
        <w:rPr>
          <w:spacing w:val="-3"/>
          <w:sz w:val="24"/>
        </w:rPr>
        <w:t> </w:t>
      </w:r>
      <w:r>
        <w:rPr>
          <w:sz w:val="24"/>
        </w:rPr>
        <w:t>felt</w:t>
      </w:r>
      <w:r>
        <w:rPr>
          <w:spacing w:val="-4"/>
          <w:sz w:val="24"/>
        </w:rPr>
        <w:t> </w:t>
      </w:r>
      <w:r>
        <w:rPr>
          <w:sz w:val="24"/>
        </w:rPr>
        <w:t>they</w:t>
      </w:r>
      <w:r>
        <w:rPr>
          <w:spacing w:val="-3"/>
          <w:sz w:val="24"/>
        </w:rPr>
        <w:t> </w:t>
      </w:r>
      <w:r>
        <w:rPr>
          <w:sz w:val="24"/>
        </w:rPr>
        <w:t>were</w:t>
      </w:r>
      <w:r>
        <w:rPr>
          <w:spacing w:val="-4"/>
          <w:sz w:val="24"/>
        </w:rPr>
        <w:t> </w:t>
      </w:r>
      <w:r>
        <w:rPr>
          <w:sz w:val="24"/>
        </w:rPr>
        <w:t>not</w:t>
      </w:r>
      <w:r>
        <w:rPr>
          <w:spacing w:val="-1"/>
          <w:sz w:val="24"/>
        </w:rPr>
        <w:t> </w:t>
      </w:r>
      <w:r>
        <w:rPr>
          <w:sz w:val="24"/>
        </w:rPr>
        <w:t>getting</w:t>
      </w:r>
      <w:r>
        <w:rPr>
          <w:spacing w:val="-3"/>
          <w:sz w:val="24"/>
        </w:rPr>
        <w:t> </w:t>
      </w:r>
      <w:r>
        <w:rPr>
          <w:sz w:val="24"/>
        </w:rPr>
        <w:t>the support they needed from others.</w:t>
      </w:r>
    </w:p>
    <w:p>
      <w:pPr>
        <w:pStyle w:val="ListParagraph"/>
        <w:numPr>
          <w:ilvl w:val="0"/>
          <w:numId w:val="3"/>
        </w:numPr>
        <w:tabs>
          <w:tab w:pos="1099" w:val="left" w:leader="none"/>
          <w:tab w:pos="1100" w:val="left" w:leader="none"/>
        </w:tabs>
        <w:spacing w:line="240" w:lineRule="auto" w:before="120" w:after="0"/>
        <w:ind w:left="1100" w:right="1396" w:hanging="360"/>
        <w:jc w:val="left"/>
        <w:rPr>
          <w:sz w:val="24"/>
        </w:rPr>
      </w:pPr>
      <w:r>
        <w:rPr>
          <w:sz w:val="24"/>
        </w:rPr>
        <w:t>Fifty</w:t>
      </w:r>
      <w:r>
        <w:rPr>
          <w:spacing w:val="-5"/>
          <w:sz w:val="24"/>
        </w:rPr>
        <w:t> </w:t>
      </w:r>
      <w:r>
        <w:rPr>
          <w:sz w:val="24"/>
        </w:rPr>
        <w:t>participants</w:t>
      </w:r>
      <w:r>
        <w:rPr>
          <w:spacing w:val="-2"/>
          <w:sz w:val="24"/>
        </w:rPr>
        <w:t> </w:t>
      </w:r>
      <w:r>
        <w:rPr>
          <w:sz w:val="24"/>
        </w:rPr>
        <w:t>(25.8%)</w:t>
      </w:r>
      <w:r>
        <w:rPr>
          <w:spacing w:val="-5"/>
          <w:sz w:val="24"/>
        </w:rPr>
        <w:t> </w:t>
      </w:r>
      <w:r>
        <w:rPr>
          <w:sz w:val="24"/>
        </w:rPr>
        <w:t>indicated</w:t>
      </w:r>
      <w:r>
        <w:rPr>
          <w:spacing w:val="-3"/>
          <w:sz w:val="24"/>
        </w:rPr>
        <w:t> </w:t>
      </w:r>
      <w:r>
        <w:rPr>
          <w:sz w:val="24"/>
        </w:rPr>
        <w:t>that</w:t>
      </w:r>
      <w:r>
        <w:rPr>
          <w:spacing w:val="-3"/>
          <w:sz w:val="24"/>
        </w:rPr>
        <w:t> </w:t>
      </w:r>
      <w:r>
        <w:rPr>
          <w:sz w:val="24"/>
        </w:rPr>
        <w:t>they</w:t>
      </w:r>
      <w:r>
        <w:rPr>
          <w:spacing w:val="-5"/>
          <w:sz w:val="24"/>
        </w:rPr>
        <w:t> </w:t>
      </w:r>
      <w:r>
        <w:rPr>
          <w:sz w:val="24"/>
        </w:rPr>
        <w:t>did</w:t>
      </w:r>
      <w:r>
        <w:rPr>
          <w:spacing w:val="-3"/>
          <w:sz w:val="24"/>
        </w:rPr>
        <w:t> </w:t>
      </w:r>
      <w:r>
        <w:rPr>
          <w:sz w:val="24"/>
        </w:rPr>
        <w:t>not</w:t>
      </w:r>
      <w:r>
        <w:rPr>
          <w:spacing w:val="-3"/>
          <w:sz w:val="24"/>
        </w:rPr>
        <w:t> </w:t>
      </w:r>
      <w:r>
        <w:rPr>
          <w:sz w:val="24"/>
        </w:rPr>
        <w:t>have</w:t>
      </w:r>
      <w:r>
        <w:rPr>
          <w:spacing w:val="-1"/>
          <w:sz w:val="24"/>
        </w:rPr>
        <w:t> </w:t>
      </w:r>
      <w:r>
        <w:rPr>
          <w:sz w:val="24"/>
        </w:rPr>
        <w:t>someone</w:t>
      </w:r>
      <w:r>
        <w:rPr>
          <w:spacing w:val="-3"/>
          <w:sz w:val="24"/>
        </w:rPr>
        <w:t> </w:t>
      </w:r>
      <w:r>
        <w:rPr>
          <w:sz w:val="24"/>
        </w:rPr>
        <w:t>to</w:t>
      </w:r>
      <w:r>
        <w:rPr>
          <w:spacing w:val="-1"/>
          <w:sz w:val="24"/>
        </w:rPr>
        <w:t> </w:t>
      </w:r>
      <w:r>
        <w:rPr>
          <w:sz w:val="24"/>
        </w:rPr>
        <w:t>call</w:t>
      </w:r>
      <w:r>
        <w:rPr>
          <w:spacing w:val="-4"/>
          <w:sz w:val="24"/>
        </w:rPr>
        <w:t> </w:t>
      </w:r>
      <w:r>
        <w:rPr>
          <w:sz w:val="24"/>
        </w:rPr>
        <w:t>when</w:t>
      </w:r>
      <w:r>
        <w:rPr>
          <w:spacing w:val="-3"/>
          <w:sz w:val="24"/>
        </w:rPr>
        <w:t> </w:t>
      </w:r>
      <w:r>
        <w:rPr>
          <w:sz w:val="24"/>
        </w:rPr>
        <w:t>they needed someone to care for their baby.</w:t>
      </w:r>
    </w:p>
    <w:p>
      <w:pPr>
        <w:pStyle w:val="ListParagraph"/>
        <w:numPr>
          <w:ilvl w:val="0"/>
          <w:numId w:val="3"/>
        </w:numPr>
        <w:tabs>
          <w:tab w:pos="1099" w:val="left" w:leader="none"/>
          <w:tab w:pos="1100" w:val="left" w:leader="none"/>
        </w:tabs>
        <w:spacing w:line="240" w:lineRule="auto" w:before="120" w:after="0"/>
        <w:ind w:left="1100" w:right="1376" w:hanging="360"/>
        <w:jc w:val="left"/>
        <w:rPr>
          <w:sz w:val="24"/>
        </w:rPr>
      </w:pPr>
      <w:r>
        <w:rPr>
          <w:sz w:val="24"/>
        </w:rPr>
        <w:t>Eight</w:t>
      </w:r>
      <w:r>
        <w:rPr>
          <w:spacing w:val="-4"/>
          <w:sz w:val="24"/>
        </w:rPr>
        <w:t> </w:t>
      </w:r>
      <w:r>
        <w:rPr>
          <w:sz w:val="24"/>
        </w:rPr>
        <w:t>participants</w:t>
      </w:r>
      <w:r>
        <w:rPr>
          <w:spacing w:val="-3"/>
          <w:sz w:val="24"/>
        </w:rPr>
        <w:t> </w:t>
      </w:r>
      <w:r>
        <w:rPr>
          <w:sz w:val="24"/>
        </w:rPr>
        <w:t>(4.1%)</w:t>
      </w:r>
      <w:r>
        <w:rPr>
          <w:spacing w:val="-6"/>
          <w:sz w:val="24"/>
        </w:rPr>
        <w:t> </w:t>
      </w:r>
      <w:r>
        <w:rPr>
          <w:sz w:val="24"/>
        </w:rPr>
        <w:t>indicated</w:t>
      </w:r>
      <w:r>
        <w:rPr>
          <w:spacing w:val="-4"/>
          <w:sz w:val="24"/>
        </w:rPr>
        <w:t> </w:t>
      </w:r>
      <w:r>
        <w:rPr>
          <w:sz w:val="24"/>
        </w:rPr>
        <w:t>they</w:t>
      </w:r>
      <w:r>
        <w:rPr>
          <w:spacing w:val="-3"/>
          <w:sz w:val="24"/>
        </w:rPr>
        <w:t> </w:t>
      </w:r>
      <w:r>
        <w:rPr>
          <w:sz w:val="24"/>
        </w:rPr>
        <w:t>did</w:t>
      </w:r>
      <w:r>
        <w:rPr>
          <w:spacing w:val="-4"/>
          <w:sz w:val="24"/>
        </w:rPr>
        <w:t> </w:t>
      </w:r>
      <w:r>
        <w:rPr>
          <w:sz w:val="24"/>
        </w:rPr>
        <w:t>not</w:t>
      </w:r>
      <w:r>
        <w:rPr>
          <w:spacing w:val="-4"/>
          <w:sz w:val="24"/>
        </w:rPr>
        <w:t> </w:t>
      </w:r>
      <w:r>
        <w:rPr>
          <w:sz w:val="24"/>
        </w:rPr>
        <w:t>have</w:t>
      </w:r>
      <w:r>
        <w:rPr>
          <w:spacing w:val="-2"/>
          <w:sz w:val="24"/>
        </w:rPr>
        <w:t> </w:t>
      </w:r>
      <w:r>
        <w:rPr>
          <w:sz w:val="24"/>
        </w:rPr>
        <w:t>someone</w:t>
      </w:r>
      <w:r>
        <w:rPr>
          <w:spacing w:val="-5"/>
          <w:sz w:val="24"/>
        </w:rPr>
        <w:t> </w:t>
      </w:r>
      <w:r>
        <w:rPr>
          <w:sz w:val="24"/>
        </w:rPr>
        <w:t>they</w:t>
      </w:r>
      <w:r>
        <w:rPr>
          <w:spacing w:val="-3"/>
          <w:sz w:val="24"/>
        </w:rPr>
        <w:t> </w:t>
      </w:r>
      <w:r>
        <w:rPr>
          <w:sz w:val="24"/>
        </w:rPr>
        <w:t>could</w:t>
      </w:r>
      <w:r>
        <w:rPr>
          <w:spacing w:val="-2"/>
          <w:sz w:val="24"/>
        </w:rPr>
        <w:t> </w:t>
      </w:r>
      <w:r>
        <w:rPr>
          <w:sz w:val="24"/>
        </w:rPr>
        <w:t>count</w:t>
      </w:r>
      <w:r>
        <w:rPr>
          <w:spacing w:val="-1"/>
          <w:sz w:val="24"/>
        </w:rPr>
        <w:t> </w:t>
      </w:r>
      <w:r>
        <w:rPr>
          <w:sz w:val="24"/>
        </w:rPr>
        <w:t>on</w:t>
      </w:r>
      <w:r>
        <w:rPr>
          <w:spacing w:val="-4"/>
          <w:sz w:val="24"/>
        </w:rPr>
        <w:t> </w:t>
      </w:r>
      <w:r>
        <w:rPr>
          <w:sz w:val="24"/>
        </w:rPr>
        <w:t>to listen to them when they needed to talk.</w:t>
      </w:r>
    </w:p>
    <w:p>
      <w:pPr>
        <w:spacing w:before="119"/>
        <w:ind w:left="380" w:right="0" w:firstLine="0"/>
        <w:jc w:val="left"/>
        <w:rPr>
          <w:i/>
          <w:sz w:val="24"/>
        </w:rPr>
      </w:pPr>
      <w:r>
        <w:rPr>
          <w:i/>
          <w:sz w:val="24"/>
        </w:rPr>
        <w:t>In</w:t>
      </w:r>
      <w:r>
        <w:rPr>
          <w:i/>
          <w:spacing w:val="-5"/>
          <w:sz w:val="24"/>
        </w:rPr>
        <w:t> </w:t>
      </w:r>
      <w:r>
        <w:rPr>
          <w:i/>
          <w:sz w:val="24"/>
        </w:rPr>
        <w:t>addition,</w:t>
      </w:r>
      <w:r>
        <w:rPr>
          <w:i/>
          <w:spacing w:val="-1"/>
          <w:sz w:val="24"/>
        </w:rPr>
        <w:t> </w:t>
      </w:r>
      <w:r>
        <w:rPr>
          <w:i/>
          <w:sz w:val="24"/>
        </w:rPr>
        <w:t>194</w:t>
      </w:r>
      <w:r>
        <w:rPr>
          <w:i/>
          <w:spacing w:val="-1"/>
          <w:sz w:val="24"/>
        </w:rPr>
        <w:t> </w:t>
      </w:r>
      <w:r>
        <w:rPr>
          <w:i/>
          <w:sz w:val="24"/>
        </w:rPr>
        <w:t>PPD</w:t>
      </w:r>
      <w:r>
        <w:rPr>
          <w:i/>
          <w:spacing w:val="-3"/>
          <w:sz w:val="24"/>
        </w:rPr>
        <w:t> </w:t>
      </w:r>
      <w:r>
        <w:rPr>
          <w:i/>
          <w:sz w:val="24"/>
        </w:rPr>
        <w:t>screens were</w:t>
      </w:r>
      <w:r>
        <w:rPr>
          <w:i/>
          <w:spacing w:val="-3"/>
          <w:sz w:val="24"/>
        </w:rPr>
        <w:t> </w:t>
      </w:r>
      <w:r>
        <w:rPr>
          <w:i/>
          <w:sz w:val="24"/>
        </w:rPr>
        <w:t>conducted</w:t>
      </w:r>
      <w:r>
        <w:rPr>
          <w:i/>
          <w:spacing w:val="-3"/>
          <w:sz w:val="24"/>
        </w:rPr>
        <w:t> </w:t>
      </w:r>
      <w:r>
        <w:rPr>
          <w:i/>
          <w:sz w:val="24"/>
        </w:rPr>
        <w:t>with</w:t>
      </w:r>
      <w:r>
        <w:rPr>
          <w:i/>
          <w:spacing w:val="-5"/>
          <w:sz w:val="24"/>
        </w:rPr>
        <w:t> </w:t>
      </w:r>
      <w:r>
        <w:rPr>
          <w:i/>
          <w:sz w:val="24"/>
        </w:rPr>
        <w:t>EIPP participants</w:t>
      </w:r>
      <w:r>
        <w:rPr>
          <w:i/>
          <w:spacing w:val="-1"/>
          <w:sz w:val="24"/>
        </w:rPr>
        <w:t> </w:t>
      </w:r>
      <w:r>
        <w:rPr>
          <w:i/>
          <w:sz w:val="24"/>
        </w:rPr>
        <w:t>at</w:t>
      </w:r>
      <w:r>
        <w:rPr>
          <w:i/>
          <w:spacing w:val="-3"/>
          <w:sz w:val="24"/>
        </w:rPr>
        <w:t> </w:t>
      </w:r>
      <w:r>
        <w:rPr>
          <w:i/>
          <w:sz w:val="24"/>
        </w:rPr>
        <w:t>2</w:t>
      </w:r>
      <w:r>
        <w:rPr>
          <w:i/>
          <w:spacing w:val="-1"/>
          <w:sz w:val="24"/>
        </w:rPr>
        <w:t> </w:t>
      </w:r>
      <w:r>
        <w:rPr>
          <w:i/>
          <w:sz w:val="24"/>
        </w:rPr>
        <w:t>months </w:t>
      </w:r>
      <w:r>
        <w:rPr>
          <w:i/>
          <w:spacing w:val="-2"/>
          <w:sz w:val="24"/>
        </w:rPr>
        <w:t>postpartum.</w:t>
      </w:r>
    </w:p>
    <w:p>
      <w:pPr>
        <w:pStyle w:val="ListParagraph"/>
        <w:numPr>
          <w:ilvl w:val="0"/>
          <w:numId w:val="3"/>
        </w:numPr>
        <w:tabs>
          <w:tab w:pos="1099" w:val="left" w:leader="none"/>
          <w:tab w:pos="1100" w:val="left" w:leader="none"/>
        </w:tabs>
        <w:spacing w:line="242" w:lineRule="auto" w:before="120" w:after="0"/>
        <w:ind w:left="1100" w:right="1294" w:hanging="360"/>
        <w:jc w:val="left"/>
        <w:rPr>
          <w:sz w:val="24"/>
        </w:rPr>
      </w:pPr>
      <w:r>
        <w:rPr>
          <w:sz w:val="24"/>
        </w:rPr>
        <w:t>One</w:t>
      </w:r>
      <w:r>
        <w:rPr>
          <w:spacing w:val="-2"/>
          <w:sz w:val="24"/>
        </w:rPr>
        <w:t> </w:t>
      </w:r>
      <w:r>
        <w:rPr>
          <w:sz w:val="24"/>
        </w:rPr>
        <w:t>hundred</w:t>
      </w:r>
      <w:r>
        <w:rPr>
          <w:spacing w:val="-2"/>
          <w:sz w:val="24"/>
        </w:rPr>
        <w:t> </w:t>
      </w:r>
      <w:r>
        <w:rPr>
          <w:sz w:val="24"/>
        </w:rPr>
        <w:t>seventy-four</w:t>
      </w:r>
      <w:r>
        <w:rPr>
          <w:spacing w:val="-2"/>
          <w:sz w:val="24"/>
        </w:rPr>
        <w:t> </w:t>
      </w:r>
      <w:r>
        <w:rPr>
          <w:sz w:val="24"/>
        </w:rPr>
        <w:t>participants</w:t>
      </w:r>
      <w:r>
        <w:rPr>
          <w:spacing w:val="-5"/>
          <w:sz w:val="24"/>
        </w:rPr>
        <w:t> </w:t>
      </w:r>
      <w:r>
        <w:rPr>
          <w:sz w:val="24"/>
        </w:rPr>
        <w:t>(90%)</w:t>
      </w:r>
      <w:r>
        <w:rPr>
          <w:spacing w:val="-3"/>
          <w:sz w:val="24"/>
        </w:rPr>
        <w:t> </w:t>
      </w:r>
      <w:r>
        <w:rPr>
          <w:sz w:val="24"/>
        </w:rPr>
        <w:t>received</w:t>
      </w:r>
      <w:r>
        <w:rPr>
          <w:spacing w:val="-2"/>
          <w:sz w:val="24"/>
        </w:rPr>
        <w:t> </w:t>
      </w:r>
      <w:r>
        <w:rPr>
          <w:sz w:val="24"/>
        </w:rPr>
        <w:t>a</w:t>
      </w:r>
      <w:r>
        <w:rPr>
          <w:spacing w:val="-5"/>
          <w:sz w:val="24"/>
        </w:rPr>
        <w:t> </w:t>
      </w:r>
      <w:r>
        <w:rPr>
          <w:sz w:val="24"/>
        </w:rPr>
        <w:t>score</w:t>
      </w:r>
      <w:r>
        <w:rPr>
          <w:spacing w:val="-4"/>
          <w:sz w:val="24"/>
        </w:rPr>
        <w:t> </w:t>
      </w:r>
      <w:r>
        <w:rPr>
          <w:sz w:val="24"/>
        </w:rPr>
        <w:t>below</w:t>
      </w:r>
      <w:r>
        <w:rPr>
          <w:spacing w:val="-4"/>
          <w:sz w:val="24"/>
        </w:rPr>
        <w:t> </w:t>
      </w:r>
      <w:r>
        <w:rPr>
          <w:sz w:val="24"/>
        </w:rPr>
        <w:t>9,</w:t>
      </w:r>
      <w:r>
        <w:rPr>
          <w:spacing w:val="-2"/>
          <w:sz w:val="24"/>
        </w:rPr>
        <w:t> </w:t>
      </w:r>
      <w:r>
        <w:rPr>
          <w:sz w:val="24"/>
        </w:rPr>
        <w:t>indicating</w:t>
      </w:r>
      <w:r>
        <w:rPr>
          <w:spacing w:val="-5"/>
          <w:sz w:val="24"/>
        </w:rPr>
        <w:t> </w:t>
      </w:r>
      <w:r>
        <w:rPr>
          <w:sz w:val="24"/>
        </w:rPr>
        <w:t>that they were not experiencing depressive symptoms.</w:t>
      </w:r>
    </w:p>
    <w:p>
      <w:pPr>
        <w:pStyle w:val="ListParagraph"/>
        <w:numPr>
          <w:ilvl w:val="0"/>
          <w:numId w:val="3"/>
        </w:numPr>
        <w:tabs>
          <w:tab w:pos="1099" w:val="left" w:leader="none"/>
          <w:tab w:pos="1100" w:val="left" w:leader="none"/>
        </w:tabs>
        <w:spacing w:line="240" w:lineRule="auto" w:before="116" w:after="0"/>
        <w:ind w:left="1100" w:right="1346" w:hanging="360"/>
        <w:jc w:val="left"/>
        <w:rPr>
          <w:sz w:val="24"/>
        </w:rPr>
      </w:pPr>
      <w:r>
        <w:rPr>
          <w:sz w:val="24"/>
        </w:rPr>
        <w:t>Eight</w:t>
      </w:r>
      <w:r>
        <w:rPr>
          <w:spacing w:val="-3"/>
          <w:sz w:val="24"/>
        </w:rPr>
        <w:t> </w:t>
      </w:r>
      <w:r>
        <w:rPr>
          <w:sz w:val="24"/>
        </w:rPr>
        <w:t>participants</w:t>
      </w:r>
      <w:r>
        <w:rPr>
          <w:spacing w:val="-3"/>
          <w:sz w:val="24"/>
        </w:rPr>
        <w:t> </w:t>
      </w:r>
      <w:r>
        <w:rPr>
          <w:sz w:val="24"/>
        </w:rPr>
        <w:t>(4.1%)</w:t>
      </w:r>
      <w:r>
        <w:rPr>
          <w:spacing w:val="-5"/>
          <w:sz w:val="24"/>
        </w:rPr>
        <w:t> </w:t>
      </w:r>
      <w:r>
        <w:rPr>
          <w:sz w:val="24"/>
        </w:rPr>
        <w:t>received</w:t>
      </w:r>
      <w:r>
        <w:rPr>
          <w:spacing w:val="-1"/>
          <w:sz w:val="24"/>
        </w:rPr>
        <w:t> </w:t>
      </w:r>
      <w:r>
        <w:rPr>
          <w:sz w:val="24"/>
        </w:rPr>
        <w:t>a</w:t>
      </w:r>
      <w:r>
        <w:rPr>
          <w:spacing w:val="-4"/>
          <w:sz w:val="24"/>
        </w:rPr>
        <w:t> </w:t>
      </w:r>
      <w:r>
        <w:rPr>
          <w:sz w:val="24"/>
        </w:rPr>
        <w:t>score</w:t>
      </w:r>
      <w:r>
        <w:rPr>
          <w:spacing w:val="-3"/>
          <w:sz w:val="24"/>
        </w:rPr>
        <w:t> </w:t>
      </w:r>
      <w:r>
        <w:rPr>
          <w:sz w:val="24"/>
        </w:rPr>
        <w:t>between</w:t>
      </w:r>
      <w:r>
        <w:rPr>
          <w:spacing w:val="-2"/>
          <w:sz w:val="24"/>
        </w:rPr>
        <w:t> </w:t>
      </w:r>
      <w:r>
        <w:rPr>
          <w:sz w:val="24"/>
        </w:rPr>
        <w:t>10</w:t>
      </w:r>
      <w:r>
        <w:rPr>
          <w:spacing w:val="-3"/>
          <w:sz w:val="24"/>
        </w:rPr>
        <w:t> </w:t>
      </w:r>
      <w:r>
        <w:rPr>
          <w:sz w:val="24"/>
        </w:rPr>
        <w:t>–</w:t>
      </w:r>
      <w:r>
        <w:rPr>
          <w:spacing w:val="-3"/>
          <w:sz w:val="24"/>
        </w:rPr>
        <w:t> </w:t>
      </w:r>
      <w:r>
        <w:rPr>
          <w:sz w:val="24"/>
        </w:rPr>
        <w:t>12,</w:t>
      </w:r>
      <w:r>
        <w:rPr>
          <w:spacing w:val="-4"/>
          <w:sz w:val="24"/>
        </w:rPr>
        <w:t> </w:t>
      </w:r>
      <w:r>
        <w:rPr>
          <w:sz w:val="24"/>
        </w:rPr>
        <w:t>indicating</w:t>
      </w:r>
      <w:r>
        <w:rPr>
          <w:spacing w:val="-4"/>
          <w:sz w:val="24"/>
        </w:rPr>
        <w:t> </w:t>
      </w:r>
      <w:r>
        <w:rPr>
          <w:sz w:val="24"/>
        </w:rPr>
        <w:t>mild</w:t>
      </w:r>
      <w:r>
        <w:rPr>
          <w:spacing w:val="-3"/>
          <w:sz w:val="24"/>
        </w:rPr>
        <w:t> </w:t>
      </w:r>
      <w:r>
        <w:rPr>
          <w:sz w:val="24"/>
        </w:rPr>
        <w:t>depressive </w:t>
      </w:r>
      <w:r>
        <w:rPr>
          <w:spacing w:val="-2"/>
          <w:sz w:val="24"/>
        </w:rPr>
        <w:t>symptoms.</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Eleven</w:t>
      </w:r>
      <w:r>
        <w:rPr>
          <w:spacing w:val="-5"/>
          <w:sz w:val="24"/>
        </w:rPr>
        <w:t> </w:t>
      </w:r>
      <w:r>
        <w:rPr>
          <w:sz w:val="24"/>
        </w:rPr>
        <w:t>participants</w:t>
      </w:r>
      <w:r>
        <w:rPr>
          <w:spacing w:val="-2"/>
          <w:sz w:val="24"/>
        </w:rPr>
        <w:t> </w:t>
      </w:r>
      <w:r>
        <w:rPr>
          <w:sz w:val="24"/>
        </w:rPr>
        <w:t>(5.7%)</w:t>
      </w:r>
      <w:r>
        <w:rPr>
          <w:spacing w:val="-1"/>
          <w:sz w:val="24"/>
        </w:rPr>
        <w:t> </w:t>
      </w:r>
      <w:r>
        <w:rPr>
          <w:sz w:val="24"/>
        </w:rPr>
        <w:t>reported</w:t>
      </w:r>
      <w:r>
        <w:rPr>
          <w:spacing w:val="-3"/>
          <w:sz w:val="24"/>
        </w:rPr>
        <w:t> </w:t>
      </w:r>
      <w:r>
        <w:rPr>
          <w:sz w:val="24"/>
        </w:rPr>
        <w:t>moderate</w:t>
      </w:r>
      <w:r>
        <w:rPr>
          <w:spacing w:val="-3"/>
          <w:sz w:val="24"/>
        </w:rPr>
        <w:t> </w:t>
      </w:r>
      <w:r>
        <w:rPr>
          <w:sz w:val="24"/>
        </w:rPr>
        <w:t>or</w:t>
      </w:r>
      <w:r>
        <w:rPr>
          <w:spacing w:val="-3"/>
          <w:sz w:val="24"/>
        </w:rPr>
        <w:t> </w:t>
      </w:r>
      <w:r>
        <w:rPr>
          <w:sz w:val="24"/>
        </w:rPr>
        <w:t>high</w:t>
      </w:r>
      <w:r>
        <w:rPr>
          <w:spacing w:val="-3"/>
          <w:sz w:val="24"/>
        </w:rPr>
        <w:t> </w:t>
      </w:r>
      <w:r>
        <w:rPr>
          <w:sz w:val="24"/>
        </w:rPr>
        <w:t>depressive </w:t>
      </w:r>
      <w:r>
        <w:rPr>
          <w:spacing w:val="-2"/>
          <w:sz w:val="24"/>
        </w:rPr>
        <w:t>symptoms.</w:t>
      </w:r>
    </w:p>
    <w:p>
      <w:pPr>
        <w:pStyle w:val="BodyText"/>
        <w:spacing w:before="120"/>
        <w:ind w:left="380" w:right="1142"/>
      </w:pPr>
      <w:r>
        <w:rPr/>
        <w:t>Participants who screen positive for depression are then supported in accessing mental health services</w:t>
      </w:r>
      <w:r>
        <w:rPr>
          <w:spacing w:val="-3"/>
        </w:rPr>
        <w:t> </w:t>
      </w:r>
      <w:r>
        <w:rPr/>
        <w:t>including</w:t>
      </w:r>
      <w:r>
        <w:rPr>
          <w:spacing w:val="-3"/>
        </w:rPr>
        <w:t> </w:t>
      </w:r>
      <w:r>
        <w:rPr/>
        <w:t>counseling,</w:t>
      </w:r>
      <w:r>
        <w:rPr>
          <w:spacing w:val="-5"/>
        </w:rPr>
        <w:t> </w:t>
      </w:r>
      <w:r>
        <w:rPr/>
        <w:t>psychiatric</w:t>
      </w:r>
      <w:r>
        <w:rPr>
          <w:spacing w:val="-5"/>
        </w:rPr>
        <w:t> </w:t>
      </w:r>
      <w:r>
        <w:rPr/>
        <w:t>treatment,</w:t>
      </w:r>
      <w:r>
        <w:rPr>
          <w:spacing w:val="-5"/>
        </w:rPr>
        <w:t> </w:t>
      </w:r>
      <w:r>
        <w:rPr/>
        <w:t>and</w:t>
      </w:r>
      <w:r>
        <w:rPr>
          <w:spacing w:val="-1"/>
        </w:rPr>
        <w:t> </w:t>
      </w:r>
      <w:r>
        <w:rPr/>
        <w:t>support</w:t>
      </w:r>
      <w:r>
        <w:rPr>
          <w:spacing w:val="-4"/>
        </w:rPr>
        <w:t> </w:t>
      </w:r>
      <w:r>
        <w:rPr/>
        <w:t>groups.</w:t>
      </w:r>
      <w:r>
        <w:rPr>
          <w:spacing w:val="-3"/>
        </w:rPr>
        <w:t> </w:t>
      </w:r>
      <w:r>
        <w:rPr/>
        <w:t>In</w:t>
      </w:r>
      <w:r>
        <w:rPr>
          <w:spacing w:val="-1"/>
        </w:rPr>
        <w:t> </w:t>
      </w:r>
      <w:r>
        <w:rPr/>
        <w:t>2020,</w:t>
      </w:r>
      <w:r>
        <w:rPr>
          <w:spacing w:val="-5"/>
        </w:rPr>
        <w:t> </w:t>
      </w:r>
      <w:r>
        <w:rPr/>
        <w:t>100%</w:t>
      </w:r>
      <w:r>
        <w:rPr>
          <w:spacing w:val="-4"/>
        </w:rPr>
        <w:t> </w:t>
      </w:r>
      <w:r>
        <w:rPr/>
        <w:t>of</w:t>
      </w:r>
      <w:r>
        <w:rPr>
          <w:spacing w:val="-4"/>
        </w:rPr>
        <w:t> </w:t>
      </w:r>
      <w:r>
        <w:rPr/>
        <w:t>EIPP participants identified with depression and/or a mental health disorder were connected to mental health services including individual counseling, psychiatric treatment, support groups, and/or couples/family counseling. The most significant barrier to accessing services was the COVID-19 pandemic where many participants were frightened to leave their homes and telehealth services were limited.</w:t>
      </w:r>
      <w:r>
        <w:rPr>
          <w:spacing w:val="40"/>
        </w:rPr>
        <w:t> </w:t>
      </w:r>
      <w:r>
        <w:rPr/>
        <w:t>Additional barriers to accessing mental health services in a timely manner included language, stigma, transportation, and lack of insurance for undocumented participants.</w:t>
      </w:r>
    </w:p>
    <w:p>
      <w:pPr>
        <w:pStyle w:val="BodyText"/>
        <w:spacing w:before="12"/>
        <w:rPr>
          <w:sz w:val="27"/>
        </w:rPr>
      </w:pPr>
    </w:p>
    <w:p>
      <w:pPr>
        <w:pStyle w:val="Heading2"/>
      </w:pPr>
      <w:r>
        <w:rPr/>
        <w:t>Massachusetts</w:t>
      </w:r>
      <w:r>
        <w:rPr>
          <w:spacing w:val="-5"/>
        </w:rPr>
        <w:t> </w:t>
      </w:r>
      <w:r>
        <w:rPr/>
        <w:t>Maternal,</w:t>
      </w:r>
      <w:r>
        <w:rPr>
          <w:spacing w:val="-2"/>
        </w:rPr>
        <w:t> </w:t>
      </w:r>
      <w:r>
        <w:rPr/>
        <w:t>Infant</w:t>
      </w:r>
      <w:r>
        <w:rPr>
          <w:spacing w:val="-2"/>
        </w:rPr>
        <w:t> </w:t>
      </w:r>
      <w:r>
        <w:rPr/>
        <w:t>and</w:t>
      </w:r>
      <w:r>
        <w:rPr>
          <w:spacing w:val="-2"/>
        </w:rPr>
        <w:t> </w:t>
      </w:r>
      <w:r>
        <w:rPr/>
        <w:t>Early</w:t>
      </w:r>
      <w:r>
        <w:rPr>
          <w:spacing w:val="-3"/>
        </w:rPr>
        <w:t> </w:t>
      </w:r>
      <w:r>
        <w:rPr/>
        <w:t>Childhood</w:t>
      </w:r>
      <w:r>
        <w:rPr>
          <w:spacing w:val="-2"/>
        </w:rPr>
        <w:t> </w:t>
      </w:r>
      <w:r>
        <w:rPr/>
        <w:t>Home</w:t>
      </w:r>
      <w:r>
        <w:rPr>
          <w:spacing w:val="-3"/>
        </w:rPr>
        <w:t> </w:t>
      </w:r>
      <w:r>
        <w:rPr/>
        <w:t>Visiting</w:t>
      </w:r>
      <w:r>
        <w:rPr>
          <w:spacing w:val="-4"/>
        </w:rPr>
        <w:t> </w:t>
      </w:r>
      <w:r>
        <w:rPr/>
        <w:t>(MA</w:t>
      </w:r>
      <w:r>
        <w:rPr>
          <w:spacing w:val="-4"/>
        </w:rPr>
        <w:t> </w:t>
      </w:r>
      <w:r>
        <w:rPr>
          <w:spacing w:val="-2"/>
        </w:rPr>
        <w:t>MIECHV):</w:t>
      </w:r>
    </w:p>
    <w:p>
      <w:pPr>
        <w:pStyle w:val="BodyText"/>
        <w:rPr>
          <w:b/>
          <w:sz w:val="20"/>
        </w:rPr>
      </w:pPr>
    </w:p>
    <w:p>
      <w:pPr>
        <w:pStyle w:val="BodyText"/>
        <w:ind w:left="380" w:right="1129"/>
      </w:pPr>
      <w:r>
        <w:rPr/>
        <w:t>Since the spring of 2010, DPH has been operating the </w:t>
      </w:r>
      <w:hyperlink r:id="rId22">
        <w:r>
          <w:rPr>
            <w:color w:val="0000FF"/>
            <w:u w:val="single" w:color="0000FF"/>
          </w:rPr>
          <w:t>Maternal, Infant, and Early Childhood</w:t>
        </w:r>
      </w:hyperlink>
      <w:r>
        <w:rPr>
          <w:color w:val="0000FF"/>
        </w:rPr>
        <w:t> </w:t>
      </w:r>
      <w:hyperlink r:id="rId22">
        <w:r>
          <w:rPr>
            <w:color w:val="0000FF"/>
            <w:u w:val="single" w:color="0000FF"/>
          </w:rPr>
          <w:t>Home</w:t>
        </w:r>
        <w:r>
          <w:rPr>
            <w:color w:val="0000FF"/>
            <w:spacing w:val="-2"/>
            <w:u w:val="single" w:color="0000FF"/>
          </w:rPr>
          <w:t> </w:t>
        </w:r>
        <w:r>
          <w:rPr>
            <w:color w:val="0000FF"/>
            <w:u w:val="single" w:color="0000FF"/>
          </w:rPr>
          <w:t>Visiting</w:t>
        </w:r>
        <w:r>
          <w:rPr>
            <w:color w:val="0000FF"/>
            <w:spacing w:val="-5"/>
            <w:u w:val="single" w:color="0000FF"/>
          </w:rPr>
          <w:t> </w:t>
        </w:r>
        <w:r>
          <w:rPr>
            <w:color w:val="0000FF"/>
            <w:u w:val="single" w:color="0000FF"/>
          </w:rPr>
          <w:t>Program</w:t>
        </w:r>
        <w:r>
          <w:rPr>
            <w:color w:val="0000FF"/>
            <w:spacing w:val="-5"/>
            <w:u w:val="single" w:color="0000FF"/>
          </w:rPr>
          <w:t> </w:t>
        </w:r>
        <w:r>
          <w:rPr>
            <w:color w:val="0000FF"/>
            <w:u w:val="single" w:color="0000FF"/>
          </w:rPr>
          <w:t>(MIECHV)</w:t>
        </w:r>
      </w:hyperlink>
      <w:r>
        <w:rPr/>
        <w:t>,</w:t>
      </w:r>
      <w:r>
        <w:rPr>
          <w:spacing w:val="-2"/>
        </w:rPr>
        <w:t> </w:t>
      </w:r>
      <w:r>
        <w:rPr/>
        <w:t>a</w:t>
      </w:r>
      <w:r>
        <w:rPr>
          <w:spacing w:val="-2"/>
        </w:rPr>
        <w:t> </w:t>
      </w:r>
      <w:r>
        <w:rPr/>
        <w:t>federally</w:t>
      </w:r>
      <w:r>
        <w:rPr>
          <w:spacing w:val="-6"/>
        </w:rPr>
        <w:t> </w:t>
      </w:r>
      <w:r>
        <w:rPr/>
        <w:t>funded</w:t>
      </w:r>
      <w:r>
        <w:rPr>
          <w:spacing w:val="-4"/>
        </w:rPr>
        <w:t> </w:t>
      </w:r>
      <w:r>
        <w:rPr/>
        <w:t>program</w:t>
      </w:r>
      <w:r>
        <w:rPr>
          <w:spacing w:val="-5"/>
        </w:rPr>
        <w:t> </w:t>
      </w:r>
      <w:r>
        <w:rPr/>
        <w:t>for</w:t>
      </w:r>
      <w:r>
        <w:rPr>
          <w:spacing w:val="-2"/>
        </w:rPr>
        <w:t> </w:t>
      </w:r>
      <w:r>
        <w:rPr/>
        <w:t>states,</w:t>
      </w:r>
      <w:r>
        <w:rPr>
          <w:spacing w:val="-2"/>
        </w:rPr>
        <w:t> </w:t>
      </w:r>
      <w:r>
        <w:rPr/>
        <w:t>tribes,</w:t>
      </w:r>
      <w:r>
        <w:rPr>
          <w:spacing w:val="-2"/>
        </w:rPr>
        <w:t> </w:t>
      </w:r>
      <w:r>
        <w:rPr/>
        <w:t>and</w:t>
      </w:r>
      <w:r>
        <w:rPr>
          <w:spacing w:val="-4"/>
        </w:rPr>
        <w:t> </w:t>
      </w:r>
      <w:r>
        <w:rPr/>
        <w:t>territories to develop and implement one or more evidence-based maternal, infant, and early childhood home visiting model(s). The state’s program is referred to as MA MIECHV.</w:t>
      </w:r>
    </w:p>
    <w:p>
      <w:pPr>
        <w:pStyle w:val="BodyText"/>
        <w:spacing w:before="11"/>
        <w:rPr>
          <w:sz w:val="23"/>
        </w:rPr>
      </w:pPr>
    </w:p>
    <w:p>
      <w:pPr>
        <w:pStyle w:val="BodyText"/>
        <w:spacing w:before="1"/>
        <w:ind w:left="379" w:right="1059"/>
      </w:pPr>
      <w:r>
        <w:rPr/>
        <w:t>In September 2020, DPH was awarded $6.8 million in federal funds in support of MA MIECHV, marking the 10th year of funding. MA MIECHV funds evidenced-based home visiting programs, including</w:t>
      </w:r>
      <w:r>
        <w:rPr>
          <w:spacing w:val="-3"/>
        </w:rPr>
        <w:t> </w:t>
      </w:r>
      <w:hyperlink r:id="rId23">
        <w:r>
          <w:rPr>
            <w:color w:val="0000FF"/>
            <w:u w:val="single" w:color="0000FF"/>
          </w:rPr>
          <w:t>Parents</w:t>
        </w:r>
        <w:r>
          <w:rPr>
            <w:color w:val="0000FF"/>
            <w:spacing w:val="-3"/>
            <w:u w:val="single" w:color="0000FF"/>
          </w:rPr>
          <w:t> </w:t>
        </w:r>
        <w:r>
          <w:rPr>
            <w:color w:val="0000FF"/>
            <w:u w:val="single" w:color="0000FF"/>
          </w:rPr>
          <w:t>as</w:t>
        </w:r>
        <w:r>
          <w:rPr>
            <w:color w:val="0000FF"/>
            <w:spacing w:val="-5"/>
            <w:u w:val="single" w:color="0000FF"/>
          </w:rPr>
          <w:t> </w:t>
        </w:r>
        <w:r>
          <w:rPr>
            <w:color w:val="0000FF"/>
            <w:u w:val="single" w:color="0000FF"/>
          </w:rPr>
          <w:t>Teachers</w:t>
        </w:r>
      </w:hyperlink>
      <w:r>
        <w:rPr>
          <w:color w:val="0000FF"/>
          <w:spacing w:val="-3"/>
        </w:rPr>
        <w:t> </w:t>
      </w:r>
      <w:r>
        <w:rPr/>
        <w:t>and</w:t>
      </w:r>
      <w:r>
        <w:rPr>
          <w:spacing w:val="-4"/>
        </w:rPr>
        <w:t> </w:t>
      </w:r>
      <w:hyperlink r:id="rId24">
        <w:r>
          <w:rPr>
            <w:color w:val="0000FF"/>
            <w:u w:val="single" w:color="0000FF"/>
          </w:rPr>
          <w:t>Healthy</w:t>
        </w:r>
        <w:r>
          <w:rPr>
            <w:color w:val="0000FF"/>
            <w:spacing w:val="-3"/>
            <w:u w:val="single" w:color="0000FF"/>
          </w:rPr>
          <w:t> </w:t>
        </w:r>
        <w:r>
          <w:rPr>
            <w:color w:val="0000FF"/>
            <w:u w:val="single" w:color="0000FF"/>
          </w:rPr>
          <w:t>Families</w:t>
        </w:r>
        <w:r>
          <w:rPr>
            <w:color w:val="0000FF"/>
            <w:spacing w:val="-3"/>
            <w:u w:val="single" w:color="0000FF"/>
          </w:rPr>
          <w:t> </w:t>
        </w:r>
        <w:r>
          <w:rPr>
            <w:color w:val="0000FF"/>
            <w:u w:val="single" w:color="0000FF"/>
          </w:rPr>
          <w:t>America</w:t>
        </w:r>
      </w:hyperlink>
      <w:r>
        <w:rPr/>
        <w:t>.</w:t>
      </w:r>
      <w:r>
        <w:rPr>
          <w:spacing w:val="-3"/>
        </w:rPr>
        <w:t> </w:t>
      </w:r>
      <w:r>
        <w:rPr/>
        <w:t>MA</w:t>
      </w:r>
      <w:r>
        <w:rPr>
          <w:spacing w:val="-2"/>
        </w:rPr>
        <w:t> </w:t>
      </w:r>
      <w:r>
        <w:rPr/>
        <w:t>MIECHV</w:t>
      </w:r>
      <w:r>
        <w:rPr>
          <w:spacing w:val="-4"/>
        </w:rPr>
        <w:t> </w:t>
      </w:r>
      <w:r>
        <w:rPr/>
        <w:t>home</w:t>
      </w:r>
      <w:r>
        <w:rPr>
          <w:spacing w:val="-2"/>
        </w:rPr>
        <w:t> </w:t>
      </w:r>
      <w:r>
        <w:rPr/>
        <w:t>visiting</w:t>
      </w:r>
      <w:r>
        <w:rPr>
          <w:spacing w:val="-3"/>
        </w:rPr>
        <w:t> </w:t>
      </w:r>
      <w:r>
        <w:rPr/>
        <w:t>services prioritized 18 communities for services identified through the 2020 Massachusetts MIECHV needs assessment (list of communities is in the Appendix). The needs assessment ranked communities based on quantitative data indicators in nine domains: (1) socioeconomic status;</w:t>
      </w:r>
    </w:p>
    <w:p>
      <w:pPr>
        <w:pStyle w:val="BodyText"/>
        <w:ind w:left="379" w:right="1059"/>
      </w:pPr>
      <w:r>
        <w:rPr/>
        <w:t>(2) housing; (3) populations of special interest (e.g., teen births, foreign born residents); (4) substance use; (5) crime; (6) child unintentional injuries; (7) child maltreatment; (8) adverse perinatal</w:t>
      </w:r>
      <w:r>
        <w:rPr>
          <w:spacing w:val="-5"/>
        </w:rPr>
        <w:t> </w:t>
      </w:r>
      <w:r>
        <w:rPr/>
        <w:t>outcomes;</w:t>
      </w:r>
      <w:r>
        <w:rPr>
          <w:spacing w:val="-4"/>
        </w:rPr>
        <w:t> </w:t>
      </w:r>
      <w:r>
        <w:rPr/>
        <w:t>and</w:t>
      </w:r>
      <w:r>
        <w:rPr>
          <w:spacing w:val="-4"/>
        </w:rPr>
        <w:t> </w:t>
      </w:r>
      <w:r>
        <w:rPr/>
        <w:t>(9)</w:t>
      </w:r>
      <w:r>
        <w:rPr>
          <w:spacing w:val="-3"/>
        </w:rPr>
        <w:t> </w:t>
      </w:r>
      <w:r>
        <w:rPr/>
        <w:t>child</w:t>
      </w:r>
      <w:r>
        <w:rPr>
          <w:spacing w:val="-4"/>
        </w:rPr>
        <w:t> </w:t>
      </w:r>
      <w:r>
        <w:rPr/>
        <w:t>development</w:t>
      </w:r>
      <w:r>
        <w:rPr>
          <w:spacing w:val="-2"/>
        </w:rPr>
        <w:t> </w:t>
      </w:r>
      <w:r>
        <w:rPr/>
        <w:t>and</w:t>
      </w:r>
      <w:r>
        <w:rPr>
          <w:spacing w:val="-2"/>
        </w:rPr>
        <w:t> </w:t>
      </w:r>
      <w:r>
        <w:rPr/>
        <w:t>health</w:t>
      </w:r>
      <w:r>
        <w:rPr>
          <w:spacing w:val="-2"/>
        </w:rPr>
        <w:t> </w:t>
      </w:r>
      <w:r>
        <w:rPr/>
        <w:t>and</w:t>
      </w:r>
      <w:r>
        <w:rPr>
          <w:spacing w:val="-2"/>
        </w:rPr>
        <w:t> </w:t>
      </w:r>
      <w:r>
        <w:rPr/>
        <w:t>school</w:t>
      </w:r>
      <w:r>
        <w:rPr>
          <w:spacing w:val="-5"/>
        </w:rPr>
        <w:t> </w:t>
      </w:r>
      <w:r>
        <w:rPr/>
        <w:t>outcomes.</w:t>
      </w:r>
      <w:r>
        <w:rPr>
          <w:spacing w:val="-2"/>
        </w:rPr>
        <w:t> </w:t>
      </w:r>
      <w:r>
        <w:rPr/>
        <w:t>There</w:t>
      </w:r>
      <w:r>
        <w:rPr>
          <w:spacing w:val="-2"/>
        </w:rPr>
        <w:t> </w:t>
      </w:r>
      <w:r>
        <w:rPr/>
        <w:t>are</w:t>
      </w:r>
      <w:r>
        <w:rPr>
          <w:spacing w:val="-4"/>
        </w:rPr>
        <w:t> </w:t>
      </w:r>
      <w:r>
        <w:rPr/>
        <w:t>24 MA MIECHV home visiting programs across the 18 communities.</w:t>
      </w:r>
    </w:p>
    <w:p>
      <w:pPr>
        <w:spacing w:after="0"/>
        <w:sectPr>
          <w:pgSz w:w="12240" w:h="15840"/>
          <w:pgMar w:header="0" w:footer="765" w:top="1380" w:bottom="960" w:left="1060" w:right="380"/>
        </w:sectPr>
      </w:pPr>
    </w:p>
    <w:p>
      <w:pPr>
        <w:pStyle w:val="BodyText"/>
        <w:spacing w:before="39"/>
        <w:ind w:left="379" w:right="1129"/>
      </w:pPr>
      <w:r>
        <w:rPr/>
        <w:t>Depression screening is conducted with all program participants and data are analyzed for all home visiting programs on a quarterly basis. An annual report to the federal funding agency, the</w:t>
      </w:r>
      <w:r>
        <w:rPr>
          <w:spacing w:val="-5"/>
        </w:rPr>
        <w:t> </w:t>
      </w:r>
      <w:r>
        <w:rPr/>
        <w:t>Health</w:t>
      </w:r>
      <w:r>
        <w:rPr>
          <w:spacing w:val="-2"/>
        </w:rPr>
        <w:t> </w:t>
      </w:r>
      <w:r>
        <w:rPr/>
        <w:t>Resources</w:t>
      </w:r>
      <w:r>
        <w:rPr>
          <w:spacing w:val="-4"/>
        </w:rPr>
        <w:t> </w:t>
      </w:r>
      <w:r>
        <w:rPr/>
        <w:t>and</w:t>
      </w:r>
      <w:r>
        <w:rPr>
          <w:spacing w:val="-2"/>
        </w:rPr>
        <w:t> </w:t>
      </w:r>
      <w:r>
        <w:rPr/>
        <w:t>Services</w:t>
      </w:r>
      <w:r>
        <w:rPr>
          <w:spacing w:val="-6"/>
        </w:rPr>
        <w:t> </w:t>
      </w:r>
      <w:r>
        <w:rPr/>
        <w:t>Administration</w:t>
      </w:r>
      <w:r>
        <w:rPr>
          <w:spacing w:val="-2"/>
        </w:rPr>
        <w:t> </w:t>
      </w:r>
      <w:r>
        <w:rPr/>
        <w:t>(HRSA),</w:t>
      </w:r>
      <w:r>
        <w:rPr>
          <w:spacing w:val="-3"/>
        </w:rPr>
        <w:t> </w:t>
      </w:r>
      <w:r>
        <w:rPr/>
        <w:t>is</w:t>
      </w:r>
      <w:r>
        <w:rPr>
          <w:spacing w:val="-4"/>
        </w:rPr>
        <w:t> </w:t>
      </w:r>
      <w:r>
        <w:rPr/>
        <w:t>submitted</w:t>
      </w:r>
      <w:r>
        <w:rPr>
          <w:spacing w:val="-5"/>
        </w:rPr>
        <w:t> </w:t>
      </w:r>
      <w:r>
        <w:rPr/>
        <w:t>every</w:t>
      </w:r>
      <w:r>
        <w:rPr>
          <w:spacing w:val="-4"/>
        </w:rPr>
        <w:t> </w:t>
      </w:r>
      <w:r>
        <w:rPr/>
        <w:t>October.</w:t>
      </w:r>
      <w:r>
        <w:rPr>
          <w:spacing w:val="-4"/>
        </w:rPr>
        <w:t> </w:t>
      </w:r>
      <w:r>
        <w:rPr/>
        <w:t>Screens are conducted within three months of enrollment and are updated in compliance with model fidelity respective to each evidence-based home visiting program.</w:t>
      </w:r>
    </w:p>
    <w:p>
      <w:pPr>
        <w:pStyle w:val="BodyText"/>
        <w:spacing w:before="11"/>
        <w:rPr>
          <w:sz w:val="23"/>
        </w:rPr>
      </w:pPr>
    </w:p>
    <w:p>
      <w:pPr>
        <w:pStyle w:val="BodyText"/>
        <w:ind w:left="379" w:right="1059"/>
      </w:pPr>
      <w:r>
        <w:rPr/>
        <w:t>In</w:t>
      </w:r>
      <w:r>
        <w:rPr>
          <w:spacing w:val="-1"/>
        </w:rPr>
        <w:t> </w:t>
      </w:r>
      <w:r>
        <w:rPr/>
        <w:t>federal</w:t>
      </w:r>
      <w:r>
        <w:rPr>
          <w:spacing w:val="-5"/>
        </w:rPr>
        <w:t> </w:t>
      </w:r>
      <w:r>
        <w:rPr/>
        <w:t>FY19,</w:t>
      </w:r>
      <w:r>
        <w:rPr>
          <w:spacing w:val="-2"/>
        </w:rPr>
        <w:t> </w:t>
      </w:r>
      <w:r>
        <w:rPr/>
        <w:t>92%</w:t>
      </w:r>
      <w:r>
        <w:rPr>
          <w:spacing w:val="-4"/>
        </w:rPr>
        <w:t> </w:t>
      </w:r>
      <w:r>
        <w:rPr/>
        <w:t>of</w:t>
      </w:r>
      <w:r>
        <w:rPr>
          <w:spacing w:val="-4"/>
        </w:rPr>
        <w:t> </w:t>
      </w:r>
      <w:r>
        <w:rPr/>
        <w:t>expected</w:t>
      </w:r>
      <w:r>
        <w:rPr>
          <w:spacing w:val="-4"/>
        </w:rPr>
        <w:t> </w:t>
      </w:r>
      <w:r>
        <w:rPr/>
        <w:t>screenings</w:t>
      </w:r>
      <w:r>
        <w:rPr>
          <w:spacing w:val="-5"/>
        </w:rPr>
        <w:t> </w:t>
      </w:r>
      <w:r>
        <w:rPr/>
        <w:t>for</w:t>
      </w:r>
      <w:r>
        <w:rPr>
          <w:spacing w:val="-5"/>
        </w:rPr>
        <w:t> </w:t>
      </w:r>
      <w:r>
        <w:rPr/>
        <w:t>depressive</w:t>
      </w:r>
      <w:r>
        <w:rPr>
          <w:spacing w:val="-2"/>
        </w:rPr>
        <w:t> </w:t>
      </w:r>
      <w:r>
        <w:rPr/>
        <w:t>symptoms</w:t>
      </w:r>
      <w:r>
        <w:rPr>
          <w:spacing w:val="-5"/>
        </w:rPr>
        <w:t> </w:t>
      </w:r>
      <w:r>
        <w:rPr/>
        <w:t>were</w:t>
      </w:r>
      <w:r>
        <w:rPr>
          <w:spacing w:val="-2"/>
        </w:rPr>
        <w:t> </w:t>
      </w:r>
      <w:r>
        <w:rPr/>
        <w:t>completed</w:t>
      </w:r>
      <w:r>
        <w:rPr>
          <w:spacing w:val="-4"/>
        </w:rPr>
        <w:t> </w:t>
      </w:r>
      <w:r>
        <w:rPr/>
        <w:t>within three months of enrollment.</w:t>
      </w:r>
    </w:p>
    <w:p>
      <w:pPr>
        <w:pStyle w:val="BodyText"/>
        <w:rPr>
          <w:sz w:val="22"/>
        </w:rPr>
      </w:pPr>
    </w:p>
    <w:p>
      <w:pPr>
        <w:pStyle w:val="Heading2"/>
      </w:pPr>
      <w:bookmarkStart w:name="Welcome Family" w:id="5"/>
      <w:bookmarkEnd w:id="5"/>
      <w:r>
        <w:rPr>
          <w:b w:val="0"/>
        </w:rPr>
      </w:r>
      <w:r>
        <w:rPr/>
        <w:t>Welcome</w:t>
      </w:r>
      <w:r>
        <w:rPr>
          <w:spacing w:val="-2"/>
        </w:rPr>
        <w:t> Family</w:t>
      </w:r>
    </w:p>
    <w:p>
      <w:pPr>
        <w:pStyle w:val="BodyText"/>
        <w:rPr>
          <w:b/>
          <w:sz w:val="22"/>
        </w:rPr>
      </w:pPr>
    </w:p>
    <w:p>
      <w:pPr>
        <w:pStyle w:val="BodyText"/>
        <w:ind w:left="379" w:right="1059"/>
      </w:pPr>
      <w:r>
        <w:rPr/>
        <w:t>The </w:t>
      </w:r>
      <w:hyperlink r:id="rId25">
        <w:r>
          <w:rPr>
            <w:color w:val="0000FF"/>
            <w:u w:val="single" w:color="0000FF"/>
          </w:rPr>
          <w:t>Welcome Family</w:t>
        </w:r>
      </w:hyperlink>
      <w:r>
        <w:rPr>
          <w:color w:val="0000FF"/>
        </w:rPr>
        <w:t> </w:t>
      </w:r>
      <w:r>
        <w:rPr/>
        <w:t>program, funded</w:t>
      </w:r>
      <w:r>
        <w:rPr>
          <w:spacing w:val="-1"/>
        </w:rPr>
        <w:t> </w:t>
      </w:r>
      <w:r>
        <w:rPr/>
        <w:t>through</w:t>
      </w:r>
      <w:r>
        <w:rPr>
          <w:spacing w:val="-1"/>
        </w:rPr>
        <w:t> </w:t>
      </w:r>
      <w:r>
        <w:rPr/>
        <w:t>MA MIECHV, offers a</w:t>
      </w:r>
      <w:r>
        <w:rPr>
          <w:spacing w:val="-2"/>
        </w:rPr>
        <w:t> </w:t>
      </w:r>
      <w:r>
        <w:rPr/>
        <w:t>one-time nurse</w:t>
      </w:r>
      <w:r>
        <w:rPr>
          <w:spacing w:val="-1"/>
        </w:rPr>
        <w:t> </w:t>
      </w:r>
      <w:r>
        <w:rPr/>
        <w:t>home</w:t>
      </w:r>
      <w:r>
        <w:rPr>
          <w:spacing w:val="-1"/>
        </w:rPr>
        <w:t> </w:t>
      </w:r>
      <w:r>
        <w:rPr/>
        <w:t>visit to all birthing parents with newborns and their families, regardless of age, income, or other criteria, in five Massachusetts communities.</w:t>
      </w:r>
      <w:r>
        <w:rPr>
          <w:spacing w:val="-1"/>
        </w:rPr>
        <w:t> </w:t>
      </w:r>
      <w:r>
        <w:rPr/>
        <w:t>The goal of Welcome Family is to promote optimal parental and infant physical and mental well-being and to provide an entry point into a system of care for families with newborns. Each visit is conducted within 8 weeks postpartum, lasts approximately 90 minutes, and is conducted by a nurse with maternal and child health experience. All services are provided at no cost to families. The primary focus of Welcome Family</w:t>
      </w:r>
      <w:r>
        <w:rPr>
          <w:spacing w:val="-2"/>
        </w:rPr>
        <w:t> </w:t>
      </w:r>
      <w:r>
        <w:rPr/>
        <w:t>is</w:t>
      </w:r>
      <w:r>
        <w:rPr>
          <w:spacing w:val="-2"/>
        </w:rPr>
        <w:t> </w:t>
      </w:r>
      <w:r>
        <w:rPr/>
        <w:t>the</w:t>
      </w:r>
      <w:r>
        <w:rPr>
          <w:spacing w:val="-3"/>
        </w:rPr>
        <w:t> </w:t>
      </w:r>
      <w:r>
        <w:rPr/>
        <w:t>birthing</w:t>
      </w:r>
      <w:r>
        <w:rPr>
          <w:spacing w:val="-4"/>
        </w:rPr>
        <w:t> </w:t>
      </w:r>
      <w:r>
        <w:rPr/>
        <w:t>parent</w:t>
      </w:r>
      <w:r>
        <w:rPr>
          <w:spacing w:val="-3"/>
        </w:rPr>
        <w:t> </w:t>
      </w:r>
      <w:r>
        <w:rPr/>
        <w:t>and their</w:t>
      </w:r>
      <w:r>
        <w:rPr>
          <w:spacing w:val="-4"/>
        </w:rPr>
        <w:t> </w:t>
      </w:r>
      <w:r>
        <w:rPr/>
        <w:t>newborn,</w:t>
      </w:r>
      <w:r>
        <w:rPr>
          <w:spacing w:val="-4"/>
        </w:rPr>
        <w:t> </w:t>
      </w:r>
      <w:r>
        <w:rPr/>
        <w:t>but</w:t>
      </w:r>
      <w:r>
        <w:rPr>
          <w:spacing w:val="-1"/>
        </w:rPr>
        <w:t> </w:t>
      </w:r>
      <w:r>
        <w:rPr/>
        <w:t>any</w:t>
      </w:r>
      <w:r>
        <w:rPr>
          <w:spacing w:val="-2"/>
        </w:rPr>
        <w:t> </w:t>
      </w:r>
      <w:r>
        <w:rPr/>
        <w:t>caregiver</w:t>
      </w:r>
      <w:r>
        <w:rPr>
          <w:spacing w:val="-4"/>
        </w:rPr>
        <w:t> </w:t>
      </w:r>
      <w:r>
        <w:rPr/>
        <w:t>is</w:t>
      </w:r>
      <w:r>
        <w:rPr>
          <w:spacing w:val="-2"/>
        </w:rPr>
        <w:t> </w:t>
      </w:r>
      <w:r>
        <w:rPr/>
        <w:t>eligible</w:t>
      </w:r>
      <w:r>
        <w:rPr>
          <w:spacing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r>
        <w:pStyle w:val="BodyText"/>
        <w:spacing w:before="1"/>
      </w:pPr>
    </w:p>
    <w:p>
      <w:pPr>
        <w:spacing w:before="0"/>
        <w:ind w:left="380" w:right="1059" w:firstLine="0"/>
        <w:jc w:val="left"/>
        <w:rPr>
          <w:i/>
          <w:sz w:val="24"/>
        </w:rPr>
      </w:pPr>
      <w:r>
        <w:rPr>
          <w:i/>
          <w:sz w:val="24"/>
        </w:rPr>
        <w:t>During</w:t>
      </w:r>
      <w:r>
        <w:rPr>
          <w:i/>
          <w:spacing w:val="-4"/>
          <w:sz w:val="24"/>
        </w:rPr>
        <w:t> </w:t>
      </w:r>
      <w:r>
        <w:rPr>
          <w:i/>
          <w:sz w:val="24"/>
        </w:rPr>
        <w:t>the</w:t>
      </w:r>
      <w:r>
        <w:rPr>
          <w:i/>
          <w:spacing w:val="-2"/>
          <w:sz w:val="24"/>
        </w:rPr>
        <w:t> </w:t>
      </w:r>
      <w:r>
        <w:rPr>
          <w:i/>
          <w:sz w:val="24"/>
        </w:rPr>
        <w:t>visit,</w:t>
      </w:r>
      <w:r>
        <w:rPr>
          <w:i/>
          <w:spacing w:val="-5"/>
          <w:sz w:val="24"/>
        </w:rPr>
        <w:t> </w:t>
      </w:r>
      <w:r>
        <w:rPr>
          <w:i/>
          <w:sz w:val="24"/>
        </w:rPr>
        <w:t>the</w:t>
      </w:r>
      <w:r>
        <w:rPr>
          <w:i/>
          <w:spacing w:val="-2"/>
          <w:sz w:val="24"/>
        </w:rPr>
        <w:t> </w:t>
      </w:r>
      <w:r>
        <w:rPr>
          <w:i/>
          <w:sz w:val="24"/>
        </w:rPr>
        <w:t>Welcome</w:t>
      </w:r>
      <w:r>
        <w:rPr>
          <w:i/>
          <w:spacing w:val="-2"/>
          <w:sz w:val="24"/>
        </w:rPr>
        <w:t> </w:t>
      </w:r>
      <w:r>
        <w:rPr>
          <w:i/>
          <w:sz w:val="24"/>
        </w:rPr>
        <w:t>Family</w:t>
      </w:r>
      <w:r>
        <w:rPr>
          <w:i/>
          <w:spacing w:val="-2"/>
          <w:sz w:val="24"/>
        </w:rPr>
        <w:t> </w:t>
      </w:r>
      <w:r>
        <w:rPr>
          <w:i/>
          <w:sz w:val="24"/>
        </w:rPr>
        <w:t>nurse</w:t>
      </w:r>
      <w:r>
        <w:rPr>
          <w:i/>
          <w:spacing w:val="-2"/>
          <w:sz w:val="24"/>
        </w:rPr>
        <w:t> </w:t>
      </w:r>
      <w:r>
        <w:rPr>
          <w:i/>
          <w:sz w:val="24"/>
        </w:rPr>
        <w:t>assesses</w:t>
      </w:r>
      <w:r>
        <w:rPr>
          <w:i/>
          <w:spacing w:val="-2"/>
          <w:sz w:val="24"/>
        </w:rPr>
        <w:t> </w:t>
      </w:r>
      <w:r>
        <w:rPr>
          <w:i/>
          <w:sz w:val="24"/>
        </w:rPr>
        <w:t>the</w:t>
      </w:r>
      <w:r>
        <w:rPr>
          <w:i/>
          <w:spacing w:val="-4"/>
          <w:sz w:val="24"/>
        </w:rPr>
        <w:t> </w:t>
      </w:r>
      <w:r>
        <w:rPr>
          <w:i/>
          <w:sz w:val="24"/>
        </w:rPr>
        <w:t>following</w:t>
      </w:r>
      <w:r>
        <w:rPr>
          <w:i/>
          <w:spacing w:val="-4"/>
          <w:sz w:val="24"/>
        </w:rPr>
        <w:t> </w:t>
      </w:r>
      <w:r>
        <w:rPr>
          <w:i/>
          <w:sz w:val="24"/>
        </w:rPr>
        <w:t>six</w:t>
      </w:r>
      <w:r>
        <w:rPr>
          <w:i/>
          <w:spacing w:val="-3"/>
          <w:sz w:val="24"/>
        </w:rPr>
        <w:t> </w:t>
      </w:r>
      <w:r>
        <w:rPr>
          <w:i/>
          <w:sz w:val="24"/>
        </w:rPr>
        <w:t>areas.</w:t>
      </w:r>
      <w:r>
        <w:rPr>
          <w:i/>
          <w:spacing w:val="-3"/>
          <w:sz w:val="24"/>
        </w:rPr>
        <w:t> </w:t>
      </w:r>
      <w:r>
        <w:rPr>
          <w:i/>
          <w:sz w:val="24"/>
        </w:rPr>
        <w:t>Each</w:t>
      </w:r>
      <w:r>
        <w:rPr>
          <w:i/>
          <w:spacing w:val="-4"/>
          <w:sz w:val="24"/>
        </w:rPr>
        <w:t> </w:t>
      </w:r>
      <w:r>
        <w:rPr>
          <w:i/>
          <w:sz w:val="24"/>
        </w:rPr>
        <w:t>area</w:t>
      </w:r>
      <w:r>
        <w:rPr>
          <w:i/>
          <w:spacing w:val="-4"/>
          <w:sz w:val="24"/>
        </w:rPr>
        <w:t> </w:t>
      </w:r>
      <w:r>
        <w:rPr>
          <w:i/>
          <w:sz w:val="24"/>
        </w:rPr>
        <w:t>includes</w:t>
      </w:r>
      <w:r>
        <w:rPr>
          <w:i/>
          <w:sz w:val="24"/>
        </w:rPr>
        <w:t> screening, brief intervention, education, and referrals to services as needed:</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Parental</w:t>
      </w:r>
      <w:r>
        <w:rPr>
          <w:spacing w:val="-4"/>
          <w:sz w:val="24"/>
        </w:rPr>
        <w:t> </w:t>
      </w:r>
      <w:r>
        <w:rPr>
          <w:sz w:val="24"/>
        </w:rPr>
        <w:t>emotional</w:t>
      </w:r>
      <w:r>
        <w:rPr>
          <w:spacing w:val="-3"/>
          <w:sz w:val="24"/>
        </w:rPr>
        <w:t> </w:t>
      </w:r>
      <w:r>
        <w:rPr>
          <w:sz w:val="24"/>
        </w:rPr>
        <w:t>health,</w:t>
      </w:r>
      <w:r>
        <w:rPr>
          <w:spacing w:val="-1"/>
          <w:sz w:val="24"/>
        </w:rPr>
        <w:t> </w:t>
      </w:r>
      <w:r>
        <w:rPr>
          <w:sz w:val="24"/>
        </w:rPr>
        <w:t>including</w:t>
      </w:r>
      <w:r>
        <w:rPr>
          <w:spacing w:val="-2"/>
          <w:sz w:val="24"/>
        </w:rPr>
        <w:t> </w:t>
      </w:r>
      <w:r>
        <w:rPr>
          <w:sz w:val="24"/>
        </w:rPr>
        <w:t>a</w:t>
      </w:r>
      <w:r>
        <w:rPr>
          <w:spacing w:val="-3"/>
          <w:sz w:val="24"/>
        </w:rPr>
        <w:t> </w:t>
      </w:r>
      <w:r>
        <w:rPr>
          <w:sz w:val="24"/>
        </w:rPr>
        <w:t>depression</w:t>
      </w:r>
      <w:r>
        <w:rPr>
          <w:spacing w:val="-2"/>
          <w:sz w:val="24"/>
        </w:rPr>
        <w:t> screen</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Parental</w:t>
      </w:r>
      <w:r>
        <w:rPr>
          <w:spacing w:val="-1"/>
          <w:sz w:val="24"/>
        </w:rPr>
        <w:t> </w:t>
      </w:r>
      <w:r>
        <w:rPr>
          <w:sz w:val="24"/>
        </w:rPr>
        <w:t>and</w:t>
      </w:r>
      <w:r>
        <w:rPr>
          <w:spacing w:val="-2"/>
          <w:sz w:val="24"/>
        </w:rPr>
        <w:t> </w:t>
      </w:r>
      <w:r>
        <w:rPr>
          <w:sz w:val="24"/>
        </w:rPr>
        <w:t>infant</w:t>
      </w:r>
      <w:r>
        <w:rPr>
          <w:spacing w:val="-3"/>
          <w:sz w:val="24"/>
        </w:rPr>
        <w:t> </w:t>
      </w:r>
      <w:r>
        <w:rPr>
          <w:sz w:val="24"/>
        </w:rPr>
        <w:t>nutrition,</w:t>
      </w:r>
      <w:r>
        <w:rPr>
          <w:spacing w:val="-3"/>
          <w:sz w:val="24"/>
        </w:rPr>
        <w:t> </w:t>
      </w:r>
      <w:r>
        <w:rPr>
          <w:sz w:val="24"/>
        </w:rPr>
        <w:t>including</w:t>
      </w:r>
      <w:r>
        <w:rPr>
          <w:spacing w:val="-3"/>
          <w:sz w:val="24"/>
        </w:rPr>
        <w:t> </w:t>
      </w:r>
      <w:r>
        <w:rPr>
          <w:spacing w:val="-2"/>
          <w:sz w:val="24"/>
        </w:rPr>
        <w:t>breastfeeding</w:t>
      </w:r>
    </w:p>
    <w:p>
      <w:pPr>
        <w:pStyle w:val="ListParagraph"/>
        <w:numPr>
          <w:ilvl w:val="0"/>
          <w:numId w:val="3"/>
        </w:numPr>
        <w:tabs>
          <w:tab w:pos="1099" w:val="left" w:leader="none"/>
          <w:tab w:pos="1100" w:val="left" w:leader="none"/>
        </w:tabs>
        <w:spacing w:line="240" w:lineRule="auto" w:before="119" w:after="0"/>
        <w:ind w:left="1100" w:right="0" w:hanging="360"/>
        <w:jc w:val="left"/>
        <w:rPr>
          <w:sz w:val="24"/>
        </w:rPr>
      </w:pPr>
      <w:r>
        <w:rPr>
          <w:sz w:val="24"/>
        </w:rPr>
        <w:t>Unmet</w:t>
      </w:r>
      <w:r>
        <w:rPr>
          <w:spacing w:val="-4"/>
          <w:sz w:val="24"/>
        </w:rPr>
        <w:t> </w:t>
      </w:r>
      <w:r>
        <w:rPr>
          <w:sz w:val="24"/>
        </w:rPr>
        <w:t>health</w:t>
      </w:r>
      <w:r>
        <w:rPr>
          <w:spacing w:val="-1"/>
          <w:sz w:val="24"/>
        </w:rPr>
        <w:t> </w:t>
      </w:r>
      <w:r>
        <w:rPr>
          <w:spacing w:val="-4"/>
          <w:sz w:val="24"/>
        </w:rPr>
        <w:t>needs</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Domestic</w:t>
      </w:r>
      <w:r>
        <w:rPr>
          <w:spacing w:val="-2"/>
          <w:sz w:val="24"/>
        </w:rPr>
        <w:t> violence</w:t>
      </w:r>
    </w:p>
    <w:p>
      <w:pPr>
        <w:pStyle w:val="ListParagraph"/>
        <w:numPr>
          <w:ilvl w:val="0"/>
          <w:numId w:val="3"/>
        </w:numPr>
        <w:tabs>
          <w:tab w:pos="1099" w:val="left" w:leader="none"/>
          <w:tab w:pos="1100" w:val="left" w:leader="none"/>
        </w:tabs>
        <w:spacing w:line="240" w:lineRule="auto" w:before="122" w:after="0"/>
        <w:ind w:left="1100" w:right="0" w:hanging="360"/>
        <w:jc w:val="left"/>
        <w:rPr>
          <w:sz w:val="24"/>
        </w:rPr>
      </w:pPr>
      <w:r>
        <w:rPr>
          <w:sz w:val="24"/>
        </w:rPr>
        <w:t>Substance</w:t>
      </w:r>
      <w:r>
        <w:rPr>
          <w:spacing w:val="-2"/>
          <w:sz w:val="24"/>
        </w:rPr>
        <w:t> </w:t>
      </w:r>
      <w:r>
        <w:rPr>
          <w:spacing w:val="-5"/>
          <w:sz w:val="24"/>
        </w:rPr>
        <w:t>use</w:t>
      </w:r>
    </w:p>
    <w:p>
      <w:pPr>
        <w:pStyle w:val="ListParagraph"/>
        <w:numPr>
          <w:ilvl w:val="0"/>
          <w:numId w:val="3"/>
        </w:numPr>
        <w:tabs>
          <w:tab w:pos="1099" w:val="left" w:leader="none"/>
          <w:tab w:pos="1100" w:val="left" w:leader="none"/>
        </w:tabs>
        <w:spacing w:line="240" w:lineRule="auto" w:before="120" w:after="0"/>
        <w:ind w:left="1100" w:right="0" w:hanging="360"/>
        <w:jc w:val="left"/>
        <w:rPr>
          <w:sz w:val="24"/>
        </w:rPr>
      </w:pPr>
      <w:r>
        <w:rPr>
          <w:sz w:val="24"/>
        </w:rPr>
        <w:t>Parental</w:t>
      </w:r>
      <w:r>
        <w:rPr>
          <w:spacing w:val="-2"/>
          <w:sz w:val="24"/>
        </w:rPr>
        <w:t> </w:t>
      </w:r>
      <w:r>
        <w:rPr>
          <w:sz w:val="24"/>
        </w:rPr>
        <w:t>and</w:t>
      </w:r>
      <w:r>
        <w:rPr>
          <w:spacing w:val="-3"/>
          <w:sz w:val="24"/>
        </w:rPr>
        <w:t> </w:t>
      </w:r>
      <w:r>
        <w:rPr>
          <w:sz w:val="24"/>
        </w:rPr>
        <w:t>infant</w:t>
      </w:r>
      <w:r>
        <w:rPr>
          <w:spacing w:val="-1"/>
          <w:sz w:val="24"/>
        </w:rPr>
        <w:t> </w:t>
      </w:r>
      <w:r>
        <w:rPr>
          <w:sz w:val="24"/>
        </w:rPr>
        <w:t>clinical</w:t>
      </w:r>
      <w:r>
        <w:rPr>
          <w:spacing w:val="-1"/>
          <w:sz w:val="24"/>
        </w:rPr>
        <w:t> </w:t>
      </w:r>
      <w:r>
        <w:rPr>
          <w:spacing w:val="-2"/>
          <w:sz w:val="24"/>
        </w:rPr>
        <w:t>assessment</w:t>
      </w:r>
    </w:p>
    <w:p>
      <w:pPr>
        <w:pStyle w:val="BodyText"/>
        <w:spacing w:before="10"/>
        <w:rPr>
          <w:sz w:val="33"/>
        </w:rPr>
      </w:pPr>
    </w:p>
    <w:p>
      <w:pPr>
        <w:pStyle w:val="BodyText"/>
        <w:ind w:left="380" w:right="1059"/>
      </w:pPr>
      <w:r>
        <w:rPr/>
        <w:t>The</w:t>
      </w:r>
      <w:r>
        <w:rPr>
          <w:spacing w:val="-4"/>
        </w:rPr>
        <w:t> </w:t>
      </w:r>
      <w:r>
        <w:rPr/>
        <w:t>nurse</w:t>
      </w:r>
      <w:r>
        <w:rPr>
          <w:spacing w:val="-2"/>
        </w:rPr>
        <w:t> </w:t>
      </w:r>
      <w:r>
        <w:rPr/>
        <w:t>also</w:t>
      </w:r>
      <w:r>
        <w:rPr>
          <w:spacing w:val="-4"/>
        </w:rPr>
        <w:t> </w:t>
      </w:r>
      <w:r>
        <w:rPr/>
        <w:t>spends</w:t>
      </w:r>
      <w:r>
        <w:rPr>
          <w:spacing w:val="-5"/>
        </w:rPr>
        <w:t> </w:t>
      </w:r>
      <w:r>
        <w:rPr/>
        <w:t>time</w:t>
      </w:r>
      <w:r>
        <w:rPr>
          <w:spacing w:val="-2"/>
        </w:rPr>
        <w:t> </w:t>
      </w:r>
      <w:r>
        <w:rPr/>
        <w:t>addressing</w:t>
      </w:r>
      <w:r>
        <w:rPr>
          <w:spacing w:val="-5"/>
        </w:rPr>
        <w:t> </w:t>
      </w:r>
      <w:r>
        <w:rPr/>
        <w:t>the</w:t>
      </w:r>
      <w:r>
        <w:rPr>
          <w:spacing w:val="-4"/>
        </w:rPr>
        <w:t> </w:t>
      </w:r>
      <w:r>
        <w:rPr/>
        <w:t>family’s</w:t>
      </w:r>
      <w:r>
        <w:rPr>
          <w:spacing w:val="-3"/>
        </w:rPr>
        <w:t> </w:t>
      </w:r>
      <w:r>
        <w:rPr/>
        <w:t>questions</w:t>
      </w:r>
      <w:r>
        <w:rPr>
          <w:spacing w:val="-3"/>
        </w:rPr>
        <w:t> </w:t>
      </w:r>
      <w:r>
        <w:rPr/>
        <w:t>or</w:t>
      </w:r>
      <w:r>
        <w:rPr>
          <w:spacing w:val="-5"/>
        </w:rPr>
        <w:t> </w:t>
      </w:r>
      <w:r>
        <w:rPr/>
        <w:t>concerns.</w:t>
      </w:r>
      <w:r>
        <w:rPr>
          <w:spacing w:val="-3"/>
        </w:rPr>
        <w:t> </w:t>
      </w:r>
      <w:r>
        <w:rPr/>
        <w:t>Participants</w:t>
      </w:r>
      <w:r>
        <w:rPr>
          <w:spacing w:val="-3"/>
        </w:rPr>
        <w:t> </w:t>
      </w:r>
      <w:r>
        <w:rPr/>
        <w:t>receive</w:t>
      </w:r>
      <w:r>
        <w:rPr>
          <w:spacing w:val="-2"/>
        </w:rPr>
        <w:t> </w:t>
      </w:r>
      <w:r>
        <w:rPr/>
        <w:t>a Welcome Family bag with gifts and information to support parents and baby. In addition, participants receive a follow-up phone call to inquire about the outcome of the referrals made during the visit and assess the need for any additional referrals.</w:t>
      </w:r>
    </w:p>
    <w:p>
      <w:pPr>
        <w:pStyle w:val="BodyText"/>
        <w:spacing w:before="11"/>
        <w:rPr>
          <w:sz w:val="23"/>
        </w:rPr>
      </w:pPr>
    </w:p>
    <w:p>
      <w:pPr>
        <w:pStyle w:val="BodyText"/>
        <w:ind w:left="380" w:right="1059"/>
      </w:pPr>
      <w:r>
        <w:rPr/>
        <w:t>Marketing</w:t>
      </w:r>
      <w:r>
        <w:rPr>
          <w:spacing w:val="-3"/>
        </w:rPr>
        <w:t> </w:t>
      </w:r>
      <w:r>
        <w:rPr/>
        <w:t>and</w:t>
      </w:r>
      <w:r>
        <w:rPr>
          <w:spacing w:val="-2"/>
        </w:rPr>
        <w:t> </w:t>
      </w:r>
      <w:r>
        <w:rPr/>
        <w:t>outreach</w:t>
      </w:r>
      <w:r>
        <w:rPr>
          <w:spacing w:val="-4"/>
        </w:rPr>
        <w:t> </w:t>
      </w:r>
      <w:r>
        <w:rPr/>
        <w:t>activities</w:t>
      </w:r>
      <w:r>
        <w:rPr>
          <w:spacing w:val="-3"/>
        </w:rPr>
        <w:t> </w:t>
      </w:r>
      <w:r>
        <w:rPr/>
        <w:t>are</w:t>
      </w:r>
      <w:r>
        <w:rPr>
          <w:spacing w:val="-2"/>
        </w:rPr>
        <w:t> </w:t>
      </w:r>
      <w:r>
        <w:rPr/>
        <w:t>conducted</w:t>
      </w:r>
      <w:r>
        <w:rPr>
          <w:spacing w:val="-6"/>
        </w:rPr>
        <w:t> </w:t>
      </w:r>
      <w:r>
        <w:rPr/>
        <w:t>at</w:t>
      </w:r>
      <w:r>
        <w:rPr>
          <w:spacing w:val="-1"/>
        </w:rPr>
        <w:t> </w:t>
      </w:r>
      <w:r>
        <w:rPr/>
        <w:t>the</w:t>
      </w:r>
      <w:r>
        <w:rPr>
          <w:spacing w:val="-5"/>
        </w:rPr>
        <w:t> </w:t>
      </w:r>
      <w:r>
        <w:rPr/>
        <w:t>community</w:t>
      </w:r>
      <w:r>
        <w:rPr>
          <w:spacing w:val="-3"/>
        </w:rPr>
        <w:t> </w:t>
      </w:r>
      <w:r>
        <w:rPr/>
        <w:t>level</w:t>
      </w:r>
      <w:r>
        <w:rPr>
          <w:spacing w:val="-5"/>
        </w:rPr>
        <w:t> </w:t>
      </w:r>
      <w:r>
        <w:rPr/>
        <w:t>to</w:t>
      </w:r>
      <w:r>
        <w:rPr>
          <w:spacing w:val="-2"/>
        </w:rPr>
        <w:t> </w:t>
      </w:r>
      <w:r>
        <w:rPr/>
        <w:t>identify</w:t>
      </w:r>
      <w:r>
        <w:rPr>
          <w:spacing w:val="-3"/>
        </w:rPr>
        <w:t> </w:t>
      </w:r>
      <w:r>
        <w:rPr/>
        <w:t>and</w:t>
      </w:r>
      <w:r>
        <w:rPr>
          <w:spacing w:val="-4"/>
        </w:rPr>
        <w:t> </w:t>
      </w:r>
      <w:r>
        <w:rPr/>
        <w:t>recruit mothers with newborns. Relationships are fostered with potential referral sources in the community including birth hospitals, OB-GYNs, midwives, pediatricians, and WIC.</w:t>
      </w:r>
    </w:p>
    <w:p>
      <w:pPr>
        <w:pStyle w:val="BodyText"/>
      </w:pPr>
    </w:p>
    <w:p>
      <w:pPr>
        <w:pStyle w:val="BodyText"/>
        <w:ind w:left="380" w:right="1487"/>
      </w:pPr>
      <w:r>
        <w:rPr/>
        <w:t>Welcome</w:t>
      </w:r>
      <w:r>
        <w:rPr>
          <w:spacing w:val="-1"/>
        </w:rPr>
        <w:t> </w:t>
      </w:r>
      <w:r>
        <w:rPr/>
        <w:t>Family</w:t>
      </w:r>
      <w:r>
        <w:rPr>
          <w:spacing w:val="-5"/>
        </w:rPr>
        <w:t> </w:t>
      </w:r>
      <w:r>
        <w:rPr/>
        <w:t>is</w:t>
      </w:r>
      <w:r>
        <w:rPr>
          <w:spacing w:val="-2"/>
        </w:rPr>
        <w:t> </w:t>
      </w:r>
      <w:r>
        <w:rPr/>
        <w:t>available</w:t>
      </w:r>
      <w:r>
        <w:rPr>
          <w:spacing w:val="-4"/>
        </w:rPr>
        <w:t> </w:t>
      </w:r>
      <w:r>
        <w:rPr/>
        <w:t>to</w:t>
      </w:r>
      <w:r>
        <w:rPr>
          <w:spacing w:val="-3"/>
        </w:rPr>
        <w:t> </w:t>
      </w:r>
      <w:r>
        <w:rPr/>
        <w:t>families</w:t>
      </w:r>
      <w:r>
        <w:rPr>
          <w:spacing w:val="-4"/>
        </w:rPr>
        <w:t> </w:t>
      </w:r>
      <w:r>
        <w:rPr/>
        <w:t>living</w:t>
      </w:r>
      <w:r>
        <w:rPr>
          <w:spacing w:val="-4"/>
        </w:rPr>
        <w:t> </w:t>
      </w:r>
      <w:r>
        <w:rPr/>
        <w:t>or</w:t>
      </w:r>
      <w:r>
        <w:rPr>
          <w:spacing w:val="-1"/>
        </w:rPr>
        <w:t> </w:t>
      </w:r>
      <w:r>
        <w:rPr/>
        <w:t>giving</w:t>
      </w:r>
      <w:r>
        <w:rPr>
          <w:spacing w:val="-2"/>
        </w:rPr>
        <w:t> </w:t>
      </w:r>
      <w:r>
        <w:rPr/>
        <w:t>birth</w:t>
      </w:r>
      <w:r>
        <w:rPr>
          <w:spacing w:val="-3"/>
        </w:rPr>
        <w:t> </w:t>
      </w:r>
      <w:r>
        <w:rPr/>
        <w:t>in</w:t>
      </w:r>
      <w:r>
        <w:rPr>
          <w:spacing w:val="-3"/>
        </w:rPr>
        <w:t> </w:t>
      </w:r>
      <w:r>
        <w:rPr/>
        <w:t>five</w:t>
      </w:r>
      <w:r>
        <w:rPr>
          <w:spacing w:val="-3"/>
        </w:rPr>
        <w:t> </w:t>
      </w:r>
      <w:r>
        <w:rPr/>
        <w:t>communities:</w:t>
      </w:r>
      <w:r>
        <w:rPr>
          <w:spacing w:val="-3"/>
        </w:rPr>
        <w:t> </w:t>
      </w:r>
      <w:r>
        <w:rPr/>
        <w:t>Fall</w:t>
      </w:r>
      <w:r>
        <w:rPr>
          <w:spacing w:val="-2"/>
        </w:rPr>
        <w:t> </w:t>
      </w:r>
      <w:r>
        <w:rPr/>
        <w:t>River, Boston,</w:t>
      </w:r>
      <w:r>
        <w:rPr>
          <w:spacing w:val="-4"/>
        </w:rPr>
        <w:t> </w:t>
      </w:r>
      <w:r>
        <w:rPr/>
        <w:t>Lowell,</w:t>
      </w:r>
      <w:r>
        <w:rPr>
          <w:spacing w:val="-2"/>
        </w:rPr>
        <w:t> </w:t>
      </w:r>
      <w:r>
        <w:rPr/>
        <w:t>Holyoke,</w:t>
      </w:r>
      <w:r>
        <w:rPr>
          <w:spacing w:val="-4"/>
        </w:rPr>
        <w:t> </w:t>
      </w:r>
      <w:r>
        <w:rPr/>
        <w:t>and</w:t>
      </w:r>
      <w:r>
        <w:rPr>
          <w:spacing w:val="-1"/>
        </w:rPr>
        <w:t> </w:t>
      </w:r>
      <w:r>
        <w:rPr/>
        <w:t>Springfield.</w:t>
      </w:r>
      <w:r>
        <w:rPr>
          <w:spacing w:val="-3"/>
        </w:rPr>
        <w:t> </w:t>
      </w:r>
      <w:r>
        <w:rPr/>
        <w:t>During</w:t>
      </w:r>
      <w:r>
        <w:rPr>
          <w:spacing w:val="-4"/>
        </w:rPr>
        <w:t> </w:t>
      </w:r>
      <w:r>
        <w:rPr/>
        <w:t>2020,</w:t>
      </w:r>
      <w:r>
        <w:rPr>
          <w:spacing w:val="-5"/>
        </w:rPr>
        <w:t> </w:t>
      </w:r>
      <w:r>
        <w:rPr/>
        <w:t>1,837</w:t>
      </w:r>
      <w:r>
        <w:rPr>
          <w:spacing w:val="-2"/>
        </w:rPr>
        <w:t> </w:t>
      </w:r>
      <w:r>
        <w:rPr/>
        <w:t>PPD</w:t>
      </w:r>
      <w:r>
        <w:rPr>
          <w:spacing w:val="-3"/>
        </w:rPr>
        <w:t> </w:t>
      </w:r>
      <w:r>
        <w:rPr/>
        <w:t>depression</w:t>
      </w:r>
      <w:r>
        <w:rPr>
          <w:spacing w:val="-2"/>
        </w:rPr>
        <w:t> </w:t>
      </w:r>
      <w:r>
        <w:rPr/>
        <w:t>screens</w:t>
      </w:r>
      <w:r>
        <w:rPr>
          <w:spacing w:val="-4"/>
        </w:rPr>
        <w:t> were</w:t>
      </w:r>
    </w:p>
    <w:p>
      <w:pPr>
        <w:spacing w:after="0"/>
        <w:sectPr>
          <w:pgSz w:w="12240" w:h="15840"/>
          <w:pgMar w:header="0" w:footer="765" w:top="1400" w:bottom="960" w:left="1060" w:right="380"/>
        </w:sectPr>
      </w:pPr>
    </w:p>
    <w:p>
      <w:pPr>
        <w:pStyle w:val="BodyText"/>
        <w:spacing w:before="39"/>
        <w:ind w:left="380" w:right="1059"/>
      </w:pPr>
      <w:r>
        <w:rPr/>
        <w:t>offered</w:t>
      </w:r>
      <w:r>
        <w:rPr>
          <w:spacing w:val="-4"/>
        </w:rPr>
        <w:t> </w:t>
      </w:r>
      <w:r>
        <w:rPr/>
        <w:t>during</w:t>
      </w:r>
      <w:r>
        <w:rPr>
          <w:spacing w:val="-5"/>
        </w:rPr>
        <w:t> </w:t>
      </w:r>
      <w:r>
        <w:rPr/>
        <w:t>Welcome</w:t>
      </w:r>
      <w:r>
        <w:rPr>
          <w:spacing w:val="-7"/>
        </w:rPr>
        <w:t> </w:t>
      </w:r>
      <w:r>
        <w:rPr/>
        <w:t>Family</w:t>
      </w:r>
      <w:r>
        <w:rPr>
          <w:spacing w:val="-3"/>
        </w:rPr>
        <w:t> </w:t>
      </w:r>
      <w:r>
        <w:rPr/>
        <w:t>visits.</w:t>
      </w:r>
      <w:r>
        <w:rPr>
          <w:spacing w:val="-3"/>
        </w:rPr>
        <w:t> </w:t>
      </w:r>
      <w:r>
        <w:rPr/>
        <w:t>There</w:t>
      </w:r>
      <w:r>
        <w:rPr>
          <w:spacing w:val="-4"/>
        </w:rPr>
        <w:t> </w:t>
      </w:r>
      <w:r>
        <w:rPr/>
        <w:t>were</w:t>
      </w:r>
      <w:r>
        <w:rPr>
          <w:spacing w:val="-4"/>
        </w:rPr>
        <w:t> </w:t>
      </w:r>
      <w:r>
        <w:rPr/>
        <w:t>196</w:t>
      </w:r>
      <w:r>
        <w:rPr>
          <w:spacing w:val="-4"/>
        </w:rPr>
        <w:t> </w:t>
      </w:r>
      <w:r>
        <w:rPr/>
        <w:t>positive</w:t>
      </w:r>
      <w:r>
        <w:rPr>
          <w:spacing w:val="-4"/>
        </w:rPr>
        <w:t> </w:t>
      </w:r>
      <w:r>
        <w:rPr/>
        <w:t>PPD</w:t>
      </w:r>
      <w:r>
        <w:rPr>
          <w:spacing w:val="-1"/>
        </w:rPr>
        <w:t> </w:t>
      </w:r>
      <w:r>
        <w:rPr/>
        <w:t>screens,</w:t>
      </w:r>
      <w:r>
        <w:rPr>
          <w:spacing w:val="-2"/>
        </w:rPr>
        <w:t> </w:t>
      </w:r>
      <w:r>
        <w:rPr/>
        <w:t>of</w:t>
      </w:r>
      <w:r>
        <w:rPr>
          <w:spacing w:val="-4"/>
        </w:rPr>
        <w:t> </w:t>
      </w:r>
      <w:r>
        <w:rPr/>
        <w:t>which</w:t>
      </w:r>
      <w:r>
        <w:rPr>
          <w:spacing w:val="-1"/>
        </w:rPr>
        <w:t> </w:t>
      </w:r>
      <w:r>
        <w:rPr/>
        <w:t>142</w:t>
      </w:r>
      <w:r>
        <w:rPr>
          <w:spacing w:val="-2"/>
        </w:rPr>
        <w:t> </w:t>
      </w:r>
      <w:r>
        <w:rPr/>
        <w:t>(72%) received a referral to services.</w:t>
      </w:r>
      <w:r>
        <w:rPr>
          <w:spacing w:val="40"/>
        </w:rPr>
        <w:t> </w:t>
      </w:r>
      <w:r>
        <w:rPr/>
        <w:t>A family may decline a referral, or the nurse may not offer a referral if the family is already receiving services. Families who did not receive a referral received brief interventions by the Welcome Family nurse.</w:t>
      </w:r>
    </w:p>
    <w:p>
      <w:pPr>
        <w:pStyle w:val="BodyText"/>
        <w:spacing w:before="11"/>
        <w:rPr>
          <w:sz w:val="23"/>
        </w:rPr>
      </w:pPr>
    </w:p>
    <w:p>
      <w:pPr>
        <w:spacing w:line="240" w:lineRule="auto" w:before="1"/>
        <w:ind w:left="740" w:right="1487" w:firstLine="0"/>
        <w:jc w:val="left"/>
        <w:rPr>
          <w:i/>
          <w:sz w:val="24"/>
        </w:rPr>
      </w:pPr>
      <w:bookmarkStart w:name="“It is so hard and lonely those first fe" w:id="6"/>
      <w:bookmarkEnd w:id="6"/>
      <w:r>
        <w:rPr/>
      </w:r>
      <w:r>
        <w:rPr>
          <w:i/>
          <w:sz w:val="24"/>
        </w:rPr>
        <w:t>“It is so hard and lonely those first few weeks with a new baby and [the nurse] was so</w:t>
      </w:r>
      <w:r>
        <w:rPr>
          <w:i/>
          <w:sz w:val="24"/>
        </w:rPr>
        <w:t> supportive, helpful and genuinely cared for how I was doing, not just the baby. This was exactly</w:t>
      </w:r>
      <w:r>
        <w:rPr>
          <w:i/>
          <w:spacing w:val="-4"/>
          <w:sz w:val="24"/>
        </w:rPr>
        <w:t> </w:t>
      </w:r>
      <w:r>
        <w:rPr>
          <w:i/>
          <w:sz w:val="24"/>
        </w:rPr>
        <w:t>what</w:t>
      </w:r>
      <w:r>
        <w:rPr>
          <w:i/>
          <w:spacing w:val="-1"/>
          <w:sz w:val="24"/>
        </w:rPr>
        <w:t> </w:t>
      </w:r>
      <w:r>
        <w:rPr>
          <w:i/>
          <w:sz w:val="24"/>
        </w:rPr>
        <w:t>I</w:t>
      </w:r>
      <w:r>
        <w:rPr>
          <w:i/>
          <w:spacing w:val="-3"/>
          <w:sz w:val="24"/>
        </w:rPr>
        <w:t> </w:t>
      </w:r>
      <w:r>
        <w:rPr>
          <w:i/>
          <w:sz w:val="24"/>
        </w:rPr>
        <w:t>needed;</w:t>
      </w:r>
      <w:r>
        <w:rPr>
          <w:i/>
          <w:spacing w:val="-2"/>
          <w:sz w:val="24"/>
        </w:rPr>
        <w:t> </w:t>
      </w:r>
      <w:r>
        <w:rPr>
          <w:i/>
          <w:sz w:val="24"/>
        </w:rPr>
        <w:t>someone</w:t>
      </w:r>
      <w:r>
        <w:rPr>
          <w:i/>
          <w:spacing w:val="-2"/>
          <w:sz w:val="24"/>
        </w:rPr>
        <w:t> </w:t>
      </w:r>
      <w:r>
        <w:rPr>
          <w:i/>
          <w:sz w:val="24"/>
        </w:rPr>
        <w:t>to</w:t>
      </w:r>
      <w:r>
        <w:rPr>
          <w:i/>
          <w:spacing w:val="-3"/>
          <w:sz w:val="24"/>
        </w:rPr>
        <w:t> </w:t>
      </w:r>
      <w:r>
        <w:rPr>
          <w:i/>
          <w:sz w:val="24"/>
        </w:rPr>
        <w:t>talk</w:t>
      </w:r>
      <w:r>
        <w:rPr>
          <w:i/>
          <w:spacing w:val="-4"/>
          <w:sz w:val="24"/>
        </w:rPr>
        <w:t> </w:t>
      </w:r>
      <w:r>
        <w:rPr>
          <w:i/>
          <w:sz w:val="24"/>
        </w:rPr>
        <w:t>to,</w:t>
      </w:r>
      <w:r>
        <w:rPr>
          <w:i/>
          <w:spacing w:val="-5"/>
          <w:sz w:val="24"/>
        </w:rPr>
        <w:t> </w:t>
      </w:r>
      <w:r>
        <w:rPr>
          <w:i/>
          <w:sz w:val="24"/>
        </w:rPr>
        <w:t>with</w:t>
      </w:r>
      <w:r>
        <w:rPr>
          <w:i/>
          <w:spacing w:val="-6"/>
          <w:sz w:val="24"/>
        </w:rPr>
        <w:t> </w:t>
      </w:r>
      <w:r>
        <w:rPr>
          <w:i/>
          <w:sz w:val="24"/>
        </w:rPr>
        <w:t>experience</w:t>
      </w:r>
      <w:r>
        <w:rPr>
          <w:i/>
          <w:spacing w:val="-2"/>
          <w:sz w:val="24"/>
        </w:rPr>
        <w:t> </w:t>
      </w:r>
      <w:r>
        <w:rPr>
          <w:i/>
          <w:sz w:val="24"/>
        </w:rPr>
        <w:t>who</w:t>
      </w:r>
      <w:r>
        <w:rPr>
          <w:i/>
          <w:spacing w:val="-3"/>
          <w:sz w:val="24"/>
        </w:rPr>
        <w:t> </w:t>
      </w:r>
      <w:r>
        <w:rPr>
          <w:i/>
          <w:sz w:val="24"/>
        </w:rPr>
        <w:t>would</w:t>
      </w:r>
      <w:r>
        <w:rPr>
          <w:i/>
          <w:spacing w:val="-4"/>
          <w:sz w:val="24"/>
        </w:rPr>
        <w:t> </w:t>
      </w:r>
      <w:r>
        <w:rPr>
          <w:i/>
          <w:sz w:val="24"/>
        </w:rPr>
        <w:t>give</w:t>
      </w:r>
      <w:r>
        <w:rPr>
          <w:i/>
          <w:spacing w:val="-4"/>
          <w:sz w:val="24"/>
        </w:rPr>
        <w:t> </w:t>
      </w:r>
      <w:r>
        <w:rPr>
          <w:i/>
          <w:sz w:val="24"/>
        </w:rPr>
        <w:t>me</w:t>
      </w:r>
      <w:r>
        <w:rPr>
          <w:i/>
          <w:spacing w:val="-2"/>
          <w:sz w:val="24"/>
        </w:rPr>
        <w:t> </w:t>
      </w:r>
      <w:r>
        <w:rPr>
          <w:i/>
          <w:sz w:val="24"/>
        </w:rPr>
        <w:t>immense amounts of advice and tips to cope with a new baby.” – Welcome Family participant</w:t>
      </w:r>
    </w:p>
    <w:p>
      <w:pPr>
        <w:pStyle w:val="BodyText"/>
        <w:spacing w:before="1"/>
        <w:rPr>
          <w:i/>
        </w:rPr>
      </w:pPr>
    </w:p>
    <w:p>
      <w:pPr>
        <w:pStyle w:val="BodyText"/>
        <w:ind w:left="380" w:right="1059"/>
      </w:pPr>
      <w:r>
        <w:rPr/>
        <w:t>The Welcome Family Learning Collaborative is a forum for the five local agencies to plan and implement quality improvement projects and share best practices and lessons learned across programs. The Learning Collaborative typically has two in-person meetings per year, each of which is followed by a six-month action period during which the programs carry out “Plan, Do, Study,</w:t>
      </w:r>
      <w:r>
        <w:rPr>
          <w:spacing w:val="-4"/>
        </w:rPr>
        <w:t> </w:t>
      </w:r>
      <w:r>
        <w:rPr/>
        <w:t>Act”</w:t>
      </w:r>
      <w:r>
        <w:rPr>
          <w:spacing w:val="-4"/>
        </w:rPr>
        <w:t> </w:t>
      </w:r>
      <w:r>
        <w:rPr/>
        <w:t>cycles.</w:t>
      </w:r>
      <w:r>
        <w:rPr>
          <w:spacing w:val="-2"/>
        </w:rPr>
        <w:t> </w:t>
      </w:r>
      <w:r>
        <w:rPr/>
        <w:t>In</w:t>
      </w:r>
      <w:r>
        <w:rPr>
          <w:spacing w:val="-1"/>
        </w:rPr>
        <w:t> </w:t>
      </w:r>
      <w:r>
        <w:rPr/>
        <w:t>the</w:t>
      </w:r>
      <w:r>
        <w:rPr>
          <w:spacing w:val="-4"/>
        </w:rPr>
        <w:t> </w:t>
      </w:r>
      <w:r>
        <w:rPr/>
        <w:t>past,</w:t>
      </w:r>
      <w:r>
        <w:rPr>
          <w:spacing w:val="-4"/>
        </w:rPr>
        <w:t> </w:t>
      </w:r>
      <w:r>
        <w:rPr/>
        <w:t>improvement</w:t>
      </w:r>
      <w:r>
        <w:rPr>
          <w:spacing w:val="-3"/>
        </w:rPr>
        <w:t> </w:t>
      </w:r>
      <w:r>
        <w:rPr/>
        <w:t>projects</w:t>
      </w:r>
      <w:r>
        <w:rPr>
          <w:spacing w:val="-2"/>
        </w:rPr>
        <w:t> </w:t>
      </w:r>
      <w:r>
        <w:rPr/>
        <w:t>have</w:t>
      </w:r>
      <w:r>
        <w:rPr>
          <w:spacing w:val="-3"/>
        </w:rPr>
        <w:t> </w:t>
      </w:r>
      <w:r>
        <w:rPr/>
        <w:t>focused</w:t>
      </w:r>
      <w:r>
        <w:rPr>
          <w:spacing w:val="-3"/>
        </w:rPr>
        <w:t> </w:t>
      </w:r>
      <w:r>
        <w:rPr/>
        <w:t>on</w:t>
      </w:r>
      <w:r>
        <w:rPr>
          <w:spacing w:val="-3"/>
        </w:rPr>
        <w:t> </w:t>
      </w:r>
      <w:r>
        <w:rPr/>
        <w:t>topics</w:t>
      </w:r>
      <w:r>
        <w:rPr>
          <w:spacing w:val="-2"/>
        </w:rPr>
        <w:t> </w:t>
      </w:r>
      <w:r>
        <w:rPr/>
        <w:t>such</w:t>
      </w:r>
      <w:r>
        <w:rPr>
          <w:spacing w:val="-1"/>
        </w:rPr>
        <w:t> </w:t>
      </w:r>
      <w:r>
        <w:rPr/>
        <w:t>as</w:t>
      </w:r>
      <w:r>
        <w:rPr>
          <w:spacing w:val="-2"/>
        </w:rPr>
        <w:t> </w:t>
      </w:r>
      <w:r>
        <w:rPr/>
        <w:t>increasing referrals to the program, reducing racial and ethnic inequities in home visit completion, and increasing domestic violence screening rates.</w:t>
      </w:r>
    </w:p>
    <w:p>
      <w:pPr>
        <w:pStyle w:val="BodyText"/>
        <w:spacing w:before="11"/>
        <w:rPr>
          <w:sz w:val="23"/>
        </w:rPr>
      </w:pPr>
    </w:p>
    <w:p>
      <w:pPr>
        <w:pStyle w:val="BodyText"/>
        <w:ind w:left="379" w:right="1059"/>
      </w:pPr>
      <w:r>
        <w:rPr/>
        <w:t>From</w:t>
      </w:r>
      <w:r>
        <w:rPr>
          <w:spacing w:val="-3"/>
        </w:rPr>
        <w:t> </w:t>
      </w:r>
      <w:r>
        <w:rPr/>
        <w:t>July-December</w:t>
      </w:r>
      <w:r>
        <w:rPr>
          <w:spacing w:val="-6"/>
        </w:rPr>
        <w:t> </w:t>
      </w:r>
      <w:r>
        <w:rPr/>
        <w:t>2020,</w:t>
      </w:r>
      <w:r>
        <w:rPr>
          <w:spacing w:val="-3"/>
        </w:rPr>
        <w:t> </w:t>
      </w:r>
      <w:r>
        <w:rPr/>
        <w:t>the</w:t>
      </w:r>
      <w:r>
        <w:rPr>
          <w:spacing w:val="-3"/>
        </w:rPr>
        <w:t> </w:t>
      </w:r>
      <w:r>
        <w:rPr/>
        <w:t>Learning</w:t>
      </w:r>
      <w:r>
        <w:rPr>
          <w:spacing w:val="-4"/>
        </w:rPr>
        <w:t> </w:t>
      </w:r>
      <w:r>
        <w:rPr/>
        <w:t>Collaborative</w:t>
      </w:r>
      <w:r>
        <w:rPr>
          <w:spacing w:val="-3"/>
        </w:rPr>
        <w:t> </w:t>
      </w:r>
      <w:r>
        <w:rPr/>
        <w:t>cycle</w:t>
      </w:r>
      <w:r>
        <w:rPr>
          <w:spacing w:val="-3"/>
        </w:rPr>
        <w:t> </w:t>
      </w:r>
      <w:r>
        <w:rPr/>
        <w:t>focused</w:t>
      </w:r>
      <w:r>
        <w:rPr>
          <w:spacing w:val="-5"/>
        </w:rPr>
        <w:t> </w:t>
      </w:r>
      <w:r>
        <w:rPr/>
        <w:t>on</w:t>
      </w:r>
      <w:r>
        <w:rPr>
          <w:spacing w:val="-5"/>
        </w:rPr>
        <w:t> </w:t>
      </w:r>
      <w:r>
        <w:rPr/>
        <w:t>depression</w:t>
      </w:r>
      <w:r>
        <w:rPr>
          <w:spacing w:val="-5"/>
        </w:rPr>
        <w:t> </w:t>
      </w:r>
      <w:r>
        <w:rPr/>
        <w:t>screening,</w:t>
      </w:r>
      <w:r>
        <w:rPr>
          <w:spacing w:val="-3"/>
        </w:rPr>
        <w:t> </w:t>
      </w:r>
      <w:r>
        <w:rPr/>
        <w:t>a topic</w:t>
      </w:r>
      <w:r>
        <w:rPr>
          <w:spacing w:val="-1"/>
        </w:rPr>
        <w:t> </w:t>
      </w:r>
      <w:r>
        <w:rPr/>
        <w:t>chosen</w:t>
      </w:r>
      <w:r>
        <w:rPr>
          <w:spacing w:val="-2"/>
        </w:rPr>
        <w:t> </w:t>
      </w:r>
      <w:r>
        <w:rPr/>
        <w:t>in</w:t>
      </w:r>
      <w:r>
        <w:rPr>
          <w:spacing w:val="-2"/>
        </w:rPr>
        <w:t> </w:t>
      </w:r>
      <w:r>
        <w:rPr/>
        <w:t>collaboration</w:t>
      </w:r>
      <w:r>
        <w:rPr>
          <w:spacing w:val="-2"/>
        </w:rPr>
        <w:t> </w:t>
      </w:r>
      <w:r>
        <w:rPr/>
        <w:t>between</w:t>
      </w:r>
      <w:r>
        <w:rPr>
          <w:spacing w:val="-2"/>
        </w:rPr>
        <w:t> </w:t>
      </w:r>
      <w:r>
        <w:rPr/>
        <w:t>DPH</w:t>
      </w:r>
      <w:r>
        <w:rPr>
          <w:spacing w:val="-1"/>
        </w:rPr>
        <w:t> </w:t>
      </w:r>
      <w:r>
        <w:rPr/>
        <w:t>and local program</w:t>
      </w:r>
      <w:r>
        <w:rPr>
          <w:spacing w:val="-3"/>
        </w:rPr>
        <w:t> </w:t>
      </w:r>
      <w:r>
        <w:rPr/>
        <w:t>staff,</w:t>
      </w:r>
      <w:r>
        <w:rPr>
          <w:spacing w:val="-3"/>
        </w:rPr>
        <w:t> </w:t>
      </w:r>
      <w:r>
        <w:rPr/>
        <w:t>due</w:t>
      </w:r>
      <w:r>
        <w:rPr>
          <w:spacing w:val="-2"/>
        </w:rPr>
        <w:t> </w:t>
      </w:r>
      <w:r>
        <w:rPr/>
        <w:t>to</w:t>
      </w:r>
      <w:r>
        <w:rPr>
          <w:spacing w:val="-2"/>
        </w:rPr>
        <w:t> </w:t>
      </w:r>
      <w:r>
        <w:rPr/>
        <w:t>the growing</w:t>
      </w:r>
      <w:r>
        <w:rPr>
          <w:spacing w:val="-3"/>
        </w:rPr>
        <w:t> </w:t>
      </w:r>
      <w:r>
        <w:rPr/>
        <w:t>mental health concerns and social isolation resulting from the COVID-19 pandemic. The Collaborative chose a quality improvement project focused on improving an existing process to be able to better identify mental health concerns and connect parents to services if needed.</w:t>
      </w:r>
    </w:p>
    <w:p>
      <w:pPr>
        <w:pStyle w:val="ListParagraph"/>
        <w:numPr>
          <w:ilvl w:val="0"/>
          <w:numId w:val="4"/>
        </w:numPr>
        <w:tabs>
          <w:tab w:pos="1099" w:val="left" w:leader="none"/>
          <w:tab w:pos="1100" w:val="left" w:leader="none"/>
        </w:tabs>
        <w:spacing w:line="240" w:lineRule="auto" w:before="1" w:after="0"/>
        <w:ind w:left="1100" w:right="1201" w:hanging="360"/>
        <w:jc w:val="left"/>
        <w:rPr>
          <w:sz w:val="24"/>
        </w:rPr>
      </w:pPr>
      <w:r>
        <w:rPr>
          <w:sz w:val="24"/>
        </w:rPr>
        <w:t>Specifically,</w:t>
      </w:r>
      <w:r>
        <w:rPr>
          <w:spacing w:val="-2"/>
          <w:sz w:val="24"/>
        </w:rPr>
        <w:t> </w:t>
      </w:r>
      <w:r>
        <w:rPr>
          <w:sz w:val="24"/>
        </w:rPr>
        <w:t>local</w:t>
      </w:r>
      <w:r>
        <w:rPr>
          <w:spacing w:val="-4"/>
          <w:sz w:val="24"/>
        </w:rPr>
        <w:t> </w:t>
      </w:r>
      <w:r>
        <w:rPr>
          <w:sz w:val="24"/>
        </w:rPr>
        <w:t>programs</w:t>
      </w:r>
      <w:r>
        <w:rPr>
          <w:spacing w:val="-3"/>
          <w:sz w:val="24"/>
        </w:rPr>
        <w:t> </w:t>
      </w:r>
      <w:r>
        <w:rPr>
          <w:sz w:val="24"/>
        </w:rPr>
        <w:t>tested</w:t>
      </w:r>
      <w:r>
        <w:rPr>
          <w:spacing w:val="-4"/>
          <w:sz w:val="24"/>
        </w:rPr>
        <w:t> </w:t>
      </w:r>
      <w:r>
        <w:rPr>
          <w:sz w:val="24"/>
        </w:rPr>
        <w:t>using</w:t>
      </w:r>
      <w:r>
        <w:rPr>
          <w:spacing w:val="-4"/>
          <w:sz w:val="24"/>
        </w:rPr>
        <w:t> </w:t>
      </w:r>
      <w:r>
        <w:rPr>
          <w:sz w:val="24"/>
        </w:rPr>
        <w:t>the</w:t>
      </w:r>
      <w:r>
        <w:rPr>
          <w:spacing w:val="-4"/>
          <w:sz w:val="24"/>
        </w:rPr>
        <w:t> </w:t>
      </w:r>
      <w:r>
        <w:rPr>
          <w:sz w:val="24"/>
        </w:rPr>
        <w:t>EPDS</w:t>
      </w:r>
      <w:r>
        <w:rPr>
          <w:spacing w:val="-3"/>
          <w:sz w:val="24"/>
        </w:rPr>
        <w:t> </w:t>
      </w:r>
      <w:r>
        <w:rPr>
          <w:sz w:val="24"/>
        </w:rPr>
        <w:t>for</w:t>
      </w:r>
      <w:r>
        <w:rPr>
          <w:spacing w:val="-4"/>
          <w:sz w:val="24"/>
        </w:rPr>
        <w:t> </w:t>
      </w:r>
      <w:r>
        <w:rPr>
          <w:sz w:val="24"/>
        </w:rPr>
        <w:t>caregivers</w:t>
      </w:r>
      <w:r>
        <w:rPr>
          <w:spacing w:val="-4"/>
          <w:sz w:val="24"/>
        </w:rPr>
        <w:t> </w:t>
      </w:r>
      <w:r>
        <w:rPr>
          <w:sz w:val="24"/>
        </w:rPr>
        <w:t>who</w:t>
      </w:r>
      <w:r>
        <w:rPr>
          <w:spacing w:val="-2"/>
          <w:sz w:val="24"/>
        </w:rPr>
        <w:t> </w:t>
      </w:r>
      <w:r>
        <w:rPr>
          <w:sz w:val="24"/>
        </w:rPr>
        <w:t>screen</w:t>
      </w:r>
      <w:r>
        <w:rPr>
          <w:spacing w:val="-4"/>
          <w:sz w:val="24"/>
        </w:rPr>
        <w:t> </w:t>
      </w:r>
      <w:r>
        <w:rPr>
          <w:sz w:val="24"/>
        </w:rPr>
        <w:t>positive</w:t>
      </w:r>
      <w:r>
        <w:rPr>
          <w:spacing w:val="-4"/>
          <w:sz w:val="24"/>
        </w:rPr>
        <w:t> </w:t>
      </w:r>
      <w:r>
        <w:rPr>
          <w:sz w:val="24"/>
        </w:rPr>
        <w:t>on the PHQ-2, the tool currently used in the Welcome Family program.</w:t>
      </w:r>
    </w:p>
    <w:p>
      <w:pPr>
        <w:pStyle w:val="ListParagraph"/>
        <w:numPr>
          <w:ilvl w:val="0"/>
          <w:numId w:val="4"/>
        </w:numPr>
        <w:tabs>
          <w:tab w:pos="1099" w:val="left" w:leader="none"/>
          <w:tab w:pos="1100" w:val="left" w:leader="none"/>
        </w:tabs>
        <w:spacing w:line="240" w:lineRule="auto" w:before="0" w:after="0"/>
        <w:ind w:left="1100" w:right="1506" w:hanging="360"/>
        <w:jc w:val="left"/>
        <w:rPr>
          <w:sz w:val="24"/>
        </w:rPr>
      </w:pPr>
      <w:r>
        <w:rPr>
          <w:sz w:val="24"/>
        </w:rPr>
        <w:t>For</w:t>
      </w:r>
      <w:r>
        <w:rPr>
          <w:spacing w:val="-2"/>
          <w:sz w:val="24"/>
        </w:rPr>
        <w:t> </w:t>
      </w:r>
      <w:r>
        <w:rPr>
          <w:sz w:val="24"/>
        </w:rPr>
        <w:t>this</w:t>
      </w:r>
      <w:r>
        <w:rPr>
          <w:spacing w:val="-5"/>
          <w:sz w:val="24"/>
        </w:rPr>
        <w:t> </w:t>
      </w:r>
      <w:r>
        <w:rPr>
          <w:sz w:val="24"/>
        </w:rPr>
        <w:t>project,</w:t>
      </w:r>
      <w:r>
        <w:rPr>
          <w:spacing w:val="-2"/>
          <w:sz w:val="24"/>
        </w:rPr>
        <w:t> </w:t>
      </w:r>
      <w:r>
        <w:rPr>
          <w:sz w:val="24"/>
        </w:rPr>
        <w:t>the</w:t>
      </w:r>
      <w:r>
        <w:rPr>
          <w:spacing w:val="-4"/>
          <w:sz w:val="24"/>
        </w:rPr>
        <w:t> </w:t>
      </w:r>
      <w:r>
        <w:rPr>
          <w:sz w:val="24"/>
        </w:rPr>
        <w:t>primary</w:t>
      </w:r>
      <w:r>
        <w:rPr>
          <w:spacing w:val="-3"/>
          <w:sz w:val="24"/>
        </w:rPr>
        <w:t> </w:t>
      </w:r>
      <w:r>
        <w:rPr>
          <w:sz w:val="24"/>
        </w:rPr>
        <w:t>measure</w:t>
      </w:r>
      <w:r>
        <w:rPr>
          <w:spacing w:val="-2"/>
          <w:sz w:val="24"/>
        </w:rPr>
        <w:t> </w:t>
      </w:r>
      <w:r>
        <w:rPr>
          <w:sz w:val="24"/>
        </w:rPr>
        <w:t>was</w:t>
      </w:r>
      <w:r>
        <w:rPr>
          <w:spacing w:val="-3"/>
          <w:sz w:val="24"/>
        </w:rPr>
        <w:t> </w:t>
      </w:r>
      <w:r>
        <w:rPr>
          <w:sz w:val="24"/>
        </w:rPr>
        <w:t>to</w:t>
      </w:r>
      <w:r>
        <w:rPr>
          <w:spacing w:val="-2"/>
          <w:sz w:val="24"/>
        </w:rPr>
        <w:t> </w:t>
      </w:r>
      <w:r>
        <w:rPr>
          <w:sz w:val="24"/>
        </w:rPr>
        <w:t>increase</w:t>
      </w:r>
      <w:r>
        <w:rPr>
          <w:spacing w:val="-2"/>
          <w:sz w:val="24"/>
        </w:rPr>
        <w:t> </w:t>
      </w:r>
      <w:r>
        <w:rPr>
          <w:sz w:val="24"/>
        </w:rPr>
        <w:t>the</w:t>
      </w:r>
      <w:r>
        <w:rPr>
          <w:spacing w:val="-4"/>
          <w:sz w:val="24"/>
        </w:rPr>
        <w:t> </w:t>
      </w:r>
      <w:r>
        <w:rPr>
          <w:sz w:val="24"/>
        </w:rPr>
        <w:t>number</w:t>
      </w:r>
      <w:r>
        <w:rPr>
          <w:spacing w:val="-5"/>
          <w:sz w:val="24"/>
        </w:rPr>
        <w:t> </w:t>
      </w:r>
      <w:r>
        <w:rPr>
          <w:sz w:val="24"/>
        </w:rPr>
        <w:t>of</w:t>
      </w:r>
      <w:r>
        <w:rPr>
          <w:spacing w:val="-4"/>
          <w:sz w:val="24"/>
        </w:rPr>
        <w:t> </w:t>
      </w:r>
      <w:r>
        <w:rPr>
          <w:sz w:val="24"/>
        </w:rPr>
        <w:t>caregivers</w:t>
      </w:r>
      <w:r>
        <w:rPr>
          <w:spacing w:val="-3"/>
          <w:sz w:val="24"/>
        </w:rPr>
        <w:t> </w:t>
      </w:r>
      <w:r>
        <w:rPr>
          <w:sz w:val="24"/>
        </w:rPr>
        <w:t>who pre-screen positive on the PHQ-2 who then receive additional EPDS screening.</w:t>
      </w:r>
    </w:p>
    <w:p>
      <w:pPr>
        <w:pStyle w:val="ListParagraph"/>
        <w:numPr>
          <w:ilvl w:val="0"/>
          <w:numId w:val="4"/>
        </w:numPr>
        <w:tabs>
          <w:tab w:pos="1099" w:val="left" w:leader="none"/>
          <w:tab w:pos="1100" w:val="left" w:leader="none"/>
        </w:tabs>
        <w:spacing w:line="240" w:lineRule="auto" w:before="0" w:after="0"/>
        <w:ind w:left="1100" w:right="1077" w:hanging="360"/>
        <w:jc w:val="left"/>
        <w:rPr>
          <w:sz w:val="24"/>
        </w:rPr>
      </w:pPr>
      <w:r>
        <w:rPr>
          <w:sz w:val="24"/>
        </w:rPr>
        <w:t>Local</w:t>
      </w:r>
      <w:r>
        <w:rPr>
          <w:spacing w:val="-2"/>
          <w:sz w:val="24"/>
        </w:rPr>
        <w:t> </w:t>
      </w:r>
      <w:r>
        <w:rPr>
          <w:sz w:val="24"/>
        </w:rPr>
        <w:t>implementing</w:t>
      </w:r>
      <w:r>
        <w:rPr>
          <w:spacing w:val="-5"/>
          <w:sz w:val="24"/>
        </w:rPr>
        <w:t> </w:t>
      </w:r>
      <w:r>
        <w:rPr>
          <w:sz w:val="24"/>
        </w:rPr>
        <w:t>agencies</w:t>
      </w:r>
      <w:r>
        <w:rPr>
          <w:spacing w:val="-3"/>
          <w:sz w:val="24"/>
        </w:rPr>
        <w:t> </w:t>
      </w:r>
      <w:r>
        <w:rPr>
          <w:sz w:val="24"/>
        </w:rPr>
        <w:t>tested</w:t>
      </w:r>
      <w:r>
        <w:rPr>
          <w:spacing w:val="-1"/>
          <w:sz w:val="24"/>
        </w:rPr>
        <w:t> </w:t>
      </w:r>
      <w:r>
        <w:rPr>
          <w:sz w:val="24"/>
        </w:rPr>
        <w:t>changes,</w:t>
      </w:r>
      <w:r>
        <w:rPr>
          <w:spacing w:val="-5"/>
          <w:sz w:val="24"/>
        </w:rPr>
        <w:t> </w:t>
      </w:r>
      <w:r>
        <w:rPr>
          <w:sz w:val="24"/>
        </w:rPr>
        <w:t>such</w:t>
      </w:r>
      <w:r>
        <w:rPr>
          <w:spacing w:val="-4"/>
          <w:sz w:val="24"/>
        </w:rPr>
        <w:t> </w:t>
      </w:r>
      <w:r>
        <w:rPr>
          <w:sz w:val="24"/>
        </w:rPr>
        <w:t>as</w:t>
      </w:r>
      <w:r>
        <w:rPr>
          <w:spacing w:val="-3"/>
          <w:sz w:val="24"/>
        </w:rPr>
        <w:t> </w:t>
      </w:r>
      <w:r>
        <w:rPr>
          <w:sz w:val="24"/>
        </w:rPr>
        <w:t>developing</w:t>
      </w:r>
      <w:r>
        <w:rPr>
          <w:spacing w:val="-3"/>
          <w:sz w:val="24"/>
        </w:rPr>
        <w:t> </w:t>
      </w:r>
      <w:r>
        <w:rPr>
          <w:sz w:val="24"/>
        </w:rPr>
        <w:t>scripts</w:t>
      </w:r>
      <w:r>
        <w:rPr>
          <w:spacing w:val="-5"/>
          <w:sz w:val="24"/>
        </w:rPr>
        <w:t> </w:t>
      </w:r>
      <w:r>
        <w:rPr>
          <w:sz w:val="24"/>
        </w:rPr>
        <w:t>to</w:t>
      </w:r>
      <w:r>
        <w:rPr>
          <w:spacing w:val="-2"/>
          <w:sz w:val="24"/>
        </w:rPr>
        <w:t> </w:t>
      </w:r>
      <w:r>
        <w:rPr>
          <w:sz w:val="24"/>
        </w:rPr>
        <w:t>introduce</w:t>
      </w:r>
      <w:r>
        <w:rPr>
          <w:spacing w:val="-4"/>
          <w:sz w:val="24"/>
        </w:rPr>
        <w:t> </w:t>
      </w:r>
      <w:r>
        <w:rPr>
          <w:sz w:val="24"/>
        </w:rPr>
        <w:t>the EPDS, reviewing the EPDS verbally and in writing, and offering the EPDS to all clients with a history of depression, regardless of PHQ-2 score.</w:t>
      </w:r>
    </w:p>
    <w:p>
      <w:pPr>
        <w:pStyle w:val="ListParagraph"/>
        <w:numPr>
          <w:ilvl w:val="0"/>
          <w:numId w:val="4"/>
        </w:numPr>
        <w:tabs>
          <w:tab w:pos="1099" w:val="left" w:leader="none"/>
          <w:tab w:pos="1100" w:val="left" w:leader="none"/>
        </w:tabs>
        <w:spacing w:line="240" w:lineRule="auto" w:before="0" w:after="0"/>
        <w:ind w:left="1100" w:right="1101" w:hanging="360"/>
        <w:jc w:val="left"/>
        <w:rPr>
          <w:sz w:val="24"/>
        </w:rPr>
      </w:pPr>
      <w:r>
        <w:rPr>
          <w:sz w:val="24"/>
        </w:rPr>
        <w:t>The</w:t>
      </w:r>
      <w:r>
        <w:rPr>
          <w:spacing w:val="-2"/>
          <w:sz w:val="24"/>
        </w:rPr>
        <w:t> </w:t>
      </w:r>
      <w:r>
        <w:rPr>
          <w:sz w:val="24"/>
        </w:rPr>
        <w:t>secondary</w:t>
      </w:r>
      <w:r>
        <w:rPr>
          <w:spacing w:val="-3"/>
          <w:sz w:val="24"/>
        </w:rPr>
        <w:t> </w:t>
      </w:r>
      <w:r>
        <w:rPr>
          <w:sz w:val="24"/>
        </w:rPr>
        <w:t>measure</w:t>
      </w:r>
      <w:r>
        <w:rPr>
          <w:spacing w:val="-4"/>
          <w:sz w:val="24"/>
        </w:rPr>
        <w:t> </w:t>
      </w:r>
      <w:r>
        <w:rPr>
          <w:sz w:val="24"/>
        </w:rPr>
        <w:t>was</w:t>
      </w:r>
      <w:r>
        <w:rPr>
          <w:spacing w:val="-3"/>
          <w:sz w:val="24"/>
        </w:rPr>
        <w:t> </w:t>
      </w:r>
      <w:r>
        <w:rPr>
          <w:sz w:val="24"/>
        </w:rPr>
        <w:t>increasing</w:t>
      </w:r>
      <w:r>
        <w:rPr>
          <w:spacing w:val="-3"/>
          <w:sz w:val="24"/>
        </w:rPr>
        <w:t> </w:t>
      </w:r>
      <w:r>
        <w:rPr>
          <w:sz w:val="24"/>
        </w:rPr>
        <w:t>referral</w:t>
      </w:r>
      <w:r>
        <w:rPr>
          <w:spacing w:val="-2"/>
          <w:sz w:val="24"/>
        </w:rPr>
        <w:t> </w:t>
      </w:r>
      <w:r>
        <w:rPr>
          <w:sz w:val="24"/>
        </w:rPr>
        <w:t>acceptance</w:t>
      </w:r>
      <w:r>
        <w:rPr>
          <w:spacing w:val="-4"/>
          <w:sz w:val="24"/>
        </w:rPr>
        <w:t> </w:t>
      </w:r>
      <w:r>
        <w:rPr>
          <w:sz w:val="24"/>
        </w:rPr>
        <w:t>to</w:t>
      </w:r>
      <w:r>
        <w:rPr>
          <w:spacing w:val="-4"/>
          <w:sz w:val="24"/>
        </w:rPr>
        <w:t> </w:t>
      </w:r>
      <w:r>
        <w:rPr>
          <w:sz w:val="24"/>
        </w:rPr>
        <w:t>mental</w:t>
      </w:r>
      <w:r>
        <w:rPr>
          <w:spacing w:val="-5"/>
          <w:sz w:val="24"/>
        </w:rPr>
        <w:t> </w:t>
      </w:r>
      <w:r>
        <w:rPr>
          <w:sz w:val="24"/>
        </w:rPr>
        <w:t>health</w:t>
      </w:r>
      <w:r>
        <w:rPr>
          <w:spacing w:val="-1"/>
          <w:sz w:val="24"/>
        </w:rPr>
        <w:t> </w:t>
      </w:r>
      <w:r>
        <w:rPr>
          <w:sz w:val="24"/>
        </w:rPr>
        <w:t>services</w:t>
      </w:r>
      <w:r>
        <w:rPr>
          <w:spacing w:val="-3"/>
          <w:sz w:val="24"/>
        </w:rPr>
        <w:t> </w:t>
      </w:r>
      <w:r>
        <w:rPr>
          <w:sz w:val="24"/>
        </w:rPr>
        <w:t>for caregivers for whom a concern is identified on the PHQ-2 or EPDS.</w:t>
      </w:r>
    </w:p>
    <w:p>
      <w:pPr>
        <w:pStyle w:val="ListParagraph"/>
        <w:numPr>
          <w:ilvl w:val="0"/>
          <w:numId w:val="4"/>
        </w:numPr>
        <w:tabs>
          <w:tab w:pos="1099" w:val="left" w:leader="none"/>
          <w:tab w:pos="1100" w:val="left" w:leader="none"/>
        </w:tabs>
        <w:spacing w:line="240" w:lineRule="auto" w:before="0" w:after="0"/>
        <w:ind w:left="1100" w:right="0" w:hanging="360"/>
        <w:jc w:val="left"/>
        <w:rPr>
          <w:sz w:val="24"/>
        </w:rPr>
      </w:pPr>
      <w:r>
        <w:rPr>
          <w:sz w:val="24"/>
        </w:rPr>
        <w:t>There</w:t>
      </w:r>
      <w:r>
        <w:rPr>
          <w:spacing w:val="-5"/>
          <w:sz w:val="24"/>
        </w:rPr>
        <w:t> </w:t>
      </w:r>
      <w:r>
        <w:rPr>
          <w:sz w:val="24"/>
        </w:rPr>
        <w:t>was</w:t>
      </w:r>
      <w:r>
        <w:rPr>
          <w:spacing w:val="-3"/>
          <w:sz w:val="24"/>
        </w:rPr>
        <w:t> </w:t>
      </w:r>
      <w:r>
        <w:rPr>
          <w:sz w:val="24"/>
        </w:rPr>
        <w:t>no</w:t>
      </w:r>
      <w:r>
        <w:rPr>
          <w:spacing w:val="-2"/>
          <w:sz w:val="24"/>
        </w:rPr>
        <w:t> </w:t>
      </w:r>
      <w:r>
        <w:rPr>
          <w:sz w:val="24"/>
        </w:rPr>
        <w:t>noted improvement</w:t>
      </w:r>
      <w:r>
        <w:rPr>
          <w:spacing w:val="1"/>
          <w:sz w:val="24"/>
        </w:rPr>
        <w:t> </w:t>
      </w:r>
      <w:r>
        <w:rPr>
          <w:sz w:val="24"/>
        </w:rPr>
        <w:t>on</w:t>
      </w:r>
      <w:r>
        <w:rPr>
          <w:spacing w:val="-2"/>
          <w:sz w:val="24"/>
        </w:rPr>
        <w:t> </w:t>
      </w:r>
      <w:r>
        <w:rPr>
          <w:sz w:val="24"/>
        </w:rPr>
        <w:t>this</w:t>
      </w:r>
      <w:r>
        <w:rPr>
          <w:spacing w:val="-3"/>
          <w:sz w:val="24"/>
        </w:rPr>
        <w:t> </w:t>
      </w:r>
      <w:r>
        <w:rPr>
          <w:sz w:val="24"/>
        </w:rPr>
        <w:t>measure following</w:t>
      </w:r>
      <w:r>
        <w:rPr>
          <w:spacing w:val="-3"/>
          <w:sz w:val="24"/>
        </w:rPr>
        <w:t> </w:t>
      </w:r>
      <w:r>
        <w:rPr>
          <w:sz w:val="24"/>
        </w:rPr>
        <w:t>the</w:t>
      </w:r>
      <w:r>
        <w:rPr>
          <w:spacing w:val="-2"/>
          <w:sz w:val="24"/>
        </w:rPr>
        <w:t> project.</w:t>
      </w:r>
    </w:p>
    <w:p>
      <w:pPr>
        <w:pStyle w:val="BodyText"/>
        <w:spacing w:before="12"/>
        <w:rPr>
          <w:sz w:val="23"/>
        </w:rPr>
      </w:pPr>
    </w:p>
    <w:p>
      <w:pPr>
        <w:pStyle w:val="BodyText"/>
        <w:ind w:left="380" w:right="1059"/>
      </w:pPr>
      <w:r>
        <w:rPr/>
        <w:t>Following</w:t>
      </w:r>
      <w:r>
        <w:rPr>
          <w:spacing w:val="-4"/>
        </w:rPr>
        <w:t> </w:t>
      </w:r>
      <w:r>
        <w:rPr/>
        <w:t>the</w:t>
      </w:r>
      <w:r>
        <w:rPr>
          <w:spacing w:val="-3"/>
        </w:rPr>
        <w:t> </w:t>
      </w:r>
      <w:r>
        <w:rPr/>
        <w:t>Learning</w:t>
      </w:r>
      <w:r>
        <w:rPr>
          <w:spacing w:val="-3"/>
        </w:rPr>
        <w:t> </w:t>
      </w:r>
      <w:r>
        <w:rPr/>
        <w:t>Collaborative</w:t>
      </w:r>
      <w:r>
        <w:rPr>
          <w:spacing w:val="-2"/>
        </w:rPr>
        <w:t> </w:t>
      </w:r>
      <w:r>
        <w:rPr/>
        <w:t>cycle,</w:t>
      </w:r>
      <w:r>
        <w:rPr>
          <w:spacing w:val="-4"/>
        </w:rPr>
        <w:t> </w:t>
      </w:r>
      <w:r>
        <w:rPr/>
        <w:t>the</w:t>
      </w:r>
      <w:r>
        <w:rPr>
          <w:spacing w:val="-3"/>
        </w:rPr>
        <w:t> </w:t>
      </w:r>
      <w:r>
        <w:rPr/>
        <w:t>local</w:t>
      </w:r>
      <w:r>
        <w:rPr>
          <w:spacing w:val="-2"/>
        </w:rPr>
        <w:t> </w:t>
      </w:r>
      <w:r>
        <w:rPr/>
        <w:t>programs</w:t>
      </w:r>
      <w:r>
        <w:rPr>
          <w:spacing w:val="-4"/>
        </w:rPr>
        <w:t> </w:t>
      </w:r>
      <w:r>
        <w:rPr/>
        <w:t>agreed</w:t>
      </w:r>
      <w:r>
        <w:rPr>
          <w:spacing w:val="-3"/>
        </w:rPr>
        <w:t> </w:t>
      </w:r>
      <w:r>
        <w:rPr/>
        <w:t>that</w:t>
      </w:r>
      <w:r>
        <w:rPr>
          <w:spacing w:val="-3"/>
        </w:rPr>
        <w:t> </w:t>
      </w:r>
      <w:r>
        <w:rPr/>
        <w:t>the</w:t>
      </w:r>
      <w:r>
        <w:rPr>
          <w:spacing w:val="-2"/>
        </w:rPr>
        <w:t> </w:t>
      </w:r>
      <w:r>
        <w:rPr/>
        <w:t>PHQ-2</w:t>
      </w:r>
      <w:r>
        <w:rPr>
          <w:spacing w:val="-3"/>
        </w:rPr>
        <w:t> </w:t>
      </w:r>
      <w:r>
        <w:rPr/>
        <w:t>screen</w:t>
      </w:r>
      <w:r>
        <w:rPr>
          <w:spacing w:val="-3"/>
        </w:rPr>
        <w:t> </w:t>
      </w:r>
      <w:r>
        <w:rPr/>
        <w:t>is just as effective in identifying symptoms of depression when coupled with the expertise from the</w:t>
      </w:r>
      <w:r>
        <w:rPr>
          <w:spacing w:val="-3"/>
        </w:rPr>
        <w:t> </w:t>
      </w:r>
      <w:r>
        <w:rPr/>
        <w:t>Welcome</w:t>
      </w:r>
      <w:r>
        <w:rPr>
          <w:spacing w:val="-3"/>
        </w:rPr>
        <w:t> </w:t>
      </w:r>
      <w:r>
        <w:rPr/>
        <w:t>Family</w:t>
      </w:r>
      <w:r>
        <w:rPr>
          <w:spacing w:val="-5"/>
        </w:rPr>
        <w:t> </w:t>
      </w:r>
      <w:r>
        <w:rPr/>
        <w:t>nurses.</w:t>
      </w:r>
      <w:r>
        <w:rPr>
          <w:spacing w:val="-2"/>
        </w:rPr>
        <w:t> </w:t>
      </w:r>
      <w:r>
        <w:rPr/>
        <w:t>Therefore,</w:t>
      </w:r>
      <w:r>
        <w:rPr>
          <w:spacing w:val="-1"/>
        </w:rPr>
        <w:t> </w:t>
      </w:r>
      <w:r>
        <w:rPr/>
        <w:t>it was</w:t>
      </w:r>
      <w:r>
        <w:rPr>
          <w:spacing w:val="-2"/>
        </w:rPr>
        <w:t> </w:t>
      </w:r>
      <w:r>
        <w:rPr/>
        <w:t>decided</w:t>
      </w:r>
      <w:r>
        <w:rPr>
          <w:spacing w:val="-3"/>
        </w:rPr>
        <w:t> </w:t>
      </w:r>
      <w:r>
        <w:rPr/>
        <w:t>not to</w:t>
      </w:r>
      <w:r>
        <w:rPr>
          <w:spacing w:val="-1"/>
        </w:rPr>
        <w:t> </w:t>
      </w:r>
      <w:r>
        <w:rPr/>
        <w:t>integrate</w:t>
      </w:r>
      <w:r>
        <w:rPr>
          <w:spacing w:val="-3"/>
        </w:rPr>
        <w:t> </w:t>
      </w:r>
      <w:r>
        <w:rPr/>
        <w:t>the</w:t>
      </w:r>
      <w:r>
        <w:rPr>
          <w:spacing w:val="-1"/>
        </w:rPr>
        <w:t> </w:t>
      </w:r>
      <w:r>
        <w:rPr/>
        <w:t>EPDS</w:t>
      </w:r>
      <w:r>
        <w:rPr>
          <w:spacing w:val="-1"/>
        </w:rPr>
        <w:t> </w:t>
      </w:r>
      <w:r>
        <w:rPr/>
        <w:t>into</w:t>
      </w:r>
      <w:r>
        <w:rPr>
          <w:spacing w:val="-3"/>
        </w:rPr>
        <w:t> </w:t>
      </w:r>
      <w:r>
        <w:rPr/>
        <w:t>standard program practice.</w:t>
      </w:r>
    </w:p>
    <w:p>
      <w:pPr>
        <w:pStyle w:val="BodyText"/>
      </w:pPr>
    </w:p>
    <w:p>
      <w:pPr>
        <w:pStyle w:val="BodyText"/>
        <w:spacing w:before="11"/>
        <w:rPr>
          <w:sz w:val="23"/>
        </w:rPr>
      </w:pPr>
    </w:p>
    <w:p>
      <w:pPr>
        <w:pStyle w:val="Heading2"/>
      </w:pPr>
      <w:bookmarkStart w:name="Pregnancy Risk Assessment Monitoring Sys" w:id="7"/>
      <w:bookmarkEnd w:id="7"/>
      <w:r>
        <w:rPr>
          <w:b w:val="0"/>
        </w:rPr>
      </w:r>
      <w:r>
        <w:rPr/>
        <w:t>Pregnancy</w:t>
      </w:r>
      <w:r>
        <w:rPr>
          <w:spacing w:val="-4"/>
        </w:rPr>
        <w:t> </w:t>
      </w:r>
      <w:r>
        <w:rPr/>
        <w:t>Risk</w:t>
      </w:r>
      <w:r>
        <w:rPr>
          <w:spacing w:val="-4"/>
        </w:rPr>
        <w:t> </w:t>
      </w:r>
      <w:r>
        <w:rPr/>
        <w:t>Assessment</w:t>
      </w:r>
      <w:r>
        <w:rPr>
          <w:spacing w:val="-2"/>
        </w:rPr>
        <w:t> </w:t>
      </w:r>
      <w:r>
        <w:rPr/>
        <w:t>Monitoring</w:t>
      </w:r>
      <w:r>
        <w:rPr>
          <w:spacing w:val="-5"/>
        </w:rPr>
        <w:t> </w:t>
      </w:r>
      <w:r>
        <w:rPr/>
        <w:t>System</w:t>
      </w:r>
      <w:r>
        <w:rPr>
          <w:spacing w:val="-3"/>
        </w:rPr>
        <w:t> </w:t>
      </w:r>
      <w:r>
        <w:rPr>
          <w:spacing w:val="-2"/>
        </w:rPr>
        <w:t>(PRAMS)</w:t>
      </w:r>
    </w:p>
    <w:p>
      <w:pPr>
        <w:pStyle w:val="BodyText"/>
        <w:rPr>
          <w:b/>
          <w:sz w:val="22"/>
        </w:rPr>
      </w:pPr>
    </w:p>
    <w:p>
      <w:pPr>
        <w:pStyle w:val="BodyText"/>
        <w:ind w:left="380" w:right="1487"/>
      </w:pPr>
      <w:r>
        <w:rPr/>
        <w:t>Since 2007, DPH has monitored the health of birthing parents and children in the Commonwealth</w:t>
      </w:r>
      <w:r>
        <w:rPr>
          <w:spacing w:val="-5"/>
        </w:rPr>
        <w:t> </w:t>
      </w:r>
      <w:r>
        <w:rPr/>
        <w:t>with</w:t>
      </w:r>
      <w:r>
        <w:rPr>
          <w:spacing w:val="-5"/>
        </w:rPr>
        <w:t> </w:t>
      </w:r>
      <w:r>
        <w:rPr/>
        <w:t>the</w:t>
      </w:r>
      <w:r>
        <w:rPr>
          <w:spacing w:val="-5"/>
        </w:rPr>
        <w:t> </w:t>
      </w:r>
      <w:hyperlink r:id="rId26">
        <w:r>
          <w:rPr>
            <w:color w:val="0000FF"/>
            <w:u w:val="single" w:color="0000FF"/>
          </w:rPr>
          <w:t>Massachusetts</w:t>
        </w:r>
        <w:r>
          <w:rPr>
            <w:color w:val="0000FF"/>
            <w:spacing w:val="-4"/>
            <w:u w:val="single" w:color="0000FF"/>
          </w:rPr>
          <w:t> </w:t>
        </w:r>
        <w:r>
          <w:rPr>
            <w:color w:val="0000FF"/>
            <w:u w:val="single" w:color="0000FF"/>
          </w:rPr>
          <w:t>Pregnancy</w:t>
        </w:r>
        <w:r>
          <w:rPr>
            <w:color w:val="0000FF"/>
            <w:spacing w:val="-4"/>
            <w:u w:val="single" w:color="0000FF"/>
          </w:rPr>
          <w:t> </w:t>
        </w:r>
        <w:r>
          <w:rPr>
            <w:color w:val="0000FF"/>
            <w:u w:val="single" w:color="0000FF"/>
          </w:rPr>
          <w:t>Risk</w:t>
        </w:r>
        <w:r>
          <w:rPr>
            <w:color w:val="0000FF"/>
            <w:spacing w:val="-5"/>
            <w:u w:val="single" w:color="0000FF"/>
          </w:rPr>
          <w:t> </w:t>
        </w:r>
        <w:r>
          <w:rPr>
            <w:color w:val="0000FF"/>
            <w:u w:val="single" w:color="0000FF"/>
          </w:rPr>
          <w:t>Assessment</w:t>
        </w:r>
        <w:r>
          <w:rPr>
            <w:color w:val="0000FF"/>
            <w:spacing w:val="-5"/>
            <w:u w:val="single" w:color="0000FF"/>
          </w:rPr>
          <w:t> </w:t>
        </w:r>
        <w:r>
          <w:rPr>
            <w:color w:val="0000FF"/>
            <w:u w:val="single" w:color="0000FF"/>
          </w:rPr>
          <w:t>Monitoring</w:t>
        </w:r>
        <w:r>
          <w:rPr>
            <w:color w:val="0000FF"/>
            <w:spacing w:val="-6"/>
            <w:u w:val="single" w:color="0000FF"/>
          </w:rPr>
          <w:t> </w:t>
        </w:r>
        <w:r>
          <w:rPr>
            <w:color w:val="0000FF"/>
            <w:u w:val="single" w:color="0000FF"/>
          </w:rPr>
          <w:t>System</w:t>
        </w:r>
      </w:hyperlink>
    </w:p>
    <w:p>
      <w:pPr>
        <w:spacing w:after="0"/>
        <w:sectPr>
          <w:pgSz w:w="12240" w:h="15840"/>
          <w:pgMar w:header="0" w:footer="765" w:top="1400" w:bottom="960" w:left="1060" w:right="380"/>
        </w:sectPr>
      </w:pPr>
    </w:p>
    <w:p>
      <w:pPr>
        <w:pStyle w:val="BodyText"/>
        <w:spacing w:before="39"/>
        <w:ind w:left="380" w:right="1059"/>
      </w:pPr>
      <w:hyperlink r:id="rId26">
        <w:r>
          <w:rPr>
            <w:color w:val="0000FF"/>
            <w:u w:val="single" w:color="0000FF"/>
          </w:rPr>
          <w:t>(PRAMS)</w:t>
        </w:r>
      </w:hyperlink>
      <w:r>
        <w:rPr/>
        <w:t>, an ongoing survey of new birthing parents. The survey asks a set of two questions related to the experience of postpartum depression. Based on the most recent data</w:t>
      </w:r>
      <w:r>
        <w:rPr>
          <w:spacing w:val="-1"/>
        </w:rPr>
        <w:t> </w:t>
      </w:r>
      <w:r>
        <w:rPr/>
        <w:t>available (2020,</w:t>
      </w:r>
      <w:r>
        <w:rPr>
          <w:spacing w:val="-5"/>
        </w:rPr>
        <w:t> </w:t>
      </w:r>
      <w:r>
        <w:rPr/>
        <w:t>N=1,369</w:t>
      </w:r>
      <w:r>
        <w:rPr>
          <w:spacing w:val="-4"/>
        </w:rPr>
        <w:t> </w:t>
      </w:r>
      <w:r>
        <w:rPr/>
        <w:t>survey</w:t>
      </w:r>
      <w:r>
        <w:rPr>
          <w:spacing w:val="-6"/>
        </w:rPr>
        <w:t> </w:t>
      </w:r>
      <w:r>
        <w:rPr/>
        <w:t>participants),</w:t>
      </w:r>
      <w:r>
        <w:rPr>
          <w:spacing w:val="-2"/>
        </w:rPr>
        <w:t> </w:t>
      </w:r>
      <w:r>
        <w:rPr/>
        <w:t>an</w:t>
      </w:r>
      <w:r>
        <w:rPr>
          <w:spacing w:val="-2"/>
        </w:rPr>
        <w:t> </w:t>
      </w:r>
      <w:r>
        <w:rPr/>
        <w:t>estimated</w:t>
      </w:r>
      <w:r>
        <w:rPr>
          <w:spacing w:val="-2"/>
        </w:rPr>
        <w:t> </w:t>
      </w:r>
      <w:r>
        <w:rPr/>
        <w:t>10.0%</w:t>
      </w:r>
      <w:r>
        <w:rPr>
          <w:spacing w:val="-4"/>
        </w:rPr>
        <w:t> </w:t>
      </w:r>
      <w:r>
        <w:rPr/>
        <w:t>of</w:t>
      </w:r>
      <w:r>
        <w:rPr>
          <w:spacing w:val="-4"/>
        </w:rPr>
        <w:t> </w:t>
      </w:r>
      <w:r>
        <w:rPr/>
        <w:t>birthing</w:t>
      </w:r>
      <w:r>
        <w:rPr>
          <w:spacing w:val="-3"/>
        </w:rPr>
        <w:t> </w:t>
      </w:r>
      <w:r>
        <w:rPr/>
        <w:t>parents</w:t>
      </w:r>
      <w:r>
        <w:rPr>
          <w:spacing w:val="-3"/>
        </w:rPr>
        <w:t> </w:t>
      </w:r>
      <w:r>
        <w:rPr/>
        <w:t>in</w:t>
      </w:r>
      <w:r>
        <w:rPr>
          <w:spacing w:val="-4"/>
        </w:rPr>
        <w:t> </w:t>
      </w:r>
      <w:r>
        <w:rPr/>
        <w:t>Massachusetts experience</w:t>
      </w:r>
      <w:r>
        <w:rPr>
          <w:spacing w:val="-2"/>
        </w:rPr>
        <w:t> </w:t>
      </w:r>
      <w:r>
        <w:rPr/>
        <w:t>PPD</w:t>
      </w:r>
      <w:r>
        <w:rPr>
          <w:spacing w:val="-1"/>
        </w:rPr>
        <w:t> </w:t>
      </w:r>
      <w:r>
        <w:rPr/>
        <w:t>symptoms</w:t>
      </w:r>
      <w:r>
        <w:rPr>
          <w:spacing w:val="-3"/>
        </w:rPr>
        <w:t> </w:t>
      </w:r>
      <w:r>
        <w:rPr/>
        <w:t>always</w:t>
      </w:r>
      <w:r>
        <w:rPr>
          <w:spacing w:val="-3"/>
        </w:rPr>
        <w:t> </w:t>
      </w:r>
      <w:r>
        <w:rPr/>
        <w:t>or</w:t>
      </w:r>
      <w:r>
        <w:rPr>
          <w:spacing w:val="-2"/>
        </w:rPr>
        <w:t> </w:t>
      </w:r>
      <w:r>
        <w:rPr/>
        <w:t>often,</w:t>
      </w:r>
      <w:r>
        <w:rPr>
          <w:spacing w:val="-5"/>
        </w:rPr>
        <w:t> </w:t>
      </w:r>
      <w:r>
        <w:rPr/>
        <w:t>25.6%</w:t>
      </w:r>
      <w:r>
        <w:rPr>
          <w:spacing w:val="-1"/>
        </w:rPr>
        <w:t> </w:t>
      </w:r>
      <w:r>
        <w:rPr/>
        <w:t>experience</w:t>
      </w:r>
      <w:r>
        <w:rPr>
          <w:spacing w:val="-4"/>
        </w:rPr>
        <w:t> </w:t>
      </w:r>
      <w:r>
        <w:rPr/>
        <w:t>PPD</w:t>
      </w:r>
      <w:r>
        <w:rPr>
          <w:spacing w:val="-1"/>
        </w:rPr>
        <w:t> </w:t>
      </w:r>
      <w:r>
        <w:rPr/>
        <w:t>symptoms</w:t>
      </w:r>
      <w:r>
        <w:rPr>
          <w:spacing w:val="-3"/>
        </w:rPr>
        <w:t> </w:t>
      </w:r>
      <w:r>
        <w:rPr/>
        <w:t>sometimes,</w:t>
      </w:r>
      <w:r>
        <w:rPr>
          <w:spacing w:val="-2"/>
        </w:rPr>
        <w:t> </w:t>
      </w:r>
      <w:r>
        <w:rPr/>
        <w:t>and 64.4% experience PPD symptoms rarely or never (Figure 2 in Appendix).</w:t>
      </w:r>
    </w:p>
    <w:p>
      <w:pPr>
        <w:pStyle w:val="BodyText"/>
        <w:spacing w:before="11"/>
        <w:rPr>
          <w:sz w:val="23"/>
        </w:rPr>
      </w:pPr>
    </w:p>
    <w:p>
      <w:pPr>
        <w:pStyle w:val="BodyText"/>
        <w:ind w:left="380" w:right="1108"/>
      </w:pPr>
      <w:r>
        <w:rPr/>
        <w:t>PRAMS data from 2020 suggest that some Massachusetts birthing parents are more likely to report experiencing PPD symptoms than others. Compared to White non-Hispanic birthing parents (7.2%), Black non-Hispanic birthing parents (16.3%) and Asian non-Hispanic birthing parents (20.0%) were more likely to experience PPD symptoms often or always. Similarly, higher</w:t>
      </w:r>
      <w:r>
        <w:rPr>
          <w:spacing w:val="-4"/>
        </w:rPr>
        <w:t> </w:t>
      </w:r>
      <w:r>
        <w:rPr/>
        <w:t>prevalence</w:t>
      </w:r>
      <w:r>
        <w:rPr>
          <w:spacing w:val="-3"/>
        </w:rPr>
        <w:t> </w:t>
      </w:r>
      <w:r>
        <w:rPr/>
        <w:t>of</w:t>
      </w:r>
      <w:r>
        <w:rPr>
          <w:spacing w:val="-3"/>
        </w:rPr>
        <w:t> </w:t>
      </w:r>
      <w:r>
        <w:rPr/>
        <w:t>PPD</w:t>
      </w:r>
      <w:r>
        <w:rPr>
          <w:spacing w:val="-3"/>
        </w:rPr>
        <w:t> </w:t>
      </w:r>
      <w:r>
        <w:rPr/>
        <w:t>symptoms</w:t>
      </w:r>
      <w:r>
        <w:rPr>
          <w:spacing w:val="-4"/>
        </w:rPr>
        <w:t> </w:t>
      </w:r>
      <w:r>
        <w:rPr/>
        <w:t>was</w:t>
      </w:r>
      <w:r>
        <w:rPr>
          <w:spacing w:val="-4"/>
        </w:rPr>
        <w:t> </w:t>
      </w:r>
      <w:r>
        <w:rPr/>
        <w:t>observed among</w:t>
      </w:r>
      <w:r>
        <w:rPr>
          <w:spacing w:val="-4"/>
        </w:rPr>
        <w:t> </w:t>
      </w:r>
      <w:r>
        <w:rPr/>
        <w:t>birthing</w:t>
      </w:r>
      <w:r>
        <w:rPr>
          <w:spacing w:val="-4"/>
        </w:rPr>
        <w:t> </w:t>
      </w:r>
      <w:r>
        <w:rPr/>
        <w:t>parents</w:t>
      </w:r>
      <w:r>
        <w:rPr>
          <w:spacing w:val="-2"/>
        </w:rPr>
        <w:t> </w:t>
      </w:r>
      <w:r>
        <w:rPr/>
        <w:t>with less</w:t>
      </w:r>
      <w:r>
        <w:rPr>
          <w:spacing w:val="-4"/>
        </w:rPr>
        <w:t> </w:t>
      </w:r>
      <w:r>
        <w:rPr/>
        <w:t>than</w:t>
      </w:r>
      <w:r>
        <w:rPr>
          <w:spacing w:val="-3"/>
        </w:rPr>
        <w:t> </w:t>
      </w:r>
      <w:r>
        <w:rPr/>
        <w:t>a</w:t>
      </w:r>
      <w:r>
        <w:rPr>
          <w:spacing w:val="-1"/>
        </w:rPr>
        <w:t> </w:t>
      </w:r>
      <w:r>
        <w:rPr/>
        <w:t>high school education</w:t>
      </w:r>
      <w:r>
        <w:rPr>
          <w:spacing w:val="-1"/>
        </w:rPr>
        <w:t> </w:t>
      </w:r>
      <w:r>
        <w:rPr/>
        <w:t>(16.0%) and</w:t>
      </w:r>
      <w:r>
        <w:rPr>
          <w:spacing w:val="-1"/>
        </w:rPr>
        <w:t> </w:t>
      </w:r>
      <w:r>
        <w:rPr/>
        <w:t>high</w:t>
      </w:r>
      <w:r>
        <w:rPr>
          <w:spacing w:val="-1"/>
        </w:rPr>
        <w:t> </w:t>
      </w:r>
      <w:r>
        <w:rPr/>
        <w:t>school</w:t>
      </w:r>
      <w:r>
        <w:rPr>
          <w:spacing w:val="-2"/>
        </w:rPr>
        <w:t> </w:t>
      </w:r>
      <w:r>
        <w:rPr/>
        <w:t>education (15.1%) compared to</w:t>
      </w:r>
      <w:r>
        <w:rPr>
          <w:spacing w:val="-1"/>
        </w:rPr>
        <w:t> </w:t>
      </w:r>
      <w:r>
        <w:rPr/>
        <w:t>birthing</w:t>
      </w:r>
      <w:r>
        <w:rPr>
          <w:spacing w:val="-2"/>
        </w:rPr>
        <w:t> </w:t>
      </w:r>
      <w:r>
        <w:rPr/>
        <w:t>parents</w:t>
      </w:r>
      <w:r>
        <w:rPr>
          <w:spacing w:val="-2"/>
        </w:rPr>
        <w:t> </w:t>
      </w:r>
      <w:r>
        <w:rPr/>
        <w:t>with a college</w:t>
      </w:r>
      <w:r>
        <w:rPr>
          <w:spacing w:val="-1"/>
        </w:rPr>
        <w:t> </w:t>
      </w:r>
      <w:r>
        <w:rPr/>
        <w:t>education (6.9%). Although higher</w:t>
      </w:r>
      <w:r>
        <w:rPr>
          <w:spacing w:val="-2"/>
        </w:rPr>
        <w:t> </w:t>
      </w:r>
      <w:r>
        <w:rPr/>
        <w:t>prevalence of</w:t>
      </w:r>
      <w:r>
        <w:rPr>
          <w:spacing w:val="-1"/>
        </w:rPr>
        <w:t> </w:t>
      </w:r>
      <w:r>
        <w:rPr/>
        <w:t>PPD</w:t>
      </w:r>
      <w:r>
        <w:rPr>
          <w:spacing w:val="-1"/>
        </w:rPr>
        <w:t> </w:t>
      </w:r>
      <w:r>
        <w:rPr/>
        <w:t>symptoms</w:t>
      </w:r>
      <w:r>
        <w:rPr>
          <w:spacing w:val="-2"/>
        </w:rPr>
        <w:t> </w:t>
      </w:r>
      <w:r>
        <w:rPr/>
        <w:t>was</w:t>
      </w:r>
      <w:r>
        <w:rPr>
          <w:spacing w:val="-2"/>
        </w:rPr>
        <w:t> </w:t>
      </w:r>
      <w:r>
        <w:rPr/>
        <w:t>observed among those who are not married (14.1%) compared to birthing parents who are married (8.2%), this difference was not statistically significant after adjusting for parental race/Hispanic ethnicity and education.</w:t>
      </w:r>
    </w:p>
    <w:p>
      <w:pPr>
        <w:pStyle w:val="BodyText"/>
        <w:spacing w:before="1"/>
      </w:pPr>
    </w:p>
    <w:p>
      <w:pPr>
        <w:pStyle w:val="BodyText"/>
        <w:ind w:left="380" w:right="1059"/>
      </w:pPr>
      <w:r>
        <w:rPr/>
        <w:t>The</w:t>
      </w:r>
      <w:r>
        <w:rPr>
          <w:spacing w:val="-3"/>
        </w:rPr>
        <w:t> </w:t>
      </w:r>
      <w:r>
        <w:rPr/>
        <w:t>2020</w:t>
      </w:r>
      <w:r>
        <w:rPr>
          <w:spacing w:val="-1"/>
        </w:rPr>
        <w:t> </w:t>
      </w:r>
      <w:r>
        <w:rPr/>
        <w:t>PRAMS</w:t>
      </w:r>
      <w:r>
        <w:rPr>
          <w:spacing w:val="-4"/>
        </w:rPr>
        <w:t> </w:t>
      </w:r>
      <w:r>
        <w:rPr/>
        <w:t>data</w:t>
      </w:r>
      <w:r>
        <w:rPr>
          <w:spacing w:val="-4"/>
        </w:rPr>
        <w:t> </w:t>
      </w:r>
      <w:r>
        <w:rPr/>
        <w:t>also</w:t>
      </w:r>
      <w:r>
        <w:rPr>
          <w:spacing w:val="-1"/>
        </w:rPr>
        <w:t> </w:t>
      </w:r>
      <w:r>
        <w:rPr/>
        <w:t>suggests</w:t>
      </w:r>
      <w:r>
        <w:rPr>
          <w:spacing w:val="-4"/>
        </w:rPr>
        <w:t> </w:t>
      </w:r>
      <w:r>
        <w:rPr/>
        <w:t>that</w:t>
      </w:r>
      <w:r>
        <w:rPr>
          <w:spacing w:val="-3"/>
        </w:rPr>
        <w:t> </w:t>
      </w:r>
      <w:r>
        <w:rPr/>
        <w:t>some</w:t>
      </w:r>
      <w:r>
        <w:rPr>
          <w:spacing w:val="-3"/>
        </w:rPr>
        <w:t> </w:t>
      </w:r>
      <w:r>
        <w:rPr/>
        <w:t>Massachusetts</w:t>
      </w:r>
      <w:r>
        <w:rPr>
          <w:spacing w:val="-2"/>
        </w:rPr>
        <w:t> </w:t>
      </w:r>
      <w:r>
        <w:rPr/>
        <w:t>birthing</w:t>
      </w:r>
      <w:r>
        <w:rPr>
          <w:spacing w:val="-4"/>
        </w:rPr>
        <w:t> </w:t>
      </w:r>
      <w:r>
        <w:rPr/>
        <w:t>parents</w:t>
      </w:r>
      <w:r>
        <w:rPr>
          <w:spacing w:val="-4"/>
        </w:rPr>
        <w:t> </w:t>
      </w:r>
      <w:r>
        <w:rPr/>
        <w:t>are</w:t>
      </w:r>
      <w:r>
        <w:rPr>
          <w:spacing w:val="-1"/>
        </w:rPr>
        <w:t> </w:t>
      </w:r>
      <w:r>
        <w:rPr/>
        <w:t>less</w:t>
      </w:r>
      <w:r>
        <w:rPr>
          <w:spacing w:val="-2"/>
        </w:rPr>
        <w:t> </w:t>
      </w:r>
      <w:r>
        <w:rPr/>
        <w:t>likely</w:t>
      </w:r>
      <w:r>
        <w:rPr>
          <w:spacing w:val="-2"/>
        </w:rPr>
        <w:t> </w:t>
      </w:r>
      <w:r>
        <w:rPr/>
        <w:t>to be screened for PPD during their postpartum visit. Overall, 84.2% of birthing parents reported that their health care providers asked if they were depressed (proxy for PPD screening).</w:t>
      </w:r>
    </w:p>
    <w:p>
      <w:pPr>
        <w:pStyle w:val="BodyText"/>
        <w:ind w:left="379" w:right="1129"/>
      </w:pPr>
      <w:r>
        <w:rPr/>
        <w:t>Compared</w:t>
      </w:r>
      <w:r>
        <w:rPr>
          <w:spacing w:val="-1"/>
        </w:rPr>
        <w:t> </w:t>
      </w:r>
      <w:r>
        <w:rPr/>
        <w:t>to White</w:t>
      </w:r>
      <w:r>
        <w:rPr>
          <w:spacing w:val="-1"/>
        </w:rPr>
        <w:t> </w:t>
      </w:r>
      <w:r>
        <w:rPr/>
        <w:t>non-Hispanic birthing</w:t>
      </w:r>
      <w:r>
        <w:rPr>
          <w:spacing w:val="-2"/>
        </w:rPr>
        <w:t> </w:t>
      </w:r>
      <w:r>
        <w:rPr/>
        <w:t>parents</w:t>
      </w:r>
      <w:r>
        <w:rPr>
          <w:spacing w:val="-2"/>
        </w:rPr>
        <w:t> </w:t>
      </w:r>
      <w:r>
        <w:rPr/>
        <w:t>(87.9%), Black</w:t>
      </w:r>
      <w:r>
        <w:rPr>
          <w:spacing w:val="-1"/>
        </w:rPr>
        <w:t> </w:t>
      </w:r>
      <w:r>
        <w:rPr/>
        <w:t>non-Hispanic birthing</w:t>
      </w:r>
      <w:r>
        <w:rPr>
          <w:spacing w:val="-2"/>
        </w:rPr>
        <w:t> </w:t>
      </w:r>
      <w:r>
        <w:rPr/>
        <w:t>parents (77.9%)</w:t>
      </w:r>
      <w:r>
        <w:rPr>
          <w:spacing w:val="-2"/>
        </w:rPr>
        <w:t> </w:t>
      </w:r>
      <w:r>
        <w:rPr/>
        <w:t>and</w:t>
      </w:r>
      <w:r>
        <w:rPr>
          <w:spacing w:val="-1"/>
        </w:rPr>
        <w:t> </w:t>
      </w:r>
      <w:r>
        <w:rPr/>
        <w:t>Hispanic</w:t>
      </w:r>
      <w:r>
        <w:rPr>
          <w:spacing w:val="-5"/>
        </w:rPr>
        <w:t> </w:t>
      </w:r>
      <w:r>
        <w:rPr/>
        <w:t>birthing</w:t>
      </w:r>
      <w:r>
        <w:rPr>
          <w:spacing w:val="-4"/>
        </w:rPr>
        <w:t> </w:t>
      </w:r>
      <w:r>
        <w:rPr/>
        <w:t>parents</w:t>
      </w:r>
      <w:r>
        <w:rPr>
          <w:spacing w:val="-2"/>
        </w:rPr>
        <w:t> </w:t>
      </w:r>
      <w:r>
        <w:rPr/>
        <w:t>(77.1%)</w:t>
      </w:r>
      <w:r>
        <w:rPr>
          <w:spacing w:val="-4"/>
        </w:rPr>
        <w:t> </w:t>
      </w:r>
      <w:r>
        <w:rPr/>
        <w:t>were</w:t>
      </w:r>
      <w:r>
        <w:rPr>
          <w:spacing w:val="-1"/>
        </w:rPr>
        <w:t> </w:t>
      </w:r>
      <w:r>
        <w:rPr/>
        <w:t>less</w:t>
      </w:r>
      <w:r>
        <w:rPr>
          <w:spacing w:val="-2"/>
        </w:rPr>
        <w:t> </w:t>
      </w:r>
      <w:r>
        <w:rPr/>
        <w:t>likely</w:t>
      </w:r>
      <w:r>
        <w:rPr>
          <w:spacing w:val="-5"/>
        </w:rPr>
        <w:t> </w:t>
      </w:r>
      <w:r>
        <w:rPr/>
        <w:t>to</w:t>
      </w:r>
      <w:r>
        <w:rPr>
          <w:spacing w:val="-3"/>
        </w:rPr>
        <w:t> </w:t>
      </w:r>
      <w:r>
        <w:rPr/>
        <w:t>be</w:t>
      </w:r>
      <w:r>
        <w:rPr>
          <w:spacing w:val="-1"/>
        </w:rPr>
        <w:t> </w:t>
      </w:r>
      <w:r>
        <w:rPr/>
        <w:t>screened</w:t>
      </w:r>
      <w:r>
        <w:rPr>
          <w:spacing w:val="-3"/>
        </w:rPr>
        <w:t> </w:t>
      </w:r>
      <w:r>
        <w:rPr/>
        <w:t>for</w:t>
      </w:r>
      <w:r>
        <w:rPr>
          <w:spacing w:val="-4"/>
        </w:rPr>
        <w:t> </w:t>
      </w:r>
      <w:r>
        <w:rPr/>
        <w:t>PPD.</w:t>
      </w:r>
      <w:r>
        <w:rPr>
          <w:spacing w:val="-5"/>
        </w:rPr>
        <w:t> </w:t>
      </w:r>
      <w:r>
        <w:rPr/>
        <w:t>Similarly, lower prevalence of PPD screening was observed among birthing parents with less than a high school</w:t>
      </w:r>
      <w:r>
        <w:rPr>
          <w:spacing w:val="-2"/>
        </w:rPr>
        <w:t> </w:t>
      </w:r>
      <w:r>
        <w:rPr/>
        <w:t>education</w:t>
      </w:r>
      <w:r>
        <w:rPr>
          <w:spacing w:val="-4"/>
        </w:rPr>
        <w:t> </w:t>
      </w:r>
      <w:r>
        <w:rPr/>
        <w:t>(74.4%)</w:t>
      </w:r>
      <w:r>
        <w:rPr>
          <w:spacing w:val="-3"/>
        </w:rPr>
        <w:t> </w:t>
      </w:r>
      <w:r>
        <w:rPr/>
        <w:t>and</w:t>
      </w:r>
      <w:r>
        <w:rPr>
          <w:spacing w:val="-4"/>
        </w:rPr>
        <w:t> </w:t>
      </w:r>
      <w:r>
        <w:rPr/>
        <w:t>high</w:t>
      </w:r>
      <w:r>
        <w:rPr>
          <w:spacing w:val="-4"/>
        </w:rPr>
        <w:t> </w:t>
      </w:r>
      <w:r>
        <w:rPr/>
        <w:t>school</w:t>
      </w:r>
      <w:r>
        <w:rPr>
          <w:spacing w:val="-5"/>
        </w:rPr>
        <w:t> </w:t>
      </w:r>
      <w:r>
        <w:rPr/>
        <w:t>education</w:t>
      </w:r>
      <w:r>
        <w:rPr>
          <w:spacing w:val="-2"/>
        </w:rPr>
        <w:t> </w:t>
      </w:r>
      <w:r>
        <w:rPr/>
        <w:t>(73.3%)</w:t>
      </w:r>
      <w:r>
        <w:rPr>
          <w:spacing w:val="-3"/>
        </w:rPr>
        <w:t> </w:t>
      </w:r>
      <w:r>
        <w:rPr/>
        <w:t>compared</w:t>
      </w:r>
      <w:r>
        <w:rPr>
          <w:spacing w:val="-2"/>
        </w:rPr>
        <w:t> </w:t>
      </w:r>
      <w:r>
        <w:rPr/>
        <w:t>to</w:t>
      </w:r>
      <w:r>
        <w:rPr>
          <w:spacing w:val="-4"/>
        </w:rPr>
        <w:t> </w:t>
      </w:r>
      <w:r>
        <w:rPr/>
        <w:t>birthing</w:t>
      </w:r>
      <w:r>
        <w:rPr>
          <w:spacing w:val="-5"/>
        </w:rPr>
        <w:t> </w:t>
      </w:r>
      <w:r>
        <w:rPr/>
        <w:t>parents</w:t>
      </w:r>
      <w:r>
        <w:rPr>
          <w:spacing w:val="-5"/>
        </w:rPr>
        <w:t> </w:t>
      </w:r>
      <w:r>
        <w:rPr/>
        <w:t>with a college education (89.4%).</w:t>
      </w:r>
    </w:p>
    <w:p>
      <w:pPr>
        <w:pStyle w:val="BodyText"/>
        <w:spacing w:before="1"/>
      </w:pPr>
    </w:p>
    <w:p>
      <w:pPr>
        <w:pStyle w:val="Heading2"/>
        <w:ind w:left="379"/>
      </w:pPr>
      <w:r>
        <w:rPr/>
        <w:t>Additional</w:t>
      </w:r>
      <w:r>
        <w:rPr>
          <w:spacing w:val="-5"/>
        </w:rPr>
        <w:t> </w:t>
      </w:r>
      <w:r>
        <w:rPr>
          <w:spacing w:val="-2"/>
        </w:rPr>
        <w:t>Activities</w:t>
      </w:r>
    </w:p>
    <w:p>
      <w:pPr>
        <w:pStyle w:val="BodyText"/>
        <w:spacing w:before="11"/>
        <w:rPr>
          <w:b/>
          <w:sz w:val="23"/>
        </w:rPr>
      </w:pPr>
    </w:p>
    <w:p>
      <w:pPr>
        <w:pStyle w:val="BodyText"/>
        <w:spacing w:before="1"/>
        <w:ind w:left="379" w:right="1059"/>
      </w:pPr>
      <w:r>
        <w:rPr/>
        <w:t>In</w:t>
      </w:r>
      <w:r>
        <w:rPr>
          <w:spacing w:val="-1"/>
        </w:rPr>
        <w:t> </w:t>
      </w:r>
      <w:r>
        <w:rPr/>
        <w:t>CY20,</w:t>
      </w:r>
      <w:r>
        <w:rPr>
          <w:spacing w:val="-4"/>
        </w:rPr>
        <w:t> </w:t>
      </w:r>
      <w:r>
        <w:rPr/>
        <w:t>additional</w:t>
      </w:r>
      <w:r>
        <w:rPr>
          <w:spacing w:val="-4"/>
        </w:rPr>
        <w:t> </w:t>
      </w:r>
      <w:r>
        <w:rPr/>
        <w:t>activities</w:t>
      </w:r>
      <w:r>
        <w:rPr>
          <w:spacing w:val="-4"/>
        </w:rPr>
        <w:t> </w:t>
      </w:r>
      <w:r>
        <w:rPr/>
        <w:t>were</w:t>
      </w:r>
      <w:r>
        <w:rPr>
          <w:spacing w:val="-3"/>
        </w:rPr>
        <w:t> </w:t>
      </w:r>
      <w:r>
        <w:rPr/>
        <w:t>conducted,</w:t>
      </w:r>
      <w:r>
        <w:rPr>
          <w:spacing w:val="-2"/>
        </w:rPr>
        <w:t> </w:t>
      </w:r>
      <w:r>
        <w:rPr/>
        <w:t>and</w:t>
      </w:r>
      <w:r>
        <w:rPr>
          <w:spacing w:val="-2"/>
        </w:rPr>
        <w:t> </w:t>
      </w:r>
      <w:r>
        <w:rPr/>
        <w:t>products</w:t>
      </w:r>
      <w:r>
        <w:rPr>
          <w:spacing w:val="-4"/>
        </w:rPr>
        <w:t> </w:t>
      </w:r>
      <w:r>
        <w:rPr/>
        <w:t>were</w:t>
      </w:r>
      <w:r>
        <w:rPr>
          <w:spacing w:val="-3"/>
        </w:rPr>
        <w:t> </w:t>
      </w:r>
      <w:r>
        <w:rPr/>
        <w:t>developed</w:t>
      </w:r>
      <w:r>
        <w:rPr>
          <w:spacing w:val="-3"/>
        </w:rPr>
        <w:t> </w:t>
      </w:r>
      <w:r>
        <w:rPr/>
        <w:t>with</w:t>
      </w:r>
      <w:r>
        <w:rPr>
          <w:spacing w:val="-2"/>
        </w:rPr>
        <w:t> </w:t>
      </w:r>
      <w:r>
        <w:rPr/>
        <w:t>the</w:t>
      </w:r>
      <w:r>
        <w:rPr>
          <w:spacing w:val="-4"/>
        </w:rPr>
        <w:t> </w:t>
      </w:r>
      <w:r>
        <w:rPr/>
        <w:t>goal</w:t>
      </w:r>
      <w:r>
        <w:rPr>
          <w:spacing w:val="-4"/>
        </w:rPr>
        <w:t> </w:t>
      </w:r>
      <w:r>
        <w:rPr/>
        <w:t>of supporting health care providers and health plans, as DPH implements the PPD Legislation.</w:t>
      </w:r>
    </w:p>
    <w:p>
      <w:pPr>
        <w:pStyle w:val="BodyText"/>
        <w:spacing w:before="11"/>
        <w:rPr>
          <w:sz w:val="23"/>
        </w:rPr>
      </w:pPr>
    </w:p>
    <w:p>
      <w:pPr>
        <w:spacing w:before="0"/>
        <w:ind w:left="379" w:right="0" w:firstLine="0"/>
        <w:jc w:val="left"/>
        <w:rPr>
          <w:i/>
          <w:sz w:val="24"/>
        </w:rPr>
      </w:pPr>
      <w:r>
        <w:rPr>
          <w:i/>
          <w:sz w:val="24"/>
        </w:rPr>
        <w:t>Activities</w:t>
      </w:r>
      <w:r>
        <w:rPr>
          <w:i/>
          <w:spacing w:val="-1"/>
          <w:sz w:val="24"/>
        </w:rPr>
        <w:t> </w:t>
      </w:r>
      <w:r>
        <w:rPr>
          <w:i/>
          <w:spacing w:val="-2"/>
          <w:sz w:val="24"/>
        </w:rPr>
        <w:t>included:</w:t>
      </w:r>
    </w:p>
    <w:p>
      <w:pPr>
        <w:pStyle w:val="ListParagraph"/>
        <w:numPr>
          <w:ilvl w:val="0"/>
          <w:numId w:val="5"/>
        </w:numPr>
        <w:tabs>
          <w:tab w:pos="1100" w:val="left" w:leader="none"/>
        </w:tabs>
        <w:spacing w:line="240" w:lineRule="auto" w:before="120" w:after="0"/>
        <w:ind w:left="1099" w:right="1172" w:hanging="360"/>
        <w:jc w:val="left"/>
        <w:rPr>
          <w:sz w:val="24"/>
        </w:rPr>
      </w:pPr>
      <w:r>
        <w:rPr>
          <w:sz w:val="24"/>
        </w:rPr>
        <w:t>In partnership with the PPD Legislative Commission subcommittee focused on community</w:t>
      </w:r>
      <w:r>
        <w:rPr>
          <w:spacing w:val="-3"/>
          <w:sz w:val="24"/>
        </w:rPr>
        <w:t> </w:t>
      </w:r>
      <w:r>
        <w:rPr>
          <w:sz w:val="24"/>
        </w:rPr>
        <w:t>resources,</w:t>
      </w:r>
      <w:r>
        <w:rPr>
          <w:spacing w:val="-5"/>
          <w:sz w:val="24"/>
        </w:rPr>
        <w:t> </w:t>
      </w:r>
      <w:r>
        <w:rPr>
          <w:sz w:val="24"/>
        </w:rPr>
        <w:t>DPH</w:t>
      </w:r>
      <w:r>
        <w:rPr>
          <w:spacing w:val="-3"/>
          <w:sz w:val="24"/>
        </w:rPr>
        <w:t> </w:t>
      </w:r>
      <w:r>
        <w:rPr>
          <w:sz w:val="24"/>
        </w:rPr>
        <w:t>maintains</w:t>
      </w:r>
      <w:r>
        <w:rPr>
          <w:spacing w:val="-5"/>
          <w:sz w:val="24"/>
        </w:rPr>
        <w:t> </w:t>
      </w:r>
      <w:r>
        <w:rPr>
          <w:sz w:val="24"/>
        </w:rPr>
        <w:t>and</w:t>
      </w:r>
      <w:r>
        <w:rPr>
          <w:spacing w:val="-2"/>
          <w:sz w:val="24"/>
        </w:rPr>
        <w:t> </w:t>
      </w:r>
      <w:r>
        <w:rPr>
          <w:sz w:val="24"/>
        </w:rPr>
        <w:t>updates</w:t>
      </w:r>
      <w:r>
        <w:rPr>
          <w:spacing w:val="-3"/>
          <w:sz w:val="24"/>
        </w:rPr>
        <w:t> </w:t>
      </w:r>
      <w:r>
        <w:rPr>
          <w:sz w:val="24"/>
        </w:rPr>
        <w:t>the</w:t>
      </w:r>
      <w:r>
        <w:rPr>
          <w:spacing w:val="-4"/>
          <w:sz w:val="24"/>
        </w:rPr>
        <w:t> </w:t>
      </w:r>
      <w:r>
        <w:rPr>
          <w:sz w:val="24"/>
        </w:rPr>
        <w:t>web</w:t>
      </w:r>
      <w:r>
        <w:rPr>
          <w:spacing w:val="-3"/>
          <w:sz w:val="24"/>
        </w:rPr>
        <w:t> </w:t>
      </w:r>
      <w:hyperlink r:id="rId14">
        <w:r>
          <w:rPr>
            <w:color w:val="0000FF"/>
            <w:sz w:val="24"/>
            <w:u w:val="single" w:color="0000FF"/>
          </w:rPr>
          <w:t>page</w:t>
        </w:r>
        <w:r>
          <w:rPr>
            <w:color w:val="0000FF"/>
            <w:spacing w:val="-4"/>
            <w:sz w:val="24"/>
            <w:u w:val="single" w:color="0000FF"/>
          </w:rPr>
          <w:t> </w:t>
        </w:r>
        <w:r>
          <w:rPr>
            <w:color w:val="0000FF"/>
            <w:sz w:val="24"/>
            <w:u w:val="single" w:color="0000FF"/>
          </w:rPr>
          <w:t>dedicated</w:t>
        </w:r>
        <w:r>
          <w:rPr>
            <w:color w:val="0000FF"/>
            <w:spacing w:val="-2"/>
            <w:sz w:val="24"/>
            <w:u w:val="single" w:color="0000FF"/>
          </w:rPr>
          <w:t> </w:t>
        </w:r>
        <w:r>
          <w:rPr>
            <w:color w:val="0000FF"/>
            <w:sz w:val="24"/>
            <w:u w:val="single" w:color="0000FF"/>
          </w:rPr>
          <w:t>to</w:t>
        </w:r>
        <w:r>
          <w:rPr>
            <w:color w:val="0000FF"/>
            <w:spacing w:val="-2"/>
            <w:sz w:val="24"/>
            <w:u w:val="single" w:color="0000FF"/>
          </w:rPr>
          <w:t> </w:t>
        </w:r>
        <w:r>
          <w:rPr>
            <w:color w:val="0000FF"/>
            <w:sz w:val="24"/>
            <w:u w:val="single" w:color="0000FF"/>
          </w:rPr>
          <w:t>PPD</w:t>
        </w:r>
      </w:hyperlink>
      <w:r>
        <w:rPr>
          <w:color w:val="0000FF"/>
          <w:spacing w:val="-3"/>
          <w:sz w:val="24"/>
        </w:rPr>
        <w:t> </w:t>
      </w:r>
      <w:r>
        <w:rPr>
          <w:sz w:val="24"/>
        </w:rPr>
        <w:t>with additional resources.</w:t>
      </w:r>
    </w:p>
    <w:p>
      <w:pPr>
        <w:pStyle w:val="ListParagraph"/>
        <w:numPr>
          <w:ilvl w:val="0"/>
          <w:numId w:val="5"/>
        </w:numPr>
        <w:tabs>
          <w:tab w:pos="1100" w:val="left" w:leader="none"/>
        </w:tabs>
        <w:spacing w:line="242" w:lineRule="auto" w:before="120" w:after="0"/>
        <w:ind w:left="1100" w:right="1527" w:hanging="360"/>
        <w:jc w:val="left"/>
        <w:rPr>
          <w:sz w:val="24"/>
        </w:rPr>
      </w:pPr>
      <w:r>
        <w:rPr>
          <w:sz w:val="24"/>
        </w:rPr>
        <w:t>DPH continues to make available free to the public the brochure entitled “</w:t>
      </w:r>
      <w:hyperlink r:id="rId27">
        <w:r>
          <w:rPr>
            <w:color w:val="0000FF"/>
            <w:sz w:val="24"/>
            <w:u w:val="single" w:color="0000FF"/>
          </w:rPr>
          <w:t>Being A</w:t>
        </w:r>
      </w:hyperlink>
      <w:r>
        <w:rPr>
          <w:color w:val="0000FF"/>
          <w:sz w:val="24"/>
        </w:rPr>
        <w:t> </w:t>
      </w:r>
      <w:hyperlink r:id="rId27">
        <w:r>
          <w:rPr>
            <w:color w:val="0000FF"/>
            <w:sz w:val="24"/>
            <w:u w:val="single" w:color="0000FF"/>
          </w:rPr>
          <w:t>Mother</w:t>
        </w:r>
        <w:r>
          <w:rPr>
            <w:color w:val="0000FF"/>
            <w:spacing w:val="-2"/>
            <w:sz w:val="24"/>
            <w:u w:val="single" w:color="0000FF"/>
          </w:rPr>
          <w:t> </w:t>
        </w:r>
        <w:r>
          <w:rPr>
            <w:color w:val="0000FF"/>
            <w:sz w:val="24"/>
            <w:u w:val="single" w:color="0000FF"/>
          </w:rPr>
          <w:t>Is</w:t>
        </w:r>
        <w:r>
          <w:rPr>
            <w:color w:val="0000FF"/>
            <w:spacing w:val="-5"/>
            <w:sz w:val="24"/>
            <w:u w:val="single" w:color="0000FF"/>
          </w:rPr>
          <w:t> </w:t>
        </w:r>
        <w:r>
          <w:rPr>
            <w:color w:val="0000FF"/>
            <w:sz w:val="24"/>
            <w:u w:val="single" w:color="0000FF"/>
          </w:rPr>
          <w:t>A</w:t>
        </w:r>
        <w:r>
          <w:rPr>
            <w:color w:val="0000FF"/>
            <w:spacing w:val="-2"/>
            <w:sz w:val="24"/>
            <w:u w:val="single" w:color="0000FF"/>
          </w:rPr>
          <w:t> </w:t>
        </w:r>
        <w:r>
          <w:rPr>
            <w:color w:val="0000FF"/>
            <w:sz w:val="24"/>
            <w:u w:val="single" w:color="0000FF"/>
          </w:rPr>
          <w:t>Hard</w:t>
        </w:r>
        <w:r>
          <w:rPr>
            <w:color w:val="0000FF"/>
            <w:spacing w:val="-4"/>
            <w:sz w:val="24"/>
            <w:u w:val="single" w:color="0000FF"/>
          </w:rPr>
          <w:t> </w:t>
        </w:r>
        <w:r>
          <w:rPr>
            <w:color w:val="0000FF"/>
            <w:sz w:val="24"/>
            <w:u w:val="single" w:color="0000FF"/>
          </w:rPr>
          <w:t>Job</w:t>
        </w:r>
      </w:hyperlink>
      <w:r>
        <w:rPr>
          <w:sz w:val="24"/>
        </w:rPr>
        <w:t>”</w:t>
      </w:r>
      <w:r>
        <w:rPr>
          <w:spacing w:val="-5"/>
          <w:sz w:val="24"/>
        </w:rPr>
        <w:t> </w:t>
      </w:r>
      <w:r>
        <w:rPr>
          <w:sz w:val="24"/>
        </w:rPr>
        <w:t>through</w:t>
      </w:r>
      <w:r>
        <w:rPr>
          <w:spacing w:val="-4"/>
          <w:sz w:val="24"/>
        </w:rPr>
        <w:t> </w:t>
      </w:r>
      <w:r>
        <w:rPr>
          <w:sz w:val="24"/>
        </w:rPr>
        <w:t>the</w:t>
      </w:r>
      <w:r>
        <w:rPr>
          <w:spacing w:val="-5"/>
          <w:sz w:val="24"/>
        </w:rPr>
        <w:t> </w:t>
      </w:r>
      <w:r>
        <w:rPr>
          <w:sz w:val="24"/>
        </w:rPr>
        <w:t>Massachusetts</w:t>
      </w:r>
      <w:r>
        <w:rPr>
          <w:spacing w:val="-5"/>
          <w:sz w:val="24"/>
        </w:rPr>
        <w:t> </w:t>
      </w:r>
      <w:r>
        <w:rPr>
          <w:sz w:val="24"/>
        </w:rPr>
        <w:t>Health</w:t>
      </w:r>
      <w:r>
        <w:rPr>
          <w:spacing w:val="-4"/>
          <w:sz w:val="24"/>
        </w:rPr>
        <w:t> </w:t>
      </w:r>
      <w:r>
        <w:rPr>
          <w:sz w:val="24"/>
        </w:rPr>
        <w:t>Promotion</w:t>
      </w:r>
      <w:r>
        <w:rPr>
          <w:spacing w:val="-4"/>
          <w:sz w:val="24"/>
        </w:rPr>
        <w:t> </w:t>
      </w:r>
      <w:r>
        <w:rPr>
          <w:sz w:val="24"/>
        </w:rPr>
        <w:t>Clearinghouse.</w:t>
      </w:r>
    </w:p>
    <w:p>
      <w:pPr>
        <w:pStyle w:val="ListParagraph"/>
        <w:numPr>
          <w:ilvl w:val="0"/>
          <w:numId w:val="5"/>
        </w:numPr>
        <w:tabs>
          <w:tab w:pos="1100" w:val="left" w:leader="none"/>
        </w:tabs>
        <w:spacing w:line="240" w:lineRule="auto" w:before="116" w:after="0"/>
        <w:ind w:left="1100" w:right="1344" w:hanging="360"/>
        <w:jc w:val="left"/>
        <w:rPr>
          <w:sz w:val="24"/>
        </w:rPr>
      </w:pPr>
      <w:r>
        <w:rPr>
          <w:sz w:val="24"/>
        </w:rPr>
        <w:t>DPH</w:t>
      </w:r>
      <w:r>
        <w:rPr>
          <w:spacing w:val="-3"/>
          <w:sz w:val="24"/>
        </w:rPr>
        <w:t> </w:t>
      </w:r>
      <w:r>
        <w:rPr>
          <w:sz w:val="24"/>
        </w:rPr>
        <w:t>has</w:t>
      </w:r>
      <w:r>
        <w:rPr>
          <w:spacing w:val="-5"/>
          <w:sz w:val="24"/>
        </w:rPr>
        <w:t> </w:t>
      </w:r>
      <w:r>
        <w:rPr>
          <w:sz w:val="24"/>
        </w:rPr>
        <w:t>funded</w:t>
      </w:r>
      <w:r>
        <w:rPr>
          <w:spacing w:val="-4"/>
          <w:sz w:val="24"/>
        </w:rPr>
        <w:t> </w:t>
      </w:r>
      <w:r>
        <w:rPr>
          <w:sz w:val="24"/>
        </w:rPr>
        <w:t>Tufts</w:t>
      </w:r>
      <w:r>
        <w:rPr>
          <w:spacing w:val="-5"/>
          <w:sz w:val="24"/>
        </w:rPr>
        <w:t> </w:t>
      </w:r>
      <w:r>
        <w:rPr>
          <w:sz w:val="24"/>
        </w:rPr>
        <w:t>University</w:t>
      </w:r>
      <w:r>
        <w:rPr>
          <w:spacing w:val="-3"/>
          <w:sz w:val="24"/>
        </w:rPr>
        <w:t> </w:t>
      </w:r>
      <w:r>
        <w:rPr>
          <w:sz w:val="24"/>
        </w:rPr>
        <w:t>from</w:t>
      </w:r>
      <w:r>
        <w:rPr>
          <w:spacing w:val="-2"/>
          <w:sz w:val="24"/>
        </w:rPr>
        <w:t> </w:t>
      </w:r>
      <w:r>
        <w:rPr>
          <w:sz w:val="24"/>
        </w:rPr>
        <w:t>FY20-FY23</w:t>
      </w:r>
      <w:r>
        <w:rPr>
          <w:spacing w:val="-4"/>
          <w:sz w:val="24"/>
        </w:rPr>
        <w:t> </w:t>
      </w:r>
      <w:r>
        <w:rPr>
          <w:sz w:val="24"/>
        </w:rPr>
        <w:t>to</w:t>
      </w:r>
      <w:r>
        <w:rPr>
          <w:spacing w:val="-2"/>
          <w:sz w:val="24"/>
        </w:rPr>
        <w:t> </w:t>
      </w:r>
      <w:r>
        <w:rPr>
          <w:sz w:val="24"/>
        </w:rPr>
        <w:t>evaluate</w:t>
      </w:r>
      <w:r>
        <w:rPr>
          <w:spacing w:val="-4"/>
          <w:sz w:val="24"/>
        </w:rPr>
        <w:t> </w:t>
      </w:r>
      <w:r>
        <w:rPr>
          <w:sz w:val="24"/>
        </w:rPr>
        <w:t>the</w:t>
      </w:r>
      <w:r>
        <w:rPr>
          <w:spacing w:val="-2"/>
          <w:sz w:val="24"/>
        </w:rPr>
        <w:t> </w:t>
      </w:r>
      <w:r>
        <w:rPr>
          <w:sz w:val="24"/>
        </w:rPr>
        <w:t>effectiveness</w:t>
      </w:r>
      <w:r>
        <w:rPr>
          <w:spacing w:val="-3"/>
          <w:sz w:val="24"/>
        </w:rPr>
        <w:t> </w:t>
      </w:r>
      <w:r>
        <w:rPr>
          <w:sz w:val="24"/>
        </w:rPr>
        <w:t>of</w:t>
      </w:r>
      <w:r>
        <w:rPr>
          <w:spacing w:val="-4"/>
          <w:sz w:val="24"/>
        </w:rPr>
        <w:t> </w:t>
      </w:r>
      <w:r>
        <w:rPr>
          <w:sz w:val="24"/>
        </w:rPr>
        <w:t>EIPP with focus on PPD Screening and referral services.</w:t>
      </w:r>
    </w:p>
    <w:p>
      <w:pPr>
        <w:pStyle w:val="ListParagraph"/>
        <w:numPr>
          <w:ilvl w:val="0"/>
          <w:numId w:val="5"/>
        </w:numPr>
        <w:tabs>
          <w:tab w:pos="1100" w:val="left" w:leader="none"/>
        </w:tabs>
        <w:spacing w:line="240" w:lineRule="auto" w:before="120" w:after="0"/>
        <w:ind w:left="1100" w:right="1220" w:hanging="360"/>
        <w:jc w:val="left"/>
        <w:rPr>
          <w:sz w:val="24"/>
        </w:rPr>
      </w:pPr>
      <w:r>
        <w:rPr>
          <w:sz w:val="24"/>
        </w:rPr>
        <w:t>DPH</w:t>
      </w:r>
      <w:r>
        <w:rPr>
          <w:spacing w:val="-4"/>
          <w:sz w:val="24"/>
        </w:rPr>
        <w:t> </w:t>
      </w:r>
      <w:r>
        <w:rPr>
          <w:sz w:val="24"/>
        </w:rPr>
        <w:t>participated</w:t>
      </w:r>
      <w:r>
        <w:rPr>
          <w:spacing w:val="-3"/>
          <w:sz w:val="24"/>
        </w:rPr>
        <w:t> </w:t>
      </w:r>
      <w:r>
        <w:rPr>
          <w:sz w:val="24"/>
        </w:rPr>
        <w:t>in</w:t>
      </w:r>
      <w:r>
        <w:rPr>
          <w:spacing w:val="-3"/>
          <w:sz w:val="24"/>
        </w:rPr>
        <w:t> </w:t>
      </w:r>
      <w:r>
        <w:rPr>
          <w:sz w:val="24"/>
        </w:rPr>
        <w:t>the</w:t>
      </w:r>
      <w:r>
        <w:rPr>
          <w:spacing w:val="-6"/>
          <w:sz w:val="24"/>
        </w:rPr>
        <w:t> </w:t>
      </w:r>
      <w:r>
        <w:rPr>
          <w:sz w:val="24"/>
        </w:rPr>
        <w:t>quarterly</w:t>
      </w:r>
      <w:r>
        <w:rPr>
          <w:spacing w:val="-4"/>
          <w:sz w:val="24"/>
        </w:rPr>
        <w:t> </w:t>
      </w:r>
      <w:r>
        <w:rPr>
          <w:sz w:val="24"/>
        </w:rPr>
        <w:t>PPD</w:t>
      </w:r>
      <w:r>
        <w:rPr>
          <w:spacing w:val="-2"/>
          <w:sz w:val="24"/>
        </w:rPr>
        <w:t> </w:t>
      </w:r>
      <w:r>
        <w:rPr>
          <w:sz w:val="24"/>
        </w:rPr>
        <w:t>Legislative</w:t>
      </w:r>
      <w:r>
        <w:rPr>
          <w:spacing w:val="-5"/>
          <w:sz w:val="24"/>
        </w:rPr>
        <w:t> </w:t>
      </w:r>
      <w:r>
        <w:rPr>
          <w:sz w:val="24"/>
        </w:rPr>
        <w:t>Commission</w:t>
      </w:r>
      <w:r>
        <w:rPr>
          <w:spacing w:val="-5"/>
          <w:sz w:val="24"/>
        </w:rPr>
        <w:t> </w:t>
      </w:r>
      <w:r>
        <w:rPr>
          <w:sz w:val="24"/>
        </w:rPr>
        <w:t>Meetings</w:t>
      </w:r>
      <w:r>
        <w:rPr>
          <w:spacing w:val="-4"/>
          <w:sz w:val="24"/>
        </w:rPr>
        <w:t> </w:t>
      </w:r>
      <w:r>
        <w:rPr>
          <w:sz w:val="24"/>
        </w:rPr>
        <w:t>and</w:t>
      </w:r>
      <w:r>
        <w:rPr>
          <w:spacing w:val="-3"/>
          <w:sz w:val="24"/>
        </w:rPr>
        <w:t> </w:t>
      </w:r>
      <w:r>
        <w:rPr>
          <w:sz w:val="24"/>
        </w:rPr>
        <w:t>the</w:t>
      </w:r>
      <w:r>
        <w:rPr>
          <w:spacing w:val="-6"/>
          <w:sz w:val="24"/>
        </w:rPr>
        <w:t> </w:t>
      </w:r>
      <w:r>
        <w:rPr>
          <w:sz w:val="24"/>
        </w:rPr>
        <w:t>annual PPD Awareness Day event at the State House.</w:t>
      </w:r>
    </w:p>
    <w:p>
      <w:pPr>
        <w:spacing w:after="0" w:line="240" w:lineRule="auto"/>
        <w:jc w:val="left"/>
        <w:rPr>
          <w:sz w:val="24"/>
        </w:rPr>
        <w:sectPr>
          <w:pgSz w:w="12240" w:h="15840"/>
          <w:pgMar w:header="0" w:footer="765" w:top="1400" w:bottom="960" w:left="1060" w:right="380"/>
        </w:sectPr>
      </w:pPr>
    </w:p>
    <w:p>
      <w:pPr>
        <w:pStyle w:val="Heading1"/>
      </w:pPr>
      <w:bookmarkStart w:name="Conclusion" w:id="8"/>
      <w:bookmarkEnd w:id="8"/>
      <w:r>
        <w:rPr>
          <w:b w:val="0"/>
        </w:rPr>
      </w:r>
      <w:r>
        <w:rPr>
          <w:spacing w:val="-2"/>
        </w:rPr>
        <w:t>Conclusion</w:t>
      </w:r>
    </w:p>
    <w:p>
      <w:pPr>
        <w:pStyle w:val="BodyText"/>
        <w:spacing w:before="11"/>
        <w:rPr>
          <w:b/>
          <w:sz w:val="23"/>
        </w:rPr>
      </w:pPr>
    </w:p>
    <w:p>
      <w:pPr>
        <w:pStyle w:val="BodyText"/>
        <w:spacing w:line="242" w:lineRule="auto"/>
        <w:ind w:left="380" w:right="1059"/>
      </w:pPr>
      <w:r>
        <w:rPr/>
        <w:t>Postpartum</w:t>
      </w:r>
      <w:r>
        <w:rPr>
          <w:spacing w:val="-5"/>
        </w:rPr>
        <w:t> </w:t>
      </w:r>
      <w:r>
        <w:rPr/>
        <w:t>depression</w:t>
      </w:r>
      <w:r>
        <w:rPr>
          <w:spacing w:val="-4"/>
        </w:rPr>
        <w:t> </w:t>
      </w:r>
      <w:r>
        <w:rPr/>
        <w:t>has</w:t>
      </w:r>
      <w:r>
        <w:rPr>
          <w:spacing w:val="-3"/>
        </w:rPr>
        <w:t> </w:t>
      </w:r>
      <w:r>
        <w:rPr/>
        <w:t>significant</w:t>
      </w:r>
      <w:r>
        <w:rPr>
          <w:spacing w:val="-4"/>
        </w:rPr>
        <w:t> </w:t>
      </w:r>
      <w:r>
        <w:rPr/>
        <w:t>adverse</w:t>
      </w:r>
      <w:r>
        <w:rPr>
          <w:spacing w:val="-4"/>
        </w:rPr>
        <w:t> </w:t>
      </w:r>
      <w:r>
        <w:rPr/>
        <w:t>impacts</w:t>
      </w:r>
      <w:r>
        <w:rPr>
          <w:spacing w:val="-3"/>
        </w:rPr>
        <w:t> </w:t>
      </w:r>
      <w:r>
        <w:rPr/>
        <w:t>on</w:t>
      </w:r>
      <w:r>
        <w:rPr>
          <w:spacing w:val="-4"/>
        </w:rPr>
        <w:t> </w:t>
      </w:r>
      <w:r>
        <w:rPr/>
        <w:t>birthing</w:t>
      </w:r>
      <w:r>
        <w:rPr>
          <w:spacing w:val="-5"/>
        </w:rPr>
        <w:t> </w:t>
      </w:r>
      <w:r>
        <w:rPr/>
        <w:t>parents,</w:t>
      </w:r>
      <w:r>
        <w:rPr>
          <w:spacing w:val="-2"/>
        </w:rPr>
        <w:t> </w:t>
      </w:r>
      <w:r>
        <w:rPr/>
        <w:t>infants,</w:t>
      </w:r>
      <w:r>
        <w:rPr>
          <w:spacing w:val="-5"/>
        </w:rPr>
        <w:t> </w:t>
      </w:r>
      <w:r>
        <w:rPr/>
        <w:t>and</w:t>
      </w:r>
      <w:r>
        <w:rPr>
          <w:spacing w:val="-4"/>
        </w:rPr>
        <w:t> </w:t>
      </w:r>
      <w:r>
        <w:rPr/>
        <w:t>their families. Access to appropriate and quality treatment and support are essential.</w:t>
      </w:r>
    </w:p>
    <w:p>
      <w:pPr>
        <w:pStyle w:val="BodyText"/>
        <w:spacing w:before="8"/>
        <w:rPr>
          <w:sz w:val="23"/>
        </w:rPr>
      </w:pPr>
    </w:p>
    <w:p>
      <w:pPr>
        <w:pStyle w:val="BodyText"/>
        <w:ind w:left="379" w:right="1059"/>
      </w:pPr>
      <w:r>
        <w:rPr/>
        <w:t>Massachusetts is leading the way in innovative health policies to address postpartum depression. The Massachusetts Department of Public Health will continue to work diligently to improve</w:t>
      </w:r>
      <w:r>
        <w:rPr>
          <w:spacing w:val="-3"/>
        </w:rPr>
        <w:t> </w:t>
      </w:r>
      <w:r>
        <w:rPr/>
        <w:t>the</w:t>
      </w:r>
      <w:r>
        <w:rPr>
          <w:spacing w:val="-3"/>
        </w:rPr>
        <w:t> </w:t>
      </w:r>
      <w:r>
        <w:rPr/>
        <w:t>health and</w:t>
      </w:r>
      <w:r>
        <w:rPr>
          <w:spacing w:val="-5"/>
        </w:rPr>
        <w:t> </w:t>
      </w:r>
      <w:r>
        <w:rPr/>
        <w:t>wellbeing</w:t>
      </w:r>
      <w:r>
        <w:rPr>
          <w:spacing w:val="-4"/>
        </w:rPr>
        <w:t> </w:t>
      </w:r>
      <w:r>
        <w:rPr/>
        <w:t>of</w:t>
      </w:r>
      <w:r>
        <w:rPr>
          <w:spacing w:val="-3"/>
        </w:rPr>
        <w:t> </w:t>
      </w:r>
      <w:r>
        <w:rPr/>
        <w:t>all</w:t>
      </w:r>
      <w:r>
        <w:rPr>
          <w:spacing w:val="-4"/>
        </w:rPr>
        <w:t> </w:t>
      </w:r>
      <w:r>
        <w:rPr/>
        <w:t>birthing</w:t>
      </w:r>
      <w:r>
        <w:rPr>
          <w:spacing w:val="-7"/>
        </w:rPr>
        <w:t> </w:t>
      </w:r>
      <w:r>
        <w:rPr/>
        <w:t>parents</w:t>
      </w:r>
      <w:r>
        <w:rPr>
          <w:spacing w:val="-2"/>
        </w:rPr>
        <w:t> </w:t>
      </w:r>
      <w:r>
        <w:rPr/>
        <w:t>and</w:t>
      </w:r>
      <w:r>
        <w:rPr>
          <w:spacing w:val="-3"/>
        </w:rPr>
        <w:t> </w:t>
      </w:r>
      <w:r>
        <w:rPr/>
        <w:t>infants</w:t>
      </w:r>
      <w:r>
        <w:rPr>
          <w:spacing w:val="-2"/>
        </w:rPr>
        <w:t> </w:t>
      </w:r>
      <w:r>
        <w:rPr/>
        <w:t>across</w:t>
      </w:r>
      <w:r>
        <w:rPr>
          <w:spacing w:val="-2"/>
        </w:rPr>
        <w:t> </w:t>
      </w:r>
      <w:r>
        <w:rPr/>
        <w:t>the</w:t>
      </w:r>
      <w:r>
        <w:rPr>
          <w:spacing w:val="-4"/>
        </w:rPr>
        <w:t> </w:t>
      </w:r>
      <w:r>
        <w:rPr/>
        <w:t>Commonwealth, by prioritizing comprehensive PPD data collection and analysis, while also promoting early detection and treatment across health sectors.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8"/>
        </w:rPr>
      </w:pPr>
    </w:p>
    <w:p>
      <w:pPr>
        <w:pStyle w:val="Heading1"/>
        <w:spacing w:before="0"/>
      </w:pPr>
      <w:bookmarkStart w:name="References" w:id="9"/>
      <w:bookmarkEnd w:id="9"/>
      <w:r>
        <w:rPr>
          <w:b w:val="0"/>
        </w:rPr>
      </w:r>
      <w:r>
        <w:rPr>
          <w:spacing w:val="-2"/>
        </w:rPr>
        <w:t>References</w:t>
      </w:r>
    </w:p>
    <w:p>
      <w:pPr>
        <w:pStyle w:val="BodyText"/>
        <w:rPr>
          <w:b/>
        </w:rPr>
      </w:pPr>
    </w:p>
    <w:p>
      <w:pPr>
        <w:pStyle w:val="ListParagraph"/>
        <w:numPr>
          <w:ilvl w:val="0"/>
          <w:numId w:val="6"/>
        </w:numPr>
        <w:tabs>
          <w:tab w:pos="741" w:val="left" w:leader="none"/>
        </w:tabs>
        <w:spacing w:line="240" w:lineRule="auto" w:before="0" w:after="0"/>
        <w:ind w:left="740" w:right="1547" w:hanging="361"/>
        <w:jc w:val="left"/>
        <w:rPr>
          <w:sz w:val="22"/>
        </w:rPr>
      </w:pPr>
      <w:r>
        <w:rPr>
          <w:sz w:val="22"/>
        </w:rPr>
        <w:t>Bauman, B.L., Ko, J.Y., Cox, S., D’Angelo, D.V., Warner, L., Folger, S., Tevendale, H.D., Coy, K.C., Harrison,</w:t>
      </w:r>
      <w:r>
        <w:rPr>
          <w:spacing w:val="-4"/>
          <w:sz w:val="22"/>
        </w:rPr>
        <w:t> </w:t>
      </w:r>
      <w:r>
        <w:rPr>
          <w:sz w:val="22"/>
        </w:rPr>
        <w:t>L.,</w:t>
      </w:r>
      <w:r>
        <w:rPr>
          <w:spacing w:val="-2"/>
          <w:sz w:val="22"/>
        </w:rPr>
        <w:t> </w:t>
      </w:r>
      <w:r>
        <w:rPr>
          <w:sz w:val="22"/>
        </w:rPr>
        <w:t>Barfield,</w:t>
      </w:r>
      <w:r>
        <w:rPr>
          <w:spacing w:val="-4"/>
          <w:sz w:val="22"/>
        </w:rPr>
        <w:t> </w:t>
      </w:r>
      <w:r>
        <w:rPr>
          <w:sz w:val="22"/>
        </w:rPr>
        <w:t>W.D.</w:t>
      </w:r>
      <w:r>
        <w:rPr>
          <w:spacing w:val="-7"/>
          <w:sz w:val="22"/>
        </w:rPr>
        <w:t> </w:t>
      </w:r>
      <w:r>
        <w:rPr>
          <w:sz w:val="22"/>
        </w:rPr>
        <w:t>(2020).</w:t>
      </w:r>
      <w:r>
        <w:rPr>
          <w:spacing w:val="-2"/>
          <w:sz w:val="22"/>
        </w:rPr>
        <w:t> </w:t>
      </w:r>
      <w:r>
        <w:rPr>
          <w:sz w:val="22"/>
        </w:rPr>
        <w:t>Vital</w:t>
      </w:r>
      <w:r>
        <w:rPr>
          <w:spacing w:val="-2"/>
          <w:sz w:val="22"/>
        </w:rPr>
        <w:t> </w:t>
      </w:r>
      <w:r>
        <w:rPr>
          <w:sz w:val="22"/>
        </w:rPr>
        <w:t>Signs</w:t>
      </w:r>
      <w:r>
        <w:rPr>
          <w:spacing w:val="-4"/>
          <w:sz w:val="22"/>
        </w:rPr>
        <w:t> </w:t>
      </w:r>
      <w:r>
        <w:rPr>
          <w:sz w:val="22"/>
        </w:rPr>
        <w:t>–</w:t>
      </w:r>
      <w:r>
        <w:rPr>
          <w:spacing w:val="-1"/>
          <w:sz w:val="22"/>
        </w:rPr>
        <w:t> </w:t>
      </w:r>
      <w:r>
        <w:rPr>
          <w:sz w:val="22"/>
        </w:rPr>
        <w:t>Postpartum</w:t>
      </w:r>
      <w:r>
        <w:rPr>
          <w:spacing w:val="-3"/>
          <w:sz w:val="22"/>
        </w:rPr>
        <w:t> </w:t>
      </w:r>
      <w:r>
        <w:rPr>
          <w:sz w:val="22"/>
        </w:rPr>
        <w:t>Depression</w:t>
      </w:r>
      <w:r>
        <w:rPr>
          <w:spacing w:val="-3"/>
          <w:sz w:val="22"/>
        </w:rPr>
        <w:t> </w:t>
      </w:r>
      <w:r>
        <w:rPr>
          <w:sz w:val="22"/>
        </w:rPr>
        <w:t>Symptoms</w:t>
      </w:r>
      <w:r>
        <w:rPr>
          <w:spacing w:val="-2"/>
          <w:sz w:val="22"/>
        </w:rPr>
        <w:t> </w:t>
      </w:r>
      <w:r>
        <w:rPr>
          <w:sz w:val="22"/>
        </w:rPr>
        <w:t>and</w:t>
      </w:r>
      <w:r>
        <w:rPr>
          <w:spacing w:val="-3"/>
          <w:sz w:val="22"/>
        </w:rPr>
        <w:t> </w:t>
      </w:r>
      <w:r>
        <w:rPr>
          <w:sz w:val="22"/>
        </w:rPr>
        <w:t>Provider Discussions about Perinatal Depression. </w:t>
      </w:r>
      <w:r>
        <w:rPr>
          <w:i/>
          <w:sz w:val="22"/>
        </w:rPr>
        <w:t>MMWR Morb Mortal Wkly Rep</w:t>
      </w:r>
      <w:r>
        <w:rPr>
          <w:sz w:val="22"/>
        </w:rPr>
        <w:t>; 69: 575–581.</w:t>
      </w:r>
    </w:p>
    <w:p>
      <w:pPr>
        <w:pStyle w:val="ListParagraph"/>
        <w:numPr>
          <w:ilvl w:val="0"/>
          <w:numId w:val="6"/>
        </w:numPr>
        <w:tabs>
          <w:tab w:pos="741" w:val="left" w:leader="none"/>
        </w:tabs>
        <w:spacing w:line="240" w:lineRule="auto" w:before="119" w:after="0"/>
        <w:ind w:left="740" w:right="1087" w:hanging="360"/>
        <w:jc w:val="left"/>
        <w:rPr>
          <w:sz w:val="22"/>
        </w:rPr>
      </w:pPr>
      <w:r>
        <w:rPr>
          <w:sz w:val="22"/>
        </w:rPr>
        <w:t>Misri</w:t>
      </w:r>
      <w:r>
        <w:rPr>
          <w:spacing w:val="-1"/>
          <w:sz w:val="22"/>
        </w:rPr>
        <w:t> </w:t>
      </w:r>
      <w:r>
        <w:rPr>
          <w:sz w:val="22"/>
        </w:rPr>
        <w:t>S,</w:t>
      </w:r>
      <w:r>
        <w:rPr>
          <w:spacing w:val="-3"/>
          <w:sz w:val="22"/>
        </w:rPr>
        <w:t> </w:t>
      </w:r>
      <w:r>
        <w:rPr>
          <w:sz w:val="22"/>
        </w:rPr>
        <w:t>Reebye</w:t>
      </w:r>
      <w:r>
        <w:rPr>
          <w:spacing w:val="-3"/>
          <w:sz w:val="22"/>
        </w:rPr>
        <w:t> </w:t>
      </w:r>
      <w:r>
        <w:rPr>
          <w:sz w:val="22"/>
        </w:rPr>
        <w:t>P,</w:t>
      </w:r>
      <w:r>
        <w:rPr>
          <w:spacing w:val="-3"/>
          <w:sz w:val="22"/>
        </w:rPr>
        <w:t> </w:t>
      </w:r>
      <w:r>
        <w:rPr>
          <w:sz w:val="22"/>
        </w:rPr>
        <w:t>Kendrick</w:t>
      </w:r>
      <w:r>
        <w:rPr>
          <w:spacing w:val="-3"/>
          <w:sz w:val="22"/>
        </w:rPr>
        <w:t> </w:t>
      </w:r>
      <w:r>
        <w:rPr>
          <w:sz w:val="22"/>
        </w:rPr>
        <w:t>K,</w:t>
      </w:r>
      <w:r>
        <w:rPr>
          <w:spacing w:val="-1"/>
          <w:sz w:val="22"/>
        </w:rPr>
        <w:t> </w:t>
      </w:r>
      <w:r>
        <w:rPr>
          <w:sz w:val="22"/>
        </w:rPr>
        <w:t>et al.</w:t>
      </w:r>
      <w:r>
        <w:rPr>
          <w:spacing w:val="-1"/>
          <w:sz w:val="22"/>
        </w:rPr>
        <w:t> </w:t>
      </w:r>
      <w:r>
        <w:rPr>
          <w:sz w:val="22"/>
        </w:rPr>
        <w:t>Internalizing</w:t>
      </w:r>
      <w:r>
        <w:rPr>
          <w:spacing w:val="-2"/>
          <w:sz w:val="22"/>
        </w:rPr>
        <w:t> </w:t>
      </w:r>
      <w:r>
        <w:rPr>
          <w:sz w:val="22"/>
        </w:rPr>
        <w:t>behaviors</w:t>
      </w:r>
      <w:r>
        <w:rPr>
          <w:spacing w:val="-3"/>
          <w:sz w:val="22"/>
        </w:rPr>
        <w:t> </w:t>
      </w:r>
      <w:r>
        <w:rPr>
          <w:sz w:val="22"/>
        </w:rPr>
        <w:t>in</w:t>
      </w:r>
      <w:r>
        <w:rPr>
          <w:spacing w:val="-2"/>
          <w:sz w:val="22"/>
        </w:rPr>
        <w:t> </w:t>
      </w:r>
      <w:r>
        <w:rPr>
          <w:sz w:val="22"/>
        </w:rPr>
        <w:t>4-year-old</w:t>
      </w:r>
      <w:r>
        <w:rPr>
          <w:spacing w:val="-2"/>
          <w:sz w:val="22"/>
        </w:rPr>
        <w:t> </w:t>
      </w:r>
      <w:r>
        <w:rPr>
          <w:sz w:val="22"/>
        </w:rPr>
        <w:t>children</w:t>
      </w:r>
      <w:r>
        <w:rPr>
          <w:spacing w:val="-4"/>
          <w:sz w:val="22"/>
        </w:rPr>
        <w:t> </w:t>
      </w:r>
      <w:r>
        <w:rPr>
          <w:sz w:val="22"/>
        </w:rPr>
        <w:t>exposed</w:t>
      </w:r>
      <w:r>
        <w:rPr>
          <w:spacing w:val="-2"/>
          <w:sz w:val="22"/>
        </w:rPr>
        <w:t> </w:t>
      </w:r>
      <w:r>
        <w:rPr>
          <w:sz w:val="22"/>
        </w:rPr>
        <w:t>in</w:t>
      </w:r>
      <w:r>
        <w:rPr>
          <w:spacing w:val="-2"/>
          <w:sz w:val="22"/>
        </w:rPr>
        <w:t> </w:t>
      </w:r>
      <w:r>
        <w:rPr>
          <w:sz w:val="22"/>
        </w:rPr>
        <w:t>utero</w:t>
      </w:r>
      <w:r>
        <w:rPr>
          <w:spacing w:val="-2"/>
          <w:sz w:val="22"/>
        </w:rPr>
        <w:t> </w:t>
      </w:r>
      <w:r>
        <w:rPr>
          <w:sz w:val="22"/>
        </w:rPr>
        <w:t>to psychotropic medications. Am J Psychiatry 2006; 163(6): 1026–1032.</w:t>
      </w:r>
    </w:p>
    <w:p>
      <w:pPr>
        <w:spacing w:after="0" w:line="240" w:lineRule="auto"/>
        <w:jc w:val="left"/>
        <w:rPr>
          <w:sz w:val="22"/>
        </w:rPr>
        <w:sectPr>
          <w:pgSz w:w="12240" w:h="15840"/>
          <w:pgMar w:header="0" w:footer="765" w:top="1420" w:bottom="960" w:left="1060" w:right="380"/>
        </w:sectPr>
      </w:pPr>
    </w:p>
    <w:p>
      <w:pPr>
        <w:pStyle w:val="ListParagraph"/>
        <w:numPr>
          <w:ilvl w:val="0"/>
          <w:numId w:val="6"/>
        </w:numPr>
        <w:tabs>
          <w:tab w:pos="741" w:val="left" w:leader="none"/>
        </w:tabs>
        <w:spacing w:line="240" w:lineRule="auto" w:before="39" w:after="0"/>
        <w:ind w:left="740" w:right="1882" w:hanging="361"/>
        <w:jc w:val="both"/>
        <w:rPr>
          <w:sz w:val="22"/>
        </w:rPr>
      </w:pPr>
      <w:r>
        <w:rPr>
          <w:sz w:val="22"/>
        </w:rPr>
        <w:t>Carter AS,</w:t>
      </w:r>
      <w:r>
        <w:rPr>
          <w:spacing w:val="-1"/>
          <w:sz w:val="22"/>
        </w:rPr>
        <w:t> </w:t>
      </w:r>
      <w:r>
        <w:rPr>
          <w:sz w:val="22"/>
        </w:rPr>
        <w:t>Garrity-Rokous</w:t>
      </w:r>
      <w:r>
        <w:rPr>
          <w:spacing w:val="-1"/>
          <w:sz w:val="22"/>
        </w:rPr>
        <w:t> </w:t>
      </w:r>
      <w:r>
        <w:rPr>
          <w:sz w:val="22"/>
        </w:rPr>
        <w:t>FE, Chazan-Cohen</w:t>
      </w:r>
      <w:r>
        <w:rPr>
          <w:spacing w:val="-2"/>
          <w:sz w:val="22"/>
        </w:rPr>
        <w:t> </w:t>
      </w:r>
      <w:r>
        <w:rPr>
          <w:sz w:val="22"/>
        </w:rPr>
        <w:t>R, et al.</w:t>
      </w:r>
      <w:r>
        <w:rPr>
          <w:spacing w:val="-1"/>
          <w:sz w:val="22"/>
        </w:rPr>
        <w:t> </w:t>
      </w:r>
      <w:r>
        <w:rPr>
          <w:sz w:val="22"/>
        </w:rPr>
        <w:t>Maternal depression</w:t>
      </w:r>
      <w:r>
        <w:rPr>
          <w:spacing w:val="-2"/>
          <w:sz w:val="22"/>
        </w:rPr>
        <w:t> </w:t>
      </w:r>
      <w:r>
        <w:rPr>
          <w:sz w:val="22"/>
        </w:rPr>
        <w:t>and comorbidity: predicting</w:t>
      </w:r>
      <w:r>
        <w:rPr>
          <w:spacing w:val="-4"/>
          <w:sz w:val="22"/>
        </w:rPr>
        <w:t> </w:t>
      </w:r>
      <w:r>
        <w:rPr>
          <w:sz w:val="22"/>
        </w:rPr>
        <w:t>early</w:t>
      </w:r>
      <w:r>
        <w:rPr>
          <w:spacing w:val="-4"/>
          <w:sz w:val="22"/>
        </w:rPr>
        <w:t> </w:t>
      </w:r>
      <w:r>
        <w:rPr>
          <w:sz w:val="22"/>
        </w:rPr>
        <w:t>parenting,</w:t>
      </w:r>
      <w:r>
        <w:rPr>
          <w:spacing w:val="-5"/>
          <w:sz w:val="22"/>
        </w:rPr>
        <w:t> </w:t>
      </w:r>
      <w:r>
        <w:rPr>
          <w:sz w:val="22"/>
        </w:rPr>
        <w:t>attachment</w:t>
      </w:r>
      <w:r>
        <w:rPr>
          <w:spacing w:val="-5"/>
          <w:sz w:val="22"/>
        </w:rPr>
        <w:t> </w:t>
      </w:r>
      <w:r>
        <w:rPr>
          <w:sz w:val="22"/>
        </w:rPr>
        <w:t>security,</w:t>
      </w:r>
      <w:r>
        <w:rPr>
          <w:spacing w:val="-3"/>
          <w:sz w:val="22"/>
        </w:rPr>
        <w:t> </w:t>
      </w:r>
      <w:r>
        <w:rPr>
          <w:sz w:val="22"/>
        </w:rPr>
        <w:t>and</w:t>
      </w:r>
      <w:r>
        <w:rPr>
          <w:spacing w:val="-6"/>
          <w:sz w:val="22"/>
        </w:rPr>
        <w:t> </w:t>
      </w:r>
      <w:r>
        <w:rPr>
          <w:sz w:val="22"/>
        </w:rPr>
        <w:t>toddler</w:t>
      </w:r>
      <w:r>
        <w:rPr>
          <w:spacing w:val="-3"/>
          <w:sz w:val="22"/>
        </w:rPr>
        <w:t> </w:t>
      </w:r>
      <w:r>
        <w:rPr>
          <w:sz w:val="22"/>
        </w:rPr>
        <w:t>social-emotional</w:t>
      </w:r>
      <w:r>
        <w:rPr>
          <w:spacing w:val="-3"/>
          <w:sz w:val="22"/>
        </w:rPr>
        <w:t> </w:t>
      </w:r>
      <w:r>
        <w:rPr>
          <w:sz w:val="22"/>
        </w:rPr>
        <w:t>problems</w:t>
      </w:r>
      <w:r>
        <w:rPr>
          <w:spacing w:val="-3"/>
          <w:sz w:val="22"/>
        </w:rPr>
        <w:t> </w:t>
      </w:r>
      <w:r>
        <w:rPr>
          <w:sz w:val="22"/>
        </w:rPr>
        <w:t>and competencies. J Am Acad Child Adolesc Psychiatry 2001; 40(1): 18–26.</w:t>
      </w:r>
    </w:p>
    <w:p>
      <w:pPr>
        <w:pStyle w:val="ListParagraph"/>
        <w:numPr>
          <w:ilvl w:val="0"/>
          <w:numId w:val="6"/>
        </w:numPr>
        <w:tabs>
          <w:tab w:pos="740" w:val="left" w:leader="none"/>
        </w:tabs>
        <w:spacing w:line="240" w:lineRule="auto" w:before="121" w:after="0"/>
        <w:ind w:left="739" w:right="1374" w:hanging="361"/>
        <w:jc w:val="left"/>
        <w:rPr>
          <w:sz w:val="22"/>
        </w:rPr>
      </w:pPr>
      <w:r>
        <w:rPr>
          <w:sz w:val="22"/>
        </w:rPr>
        <w:t>Sohr-Preston</w:t>
      </w:r>
      <w:r>
        <w:rPr>
          <w:spacing w:val="-4"/>
          <w:sz w:val="22"/>
        </w:rPr>
        <w:t> </w:t>
      </w:r>
      <w:r>
        <w:rPr>
          <w:sz w:val="22"/>
        </w:rPr>
        <w:t>SL,</w:t>
      </w:r>
      <w:r>
        <w:rPr>
          <w:spacing w:val="-3"/>
          <w:sz w:val="22"/>
        </w:rPr>
        <w:t> </w:t>
      </w:r>
      <w:r>
        <w:rPr>
          <w:sz w:val="22"/>
        </w:rPr>
        <w:t>Scaramella</w:t>
      </w:r>
      <w:r>
        <w:rPr>
          <w:spacing w:val="-3"/>
          <w:sz w:val="22"/>
        </w:rPr>
        <w:t> </w:t>
      </w:r>
      <w:r>
        <w:rPr>
          <w:sz w:val="22"/>
        </w:rPr>
        <w:t>LV.</w:t>
      </w:r>
      <w:r>
        <w:rPr>
          <w:spacing w:val="-3"/>
          <w:sz w:val="22"/>
        </w:rPr>
        <w:t> </w:t>
      </w:r>
      <w:r>
        <w:rPr>
          <w:sz w:val="22"/>
        </w:rPr>
        <w:t>Implications</w:t>
      </w:r>
      <w:r>
        <w:rPr>
          <w:spacing w:val="-5"/>
          <w:sz w:val="22"/>
        </w:rPr>
        <w:t> </w:t>
      </w:r>
      <w:r>
        <w:rPr>
          <w:sz w:val="22"/>
        </w:rPr>
        <w:t>of</w:t>
      </w:r>
      <w:r>
        <w:rPr>
          <w:spacing w:val="-3"/>
          <w:sz w:val="22"/>
        </w:rPr>
        <w:t> </w:t>
      </w:r>
      <w:r>
        <w:rPr>
          <w:sz w:val="22"/>
        </w:rPr>
        <w:t>timing</w:t>
      </w:r>
      <w:r>
        <w:rPr>
          <w:spacing w:val="-4"/>
          <w:sz w:val="22"/>
        </w:rPr>
        <w:t> </w:t>
      </w:r>
      <w:r>
        <w:rPr>
          <w:sz w:val="22"/>
        </w:rPr>
        <w:t>of</w:t>
      </w:r>
      <w:r>
        <w:rPr>
          <w:spacing w:val="-6"/>
          <w:sz w:val="22"/>
        </w:rPr>
        <w:t> </w:t>
      </w:r>
      <w:r>
        <w:rPr>
          <w:sz w:val="22"/>
        </w:rPr>
        <w:t>maternal</w:t>
      </w:r>
      <w:r>
        <w:rPr>
          <w:spacing w:val="-3"/>
          <w:sz w:val="22"/>
        </w:rPr>
        <w:t> </w:t>
      </w:r>
      <w:r>
        <w:rPr>
          <w:sz w:val="22"/>
        </w:rPr>
        <w:t>depressive</w:t>
      </w:r>
      <w:r>
        <w:rPr>
          <w:spacing w:val="-2"/>
          <w:sz w:val="22"/>
        </w:rPr>
        <w:t> </w:t>
      </w:r>
      <w:r>
        <w:rPr>
          <w:sz w:val="22"/>
        </w:rPr>
        <w:t>symptoms</w:t>
      </w:r>
      <w:r>
        <w:rPr>
          <w:spacing w:val="-5"/>
          <w:sz w:val="22"/>
        </w:rPr>
        <w:t> </w:t>
      </w:r>
      <w:r>
        <w:rPr>
          <w:sz w:val="22"/>
        </w:rPr>
        <w:t>for</w:t>
      </w:r>
      <w:r>
        <w:rPr>
          <w:spacing w:val="-5"/>
          <w:sz w:val="22"/>
        </w:rPr>
        <w:t> </w:t>
      </w:r>
      <w:r>
        <w:rPr>
          <w:sz w:val="22"/>
        </w:rPr>
        <w:t>early cognitive and language development. Clin Child Fam Psychol Rev 2006; 9(1): 65–83.</w:t>
      </w:r>
    </w:p>
    <w:p>
      <w:pPr>
        <w:pStyle w:val="ListParagraph"/>
        <w:numPr>
          <w:ilvl w:val="0"/>
          <w:numId w:val="6"/>
        </w:numPr>
        <w:tabs>
          <w:tab w:pos="740" w:val="left" w:leader="none"/>
        </w:tabs>
        <w:spacing w:line="240" w:lineRule="auto" w:before="118" w:after="0"/>
        <w:ind w:left="739" w:right="1586" w:hanging="361"/>
        <w:jc w:val="left"/>
        <w:rPr>
          <w:sz w:val="22"/>
        </w:rPr>
      </w:pPr>
      <w:r>
        <w:rPr>
          <w:sz w:val="22"/>
        </w:rPr>
        <w:t>Oberlander TF, Reebye P, Misri S, et al. Externalizing and attentional behaviors in children of depressed</w:t>
      </w:r>
      <w:r>
        <w:rPr>
          <w:spacing w:val="-6"/>
          <w:sz w:val="22"/>
        </w:rPr>
        <w:t> </w:t>
      </w:r>
      <w:r>
        <w:rPr>
          <w:sz w:val="22"/>
        </w:rPr>
        <w:t>mothers</w:t>
      </w:r>
      <w:r>
        <w:rPr>
          <w:spacing w:val="-5"/>
          <w:sz w:val="22"/>
        </w:rPr>
        <w:t> </w:t>
      </w:r>
      <w:r>
        <w:rPr>
          <w:sz w:val="22"/>
        </w:rPr>
        <w:t>treated</w:t>
      </w:r>
      <w:r>
        <w:rPr>
          <w:spacing w:val="-6"/>
          <w:sz w:val="22"/>
        </w:rPr>
        <w:t> </w:t>
      </w:r>
      <w:r>
        <w:rPr>
          <w:sz w:val="22"/>
        </w:rPr>
        <w:t>with</w:t>
      </w:r>
      <w:r>
        <w:rPr>
          <w:spacing w:val="-4"/>
          <w:sz w:val="22"/>
        </w:rPr>
        <w:t> </w:t>
      </w:r>
      <w:r>
        <w:rPr>
          <w:sz w:val="22"/>
        </w:rPr>
        <w:t>a</w:t>
      </w:r>
      <w:r>
        <w:rPr>
          <w:spacing w:val="-5"/>
          <w:sz w:val="22"/>
        </w:rPr>
        <w:t> </w:t>
      </w:r>
      <w:r>
        <w:rPr>
          <w:sz w:val="22"/>
        </w:rPr>
        <w:t>selective</w:t>
      </w:r>
      <w:r>
        <w:rPr>
          <w:spacing w:val="-2"/>
          <w:sz w:val="22"/>
        </w:rPr>
        <w:t> </w:t>
      </w:r>
      <w:r>
        <w:rPr>
          <w:sz w:val="22"/>
        </w:rPr>
        <w:t>serotonin</w:t>
      </w:r>
      <w:r>
        <w:rPr>
          <w:spacing w:val="-6"/>
          <w:sz w:val="22"/>
        </w:rPr>
        <w:t> </w:t>
      </w:r>
      <w:r>
        <w:rPr>
          <w:sz w:val="22"/>
        </w:rPr>
        <w:t>reuptake</w:t>
      </w:r>
      <w:r>
        <w:rPr>
          <w:spacing w:val="-2"/>
          <w:sz w:val="22"/>
        </w:rPr>
        <w:t> </w:t>
      </w:r>
      <w:r>
        <w:rPr>
          <w:sz w:val="22"/>
        </w:rPr>
        <w:t>inhibitor</w:t>
      </w:r>
      <w:r>
        <w:rPr>
          <w:spacing w:val="-3"/>
          <w:sz w:val="22"/>
        </w:rPr>
        <w:t> </w:t>
      </w:r>
      <w:r>
        <w:rPr>
          <w:sz w:val="22"/>
        </w:rPr>
        <w:t>antidepressant</w:t>
      </w:r>
      <w:r>
        <w:rPr>
          <w:spacing w:val="-2"/>
          <w:sz w:val="22"/>
        </w:rPr>
        <w:t> </w:t>
      </w:r>
      <w:r>
        <w:rPr>
          <w:sz w:val="22"/>
        </w:rPr>
        <w:t>during pregnancy. Arch Pediatr Adolesc Med 2007; 161(1): 22–29.</w:t>
      </w:r>
    </w:p>
    <w:p>
      <w:pPr>
        <w:pStyle w:val="ListParagraph"/>
        <w:numPr>
          <w:ilvl w:val="0"/>
          <w:numId w:val="6"/>
        </w:numPr>
        <w:tabs>
          <w:tab w:pos="740" w:val="left" w:leader="none"/>
        </w:tabs>
        <w:spacing w:line="240" w:lineRule="auto" w:before="120" w:after="0"/>
        <w:ind w:left="739" w:right="1288" w:hanging="361"/>
        <w:jc w:val="left"/>
        <w:rPr>
          <w:sz w:val="22"/>
        </w:rPr>
      </w:pPr>
      <w:r>
        <w:rPr>
          <w:sz w:val="22"/>
        </w:rPr>
        <w:t>Weissman</w:t>
      </w:r>
      <w:r>
        <w:rPr>
          <w:spacing w:val="-5"/>
          <w:sz w:val="22"/>
        </w:rPr>
        <w:t> </w:t>
      </w:r>
      <w:r>
        <w:rPr>
          <w:sz w:val="22"/>
        </w:rPr>
        <w:t>MM,</w:t>
      </w:r>
      <w:r>
        <w:rPr>
          <w:spacing w:val="-4"/>
          <w:sz w:val="22"/>
        </w:rPr>
        <w:t> </w:t>
      </w:r>
      <w:r>
        <w:rPr>
          <w:sz w:val="22"/>
        </w:rPr>
        <w:t>Pilowsky</w:t>
      </w:r>
      <w:r>
        <w:rPr>
          <w:spacing w:val="-3"/>
          <w:sz w:val="22"/>
        </w:rPr>
        <w:t> </w:t>
      </w:r>
      <w:r>
        <w:rPr>
          <w:sz w:val="22"/>
        </w:rPr>
        <w:t>DJ,</w:t>
      </w:r>
      <w:r>
        <w:rPr>
          <w:spacing w:val="-2"/>
          <w:sz w:val="22"/>
        </w:rPr>
        <w:t> </w:t>
      </w:r>
      <w:r>
        <w:rPr>
          <w:sz w:val="22"/>
        </w:rPr>
        <w:t>Wickramaratne</w:t>
      </w:r>
      <w:r>
        <w:rPr>
          <w:spacing w:val="-4"/>
          <w:sz w:val="22"/>
        </w:rPr>
        <w:t> </w:t>
      </w:r>
      <w:r>
        <w:rPr>
          <w:sz w:val="22"/>
        </w:rPr>
        <w:t>PJ,</w:t>
      </w:r>
      <w:r>
        <w:rPr>
          <w:spacing w:val="-2"/>
          <w:sz w:val="22"/>
        </w:rPr>
        <w:t> </w:t>
      </w:r>
      <w:r>
        <w:rPr>
          <w:sz w:val="22"/>
        </w:rPr>
        <w:t>et</w:t>
      </w:r>
      <w:r>
        <w:rPr>
          <w:spacing w:val="-1"/>
          <w:sz w:val="22"/>
        </w:rPr>
        <w:t> </w:t>
      </w:r>
      <w:r>
        <w:rPr>
          <w:sz w:val="22"/>
        </w:rPr>
        <w:t>al.</w:t>
      </w:r>
      <w:r>
        <w:rPr>
          <w:spacing w:val="-4"/>
          <w:sz w:val="22"/>
        </w:rPr>
        <w:t> </w:t>
      </w:r>
      <w:r>
        <w:rPr>
          <w:sz w:val="22"/>
        </w:rPr>
        <w:t>Remissions</w:t>
      </w:r>
      <w:r>
        <w:rPr>
          <w:spacing w:val="-4"/>
          <w:sz w:val="22"/>
        </w:rPr>
        <w:t> </w:t>
      </w:r>
      <w:r>
        <w:rPr>
          <w:sz w:val="22"/>
        </w:rPr>
        <w:t>in</w:t>
      </w:r>
      <w:r>
        <w:rPr>
          <w:spacing w:val="-3"/>
          <w:sz w:val="22"/>
        </w:rPr>
        <w:t> </w:t>
      </w:r>
      <w:r>
        <w:rPr>
          <w:sz w:val="22"/>
        </w:rPr>
        <w:t>maternal</w:t>
      </w:r>
      <w:r>
        <w:rPr>
          <w:spacing w:val="-2"/>
          <w:sz w:val="22"/>
        </w:rPr>
        <w:t> </w:t>
      </w:r>
      <w:r>
        <w:rPr>
          <w:sz w:val="22"/>
        </w:rPr>
        <w:t>depression</w:t>
      </w:r>
      <w:r>
        <w:rPr>
          <w:spacing w:val="-3"/>
          <w:sz w:val="22"/>
        </w:rPr>
        <w:t> </w:t>
      </w:r>
      <w:r>
        <w:rPr>
          <w:sz w:val="22"/>
        </w:rPr>
        <w:t>and</w:t>
      </w:r>
      <w:r>
        <w:rPr>
          <w:spacing w:val="-5"/>
          <w:sz w:val="22"/>
        </w:rPr>
        <w:t> </w:t>
      </w:r>
      <w:r>
        <w:rPr>
          <w:sz w:val="22"/>
        </w:rPr>
        <w:t>child psychopathology: a STAR*D-child report. JAMA 2006; 295(12): 1389–1398.</w:t>
      </w:r>
    </w:p>
    <w:p>
      <w:pPr>
        <w:pStyle w:val="ListParagraph"/>
        <w:numPr>
          <w:ilvl w:val="0"/>
          <w:numId w:val="6"/>
        </w:numPr>
        <w:tabs>
          <w:tab w:pos="740" w:val="left" w:leader="none"/>
        </w:tabs>
        <w:spacing w:line="240" w:lineRule="auto" w:before="121" w:after="0"/>
        <w:ind w:left="739" w:right="1816" w:hanging="361"/>
        <w:jc w:val="left"/>
        <w:rPr>
          <w:sz w:val="22"/>
        </w:rPr>
      </w:pPr>
      <w:r>
        <w:rPr>
          <w:sz w:val="22"/>
        </w:rPr>
        <w:t>Hay</w:t>
      </w:r>
      <w:r>
        <w:rPr>
          <w:spacing w:val="-1"/>
          <w:sz w:val="22"/>
        </w:rPr>
        <w:t> </w:t>
      </w:r>
      <w:r>
        <w:rPr>
          <w:sz w:val="22"/>
        </w:rPr>
        <w:t>DF,</w:t>
      </w:r>
      <w:r>
        <w:rPr>
          <w:spacing w:val="-4"/>
          <w:sz w:val="22"/>
        </w:rPr>
        <w:t> </w:t>
      </w:r>
      <w:r>
        <w:rPr>
          <w:sz w:val="22"/>
        </w:rPr>
        <w:t>Pawlby</w:t>
      </w:r>
      <w:r>
        <w:rPr>
          <w:spacing w:val="-1"/>
          <w:sz w:val="22"/>
        </w:rPr>
        <w:t> </w:t>
      </w:r>
      <w:r>
        <w:rPr>
          <w:sz w:val="22"/>
        </w:rPr>
        <w:t>S,</w:t>
      </w:r>
      <w:r>
        <w:rPr>
          <w:spacing w:val="-4"/>
          <w:sz w:val="22"/>
        </w:rPr>
        <w:t> </w:t>
      </w:r>
      <w:r>
        <w:rPr>
          <w:sz w:val="22"/>
        </w:rPr>
        <w:t>Angold</w:t>
      </w:r>
      <w:r>
        <w:rPr>
          <w:spacing w:val="-3"/>
          <w:sz w:val="22"/>
        </w:rPr>
        <w:t> </w:t>
      </w:r>
      <w:r>
        <w:rPr>
          <w:sz w:val="22"/>
        </w:rPr>
        <w:t>A,</w:t>
      </w:r>
      <w:r>
        <w:rPr>
          <w:spacing w:val="-2"/>
          <w:sz w:val="22"/>
        </w:rPr>
        <w:t> </w:t>
      </w:r>
      <w:r>
        <w:rPr>
          <w:sz w:val="22"/>
        </w:rPr>
        <w:t>et</w:t>
      </w:r>
      <w:r>
        <w:rPr>
          <w:spacing w:val="-1"/>
          <w:sz w:val="22"/>
        </w:rPr>
        <w:t> </w:t>
      </w:r>
      <w:r>
        <w:rPr>
          <w:sz w:val="22"/>
        </w:rPr>
        <w:t>al.</w:t>
      </w:r>
      <w:r>
        <w:rPr>
          <w:spacing w:val="-5"/>
          <w:sz w:val="22"/>
        </w:rPr>
        <w:t> </w:t>
      </w:r>
      <w:r>
        <w:rPr>
          <w:sz w:val="22"/>
        </w:rPr>
        <w:t>Pathways</w:t>
      </w:r>
      <w:r>
        <w:rPr>
          <w:spacing w:val="-2"/>
          <w:sz w:val="22"/>
        </w:rPr>
        <w:t> </w:t>
      </w:r>
      <w:r>
        <w:rPr>
          <w:sz w:val="22"/>
        </w:rPr>
        <w:t>to</w:t>
      </w:r>
      <w:r>
        <w:rPr>
          <w:spacing w:val="-3"/>
          <w:sz w:val="22"/>
        </w:rPr>
        <w:t> </w:t>
      </w:r>
      <w:r>
        <w:rPr>
          <w:sz w:val="22"/>
        </w:rPr>
        <w:t>violence</w:t>
      </w:r>
      <w:r>
        <w:rPr>
          <w:spacing w:val="-1"/>
          <w:sz w:val="22"/>
        </w:rPr>
        <w:t> </w:t>
      </w:r>
      <w:r>
        <w:rPr>
          <w:sz w:val="22"/>
        </w:rPr>
        <w:t>in</w:t>
      </w:r>
      <w:r>
        <w:rPr>
          <w:spacing w:val="-3"/>
          <w:sz w:val="22"/>
        </w:rPr>
        <w:t> </w:t>
      </w:r>
      <w:r>
        <w:rPr>
          <w:sz w:val="22"/>
        </w:rPr>
        <w:t>the</w:t>
      </w:r>
      <w:r>
        <w:rPr>
          <w:spacing w:val="-4"/>
          <w:sz w:val="22"/>
        </w:rPr>
        <w:t> </w:t>
      </w:r>
      <w:r>
        <w:rPr>
          <w:sz w:val="22"/>
        </w:rPr>
        <w:t>children</w:t>
      </w:r>
      <w:r>
        <w:rPr>
          <w:spacing w:val="-5"/>
          <w:sz w:val="22"/>
        </w:rPr>
        <w:t> </w:t>
      </w:r>
      <w:r>
        <w:rPr>
          <w:sz w:val="22"/>
        </w:rPr>
        <w:t>of</w:t>
      </w:r>
      <w:r>
        <w:rPr>
          <w:spacing w:val="-4"/>
          <w:sz w:val="22"/>
        </w:rPr>
        <w:t> </w:t>
      </w:r>
      <w:r>
        <w:rPr>
          <w:sz w:val="22"/>
        </w:rPr>
        <w:t>mothers</w:t>
      </w:r>
      <w:r>
        <w:rPr>
          <w:spacing w:val="-2"/>
          <w:sz w:val="22"/>
        </w:rPr>
        <w:t> </w:t>
      </w:r>
      <w:r>
        <w:rPr>
          <w:sz w:val="22"/>
        </w:rPr>
        <w:t>who</w:t>
      </w:r>
      <w:r>
        <w:rPr>
          <w:spacing w:val="-3"/>
          <w:sz w:val="22"/>
        </w:rPr>
        <w:t> </w:t>
      </w:r>
      <w:r>
        <w:rPr>
          <w:sz w:val="22"/>
        </w:rPr>
        <w:t>were depressed postpartum. Dev Psychol 2003; 39(6): 1083–1094.</w:t>
      </w:r>
    </w:p>
    <w:p>
      <w:pPr>
        <w:pStyle w:val="ListParagraph"/>
        <w:numPr>
          <w:ilvl w:val="0"/>
          <w:numId w:val="6"/>
        </w:numPr>
        <w:tabs>
          <w:tab w:pos="740" w:val="left" w:leader="none"/>
        </w:tabs>
        <w:spacing w:line="240" w:lineRule="auto" w:before="120" w:after="0"/>
        <w:ind w:left="739" w:right="1318" w:hanging="361"/>
        <w:jc w:val="left"/>
        <w:rPr>
          <w:sz w:val="22"/>
        </w:rPr>
      </w:pPr>
      <w:r>
        <w:rPr>
          <w:sz w:val="22"/>
        </w:rPr>
        <w:t>Weissman</w:t>
      </w:r>
      <w:r>
        <w:rPr>
          <w:spacing w:val="-5"/>
          <w:sz w:val="22"/>
        </w:rPr>
        <w:t> </w:t>
      </w:r>
      <w:r>
        <w:rPr>
          <w:sz w:val="22"/>
        </w:rPr>
        <w:t>MM,</w:t>
      </w:r>
      <w:r>
        <w:rPr>
          <w:spacing w:val="-4"/>
          <w:sz w:val="22"/>
        </w:rPr>
        <w:t> </w:t>
      </w:r>
      <w:r>
        <w:rPr>
          <w:sz w:val="22"/>
        </w:rPr>
        <w:t>Wickramaratne</w:t>
      </w:r>
      <w:r>
        <w:rPr>
          <w:spacing w:val="-4"/>
          <w:sz w:val="22"/>
        </w:rPr>
        <w:t> </w:t>
      </w:r>
      <w:r>
        <w:rPr>
          <w:sz w:val="22"/>
        </w:rPr>
        <w:t>P,</w:t>
      </w:r>
      <w:r>
        <w:rPr>
          <w:spacing w:val="-2"/>
          <w:sz w:val="22"/>
        </w:rPr>
        <w:t> </w:t>
      </w:r>
      <w:r>
        <w:rPr>
          <w:sz w:val="22"/>
        </w:rPr>
        <w:t>Nomura</w:t>
      </w:r>
      <w:r>
        <w:rPr>
          <w:spacing w:val="-4"/>
          <w:sz w:val="22"/>
        </w:rPr>
        <w:t> </w:t>
      </w:r>
      <w:r>
        <w:rPr>
          <w:sz w:val="22"/>
        </w:rPr>
        <w:t>Y,</w:t>
      </w:r>
      <w:r>
        <w:rPr>
          <w:spacing w:val="-4"/>
          <w:sz w:val="22"/>
        </w:rPr>
        <w:t> </w:t>
      </w:r>
      <w:r>
        <w:rPr>
          <w:sz w:val="22"/>
        </w:rPr>
        <w:t>et</w:t>
      </w:r>
      <w:r>
        <w:rPr>
          <w:spacing w:val="-1"/>
          <w:sz w:val="22"/>
        </w:rPr>
        <w:t> </w:t>
      </w:r>
      <w:r>
        <w:rPr>
          <w:sz w:val="22"/>
        </w:rPr>
        <w:t>al.</w:t>
      </w:r>
      <w:r>
        <w:rPr>
          <w:spacing w:val="-5"/>
          <w:sz w:val="22"/>
        </w:rPr>
        <w:t> </w:t>
      </w:r>
      <w:r>
        <w:rPr>
          <w:sz w:val="22"/>
        </w:rPr>
        <w:t>Offspring</w:t>
      </w:r>
      <w:r>
        <w:rPr>
          <w:spacing w:val="-3"/>
          <w:sz w:val="22"/>
        </w:rPr>
        <w:t> </w:t>
      </w:r>
      <w:r>
        <w:rPr>
          <w:sz w:val="22"/>
        </w:rPr>
        <w:t>of</w:t>
      </w:r>
      <w:r>
        <w:rPr>
          <w:spacing w:val="-2"/>
          <w:sz w:val="22"/>
        </w:rPr>
        <w:t> </w:t>
      </w:r>
      <w:r>
        <w:rPr>
          <w:sz w:val="22"/>
        </w:rPr>
        <w:t>depressed</w:t>
      </w:r>
      <w:r>
        <w:rPr>
          <w:spacing w:val="-3"/>
          <w:sz w:val="22"/>
        </w:rPr>
        <w:t> </w:t>
      </w:r>
      <w:r>
        <w:rPr>
          <w:sz w:val="22"/>
        </w:rPr>
        <w:t>parents:</w:t>
      </w:r>
      <w:r>
        <w:rPr>
          <w:spacing w:val="-1"/>
          <w:sz w:val="22"/>
        </w:rPr>
        <w:t> </w:t>
      </w:r>
      <w:r>
        <w:rPr>
          <w:sz w:val="22"/>
        </w:rPr>
        <w:t>20</w:t>
      </w:r>
      <w:r>
        <w:rPr>
          <w:spacing w:val="-3"/>
          <w:sz w:val="22"/>
        </w:rPr>
        <w:t> </w:t>
      </w:r>
      <w:r>
        <w:rPr>
          <w:sz w:val="22"/>
        </w:rPr>
        <w:t>years</w:t>
      </w:r>
      <w:r>
        <w:rPr>
          <w:spacing w:val="-4"/>
          <w:sz w:val="22"/>
        </w:rPr>
        <w:t> </w:t>
      </w:r>
      <w:r>
        <w:rPr>
          <w:sz w:val="22"/>
        </w:rPr>
        <w:t>later. Am J Psychiatry 2006; 163(6): 1001–1008.</w:t>
      </w:r>
    </w:p>
    <w:p>
      <w:pPr>
        <w:pStyle w:val="ListParagraph"/>
        <w:numPr>
          <w:ilvl w:val="0"/>
          <w:numId w:val="6"/>
        </w:numPr>
        <w:tabs>
          <w:tab w:pos="740" w:val="left" w:leader="none"/>
        </w:tabs>
        <w:spacing w:line="240" w:lineRule="auto" w:before="121" w:after="0"/>
        <w:ind w:left="739" w:right="0" w:hanging="361"/>
        <w:jc w:val="left"/>
        <w:rPr>
          <w:sz w:val="22"/>
        </w:rPr>
      </w:pPr>
      <w:r>
        <w:rPr>
          <w:sz w:val="22"/>
        </w:rPr>
        <w:t>Society</w:t>
      </w:r>
      <w:r>
        <w:rPr>
          <w:spacing w:val="-6"/>
          <w:sz w:val="22"/>
        </w:rPr>
        <w:t> </w:t>
      </w:r>
      <w:r>
        <w:rPr>
          <w:sz w:val="22"/>
        </w:rPr>
        <w:t>CP.</w:t>
      </w:r>
      <w:r>
        <w:rPr>
          <w:spacing w:val="-7"/>
          <w:sz w:val="22"/>
        </w:rPr>
        <w:t> </w:t>
      </w:r>
      <w:r>
        <w:rPr>
          <w:sz w:val="22"/>
        </w:rPr>
        <w:t>Maternal</w:t>
      </w:r>
      <w:r>
        <w:rPr>
          <w:spacing w:val="-4"/>
          <w:sz w:val="22"/>
        </w:rPr>
        <w:t> </w:t>
      </w:r>
      <w:r>
        <w:rPr>
          <w:sz w:val="22"/>
        </w:rPr>
        <w:t>depression</w:t>
      </w:r>
      <w:r>
        <w:rPr>
          <w:spacing w:val="-5"/>
          <w:sz w:val="22"/>
        </w:rPr>
        <w:t> </w:t>
      </w:r>
      <w:r>
        <w:rPr>
          <w:sz w:val="22"/>
        </w:rPr>
        <w:t>and</w:t>
      </w:r>
      <w:r>
        <w:rPr>
          <w:spacing w:val="-5"/>
          <w:sz w:val="22"/>
        </w:rPr>
        <w:t> </w:t>
      </w:r>
      <w:r>
        <w:rPr>
          <w:sz w:val="22"/>
        </w:rPr>
        <w:t>child</w:t>
      </w:r>
      <w:r>
        <w:rPr>
          <w:spacing w:val="-6"/>
          <w:sz w:val="22"/>
        </w:rPr>
        <w:t> </w:t>
      </w:r>
      <w:r>
        <w:rPr>
          <w:sz w:val="22"/>
        </w:rPr>
        <w:t>development.</w:t>
      </w:r>
      <w:r>
        <w:rPr>
          <w:spacing w:val="-4"/>
          <w:sz w:val="22"/>
        </w:rPr>
        <w:t> </w:t>
      </w:r>
      <w:r>
        <w:rPr>
          <w:sz w:val="22"/>
        </w:rPr>
        <w:t>Paediatr</w:t>
      </w:r>
      <w:r>
        <w:rPr>
          <w:spacing w:val="-4"/>
          <w:sz w:val="22"/>
        </w:rPr>
        <w:t> </w:t>
      </w:r>
      <w:r>
        <w:rPr>
          <w:sz w:val="22"/>
        </w:rPr>
        <w:t>Child</w:t>
      </w:r>
      <w:r>
        <w:rPr>
          <w:spacing w:val="-5"/>
          <w:sz w:val="22"/>
        </w:rPr>
        <w:t> </w:t>
      </w:r>
      <w:r>
        <w:rPr>
          <w:sz w:val="22"/>
        </w:rPr>
        <w:t>Health</w:t>
      </w:r>
      <w:r>
        <w:rPr>
          <w:spacing w:val="-7"/>
          <w:sz w:val="22"/>
        </w:rPr>
        <w:t> </w:t>
      </w:r>
      <w:r>
        <w:rPr>
          <w:sz w:val="22"/>
        </w:rPr>
        <w:t>2004;</w:t>
      </w:r>
      <w:r>
        <w:rPr>
          <w:spacing w:val="-5"/>
          <w:sz w:val="22"/>
        </w:rPr>
        <w:t> </w:t>
      </w:r>
      <w:r>
        <w:rPr>
          <w:sz w:val="22"/>
        </w:rPr>
        <w:t>9(8):</w:t>
      </w:r>
      <w:r>
        <w:rPr>
          <w:spacing w:val="-5"/>
          <w:sz w:val="22"/>
        </w:rPr>
        <w:t> </w:t>
      </w:r>
      <w:r>
        <w:rPr>
          <w:spacing w:val="-2"/>
          <w:sz w:val="22"/>
        </w:rPr>
        <w:t>575–598.</w:t>
      </w:r>
    </w:p>
    <w:p>
      <w:pPr>
        <w:pStyle w:val="ListParagraph"/>
        <w:numPr>
          <w:ilvl w:val="0"/>
          <w:numId w:val="6"/>
        </w:numPr>
        <w:tabs>
          <w:tab w:pos="740" w:val="left" w:leader="none"/>
        </w:tabs>
        <w:spacing w:line="240" w:lineRule="auto" w:before="117" w:after="0"/>
        <w:ind w:left="739" w:right="1696" w:hanging="361"/>
        <w:jc w:val="left"/>
        <w:rPr>
          <w:sz w:val="22"/>
        </w:rPr>
      </w:pPr>
      <w:r>
        <w:rPr>
          <w:sz w:val="22"/>
        </w:rPr>
        <w:t>Xiao</w:t>
      </w:r>
      <w:r>
        <w:rPr>
          <w:spacing w:val="-3"/>
          <w:sz w:val="22"/>
        </w:rPr>
        <w:t> </w:t>
      </w:r>
      <w:r>
        <w:rPr>
          <w:sz w:val="22"/>
        </w:rPr>
        <w:t>RS,</w:t>
      </w:r>
      <w:r>
        <w:rPr>
          <w:spacing w:val="-2"/>
          <w:sz w:val="22"/>
        </w:rPr>
        <w:t> </w:t>
      </w:r>
      <w:r>
        <w:rPr>
          <w:sz w:val="22"/>
        </w:rPr>
        <w:t>Kroll-Desrosiers</w:t>
      </w:r>
      <w:r>
        <w:rPr>
          <w:spacing w:val="-4"/>
          <w:sz w:val="22"/>
        </w:rPr>
        <w:t> </w:t>
      </w:r>
      <w:r>
        <w:rPr>
          <w:sz w:val="22"/>
        </w:rPr>
        <w:t>AR,</w:t>
      </w:r>
      <w:r>
        <w:rPr>
          <w:spacing w:val="-2"/>
          <w:sz w:val="22"/>
        </w:rPr>
        <w:t> </w:t>
      </w:r>
      <w:r>
        <w:rPr>
          <w:sz w:val="22"/>
        </w:rPr>
        <w:t>Goldberg</w:t>
      </w:r>
      <w:r>
        <w:rPr>
          <w:spacing w:val="-3"/>
          <w:sz w:val="22"/>
        </w:rPr>
        <w:t> </w:t>
      </w:r>
      <w:r>
        <w:rPr>
          <w:sz w:val="22"/>
        </w:rPr>
        <w:t>RJ,</w:t>
      </w:r>
      <w:r>
        <w:rPr>
          <w:spacing w:val="-2"/>
          <w:sz w:val="22"/>
        </w:rPr>
        <w:t> </w:t>
      </w:r>
      <w:r>
        <w:rPr>
          <w:sz w:val="22"/>
        </w:rPr>
        <w:t>et</w:t>
      </w:r>
      <w:r>
        <w:rPr>
          <w:spacing w:val="-1"/>
          <w:sz w:val="22"/>
        </w:rPr>
        <w:t> </w:t>
      </w:r>
      <w:r>
        <w:rPr>
          <w:sz w:val="22"/>
        </w:rPr>
        <w:t>al.</w:t>
      </w:r>
      <w:r>
        <w:rPr>
          <w:spacing w:val="-2"/>
          <w:sz w:val="22"/>
        </w:rPr>
        <w:t> </w:t>
      </w:r>
      <w:r>
        <w:rPr>
          <w:sz w:val="22"/>
        </w:rPr>
        <w:t>The</w:t>
      </w:r>
      <w:r>
        <w:rPr>
          <w:spacing w:val="-1"/>
          <w:sz w:val="22"/>
        </w:rPr>
        <w:t> </w:t>
      </w:r>
      <w:r>
        <w:rPr>
          <w:sz w:val="22"/>
        </w:rPr>
        <w:t>impact</w:t>
      </w:r>
      <w:r>
        <w:rPr>
          <w:spacing w:val="-4"/>
          <w:sz w:val="22"/>
        </w:rPr>
        <w:t> </w:t>
      </w:r>
      <w:r>
        <w:rPr>
          <w:sz w:val="22"/>
        </w:rPr>
        <w:t>of</w:t>
      </w:r>
      <w:r>
        <w:rPr>
          <w:spacing w:val="-4"/>
          <w:sz w:val="22"/>
        </w:rPr>
        <w:t> </w:t>
      </w:r>
      <w:r>
        <w:rPr>
          <w:sz w:val="22"/>
        </w:rPr>
        <w:t>sleep,</w:t>
      </w:r>
      <w:r>
        <w:rPr>
          <w:spacing w:val="-4"/>
          <w:sz w:val="22"/>
        </w:rPr>
        <w:t> </w:t>
      </w:r>
      <w:r>
        <w:rPr>
          <w:sz w:val="22"/>
        </w:rPr>
        <w:t>stress,</w:t>
      </w:r>
      <w:r>
        <w:rPr>
          <w:spacing w:val="-2"/>
          <w:sz w:val="22"/>
        </w:rPr>
        <w:t> </w:t>
      </w:r>
      <w:r>
        <w:rPr>
          <w:sz w:val="22"/>
        </w:rPr>
        <w:t>and</w:t>
      </w:r>
      <w:r>
        <w:rPr>
          <w:spacing w:val="-5"/>
          <w:sz w:val="22"/>
        </w:rPr>
        <w:t> </w:t>
      </w:r>
      <w:r>
        <w:rPr>
          <w:sz w:val="22"/>
        </w:rPr>
        <w:t>depression</w:t>
      </w:r>
      <w:r>
        <w:rPr>
          <w:spacing w:val="-5"/>
          <w:sz w:val="22"/>
        </w:rPr>
        <w:t> </w:t>
      </w:r>
      <w:r>
        <w:rPr>
          <w:sz w:val="22"/>
        </w:rPr>
        <w:t>on postpartum weight retention: a systematic review. J Psychosom Res 2014; 77(5): 351–358.</w:t>
      </w:r>
    </w:p>
    <w:p>
      <w:pPr>
        <w:pStyle w:val="ListParagraph"/>
        <w:numPr>
          <w:ilvl w:val="0"/>
          <w:numId w:val="6"/>
        </w:numPr>
        <w:tabs>
          <w:tab w:pos="740" w:val="left" w:leader="none"/>
        </w:tabs>
        <w:spacing w:line="240" w:lineRule="auto" w:before="121" w:after="0"/>
        <w:ind w:left="739" w:right="1206" w:hanging="361"/>
        <w:jc w:val="left"/>
        <w:rPr>
          <w:sz w:val="22"/>
        </w:rPr>
      </w:pPr>
      <w:r>
        <w:rPr>
          <w:sz w:val="22"/>
        </w:rPr>
        <w:t>Milgrom</w:t>
      </w:r>
      <w:r>
        <w:rPr>
          <w:spacing w:val="-1"/>
          <w:sz w:val="22"/>
        </w:rPr>
        <w:t> </w:t>
      </w:r>
      <w:r>
        <w:rPr>
          <w:sz w:val="22"/>
        </w:rPr>
        <w:t>J,</w:t>
      </w:r>
      <w:r>
        <w:rPr>
          <w:spacing w:val="-2"/>
          <w:sz w:val="22"/>
        </w:rPr>
        <w:t> </w:t>
      </w:r>
      <w:r>
        <w:rPr>
          <w:sz w:val="22"/>
        </w:rPr>
        <w:t>Skouteris</w:t>
      </w:r>
      <w:r>
        <w:rPr>
          <w:spacing w:val="-2"/>
          <w:sz w:val="22"/>
        </w:rPr>
        <w:t> </w:t>
      </w:r>
      <w:r>
        <w:rPr>
          <w:sz w:val="22"/>
        </w:rPr>
        <w:t>H,</w:t>
      </w:r>
      <w:r>
        <w:rPr>
          <w:spacing w:val="-4"/>
          <w:sz w:val="22"/>
        </w:rPr>
        <w:t> </w:t>
      </w:r>
      <w:r>
        <w:rPr>
          <w:sz w:val="22"/>
        </w:rPr>
        <w:t>Worotniuk</w:t>
      </w:r>
      <w:r>
        <w:rPr>
          <w:spacing w:val="-4"/>
          <w:sz w:val="22"/>
        </w:rPr>
        <w:t> </w:t>
      </w:r>
      <w:r>
        <w:rPr>
          <w:sz w:val="22"/>
        </w:rPr>
        <w:t>T,</w:t>
      </w:r>
      <w:r>
        <w:rPr>
          <w:spacing w:val="-2"/>
          <w:sz w:val="22"/>
        </w:rPr>
        <w:t> </w:t>
      </w:r>
      <w:r>
        <w:rPr>
          <w:sz w:val="22"/>
        </w:rPr>
        <w:t>et</w:t>
      </w:r>
      <w:r>
        <w:rPr>
          <w:spacing w:val="-1"/>
          <w:sz w:val="22"/>
        </w:rPr>
        <w:t> </w:t>
      </w:r>
      <w:r>
        <w:rPr>
          <w:sz w:val="22"/>
        </w:rPr>
        <w:t>al.</w:t>
      </w:r>
      <w:r>
        <w:rPr>
          <w:spacing w:val="-2"/>
          <w:sz w:val="22"/>
        </w:rPr>
        <w:t> </w:t>
      </w:r>
      <w:r>
        <w:rPr>
          <w:sz w:val="22"/>
        </w:rPr>
        <w:t>The</w:t>
      </w:r>
      <w:r>
        <w:rPr>
          <w:spacing w:val="-1"/>
          <w:sz w:val="22"/>
        </w:rPr>
        <w:t> </w:t>
      </w:r>
      <w:r>
        <w:rPr>
          <w:sz w:val="22"/>
        </w:rPr>
        <w:t>association</w:t>
      </w:r>
      <w:r>
        <w:rPr>
          <w:spacing w:val="-3"/>
          <w:sz w:val="22"/>
        </w:rPr>
        <w:t> </w:t>
      </w:r>
      <w:r>
        <w:rPr>
          <w:sz w:val="22"/>
        </w:rPr>
        <w:t>between</w:t>
      </w:r>
      <w:r>
        <w:rPr>
          <w:spacing w:val="-3"/>
          <w:sz w:val="22"/>
        </w:rPr>
        <w:t> </w:t>
      </w:r>
      <w:r>
        <w:rPr>
          <w:sz w:val="22"/>
        </w:rPr>
        <w:t>ante-</w:t>
      </w:r>
      <w:r>
        <w:rPr>
          <w:spacing w:val="-6"/>
          <w:sz w:val="22"/>
        </w:rPr>
        <w:t> </w:t>
      </w:r>
      <w:r>
        <w:rPr>
          <w:sz w:val="22"/>
        </w:rPr>
        <w:t>and</w:t>
      </w:r>
      <w:r>
        <w:rPr>
          <w:spacing w:val="-3"/>
          <w:sz w:val="22"/>
        </w:rPr>
        <w:t> </w:t>
      </w:r>
      <w:r>
        <w:rPr>
          <w:sz w:val="22"/>
        </w:rPr>
        <w:t>postnatal</w:t>
      </w:r>
      <w:r>
        <w:rPr>
          <w:spacing w:val="-2"/>
          <w:sz w:val="22"/>
        </w:rPr>
        <w:t> </w:t>
      </w:r>
      <w:r>
        <w:rPr>
          <w:sz w:val="22"/>
        </w:rPr>
        <w:t>depressive symptoms and obesity in both mother and child: a systematic review of the literature. Women’s Health Issues 2016; 22(3): e319–e328.</w:t>
      </w:r>
    </w:p>
    <w:p>
      <w:pPr>
        <w:pStyle w:val="ListParagraph"/>
        <w:numPr>
          <w:ilvl w:val="0"/>
          <w:numId w:val="6"/>
        </w:numPr>
        <w:tabs>
          <w:tab w:pos="740" w:val="left" w:leader="none"/>
        </w:tabs>
        <w:spacing w:line="240" w:lineRule="auto" w:before="120" w:after="0"/>
        <w:ind w:left="739" w:right="1588" w:hanging="361"/>
        <w:jc w:val="left"/>
        <w:rPr>
          <w:sz w:val="22"/>
        </w:rPr>
      </w:pPr>
      <w:r>
        <w:rPr>
          <w:sz w:val="22"/>
        </w:rPr>
        <w:t>Chapman</w:t>
      </w:r>
      <w:r>
        <w:rPr>
          <w:spacing w:val="-4"/>
          <w:sz w:val="22"/>
        </w:rPr>
        <w:t> </w:t>
      </w:r>
      <w:r>
        <w:rPr>
          <w:sz w:val="22"/>
        </w:rPr>
        <w:t>SLC,</w:t>
      </w:r>
      <w:r>
        <w:rPr>
          <w:spacing w:val="-5"/>
          <w:sz w:val="22"/>
        </w:rPr>
        <w:t> </w:t>
      </w:r>
      <w:r>
        <w:rPr>
          <w:sz w:val="22"/>
        </w:rPr>
        <w:t>Wu</w:t>
      </w:r>
      <w:r>
        <w:rPr>
          <w:spacing w:val="-6"/>
          <w:sz w:val="22"/>
        </w:rPr>
        <w:t> </w:t>
      </w:r>
      <w:r>
        <w:rPr>
          <w:sz w:val="22"/>
        </w:rPr>
        <w:t>L-T.</w:t>
      </w:r>
      <w:r>
        <w:rPr>
          <w:spacing w:val="-6"/>
          <w:sz w:val="22"/>
        </w:rPr>
        <w:t> </w:t>
      </w:r>
      <w:r>
        <w:rPr>
          <w:sz w:val="22"/>
        </w:rPr>
        <w:t>Postpartum</w:t>
      </w:r>
      <w:r>
        <w:rPr>
          <w:spacing w:val="-2"/>
          <w:sz w:val="22"/>
        </w:rPr>
        <w:t> </w:t>
      </w:r>
      <w:r>
        <w:rPr>
          <w:sz w:val="22"/>
        </w:rPr>
        <w:t>substance</w:t>
      </w:r>
      <w:r>
        <w:rPr>
          <w:spacing w:val="-2"/>
          <w:sz w:val="22"/>
        </w:rPr>
        <w:t> </w:t>
      </w:r>
      <w:r>
        <w:rPr>
          <w:sz w:val="22"/>
        </w:rPr>
        <w:t>use</w:t>
      </w:r>
      <w:r>
        <w:rPr>
          <w:spacing w:val="-2"/>
          <w:sz w:val="22"/>
        </w:rPr>
        <w:t> </w:t>
      </w:r>
      <w:r>
        <w:rPr>
          <w:sz w:val="22"/>
        </w:rPr>
        <w:t>and</w:t>
      </w:r>
      <w:r>
        <w:rPr>
          <w:spacing w:val="-6"/>
          <w:sz w:val="22"/>
        </w:rPr>
        <w:t> </w:t>
      </w:r>
      <w:r>
        <w:rPr>
          <w:sz w:val="22"/>
        </w:rPr>
        <w:t>depressive</w:t>
      </w:r>
      <w:r>
        <w:rPr>
          <w:spacing w:val="-2"/>
          <w:sz w:val="22"/>
        </w:rPr>
        <w:t> </w:t>
      </w:r>
      <w:r>
        <w:rPr>
          <w:sz w:val="22"/>
        </w:rPr>
        <w:t>symptoms:</w:t>
      </w:r>
      <w:r>
        <w:rPr>
          <w:spacing w:val="-2"/>
          <w:sz w:val="22"/>
        </w:rPr>
        <w:t> </w:t>
      </w:r>
      <w:r>
        <w:rPr>
          <w:sz w:val="22"/>
        </w:rPr>
        <w:t>a</w:t>
      </w:r>
      <w:r>
        <w:rPr>
          <w:spacing w:val="-3"/>
          <w:sz w:val="22"/>
        </w:rPr>
        <w:t> </w:t>
      </w:r>
      <w:r>
        <w:rPr>
          <w:sz w:val="22"/>
        </w:rPr>
        <w:t>review.</w:t>
      </w:r>
      <w:r>
        <w:rPr>
          <w:spacing w:val="-6"/>
          <w:sz w:val="22"/>
        </w:rPr>
        <w:t> </w:t>
      </w:r>
      <w:r>
        <w:rPr>
          <w:sz w:val="22"/>
        </w:rPr>
        <w:t>Women Health 2013; 53(5): 479–503.</w:t>
      </w:r>
    </w:p>
    <w:p>
      <w:pPr>
        <w:pStyle w:val="ListParagraph"/>
        <w:numPr>
          <w:ilvl w:val="0"/>
          <w:numId w:val="6"/>
        </w:numPr>
        <w:tabs>
          <w:tab w:pos="740" w:val="left" w:leader="none"/>
        </w:tabs>
        <w:spacing w:line="240" w:lineRule="auto" w:before="121" w:after="0"/>
        <w:ind w:left="739" w:right="1166" w:hanging="361"/>
        <w:jc w:val="left"/>
        <w:rPr>
          <w:sz w:val="22"/>
        </w:rPr>
      </w:pPr>
      <w:r>
        <w:rPr>
          <w:sz w:val="22"/>
        </w:rPr>
        <w:t>Jones</w:t>
      </w:r>
      <w:r>
        <w:rPr>
          <w:spacing w:val="-2"/>
          <w:sz w:val="22"/>
        </w:rPr>
        <w:t> </w:t>
      </w:r>
      <w:r>
        <w:rPr>
          <w:sz w:val="22"/>
        </w:rPr>
        <w:t>E,</w:t>
      </w:r>
      <w:r>
        <w:rPr>
          <w:spacing w:val="-4"/>
          <w:sz w:val="22"/>
        </w:rPr>
        <w:t> </w:t>
      </w:r>
      <w:r>
        <w:rPr>
          <w:sz w:val="22"/>
        </w:rPr>
        <w:t>Coast</w:t>
      </w:r>
      <w:r>
        <w:rPr>
          <w:spacing w:val="-4"/>
          <w:sz w:val="22"/>
        </w:rPr>
        <w:t> </w:t>
      </w:r>
      <w:r>
        <w:rPr>
          <w:sz w:val="22"/>
        </w:rPr>
        <w:t>E.</w:t>
      </w:r>
      <w:r>
        <w:rPr>
          <w:spacing w:val="-2"/>
          <w:sz w:val="22"/>
        </w:rPr>
        <w:t> </w:t>
      </w:r>
      <w:r>
        <w:rPr>
          <w:sz w:val="22"/>
        </w:rPr>
        <w:t>Social</w:t>
      </w:r>
      <w:r>
        <w:rPr>
          <w:spacing w:val="-5"/>
          <w:sz w:val="22"/>
        </w:rPr>
        <w:t> </w:t>
      </w:r>
      <w:r>
        <w:rPr>
          <w:sz w:val="22"/>
        </w:rPr>
        <w:t>relationships</w:t>
      </w:r>
      <w:r>
        <w:rPr>
          <w:spacing w:val="-2"/>
          <w:sz w:val="22"/>
        </w:rPr>
        <w:t> </w:t>
      </w:r>
      <w:r>
        <w:rPr>
          <w:sz w:val="22"/>
        </w:rPr>
        <w:t>and</w:t>
      </w:r>
      <w:r>
        <w:rPr>
          <w:spacing w:val="-3"/>
          <w:sz w:val="22"/>
        </w:rPr>
        <w:t> </w:t>
      </w:r>
      <w:r>
        <w:rPr>
          <w:sz w:val="22"/>
        </w:rPr>
        <w:t>postpartum</w:t>
      </w:r>
      <w:r>
        <w:rPr>
          <w:spacing w:val="-3"/>
          <w:sz w:val="22"/>
        </w:rPr>
        <w:t> </w:t>
      </w:r>
      <w:r>
        <w:rPr>
          <w:sz w:val="22"/>
        </w:rPr>
        <w:t>depression</w:t>
      </w:r>
      <w:r>
        <w:rPr>
          <w:spacing w:val="-5"/>
          <w:sz w:val="22"/>
        </w:rPr>
        <w:t> </w:t>
      </w:r>
      <w:r>
        <w:rPr>
          <w:sz w:val="22"/>
        </w:rPr>
        <w:t>in</w:t>
      </w:r>
      <w:r>
        <w:rPr>
          <w:spacing w:val="-3"/>
          <w:sz w:val="22"/>
        </w:rPr>
        <w:t> </w:t>
      </w:r>
      <w:r>
        <w:rPr>
          <w:sz w:val="22"/>
        </w:rPr>
        <w:t>South</w:t>
      </w:r>
      <w:r>
        <w:rPr>
          <w:spacing w:val="-3"/>
          <w:sz w:val="22"/>
        </w:rPr>
        <w:t> </w:t>
      </w:r>
      <w:r>
        <w:rPr>
          <w:sz w:val="22"/>
        </w:rPr>
        <w:t>Asia:</w:t>
      </w:r>
      <w:r>
        <w:rPr>
          <w:spacing w:val="-1"/>
          <w:sz w:val="22"/>
        </w:rPr>
        <w:t> </w:t>
      </w:r>
      <w:r>
        <w:rPr>
          <w:sz w:val="22"/>
        </w:rPr>
        <w:t>a</w:t>
      </w:r>
      <w:r>
        <w:rPr>
          <w:spacing w:val="-7"/>
          <w:sz w:val="22"/>
        </w:rPr>
        <w:t> </w:t>
      </w:r>
      <w:r>
        <w:rPr>
          <w:sz w:val="22"/>
        </w:rPr>
        <w:t>systematic</w:t>
      </w:r>
      <w:r>
        <w:rPr>
          <w:spacing w:val="-2"/>
          <w:sz w:val="22"/>
        </w:rPr>
        <w:t> </w:t>
      </w:r>
      <w:r>
        <w:rPr>
          <w:sz w:val="22"/>
        </w:rPr>
        <w:t>review. Int J Soc Psychiatry 2013; 59(7): 690–700.</w:t>
      </w:r>
    </w:p>
    <w:p>
      <w:pPr>
        <w:pStyle w:val="ListParagraph"/>
        <w:numPr>
          <w:ilvl w:val="0"/>
          <w:numId w:val="6"/>
        </w:numPr>
        <w:tabs>
          <w:tab w:pos="740" w:val="left" w:leader="none"/>
        </w:tabs>
        <w:spacing w:line="240" w:lineRule="auto" w:before="118" w:after="0"/>
        <w:ind w:left="739" w:right="1302" w:hanging="361"/>
        <w:jc w:val="left"/>
        <w:rPr>
          <w:sz w:val="22"/>
        </w:rPr>
      </w:pPr>
      <w:r>
        <w:rPr>
          <w:sz w:val="22"/>
        </w:rPr>
        <w:t>Dias</w:t>
      </w:r>
      <w:r>
        <w:rPr>
          <w:spacing w:val="-2"/>
          <w:sz w:val="22"/>
        </w:rPr>
        <w:t> </w:t>
      </w:r>
      <w:r>
        <w:rPr>
          <w:sz w:val="22"/>
        </w:rPr>
        <w:t>CC,</w:t>
      </w:r>
      <w:r>
        <w:rPr>
          <w:spacing w:val="-4"/>
          <w:sz w:val="22"/>
        </w:rPr>
        <w:t> </w:t>
      </w:r>
      <w:r>
        <w:rPr>
          <w:sz w:val="22"/>
        </w:rPr>
        <w:t>Figueiredo</w:t>
      </w:r>
      <w:r>
        <w:rPr>
          <w:spacing w:val="-3"/>
          <w:sz w:val="22"/>
        </w:rPr>
        <w:t> </w:t>
      </w:r>
      <w:r>
        <w:rPr>
          <w:sz w:val="22"/>
        </w:rPr>
        <w:t>B.</w:t>
      </w:r>
      <w:r>
        <w:rPr>
          <w:spacing w:val="-2"/>
          <w:sz w:val="22"/>
        </w:rPr>
        <w:t> </w:t>
      </w:r>
      <w:r>
        <w:rPr>
          <w:sz w:val="22"/>
        </w:rPr>
        <w:t>Breastfeeding</w:t>
      </w:r>
      <w:r>
        <w:rPr>
          <w:spacing w:val="-3"/>
          <w:sz w:val="22"/>
        </w:rPr>
        <w:t> </w:t>
      </w:r>
      <w:r>
        <w:rPr>
          <w:sz w:val="22"/>
        </w:rPr>
        <w:t>and</w:t>
      </w:r>
      <w:r>
        <w:rPr>
          <w:spacing w:val="-3"/>
          <w:sz w:val="22"/>
        </w:rPr>
        <w:t> </w:t>
      </w:r>
      <w:r>
        <w:rPr>
          <w:sz w:val="22"/>
        </w:rPr>
        <w:t>depression:</w:t>
      </w:r>
      <w:r>
        <w:rPr>
          <w:spacing w:val="-3"/>
          <w:sz w:val="22"/>
        </w:rPr>
        <w:t> </w:t>
      </w:r>
      <w:r>
        <w:rPr>
          <w:sz w:val="22"/>
        </w:rPr>
        <w:t>a</w:t>
      </w:r>
      <w:r>
        <w:rPr>
          <w:spacing w:val="-2"/>
          <w:sz w:val="22"/>
        </w:rPr>
        <w:t> </w:t>
      </w:r>
      <w:r>
        <w:rPr>
          <w:sz w:val="22"/>
        </w:rPr>
        <w:t>systematic</w:t>
      </w:r>
      <w:r>
        <w:rPr>
          <w:spacing w:val="-2"/>
          <w:sz w:val="22"/>
        </w:rPr>
        <w:t> </w:t>
      </w:r>
      <w:r>
        <w:rPr>
          <w:sz w:val="22"/>
        </w:rPr>
        <w:t>review</w:t>
      </w:r>
      <w:r>
        <w:rPr>
          <w:spacing w:val="-4"/>
          <w:sz w:val="22"/>
        </w:rPr>
        <w:t> </w:t>
      </w:r>
      <w:r>
        <w:rPr>
          <w:sz w:val="22"/>
        </w:rPr>
        <w:t>of</w:t>
      </w:r>
      <w:r>
        <w:rPr>
          <w:spacing w:val="-4"/>
          <w:sz w:val="22"/>
        </w:rPr>
        <w:t> </w:t>
      </w:r>
      <w:r>
        <w:rPr>
          <w:sz w:val="22"/>
        </w:rPr>
        <w:t>the</w:t>
      </w:r>
      <w:r>
        <w:rPr>
          <w:spacing w:val="-1"/>
          <w:sz w:val="22"/>
        </w:rPr>
        <w:t> </w:t>
      </w:r>
      <w:r>
        <w:rPr>
          <w:sz w:val="22"/>
        </w:rPr>
        <w:t>literature.</w:t>
      </w:r>
      <w:r>
        <w:rPr>
          <w:spacing w:val="-2"/>
          <w:sz w:val="22"/>
        </w:rPr>
        <w:t> </w:t>
      </w:r>
      <w:r>
        <w:rPr>
          <w:sz w:val="22"/>
        </w:rPr>
        <w:t>J</w:t>
      </w:r>
      <w:r>
        <w:rPr>
          <w:spacing w:val="-5"/>
          <w:sz w:val="22"/>
        </w:rPr>
        <w:t> </w:t>
      </w:r>
      <w:r>
        <w:rPr>
          <w:sz w:val="22"/>
        </w:rPr>
        <w:t>Affect Disord 2014; 171: 142–154.</w:t>
      </w:r>
    </w:p>
    <w:p>
      <w:pPr>
        <w:pStyle w:val="ListParagraph"/>
        <w:numPr>
          <w:ilvl w:val="0"/>
          <w:numId w:val="6"/>
        </w:numPr>
        <w:tabs>
          <w:tab w:pos="740" w:val="left" w:leader="none"/>
        </w:tabs>
        <w:spacing w:line="240" w:lineRule="auto" w:before="120" w:after="0"/>
        <w:ind w:left="739" w:right="1778" w:hanging="361"/>
        <w:jc w:val="left"/>
        <w:rPr>
          <w:sz w:val="22"/>
        </w:rPr>
      </w:pPr>
      <w:r>
        <w:rPr>
          <w:sz w:val="22"/>
        </w:rPr>
        <w:t>Vliegen</w:t>
      </w:r>
      <w:r>
        <w:rPr>
          <w:spacing w:val="-4"/>
          <w:sz w:val="22"/>
        </w:rPr>
        <w:t> </w:t>
      </w:r>
      <w:r>
        <w:rPr>
          <w:sz w:val="22"/>
        </w:rPr>
        <w:t>N,</w:t>
      </w:r>
      <w:r>
        <w:rPr>
          <w:spacing w:val="-3"/>
          <w:sz w:val="22"/>
        </w:rPr>
        <w:t> </w:t>
      </w:r>
      <w:r>
        <w:rPr>
          <w:sz w:val="22"/>
        </w:rPr>
        <w:t>Casalin</w:t>
      </w:r>
      <w:r>
        <w:rPr>
          <w:spacing w:val="-4"/>
          <w:sz w:val="22"/>
        </w:rPr>
        <w:t> </w:t>
      </w:r>
      <w:r>
        <w:rPr>
          <w:sz w:val="22"/>
        </w:rPr>
        <w:t>S,</w:t>
      </w:r>
      <w:r>
        <w:rPr>
          <w:spacing w:val="-4"/>
          <w:sz w:val="22"/>
        </w:rPr>
        <w:t> </w:t>
      </w:r>
      <w:r>
        <w:rPr>
          <w:sz w:val="22"/>
        </w:rPr>
        <w:t>Luyten</w:t>
      </w:r>
      <w:r>
        <w:rPr>
          <w:spacing w:val="-5"/>
          <w:sz w:val="22"/>
        </w:rPr>
        <w:t> </w:t>
      </w:r>
      <w:r>
        <w:rPr>
          <w:sz w:val="22"/>
        </w:rPr>
        <w:t>P.</w:t>
      </w:r>
      <w:r>
        <w:rPr>
          <w:spacing w:val="-3"/>
          <w:sz w:val="22"/>
        </w:rPr>
        <w:t> </w:t>
      </w:r>
      <w:r>
        <w:rPr>
          <w:sz w:val="22"/>
        </w:rPr>
        <w:t>The</w:t>
      </w:r>
      <w:r>
        <w:rPr>
          <w:spacing w:val="-2"/>
          <w:sz w:val="22"/>
        </w:rPr>
        <w:t> </w:t>
      </w:r>
      <w:r>
        <w:rPr>
          <w:sz w:val="22"/>
        </w:rPr>
        <w:t>course</w:t>
      </w:r>
      <w:r>
        <w:rPr>
          <w:spacing w:val="-4"/>
          <w:sz w:val="22"/>
        </w:rPr>
        <w:t> </w:t>
      </w:r>
      <w:r>
        <w:rPr>
          <w:sz w:val="22"/>
        </w:rPr>
        <w:t>of</w:t>
      </w:r>
      <w:r>
        <w:rPr>
          <w:spacing w:val="-3"/>
          <w:sz w:val="22"/>
        </w:rPr>
        <w:t> </w:t>
      </w:r>
      <w:r>
        <w:rPr>
          <w:sz w:val="22"/>
        </w:rPr>
        <w:t>postpartum</w:t>
      </w:r>
      <w:r>
        <w:rPr>
          <w:spacing w:val="-2"/>
          <w:sz w:val="22"/>
        </w:rPr>
        <w:t> </w:t>
      </w:r>
      <w:r>
        <w:rPr>
          <w:sz w:val="22"/>
        </w:rPr>
        <w:t>depression:</w:t>
      </w:r>
      <w:r>
        <w:rPr>
          <w:spacing w:val="-2"/>
          <w:sz w:val="22"/>
        </w:rPr>
        <w:t> </w:t>
      </w:r>
      <w:r>
        <w:rPr>
          <w:sz w:val="22"/>
        </w:rPr>
        <w:t>a</w:t>
      </w:r>
      <w:r>
        <w:rPr>
          <w:spacing w:val="-3"/>
          <w:sz w:val="22"/>
        </w:rPr>
        <w:t> </w:t>
      </w:r>
      <w:r>
        <w:rPr>
          <w:sz w:val="22"/>
        </w:rPr>
        <w:t>review</w:t>
      </w:r>
      <w:r>
        <w:rPr>
          <w:spacing w:val="-4"/>
          <w:sz w:val="22"/>
        </w:rPr>
        <w:t> </w:t>
      </w:r>
      <w:r>
        <w:rPr>
          <w:sz w:val="22"/>
        </w:rPr>
        <w:t>of</w:t>
      </w:r>
      <w:r>
        <w:rPr>
          <w:spacing w:val="-3"/>
          <w:sz w:val="22"/>
        </w:rPr>
        <w:t> </w:t>
      </w:r>
      <w:r>
        <w:rPr>
          <w:sz w:val="22"/>
        </w:rPr>
        <w:t>longitudinal studies. Harv Rev Psychiatry 2016; 22(1): 1–22.</w:t>
      </w:r>
    </w:p>
    <w:p>
      <w:pPr>
        <w:pStyle w:val="ListParagraph"/>
        <w:numPr>
          <w:ilvl w:val="0"/>
          <w:numId w:val="6"/>
        </w:numPr>
        <w:tabs>
          <w:tab w:pos="739" w:val="left" w:leader="none"/>
        </w:tabs>
        <w:spacing w:line="240" w:lineRule="auto" w:before="121" w:after="0"/>
        <w:ind w:left="738" w:right="1109" w:hanging="361"/>
        <w:jc w:val="left"/>
        <w:rPr>
          <w:sz w:val="22"/>
        </w:rPr>
      </w:pPr>
      <w:r>
        <w:rPr>
          <w:sz w:val="22"/>
        </w:rPr>
        <w:t>Luca DL, Margiotta C, Staatz C, Garlow E, Christensen A, Zivin K, “Financial Toll of Untreated Perinatal</w:t>
      </w:r>
      <w:r>
        <w:rPr>
          <w:spacing w:val="-5"/>
          <w:sz w:val="22"/>
        </w:rPr>
        <w:t> </w:t>
      </w:r>
      <w:r>
        <w:rPr>
          <w:sz w:val="22"/>
        </w:rPr>
        <w:t>Mood</w:t>
      </w:r>
      <w:r>
        <w:rPr>
          <w:spacing w:val="-3"/>
          <w:sz w:val="22"/>
        </w:rPr>
        <w:t> </w:t>
      </w:r>
      <w:r>
        <w:rPr>
          <w:sz w:val="22"/>
        </w:rPr>
        <w:t>and</w:t>
      </w:r>
      <w:r>
        <w:rPr>
          <w:spacing w:val="-3"/>
          <w:sz w:val="22"/>
        </w:rPr>
        <w:t> </w:t>
      </w:r>
      <w:r>
        <w:rPr>
          <w:sz w:val="22"/>
        </w:rPr>
        <w:t>Anxiety</w:t>
      </w:r>
      <w:r>
        <w:rPr>
          <w:spacing w:val="-1"/>
          <w:sz w:val="22"/>
        </w:rPr>
        <w:t> </w:t>
      </w:r>
      <w:r>
        <w:rPr>
          <w:sz w:val="22"/>
        </w:rPr>
        <w:t>Disorders</w:t>
      </w:r>
      <w:r>
        <w:rPr>
          <w:spacing w:val="-2"/>
          <w:sz w:val="22"/>
        </w:rPr>
        <w:t> </w:t>
      </w:r>
      <w:r>
        <w:rPr>
          <w:sz w:val="22"/>
        </w:rPr>
        <w:t>Among</w:t>
      </w:r>
      <w:r>
        <w:rPr>
          <w:spacing w:val="-5"/>
          <w:sz w:val="22"/>
        </w:rPr>
        <w:t> </w:t>
      </w:r>
      <w:r>
        <w:rPr>
          <w:sz w:val="22"/>
        </w:rPr>
        <w:t>2017</w:t>
      </w:r>
      <w:r>
        <w:rPr>
          <w:spacing w:val="-3"/>
          <w:sz w:val="22"/>
        </w:rPr>
        <w:t> </w:t>
      </w:r>
      <w:r>
        <w:rPr>
          <w:sz w:val="22"/>
        </w:rPr>
        <w:t>Births</w:t>
      </w:r>
      <w:r>
        <w:rPr>
          <w:spacing w:val="-2"/>
          <w:sz w:val="22"/>
        </w:rPr>
        <w:t> </w:t>
      </w:r>
      <w:r>
        <w:rPr>
          <w:sz w:val="22"/>
        </w:rPr>
        <w:t>in</w:t>
      </w:r>
      <w:r>
        <w:rPr>
          <w:spacing w:val="-3"/>
          <w:sz w:val="22"/>
        </w:rPr>
        <w:t> </w:t>
      </w:r>
      <w:r>
        <w:rPr>
          <w:sz w:val="22"/>
        </w:rPr>
        <w:t>the</w:t>
      </w:r>
      <w:r>
        <w:rPr>
          <w:spacing w:val="-4"/>
          <w:sz w:val="22"/>
        </w:rPr>
        <w:t> </w:t>
      </w:r>
      <w:r>
        <w:rPr>
          <w:sz w:val="22"/>
        </w:rPr>
        <w:t>United</w:t>
      </w:r>
      <w:r>
        <w:rPr>
          <w:spacing w:val="-3"/>
          <w:sz w:val="22"/>
        </w:rPr>
        <w:t> </w:t>
      </w:r>
      <w:r>
        <w:rPr>
          <w:sz w:val="22"/>
        </w:rPr>
        <w:t>States”,</w:t>
      </w:r>
      <w:r>
        <w:rPr>
          <w:spacing w:val="-4"/>
          <w:sz w:val="22"/>
        </w:rPr>
        <w:t> </w:t>
      </w:r>
      <w:r>
        <w:rPr>
          <w:i/>
          <w:sz w:val="22"/>
        </w:rPr>
        <w:t>American</w:t>
      </w:r>
      <w:r>
        <w:rPr>
          <w:i/>
          <w:spacing w:val="-3"/>
          <w:sz w:val="22"/>
        </w:rPr>
        <w:t> </w:t>
      </w:r>
      <w:r>
        <w:rPr>
          <w:i/>
          <w:sz w:val="22"/>
        </w:rPr>
        <w:t>Journal</w:t>
      </w:r>
      <w:r>
        <w:rPr>
          <w:i/>
          <w:spacing w:val="-2"/>
          <w:sz w:val="22"/>
        </w:rPr>
        <w:t> </w:t>
      </w:r>
      <w:r>
        <w:rPr>
          <w:i/>
          <w:sz w:val="22"/>
        </w:rPr>
        <w:t>of</w:t>
      </w:r>
      <w:r>
        <w:rPr>
          <w:i/>
          <w:sz w:val="22"/>
        </w:rPr>
        <w:t> Public Health </w:t>
      </w:r>
      <w:r>
        <w:rPr>
          <w:sz w:val="22"/>
        </w:rPr>
        <w:t>110, no. 6 (June 1, 2020): pp. 888-896.</w:t>
      </w:r>
    </w:p>
    <w:p>
      <w:pPr>
        <w:pStyle w:val="ListParagraph"/>
        <w:numPr>
          <w:ilvl w:val="0"/>
          <w:numId w:val="6"/>
        </w:numPr>
        <w:tabs>
          <w:tab w:pos="741" w:val="left" w:leader="none"/>
        </w:tabs>
        <w:spacing w:line="240" w:lineRule="auto" w:before="121" w:after="0"/>
        <w:ind w:left="740" w:right="1158" w:hanging="360"/>
        <w:jc w:val="left"/>
        <w:rPr>
          <w:sz w:val="22"/>
        </w:rPr>
      </w:pPr>
      <w:r>
        <w:rPr>
          <w:sz w:val="22"/>
        </w:rPr>
        <w:t>Wouk K, Stuebe AM, Meltzer-Brody S. Postpartum mental health and breastfeeding practices: an analysis</w:t>
      </w:r>
      <w:r>
        <w:rPr>
          <w:spacing w:val="-3"/>
          <w:sz w:val="22"/>
        </w:rPr>
        <w:t> </w:t>
      </w:r>
      <w:r>
        <w:rPr>
          <w:sz w:val="22"/>
        </w:rPr>
        <w:t>using</w:t>
      </w:r>
      <w:r>
        <w:rPr>
          <w:spacing w:val="-4"/>
          <w:sz w:val="22"/>
        </w:rPr>
        <w:t> </w:t>
      </w:r>
      <w:r>
        <w:rPr>
          <w:sz w:val="22"/>
        </w:rPr>
        <w:t>the</w:t>
      </w:r>
      <w:r>
        <w:rPr>
          <w:spacing w:val="-5"/>
          <w:sz w:val="22"/>
        </w:rPr>
        <w:t> </w:t>
      </w:r>
      <w:r>
        <w:rPr>
          <w:sz w:val="22"/>
        </w:rPr>
        <w:t>2010–2011</w:t>
      </w:r>
      <w:r>
        <w:rPr>
          <w:spacing w:val="-4"/>
          <w:sz w:val="22"/>
        </w:rPr>
        <w:t> </w:t>
      </w:r>
      <w:r>
        <w:rPr>
          <w:sz w:val="22"/>
        </w:rPr>
        <w:t>Pregnancy</w:t>
      </w:r>
      <w:r>
        <w:rPr>
          <w:spacing w:val="-2"/>
          <w:sz w:val="22"/>
        </w:rPr>
        <w:t> </w:t>
      </w:r>
      <w:r>
        <w:rPr>
          <w:sz w:val="22"/>
        </w:rPr>
        <w:t>Risk</w:t>
      </w:r>
      <w:r>
        <w:rPr>
          <w:spacing w:val="-2"/>
          <w:sz w:val="22"/>
        </w:rPr>
        <w:t> </w:t>
      </w:r>
      <w:r>
        <w:rPr>
          <w:sz w:val="22"/>
        </w:rPr>
        <w:t>Assessment</w:t>
      </w:r>
      <w:r>
        <w:rPr>
          <w:spacing w:val="-2"/>
          <w:sz w:val="22"/>
        </w:rPr>
        <w:t> </w:t>
      </w:r>
      <w:r>
        <w:rPr>
          <w:sz w:val="22"/>
        </w:rPr>
        <w:t>Monitoring</w:t>
      </w:r>
      <w:r>
        <w:rPr>
          <w:spacing w:val="-4"/>
          <w:sz w:val="22"/>
        </w:rPr>
        <w:t> </w:t>
      </w:r>
      <w:r>
        <w:rPr>
          <w:sz w:val="22"/>
        </w:rPr>
        <w:t>System.</w:t>
      </w:r>
      <w:r>
        <w:rPr>
          <w:spacing w:val="-6"/>
          <w:sz w:val="22"/>
        </w:rPr>
        <w:t> </w:t>
      </w:r>
      <w:r>
        <w:rPr>
          <w:sz w:val="22"/>
        </w:rPr>
        <w:t>Matern</w:t>
      </w:r>
      <w:r>
        <w:rPr>
          <w:spacing w:val="-4"/>
          <w:sz w:val="22"/>
        </w:rPr>
        <w:t> </w:t>
      </w:r>
      <w:r>
        <w:rPr>
          <w:sz w:val="22"/>
        </w:rPr>
        <w:t>Child</w:t>
      </w:r>
      <w:r>
        <w:rPr>
          <w:spacing w:val="-4"/>
          <w:sz w:val="22"/>
        </w:rPr>
        <w:t> </w:t>
      </w:r>
      <w:r>
        <w:rPr>
          <w:sz w:val="22"/>
        </w:rPr>
        <w:t>Health</w:t>
      </w:r>
      <w:r>
        <w:rPr>
          <w:spacing w:val="-6"/>
          <w:sz w:val="22"/>
        </w:rPr>
        <w:t> </w:t>
      </w:r>
      <w:r>
        <w:rPr>
          <w:sz w:val="22"/>
        </w:rPr>
        <w:t>J 2016. Epub July 22, 2016. </w:t>
      </w:r>
      <w:hyperlink r:id="rId28">
        <w:r>
          <w:rPr>
            <w:color w:val="065290"/>
            <w:sz w:val="22"/>
            <w:u w:val="single" w:color="065290"/>
          </w:rPr>
          <w:t>CrossRefExternal</w:t>
        </w:r>
      </w:hyperlink>
      <w:r>
        <w:rPr>
          <w:color w:val="065290"/>
          <w:sz w:val="22"/>
          <w:u w:val="single" w:color="065290"/>
        </w:rPr>
        <w:t> </w:t>
      </w:r>
      <w:hyperlink r:id="rId29">
        <w:r>
          <w:rPr>
            <w:color w:val="065290"/>
            <w:sz w:val="22"/>
            <w:u w:val="single" w:color="065290"/>
          </w:rPr>
          <w:t>PubMedExternal</w:t>
        </w:r>
      </w:hyperlink>
    </w:p>
    <w:p>
      <w:pPr>
        <w:pStyle w:val="ListParagraph"/>
        <w:numPr>
          <w:ilvl w:val="0"/>
          <w:numId w:val="6"/>
        </w:numPr>
        <w:tabs>
          <w:tab w:pos="741" w:val="left" w:leader="none"/>
        </w:tabs>
        <w:spacing w:line="240" w:lineRule="auto" w:before="0" w:after="0"/>
        <w:ind w:left="740" w:right="1998" w:hanging="360"/>
        <w:jc w:val="left"/>
        <w:rPr>
          <w:sz w:val="22"/>
        </w:rPr>
      </w:pPr>
      <w:r>
        <w:rPr>
          <w:sz w:val="22"/>
        </w:rPr>
        <w:t>Stein</w:t>
      </w:r>
      <w:r>
        <w:rPr>
          <w:spacing w:val="-3"/>
          <w:sz w:val="22"/>
        </w:rPr>
        <w:t> </w:t>
      </w:r>
      <w:r>
        <w:rPr>
          <w:sz w:val="22"/>
        </w:rPr>
        <w:t>A,</w:t>
      </w:r>
      <w:r>
        <w:rPr>
          <w:spacing w:val="-2"/>
          <w:sz w:val="22"/>
        </w:rPr>
        <w:t> </w:t>
      </w:r>
      <w:r>
        <w:rPr>
          <w:sz w:val="22"/>
        </w:rPr>
        <w:t>Gath</w:t>
      </w:r>
      <w:r>
        <w:rPr>
          <w:spacing w:val="-3"/>
          <w:sz w:val="22"/>
        </w:rPr>
        <w:t> </w:t>
      </w:r>
      <w:r>
        <w:rPr>
          <w:sz w:val="22"/>
        </w:rPr>
        <w:t>DH,</w:t>
      </w:r>
      <w:r>
        <w:rPr>
          <w:spacing w:val="-4"/>
          <w:sz w:val="22"/>
        </w:rPr>
        <w:t> </w:t>
      </w:r>
      <w:r>
        <w:rPr>
          <w:sz w:val="22"/>
        </w:rPr>
        <w:t>Bucher</w:t>
      </w:r>
      <w:r>
        <w:rPr>
          <w:spacing w:val="-2"/>
          <w:sz w:val="22"/>
        </w:rPr>
        <w:t> </w:t>
      </w:r>
      <w:r>
        <w:rPr>
          <w:sz w:val="22"/>
        </w:rPr>
        <w:t>J,</w:t>
      </w:r>
      <w:r>
        <w:rPr>
          <w:spacing w:val="-4"/>
          <w:sz w:val="22"/>
        </w:rPr>
        <w:t> </w:t>
      </w:r>
      <w:r>
        <w:rPr>
          <w:sz w:val="22"/>
        </w:rPr>
        <w:t>Bond</w:t>
      </w:r>
      <w:r>
        <w:rPr>
          <w:spacing w:val="-3"/>
          <w:sz w:val="22"/>
        </w:rPr>
        <w:t> </w:t>
      </w:r>
      <w:r>
        <w:rPr>
          <w:sz w:val="22"/>
        </w:rPr>
        <w:t>A,</w:t>
      </w:r>
      <w:r>
        <w:rPr>
          <w:spacing w:val="-4"/>
          <w:sz w:val="22"/>
        </w:rPr>
        <w:t> </w:t>
      </w:r>
      <w:r>
        <w:rPr>
          <w:sz w:val="22"/>
        </w:rPr>
        <w:t>Day</w:t>
      </w:r>
      <w:r>
        <w:rPr>
          <w:spacing w:val="-3"/>
          <w:sz w:val="22"/>
        </w:rPr>
        <w:t> </w:t>
      </w:r>
      <w:r>
        <w:rPr>
          <w:sz w:val="22"/>
        </w:rPr>
        <w:t>A,</w:t>
      </w:r>
      <w:r>
        <w:rPr>
          <w:spacing w:val="-2"/>
          <w:sz w:val="22"/>
        </w:rPr>
        <w:t> </w:t>
      </w:r>
      <w:r>
        <w:rPr>
          <w:sz w:val="22"/>
        </w:rPr>
        <w:t>Cooper</w:t>
      </w:r>
      <w:r>
        <w:rPr>
          <w:spacing w:val="-4"/>
          <w:sz w:val="22"/>
        </w:rPr>
        <w:t> </w:t>
      </w:r>
      <w:r>
        <w:rPr>
          <w:sz w:val="22"/>
        </w:rPr>
        <w:t>PJ.</w:t>
      </w:r>
      <w:r>
        <w:rPr>
          <w:spacing w:val="-2"/>
          <w:sz w:val="22"/>
        </w:rPr>
        <w:t> </w:t>
      </w:r>
      <w:r>
        <w:rPr>
          <w:sz w:val="22"/>
        </w:rPr>
        <w:t>The</w:t>
      </w:r>
      <w:r>
        <w:rPr>
          <w:spacing w:val="-1"/>
          <w:sz w:val="22"/>
        </w:rPr>
        <w:t> </w:t>
      </w:r>
      <w:r>
        <w:rPr>
          <w:sz w:val="22"/>
        </w:rPr>
        <w:t>relationship</w:t>
      </w:r>
      <w:r>
        <w:rPr>
          <w:spacing w:val="-3"/>
          <w:sz w:val="22"/>
        </w:rPr>
        <w:t> </w:t>
      </w:r>
      <w:r>
        <w:rPr>
          <w:sz w:val="22"/>
        </w:rPr>
        <w:t>between</w:t>
      </w:r>
      <w:r>
        <w:rPr>
          <w:spacing w:val="-3"/>
          <w:sz w:val="22"/>
        </w:rPr>
        <w:t> </w:t>
      </w:r>
      <w:r>
        <w:rPr>
          <w:sz w:val="22"/>
        </w:rPr>
        <w:t>post-natal depression and mother-child interaction. Br J Psychiatry 1991;158:46–</w:t>
      </w:r>
    </w:p>
    <w:p>
      <w:pPr>
        <w:spacing w:before="0"/>
        <w:ind w:left="740" w:right="0" w:firstLine="0"/>
        <w:jc w:val="left"/>
        <w:rPr>
          <w:sz w:val="22"/>
        </w:rPr>
      </w:pPr>
      <w:r>
        <w:rPr>
          <w:sz w:val="22"/>
        </w:rPr>
        <w:t>52.</w:t>
      </w:r>
      <w:r>
        <w:rPr>
          <w:spacing w:val="-7"/>
          <w:sz w:val="22"/>
        </w:rPr>
        <w:t> </w:t>
      </w:r>
      <w:hyperlink r:id="rId30">
        <w:r>
          <w:rPr>
            <w:color w:val="065290"/>
            <w:sz w:val="22"/>
            <w:u w:val="single" w:color="065290"/>
          </w:rPr>
          <w:t>CrossRefExternal</w:t>
        </w:r>
      </w:hyperlink>
      <w:r>
        <w:rPr>
          <w:color w:val="065290"/>
          <w:spacing w:val="-9"/>
          <w:sz w:val="22"/>
          <w:u w:val="single" w:color="065290"/>
        </w:rPr>
        <w:t> </w:t>
      </w:r>
      <w:hyperlink r:id="rId31">
        <w:r>
          <w:rPr>
            <w:color w:val="065290"/>
            <w:spacing w:val="-2"/>
            <w:sz w:val="22"/>
            <w:u w:val="single" w:color="065290"/>
          </w:rPr>
          <w:t>PubMedExternal</w:t>
        </w:r>
      </w:hyperlink>
    </w:p>
    <w:p>
      <w:pPr>
        <w:pStyle w:val="ListParagraph"/>
        <w:numPr>
          <w:ilvl w:val="0"/>
          <w:numId w:val="6"/>
        </w:numPr>
        <w:tabs>
          <w:tab w:pos="741" w:val="left" w:leader="none"/>
        </w:tabs>
        <w:spacing w:line="240" w:lineRule="auto" w:before="0" w:after="0"/>
        <w:ind w:left="740" w:right="1590" w:hanging="361"/>
        <w:jc w:val="left"/>
        <w:rPr>
          <w:sz w:val="22"/>
        </w:rPr>
      </w:pPr>
      <w:r>
        <w:rPr>
          <w:sz w:val="22"/>
        </w:rPr>
        <w:t>Kingston</w:t>
      </w:r>
      <w:r>
        <w:rPr>
          <w:spacing w:val="-5"/>
          <w:sz w:val="22"/>
        </w:rPr>
        <w:t> </w:t>
      </w:r>
      <w:r>
        <w:rPr>
          <w:sz w:val="22"/>
        </w:rPr>
        <w:t>D,</w:t>
      </w:r>
      <w:r>
        <w:rPr>
          <w:spacing w:val="-4"/>
          <w:sz w:val="22"/>
        </w:rPr>
        <w:t> </w:t>
      </w:r>
      <w:r>
        <w:rPr>
          <w:sz w:val="22"/>
        </w:rPr>
        <w:t>Tough</w:t>
      </w:r>
      <w:r>
        <w:rPr>
          <w:spacing w:val="-3"/>
          <w:sz w:val="22"/>
        </w:rPr>
        <w:t> </w:t>
      </w:r>
      <w:r>
        <w:rPr>
          <w:sz w:val="22"/>
        </w:rPr>
        <w:t>S,</w:t>
      </w:r>
      <w:r>
        <w:rPr>
          <w:spacing w:val="-4"/>
          <w:sz w:val="22"/>
        </w:rPr>
        <w:t> </w:t>
      </w:r>
      <w:r>
        <w:rPr>
          <w:sz w:val="22"/>
        </w:rPr>
        <w:t>Whitfield</w:t>
      </w:r>
      <w:r>
        <w:rPr>
          <w:spacing w:val="-3"/>
          <w:sz w:val="22"/>
        </w:rPr>
        <w:t> </w:t>
      </w:r>
      <w:r>
        <w:rPr>
          <w:sz w:val="22"/>
        </w:rPr>
        <w:t>H.</w:t>
      </w:r>
      <w:r>
        <w:rPr>
          <w:spacing w:val="-3"/>
          <w:sz w:val="22"/>
        </w:rPr>
        <w:t> </w:t>
      </w:r>
      <w:r>
        <w:rPr>
          <w:sz w:val="22"/>
        </w:rPr>
        <w:t>Prenatal</w:t>
      </w:r>
      <w:r>
        <w:rPr>
          <w:spacing w:val="-3"/>
          <w:sz w:val="22"/>
        </w:rPr>
        <w:t> </w:t>
      </w:r>
      <w:r>
        <w:rPr>
          <w:sz w:val="22"/>
        </w:rPr>
        <w:t>and</w:t>
      </w:r>
      <w:r>
        <w:rPr>
          <w:spacing w:val="-3"/>
          <w:sz w:val="22"/>
        </w:rPr>
        <w:t> </w:t>
      </w:r>
      <w:r>
        <w:rPr>
          <w:sz w:val="22"/>
        </w:rPr>
        <w:t>postpartum</w:t>
      </w:r>
      <w:r>
        <w:rPr>
          <w:spacing w:val="-3"/>
          <w:sz w:val="22"/>
        </w:rPr>
        <w:t> </w:t>
      </w:r>
      <w:r>
        <w:rPr>
          <w:sz w:val="22"/>
        </w:rPr>
        <w:t>maternal</w:t>
      </w:r>
      <w:r>
        <w:rPr>
          <w:spacing w:val="-3"/>
          <w:sz w:val="22"/>
        </w:rPr>
        <w:t> </w:t>
      </w:r>
      <w:r>
        <w:rPr>
          <w:sz w:val="22"/>
        </w:rPr>
        <w:t>psychological</w:t>
      </w:r>
      <w:r>
        <w:rPr>
          <w:spacing w:val="-3"/>
          <w:sz w:val="22"/>
        </w:rPr>
        <w:t> </w:t>
      </w:r>
      <w:r>
        <w:rPr>
          <w:sz w:val="22"/>
        </w:rPr>
        <w:t>distress</w:t>
      </w:r>
      <w:r>
        <w:rPr>
          <w:spacing w:val="-4"/>
          <w:sz w:val="22"/>
        </w:rPr>
        <w:t> </w:t>
      </w:r>
      <w:r>
        <w:rPr>
          <w:sz w:val="22"/>
        </w:rPr>
        <w:t>and infant development: a systematic review. Child Psychiatry Hum Dev 2012;43:683–</w:t>
      </w:r>
    </w:p>
    <w:p>
      <w:pPr>
        <w:spacing w:before="0"/>
        <w:ind w:left="740" w:right="0" w:firstLine="0"/>
        <w:jc w:val="left"/>
        <w:rPr>
          <w:sz w:val="22"/>
        </w:rPr>
      </w:pPr>
      <w:r>
        <w:rPr>
          <w:sz w:val="22"/>
        </w:rPr>
        <w:t>714.</w:t>
      </w:r>
      <w:r>
        <w:rPr>
          <w:spacing w:val="-9"/>
          <w:sz w:val="22"/>
        </w:rPr>
        <w:t> </w:t>
      </w:r>
      <w:hyperlink r:id="rId32">
        <w:r>
          <w:rPr>
            <w:color w:val="065290"/>
            <w:sz w:val="22"/>
            <w:u w:val="single" w:color="065290"/>
          </w:rPr>
          <w:t>CrossRefExternal</w:t>
        </w:r>
      </w:hyperlink>
      <w:r>
        <w:rPr>
          <w:color w:val="065290"/>
          <w:spacing w:val="-10"/>
          <w:sz w:val="22"/>
          <w:u w:val="single" w:color="065290"/>
        </w:rPr>
        <w:t> </w:t>
      </w:r>
      <w:hyperlink r:id="rId33">
        <w:r>
          <w:rPr>
            <w:color w:val="065290"/>
            <w:spacing w:val="-2"/>
            <w:sz w:val="22"/>
            <w:u w:val="single" w:color="065290"/>
          </w:rPr>
          <w:t>PubMedExternal</w:t>
        </w:r>
      </w:hyperlink>
    </w:p>
    <w:p>
      <w:pPr>
        <w:spacing w:after="0"/>
        <w:jc w:val="left"/>
        <w:rPr>
          <w:sz w:val="22"/>
        </w:rPr>
        <w:sectPr>
          <w:pgSz w:w="12240" w:h="15840"/>
          <w:pgMar w:header="0" w:footer="765" w:top="1400" w:bottom="960" w:left="1060" w:right="380"/>
        </w:sectPr>
      </w:pPr>
    </w:p>
    <w:p>
      <w:pPr>
        <w:pStyle w:val="Heading1"/>
        <w:spacing w:before="28"/>
      </w:pPr>
      <w:bookmarkStart w:name="Appendix" w:id="10"/>
      <w:bookmarkEnd w:id="10"/>
      <w:r>
        <w:rPr>
          <w:b w:val="0"/>
        </w:rPr>
      </w:r>
      <w:r>
        <w:rPr>
          <w:spacing w:val="-2"/>
        </w:rPr>
        <w:t>Appendix</w:t>
      </w:r>
    </w:p>
    <w:p>
      <w:pPr>
        <w:pStyle w:val="BodyText"/>
        <w:rPr>
          <w:b/>
          <w:sz w:val="20"/>
        </w:rPr>
      </w:pPr>
    </w:p>
    <w:p>
      <w:pPr>
        <w:pStyle w:val="BodyText"/>
        <w:spacing w:before="5"/>
        <w:rPr>
          <w:b/>
          <w:sz w:val="25"/>
        </w:rPr>
      </w:pPr>
      <w:r>
        <w:rPr/>
        <w:pict>
          <v:group style="position:absolute;margin-left:71.625pt;margin-top:16.742125pt;width:407pt;height:258.1pt;mso-position-horizontal-relative:page;mso-position-vertical-relative:paragraph;z-index:-15725056;mso-wrap-distance-left:0;mso-wrap-distance-right:0" id="docshapegroup12" coordorigin="1433,335" coordsize="8140,5162">
            <v:shape style="position:absolute;left:2101;top:4286;width:786;height:2" id="docshape13" coordorigin="2102,4287" coordsize="786,0" path="m2102,4287l2282,4287m2525,4287l2887,4287e" filled="false" stroked="true" strokeweight=".75pt" strokecolor="#d9d9d9">
              <v:path arrowok="t"/>
              <v:stroke dashstyle="solid"/>
            </v:shape>
            <v:rect style="position:absolute;left:2282;top:4104;width:243;height:464" id="docshape14" filled="true" fillcolor="#4471c4" stroked="false">
              <v:fill type="solid"/>
            </v:rect>
            <v:shape style="position:absolute;left:3127;top:4286;width:3984;height:2" id="docshape15" coordorigin="3127,4287" coordsize="3984,0" path="m3127,4287l3490,4287m3732,4287l4094,4287m4334,4287l4697,4287m4939,4287l5302,4287m5542,4287l5904,4287m6146,4287l6509,4287m6749,4287l7111,4287e" filled="false" stroked="true" strokeweight=".75pt" strokecolor="#d9d9d9">
              <v:path arrowok="t"/>
              <v:stroke dashstyle="solid"/>
            </v:shape>
            <v:shape style="position:absolute;left:5541;top:4004;width:968;height:8" id="docshape16" coordorigin="5542,4005" coordsize="968,8" path="m5542,4012l6509,4012m5542,4005l5904,4005m6146,4005l6509,4005e" filled="false" stroked="true" strokeweight=".375pt" strokecolor="#d9d9d9">
              <v:path arrowok="t"/>
              <v:stroke dashstyle="solid"/>
            </v:shape>
            <v:line style="position:absolute" from="6749,4008" to="7111,4008" stroked="true" strokeweight=".75pt" strokecolor="#d9d9d9">
              <v:stroke dashstyle="solid"/>
            </v:line>
            <v:rect style="position:absolute;left:6508;top:3991;width:240;height:577" id="docshape17" filled="true" fillcolor="#4471c4" stroked="false">
              <v:fill type="solid"/>
            </v:rect>
            <v:shape style="position:absolute;left:7353;top:4008;width:363;height:279" id="docshape18" coordorigin="7354,4008" coordsize="363,279" path="m7354,4287l7716,4287m7354,4008l7716,4008e" filled="false" stroked="true" strokeweight=".75pt" strokecolor="#d9d9d9">
              <v:path arrowok="t"/>
              <v:stroke dashstyle="solid"/>
            </v:shape>
            <v:shape style="position:absolute;left:5904;top:3996;width:1450;height:572" id="docshape19" coordorigin="5904,3996" coordsize="1450,572" path="m6146,4008l5904,4008,5904,4568,6146,4568,6146,4008xm7354,3996l7111,3996,7111,4568,7354,4568,7354,3996xe" filled="true" fillcolor="#4471c4" stroked="false">
              <v:path arrowok="t"/>
              <v:fill type="solid"/>
            </v:shape>
            <v:shape style="position:absolute;left:7956;top:4008;width:363;height:279" id="docshape20" coordorigin="7956,4008" coordsize="363,279" path="m7956,4287l8318,4287m7956,4008l8318,4008e" filled="false" stroked="true" strokeweight=".75pt" strokecolor="#d9d9d9">
              <v:path arrowok="t"/>
              <v:stroke dashstyle="solid"/>
            </v:shape>
            <v:rect style="position:absolute;left:7716;top:4034;width:240;height:534" id="docshape21" filled="true" fillcolor="#4471c4" stroked="false">
              <v:fill type="solid"/>
            </v:rect>
            <v:shape style="position:absolute;left:4939;top:4004;width:363;height:8" id="docshape22" coordorigin="4939,4005" coordsize="363,8" path="m4939,4012l5302,4012m4939,4005l5302,4005e" filled="false" stroked="true" strokeweight=".375pt" strokecolor="#d9d9d9">
              <v:path arrowok="t"/>
              <v:stroke dashstyle="solid"/>
            </v:shape>
            <v:rect style="position:absolute;left:5301;top:4051;width:241;height:517" id="docshape23" filled="true" fillcolor="#4471c4" stroked="false">
              <v:fill type="solid"/>
            </v:rect>
            <v:shape style="position:absolute;left:4334;top:4004;width:363;height:8" id="docshape24" coordorigin="4334,4005" coordsize="363,8" path="m4334,4012l4697,4012m4334,4005l4697,4005e" filled="false" stroked="true" strokeweight=".375pt" strokecolor="#d9d9d9">
              <v:path arrowok="t"/>
              <v:stroke dashstyle="solid"/>
            </v:shape>
            <v:rect style="position:absolute;left:4696;top:4054;width:243;height:514" id="docshape25" filled="true" fillcolor="#4471c4" stroked="false">
              <v:fill type="solid"/>
            </v:rect>
            <v:shape style="position:absolute;left:3732;top:4004;width:363;height:8" id="docshape26" coordorigin="3732,4005" coordsize="363,8" path="m3732,4012l4094,4012m3732,4005l4094,4005e" filled="false" stroked="true" strokeweight=".375pt" strokecolor="#d9d9d9">
              <v:path arrowok="t"/>
              <v:stroke dashstyle="solid"/>
            </v:shape>
            <v:rect style="position:absolute;left:4094;top:4056;width:240;height:512" id="docshape27" filled="true" fillcolor="#4471c4" stroked="false">
              <v:fill type="solid"/>
            </v:rect>
            <v:shape style="position:absolute;left:8560;top:4008;width:363;height:279" id="docshape28" coordorigin="8561,4008" coordsize="363,279" path="m8561,4287l8923,4287m8561,4008l8923,4008e" filled="false" stroked="true" strokeweight=".75pt" strokecolor="#d9d9d9">
              <v:path arrowok="t"/>
              <v:stroke dashstyle="solid"/>
            </v:shape>
            <v:rect style="position:absolute;left:8318;top:4080;width:243;height:488" id="docshape29" filled="true" fillcolor="#4471c4" stroked="false">
              <v:fill type="solid"/>
            </v:rect>
            <v:shape style="position:absolute;left:3127;top:4004;width:363;height:8" id="docshape30" coordorigin="3127,4005" coordsize="363,8" path="m3127,4012l3490,4012m3127,4005l3490,4005e" filled="false" stroked="true" strokeweight=".375pt" strokecolor="#d9d9d9">
              <v:path arrowok="t"/>
              <v:stroke dashstyle="solid"/>
            </v:shape>
            <v:rect style="position:absolute;left:3489;top:4082;width:243;height:485" id="docshape31" filled="true" fillcolor="#4471c4" stroked="false">
              <v:fill type="solid"/>
            </v:rect>
            <v:line style="position:absolute" from="9163,4287" to="9345,4287" stroked="true" strokeweight=".75pt" strokecolor="#d9d9d9">
              <v:stroke dashstyle="solid"/>
            </v:line>
            <v:shape style="position:absolute;left:2887;top:4090;width:6277;height:478" id="docshape32" coordorigin="2887,4090" coordsize="6277,478" path="m3127,4116l2887,4116,2887,4568,3127,4568,3127,4116xm9163,4090l8923,4090,8923,4568,9163,4568,9163,4090xe" filled="true" fillcolor="#4471c4" stroked="false">
              <v:path arrowok="t"/>
              <v:fill type="solid"/>
            </v:shape>
            <v:shape style="position:absolute;left:2101;top:4004;width:786;height:8" id="docshape33" coordorigin="2102,4005" coordsize="786,8" path="m2102,4012l2282,4012m2102,4005l2282,4005m2525,4012l2887,4012m2525,4005l2887,4005e" filled="false" stroked="true" strokeweight=".375pt" strokecolor="#d9d9d9">
              <v:path arrowok="t"/>
              <v:stroke dashstyle="solid"/>
            </v:shape>
            <v:shape style="position:absolute;left:2101;top:2328;width:2596;height:1400" id="docshape34" coordorigin="2102,2328" coordsize="2596,1400" path="m2102,3728l2282,3728m2525,3728l2887,3728m2102,3447l2282,3447m2525,3447l2887,3447m2102,3168l2282,3168m2525,3168l2887,3168m2102,2888l2282,2888m2525,2888l2887,2888m2102,2607l2282,2607m2525,2607l2887,2607m2102,2328l4697,2328e" filled="false" stroked="true" strokeweight=".75pt" strokecolor="#d9d9d9">
              <v:path arrowok="t"/>
              <v:stroke dashstyle="solid"/>
            </v:shape>
            <v:rect style="position:absolute;left:2282;top:2383;width:243;height:1721" id="docshape35" filled="true" fillcolor="#ec7c30" stroked="false">
              <v:fill type="solid"/>
            </v:rect>
            <v:shape style="position:absolute;left:3127;top:2606;width:363;height:1121" id="docshape36" coordorigin="3127,2607" coordsize="363,1121" path="m3127,3728l3490,3728m3127,3447l3490,3447m3127,3168l3490,3168m3127,2888l3490,2888m3127,2607l3490,2607e" filled="false" stroked="true" strokeweight=".75pt" strokecolor="#d9d9d9">
              <v:path arrowok="t"/>
              <v:stroke dashstyle="solid"/>
            </v:shape>
            <v:rect style="position:absolute;left:2887;top:2549;width:240;height:1568" id="docshape37" filled="true" fillcolor="#ec7c30" stroked="false">
              <v:fill type="solid"/>
            </v:rect>
            <v:shape style="position:absolute;left:3732;top:2606;width:363;height:1121" id="docshape38" coordorigin="3732,2607" coordsize="363,1121" path="m3732,3728l4094,3728m3732,3447l4094,3447m3732,3168l4094,3168m3732,2888l4094,2888m3732,2607l4094,2607e" filled="false" stroked="true" strokeweight=".75pt" strokecolor="#d9d9d9">
              <v:path arrowok="t"/>
              <v:stroke dashstyle="solid"/>
            </v:shape>
            <v:rect style="position:absolute;left:3489;top:2369;width:243;height:1714" id="docshape39" filled="true" fillcolor="#ec7c30" stroked="false">
              <v:fill type="solid"/>
            </v:rect>
            <v:shape style="position:absolute;left:4334;top:2606;width:363;height:1121" id="docshape40" coordorigin="4334,2607" coordsize="363,1121" path="m4334,3728l4697,3728m4334,3447l4697,3447m4334,3168l4697,3168m4334,2888l4697,2888m4334,2607l4697,2607e" filled="false" stroked="true" strokeweight=".75pt" strokecolor="#d9d9d9">
              <v:path arrowok="t"/>
              <v:stroke dashstyle="solid"/>
            </v:shape>
            <v:rect style="position:absolute;left:4094;top:2352;width:240;height:1704" id="docshape41" filled="true" fillcolor="#ec7c30" stroked="false">
              <v:fill type="solid"/>
            </v:rect>
            <v:shape style="position:absolute;left:4939;top:2328;width:965;height:1400" id="docshape42" coordorigin="4939,2328" coordsize="965,1400" path="m4939,3728l5302,3728m4939,3447l5302,3447m4939,3168l5302,3168m4939,2888l5302,2888m4939,2607l5302,2607m4939,2328l5904,2328e" filled="false" stroked="true" strokeweight=".75pt" strokecolor="#d9d9d9">
              <v:path arrowok="t"/>
              <v:stroke dashstyle="solid"/>
            </v:shape>
            <v:rect style="position:absolute;left:4696;top:2268;width:243;height:1786" id="docshape43" filled="true" fillcolor="#ec7c30" stroked="false">
              <v:fill type="solid"/>
            </v:rect>
            <v:shape style="position:absolute;left:5541;top:2606;width:363;height:1121" id="docshape44" coordorigin="5542,2607" coordsize="363,1121" path="m5542,3728l5904,3728m5542,3447l5904,3447m5542,3168l5904,3168m5542,2888l5904,2888m5542,2607l5904,2607e" filled="false" stroked="true" strokeweight=".75pt" strokecolor="#d9d9d9">
              <v:path arrowok="t"/>
              <v:stroke dashstyle="solid"/>
            </v:shape>
            <v:rect style="position:absolute;left:5301;top:2374;width:240;height:1678" id="docshape45" filled="true" fillcolor="#ec7c30" stroked="false">
              <v:fill type="solid"/>
            </v:rect>
            <v:shape style="position:absolute;left:6146;top:2328;width:363;height:1400" id="docshape46" coordorigin="6146,2328" coordsize="363,1400" path="m6146,3728l6509,3728m6146,3447l6509,3447m6146,3168l6509,3168m6146,2888l6509,2888m6146,2607l6509,2607m6146,2328l6509,2328e" filled="false" stroked="true" strokeweight=".75pt" strokecolor="#d9d9d9">
              <v:path arrowok="t"/>
              <v:stroke dashstyle="solid"/>
            </v:shape>
            <v:rect style="position:absolute;left:5904;top:2150;width:243;height:1858" id="docshape47" filled="true" fillcolor="#ec7c30" stroked="false">
              <v:fill type="solid"/>
            </v:rect>
            <v:shape style="position:absolute;left:6748;top:2328;width:363;height:1400" id="docshape48" coordorigin="6749,2328" coordsize="363,1400" path="m6749,3728l7111,3728m6749,3447l7111,3447m6749,3168l7111,3168m6749,2888l7111,2888m6749,2607l7111,2607m6749,2328l7111,2328e" filled="false" stroked="true" strokeweight=".75pt" strokecolor="#d9d9d9">
              <v:path arrowok="t"/>
              <v:stroke dashstyle="solid"/>
            </v:shape>
            <v:line style="position:absolute" from="2102,2048" to="9345,2048" stroked="true" strokeweight=".75pt" strokecolor="#d9d9d9">
              <v:stroke dashstyle="solid"/>
            </v:line>
            <v:rect style="position:absolute;left:6508;top:2090;width:240;height:1901" id="docshape49" filled="true" fillcolor="#ec7c30" stroked="false">
              <v:fill type="solid"/>
            </v:rect>
            <v:shape style="position:absolute;left:7353;top:2328;width:363;height:1400" id="docshape50" coordorigin="7354,2328" coordsize="363,1400" path="m7354,3728l7716,3728m7354,3447l7716,3447m7354,3168l7716,3168m7354,2888l7716,2888m7354,2607l7716,2607m7354,2328l7716,2328e" filled="false" stroked="true" strokeweight=".75pt" strokecolor="#d9d9d9">
              <v:path arrowok="t"/>
              <v:stroke dashstyle="solid"/>
            </v:shape>
            <v:rect style="position:absolute;left:7111;top:2239;width:243;height:1757" id="docshape51" filled="true" fillcolor="#ec7c30" stroked="false">
              <v:fill type="solid"/>
            </v:rect>
            <v:shape style="position:absolute;left:7956;top:2328;width:1389;height:1400" id="docshape52" coordorigin="7956,2328" coordsize="1389,1400" path="m7956,3728l8318,3728m7956,3447l8318,3447m7956,3168l8318,3168m7956,2888l8318,2888m7956,2607l8318,2607m7956,2328l9345,2328e" filled="false" stroked="true" strokeweight=".75pt" strokecolor="#d9d9d9">
              <v:path arrowok="t"/>
              <v:stroke dashstyle="solid"/>
            </v:shape>
            <v:rect style="position:absolute;left:7716;top:2258;width:240;height:1776" id="docshape53" filled="true" fillcolor="#ec7c30" stroked="false">
              <v:fill type="solid"/>
            </v:rect>
            <v:shape style="position:absolute;left:8560;top:2606;width:363;height:1121" id="docshape54" coordorigin="8561,2607" coordsize="363,1121" path="m8561,3728l8923,3728m8561,3447l8923,3447m8561,3168l8923,3168m8561,2888l8923,2888m8561,2607l8923,2607e" filled="false" stroked="true" strokeweight=".75pt" strokecolor="#d9d9d9">
              <v:path arrowok="t"/>
              <v:stroke dashstyle="solid"/>
            </v:shape>
            <v:rect style="position:absolute;left:8318;top:2446;width:243;height:1635" id="docshape55" filled="true" fillcolor="#ec7c30" stroked="false">
              <v:fill type="solid"/>
            </v:rect>
            <v:shape style="position:absolute;left:9163;top:2606;width:182;height:1402" id="docshape56" coordorigin="9163,2607" coordsize="182,1402" path="m9163,4008l9345,4008m9163,3728l9345,3728m9163,3447l9345,3447m9163,3168l9345,3168m9163,2888l9345,2888m9163,2607l9345,2607e" filled="false" stroked="true" strokeweight=".75pt" strokecolor="#d9d9d9">
              <v:path arrowok="t"/>
              <v:stroke dashstyle="solid"/>
            </v:shape>
            <v:rect style="position:absolute;left:8923;top:2477;width:240;height:1613" id="docshape57" filled="true" fillcolor="#ec7c30" stroked="false">
              <v:fill type="solid"/>
            </v:rect>
            <v:shape style="position:absolute;left:2101;top:4567;width:7244;height:58" id="docshape58" coordorigin="2102,4568" coordsize="7244,58" path="m2102,4568l9345,4568m2102,4568l2102,4625m2705,4568l2705,4625m3310,4568l3310,4625m3912,4568l3912,4625m4517,4568l4517,4625m5119,4568l5119,4625m5724,4568l5724,4625m6326,4568l6326,4625m6931,4568l6931,4625m7534,4568l7534,4625m8138,4568l8138,4625m8741,4568l8741,4625m9345,4568l9345,4625e" filled="false" stroked="true" strokeweight=".75pt" strokecolor="#d9d9d9">
              <v:path arrowok="t"/>
              <v:stroke dashstyle="solid"/>
            </v:shape>
            <v:line style="position:absolute" from="2102,1768" to="9345,1768" stroked="true" strokeweight=".75pt" strokecolor="#d9d9d9">
              <v:stroke dashstyle="solid"/>
            </v:line>
            <v:rect style="position:absolute;left:4464;top:5151;width:99;height:99" id="docshape59" filled="true" fillcolor="#4471c4" stroked="false">
              <v:fill type="solid"/>
            </v:rect>
            <v:rect style="position:absolute;left:5479;top:5151;width:99;height:99" id="docshape60" filled="true" fillcolor="#ec7c30" stroked="false">
              <v:fill type="solid"/>
            </v:rect>
            <v:rect style="position:absolute;left:1440;top:342;width:8125;height:5147" id="docshape61" filled="false" stroked="true" strokeweight=".75pt" strokecolor="#4471c4">
              <v:stroke dashstyle="solid"/>
            </v:rect>
            <v:shape style="position:absolute;left:2494;top:568;width:6180;height:965" type="#_x0000_t202" id="docshape62" filled="false" stroked="false">
              <v:textbox inset="0,0,0,0">
                <w:txbxContent>
                  <w:p>
                    <w:pPr>
                      <w:spacing w:line="286" w:lineRule="exact" w:before="0"/>
                      <w:ind w:left="1" w:right="21" w:firstLine="0"/>
                      <w:jc w:val="center"/>
                      <w:rPr>
                        <w:b/>
                        <w:sz w:val="28"/>
                      </w:rPr>
                    </w:pPr>
                    <w:r>
                      <w:rPr>
                        <w:b/>
                        <w:color w:val="585858"/>
                        <w:sz w:val="28"/>
                      </w:rPr>
                      <w:t>Figure</w:t>
                    </w:r>
                    <w:r>
                      <w:rPr>
                        <w:b/>
                        <w:color w:val="585858"/>
                        <w:spacing w:val="-4"/>
                        <w:sz w:val="28"/>
                      </w:rPr>
                      <w:t> </w:t>
                    </w:r>
                    <w:r>
                      <w:rPr>
                        <w:b/>
                        <w:color w:val="585858"/>
                        <w:sz w:val="28"/>
                      </w:rPr>
                      <w:t>1.</w:t>
                    </w:r>
                    <w:r>
                      <w:rPr>
                        <w:b/>
                        <w:color w:val="585858"/>
                        <w:spacing w:val="-4"/>
                        <w:sz w:val="28"/>
                      </w:rPr>
                      <w:t> </w:t>
                    </w:r>
                    <w:r>
                      <w:rPr>
                        <w:b/>
                        <w:color w:val="585858"/>
                        <w:sz w:val="28"/>
                      </w:rPr>
                      <w:t>Number</w:t>
                    </w:r>
                    <w:r>
                      <w:rPr>
                        <w:b/>
                        <w:color w:val="585858"/>
                        <w:spacing w:val="-3"/>
                        <w:sz w:val="28"/>
                      </w:rPr>
                      <w:t> </w:t>
                    </w:r>
                    <w:r>
                      <w:rPr>
                        <w:b/>
                        <w:color w:val="585858"/>
                        <w:sz w:val="28"/>
                      </w:rPr>
                      <w:t>of</w:t>
                    </w:r>
                    <w:r>
                      <w:rPr>
                        <w:b/>
                        <w:color w:val="585858"/>
                        <w:spacing w:val="-2"/>
                        <w:sz w:val="28"/>
                      </w:rPr>
                      <w:t> </w:t>
                    </w:r>
                    <w:r>
                      <w:rPr>
                        <w:b/>
                        <w:color w:val="585858"/>
                        <w:sz w:val="28"/>
                      </w:rPr>
                      <w:t>Deliveries</w:t>
                    </w:r>
                    <w:r>
                      <w:rPr>
                        <w:b/>
                        <w:color w:val="585858"/>
                        <w:spacing w:val="-9"/>
                        <w:sz w:val="28"/>
                      </w:rPr>
                      <w:t> </w:t>
                    </w:r>
                    <w:r>
                      <w:rPr>
                        <w:b/>
                        <w:color w:val="585858"/>
                        <w:sz w:val="28"/>
                      </w:rPr>
                      <w:t>Screened</w:t>
                    </w:r>
                    <w:r>
                      <w:rPr>
                        <w:b/>
                        <w:color w:val="585858"/>
                        <w:spacing w:val="-4"/>
                        <w:sz w:val="28"/>
                      </w:rPr>
                      <w:t> </w:t>
                    </w:r>
                    <w:r>
                      <w:rPr>
                        <w:b/>
                        <w:color w:val="585858"/>
                        <w:spacing w:val="-5"/>
                        <w:sz w:val="28"/>
                      </w:rPr>
                      <w:t>for</w:t>
                    </w:r>
                  </w:p>
                  <w:p>
                    <w:pPr>
                      <w:spacing w:before="0"/>
                      <w:ind w:left="1" w:right="19" w:firstLine="0"/>
                      <w:jc w:val="center"/>
                      <w:rPr>
                        <w:b/>
                        <w:sz w:val="28"/>
                      </w:rPr>
                    </w:pPr>
                    <w:r>
                      <w:rPr>
                        <w:b/>
                        <w:color w:val="585858"/>
                        <w:sz w:val="28"/>
                      </w:rPr>
                      <w:t>Postpartum</w:t>
                    </w:r>
                    <w:r>
                      <w:rPr>
                        <w:b/>
                        <w:color w:val="585858"/>
                        <w:spacing w:val="-6"/>
                        <w:sz w:val="28"/>
                      </w:rPr>
                      <w:t> </w:t>
                    </w:r>
                    <w:r>
                      <w:rPr>
                        <w:b/>
                        <w:color w:val="585858"/>
                        <w:sz w:val="28"/>
                      </w:rPr>
                      <w:t>Depression</w:t>
                    </w:r>
                    <w:r>
                      <w:rPr>
                        <w:b/>
                        <w:color w:val="585858"/>
                        <w:spacing w:val="-10"/>
                        <w:sz w:val="28"/>
                      </w:rPr>
                      <w:t> </w:t>
                    </w:r>
                    <w:r>
                      <w:rPr>
                        <w:b/>
                        <w:color w:val="585858"/>
                        <w:sz w:val="28"/>
                      </w:rPr>
                      <w:t>within</w:t>
                    </w:r>
                    <w:r>
                      <w:rPr>
                        <w:b/>
                        <w:color w:val="585858"/>
                        <w:spacing w:val="-6"/>
                        <w:sz w:val="28"/>
                      </w:rPr>
                      <w:t> </w:t>
                    </w:r>
                    <w:r>
                      <w:rPr>
                        <w:b/>
                        <w:color w:val="585858"/>
                        <w:sz w:val="28"/>
                      </w:rPr>
                      <w:t>6</w:t>
                    </w:r>
                    <w:r>
                      <w:rPr>
                        <w:b/>
                        <w:color w:val="585858"/>
                        <w:spacing w:val="-4"/>
                        <w:sz w:val="28"/>
                      </w:rPr>
                      <w:t> </w:t>
                    </w:r>
                    <w:r>
                      <w:rPr>
                        <w:b/>
                        <w:color w:val="585858"/>
                        <w:sz w:val="28"/>
                      </w:rPr>
                      <w:t>Months</w:t>
                    </w:r>
                    <w:r>
                      <w:rPr>
                        <w:b/>
                        <w:color w:val="585858"/>
                        <w:spacing w:val="-5"/>
                        <w:sz w:val="28"/>
                      </w:rPr>
                      <w:t> </w:t>
                    </w:r>
                    <w:r>
                      <w:rPr>
                        <w:b/>
                        <w:color w:val="585858"/>
                        <w:sz w:val="28"/>
                      </w:rPr>
                      <w:t>Postpartum by Delivery Date</w:t>
                    </w:r>
                    <w:r>
                      <w:rPr>
                        <w:b/>
                        <w:color w:val="585858"/>
                        <w:spacing w:val="40"/>
                        <w:sz w:val="28"/>
                      </w:rPr>
                      <w:t> </w:t>
                    </w:r>
                    <w:r>
                      <w:rPr>
                        <w:b/>
                        <w:color w:val="585858"/>
                        <w:sz w:val="28"/>
                      </w:rPr>
                      <w:t>̶</w:t>
                    </w:r>
                    <w:r>
                      <w:rPr>
                        <w:b/>
                        <w:color w:val="585858"/>
                        <w:spacing w:val="40"/>
                        <w:sz w:val="28"/>
                      </w:rPr>
                      <w:t> </w:t>
                    </w:r>
                    <w:r>
                      <w:rPr>
                        <w:b/>
                        <w:color w:val="585858"/>
                        <w:sz w:val="28"/>
                      </w:rPr>
                      <w:t>Massachusetts, 2019</w:t>
                    </w:r>
                  </w:p>
                </w:txbxContent>
              </v:textbox>
              <w10:wrap type="none"/>
            </v:shape>
            <v:shape style="position:absolute;left:1568;top:1682;width:386;height:2421" type="#_x0000_t202" id="docshape63" filled="false" stroked="false">
              <v:textbox inset="0,0,0,0">
                <w:txbxContent>
                  <w:p>
                    <w:pPr>
                      <w:spacing w:line="183" w:lineRule="exact" w:before="0"/>
                      <w:ind w:left="0" w:right="0" w:firstLine="0"/>
                      <w:jc w:val="left"/>
                      <w:rPr>
                        <w:sz w:val="18"/>
                      </w:rPr>
                    </w:pPr>
                    <w:r>
                      <w:rPr>
                        <w:color w:val="585858"/>
                        <w:spacing w:val="-4"/>
                        <w:sz w:val="18"/>
                      </w:rPr>
                      <w:t>5000</w:t>
                    </w:r>
                  </w:p>
                  <w:p>
                    <w:pPr>
                      <w:spacing w:before="60"/>
                      <w:ind w:left="0" w:right="0" w:firstLine="0"/>
                      <w:jc w:val="left"/>
                      <w:rPr>
                        <w:sz w:val="18"/>
                      </w:rPr>
                    </w:pPr>
                    <w:r>
                      <w:rPr>
                        <w:color w:val="585858"/>
                        <w:spacing w:val="-4"/>
                        <w:sz w:val="18"/>
                      </w:rPr>
                      <w:t>4500</w:t>
                    </w:r>
                  </w:p>
                  <w:p>
                    <w:pPr>
                      <w:spacing w:before="60"/>
                      <w:ind w:left="0" w:right="0" w:firstLine="0"/>
                      <w:jc w:val="left"/>
                      <w:rPr>
                        <w:sz w:val="18"/>
                      </w:rPr>
                    </w:pPr>
                    <w:r>
                      <w:rPr>
                        <w:color w:val="585858"/>
                        <w:spacing w:val="-4"/>
                        <w:sz w:val="18"/>
                      </w:rPr>
                      <w:t>4000</w:t>
                    </w:r>
                  </w:p>
                  <w:p>
                    <w:pPr>
                      <w:spacing w:before="61"/>
                      <w:ind w:left="0" w:right="0" w:firstLine="0"/>
                      <w:jc w:val="left"/>
                      <w:rPr>
                        <w:sz w:val="18"/>
                      </w:rPr>
                    </w:pPr>
                    <w:r>
                      <w:rPr>
                        <w:color w:val="585858"/>
                        <w:spacing w:val="-4"/>
                        <w:sz w:val="18"/>
                      </w:rPr>
                      <w:t>3500</w:t>
                    </w:r>
                  </w:p>
                  <w:p>
                    <w:pPr>
                      <w:spacing w:before="60"/>
                      <w:ind w:left="0" w:right="0" w:firstLine="0"/>
                      <w:jc w:val="left"/>
                      <w:rPr>
                        <w:sz w:val="18"/>
                      </w:rPr>
                    </w:pPr>
                    <w:r>
                      <w:rPr>
                        <w:color w:val="585858"/>
                        <w:spacing w:val="-4"/>
                        <w:sz w:val="18"/>
                      </w:rPr>
                      <w:t>3000</w:t>
                    </w:r>
                  </w:p>
                  <w:p>
                    <w:pPr>
                      <w:spacing w:before="60"/>
                      <w:ind w:left="0" w:right="0" w:firstLine="0"/>
                      <w:jc w:val="left"/>
                      <w:rPr>
                        <w:sz w:val="18"/>
                      </w:rPr>
                    </w:pPr>
                    <w:r>
                      <w:rPr>
                        <w:color w:val="585858"/>
                        <w:spacing w:val="-4"/>
                        <w:sz w:val="18"/>
                      </w:rPr>
                      <w:t>2500</w:t>
                    </w:r>
                  </w:p>
                  <w:p>
                    <w:pPr>
                      <w:spacing w:before="61"/>
                      <w:ind w:left="0" w:right="0" w:firstLine="0"/>
                      <w:jc w:val="left"/>
                      <w:rPr>
                        <w:sz w:val="18"/>
                      </w:rPr>
                    </w:pPr>
                    <w:r>
                      <w:rPr>
                        <w:color w:val="585858"/>
                        <w:spacing w:val="-4"/>
                        <w:sz w:val="18"/>
                      </w:rPr>
                      <w:t>2000</w:t>
                    </w:r>
                  </w:p>
                  <w:p>
                    <w:pPr>
                      <w:spacing w:before="60"/>
                      <w:ind w:left="0" w:right="0" w:firstLine="0"/>
                      <w:jc w:val="left"/>
                      <w:rPr>
                        <w:sz w:val="18"/>
                      </w:rPr>
                    </w:pPr>
                    <w:r>
                      <w:rPr>
                        <w:color w:val="585858"/>
                        <w:spacing w:val="-4"/>
                        <w:sz w:val="18"/>
                      </w:rPr>
                      <w:t>1500</w:t>
                    </w:r>
                  </w:p>
                  <w:p>
                    <w:pPr>
                      <w:spacing w:line="216" w:lineRule="exact" w:before="61"/>
                      <w:ind w:left="0" w:right="0" w:firstLine="0"/>
                      <w:jc w:val="left"/>
                      <w:rPr>
                        <w:sz w:val="18"/>
                      </w:rPr>
                    </w:pPr>
                    <w:r>
                      <w:rPr>
                        <w:color w:val="585858"/>
                        <w:spacing w:val="-4"/>
                        <w:sz w:val="18"/>
                      </w:rPr>
                      <w:t>1000</w:t>
                    </w:r>
                  </w:p>
                </w:txbxContent>
              </v:textbox>
              <w10:wrap type="none"/>
            </v:shape>
            <v:shape style="position:absolute;left:5840;top:3005;width:386;height:180" type="#_x0000_t202" id="docshape64" filled="false" stroked="false">
              <v:textbox inset="0,0,0,0">
                <w:txbxContent>
                  <w:p>
                    <w:pPr>
                      <w:spacing w:line="180" w:lineRule="exact" w:before="0"/>
                      <w:ind w:left="0" w:right="0" w:firstLine="0"/>
                      <w:jc w:val="left"/>
                      <w:rPr>
                        <w:sz w:val="18"/>
                      </w:rPr>
                    </w:pPr>
                    <w:r>
                      <w:rPr>
                        <w:color w:val="404040"/>
                        <w:spacing w:val="-4"/>
                        <w:sz w:val="18"/>
                      </w:rPr>
                      <w:t>3321</w:t>
                    </w:r>
                  </w:p>
                </w:txbxContent>
              </v:textbox>
              <w10:wrap type="none"/>
            </v:shape>
            <v:shape style="position:absolute;left:6444;top:2967;width:386;height:180" type="#_x0000_t202" id="docshape65" filled="false" stroked="false">
              <v:textbox inset="0,0,0,0">
                <w:txbxContent>
                  <w:p>
                    <w:pPr>
                      <w:spacing w:line="180" w:lineRule="exact" w:before="0"/>
                      <w:ind w:left="0" w:right="0" w:firstLine="0"/>
                      <w:jc w:val="left"/>
                      <w:rPr>
                        <w:sz w:val="18"/>
                      </w:rPr>
                    </w:pPr>
                    <w:r>
                      <w:rPr>
                        <w:color w:val="404040"/>
                        <w:spacing w:val="-4"/>
                        <w:sz w:val="18"/>
                      </w:rPr>
                      <w:t>3394</w:t>
                    </w:r>
                  </w:p>
                </w:txbxContent>
              </v:textbox>
              <w10:wrap type="none"/>
            </v:shape>
            <v:shape style="position:absolute;left:2219;top:3168;width:386;height:180" type="#_x0000_t202" id="docshape66" filled="false" stroked="false">
              <v:textbox inset="0,0,0,0">
                <w:txbxContent>
                  <w:p>
                    <w:pPr>
                      <w:spacing w:line="180" w:lineRule="exact" w:before="0"/>
                      <w:ind w:left="0" w:right="0" w:firstLine="0"/>
                      <w:jc w:val="left"/>
                      <w:rPr>
                        <w:sz w:val="18"/>
                      </w:rPr>
                    </w:pPr>
                    <w:r>
                      <w:rPr>
                        <w:color w:val="404040"/>
                        <w:spacing w:val="-4"/>
                        <w:sz w:val="18"/>
                      </w:rPr>
                      <w:t>3073</w:t>
                    </w:r>
                  </w:p>
                </w:txbxContent>
              </v:textbox>
              <w10:wrap type="none"/>
            </v:shape>
            <v:shape style="position:absolute;left:7047;top:3043;width:989;height:209" type="#_x0000_t202" id="docshape67" filled="false" stroked="false">
              <v:textbox inset="0,0,0,0">
                <w:txbxContent>
                  <w:p>
                    <w:pPr>
                      <w:tabs>
                        <w:tab w:pos="603" w:val="left" w:leader="none"/>
                      </w:tabs>
                      <w:spacing w:line="187" w:lineRule="auto" w:before="0"/>
                      <w:ind w:left="0" w:right="0" w:firstLine="0"/>
                      <w:jc w:val="left"/>
                      <w:rPr>
                        <w:sz w:val="18"/>
                      </w:rPr>
                    </w:pPr>
                    <w:r>
                      <w:rPr>
                        <w:color w:val="404040"/>
                        <w:spacing w:val="-4"/>
                        <w:sz w:val="18"/>
                      </w:rPr>
                      <w:t>3138</w:t>
                    </w:r>
                    <w:r>
                      <w:rPr>
                        <w:color w:val="404040"/>
                        <w:sz w:val="18"/>
                      </w:rPr>
                      <w:tab/>
                    </w:r>
                    <w:r>
                      <w:rPr>
                        <w:color w:val="404040"/>
                        <w:spacing w:val="-4"/>
                        <w:position w:val="-2"/>
                        <w:sz w:val="18"/>
                      </w:rPr>
                      <w:t>3173</w:t>
                    </w:r>
                  </w:p>
                </w:txbxContent>
              </v:textbox>
              <w10:wrap type="none"/>
            </v:shape>
            <v:shape style="position:absolute;left:2822;top:3258;width:386;height:180" type="#_x0000_t202" id="docshape68" filled="false" stroked="false">
              <v:textbox inset="0,0,0,0">
                <w:txbxContent>
                  <w:p>
                    <w:pPr>
                      <w:spacing w:line="180" w:lineRule="exact" w:before="0"/>
                      <w:ind w:left="0" w:right="0" w:firstLine="0"/>
                      <w:jc w:val="left"/>
                      <w:rPr>
                        <w:sz w:val="18"/>
                      </w:rPr>
                    </w:pPr>
                    <w:r>
                      <w:rPr>
                        <w:color w:val="404040"/>
                        <w:spacing w:val="-4"/>
                        <w:sz w:val="18"/>
                      </w:rPr>
                      <w:t>2795</w:t>
                    </w:r>
                  </w:p>
                </w:txbxContent>
              </v:textbox>
              <w10:wrap type="none"/>
            </v:shape>
            <v:shape style="position:absolute;left:3426;top:3151;width:386;height:180" type="#_x0000_t202" id="docshape69" filled="false" stroked="false">
              <v:textbox inset="0,0,0,0">
                <w:txbxContent>
                  <w:p>
                    <w:pPr>
                      <w:spacing w:line="180" w:lineRule="exact" w:before="0"/>
                      <w:ind w:left="0" w:right="0" w:firstLine="0"/>
                      <w:jc w:val="left"/>
                      <w:rPr>
                        <w:sz w:val="18"/>
                      </w:rPr>
                    </w:pPr>
                    <w:r>
                      <w:rPr>
                        <w:color w:val="404040"/>
                        <w:spacing w:val="-4"/>
                        <w:sz w:val="18"/>
                      </w:rPr>
                      <w:t>3059</w:t>
                    </w:r>
                  </w:p>
                </w:txbxContent>
              </v:textbox>
              <w10:wrap type="none"/>
            </v:shape>
            <v:shape style="position:absolute;left:4030;top:3129;width:386;height:180" type="#_x0000_t202" id="docshape70" filled="false" stroked="false">
              <v:textbox inset="0,0,0,0">
                <w:txbxContent>
                  <w:p>
                    <w:pPr>
                      <w:spacing w:line="180" w:lineRule="exact" w:before="0"/>
                      <w:ind w:left="0" w:right="0" w:firstLine="0"/>
                      <w:jc w:val="left"/>
                      <w:rPr>
                        <w:sz w:val="18"/>
                      </w:rPr>
                    </w:pPr>
                    <w:r>
                      <w:rPr>
                        <w:color w:val="404040"/>
                        <w:spacing w:val="-4"/>
                        <w:sz w:val="18"/>
                      </w:rPr>
                      <w:t>3044</w:t>
                    </w:r>
                  </w:p>
                </w:txbxContent>
              </v:textbox>
              <w10:wrap type="none"/>
            </v:shape>
            <v:shape style="position:absolute;left:4633;top:3086;width:386;height:180" type="#_x0000_t202" id="docshape71" filled="false" stroked="false">
              <v:textbox inset="0,0,0,0">
                <w:txbxContent>
                  <w:p>
                    <w:pPr>
                      <w:spacing w:line="180" w:lineRule="exact" w:before="0"/>
                      <w:ind w:left="0" w:right="0" w:firstLine="0"/>
                      <w:jc w:val="left"/>
                      <w:rPr>
                        <w:sz w:val="18"/>
                      </w:rPr>
                    </w:pPr>
                    <w:r>
                      <w:rPr>
                        <w:color w:val="404040"/>
                        <w:spacing w:val="-4"/>
                        <w:sz w:val="18"/>
                      </w:rPr>
                      <w:t>3185</w:t>
                    </w:r>
                  </w:p>
                </w:txbxContent>
              </v:textbox>
              <w10:wrap type="none"/>
            </v:shape>
            <v:shape style="position:absolute;left:5237;top:3138;width:386;height:180" type="#_x0000_t202" id="docshape72" filled="false" stroked="false">
              <v:textbox inset="0,0,0,0">
                <w:txbxContent>
                  <w:p>
                    <w:pPr>
                      <w:spacing w:line="180" w:lineRule="exact" w:before="0"/>
                      <w:ind w:left="0" w:right="0" w:firstLine="0"/>
                      <w:jc w:val="left"/>
                      <w:rPr>
                        <w:sz w:val="18"/>
                      </w:rPr>
                    </w:pPr>
                    <w:r>
                      <w:rPr>
                        <w:color w:val="404040"/>
                        <w:spacing w:val="-4"/>
                        <w:sz w:val="18"/>
                      </w:rPr>
                      <w:t>2995</w:t>
                    </w:r>
                  </w:p>
                </w:txbxContent>
              </v:textbox>
              <w10:wrap type="none"/>
            </v:shape>
            <v:shape style="position:absolute;left:8254;top:3189;width:989;height:201" type="#_x0000_t202" id="docshape73" filled="false" stroked="false">
              <v:textbox inset="0,0,0,0">
                <w:txbxContent>
                  <w:p>
                    <w:pPr>
                      <w:tabs>
                        <w:tab w:pos="603" w:val="left" w:leader="none"/>
                      </w:tabs>
                      <w:spacing w:line="200" w:lineRule="exact" w:before="0"/>
                      <w:ind w:left="0" w:right="0" w:firstLine="0"/>
                      <w:jc w:val="left"/>
                      <w:rPr>
                        <w:sz w:val="18"/>
                      </w:rPr>
                    </w:pPr>
                    <w:r>
                      <w:rPr>
                        <w:color w:val="404040"/>
                        <w:spacing w:val="-4"/>
                        <w:sz w:val="18"/>
                      </w:rPr>
                      <w:t>2917</w:t>
                    </w:r>
                    <w:r>
                      <w:rPr>
                        <w:color w:val="404040"/>
                        <w:sz w:val="18"/>
                      </w:rPr>
                      <w:tab/>
                    </w:r>
                    <w:r>
                      <w:rPr>
                        <w:color w:val="404040"/>
                        <w:spacing w:val="-4"/>
                        <w:position w:val="-1"/>
                        <w:sz w:val="18"/>
                      </w:rPr>
                      <w:t>2881</w:t>
                    </w:r>
                  </w:p>
                </w:txbxContent>
              </v:textbox>
              <w10:wrap type="none"/>
            </v:shape>
            <v:shape style="position:absolute;left:1660;top:4203;width:294;height:461" type="#_x0000_t202" id="docshape74" filled="false" stroked="false">
              <v:textbox inset="0,0,0,0">
                <w:txbxContent>
                  <w:p>
                    <w:pPr>
                      <w:spacing w:line="183" w:lineRule="exact" w:before="0"/>
                      <w:ind w:left="0" w:right="18" w:firstLine="0"/>
                      <w:jc w:val="right"/>
                      <w:rPr>
                        <w:sz w:val="18"/>
                      </w:rPr>
                    </w:pPr>
                    <w:r>
                      <w:rPr>
                        <w:color w:val="585858"/>
                        <w:spacing w:val="-5"/>
                        <w:sz w:val="18"/>
                      </w:rPr>
                      <w:t>500</w:t>
                    </w:r>
                  </w:p>
                  <w:p>
                    <w:pPr>
                      <w:spacing w:line="216" w:lineRule="exact" w:before="60"/>
                      <w:ind w:left="0" w:right="18" w:firstLine="0"/>
                      <w:jc w:val="right"/>
                      <w:rPr>
                        <w:sz w:val="18"/>
                      </w:rPr>
                    </w:pPr>
                    <w:r>
                      <w:rPr>
                        <w:color w:val="585858"/>
                        <w:sz w:val="18"/>
                      </w:rPr>
                      <w:t>0</w:t>
                    </w:r>
                  </w:p>
                </w:txbxContent>
              </v:textbox>
              <w10:wrap type="none"/>
            </v:shape>
            <v:shape style="position:absolute;left:2265;top:4261;width:294;height:180" type="#_x0000_t202" id="docshape75" filled="false" stroked="false">
              <v:textbox inset="0,0,0,0">
                <w:txbxContent>
                  <w:p>
                    <w:pPr>
                      <w:spacing w:line="180" w:lineRule="exact" w:before="0"/>
                      <w:ind w:left="0" w:right="0" w:firstLine="0"/>
                      <w:jc w:val="left"/>
                      <w:rPr>
                        <w:sz w:val="18"/>
                      </w:rPr>
                    </w:pPr>
                    <w:r>
                      <w:rPr>
                        <w:color w:val="1F3863"/>
                        <w:spacing w:val="-5"/>
                        <w:sz w:val="18"/>
                      </w:rPr>
                      <w:t>829</w:t>
                    </w:r>
                  </w:p>
                </w:txbxContent>
              </v:textbox>
              <w10:wrap type="none"/>
            </v:shape>
            <v:shape style="position:absolute;left:2869;top:4205;width:6330;height:242" type="#_x0000_t202" id="docshape76" filled="false" stroked="false">
              <v:textbox inset="0,0,0,0">
                <w:txbxContent>
                  <w:p>
                    <w:pPr>
                      <w:tabs>
                        <w:tab w:pos="603" w:val="left" w:leader="none"/>
                        <w:tab w:pos="1206" w:val="left" w:leader="none"/>
                        <w:tab w:pos="1810" w:val="left" w:leader="none"/>
                        <w:tab w:pos="2414" w:val="left" w:leader="none"/>
                        <w:tab w:pos="3017" w:val="left" w:leader="none"/>
                        <w:tab w:pos="3575" w:val="left" w:leader="none"/>
                        <w:tab w:pos="4179" w:val="left" w:leader="none"/>
                        <w:tab w:pos="4828" w:val="left" w:leader="none"/>
                        <w:tab w:pos="5431" w:val="left" w:leader="none"/>
                        <w:tab w:pos="6035" w:val="left" w:leader="none"/>
                      </w:tabs>
                      <w:spacing w:line="228" w:lineRule="auto" w:before="0"/>
                      <w:ind w:left="0" w:right="0" w:firstLine="0"/>
                      <w:jc w:val="left"/>
                      <w:rPr>
                        <w:sz w:val="18"/>
                      </w:rPr>
                    </w:pPr>
                    <w:r>
                      <w:rPr>
                        <w:color w:val="1F3863"/>
                        <w:spacing w:val="-5"/>
                        <w:position w:val="-2"/>
                        <w:sz w:val="18"/>
                      </w:rPr>
                      <w:t>808</w:t>
                    </w:r>
                    <w:r>
                      <w:rPr>
                        <w:color w:val="1F3863"/>
                        <w:position w:val="-2"/>
                        <w:sz w:val="18"/>
                      </w:rPr>
                      <w:tab/>
                    </w:r>
                    <w:r>
                      <w:rPr>
                        <w:color w:val="1F3863"/>
                        <w:spacing w:val="-5"/>
                        <w:position w:val="0"/>
                        <w:sz w:val="18"/>
                      </w:rPr>
                      <w:t>867</w:t>
                    </w:r>
                    <w:r>
                      <w:rPr>
                        <w:color w:val="1F3863"/>
                        <w:position w:val="0"/>
                        <w:sz w:val="18"/>
                      </w:rPr>
                      <w:tab/>
                    </w:r>
                    <w:r>
                      <w:rPr>
                        <w:color w:val="1F3863"/>
                        <w:spacing w:val="-5"/>
                        <w:sz w:val="18"/>
                      </w:rPr>
                      <w:t>914</w:t>
                    </w:r>
                    <w:r>
                      <w:rPr>
                        <w:color w:val="1F3863"/>
                        <w:sz w:val="18"/>
                      </w:rPr>
                      <w:tab/>
                    </w:r>
                    <w:r>
                      <w:rPr>
                        <w:color w:val="1F3863"/>
                        <w:spacing w:val="-5"/>
                        <w:sz w:val="18"/>
                      </w:rPr>
                      <w:t>919</w:t>
                    </w:r>
                    <w:r>
                      <w:rPr>
                        <w:color w:val="1F3863"/>
                        <w:sz w:val="18"/>
                      </w:rPr>
                      <w:tab/>
                    </w:r>
                    <w:r>
                      <w:rPr>
                        <w:color w:val="1F3863"/>
                        <w:spacing w:val="-5"/>
                        <w:sz w:val="18"/>
                      </w:rPr>
                      <w:t>922</w:t>
                    </w:r>
                    <w:r>
                      <w:rPr>
                        <w:color w:val="1F3863"/>
                        <w:sz w:val="18"/>
                      </w:rPr>
                      <w:tab/>
                    </w:r>
                    <w:r>
                      <w:rPr>
                        <w:color w:val="1F3863"/>
                        <w:spacing w:val="-5"/>
                        <w:position w:val="2"/>
                        <w:sz w:val="18"/>
                      </w:rPr>
                      <w:t>997</w:t>
                    </w:r>
                    <w:r>
                      <w:rPr>
                        <w:color w:val="1F3863"/>
                        <w:position w:val="2"/>
                        <w:sz w:val="18"/>
                      </w:rPr>
                      <w:tab/>
                    </w:r>
                    <w:r>
                      <w:rPr>
                        <w:color w:val="1F3863"/>
                        <w:spacing w:val="-4"/>
                        <w:position w:val="3"/>
                        <w:sz w:val="18"/>
                      </w:rPr>
                      <w:t>1027</w:t>
                    </w:r>
                    <w:r>
                      <w:rPr>
                        <w:color w:val="1F3863"/>
                        <w:position w:val="3"/>
                        <w:sz w:val="18"/>
                      </w:rPr>
                      <w:tab/>
                    </w:r>
                    <w:r>
                      <w:rPr>
                        <w:color w:val="1F3863"/>
                        <w:spacing w:val="-4"/>
                        <w:position w:val="3"/>
                        <w:sz w:val="18"/>
                      </w:rPr>
                      <w:t>1020</w:t>
                    </w:r>
                    <w:r>
                      <w:rPr>
                        <w:color w:val="1F3863"/>
                        <w:position w:val="3"/>
                        <w:sz w:val="18"/>
                      </w:rPr>
                      <w:tab/>
                    </w:r>
                    <w:r>
                      <w:rPr>
                        <w:color w:val="1F3863"/>
                        <w:spacing w:val="-5"/>
                        <w:position w:val="1"/>
                        <w:sz w:val="18"/>
                      </w:rPr>
                      <w:t>951</w:t>
                    </w:r>
                    <w:r>
                      <w:rPr>
                        <w:color w:val="1F3863"/>
                        <w:position w:val="1"/>
                        <w:sz w:val="18"/>
                      </w:rPr>
                      <w:tab/>
                    </w:r>
                    <w:r>
                      <w:rPr>
                        <w:color w:val="1F3863"/>
                        <w:spacing w:val="-5"/>
                        <w:position w:val="0"/>
                        <w:sz w:val="18"/>
                      </w:rPr>
                      <w:t>870</w:t>
                    </w:r>
                    <w:r>
                      <w:rPr>
                        <w:color w:val="1F3863"/>
                        <w:position w:val="0"/>
                        <w:sz w:val="18"/>
                      </w:rPr>
                      <w:tab/>
                    </w:r>
                    <w:r>
                      <w:rPr>
                        <w:color w:val="1F3863"/>
                        <w:spacing w:val="-5"/>
                        <w:position w:val="-1"/>
                        <w:sz w:val="18"/>
                      </w:rPr>
                      <w:t>852</w:t>
                    </w:r>
                  </w:p>
                </w:txbxContent>
              </v:textbox>
              <w10:wrap type="none"/>
            </v:shape>
            <v:shape style="position:absolute;left:2164;top:4716;width:7155;height:580" type="#_x0000_t202" id="docshape77" filled="false" stroked="false">
              <v:textbox inset="0,0,0,0">
                <w:txbxContent>
                  <w:p>
                    <w:pPr>
                      <w:spacing w:line="183" w:lineRule="exact" w:before="0"/>
                      <w:ind w:left="0" w:right="0" w:firstLine="0"/>
                      <w:jc w:val="left"/>
                      <w:rPr>
                        <w:sz w:val="18"/>
                      </w:rPr>
                    </w:pPr>
                    <w:r>
                      <w:rPr>
                        <w:color w:val="585858"/>
                        <w:sz w:val="18"/>
                      </w:rPr>
                      <w:t>Jan-19</w:t>
                    </w:r>
                    <w:r>
                      <w:rPr>
                        <w:color w:val="585858"/>
                        <w:spacing w:val="69"/>
                        <w:sz w:val="18"/>
                      </w:rPr>
                      <w:t> </w:t>
                    </w:r>
                    <w:r>
                      <w:rPr>
                        <w:color w:val="585858"/>
                        <w:sz w:val="18"/>
                      </w:rPr>
                      <w:t>Feb-19</w:t>
                    </w:r>
                    <w:r>
                      <w:rPr>
                        <w:color w:val="585858"/>
                        <w:spacing w:val="38"/>
                        <w:sz w:val="18"/>
                      </w:rPr>
                      <w:t> </w:t>
                    </w:r>
                    <w:r>
                      <w:rPr>
                        <w:color w:val="585858"/>
                        <w:sz w:val="18"/>
                      </w:rPr>
                      <w:t>Mar-19</w:t>
                    </w:r>
                    <w:r>
                      <w:rPr>
                        <w:color w:val="585858"/>
                        <w:spacing w:val="40"/>
                        <w:sz w:val="18"/>
                      </w:rPr>
                      <w:t> </w:t>
                    </w:r>
                    <w:r>
                      <w:rPr>
                        <w:color w:val="585858"/>
                        <w:sz w:val="18"/>
                      </w:rPr>
                      <w:t>Apr-19</w:t>
                    </w:r>
                    <w:r>
                      <w:rPr>
                        <w:color w:val="585858"/>
                        <w:spacing w:val="32"/>
                        <w:sz w:val="18"/>
                      </w:rPr>
                      <w:t> </w:t>
                    </w:r>
                    <w:r>
                      <w:rPr>
                        <w:color w:val="585858"/>
                        <w:sz w:val="18"/>
                      </w:rPr>
                      <w:t>May-19</w:t>
                    </w:r>
                    <w:r>
                      <w:rPr>
                        <w:color w:val="585858"/>
                        <w:spacing w:val="38"/>
                        <w:sz w:val="18"/>
                      </w:rPr>
                      <w:t> </w:t>
                    </w:r>
                    <w:r>
                      <w:rPr>
                        <w:color w:val="585858"/>
                        <w:sz w:val="18"/>
                      </w:rPr>
                      <w:t>Jun-19</w:t>
                    </w:r>
                    <w:r>
                      <w:rPr>
                        <w:color w:val="585858"/>
                        <w:spacing w:val="30"/>
                        <w:sz w:val="18"/>
                      </w:rPr>
                      <w:t>  </w:t>
                    </w:r>
                    <w:r>
                      <w:rPr>
                        <w:color w:val="585858"/>
                        <w:sz w:val="18"/>
                      </w:rPr>
                      <w:t>Jul-19</w:t>
                    </w:r>
                    <w:r>
                      <w:rPr>
                        <w:color w:val="585858"/>
                        <w:spacing w:val="62"/>
                        <w:w w:val="150"/>
                        <w:sz w:val="18"/>
                      </w:rPr>
                      <w:t> </w:t>
                    </w:r>
                    <w:r>
                      <w:rPr>
                        <w:color w:val="585858"/>
                        <w:sz w:val="18"/>
                      </w:rPr>
                      <w:t>Aug-19</w:t>
                    </w:r>
                    <w:r>
                      <w:rPr>
                        <w:color w:val="585858"/>
                        <w:spacing w:val="47"/>
                        <w:sz w:val="18"/>
                      </w:rPr>
                      <w:t> </w:t>
                    </w:r>
                    <w:r>
                      <w:rPr>
                        <w:color w:val="585858"/>
                        <w:sz w:val="18"/>
                      </w:rPr>
                      <w:t>Sep-19</w:t>
                    </w:r>
                    <w:r>
                      <w:rPr>
                        <w:color w:val="585858"/>
                        <w:spacing w:val="61"/>
                        <w:sz w:val="18"/>
                      </w:rPr>
                      <w:t> </w:t>
                    </w:r>
                    <w:r>
                      <w:rPr>
                        <w:color w:val="585858"/>
                        <w:sz w:val="18"/>
                      </w:rPr>
                      <w:t>Oct-19</w:t>
                    </w:r>
                    <w:r>
                      <w:rPr>
                        <w:color w:val="585858"/>
                        <w:spacing w:val="49"/>
                        <w:sz w:val="18"/>
                      </w:rPr>
                      <w:t> </w:t>
                    </w:r>
                    <w:r>
                      <w:rPr>
                        <w:color w:val="585858"/>
                        <w:sz w:val="18"/>
                      </w:rPr>
                      <w:t>Nov-19</w:t>
                    </w:r>
                    <w:r>
                      <w:rPr>
                        <w:color w:val="585858"/>
                        <w:spacing w:val="37"/>
                        <w:sz w:val="18"/>
                      </w:rPr>
                      <w:t> </w:t>
                    </w:r>
                    <w:r>
                      <w:rPr>
                        <w:color w:val="585858"/>
                        <w:sz w:val="18"/>
                      </w:rPr>
                      <w:t>Dec-</w:t>
                    </w:r>
                    <w:r>
                      <w:rPr>
                        <w:color w:val="585858"/>
                        <w:spacing w:val="-5"/>
                        <w:sz w:val="18"/>
                      </w:rPr>
                      <w:t>19</w:t>
                    </w:r>
                  </w:p>
                  <w:p>
                    <w:pPr>
                      <w:spacing w:line="240" w:lineRule="auto" w:before="8"/>
                      <w:rPr>
                        <w:sz w:val="14"/>
                      </w:rPr>
                    </w:pPr>
                  </w:p>
                  <w:p>
                    <w:pPr>
                      <w:tabs>
                        <w:tab w:pos="1015" w:val="left" w:leader="none"/>
                      </w:tabs>
                      <w:spacing w:line="216" w:lineRule="exact" w:before="1"/>
                      <w:ind w:left="0" w:right="263" w:firstLine="0"/>
                      <w:jc w:val="center"/>
                      <w:rPr>
                        <w:sz w:val="18"/>
                      </w:rPr>
                    </w:pPr>
                    <w:r>
                      <w:rPr>
                        <w:color w:val="585858"/>
                        <w:spacing w:val="-2"/>
                        <w:sz w:val="18"/>
                      </w:rPr>
                      <w:t>Screened</w:t>
                    </w:r>
                    <w:r>
                      <w:rPr>
                        <w:color w:val="585858"/>
                        <w:sz w:val="18"/>
                      </w:rPr>
                      <w:tab/>
                      <w:t>Not</w:t>
                    </w:r>
                    <w:r>
                      <w:rPr>
                        <w:color w:val="585858"/>
                        <w:spacing w:val="-1"/>
                        <w:sz w:val="18"/>
                      </w:rPr>
                      <w:t> </w:t>
                    </w:r>
                    <w:r>
                      <w:rPr>
                        <w:color w:val="585858"/>
                        <w:spacing w:val="-2"/>
                        <w:sz w:val="18"/>
                      </w:rPr>
                      <w:t>Screened</w:t>
                    </w:r>
                  </w:p>
                </w:txbxContent>
              </v:textbox>
              <w10:wrap type="none"/>
            </v:shape>
            <w10:wrap type="topAndBottom"/>
          </v:group>
        </w:pict>
      </w:r>
    </w:p>
    <w:p>
      <w:pPr>
        <w:spacing w:after="0"/>
        <w:rPr>
          <w:sz w:val="25"/>
        </w:rPr>
        <w:sectPr>
          <w:pgSz w:w="12240" w:h="15840"/>
          <w:pgMar w:header="0" w:footer="765" w:top="1680" w:bottom="960" w:left="1060" w:right="380"/>
        </w:sectPr>
      </w:pPr>
    </w:p>
    <w:p>
      <w:pPr>
        <w:pStyle w:val="BodyText"/>
        <w:spacing w:before="7"/>
        <w:rPr>
          <w:b/>
          <w:sz w:val="12"/>
        </w:rPr>
      </w:pPr>
    </w:p>
    <w:p>
      <w:pPr>
        <w:pStyle w:val="Heading2"/>
        <w:spacing w:before="51"/>
        <w:ind w:left="800"/>
      </w:pPr>
      <w:r>
        <w:rPr/>
        <w:t>Table</w:t>
      </w:r>
      <w:r>
        <w:rPr>
          <w:spacing w:val="-4"/>
        </w:rPr>
        <w:t> </w:t>
      </w:r>
      <w:r>
        <w:rPr/>
        <w:t>1.</w:t>
      </w:r>
      <w:r>
        <w:rPr>
          <w:spacing w:val="-1"/>
        </w:rPr>
        <w:t> </w:t>
      </w:r>
      <w:r>
        <w:rPr/>
        <w:t>Women’s</w:t>
      </w:r>
      <w:r>
        <w:rPr>
          <w:spacing w:val="-1"/>
        </w:rPr>
        <w:t> </w:t>
      </w:r>
      <w:r>
        <w:rPr/>
        <w:t>Characteristics</w:t>
      </w:r>
      <w:r>
        <w:rPr>
          <w:spacing w:val="-4"/>
        </w:rPr>
        <w:t> </w:t>
      </w:r>
      <w:r>
        <w:rPr/>
        <w:t>by</w:t>
      </w:r>
      <w:r>
        <w:rPr>
          <w:spacing w:val="-2"/>
        </w:rPr>
        <w:t> </w:t>
      </w:r>
      <w:r>
        <w:rPr/>
        <w:t>Status</w:t>
      </w:r>
      <w:r>
        <w:rPr>
          <w:spacing w:val="-4"/>
        </w:rPr>
        <w:t> </w:t>
      </w:r>
      <w:r>
        <w:rPr/>
        <w:t>of</w:t>
      </w:r>
      <w:r>
        <w:rPr>
          <w:spacing w:val="-3"/>
        </w:rPr>
        <w:t> </w:t>
      </w:r>
      <w:r>
        <w:rPr/>
        <w:t>PPD</w:t>
      </w:r>
      <w:r>
        <w:rPr>
          <w:spacing w:val="-2"/>
        </w:rPr>
        <w:t> </w:t>
      </w:r>
      <w:r>
        <w:rPr/>
        <w:t>Screening,</w:t>
      </w:r>
      <w:r>
        <w:rPr>
          <w:spacing w:val="-1"/>
        </w:rPr>
        <w:t> </w:t>
      </w:r>
      <w:r>
        <w:rPr/>
        <w:t>Jan</w:t>
      </w:r>
      <w:r>
        <w:rPr>
          <w:spacing w:val="-3"/>
        </w:rPr>
        <w:t> </w:t>
      </w:r>
      <w:r>
        <w:rPr/>
        <w:t>2019</w:t>
      </w:r>
      <w:r>
        <w:rPr>
          <w:spacing w:val="-3"/>
        </w:rPr>
        <w:t> </w:t>
      </w:r>
      <w:r>
        <w:rPr/>
        <w:t>-Dec</w:t>
      </w:r>
      <w:r>
        <w:rPr>
          <w:spacing w:val="-1"/>
        </w:rPr>
        <w:t> </w:t>
      </w:r>
      <w:r>
        <w:rPr/>
        <w:t>2019, </w:t>
      </w:r>
      <w:r>
        <w:rPr>
          <w:spacing w:val="-5"/>
        </w:rPr>
        <w:t>MA</w:t>
      </w:r>
    </w:p>
    <w:p>
      <w:pPr>
        <w:pStyle w:val="BodyText"/>
        <w:rPr>
          <w:b/>
          <w:sz w:val="20"/>
        </w:rPr>
      </w:pPr>
    </w:p>
    <w:p>
      <w:pPr>
        <w:pStyle w:val="BodyText"/>
        <w:rPr>
          <w:b/>
          <w:sz w:val="20"/>
        </w:rPr>
      </w:pPr>
    </w:p>
    <w:p>
      <w:pPr>
        <w:pStyle w:val="BodyText"/>
        <w:spacing w:before="2"/>
        <w:rPr>
          <w:b/>
          <w:sz w:val="23"/>
        </w:rPr>
      </w:pPr>
    </w:p>
    <w:tbl>
      <w:tblPr>
        <w:tblW w:w="0" w:type="auto"/>
        <w:jc w:val="left"/>
        <w:tblInd w:w="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7"/>
        <w:gridCol w:w="1415"/>
        <w:gridCol w:w="995"/>
        <w:gridCol w:w="1318"/>
        <w:gridCol w:w="731"/>
      </w:tblGrid>
      <w:tr>
        <w:trPr>
          <w:trHeight w:val="339" w:hRule="atLeast"/>
        </w:trPr>
        <w:tc>
          <w:tcPr>
            <w:tcW w:w="7416" w:type="dxa"/>
            <w:gridSpan w:val="5"/>
            <w:tcBorders>
              <w:top w:val="single" w:sz="4" w:space="0" w:color="000000"/>
            </w:tcBorders>
          </w:tcPr>
          <w:p>
            <w:pPr>
              <w:pStyle w:val="TableParagraph"/>
              <w:tabs>
                <w:tab w:pos="4862" w:val="left" w:leader="none"/>
                <w:tab w:pos="7415" w:val="left" w:leader="none"/>
              </w:tabs>
              <w:spacing w:before="49"/>
              <w:ind w:left="3074"/>
              <w:rPr>
                <w:b/>
                <w:sz w:val="20"/>
              </w:rPr>
            </w:pPr>
            <w:r>
              <w:rPr>
                <w:b/>
                <w:sz w:val="20"/>
                <w:u w:val="single"/>
              </w:rPr>
              <w:tab/>
            </w:r>
            <w:r>
              <w:rPr>
                <w:b/>
                <w:spacing w:val="-2"/>
                <w:sz w:val="20"/>
                <w:u w:val="single"/>
              </w:rPr>
              <w:t>Screened</w:t>
            </w:r>
            <w:r>
              <w:rPr>
                <w:b/>
                <w:sz w:val="20"/>
                <w:u w:val="single"/>
              </w:rPr>
              <w:tab/>
            </w:r>
          </w:p>
        </w:tc>
      </w:tr>
      <w:tr>
        <w:trPr>
          <w:trHeight w:val="301" w:hRule="atLeast"/>
        </w:trPr>
        <w:tc>
          <w:tcPr>
            <w:tcW w:w="2957" w:type="dxa"/>
          </w:tcPr>
          <w:p>
            <w:pPr>
              <w:pStyle w:val="TableParagraph"/>
              <w:spacing w:before="0"/>
              <w:rPr>
                <w:rFonts w:ascii="Times New Roman"/>
                <w:sz w:val="20"/>
              </w:rPr>
            </w:pPr>
          </w:p>
        </w:tc>
        <w:tc>
          <w:tcPr>
            <w:tcW w:w="1415" w:type="dxa"/>
          </w:tcPr>
          <w:p>
            <w:pPr>
              <w:pStyle w:val="TableParagraph"/>
              <w:tabs>
                <w:tab w:pos="1017" w:val="left" w:leader="none"/>
                <w:tab w:pos="2157" w:val="left" w:leader="none"/>
              </w:tabs>
              <w:ind w:left="117" w:right="-749"/>
              <w:rPr>
                <w:b/>
                <w:sz w:val="20"/>
              </w:rPr>
            </w:pPr>
            <w:r>
              <w:rPr>
                <w:b/>
                <w:sz w:val="20"/>
                <w:u w:val="single"/>
              </w:rPr>
              <w:tab/>
            </w:r>
            <w:r>
              <w:rPr>
                <w:b/>
                <w:spacing w:val="-5"/>
                <w:sz w:val="20"/>
                <w:u w:val="single"/>
              </w:rPr>
              <w:t>No</w:t>
            </w:r>
            <w:r>
              <w:rPr>
                <w:b/>
                <w:sz w:val="20"/>
                <w:u w:val="single"/>
              </w:rPr>
              <w:tab/>
            </w:r>
          </w:p>
        </w:tc>
        <w:tc>
          <w:tcPr>
            <w:tcW w:w="995" w:type="dxa"/>
          </w:tcPr>
          <w:p>
            <w:pPr>
              <w:pStyle w:val="TableParagraph"/>
              <w:spacing w:before="0"/>
              <w:rPr>
                <w:rFonts w:ascii="Times New Roman"/>
                <w:sz w:val="20"/>
              </w:rPr>
            </w:pPr>
          </w:p>
        </w:tc>
        <w:tc>
          <w:tcPr>
            <w:tcW w:w="2049" w:type="dxa"/>
            <w:gridSpan w:val="2"/>
          </w:tcPr>
          <w:p>
            <w:pPr>
              <w:pStyle w:val="TableParagraph"/>
              <w:tabs>
                <w:tab w:pos="887" w:val="left" w:leader="none"/>
                <w:tab w:pos="2048" w:val="left" w:leader="none"/>
              </w:tabs>
              <w:ind w:left="9"/>
              <w:rPr>
                <w:b/>
                <w:sz w:val="20"/>
              </w:rPr>
            </w:pPr>
            <w:r>
              <w:rPr>
                <w:b/>
                <w:sz w:val="20"/>
                <w:u w:val="single"/>
              </w:rPr>
              <w:tab/>
            </w:r>
            <w:r>
              <w:rPr>
                <w:b/>
                <w:spacing w:val="-5"/>
                <w:sz w:val="20"/>
                <w:u w:val="single"/>
              </w:rPr>
              <w:t>Yes</w:t>
            </w:r>
            <w:r>
              <w:rPr>
                <w:b/>
                <w:sz w:val="20"/>
                <w:u w:val="single"/>
              </w:rPr>
              <w:tab/>
            </w:r>
          </w:p>
        </w:tc>
      </w:tr>
      <w:tr>
        <w:trPr>
          <w:trHeight w:val="253" w:hRule="atLeast"/>
        </w:trPr>
        <w:tc>
          <w:tcPr>
            <w:tcW w:w="2957" w:type="dxa"/>
            <w:tcBorders>
              <w:bottom w:val="single" w:sz="4" w:space="0" w:color="000000"/>
            </w:tcBorders>
          </w:tcPr>
          <w:p>
            <w:pPr>
              <w:pStyle w:val="TableParagraph"/>
              <w:spacing w:before="0"/>
              <w:rPr>
                <w:rFonts w:ascii="Times New Roman"/>
                <w:sz w:val="18"/>
              </w:rPr>
            </w:pPr>
          </w:p>
        </w:tc>
        <w:tc>
          <w:tcPr>
            <w:tcW w:w="1415" w:type="dxa"/>
            <w:tcBorders>
              <w:bottom w:val="single" w:sz="4" w:space="0" w:color="000000"/>
            </w:tcBorders>
          </w:tcPr>
          <w:p>
            <w:pPr>
              <w:pStyle w:val="TableParagraph"/>
              <w:spacing w:line="223" w:lineRule="exact" w:before="10"/>
              <w:ind w:right="158"/>
              <w:jc w:val="center"/>
              <w:rPr>
                <w:b/>
                <w:sz w:val="20"/>
              </w:rPr>
            </w:pPr>
            <w:r>
              <w:rPr>
                <w:b/>
                <w:w w:val="99"/>
                <w:sz w:val="20"/>
              </w:rPr>
              <w:t>N</w:t>
            </w:r>
          </w:p>
        </w:tc>
        <w:tc>
          <w:tcPr>
            <w:tcW w:w="995" w:type="dxa"/>
            <w:tcBorders>
              <w:bottom w:val="single" w:sz="4" w:space="0" w:color="000000"/>
            </w:tcBorders>
          </w:tcPr>
          <w:p>
            <w:pPr>
              <w:pStyle w:val="TableParagraph"/>
              <w:spacing w:line="223" w:lineRule="exact" w:before="10"/>
              <w:ind w:left="159"/>
              <w:rPr>
                <w:b/>
                <w:sz w:val="20"/>
              </w:rPr>
            </w:pPr>
            <w:r>
              <w:rPr>
                <w:b/>
                <w:w w:val="99"/>
                <w:sz w:val="20"/>
              </w:rPr>
              <w:t>%</w:t>
            </w:r>
          </w:p>
        </w:tc>
        <w:tc>
          <w:tcPr>
            <w:tcW w:w="1318" w:type="dxa"/>
            <w:tcBorders>
              <w:bottom w:val="single" w:sz="4" w:space="0" w:color="000000"/>
            </w:tcBorders>
          </w:tcPr>
          <w:p>
            <w:pPr>
              <w:pStyle w:val="TableParagraph"/>
              <w:spacing w:line="223" w:lineRule="exact" w:before="10"/>
              <w:ind w:left="453"/>
              <w:rPr>
                <w:b/>
                <w:sz w:val="20"/>
              </w:rPr>
            </w:pPr>
            <w:r>
              <w:rPr>
                <w:b/>
                <w:w w:val="99"/>
                <w:sz w:val="20"/>
              </w:rPr>
              <w:t>N</w:t>
            </w:r>
          </w:p>
        </w:tc>
        <w:tc>
          <w:tcPr>
            <w:tcW w:w="731" w:type="dxa"/>
            <w:tcBorders>
              <w:bottom w:val="single" w:sz="4" w:space="0" w:color="000000"/>
            </w:tcBorders>
          </w:tcPr>
          <w:p>
            <w:pPr>
              <w:pStyle w:val="TableParagraph"/>
              <w:spacing w:line="223" w:lineRule="exact" w:before="10"/>
              <w:ind w:left="147"/>
              <w:rPr>
                <w:b/>
                <w:sz w:val="20"/>
              </w:rPr>
            </w:pPr>
            <w:r>
              <w:rPr>
                <w:b/>
                <w:w w:val="99"/>
                <w:sz w:val="20"/>
              </w:rPr>
              <w:t>%</w:t>
            </w:r>
          </w:p>
        </w:tc>
      </w:tr>
      <w:tr>
        <w:trPr>
          <w:trHeight w:val="347" w:hRule="atLeast"/>
        </w:trPr>
        <w:tc>
          <w:tcPr>
            <w:tcW w:w="2957" w:type="dxa"/>
            <w:tcBorders>
              <w:top w:val="single" w:sz="4" w:space="0" w:color="000000"/>
            </w:tcBorders>
          </w:tcPr>
          <w:p>
            <w:pPr>
              <w:pStyle w:val="TableParagraph"/>
              <w:spacing w:before="56"/>
              <w:ind w:left="122"/>
              <w:rPr>
                <w:b/>
                <w:i/>
                <w:sz w:val="20"/>
              </w:rPr>
            </w:pPr>
            <w:r>
              <w:rPr>
                <w:b/>
                <w:i/>
                <w:spacing w:val="-2"/>
                <w:sz w:val="20"/>
              </w:rPr>
              <w:t>Race/Ethnicity</w:t>
            </w:r>
            <w:r>
              <w:rPr>
                <w:b/>
                <w:i/>
                <w:spacing w:val="-2"/>
                <w:sz w:val="20"/>
                <w:vertAlign w:val="superscript"/>
              </w:rPr>
              <w:t>ƚ</w:t>
            </w:r>
          </w:p>
        </w:tc>
        <w:tc>
          <w:tcPr>
            <w:tcW w:w="1415" w:type="dxa"/>
            <w:tcBorders>
              <w:top w:val="single" w:sz="4" w:space="0" w:color="000000"/>
            </w:tcBorders>
          </w:tcPr>
          <w:p>
            <w:pPr>
              <w:pStyle w:val="TableParagraph"/>
              <w:spacing w:before="0"/>
              <w:rPr>
                <w:rFonts w:ascii="Times New Roman"/>
                <w:sz w:val="20"/>
              </w:rPr>
            </w:pPr>
          </w:p>
        </w:tc>
        <w:tc>
          <w:tcPr>
            <w:tcW w:w="995" w:type="dxa"/>
            <w:tcBorders>
              <w:top w:val="single" w:sz="4" w:space="0" w:color="000000"/>
            </w:tcBorders>
          </w:tcPr>
          <w:p>
            <w:pPr>
              <w:pStyle w:val="TableParagraph"/>
              <w:spacing w:before="0"/>
              <w:rPr>
                <w:rFonts w:ascii="Times New Roman"/>
                <w:sz w:val="20"/>
              </w:rPr>
            </w:pPr>
          </w:p>
        </w:tc>
        <w:tc>
          <w:tcPr>
            <w:tcW w:w="1318" w:type="dxa"/>
            <w:tcBorders>
              <w:top w:val="single" w:sz="4" w:space="0" w:color="000000"/>
            </w:tcBorders>
          </w:tcPr>
          <w:p>
            <w:pPr>
              <w:pStyle w:val="TableParagraph"/>
              <w:spacing w:before="0"/>
              <w:rPr>
                <w:rFonts w:ascii="Times New Roman"/>
                <w:sz w:val="20"/>
              </w:rPr>
            </w:pPr>
          </w:p>
        </w:tc>
        <w:tc>
          <w:tcPr>
            <w:tcW w:w="731" w:type="dxa"/>
            <w:tcBorders>
              <w:top w:val="single" w:sz="4" w:space="0" w:color="000000"/>
            </w:tcBorders>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z w:val="20"/>
              </w:rPr>
              <w:t>White</w:t>
            </w:r>
            <w:r>
              <w:rPr>
                <w:spacing w:val="-11"/>
                <w:sz w:val="20"/>
              </w:rPr>
              <w:t> </w:t>
            </w:r>
            <w:r>
              <w:rPr>
                <w:sz w:val="20"/>
              </w:rPr>
              <w:t>non-</w:t>
            </w:r>
            <w:r>
              <w:rPr>
                <w:spacing w:val="-2"/>
                <w:sz w:val="20"/>
              </w:rPr>
              <w:t>Hispanic</w:t>
            </w:r>
          </w:p>
        </w:tc>
        <w:tc>
          <w:tcPr>
            <w:tcW w:w="1415" w:type="dxa"/>
          </w:tcPr>
          <w:p>
            <w:pPr>
              <w:pStyle w:val="TableParagraph"/>
              <w:ind w:left="472"/>
              <w:rPr>
                <w:sz w:val="20"/>
              </w:rPr>
            </w:pPr>
            <w:r>
              <w:rPr>
                <w:spacing w:val="-2"/>
                <w:sz w:val="20"/>
              </w:rPr>
              <w:t>18,767</w:t>
            </w:r>
          </w:p>
        </w:tc>
        <w:tc>
          <w:tcPr>
            <w:tcW w:w="995" w:type="dxa"/>
          </w:tcPr>
          <w:p>
            <w:pPr>
              <w:pStyle w:val="TableParagraph"/>
              <w:ind w:right="360"/>
              <w:jc w:val="right"/>
              <w:rPr>
                <w:sz w:val="20"/>
              </w:rPr>
            </w:pPr>
            <w:r>
              <w:rPr>
                <w:spacing w:val="-4"/>
                <w:sz w:val="20"/>
              </w:rPr>
              <w:t>76.1</w:t>
            </w:r>
          </w:p>
        </w:tc>
        <w:tc>
          <w:tcPr>
            <w:tcW w:w="1318" w:type="dxa"/>
          </w:tcPr>
          <w:p>
            <w:pPr>
              <w:pStyle w:val="TableParagraph"/>
              <w:ind w:right="397"/>
              <w:jc w:val="right"/>
              <w:rPr>
                <w:sz w:val="20"/>
              </w:rPr>
            </w:pPr>
            <w:r>
              <w:rPr>
                <w:spacing w:val="-2"/>
                <w:sz w:val="20"/>
              </w:rPr>
              <w:t>5,900</w:t>
            </w:r>
          </w:p>
        </w:tc>
        <w:tc>
          <w:tcPr>
            <w:tcW w:w="731" w:type="dxa"/>
          </w:tcPr>
          <w:p>
            <w:pPr>
              <w:pStyle w:val="TableParagraph"/>
              <w:ind w:right="108"/>
              <w:jc w:val="right"/>
              <w:rPr>
                <w:sz w:val="20"/>
              </w:rPr>
            </w:pPr>
            <w:r>
              <w:rPr>
                <w:spacing w:val="-4"/>
                <w:sz w:val="20"/>
              </w:rPr>
              <w:t>23.9</w:t>
            </w:r>
          </w:p>
        </w:tc>
      </w:tr>
      <w:tr>
        <w:trPr>
          <w:trHeight w:val="300" w:hRule="atLeast"/>
        </w:trPr>
        <w:tc>
          <w:tcPr>
            <w:tcW w:w="2957" w:type="dxa"/>
          </w:tcPr>
          <w:p>
            <w:pPr>
              <w:pStyle w:val="TableParagraph"/>
              <w:ind w:left="122"/>
              <w:rPr>
                <w:sz w:val="20"/>
              </w:rPr>
            </w:pPr>
            <w:r>
              <w:rPr>
                <w:sz w:val="20"/>
              </w:rPr>
              <w:t>Black</w:t>
            </w:r>
            <w:r>
              <w:rPr>
                <w:spacing w:val="-12"/>
                <w:sz w:val="20"/>
              </w:rPr>
              <w:t> </w:t>
            </w:r>
            <w:r>
              <w:rPr>
                <w:sz w:val="20"/>
              </w:rPr>
              <w:t>non-</w:t>
            </w:r>
            <w:r>
              <w:rPr>
                <w:spacing w:val="-2"/>
                <w:sz w:val="20"/>
              </w:rPr>
              <w:t>Hispanic</w:t>
            </w:r>
          </w:p>
        </w:tc>
        <w:tc>
          <w:tcPr>
            <w:tcW w:w="1415" w:type="dxa"/>
          </w:tcPr>
          <w:p>
            <w:pPr>
              <w:pStyle w:val="TableParagraph"/>
              <w:ind w:left="573"/>
              <w:rPr>
                <w:sz w:val="20"/>
              </w:rPr>
            </w:pPr>
            <w:r>
              <w:rPr>
                <w:spacing w:val="-2"/>
                <w:sz w:val="20"/>
              </w:rPr>
              <w:t>4,836</w:t>
            </w:r>
          </w:p>
        </w:tc>
        <w:tc>
          <w:tcPr>
            <w:tcW w:w="995" w:type="dxa"/>
          </w:tcPr>
          <w:p>
            <w:pPr>
              <w:pStyle w:val="TableParagraph"/>
              <w:ind w:right="360"/>
              <w:jc w:val="right"/>
              <w:rPr>
                <w:sz w:val="20"/>
              </w:rPr>
            </w:pPr>
            <w:r>
              <w:rPr>
                <w:spacing w:val="-4"/>
                <w:sz w:val="20"/>
              </w:rPr>
              <w:t>80.8</w:t>
            </w:r>
          </w:p>
        </w:tc>
        <w:tc>
          <w:tcPr>
            <w:tcW w:w="1318" w:type="dxa"/>
          </w:tcPr>
          <w:p>
            <w:pPr>
              <w:pStyle w:val="TableParagraph"/>
              <w:ind w:right="397"/>
              <w:jc w:val="right"/>
              <w:rPr>
                <w:sz w:val="20"/>
              </w:rPr>
            </w:pPr>
            <w:r>
              <w:rPr>
                <w:spacing w:val="-2"/>
                <w:sz w:val="20"/>
              </w:rPr>
              <w:t>1,151</w:t>
            </w:r>
          </w:p>
        </w:tc>
        <w:tc>
          <w:tcPr>
            <w:tcW w:w="731" w:type="dxa"/>
          </w:tcPr>
          <w:p>
            <w:pPr>
              <w:pStyle w:val="TableParagraph"/>
              <w:ind w:right="108"/>
              <w:jc w:val="right"/>
              <w:rPr>
                <w:sz w:val="20"/>
              </w:rPr>
            </w:pPr>
            <w:r>
              <w:rPr>
                <w:spacing w:val="-4"/>
                <w:sz w:val="20"/>
              </w:rPr>
              <w:t>19.2</w:t>
            </w:r>
          </w:p>
        </w:tc>
      </w:tr>
      <w:tr>
        <w:trPr>
          <w:trHeight w:val="300" w:hRule="atLeast"/>
        </w:trPr>
        <w:tc>
          <w:tcPr>
            <w:tcW w:w="2957" w:type="dxa"/>
          </w:tcPr>
          <w:p>
            <w:pPr>
              <w:pStyle w:val="TableParagraph"/>
              <w:ind w:left="122"/>
              <w:rPr>
                <w:sz w:val="20"/>
              </w:rPr>
            </w:pPr>
            <w:r>
              <w:rPr>
                <w:spacing w:val="-2"/>
                <w:sz w:val="20"/>
              </w:rPr>
              <w:t>Asian/PI</w:t>
            </w:r>
            <w:r>
              <w:rPr>
                <w:spacing w:val="10"/>
                <w:sz w:val="20"/>
              </w:rPr>
              <w:t> </w:t>
            </w:r>
            <w:r>
              <w:rPr>
                <w:spacing w:val="-2"/>
                <w:sz w:val="20"/>
              </w:rPr>
              <w:t>non-Hispanic</w:t>
            </w:r>
          </w:p>
        </w:tc>
        <w:tc>
          <w:tcPr>
            <w:tcW w:w="1415" w:type="dxa"/>
          </w:tcPr>
          <w:p>
            <w:pPr>
              <w:pStyle w:val="TableParagraph"/>
              <w:ind w:left="573"/>
              <w:rPr>
                <w:sz w:val="20"/>
              </w:rPr>
            </w:pPr>
            <w:r>
              <w:rPr>
                <w:spacing w:val="-2"/>
                <w:sz w:val="20"/>
              </w:rPr>
              <w:t>2,452</w:t>
            </w:r>
          </w:p>
        </w:tc>
        <w:tc>
          <w:tcPr>
            <w:tcW w:w="995" w:type="dxa"/>
          </w:tcPr>
          <w:p>
            <w:pPr>
              <w:pStyle w:val="TableParagraph"/>
              <w:ind w:right="360"/>
              <w:jc w:val="right"/>
              <w:rPr>
                <w:sz w:val="20"/>
              </w:rPr>
            </w:pPr>
            <w:r>
              <w:rPr>
                <w:spacing w:val="-4"/>
                <w:sz w:val="20"/>
              </w:rPr>
              <w:t>69.4</w:t>
            </w:r>
          </w:p>
        </w:tc>
        <w:tc>
          <w:tcPr>
            <w:tcW w:w="1318" w:type="dxa"/>
          </w:tcPr>
          <w:p>
            <w:pPr>
              <w:pStyle w:val="TableParagraph"/>
              <w:ind w:right="397"/>
              <w:jc w:val="right"/>
              <w:rPr>
                <w:sz w:val="20"/>
              </w:rPr>
            </w:pPr>
            <w:r>
              <w:rPr>
                <w:spacing w:val="-2"/>
                <w:sz w:val="20"/>
              </w:rPr>
              <w:t>1,079</w:t>
            </w:r>
          </w:p>
        </w:tc>
        <w:tc>
          <w:tcPr>
            <w:tcW w:w="731" w:type="dxa"/>
          </w:tcPr>
          <w:p>
            <w:pPr>
              <w:pStyle w:val="TableParagraph"/>
              <w:ind w:right="108"/>
              <w:jc w:val="right"/>
              <w:rPr>
                <w:sz w:val="20"/>
              </w:rPr>
            </w:pPr>
            <w:r>
              <w:rPr>
                <w:spacing w:val="-4"/>
                <w:sz w:val="20"/>
              </w:rPr>
              <w:t>30.6</w:t>
            </w:r>
          </w:p>
        </w:tc>
      </w:tr>
      <w:tr>
        <w:trPr>
          <w:trHeight w:val="300" w:hRule="atLeast"/>
        </w:trPr>
        <w:tc>
          <w:tcPr>
            <w:tcW w:w="2957" w:type="dxa"/>
          </w:tcPr>
          <w:p>
            <w:pPr>
              <w:pStyle w:val="TableParagraph"/>
              <w:ind w:left="122"/>
              <w:rPr>
                <w:sz w:val="20"/>
              </w:rPr>
            </w:pPr>
            <w:r>
              <w:rPr>
                <w:spacing w:val="-2"/>
                <w:sz w:val="20"/>
              </w:rPr>
              <w:t>Hispanic</w:t>
            </w:r>
          </w:p>
        </w:tc>
        <w:tc>
          <w:tcPr>
            <w:tcW w:w="1415" w:type="dxa"/>
          </w:tcPr>
          <w:p>
            <w:pPr>
              <w:pStyle w:val="TableParagraph"/>
              <w:ind w:left="573"/>
              <w:rPr>
                <w:sz w:val="20"/>
              </w:rPr>
            </w:pPr>
            <w:r>
              <w:rPr>
                <w:spacing w:val="-2"/>
                <w:sz w:val="20"/>
              </w:rPr>
              <w:t>9,759</w:t>
            </w:r>
          </w:p>
        </w:tc>
        <w:tc>
          <w:tcPr>
            <w:tcW w:w="995" w:type="dxa"/>
          </w:tcPr>
          <w:p>
            <w:pPr>
              <w:pStyle w:val="TableParagraph"/>
              <w:ind w:right="360"/>
              <w:jc w:val="right"/>
              <w:rPr>
                <w:sz w:val="20"/>
              </w:rPr>
            </w:pPr>
            <w:r>
              <w:rPr>
                <w:spacing w:val="-4"/>
                <w:sz w:val="20"/>
              </w:rPr>
              <w:t>80.0</w:t>
            </w:r>
          </w:p>
        </w:tc>
        <w:tc>
          <w:tcPr>
            <w:tcW w:w="1318" w:type="dxa"/>
          </w:tcPr>
          <w:p>
            <w:pPr>
              <w:pStyle w:val="TableParagraph"/>
              <w:ind w:right="397"/>
              <w:jc w:val="right"/>
              <w:rPr>
                <w:sz w:val="20"/>
              </w:rPr>
            </w:pPr>
            <w:r>
              <w:rPr>
                <w:spacing w:val="-2"/>
                <w:sz w:val="20"/>
              </w:rPr>
              <w:t>2,439</w:t>
            </w:r>
          </w:p>
        </w:tc>
        <w:tc>
          <w:tcPr>
            <w:tcW w:w="731" w:type="dxa"/>
          </w:tcPr>
          <w:p>
            <w:pPr>
              <w:pStyle w:val="TableParagraph"/>
              <w:ind w:right="108"/>
              <w:jc w:val="right"/>
              <w:rPr>
                <w:sz w:val="20"/>
              </w:rPr>
            </w:pPr>
            <w:r>
              <w:rPr>
                <w:spacing w:val="-4"/>
                <w:sz w:val="20"/>
              </w:rPr>
              <w:t>20.0</w:t>
            </w:r>
          </w:p>
        </w:tc>
      </w:tr>
      <w:tr>
        <w:trPr>
          <w:trHeight w:val="300" w:hRule="atLeast"/>
        </w:trPr>
        <w:tc>
          <w:tcPr>
            <w:tcW w:w="2957" w:type="dxa"/>
          </w:tcPr>
          <w:p>
            <w:pPr>
              <w:pStyle w:val="TableParagraph"/>
              <w:ind w:left="122"/>
              <w:rPr>
                <w:sz w:val="20"/>
              </w:rPr>
            </w:pPr>
            <w:r>
              <w:rPr>
                <w:sz w:val="20"/>
              </w:rPr>
              <w:t>American</w:t>
            </w:r>
            <w:r>
              <w:rPr>
                <w:spacing w:val="-5"/>
                <w:sz w:val="20"/>
              </w:rPr>
              <w:t> </w:t>
            </w:r>
            <w:r>
              <w:rPr>
                <w:sz w:val="20"/>
              </w:rPr>
              <w:t>Indian</w:t>
            </w:r>
            <w:r>
              <w:rPr>
                <w:spacing w:val="-5"/>
                <w:sz w:val="20"/>
              </w:rPr>
              <w:t> </w:t>
            </w:r>
            <w:r>
              <w:rPr>
                <w:sz w:val="20"/>
              </w:rPr>
              <w:t>or</w:t>
            </w:r>
            <w:r>
              <w:rPr>
                <w:spacing w:val="-6"/>
                <w:sz w:val="20"/>
              </w:rPr>
              <w:t> </w:t>
            </w:r>
            <w:r>
              <w:rPr>
                <w:spacing w:val="-4"/>
                <w:sz w:val="20"/>
              </w:rPr>
              <w:t>Other</w:t>
            </w:r>
          </w:p>
        </w:tc>
        <w:tc>
          <w:tcPr>
            <w:tcW w:w="1415" w:type="dxa"/>
          </w:tcPr>
          <w:p>
            <w:pPr>
              <w:pStyle w:val="TableParagraph"/>
              <w:ind w:left="724"/>
              <w:rPr>
                <w:sz w:val="20"/>
              </w:rPr>
            </w:pPr>
            <w:r>
              <w:rPr>
                <w:spacing w:val="-5"/>
                <w:sz w:val="20"/>
              </w:rPr>
              <w:t>463</w:t>
            </w:r>
          </w:p>
        </w:tc>
        <w:tc>
          <w:tcPr>
            <w:tcW w:w="995" w:type="dxa"/>
          </w:tcPr>
          <w:p>
            <w:pPr>
              <w:pStyle w:val="TableParagraph"/>
              <w:ind w:right="360"/>
              <w:jc w:val="right"/>
              <w:rPr>
                <w:sz w:val="20"/>
              </w:rPr>
            </w:pPr>
            <w:r>
              <w:rPr>
                <w:spacing w:val="-4"/>
                <w:sz w:val="20"/>
              </w:rPr>
              <w:t>74.2</w:t>
            </w:r>
          </w:p>
        </w:tc>
        <w:tc>
          <w:tcPr>
            <w:tcW w:w="1318" w:type="dxa"/>
          </w:tcPr>
          <w:p>
            <w:pPr>
              <w:pStyle w:val="TableParagraph"/>
              <w:ind w:right="397"/>
              <w:jc w:val="right"/>
              <w:rPr>
                <w:sz w:val="20"/>
              </w:rPr>
            </w:pPr>
            <w:r>
              <w:rPr>
                <w:spacing w:val="-5"/>
                <w:sz w:val="20"/>
              </w:rPr>
              <w:t>161</w:t>
            </w:r>
          </w:p>
        </w:tc>
        <w:tc>
          <w:tcPr>
            <w:tcW w:w="731" w:type="dxa"/>
          </w:tcPr>
          <w:p>
            <w:pPr>
              <w:pStyle w:val="TableParagraph"/>
              <w:ind w:right="108"/>
              <w:jc w:val="right"/>
              <w:rPr>
                <w:sz w:val="20"/>
              </w:rPr>
            </w:pPr>
            <w:r>
              <w:rPr>
                <w:spacing w:val="-4"/>
                <w:sz w:val="20"/>
              </w:rPr>
              <w:t>25.8</w:t>
            </w:r>
          </w:p>
        </w:tc>
      </w:tr>
      <w:tr>
        <w:trPr>
          <w:trHeight w:val="300" w:hRule="atLeast"/>
        </w:trPr>
        <w:tc>
          <w:tcPr>
            <w:tcW w:w="2957" w:type="dxa"/>
          </w:tcPr>
          <w:p>
            <w:pPr>
              <w:pStyle w:val="TableParagraph"/>
              <w:ind w:left="122"/>
              <w:rPr>
                <w:sz w:val="20"/>
              </w:rPr>
            </w:pPr>
            <w:r>
              <w:rPr>
                <w:spacing w:val="-2"/>
                <w:sz w:val="20"/>
              </w:rPr>
              <w:t>unknown</w:t>
            </w:r>
          </w:p>
        </w:tc>
        <w:tc>
          <w:tcPr>
            <w:tcW w:w="1415" w:type="dxa"/>
          </w:tcPr>
          <w:p>
            <w:pPr>
              <w:pStyle w:val="TableParagraph"/>
              <w:ind w:left="724"/>
              <w:rPr>
                <w:sz w:val="20"/>
              </w:rPr>
            </w:pPr>
            <w:r>
              <w:rPr>
                <w:spacing w:val="-5"/>
                <w:sz w:val="20"/>
              </w:rPr>
              <w:t>698</w:t>
            </w:r>
          </w:p>
        </w:tc>
        <w:tc>
          <w:tcPr>
            <w:tcW w:w="995" w:type="dxa"/>
          </w:tcPr>
          <w:p>
            <w:pPr>
              <w:pStyle w:val="TableParagraph"/>
              <w:ind w:right="360"/>
              <w:jc w:val="right"/>
              <w:rPr>
                <w:sz w:val="20"/>
              </w:rPr>
            </w:pPr>
            <w:r>
              <w:rPr>
                <w:spacing w:val="-4"/>
                <w:sz w:val="20"/>
              </w:rPr>
              <w:t>73.9</w:t>
            </w:r>
          </w:p>
        </w:tc>
        <w:tc>
          <w:tcPr>
            <w:tcW w:w="1318" w:type="dxa"/>
          </w:tcPr>
          <w:p>
            <w:pPr>
              <w:pStyle w:val="TableParagraph"/>
              <w:ind w:right="397"/>
              <w:jc w:val="right"/>
              <w:rPr>
                <w:sz w:val="20"/>
              </w:rPr>
            </w:pPr>
            <w:r>
              <w:rPr>
                <w:spacing w:val="-5"/>
                <w:sz w:val="20"/>
              </w:rPr>
              <w:t>246</w:t>
            </w:r>
          </w:p>
        </w:tc>
        <w:tc>
          <w:tcPr>
            <w:tcW w:w="731" w:type="dxa"/>
          </w:tcPr>
          <w:p>
            <w:pPr>
              <w:pStyle w:val="TableParagraph"/>
              <w:ind w:right="108"/>
              <w:jc w:val="right"/>
              <w:rPr>
                <w:sz w:val="20"/>
              </w:rPr>
            </w:pPr>
            <w:r>
              <w:rPr>
                <w:spacing w:val="-4"/>
                <w:sz w:val="20"/>
              </w:rPr>
              <w:t>26.1</w:t>
            </w:r>
          </w:p>
        </w:tc>
      </w:tr>
      <w:tr>
        <w:trPr>
          <w:trHeight w:val="300" w:hRule="atLeast"/>
        </w:trPr>
        <w:tc>
          <w:tcPr>
            <w:tcW w:w="2957" w:type="dxa"/>
          </w:tcPr>
          <w:p>
            <w:pPr>
              <w:pStyle w:val="TableParagraph"/>
              <w:ind w:left="122"/>
              <w:rPr>
                <w:b/>
                <w:i/>
                <w:sz w:val="20"/>
              </w:rPr>
            </w:pPr>
            <w:r>
              <w:rPr>
                <w:b/>
                <w:i/>
                <w:spacing w:val="-2"/>
                <w:sz w:val="20"/>
              </w:rPr>
              <w:t>Insurance</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pacing w:val="-2"/>
                <w:sz w:val="20"/>
              </w:rPr>
              <w:t>Medicaid</w:t>
            </w:r>
          </w:p>
        </w:tc>
        <w:tc>
          <w:tcPr>
            <w:tcW w:w="1415" w:type="dxa"/>
          </w:tcPr>
          <w:p>
            <w:pPr>
              <w:pStyle w:val="TableParagraph"/>
              <w:ind w:left="472"/>
              <w:rPr>
                <w:sz w:val="20"/>
              </w:rPr>
            </w:pPr>
            <w:r>
              <w:rPr>
                <w:spacing w:val="-2"/>
                <w:sz w:val="20"/>
              </w:rPr>
              <w:t>22,512</w:t>
            </w:r>
          </w:p>
        </w:tc>
        <w:tc>
          <w:tcPr>
            <w:tcW w:w="995" w:type="dxa"/>
          </w:tcPr>
          <w:p>
            <w:pPr>
              <w:pStyle w:val="TableParagraph"/>
              <w:ind w:right="360"/>
              <w:jc w:val="right"/>
              <w:rPr>
                <w:sz w:val="20"/>
              </w:rPr>
            </w:pPr>
            <w:r>
              <w:rPr>
                <w:spacing w:val="-4"/>
                <w:sz w:val="20"/>
              </w:rPr>
              <w:t>76.9</w:t>
            </w:r>
          </w:p>
        </w:tc>
        <w:tc>
          <w:tcPr>
            <w:tcW w:w="1318" w:type="dxa"/>
          </w:tcPr>
          <w:p>
            <w:pPr>
              <w:pStyle w:val="TableParagraph"/>
              <w:ind w:right="397"/>
              <w:jc w:val="right"/>
              <w:rPr>
                <w:sz w:val="20"/>
              </w:rPr>
            </w:pPr>
            <w:r>
              <w:rPr>
                <w:spacing w:val="-2"/>
                <w:sz w:val="20"/>
              </w:rPr>
              <w:t>6,746</w:t>
            </w:r>
          </w:p>
        </w:tc>
        <w:tc>
          <w:tcPr>
            <w:tcW w:w="731" w:type="dxa"/>
          </w:tcPr>
          <w:p>
            <w:pPr>
              <w:pStyle w:val="TableParagraph"/>
              <w:ind w:right="108"/>
              <w:jc w:val="right"/>
              <w:rPr>
                <w:sz w:val="20"/>
              </w:rPr>
            </w:pPr>
            <w:r>
              <w:rPr>
                <w:spacing w:val="-4"/>
                <w:sz w:val="20"/>
              </w:rPr>
              <w:t>23.1</w:t>
            </w:r>
          </w:p>
        </w:tc>
      </w:tr>
      <w:tr>
        <w:trPr>
          <w:trHeight w:val="291" w:hRule="atLeast"/>
        </w:trPr>
        <w:tc>
          <w:tcPr>
            <w:tcW w:w="2957" w:type="dxa"/>
          </w:tcPr>
          <w:p>
            <w:pPr>
              <w:pStyle w:val="TableParagraph"/>
              <w:ind w:left="122"/>
              <w:rPr>
                <w:sz w:val="20"/>
              </w:rPr>
            </w:pPr>
            <w:r>
              <w:rPr>
                <w:spacing w:val="-2"/>
                <w:sz w:val="20"/>
              </w:rPr>
              <w:t>Other</w:t>
            </w:r>
          </w:p>
        </w:tc>
        <w:tc>
          <w:tcPr>
            <w:tcW w:w="1415" w:type="dxa"/>
          </w:tcPr>
          <w:p>
            <w:pPr>
              <w:pStyle w:val="TableParagraph"/>
              <w:ind w:left="472"/>
              <w:rPr>
                <w:sz w:val="20"/>
              </w:rPr>
            </w:pPr>
            <w:r>
              <w:rPr>
                <w:spacing w:val="-2"/>
                <w:sz w:val="20"/>
              </w:rPr>
              <w:t>14,463</w:t>
            </w:r>
          </w:p>
        </w:tc>
        <w:tc>
          <w:tcPr>
            <w:tcW w:w="995" w:type="dxa"/>
          </w:tcPr>
          <w:p>
            <w:pPr>
              <w:pStyle w:val="TableParagraph"/>
              <w:ind w:right="360"/>
              <w:jc w:val="right"/>
              <w:rPr>
                <w:sz w:val="20"/>
              </w:rPr>
            </w:pPr>
            <w:r>
              <w:rPr>
                <w:spacing w:val="-4"/>
                <w:sz w:val="20"/>
              </w:rPr>
              <w:t>77.4</w:t>
            </w:r>
          </w:p>
        </w:tc>
        <w:tc>
          <w:tcPr>
            <w:tcW w:w="1318" w:type="dxa"/>
          </w:tcPr>
          <w:p>
            <w:pPr>
              <w:pStyle w:val="TableParagraph"/>
              <w:ind w:right="397"/>
              <w:jc w:val="right"/>
              <w:rPr>
                <w:sz w:val="20"/>
              </w:rPr>
            </w:pPr>
            <w:r>
              <w:rPr>
                <w:spacing w:val="-2"/>
                <w:sz w:val="20"/>
              </w:rPr>
              <w:t>4,230</w:t>
            </w:r>
          </w:p>
        </w:tc>
        <w:tc>
          <w:tcPr>
            <w:tcW w:w="731" w:type="dxa"/>
          </w:tcPr>
          <w:p>
            <w:pPr>
              <w:pStyle w:val="TableParagraph"/>
              <w:ind w:right="108"/>
              <w:jc w:val="right"/>
              <w:rPr>
                <w:sz w:val="20"/>
              </w:rPr>
            </w:pPr>
            <w:r>
              <w:rPr>
                <w:spacing w:val="-4"/>
                <w:sz w:val="20"/>
              </w:rPr>
              <w:t>22.6</w:t>
            </w:r>
          </w:p>
        </w:tc>
      </w:tr>
      <w:tr>
        <w:trPr>
          <w:trHeight w:val="308" w:hRule="atLeast"/>
        </w:trPr>
        <w:tc>
          <w:tcPr>
            <w:tcW w:w="2957" w:type="dxa"/>
          </w:tcPr>
          <w:p>
            <w:pPr>
              <w:pStyle w:val="TableParagraph"/>
              <w:spacing w:before="18"/>
              <w:ind w:left="122"/>
              <w:rPr>
                <w:b/>
                <w:i/>
                <w:sz w:val="20"/>
              </w:rPr>
            </w:pPr>
            <w:r>
              <w:rPr>
                <w:b/>
                <w:i/>
                <w:spacing w:val="-2"/>
                <w:sz w:val="20"/>
              </w:rPr>
              <w:t>Education</w:t>
            </w:r>
            <w:r>
              <w:rPr>
                <w:b/>
                <w:i/>
                <w:spacing w:val="-2"/>
                <w:sz w:val="20"/>
                <w:vertAlign w:val="superscript"/>
              </w:rPr>
              <w:t>ƚ</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z w:val="20"/>
              </w:rPr>
              <w:t>No</w:t>
            </w:r>
            <w:r>
              <w:rPr>
                <w:spacing w:val="-2"/>
                <w:sz w:val="20"/>
              </w:rPr>
              <w:t> </w:t>
            </w:r>
            <w:r>
              <w:rPr>
                <w:sz w:val="20"/>
              </w:rPr>
              <w:t>HS</w:t>
            </w:r>
            <w:r>
              <w:rPr>
                <w:spacing w:val="-2"/>
                <w:sz w:val="20"/>
              </w:rPr>
              <w:t> degree</w:t>
            </w:r>
          </w:p>
        </w:tc>
        <w:tc>
          <w:tcPr>
            <w:tcW w:w="1415" w:type="dxa"/>
          </w:tcPr>
          <w:p>
            <w:pPr>
              <w:pStyle w:val="TableParagraph"/>
              <w:ind w:left="573"/>
              <w:rPr>
                <w:sz w:val="20"/>
              </w:rPr>
            </w:pPr>
            <w:r>
              <w:rPr>
                <w:spacing w:val="-2"/>
                <w:sz w:val="20"/>
              </w:rPr>
              <w:t>4,014</w:t>
            </w:r>
          </w:p>
        </w:tc>
        <w:tc>
          <w:tcPr>
            <w:tcW w:w="995" w:type="dxa"/>
          </w:tcPr>
          <w:p>
            <w:pPr>
              <w:pStyle w:val="TableParagraph"/>
              <w:ind w:right="360"/>
              <w:jc w:val="right"/>
              <w:rPr>
                <w:sz w:val="20"/>
              </w:rPr>
            </w:pPr>
            <w:r>
              <w:rPr>
                <w:spacing w:val="-4"/>
                <w:sz w:val="20"/>
              </w:rPr>
              <w:t>78.9</w:t>
            </w:r>
          </w:p>
        </w:tc>
        <w:tc>
          <w:tcPr>
            <w:tcW w:w="1318" w:type="dxa"/>
          </w:tcPr>
          <w:p>
            <w:pPr>
              <w:pStyle w:val="TableParagraph"/>
              <w:ind w:right="397"/>
              <w:jc w:val="right"/>
              <w:rPr>
                <w:sz w:val="20"/>
              </w:rPr>
            </w:pPr>
            <w:r>
              <w:rPr>
                <w:spacing w:val="-2"/>
                <w:sz w:val="20"/>
              </w:rPr>
              <w:t>1,071</w:t>
            </w:r>
          </w:p>
        </w:tc>
        <w:tc>
          <w:tcPr>
            <w:tcW w:w="731" w:type="dxa"/>
          </w:tcPr>
          <w:p>
            <w:pPr>
              <w:pStyle w:val="TableParagraph"/>
              <w:ind w:right="108"/>
              <w:jc w:val="right"/>
              <w:rPr>
                <w:sz w:val="20"/>
              </w:rPr>
            </w:pPr>
            <w:r>
              <w:rPr>
                <w:spacing w:val="-4"/>
                <w:sz w:val="20"/>
              </w:rPr>
              <w:t>21.1</w:t>
            </w:r>
          </w:p>
        </w:tc>
      </w:tr>
      <w:tr>
        <w:trPr>
          <w:trHeight w:val="300" w:hRule="atLeast"/>
        </w:trPr>
        <w:tc>
          <w:tcPr>
            <w:tcW w:w="2957" w:type="dxa"/>
          </w:tcPr>
          <w:p>
            <w:pPr>
              <w:pStyle w:val="TableParagraph"/>
              <w:ind w:left="122"/>
              <w:rPr>
                <w:sz w:val="20"/>
              </w:rPr>
            </w:pPr>
            <w:r>
              <w:rPr>
                <w:sz w:val="20"/>
              </w:rPr>
              <w:t>HS</w:t>
            </w:r>
            <w:r>
              <w:rPr>
                <w:spacing w:val="-4"/>
                <w:sz w:val="20"/>
              </w:rPr>
              <w:t> </w:t>
            </w:r>
            <w:r>
              <w:rPr>
                <w:sz w:val="20"/>
              </w:rPr>
              <w:t>degree</w:t>
            </w:r>
            <w:r>
              <w:rPr>
                <w:spacing w:val="-5"/>
                <w:sz w:val="20"/>
              </w:rPr>
              <w:t> </w:t>
            </w:r>
            <w:r>
              <w:rPr>
                <w:sz w:val="20"/>
              </w:rPr>
              <w:t>or</w:t>
            </w:r>
            <w:r>
              <w:rPr>
                <w:spacing w:val="-3"/>
                <w:sz w:val="20"/>
              </w:rPr>
              <w:t> </w:t>
            </w:r>
            <w:r>
              <w:rPr>
                <w:spacing w:val="-5"/>
                <w:sz w:val="20"/>
              </w:rPr>
              <w:t>GED</w:t>
            </w:r>
          </w:p>
        </w:tc>
        <w:tc>
          <w:tcPr>
            <w:tcW w:w="1415" w:type="dxa"/>
          </w:tcPr>
          <w:p>
            <w:pPr>
              <w:pStyle w:val="TableParagraph"/>
              <w:ind w:left="573"/>
              <w:rPr>
                <w:sz w:val="20"/>
              </w:rPr>
            </w:pPr>
            <w:r>
              <w:rPr>
                <w:spacing w:val="-2"/>
                <w:sz w:val="20"/>
              </w:rPr>
              <w:t>7,533</w:t>
            </w:r>
          </w:p>
        </w:tc>
        <w:tc>
          <w:tcPr>
            <w:tcW w:w="995" w:type="dxa"/>
          </w:tcPr>
          <w:p>
            <w:pPr>
              <w:pStyle w:val="TableParagraph"/>
              <w:ind w:right="360"/>
              <w:jc w:val="right"/>
              <w:rPr>
                <w:sz w:val="20"/>
              </w:rPr>
            </w:pPr>
            <w:r>
              <w:rPr>
                <w:spacing w:val="-4"/>
                <w:sz w:val="20"/>
              </w:rPr>
              <w:t>78.4</w:t>
            </w:r>
          </w:p>
        </w:tc>
        <w:tc>
          <w:tcPr>
            <w:tcW w:w="1318" w:type="dxa"/>
          </w:tcPr>
          <w:p>
            <w:pPr>
              <w:pStyle w:val="TableParagraph"/>
              <w:ind w:right="397"/>
              <w:jc w:val="right"/>
              <w:rPr>
                <w:sz w:val="20"/>
              </w:rPr>
            </w:pPr>
            <w:r>
              <w:rPr>
                <w:spacing w:val="-2"/>
                <w:sz w:val="20"/>
              </w:rPr>
              <w:t>2,074</w:t>
            </w:r>
          </w:p>
        </w:tc>
        <w:tc>
          <w:tcPr>
            <w:tcW w:w="731" w:type="dxa"/>
          </w:tcPr>
          <w:p>
            <w:pPr>
              <w:pStyle w:val="TableParagraph"/>
              <w:ind w:right="108"/>
              <w:jc w:val="right"/>
              <w:rPr>
                <w:sz w:val="20"/>
              </w:rPr>
            </w:pPr>
            <w:r>
              <w:rPr>
                <w:spacing w:val="-4"/>
                <w:sz w:val="20"/>
              </w:rPr>
              <w:t>21.6</w:t>
            </w:r>
          </w:p>
        </w:tc>
      </w:tr>
      <w:tr>
        <w:trPr>
          <w:trHeight w:val="300" w:hRule="atLeast"/>
        </w:trPr>
        <w:tc>
          <w:tcPr>
            <w:tcW w:w="2957" w:type="dxa"/>
          </w:tcPr>
          <w:p>
            <w:pPr>
              <w:pStyle w:val="TableParagraph"/>
              <w:ind w:left="122"/>
              <w:rPr>
                <w:sz w:val="20"/>
              </w:rPr>
            </w:pPr>
            <w:r>
              <w:rPr>
                <w:sz w:val="20"/>
              </w:rPr>
              <w:t>Associate</w:t>
            </w:r>
            <w:r>
              <w:rPr>
                <w:spacing w:val="-8"/>
                <w:sz w:val="20"/>
              </w:rPr>
              <w:t> </w:t>
            </w:r>
            <w:r>
              <w:rPr>
                <w:sz w:val="20"/>
              </w:rPr>
              <w:t>or</w:t>
            </w:r>
            <w:r>
              <w:rPr>
                <w:spacing w:val="-7"/>
                <w:sz w:val="20"/>
              </w:rPr>
              <w:t> </w:t>
            </w:r>
            <w:r>
              <w:rPr>
                <w:sz w:val="20"/>
              </w:rPr>
              <w:t>Bachelor</w:t>
            </w:r>
            <w:r>
              <w:rPr>
                <w:spacing w:val="-6"/>
                <w:sz w:val="20"/>
              </w:rPr>
              <w:t> </w:t>
            </w:r>
            <w:r>
              <w:rPr>
                <w:spacing w:val="-2"/>
                <w:sz w:val="20"/>
              </w:rPr>
              <w:t>degree</w:t>
            </w:r>
          </w:p>
        </w:tc>
        <w:tc>
          <w:tcPr>
            <w:tcW w:w="1415" w:type="dxa"/>
          </w:tcPr>
          <w:p>
            <w:pPr>
              <w:pStyle w:val="TableParagraph"/>
              <w:ind w:left="472"/>
              <w:rPr>
                <w:sz w:val="20"/>
              </w:rPr>
            </w:pPr>
            <w:r>
              <w:rPr>
                <w:spacing w:val="-2"/>
                <w:sz w:val="20"/>
              </w:rPr>
              <w:t>10,081</w:t>
            </w:r>
          </w:p>
        </w:tc>
        <w:tc>
          <w:tcPr>
            <w:tcW w:w="995" w:type="dxa"/>
          </w:tcPr>
          <w:p>
            <w:pPr>
              <w:pStyle w:val="TableParagraph"/>
              <w:ind w:right="360"/>
              <w:jc w:val="right"/>
              <w:rPr>
                <w:sz w:val="20"/>
              </w:rPr>
            </w:pPr>
            <w:r>
              <w:rPr>
                <w:spacing w:val="-4"/>
                <w:sz w:val="20"/>
              </w:rPr>
              <w:t>77.0</w:t>
            </w:r>
          </w:p>
        </w:tc>
        <w:tc>
          <w:tcPr>
            <w:tcW w:w="1318" w:type="dxa"/>
          </w:tcPr>
          <w:p>
            <w:pPr>
              <w:pStyle w:val="TableParagraph"/>
              <w:ind w:right="397"/>
              <w:jc w:val="right"/>
              <w:rPr>
                <w:sz w:val="20"/>
              </w:rPr>
            </w:pPr>
            <w:r>
              <w:rPr>
                <w:spacing w:val="-2"/>
                <w:sz w:val="20"/>
              </w:rPr>
              <w:t>3,017</w:t>
            </w:r>
          </w:p>
        </w:tc>
        <w:tc>
          <w:tcPr>
            <w:tcW w:w="731" w:type="dxa"/>
          </w:tcPr>
          <w:p>
            <w:pPr>
              <w:pStyle w:val="TableParagraph"/>
              <w:ind w:right="108"/>
              <w:jc w:val="right"/>
              <w:rPr>
                <w:sz w:val="20"/>
              </w:rPr>
            </w:pPr>
            <w:r>
              <w:rPr>
                <w:spacing w:val="-4"/>
                <w:sz w:val="20"/>
              </w:rPr>
              <w:t>23.0</w:t>
            </w:r>
          </w:p>
        </w:tc>
      </w:tr>
      <w:tr>
        <w:trPr>
          <w:trHeight w:val="291" w:hRule="atLeast"/>
        </w:trPr>
        <w:tc>
          <w:tcPr>
            <w:tcW w:w="2957" w:type="dxa"/>
          </w:tcPr>
          <w:p>
            <w:pPr>
              <w:pStyle w:val="TableParagraph"/>
              <w:ind w:left="122"/>
              <w:rPr>
                <w:sz w:val="20"/>
              </w:rPr>
            </w:pPr>
            <w:r>
              <w:rPr>
                <w:sz w:val="20"/>
              </w:rPr>
              <w:t>Post</w:t>
            </w:r>
            <w:r>
              <w:rPr>
                <w:spacing w:val="-3"/>
                <w:sz w:val="20"/>
              </w:rPr>
              <w:t> </w:t>
            </w:r>
            <w:r>
              <w:rPr>
                <w:spacing w:val="-2"/>
                <w:sz w:val="20"/>
              </w:rPr>
              <w:t>graduate</w:t>
            </w:r>
          </w:p>
        </w:tc>
        <w:tc>
          <w:tcPr>
            <w:tcW w:w="1415" w:type="dxa"/>
          </w:tcPr>
          <w:p>
            <w:pPr>
              <w:pStyle w:val="TableParagraph"/>
              <w:ind w:left="573"/>
              <w:rPr>
                <w:sz w:val="20"/>
              </w:rPr>
            </w:pPr>
            <w:r>
              <w:rPr>
                <w:spacing w:val="-2"/>
                <w:sz w:val="20"/>
              </w:rPr>
              <w:t>6,737</w:t>
            </w:r>
          </w:p>
        </w:tc>
        <w:tc>
          <w:tcPr>
            <w:tcW w:w="995" w:type="dxa"/>
          </w:tcPr>
          <w:p>
            <w:pPr>
              <w:pStyle w:val="TableParagraph"/>
              <w:ind w:right="360"/>
              <w:jc w:val="right"/>
              <w:rPr>
                <w:sz w:val="20"/>
              </w:rPr>
            </w:pPr>
            <w:r>
              <w:rPr>
                <w:spacing w:val="-4"/>
                <w:sz w:val="20"/>
              </w:rPr>
              <w:t>77.0</w:t>
            </w:r>
          </w:p>
        </w:tc>
        <w:tc>
          <w:tcPr>
            <w:tcW w:w="1318" w:type="dxa"/>
          </w:tcPr>
          <w:p>
            <w:pPr>
              <w:pStyle w:val="TableParagraph"/>
              <w:ind w:right="397"/>
              <w:jc w:val="right"/>
              <w:rPr>
                <w:sz w:val="20"/>
              </w:rPr>
            </w:pPr>
            <w:r>
              <w:rPr>
                <w:spacing w:val="-2"/>
                <w:sz w:val="20"/>
              </w:rPr>
              <w:t>2,015</w:t>
            </w:r>
          </w:p>
        </w:tc>
        <w:tc>
          <w:tcPr>
            <w:tcW w:w="731" w:type="dxa"/>
          </w:tcPr>
          <w:p>
            <w:pPr>
              <w:pStyle w:val="TableParagraph"/>
              <w:ind w:right="108"/>
              <w:jc w:val="right"/>
              <w:rPr>
                <w:sz w:val="20"/>
              </w:rPr>
            </w:pPr>
            <w:r>
              <w:rPr>
                <w:spacing w:val="-4"/>
                <w:sz w:val="20"/>
              </w:rPr>
              <w:t>23.0</w:t>
            </w:r>
          </w:p>
        </w:tc>
      </w:tr>
      <w:tr>
        <w:trPr>
          <w:trHeight w:val="308" w:hRule="atLeast"/>
        </w:trPr>
        <w:tc>
          <w:tcPr>
            <w:tcW w:w="2957" w:type="dxa"/>
          </w:tcPr>
          <w:p>
            <w:pPr>
              <w:pStyle w:val="TableParagraph"/>
              <w:spacing w:before="18"/>
              <w:ind w:left="122"/>
              <w:rPr>
                <w:b/>
                <w:i/>
                <w:sz w:val="20"/>
              </w:rPr>
            </w:pPr>
            <w:r>
              <w:rPr>
                <w:b/>
                <w:i/>
                <w:sz w:val="20"/>
              </w:rPr>
              <w:t>Preterm</w:t>
            </w:r>
            <w:r>
              <w:rPr>
                <w:b/>
                <w:i/>
                <w:spacing w:val="-9"/>
                <w:sz w:val="20"/>
              </w:rPr>
              <w:t> </w:t>
            </w:r>
            <w:r>
              <w:rPr>
                <w:b/>
                <w:i/>
                <w:spacing w:val="-2"/>
                <w:sz w:val="20"/>
              </w:rPr>
              <w:t>Birth</w:t>
            </w:r>
            <w:r>
              <w:rPr>
                <w:b/>
                <w:i/>
                <w:spacing w:val="-2"/>
                <w:sz w:val="20"/>
                <w:vertAlign w:val="superscript"/>
              </w:rPr>
              <w:t>ƚ</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pacing w:val="-5"/>
                <w:sz w:val="20"/>
              </w:rPr>
              <w:t>No</w:t>
            </w:r>
          </w:p>
        </w:tc>
        <w:tc>
          <w:tcPr>
            <w:tcW w:w="1415" w:type="dxa"/>
          </w:tcPr>
          <w:p>
            <w:pPr>
              <w:pStyle w:val="TableParagraph"/>
              <w:ind w:left="472"/>
              <w:rPr>
                <w:sz w:val="20"/>
              </w:rPr>
            </w:pPr>
            <w:r>
              <w:rPr>
                <w:spacing w:val="-2"/>
                <w:sz w:val="20"/>
              </w:rPr>
              <w:t>33,616</w:t>
            </w:r>
          </w:p>
        </w:tc>
        <w:tc>
          <w:tcPr>
            <w:tcW w:w="995" w:type="dxa"/>
          </w:tcPr>
          <w:p>
            <w:pPr>
              <w:pStyle w:val="TableParagraph"/>
              <w:ind w:right="360"/>
              <w:jc w:val="right"/>
              <w:rPr>
                <w:sz w:val="20"/>
              </w:rPr>
            </w:pPr>
            <w:r>
              <w:rPr>
                <w:spacing w:val="-4"/>
                <w:sz w:val="20"/>
              </w:rPr>
              <w:t>76.8</w:t>
            </w:r>
          </w:p>
        </w:tc>
        <w:tc>
          <w:tcPr>
            <w:tcW w:w="1318" w:type="dxa"/>
          </w:tcPr>
          <w:p>
            <w:pPr>
              <w:pStyle w:val="TableParagraph"/>
              <w:ind w:left="364"/>
              <w:rPr>
                <w:sz w:val="20"/>
              </w:rPr>
            </w:pPr>
            <w:r>
              <w:rPr>
                <w:spacing w:val="-2"/>
                <w:sz w:val="20"/>
              </w:rPr>
              <w:t>10,177</w:t>
            </w:r>
          </w:p>
        </w:tc>
        <w:tc>
          <w:tcPr>
            <w:tcW w:w="731" w:type="dxa"/>
          </w:tcPr>
          <w:p>
            <w:pPr>
              <w:pStyle w:val="TableParagraph"/>
              <w:ind w:right="108"/>
              <w:jc w:val="right"/>
              <w:rPr>
                <w:sz w:val="20"/>
              </w:rPr>
            </w:pPr>
            <w:r>
              <w:rPr>
                <w:spacing w:val="-4"/>
                <w:sz w:val="20"/>
              </w:rPr>
              <w:t>23.2</w:t>
            </w:r>
          </w:p>
        </w:tc>
      </w:tr>
      <w:tr>
        <w:trPr>
          <w:trHeight w:val="291" w:hRule="atLeast"/>
        </w:trPr>
        <w:tc>
          <w:tcPr>
            <w:tcW w:w="2957" w:type="dxa"/>
          </w:tcPr>
          <w:p>
            <w:pPr>
              <w:pStyle w:val="TableParagraph"/>
              <w:ind w:left="122"/>
              <w:rPr>
                <w:sz w:val="20"/>
              </w:rPr>
            </w:pPr>
            <w:r>
              <w:rPr>
                <w:spacing w:val="-5"/>
                <w:sz w:val="20"/>
              </w:rPr>
              <w:t>Yes</w:t>
            </w:r>
          </w:p>
        </w:tc>
        <w:tc>
          <w:tcPr>
            <w:tcW w:w="1415" w:type="dxa"/>
          </w:tcPr>
          <w:p>
            <w:pPr>
              <w:pStyle w:val="TableParagraph"/>
              <w:ind w:left="573"/>
              <w:rPr>
                <w:sz w:val="20"/>
              </w:rPr>
            </w:pPr>
            <w:r>
              <w:rPr>
                <w:spacing w:val="-2"/>
                <w:sz w:val="20"/>
              </w:rPr>
              <w:t>3,259</w:t>
            </w:r>
          </w:p>
        </w:tc>
        <w:tc>
          <w:tcPr>
            <w:tcW w:w="995" w:type="dxa"/>
          </w:tcPr>
          <w:p>
            <w:pPr>
              <w:pStyle w:val="TableParagraph"/>
              <w:ind w:right="360"/>
              <w:jc w:val="right"/>
              <w:rPr>
                <w:sz w:val="20"/>
              </w:rPr>
            </w:pPr>
            <w:r>
              <w:rPr>
                <w:spacing w:val="-4"/>
                <w:sz w:val="20"/>
              </w:rPr>
              <w:t>80.4</w:t>
            </w:r>
          </w:p>
        </w:tc>
        <w:tc>
          <w:tcPr>
            <w:tcW w:w="1318" w:type="dxa"/>
          </w:tcPr>
          <w:p>
            <w:pPr>
              <w:pStyle w:val="TableParagraph"/>
              <w:ind w:right="397"/>
              <w:jc w:val="right"/>
              <w:rPr>
                <w:sz w:val="20"/>
              </w:rPr>
            </w:pPr>
            <w:r>
              <w:rPr>
                <w:spacing w:val="-5"/>
                <w:sz w:val="20"/>
              </w:rPr>
              <w:t>797</w:t>
            </w:r>
          </w:p>
        </w:tc>
        <w:tc>
          <w:tcPr>
            <w:tcW w:w="731" w:type="dxa"/>
          </w:tcPr>
          <w:p>
            <w:pPr>
              <w:pStyle w:val="TableParagraph"/>
              <w:ind w:right="108"/>
              <w:jc w:val="right"/>
              <w:rPr>
                <w:sz w:val="20"/>
              </w:rPr>
            </w:pPr>
            <w:r>
              <w:rPr>
                <w:spacing w:val="-4"/>
                <w:sz w:val="20"/>
              </w:rPr>
              <w:t>19.6</w:t>
            </w:r>
          </w:p>
        </w:tc>
      </w:tr>
      <w:tr>
        <w:trPr>
          <w:trHeight w:val="308" w:hRule="atLeast"/>
        </w:trPr>
        <w:tc>
          <w:tcPr>
            <w:tcW w:w="2957" w:type="dxa"/>
          </w:tcPr>
          <w:p>
            <w:pPr>
              <w:pStyle w:val="TableParagraph"/>
              <w:spacing w:before="18"/>
              <w:ind w:left="122"/>
              <w:rPr>
                <w:b/>
                <w:i/>
                <w:sz w:val="20"/>
              </w:rPr>
            </w:pPr>
            <w:r>
              <w:rPr>
                <w:b/>
                <w:i/>
                <w:spacing w:val="-2"/>
                <w:sz w:val="20"/>
              </w:rPr>
              <w:t>Plurality</w:t>
            </w:r>
            <w:r>
              <w:rPr>
                <w:b/>
                <w:i/>
                <w:spacing w:val="-2"/>
                <w:sz w:val="20"/>
                <w:vertAlign w:val="superscript"/>
              </w:rPr>
              <w:t>ƚ</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pacing w:val="-2"/>
                <w:sz w:val="20"/>
              </w:rPr>
              <w:t>Singleton</w:t>
            </w:r>
          </w:p>
        </w:tc>
        <w:tc>
          <w:tcPr>
            <w:tcW w:w="1415" w:type="dxa"/>
          </w:tcPr>
          <w:p>
            <w:pPr>
              <w:pStyle w:val="TableParagraph"/>
              <w:ind w:left="472"/>
              <w:rPr>
                <w:sz w:val="20"/>
              </w:rPr>
            </w:pPr>
            <w:r>
              <w:rPr>
                <w:spacing w:val="-2"/>
                <w:sz w:val="20"/>
              </w:rPr>
              <w:t>36,309</w:t>
            </w:r>
          </w:p>
        </w:tc>
        <w:tc>
          <w:tcPr>
            <w:tcW w:w="995" w:type="dxa"/>
          </w:tcPr>
          <w:p>
            <w:pPr>
              <w:pStyle w:val="TableParagraph"/>
              <w:ind w:right="360"/>
              <w:jc w:val="right"/>
              <w:rPr>
                <w:sz w:val="20"/>
              </w:rPr>
            </w:pPr>
            <w:r>
              <w:rPr>
                <w:spacing w:val="-4"/>
                <w:sz w:val="20"/>
              </w:rPr>
              <w:t>77.0</w:t>
            </w:r>
          </w:p>
        </w:tc>
        <w:tc>
          <w:tcPr>
            <w:tcW w:w="1318" w:type="dxa"/>
          </w:tcPr>
          <w:p>
            <w:pPr>
              <w:pStyle w:val="TableParagraph"/>
              <w:ind w:left="364"/>
              <w:rPr>
                <w:sz w:val="20"/>
              </w:rPr>
            </w:pPr>
            <w:r>
              <w:rPr>
                <w:spacing w:val="-2"/>
                <w:sz w:val="20"/>
              </w:rPr>
              <w:t>10,835</w:t>
            </w:r>
          </w:p>
        </w:tc>
        <w:tc>
          <w:tcPr>
            <w:tcW w:w="731" w:type="dxa"/>
          </w:tcPr>
          <w:p>
            <w:pPr>
              <w:pStyle w:val="TableParagraph"/>
              <w:ind w:right="108"/>
              <w:jc w:val="right"/>
              <w:rPr>
                <w:sz w:val="20"/>
              </w:rPr>
            </w:pPr>
            <w:r>
              <w:rPr>
                <w:spacing w:val="-4"/>
                <w:sz w:val="20"/>
              </w:rPr>
              <w:t>23.0</w:t>
            </w:r>
          </w:p>
        </w:tc>
      </w:tr>
      <w:tr>
        <w:trPr>
          <w:trHeight w:val="291" w:hRule="atLeast"/>
        </w:trPr>
        <w:tc>
          <w:tcPr>
            <w:tcW w:w="2957" w:type="dxa"/>
          </w:tcPr>
          <w:p>
            <w:pPr>
              <w:pStyle w:val="TableParagraph"/>
              <w:ind w:left="122"/>
              <w:rPr>
                <w:sz w:val="20"/>
              </w:rPr>
            </w:pPr>
            <w:r>
              <w:rPr>
                <w:spacing w:val="-2"/>
                <w:sz w:val="20"/>
              </w:rPr>
              <w:t>Multiple</w:t>
            </w:r>
          </w:p>
        </w:tc>
        <w:tc>
          <w:tcPr>
            <w:tcW w:w="1415" w:type="dxa"/>
          </w:tcPr>
          <w:p>
            <w:pPr>
              <w:pStyle w:val="TableParagraph"/>
              <w:ind w:left="724"/>
              <w:rPr>
                <w:sz w:val="20"/>
              </w:rPr>
            </w:pPr>
            <w:r>
              <w:rPr>
                <w:spacing w:val="-5"/>
                <w:sz w:val="20"/>
              </w:rPr>
              <w:t>666</w:t>
            </w:r>
          </w:p>
        </w:tc>
        <w:tc>
          <w:tcPr>
            <w:tcW w:w="995" w:type="dxa"/>
          </w:tcPr>
          <w:p>
            <w:pPr>
              <w:pStyle w:val="TableParagraph"/>
              <w:ind w:right="360"/>
              <w:jc w:val="right"/>
              <w:rPr>
                <w:sz w:val="20"/>
              </w:rPr>
            </w:pPr>
            <w:r>
              <w:rPr>
                <w:spacing w:val="-4"/>
                <w:sz w:val="20"/>
              </w:rPr>
              <w:t>82.5</w:t>
            </w:r>
          </w:p>
        </w:tc>
        <w:tc>
          <w:tcPr>
            <w:tcW w:w="1318" w:type="dxa"/>
          </w:tcPr>
          <w:p>
            <w:pPr>
              <w:pStyle w:val="TableParagraph"/>
              <w:ind w:right="397"/>
              <w:jc w:val="right"/>
              <w:rPr>
                <w:sz w:val="20"/>
              </w:rPr>
            </w:pPr>
            <w:r>
              <w:rPr>
                <w:spacing w:val="-5"/>
                <w:sz w:val="20"/>
              </w:rPr>
              <w:t>141</w:t>
            </w:r>
          </w:p>
        </w:tc>
        <w:tc>
          <w:tcPr>
            <w:tcW w:w="731" w:type="dxa"/>
          </w:tcPr>
          <w:p>
            <w:pPr>
              <w:pStyle w:val="TableParagraph"/>
              <w:ind w:right="108"/>
              <w:jc w:val="right"/>
              <w:rPr>
                <w:sz w:val="20"/>
              </w:rPr>
            </w:pPr>
            <w:r>
              <w:rPr>
                <w:spacing w:val="-4"/>
                <w:sz w:val="20"/>
              </w:rPr>
              <w:t>17.5</w:t>
            </w:r>
          </w:p>
        </w:tc>
      </w:tr>
      <w:tr>
        <w:trPr>
          <w:trHeight w:val="305" w:hRule="atLeast"/>
        </w:trPr>
        <w:tc>
          <w:tcPr>
            <w:tcW w:w="2957" w:type="dxa"/>
          </w:tcPr>
          <w:p>
            <w:pPr>
              <w:pStyle w:val="TableParagraph"/>
              <w:spacing w:before="18"/>
              <w:ind w:left="122"/>
              <w:rPr>
                <w:b/>
                <w:i/>
                <w:sz w:val="20"/>
              </w:rPr>
            </w:pPr>
            <w:r>
              <w:rPr>
                <w:b/>
                <w:i/>
                <w:spacing w:val="-2"/>
                <w:sz w:val="20"/>
              </w:rPr>
              <w:t>Parity</w:t>
            </w:r>
            <w:r>
              <w:rPr>
                <w:b/>
                <w:i/>
                <w:spacing w:val="-2"/>
                <w:sz w:val="20"/>
                <w:vertAlign w:val="superscript"/>
              </w:rPr>
              <w:t>ƚ</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292" w:hRule="atLeast"/>
        </w:trPr>
        <w:tc>
          <w:tcPr>
            <w:tcW w:w="2957" w:type="dxa"/>
          </w:tcPr>
          <w:p>
            <w:pPr>
              <w:pStyle w:val="TableParagraph"/>
              <w:spacing w:before="5"/>
              <w:ind w:left="122"/>
              <w:rPr>
                <w:sz w:val="20"/>
              </w:rPr>
            </w:pPr>
            <w:r>
              <w:rPr>
                <w:w w:val="99"/>
                <w:sz w:val="20"/>
              </w:rPr>
              <w:t>1</w:t>
            </w:r>
          </w:p>
        </w:tc>
        <w:tc>
          <w:tcPr>
            <w:tcW w:w="1415" w:type="dxa"/>
          </w:tcPr>
          <w:p>
            <w:pPr>
              <w:pStyle w:val="TableParagraph"/>
              <w:spacing w:before="5"/>
              <w:ind w:left="472"/>
              <w:rPr>
                <w:sz w:val="20"/>
              </w:rPr>
            </w:pPr>
            <w:r>
              <w:rPr>
                <w:spacing w:val="-2"/>
                <w:sz w:val="20"/>
              </w:rPr>
              <w:t>15,612</w:t>
            </w:r>
          </w:p>
        </w:tc>
        <w:tc>
          <w:tcPr>
            <w:tcW w:w="995" w:type="dxa"/>
          </w:tcPr>
          <w:p>
            <w:pPr>
              <w:pStyle w:val="TableParagraph"/>
              <w:spacing w:before="5"/>
              <w:ind w:right="360"/>
              <w:jc w:val="right"/>
              <w:rPr>
                <w:sz w:val="20"/>
              </w:rPr>
            </w:pPr>
            <w:r>
              <w:rPr>
                <w:spacing w:val="-4"/>
                <w:sz w:val="20"/>
              </w:rPr>
              <w:t>76.4</w:t>
            </w:r>
          </w:p>
        </w:tc>
        <w:tc>
          <w:tcPr>
            <w:tcW w:w="1318" w:type="dxa"/>
          </w:tcPr>
          <w:p>
            <w:pPr>
              <w:pStyle w:val="TableParagraph"/>
              <w:spacing w:before="5"/>
              <w:ind w:right="397"/>
              <w:jc w:val="right"/>
              <w:rPr>
                <w:sz w:val="20"/>
              </w:rPr>
            </w:pPr>
            <w:r>
              <w:rPr>
                <w:spacing w:val="-2"/>
                <w:sz w:val="20"/>
              </w:rPr>
              <w:t>4,826</w:t>
            </w:r>
          </w:p>
        </w:tc>
        <w:tc>
          <w:tcPr>
            <w:tcW w:w="731" w:type="dxa"/>
          </w:tcPr>
          <w:p>
            <w:pPr>
              <w:pStyle w:val="TableParagraph"/>
              <w:spacing w:before="5"/>
              <w:ind w:right="108"/>
              <w:jc w:val="right"/>
              <w:rPr>
                <w:sz w:val="20"/>
              </w:rPr>
            </w:pPr>
            <w:r>
              <w:rPr>
                <w:spacing w:val="-4"/>
                <w:sz w:val="20"/>
              </w:rPr>
              <w:t>23.6</w:t>
            </w:r>
          </w:p>
        </w:tc>
      </w:tr>
      <w:tr>
        <w:trPr>
          <w:trHeight w:val="296" w:hRule="atLeast"/>
        </w:trPr>
        <w:tc>
          <w:tcPr>
            <w:tcW w:w="2957" w:type="dxa"/>
          </w:tcPr>
          <w:p>
            <w:pPr>
              <w:pStyle w:val="TableParagraph"/>
              <w:spacing w:before="5"/>
              <w:ind w:left="122"/>
              <w:rPr>
                <w:sz w:val="20"/>
              </w:rPr>
            </w:pPr>
            <w:r>
              <w:rPr>
                <w:w w:val="99"/>
                <w:sz w:val="20"/>
              </w:rPr>
              <w:t>2</w:t>
            </w:r>
          </w:p>
        </w:tc>
        <w:tc>
          <w:tcPr>
            <w:tcW w:w="1415" w:type="dxa"/>
          </w:tcPr>
          <w:p>
            <w:pPr>
              <w:pStyle w:val="TableParagraph"/>
              <w:spacing w:before="5"/>
              <w:ind w:left="472"/>
              <w:rPr>
                <w:sz w:val="20"/>
              </w:rPr>
            </w:pPr>
            <w:r>
              <w:rPr>
                <w:spacing w:val="-2"/>
                <w:sz w:val="20"/>
              </w:rPr>
              <w:t>12,351</w:t>
            </w:r>
          </w:p>
        </w:tc>
        <w:tc>
          <w:tcPr>
            <w:tcW w:w="995" w:type="dxa"/>
          </w:tcPr>
          <w:p>
            <w:pPr>
              <w:pStyle w:val="TableParagraph"/>
              <w:spacing w:before="5"/>
              <w:ind w:right="360"/>
              <w:jc w:val="right"/>
              <w:rPr>
                <w:sz w:val="20"/>
              </w:rPr>
            </w:pPr>
            <w:r>
              <w:rPr>
                <w:spacing w:val="-4"/>
                <w:sz w:val="20"/>
              </w:rPr>
              <w:t>77.0</w:t>
            </w:r>
          </w:p>
        </w:tc>
        <w:tc>
          <w:tcPr>
            <w:tcW w:w="1318" w:type="dxa"/>
          </w:tcPr>
          <w:p>
            <w:pPr>
              <w:pStyle w:val="TableParagraph"/>
              <w:spacing w:before="5"/>
              <w:ind w:right="397"/>
              <w:jc w:val="right"/>
              <w:rPr>
                <w:sz w:val="20"/>
              </w:rPr>
            </w:pPr>
            <w:r>
              <w:rPr>
                <w:spacing w:val="-2"/>
                <w:sz w:val="20"/>
              </w:rPr>
              <w:t>3,699</w:t>
            </w:r>
          </w:p>
        </w:tc>
        <w:tc>
          <w:tcPr>
            <w:tcW w:w="731" w:type="dxa"/>
          </w:tcPr>
          <w:p>
            <w:pPr>
              <w:pStyle w:val="TableParagraph"/>
              <w:spacing w:before="5"/>
              <w:ind w:right="108"/>
              <w:jc w:val="right"/>
              <w:rPr>
                <w:sz w:val="20"/>
              </w:rPr>
            </w:pPr>
            <w:r>
              <w:rPr>
                <w:spacing w:val="-4"/>
                <w:sz w:val="20"/>
              </w:rPr>
              <w:t>23.0</w:t>
            </w:r>
          </w:p>
        </w:tc>
      </w:tr>
      <w:tr>
        <w:trPr>
          <w:trHeight w:val="291" w:hRule="atLeast"/>
        </w:trPr>
        <w:tc>
          <w:tcPr>
            <w:tcW w:w="2957" w:type="dxa"/>
          </w:tcPr>
          <w:p>
            <w:pPr>
              <w:pStyle w:val="TableParagraph"/>
              <w:ind w:left="122"/>
              <w:rPr>
                <w:sz w:val="20"/>
              </w:rPr>
            </w:pPr>
            <w:r>
              <w:rPr>
                <w:spacing w:val="-5"/>
                <w:sz w:val="20"/>
              </w:rPr>
              <w:t>3+</w:t>
            </w:r>
          </w:p>
        </w:tc>
        <w:tc>
          <w:tcPr>
            <w:tcW w:w="1415" w:type="dxa"/>
          </w:tcPr>
          <w:p>
            <w:pPr>
              <w:pStyle w:val="TableParagraph"/>
              <w:ind w:left="573"/>
              <w:rPr>
                <w:sz w:val="20"/>
              </w:rPr>
            </w:pPr>
            <w:r>
              <w:rPr>
                <w:spacing w:val="-2"/>
                <w:sz w:val="20"/>
              </w:rPr>
              <w:t>9,012</w:t>
            </w:r>
          </w:p>
        </w:tc>
        <w:tc>
          <w:tcPr>
            <w:tcW w:w="995" w:type="dxa"/>
          </w:tcPr>
          <w:p>
            <w:pPr>
              <w:pStyle w:val="TableParagraph"/>
              <w:ind w:right="360"/>
              <w:jc w:val="right"/>
              <w:rPr>
                <w:sz w:val="20"/>
              </w:rPr>
            </w:pPr>
            <w:r>
              <w:rPr>
                <w:spacing w:val="-4"/>
                <w:sz w:val="20"/>
              </w:rPr>
              <w:t>78.6</w:t>
            </w:r>
          </w:p>
        </w:tc>
        <w:tc>
          <w:tcPr>
            <w:tcW w:w="1318" w:type="dxa"/>
          </w:tcPr>
          <w:p>
            <w:pPr>
              <w:pStyle w:val="TableParagraph"/>
              <w:ind w:right="397"/>
              <w:jc w:val="right"/>
              <w:rPr>
                <w:sz w:val="20"/>
              </w:rPr>
            </w:pPr>
            <w:r>
              <w:rPr>
                <w:spacing w:val="-2"/>
                <w:sz w:val="20"/>
              </w:rPr>
              <w:t>2,451</w:t>
            </w:r>
          </w:p>
        </w:tc>
        <w:tc>
          <w:tcPr>
            <w:tcW w:w="731" w:type="dxa"/>
          </w:tcPr>
          <w:p>
            <w:pPr>
              <w:pStyle w:val="TableParagraph"/>
              <w:ind w:right="108"/>
              <w:jc w:val="right"/>
              <w:rPr>
                <w:sz w:val="20"/>
              </w:rPr>
            </w:pPr>
            <w:r>
              <w:rPr>
                <w:spacing w:val="-4"/>
                <w:sz w:val="20"/>
              </w:rPr>
              <w:t>21.4</w:t>
            </w:r>
          </w:p>
        </w:tc>
      </w:tr>
      <w:tr>
        <w:trPr>
          <w:trHeight w:val="308" w:hRule="atLeast"/>
        </w:trPr>
        <w:tc>
          <w:tcPr>
            <w:tcW w:w="2957" w:type="dxa"/>
          </w:tcPr>
          <w:p>
            <w:pPr>
              <w:pStyle w:val="TableParagraph"/>
              <w:spacing w:before="18"/>
              <w:ind w:left="122"/>
              <w:rPr>
                <w:b/>
                <w:i/>
                <w:sz w:val="20"/>
              </w:rPr>
            </w:pPr>
            <w:r>
              <w:rPr>
                <w:b/>
                <w:i/>
                <w:spacing w:val="-2"/>
                <w:sz w:val="20"/>
              </w:rPr>
              <w:t>Married</w:t>
            </w:r>
            <w:r>
              <w:rPr>
                <w:b/>
                <w:i/>
                <w:spacing w:val="-2"/>
                <w:sz w:val="20"/>
                <w:vertAlign w:val="superscript"/>
              </w:rPr>
              <w:t>ƚ</w:t>
            </w:r>
          </w:p>
        </w:tc>
        <w:tc>
          <w:tcPr>
            <w:tcW w:w="1415" w:type="dxa"/>
          </w:tcPr>
          <w:p>
            <w:pPr>
              <w:pStyle w:val="TableParagraph"/>
              <w:spacing w:before="0"/>
              <w:rPr>
                <w:rFonts w:ascii="Times New Roman"/>
                <w:sz w:val="20"/>
              </w:rPr>
            </w:pPr>
          </w:p>
        </w:tc>
        <w:tc>
          <w:tcPr>
            <w:tcW w:w="995" w:type="dxa"/>
          </w:tcPr>
          <w:p>
            <w:pPr>
              <w:pStyle w:val="TableParagraph"/>
              <w:spacing w:before="0"/>
              <w:rPr>
                <w:rFonts w:ascii="Times New Roman"/>
                <w:sz w:val="20"/>
              </w:rPr>
            </w:pPr>
          </w:p>
        </w:tc>
        <w:tc>
          <w:tcPr>
            <w:tcW w:w="1318" w:type="dxa"/>
          </w:tcPr>
          <w:p>
            <w:pPr>
              <w:pStyle w:val="TableParagraph"/>
              <w:spacing w:before="0"/>
              <w:rPr>
                <w:rFonts w:ascii="Times New Roman"/>
                <w:sz w:val="20"/>
              </w:rPr>
            </w:pPr>
          </w:p>
        </w:tc>
        <w:tc>
          <w:tcPr>
            <w:tcW w:w="731" w:type="dxa"/>
          </w:tcPr>
          <w:p>
            <w:pPr>
              <w:pStyle w:val="TableParagraph"/>
              <w:spacing w:before="0"/>
              <w:rPr>
                <w:rFonts w:ascii="Times New Roman"/>
                <w:sz w:val="20"/>
              </w:rPr>
            </w:pPr>
          </w:p>
        </w:tc>
      </w:tr>
      <w:tr>
        <w:trPr>
          <w:trHeight w:val="300" w:hRule="atLeast"/>
        </w:trPr>
        <w:tc>
          <w:tcPr>
            <w:tcW w:w="2957" w:type="dxa"/>
          </w:tcPr>
          <w:p>
            <w:pPr>
              <w:pStyle w:val="TableParagraph"/>
              <w:ind w:left="122"/>
              <w:rPr>
                <w:sz w:val="20"/>
              </w:rPr>
            </w:pPr>
            <w:r>
              <w:rPr>
                <w:spacing w:val="-5"/>
                <w:sz w:val="20"/>
              </w:rPr>
              <w:t>No</w:t>
            </w:r>
          </w:p>
        </w:tc>
        <w:tc>
          <w:tcPr>
            <w:tcW w:w="1415" w:type="dxa"/>
          </w:tcPr>
          <w:p>
            <w:pPr>
              <w:pStyle w:val="TableParagraph"/>
              <w:ind w:left="472"/>
              <w:rPr>
                <w:sz w:val="20"/>
              </w:rPr>
            </w:pPr>
            <w:r>
              <w:rPr>
                <w:spacing w:val="-2"/>
                <w:sz w:val="20"/>
              </w:rPr>
              <w:t>15,445</w:t>
            </w:r>
          </w:p>
        </w:tc>
        <w:tc>
          <w:tcPr>
            <w:tcW w:w="995" w:type="dxa"/>
          </w:tcPr>
          <w:p>
            <w:pPr>
              <w:pStyle w:val="TableParagraph"/>
              <w:ind w:right="360"/>
              <w:jc w:val="right"/>
              <w:rPr>
                <w:sz w:val="20"/>
              </w:rPr>
            </w:pPr>
            <w:r>
              <w:rPr>
                <w:spacing w:val="-4"/>
                <w:sz w:val="20"/>
              </w:rPr>
              <w:t>77.4</w:t>
            </w:r>
          </w:p>
        </w:tc>
        <w:tc>
          <w:tcPr>
            <w:tcW w:w="1318" w:type="dxa"/>
          </w:tcPr>
          <w:p>
            <w:pPr>
              <w:pStyle w:val="TableParagraph"/>
              <w:ind w:right="397"/>
              <w:jc w:val="right"/>
              <w:rPr>
                <w:sz w:val="20"/>
              </w:rPr>
            </w:pPr>
            <w:r>
              <w:rPr>
                <w:spacing w:val="-2"/>
                <w:sz w:val="20"/>
              </w:rPr>
              <w:t>4,502</w:t>
            </w:r>
          </w:p>
        </w:tc>
        <w:tc>
          <w:tcPr>
            <w:tcW w:w="731" w:type="dxa"/>
          </w:tcPr>
          <w:p>
            <w:pPr>
              <w:pStyle w:val="TableParagraph"/>
              <w:ind w:right="108"/>
              <w:jc w:val="right"/>
              <w:rPr>
                <w:sz w:val="20"/>
              </w:rPr>
            </w:pPr>
            <w:r>
              <w:rPr>
                <w:spacing w:val="-4"/>
                <w:sz w:val="20"/>
              </w:rPr>
              <w:t>22.6</w:t>
            </w:r>
          </w:p>
        </w:tc>
      </w:tr>
      <w:tr>
        <w:trPr>
          <w:trHeight w:val="252" w:hRule="atLeast"/>
        </w:trPr>
        <w:tc>
          <w:tcPr>
            <w:tcW w:w="2957" w:type="dxa"/>
            <w:tcBorders>
              <w:bottom w:val="single" w:sz="4" w:space="0" w:color="000000"/>
            </w:tcBorders>
          </w:tcPr>
          <w:p>
            <w:pPr>
              <w:pStyle w:val="TableParagraph"/>
              <w:spacing w:line="223" w:lineRule="exact"/>
              <w:ind w:left="122"/>
              <w:rPr>
                <w:sz w:val="20"/>
              </w:rPr>
            </w:pPr>
            <w:r>
              <w:rPr>
                <w:spacing w:val="-5"/>
                <w:sz w:val="20"/>
              </w:rPr>
              <w:t>Yes</w:t>
            </w:r>
          </w:p>
        </w:tc>
        <w:tc>
          <w:tcPr>
            <w:tcW w:w="1415" w:type="dxa"/>
            <w:tcBorders>
              <w:bottom w:val="single" w:sz="4" w:space="0" w:color="000000"/>
            </w:tcBorders>
          </w:tcPr>
          <w:p>
            <w:pPr>
              <w:pStyle w:val="TableParagraph"/>
              <w:spacing w:line="223" w:lineRule="exact"/>
              <w:ind w:left="472"/>
              <w:rPr>
                <w:sz w:val="20"/>
              </w:rPr>
            </w:pPr>
            <w:r>
              <w:rPr>
                <w:spacing w:val="-2"/>
                <w:sz w:val="20"/>
              </w:rPr>
              <w:t>21,414</w:t>
            </w:r>
          </w:p>
        </w:tc>
        <w:tc>
          <w:tcPr>
            <w:tcW w:w="995" w:type="dxa"/>
            <w:tcBorders>
              <w:bottom w:val="single" w:sz="4" w:space="0" w:color="000000"/>
            </w:tcBorders>
          </w:tcPr>
          <w:p>
            <w:pPr>
              <w:pStyle w:val="TableParagraph"/>
              <w:spacing w:line="223" w:lineRule="exact"/>
              <w:ind w:right="360"/>
              <w:jc w:val="right"/>
              <w:rPr>
                <w:sz w:val="20"/>
              </w:rPr>
            </w:pPr>
            <w:r>
              <w:rPr>
                <w:spacing w:val="-4"/>
                <w:sz w:val="20"/>
              </w:rPr>
              <w:t>76.8</w:t>
            </w:r>
          </w:p>
        </w:tc>
        <w:tc>
          <w:tcPr>
            <w:tcW w:w="1318" w:type="dxa"/>
            <w:tcBorders>
              <w:bottom w:val="single" w:sz="4" w:space="0" w:color="000000"/>
            </w:tcBorders>
          </w:tcPr>
          <w:p>
            <w:pPr>
              <w:pStyle w:val="TableParagraph"/>
              <w:spacing w:line="223" w:lineRule="exact"/>
              <w:ind w:right="397"/>
              <w:jc w:val="right"/>
              <w:rPr>
                <w:sz w:val="20"/>
              </w:rPr>
            </w:pPr>
            <w:r>
              <w:rPr>
                <w:spacing w:val="-2"/>
                <w:sz w:val="20"/>
              </w:rPr>
              <w:t>6,461</w:t>
            </w:r>
          </w:p>
        </w:tc>
        <w:tc>
          <w:tcPr>
            <w:tcW w:w="731" w:type="dxa"/>
            <w:tcBorders>
              <w:bottom w:val="single" w:sz="4" w:space="0" w:color="000000"/>
            </w:tcBorders>
          </w:tcPr>
          <w:p>
            <w:pPr>
              <w:pStyle w:val="TableParagraph"/>
              <w:spacing w:line="223" w:lineRule="exact"/>
              <w:ind w:right="108"/>
              <w:jc w:val="right"/>
              <w:rPr>
                <w:sz w:val="20"/>
              </w:rPr>
            </w:pPr>
            <w:r>
              <w:rPr>
                <w:spacing w:val="-4"/>
                <w:sz w:val="20"/>
              </w:rPr>
              <w:t>23.2</w:t>
            </w:r>
          </w:p>
        </w:tc>
      </w:tr>
    </w:tbl>
    <w:p>
      <w:pPr>
        <w:pStyle w:val="BodyText"/>
        <w:spacing w:before="11"/>
        <w:rPr>
          <w:b/>
          <w:sz w:val="19"/>
        </w:rPr>
      </w:pPr>
    </w:p>
    <w:p>
      <w:pPr>
        <w:spacing w:before="59"/>
        <w:ind w:left="380" w:right="0" w:firstLine="0"/>
        <w:jc w:val="left"/>
        <w:rPr>
          <w:sz w:val="20"/>
        </w:rPr>
      </w:pPr>
      <w:r>
        <w:rPr>
          <w:sz w:val="20"/>
        </w:rPr>
        <w:t>ƚ</w:t>
      </w:r>
      <w:r>
        <w:rPr>
          <w:spacing w:val="-2"/>
          <w:sz w:val="20"/>
        </w:rPr>
        <w:t> P&lt;0.01</w:t>
      </w:r>
    </w:p>
    <w:p>
      <w:pPr>
        <w:spacing w:after="0"/>
        <w:jc w:val="left"/>
        <w:rPr>
          <w:sz w:val="20"/>
        </w:rPr>
        <w:sectPr>
          <w:pgSz w:w="12240" w:h="15840"/>
          <w:pgMar w:header="0" w:footer="765" w:top="1820" w:bottom="960" w:left="1060" w:right="380"/>
        </w:sectPr>
      </w:pPr>
    </w:p>
    <w:p>
      <w:pPr>
        <w:pStyle w:val="Heading2"/>
        <w:spacing w:before="39"/>
        <w:ind w:left="752"/>
      </w:pPr>
      <w:r>
        <w:rPr/>
        <w:t>Table</w:t>
      </w:r>
      <w:r>
        <w:rPr>
          <w:spacing w:val="-3"/>
        </w:rPr>
        <w:t> </w:t>
      </w:r>
      <w:r>
        <w:rPr/>
        <w:t>2.</w:t>
      </w:r>
      <w:r>
        <w:rPr>
          <w:spacing w:val="-1"/>
        </w:rPr>
        <w:t> </w:t>
      </w:r>
      <w:r>
        <w:rPr/>
        <w:t>Women’s</w:t>
      </w:r>
      <w:r>
        <w:rPr>
          <w:spacing w:val="-1"/>
        </w:rPr>
        <w:t> </w:t>
      </w:r>
      <w:r>
        <w:rPr/>
        <w:t>Characteristics</w:t>
      </w:r>
      <w:r>
        <w:rPr>
          <w:spacing w:val="-5"/>
        </w:rPr>
        <w:t> </w:t>
      </w:r>
      <w:r>
        <w:rPr/>
        <w:t>by</w:t>
      </w:r>
      <w:r>
        <w:rPr>
          <w:spacing w:val="-2"/>
        </w:rPr>
        <w:t> </w:t>
      </w:r>
      <w:r>
        <w:rPr/>
        <w:t>Results</w:t>
      </w:r>
      <w:r>
        <w:rPr>
          <w:spacing w:val="-1"/>
        </w:rPr>
        <w:t> </w:t>
      </w:r>
      <w:r>
        <w:rPr/>
        <w:t>of</w:t>
      </w:r>
      <w:r>
        <w:rPr>
          <w:spacing w:val="-2"/>
        </w:rPr>
        <w:t> </w:t>
      </w:r>
      <w:r>
        <w:rPr/>
        <w:t>PPD</w:t>
      </w:r>
      <w:r>
        <w:rPr>
          <w:spacing w:val="-2"/>
        </w:rPr>
        <w:t> </w:t>
      </w:r>
      <w:r>
        <w:rPr/>
        <w:t>Screening,</w:t>
      </w:r>
      <w:r>
        <w:rPr>
          <w:spacing w:val="-1"/>
        </w:rPr>
        <w:t> </w:t>
      </w:r>
      <w:r>
        <w:rPr/>
        <w:t>Jan</w:t>
      </w:r>
      <w:r>
        <w:rPr>
          <w:spacing w:val="-3"/>
        </w:rPr>
        <w:t> </w:t>
      </w:r>
      <w:r>
        <w:rPr/>
        <w:t>2019</w:t>
      </w:r>
      <w:r>
        <w:rPr>
          <w:spacing w:val="-2"/>
        </w:rPr>
        <w:t> </w:t>
      </w:r>
      <w:r>
        <w:rPr/>
        <w:t>-Dec</w:t>
      </w:r>
      <w:r>
        <w:rPr>
          <w:spacing w:val="-1"/>
        </w:rPr>
        <w:t> </w:t>
      </w:r>
      <w:r>
        <w:rPr/>
        <w:t>2019,</w:t>
      </w:r>
      <w:r>
        <w:rPr>
          <w:spacing w:val="-1"/>
        </w:rPr>
        <w:t> </w:t>
      </w:r>
      <w:r>
        <w:rPr>
          <w:spacing w:val="-5"/>
        </w:rPr>
        <w:t>MA</w:t>
      </w:r>
    </w:p>
    <w:p>
      <w:pPr>
        <w:pStyle w:val="BodyText"/>
        <w:rPr>
          <w:b/>
          <w:sz w:val="15"/>
        </w:rPr>
      </w:pPr>
    </w:p>
    <w:tbl>
      <w:tblPr>
        <w:tblW w:w="0" w:type="auto"/>
        <w:jc w:val="left"/>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4"/>
        <w:gridCol w:w="1502"/>
        <w:gridCol w:w="916"/>
        <w:gridCol w:w="1365"/>
        <w:gridCol w:w="638"/>
      </w:tblGrid>
      <w:tr>
        <w:trPr>
          <w:trHeight w:val="341" w:hRule="atLeast"/>
        </w:trPr>
        <w:tc>
          <w:tcPr>
            <w:tcW w:w="7655" w:type="dxa"/>
            <w:gridSpan w:val="5"/>
            <w:tcBorders>
              <w:top w:val="single" w:sz="4" w:space="0" w:color="000000"/>
            </w:tcBorders>
          </w:tcPr>
          <w:p>
            <w:pPr>
              <w:pStyle w:val="TableParagraph"/>
              <w:tabs>
                <w:tab w:pos="4883" w:val="left" w:leader="none"/>
                <w:tab w:pos="7655" w:val="left" w:leader="none"/>
              </w:tabs>
              <w:spacing w:before="49"/>
              <w:ind w:left="3314" w:right="-15"/>
              <w:rPr>
                <w:b/>
                <w:sz w:val="20"/>
              </w:rPr>
            </w:pPr>
            <w:r>
              <w:rPr>
                <w:b/>
                <w:sz w:val="20"/>
                <w:u w:val="single"/>
              </w:rPr>
              <w:tab/>
              <w:t>Screen</w:t>
            </w:r>
            <w:r>
              <w:rPr>
                <w:b/>
                <w:spacing w:val="-5"/>
                <w:sz w:val="20"/>
                <w:u w:val="single"/>
              </w:rPr>
              <w:t> </w:t>
            </w:r>
            <w:r>
              <w:rPr>
                <w:b/>
                <w:spacing w:val="-2"/>
                <w:sz w:val="20"/>
                <w:u w:val="single"/>
              </w:rPr>
              <w:t>Results</w:t>
            </w:r>
            <w:r>
              <w:rPr>
                <w:b/>
                <w:sz w:val="20"/>
                <w:u w:val="single"/>
              </w:rPr>
              <w:tab/>
            </w:r>
          </w:p>
        </w:tc>
      </w:tr>
      <w:tr>
        <w:trPr>
          <w:trHeight w:val="302" w:hRule="atLeast"/>
        </w:trPr>
        <w:tc>
          <w:tcPr>
            <w:tcW w:w="3234" w:type="dxa"/>
          </w:tcPr>
          <w:p>
            <w:pPr>
              <w:pStyle w:val="TableParagraph"/>
              <w:spacing w:before="0"/>
              <w:rPr>
                <w:rFonts w:ascii="Times New Roman"/>
                <w:sz w:val="20"/>
              </w:rPr>
            </w:pPr>
          </w:p>
        </w:tc>
        <w:tc>
          <w:tcPr>
            <w:tcW w:w="1502" w:type="dxa"/>
          </w:tcPr>
          <w:p>
            <w:pPr>
              <w:pStyle w:val="TableParagraph"/>
              <w:tabs>
                <w:tab w:pos="730" w:val="left" w:leader="none"/>
                <w:tab w:pos="2120" w:val="left" w:leader="none"/>
              </w:tabs>
              <w:spacing w:before="10"/>
              <w:ind w:left="80" w:right="-620"/>
              <w:rPr>
                <w:b/>
                <w:sz w:val="20"/>
              </w:rPr>
            </w:pPr>
            <w:r>
              <w:rPr>
                <w:b/>
                <w:sz w:val="20"/>
                <w:u w:val="single"/>
              </w:rPr>
              <w:tab/>
            </w:r>
            <w:r>
              <w:rPr>
                <w:b/>
                <w:spacing w:val="-2"/>
                <w:sz w:val="20"/>
                <w:u w:val="single"/>
              </w:rPr>
              <w:t>Negative</w:t>
            </w:r>
            <w:r>
              <w:rPr>
                <w:b/>
                <w:sz w:val="20"/>
                <w:u w:val="single"/>
              </w:rPr>
              <w:tab/>
            </w:r>
          </w:p>
        </w:tc>
        <w:tc>
          <w:tcPr>
            <w:tcW w:w="2919" w:type="dxa"/>
            <w:gridSpan w:val="3"/>
          </w:tcPr>
          <w:p>
            <w:pPr>
              <w:pStyle w:val="TableParagraph"/>
              <w:tabs>
                <w:tab w:pos="1571" w:val="left" w:leader="none"/>
                <w:tab w:pos="2919" w:val="left" w:leader="none"/>
              </w:tabs>
              <w:spacing w:before="10"/>
              <w:ind w:left="880" w:right="-15"/>
              <w:rPr>
                <w:b/>
                <w:sz w:val="20"/>
              </w:rPr>
            </w:pPr>
            <w:r>
              <w:rPr>
                <w:b/>
                <w:sz w:val="20"/>
                <w:u w:val="single"/>
              </w:rPr>
              <w:tab/>
            </w:r>
            <w:r>
              <w:rPr>
                <w:b/>
                <w:spacing w:val="-2"/>
                <w:sz w:val="20"/>
                <w:u w:val="single"/>
              </w:rPr>
              <w:t>Positive</w:t>
            </w:r>
            <w:r>
              <w:rPr>
                <w:b/>
                <w:sz w:val="20"/>
                <w:u w:val="single"/>
              </w:rPr>
              <w:tab/>
            </w:r>
          </w:p>
        </w:tc>
      </w:tr>
      <w:tr>
        <w:trPr>
          <w:trHeight w:val="253" w:hRule="atLeast"/>
        </w:trPr>
        <w:tc>
          <w:tcPr>
            <w:tcW w:w="3234" w:type="dxa"/>
            <w:tcBorders>
              <w:bottom w:val="single" w:sz="4" w:space="0" w:color="000000"/>
            </w:tcBorders>
          </w:tcPr>
          <w:p>
            <w:pPr>
              <w:pStyle w:val="TableParagraph"/>
              <w:spacing w:before="0"/>
              <w:rPr>
                <w:rFonts w:ascii="Times New Roman"/>
                <w:sz w:val="18"/>
              </w:rPr>
            </w:pPr>
          </w:p>
        </w:tc>
        <w:tc>
          <w:tcPr>
            <w:tcW w:w="1502" w:type="dxa"/>
            <w:tcBorders>
              <w:bottom w:val="single" w:sz="4" w:space="0" w:color="000000"/>
            </w:tcBorders>
          </w:tcPr>
          <w:p>
            <w:pPr>
              <w:pStyle w:val="TableParagraph"/>
              <w:spacing w:line="223" w:lineRule="exact" w:before="10"/>
              <w:ind w:right="319"/>
              <w:jc w:val="center"/>
              <w:rPr>
                <w:b/>
                <w:sz w:val="20"/>
              </w:rPr>
            </w:pPr>
            <w:r>
              <w:rPr>
                <w:b/>
                <w:w w:val="99"/>
                <w:sz w:val="20"/>
              </w:rPr>
              <w:t>N</w:t>
            </w:r>
          </w:p>
        </w:tc>
        <w:tc>
          <w:tcPr>
            <w:tcW w:w="916" w:type="dxa"/>
            <w:tcBorders>
              <w:bottom w:val="single" w:sz="4" w:space="0" w:color="000000"/>
            </w:tcBorders>
          </w:tcPr>
          <w:p>
            <w:pPr>
              <w:pStyle w:val="TableParagraph"/>
              <w:spacing w:line="223" w:lineRule="exact" w:before="10"/>
              <w:ind w:left="35"/>
              <w:rPr>
                <w:b/>
                <w:sz w:val="20"/>
              </w:rPr>
            </w:pPr>
            <w:r>
              <w:rPr>
                <w:b/>
                <w:w w:val="99"/>
                <w:sz w:val="20"/>
              </w:rPr>
              <w:t>%</w:t>
            </w:r>
          </w:p>
        </w:tc>
        <w:tc>
          <w:tcPr>
            <w:tcW w:w="1365" w:type="dxa"/>
            <w:tcBorders>
              <w:bottom w:val="single" w:sz="4" w:space="0" w:color="000000"/>
            </w:tcBorders>
          </w:tcPr>
          <w:p>
            <w:pPr>
              <w:pStyle w:val="TableParagraph"/>
              <w:spacing w:line="223" w:lineRule="exact" w:before="10"/>
              <w:ind w:left="408"/>
              <w:rPr>
                <w:b/>
                <w:sz w:val="20"/>
              </w:rPr>
            </w:pPr>
            <w:r>
              <w:rPr>
                <w:b/>
                <w:w w:val="99"/>
                <w:sz w:val="20"/>
              </w:rPr>
              <w:t>N</w:t>
            </w:r>
          </w:p>
        </w:tc>
        <w:tc>
          <w:tcPr>
            <w:tcW w:w="638" w:type="dxa"/>
            <w:tcBorders>
              <w:bottom w:val="single" w:sz="4" w:space="0" w:color="000000"/>
            </w:tcBorders>
          </w:tcPr>
          <w:p>
            <w:pPr>
              <w:pStyle w:val="TableParagraph"/>
              <w:spacing w:line="223" w:lineRule="exact" w:before="10"/>
              <w:ind w:left="55"/>
              <w:rPr>
                <w:b/>
                <w:sz w:val="20"/>
              </w:rPr>
            </w:pPr>
            <w:r>
              <w:rPr>
                <w:b/>
                <w:w w:val="99"/>
                <w:sz w:val="20"/>
              </w:rPr>
              <w:t>%</w:t>
            </w:r>
          </w:p>
        </w:tc>
      </w:tr>
      <w:tr>
        <w:trPr>
          <w:trHeight w:val="335" w:hRule="atLeast"/>
        </w:trPr>
        <w:tc>
          <w:tcPr>
            <w:tcW w:w="3234" w:type="dxa"/>
            <w:tcBorders>
              <w:top w:val="single" w:sz="4" w:space="0" w:color="000000"/>
            </w:tcBorders>
          </w:tcPr>
          <w:p>
            <w:pPr>
              <w:pStyle w:val="TableParagraph"/>
              <w:spacing w:before="49"/>
              <w:ind w:left="122"/>
              <w:rPr>
                <w:b/>
                <w:sz w:val="20"/>
              </w:rPr>
            </w:pPr>
            <w:r>
              <w:rPr>
                <w:b/>
                <w:i/>
                <w:spacing w:val="-2"/>
                <w:sz w:val="20"/>
              </w:rPr>
              <w:t>Race/Ethnicity</w:t>
            </w:r>
            <w:r>
              <w:rPr>
                <w:b/>
                <w:spacing w:val="-2"/>
                <w:sz w:val="20"/>
                <w:vertAlign w:val="superscript"/>
              </w:rPr>
              <w:t>ƚ</w:t>
            </w:r>
          </w:p>
        </w:tc>
        <w:tc>
          <w:tcPr>
            <w:tcW w:w="1502" w:type="dxa"/>
            <w:tcBorders>
              <w:top w:val="single" w:sz="4" w:space="0" w:color="000000"/>
            </w:tcBorders>
          </w:tcPr>
          <w:p>
            <w:pPr>
              <w:pStyle w:val="TableParagraph"/>
              <w:spacing w:before="0"/>
              <w:rPr>
                <w:rFonts w:ascii="Times New Roman"/>
                <w:sz w:val="20"/>
              </w:rPr>
            </w:pPr>
          </w:p>
        </w:tc>
        <w:tc>
          <w:tcPr>
            <w:tcW w:w="916" w:type="dxa"/>
            <w:tcBorders>
              <w:top w:val="single" w:sz="4" w:space="0" w:color="000000"/>
            </w:tcBorders>
          </w:tcPr>
          <w:p>
            <w:pPr>
              <w:pStyle w:val="TableParagraph"/>
              <w:spacing w:before="0"/>
              <w:rPr>
                <w:rFonts w:ascii="Times New Roman"/>
                <w:sz w:val="20"/>
              </w:rPr>
            </w:pPr>
          </w:p>
        </w:tc>
        <w:tc>
          <w:tcPr>
            <w:tcW w:w="1365" w:type="dxa"/>
            <w:tcBorders>
              <w:top w:val="single" w:sz="4" w:space="0" w:color="000000"/>
            </w:tcBorders>
          </w:tcPr>
          <w:p>
            <w:pPr>
              <w:pStyle w:val="TableParagraph"/>
              <w:spacing w:before="0"/>
              <w:rPr>
                <w:rFonts w:ascii="Times New Roman"/>
                <w:sz w:val="20"/>
              </w:rPr>
            </w:pPr>
          </w:p>
        </w:tc>
        <w:tc>
          <w:tcPr>
            <w:tcW w:w="638" w:type="dxa"/>
            <w:tcBorders>
              <w:top w:val="single" w:sz="4" w:space="0" w:color="000000"/>
            </w:tcBorders>
          </w:tcPr>
          <w:p>
            <w:pPr>
              <w:pStyle w:val="TableParagraph"/>
              <w:spacing w:before="0"/>
              <w:rPr>
                <w:rFonts w:ascii="Times New Roman"/>
                <w:sz w:val="20"/>
              </w:rPr>
            </w:pPr>
          </w:p>
        </w:tc>
      </w:tr>
      <w:tr>
        <w:trPr>
          <w:trHeight w:val="291" w:hRule="atLeast"/>
        </w:trPr>
        <w:tc>
          <w:tcPr>
            <w:tcW w:w="3234" w:type="dxa"/>
          </w:tcPr>
          <w:p>
            <w:pPr>
              <w:pStyle w:val="TableParagraph"/>
              <w:spacing w:before="4"/>
              <w:ind w:left="122"/>
              <w:rPr>
                <w:sz w:val="20"/>
              </w:rPr>
            </w:pPr>
            <w:r>
              <w:rPr>
                <w:sz w:val="20"/>
              </w:rPr>
              <w:t>White</w:t>
            </w:r>
            <w:r>
              <w:rPr>
                <w:spacing w:val="-11"/>
                <w:sz w:val="20"/>
              </w:rPr>
              <w:t> </w:t>
            </w:r>
            <w:r>
              <w:rPr>
                <w:sz w:val="20"/>
              </w:rPr>
              <w:t>non-</w:t>
            </w:r>
            <w:r>
              <w:rPr>
                <w:spacing w:val="-2"/>
                <w:sz w:val="20"/>
              </w:rPr>
              <w:t>Hispanic</w:t>
            </w:r>
          </w:p>
        </w:tc>
        <w:tc>
          <w:tcPr>
            <w:tcW w:w="1502" w:type="dxa"/>
          </w:tcPr>
          <w:p>
            <w:pPr>
              <w:pStyle w:val="TableParagraph"/>
              <w:spacing w:before="4"/>
              <w:ind w:left="520" w:right="496"/>
              <w:jc w:val="center"/>
              <w:rPr>
                <w:sz w:val="20"/>
              </w:rPr>
            </w:pPr>
            <w:r>
              <w:rPr>
                <w:spacing w:val="-2"/>
                <w:sz w:val="20"/>
              </w:rPr>
              <w:t>5,282</w:t>
            </w:r>
          </w:p>
        </w:tc>
        <w:tc>
          <w:tcPr>
            <w:tcW w:w="916" w:type="dxa"/>
          </w:tcPr>
          <w:p>
            <w:pPr>
              <w:pStyle w:val="TableParagraph"/>
              <w:spacing w:before="4"/>
              <w:ind w:right="405"/>
              <w:jc w:val="right"/>
              <w:rPr>
                <w:sz w:val="20"/>
              </w:rPr>
            </w:pPr>
            <w:r>
              <w:rPr>
                <w:spacing w:val="-4"/>
                <w:sz w:val="20"/>
              </w:rPr>
              <w:t>89.5</w:t>
            </w:r>
          </w:p>
        </w:tc>
        <w:tc>
          <w:tcPr>
            <w:tcW w:w="1365" w:type="dxa"/>
          </w:tcPr>
          <w:p>
            <w:pPr>
              <w:pStyle w:val="TableParagraph"/>
              <w:spacing w:before="4"/>
              <w:ind w:right="489"/>
              <w:jc w:val="right"/>
              <w:rPr>
                <w:sz w:val="20"/>
              </w:rPr>
            </w:pPr>
            <w:r>
              <w:rPr>
                <w:spacing w:val="-5"/>
                <w:sz w:val="20"/>
              </w:rPr>
              <w:t>618</w:t>
            </w:r>
          </w:p>
        </w:tc>
        <w:tc>
          <w:tcPr>
            <w:tcW w:w="638" w:type="dxa"/>
          </w:tcPr>
          <w:p>
            <w:pPr>
              <w:pStyle w:val="TableParagraph"/>
              <w:spacing w:before="4"/>
              <w:ind w:right="107"/>
              <w:jc w:val="right"/>
              <w:rPr>
                <w:sz w:val="20"/>
              </w:rPr>
            </w:pPr>
            <w:r>
              <w:rPr>
                <w:spacing w:val="-4"/>
                <w:sz w:val="20"/>
              </w:rPr>
              <w:t>10.5</w:t>
            </w:r>
          </w:p>
        </w:tc>
      </w:tr>
      <w:tr>
        <w:trPr>
          <w:trHeight w:val="292" w:hRule="atLeast"/>
        </w:trPr>
        <w:tc>
          <w:tcPr>
            <w:tcW w:w="3234" w:type="dxa"/>
          </w:tcPr>
          <w:p>
            <w:pPr>
              <w:pStyle w:val="TableParagraph"/>
              <w:spacing w:before="5"/>
              <w:ind w:left="122"/>
              <w:rPr>
                <w:sz w:val="20"/>
              </w:rPr>
            </w:pPr>
            <w:r>
              <w:rPr>
                <w:sz w:val="20"/>
              </w:rPr>
              <w:t>Black</w:t>
            </w:r>
            <w:r>
              <w:rPr>
                <w:spacing w:val="-12"/>
                <w:sz w:val="20"/>
              </w:rPr>
              <w:t> </w:t>
            </w:r>
            <w:r>
              <w:rPr>
                <w:sz w:val="20"/>
              </w:rPr>
              <w:t>non-</w:t>
            </w:r>
            <w:r>
              <w:rPr>
                <w:spacing w:val="-2"/>
                <w:sz w:val="20"/>
              </w:rPr>
              <w:t>Hispanic</w:t>
            </w:r>
          </w:p>
        </w:tc>
        <w:tc>
          <w:tcPr>
            <w:tcW w:w="1502" w:type="dxa"/>
          </w:tcPr>
          <w:p>
            <w:pPr>
              <w:pStyle w:val="TableParagraph"/>
              <w:spacing w:before="5"/>
              <w:ind w:left="520" w:right="496"/>
              <w:jc w:val="center"/>
              <w:rPr>
                <w:sz w:val="20"/>
              </w:rPr>
            </w:pPr>
            <w:r>
              <w:rPr>
                <w:spacing w:val="-2"/>
                <w:sz w:val="20"/>
              </w:rPr>
              <w:t>1,036</w:t>
            </w:r>
          </w:p>
        </w:tc>
        <w:tc>
          <w:tcPr>
            <w:tcW w:w="916" w:type="dxa"/>
          </w:tcPr>
          <w:p>
            <w:pPr>
              <w:pStyle w:val="TableParagraph"/>
              <w:spacing w:before="5"/>
              <w:ind w:right="405"/>
              <w:jc w:val="right"/>
              <w:rPr>
                <w:sz w:val="20"/>
              </w:rPr>
            </w:pPr>
            <w:r>
              <w:rPr>
                <w:spacing w:val="-4"/>
                <w:sz w:val="20"/>
              </w:rPr>
              <w:t>90.0</w:t>
            </w:r>
          </w:p>
        </w:tc>
        <w:tc>
          <w:tcPr>
            <w:tcW w:w="1365" w:type="dxa"/>
          </w:tcPr>
          <w:p>
            <w:pPr>
              <w:pStyle w:val="TableParagraph"/>
              <w:spacing w:before="5"/>
              <w:ind w:right="489"/>
              <w:jc w:val="right"/>
              <w:rPr>
                <w:sz w:val="20"/>
              </w:rPr>
            </w:pPr>
            <w:r>
              <w:rPr>
                <w:spacing w:val="-5"/>
                <w:sz w:val="20"/>
              </w:rPr>
              <w:t>115</w:t>
            </w:r>
          </w:p>
        </w:tc>
        <w:tc>
          <w:tcPr>
            <w:tcW w:w="638" w:type="dxa"/>
          </w:tcPr>
          <w:p>
            <w:pPr>
              <w:pStyle w:val="TableParagraph"/>
              <w:spacing w:before="5"/>
              <w:ind w:right="107"/>
              <w:jc w:val="right"/>
              <w:rPr>
                <w:sz w:val="20"/>
              </w:rPr>
            </w:pPr>
            <w:r>
              <w:rPr>
                <w:spacing w:val="-4"/>
                <w:sz w:val="20"/>
              </w:rPr>
              <w:t>10.0</w:t>
            </w:r>
          </w:p>
        </w:tc>
      </w:tr>
      <w:tr>
        <w:trPr>
          <w:trHeight w:val="291" w:hRule="atLeast"/>
        </w:trPr>
        <w:tc>
          <w:tcPr>
            <w:tcW w:w="3234" w:type="dxa"/>
          </w:tcPr>
          <w:p>
            <w:pPr>
              <w:pStyle w:val="TableParagraph"/>
              <w:spacing w:before="5"/>
              <w:ind w:left="122"/>
              <w:rPr>
                <w:sz w:val="20"/>
              </w:rPr>
            </w:pPr>
            <w:r>
              <w:rPr>
                <w:spacing w:val="-2"/>
                <w:sz w:val="20"/>
              </w:rPr>
              <w:t>Asian/PI</w:t>
            </w:r>
            <w:r>
              <w:rPr>
                <w:spacing w:val="10"/>
                <w:sz w:val="20"/>
              </w:rPr>
              <w:t> </w:t>
            </w:r>
            <w:r>
              <w:rPr>
                <w:spacing w:val="-2"/>
                <w:sz w:val="20"/>
              </w:rPr>
              <w:t>non-Hispanic</w:t>
            </w:r>
          </w:p>
        </w:tc>
        <w:tc>
          <w:tcPr>
            <w:tcW w:w="1502" w:type="dxa"/>
          </w:tcPr>
          <w:p>
            <w:pPr>
              <w:pStyle w:val="TableParagraph"/>
              <w:spacing w:before="5"/>
              <w:ind w:left="520" w:right="496"/>
              <w:jc w:val="center"/>
              <w:rPr>
                <w:sz w:val="20"/>
              </w:rPr>
            </w:pPr>
            <w:r>
              <w:rPr>
                <w:spacing w:val="-2"/>
                <w:sz w:val="20"/>
              </w:rPr>
              <w:t>1,005</w:t>
            </w:r>
          </w:p>
        </w:tc>
        <w:tc>
          <w:tcPr>
            <w:tcW w:w="916" w:type="dxa"/>
          </w:tcPr>
          <w:p>
            <w:pPr>
              <w:pStyle w:val="TableParagraph"/>
              <w:spacing w:before="5"/>
              <w:ind w:right="405"/>
              <w:jc w:val="right"/>
              <w:rPr>
                <w:sz w:val="20"/>
              </w:rPr>
            </w:pPr>
            <w:r>
              <w:rPr>
                <w:spacing w:val="-4"/>
                <w:sz w:val="20"/>
              </w:rPr>
              <w:t>93.1</w:t>
            </w:r>
          </w:p>
        </w:tc>
        <w:tc>
          <w:tcPr>
            <w:tcW w:w="1365" w:type="dxa"/>
          </w:tcPr>
          <w:p>
            <w:pPr>
              <w:pStyle w:val="TableParagraph"/>
              <w:spacing w:before="5"/>
              <w:ind w:right="487"/>
              <w:jc w:val="right"/>
              <w:rPr>
                <w:sz w:val="20"/>
              </w:rPr>
            </w:pPr>
            <w:r>
              <w:rPr>
                <w:spacing w:val="-5"/>
                <w:sz w:val="20"/>
              </w:rPr>
              <w:t>74</w:t>
            </w:r>
          </w:p>
        </w:tc>
        <w:tc>
          <w:tcPr>
            <w:tcW w:w="638" w:type="dxa"/>
          </w:tcPr>
          <w:p>
            <w:pPr>
              <w:pStyle w:val="TableParagraph"/>
              <w:spacing w:before="5"/>
              <w:ind w:right="107"/>
              <w:jc w:val="right"/>
              <w:rPr>
                <w:sz w:val="20"/>
              </w:rPr>
            </w:pPr>
            <w:r>
              <w:rPr>
                <w:spacing w:val="-5"/>
                <w:sz w:val="20"/>
              </w:rPr>
              <w:t>6.9</w:t>
            </w:r>
          </w:p>
        </w:tc>
      </w:tr>
      <w:tr>
        <w:trPr>
          <w:trHeight w:val="291" w:hRule="atLeast"/>
        </w:trPr>
        <w:tc>
          <w:tcPr>
            <w:tcW w:w="3234" w:type="dxa"/>
          </w:tcPr>
          <w:p>
            <w:pPr>
              <w:pStyle w:val="TableParagraph"/>
              <w:spacing w:before="4"/>
              <w:ind w:left="122"/>
              <w:rPr>
                <w:sz w:val="20"/>
              </w:rPr>
            </w:pPr>
            <w:r>
              <w:rPr>
                <w:spacing w:val="-2"/>
                <w:sz w:val="20"/>
              </w:rPr>
              <w:t>Hispanic</w:t>
            </w:r>
          </w:p>
        </w:tc>
        <w:tc>
          <w:tcPr>
            <w:tcW w:w="1502" w:type="dxa"/>
          </w:tcPr>
          <w:p>
            <w:pPr>
              <w:pStyle w:val="TableParagraph"/>
              <w:spacing w:before="4"/>
              <w:ind w:left="520" w:right="496"/>
              <w:jc w:val="center"/>
              <w:rPr>
                <w:sz w:val="20"/>
              </w:rPr>
            </w:pPr>
            <w:r>
              <w:rPr>
                <w:spacing w:val="-2"/>
                <w:sz w:val="20"/>
              </w:rPr>
              <w:t>2,122</w:t>
            </w:r>
          </w:p>
        </w:tc>
        <w:tc>
          <w:tcPr>
            <w:tcW w:w="916" w:type="dxa"/>
          </w:tcPr>
          <w:p>
            <w:pPr>
              <w:pStyle w:val="TableParagraph"/>
              <w:spacing w:before="4"/>
              <w:ind w:right="405"/>
              <w:jc w:val="right"/>
              <w:rPr>
                <w:sz w:val="20"/>
              </w:rPr>
            </w:pPr>
            <w:r>
              <w:rPr>
                <w:spacing w:val="-4"/>
                <w:sz w:val="20"/>
              </w:rPr>
              <w:t>87.0</w:t>
            </w:r>
          </w:p>
        </w:tc>
        <w:tc>
          <w:tcPr>
            <w:tcW w:w="1365" w:type="dxa"/>
          </w:tcPr>
          <w:p>
            <w:pPr>
              <w:pStyle w:val="TableParagraph"/>
              <w:spacing w:before="4"/>
              <w:ind w:right="489"/>
              <w:jc w:val="right"/>
              <w:rPr>
                <w:sz w:val="20"/>
              </w:rPr>
            </w:pPr>
            <w:r>
              <w:rPr>
                <w:spacing w:val="-5"/>
                <w:sz w:val="20"/>
              </w:rPr>
              <w:t>317</w:t>
            </w:r>
          </w:p>
        </w:tc>
        <w:tc>
          <w:tcPr>
            <w:tcW w:w="638" w:type="dxa"/>
          </w:tcPr>
          <w:p>
            <w:pPr>
              <w:pStyle w:val="TableParagraph"/>
              <w:spacing w:before="4"/>
              <w:ind w:right="107"/>
              <w:jc w:val="right"/>
              <w:rPr>
                <w:sz w:val="20"/>
              </w:rPr>
            </w:pPr>
            <w:r>
              <w:rPr>
                <w:spacing w:val="-4"/>
                <w:sz w:val="20"/>
              </w:rPr>
              <w:t>13.0</w:t>
            </w:r>
          </w:p>
        </w:tc>
      </w:tr>
      <w:tr>
        <w:trPr>
          <w:trHeight w:val="292" w:hRule="atLeast"/>
        </w:trPr>
        <w:tc>
          <w:tcPr>
            <w:tcW w:w="3234" w:type="dxa"/>
          </w:tcPr>
          <w:p>
            <w:pPr>
              <w:pStyle w:val="TableParagraph"/>
              <w:spacing w:before="5"/>
              <w:ind w:left="122"/>
              <w:rPr>
                <w:sz w:val="20"/>
              </w:rPr>
            </w:pPr>
            <w:r>
              <w:rPr>
                <w:sz w:val="20"/>
              </w:rPr>
              <w:t>American</w:t>
            </w:r>
            <w:r>
              <w:rPr>
                <w:spacing w:val="-5"/>
                <w:sz w:val="20"/>
              </w:rPr>
              <w:t> </w:t>
            </w:r>
            <w:r>
              <w:rPr>
                <w:sz w:val="20"/>
              </w:rPr>
              <w:t>Indian</w:t>
            </w:r>
            <w:r>
              <w:rPr>
                <w:spacing w:val="-5"/>
                <w:sz w:val="20"/>
              </w:rPr>
              <w:t> </w:t>
            </w:r>
            <w:r>
              <w:rPr>
                <w:sz w:val="20"/>
              </w:rPr>
              <w:t>or</w:t>
            </w:r>
            <w:r>
              <w:rPr>
                <w:spacing w:val="-6"/>
                <w:sz w:val="20"/>
              </w:rPr>
              <w:t> </w:t>
            </w:r>
            <w:r>
              <w:rPr>
                <w:spacing w:val="-4"/>
                <w:sz w:val="20"/>
              </w:rPr>
              <w:t>Other</w:t>
            </w:r>
          </w:p>
        </w:tc>
        <w:tc>
          <w:tcPr>
            <w:tcW w:w="1502" w:type="dxa"/>
          </w:tcPr>
          <w:p>
            <w:pPr>
              <w:pStyle w:val="TableParagraph"/>
              <w:spacing w:before="5"/>
              <w:ind w:left="520" w:right="345"/>
              <w:jc w:val="center"/>
              <w:rPr>
                <w:sz w:val="20"/>
              </w:rPr>
            </w:pPr>
            <w:r>
              <w:rPr>
                <w:spacing w:val="-5"/>
                <w:sz w:val="20"/>
              </w:rPr>
              <w:t>148</w:t>
            </w:r>
          </w:p>
        </w:tc>
        <w:tc>
          <w:tcPr>
            <w:tcW w:w="916" w:type="dxa"/>
          </w:tcPr>
          <w:p>
            <w:pPr>
              <w:pStyle w:val="TableParagraph"/>
              <w:spacing w:before="5"/>
              <w:ind w:right="405"/>
              <w:jc w:val="right"/>
              <w:rPr>
                <w:sz w:val="20"/>
              </w:rPr>
            </w:pPr>
            <w:r>
              <w:rPr>
                <w:spacing w:val="-4"/>
                <w:sz w:val="20"/>
              </w:rPr>
              <w:t>91.9</w:t>
            </w:r>
          </w:p>
        </w:tc>
        <w:tc>
          <w:tcPr>
            <w:tcW w:w="1365" w:type="dxa"/>
          </w:tcPr>
          <w:p>
            <w:pPr>
              <w:pStyle w:val="TableParagraph"/>
              <w:spacing w:before="5"/>
              <w:ind w:right="487"/>
              <w:jc w:val="right"/>
              <w:rPr>
                <w:sz w:val="20"/>
              </w:rPr>
            </w:pPr>
            <w:r>
              <w:rPr>
                <w:spacing w:val="-5"/>
                <w:sz w:val="20"/>
              </w:rPr>
              <w:t>13</w:t>
            </w:r>
          </w:p>
        </w:tc>
        <w:tc>
          <w:tcPr>
            <w:tcW w:w="638" w:type="dxa"/>
          </w:tcPr>
          <w:p>
            <w:pPr>
              <w:pStyle w:val="TableParagraph"/>
              <w:spacing w:before="5"/>
              <w:ind w:right="107"/>
              <w:jc w:val="right"/>
              <w:rPr>
                <w:sz w:val="20"/>
              </w:rPr>
            </w:pPr>
            <w:r>
              <w:rPr>
                <w:spacing w:val="-5"/>
                <w:sz w:val="20"/>
              </w:rPr>
              <w:t>8.1</w:t>
            </w:r>
          </w:p>
        </w:tc>
      </w:tr>
      <w:tr>
        <w:trPr>
          <w:trHeight w:val="282" w:hRule="atLeast"/>
        </w:trPr>
        <w:tc>
          <w:tcPr>
            <w:tcW w:w="3234" w:type="dxa"/>
          </w:tcPr>
          <w:p>
            <w:pPr>
              <w:pStyle w:val="TableParagraph"/>
              <w:spacing w:before="5"/>
              <w:ind w:left="122"/>
              <w:rPr>
                <w:sz w:val="20"/>
              </w:rPr>
            </w:pPr>
            <w:r>
              <w:rPr>
                <w:spacing w:val="-2"/>
                <w:sz w:val="20"/>
              </w:rPr>
              <w:t>unknown</w:t>
            </w:r>
          </w:p>
        </w:tc>
        <w:tc>
          <w:tcPr>
            <w:tcW w:w="1502" w:type="dxa"/>
          </w:tcPr>
          <w:p>
            <w:pPr>
              <w:pStyle w:val="TableParagraph"/>
              <w:spacing w:before="5"/>
              <w:ind w:left="520" w:right="345"/>
              <w:jc w:val="center"/>
              <w:rPr>
                <w:sz w:val="20"/>
              </w:rPr>
            </w:pPr>
            <w:r>
              <w:rPr>
                <w:spacing w:val="-5"/>
                <w:sz w:val="20"/>
              </w:rPr>
              <w:t>222</w:t>
            </w:r>
          </w:p>
        </w:tc>
        <w:tc>
          <w:tcPr>
            <w:tcW w:w="916" w:type="dxa"/>
          </w:tcPr>
          <w:p>
            <w:pPr>
              <w:pStyle w:val="TableParagraph"/>
              <w:spacing w:before="5"/>
              <w:ind w:right="405"/>
              <w:jc w:val="right"/>
              <w:rPr>
                <w:sz w:val="20"/>
              </w:rPr>
            </w:pPr>
            <w:r>
              <w:rPr>
                <w:spacing w:val="-4"/>
                <w:sz w:val="20"/>
              </w:rPr>
              <w:t>90.2</w:t>
            </w:r>
          </w:p>
        </w:tc>
        <w:tc>
          <w:tcPr>
            <w:tcW w:w="1365" w:type="dxa"/>
          </w:tcPr>
          <w:p>
            <w:pPr>
              <w:pStyle w:val="TableParagraph"/>
              <w:spacing w:before="5"/>
              <w:ind w:right="487"/>
              <w:jc w:val="right"/>
              <w:rPr>
                <w:sz w:val="20"/>
              </w:rPr>
            </w:pPr>
            <w:r>
              <w:rPr>
                <w:spacing w:val="-5"/>
                <w:sz w:val="20"/>
              </w:rPr>
              <w:t>24</w:t>
            </w:r>
          </w:p>
        </w:tc>
        <w:tc>
          <w:tcPr>
            <w:tcW w:w="638" w:type="dxa"/>
          </w:tcPr>
          <w:p>
            <w:pPr>
              <w:pStyle w:val="TableParagraph"/>
              <w:spacing w:before="5"/>
              <w:ind w:right="107"/>
              <w:jc w:val="right"/>
              <w:rPr>
                <w:sz w:val="20"/>
              </w:rPr>
            </w:pPr>
            <w:r>
              <w:rPr>
                <w:spacing w:val="-5"/>
                <w:sz w:val="20"/>
              </w:rPr>
              <w:t>9.8</w:t>
            </w:r>
          </w:p>
        </w:tc>
      </w:tr>
      <w:tr>
        <w:trPr>
          <w:trHeight w:val="303" w:hRule="atLeast"/>
        </w:trPr>
        <w:tc>
          <w:tcPr>
            <w:tcW w:w="3234" w:type="dxa"/>
          </w:tcPr>
          <w:p>
            <w:pPr>
              <w:pStyle w:val="TableParagraph"/>
              <w:spacing w:before="13"/>
              <w:ind w:left="122"/>
              <w:rPr>
                <w:b/>
                <w:sz w:val="20"/>
              </w:rPr>
            </w:pPr>
            <w:r>
              <w:rPr>
                <w:b/>
                <w:i/>
                <w:spacing w:val="-2"/>
                <w:sz w:val="20"/>
              </w:rPr>
              <w:t>Insurance</w:t>
            </w:r>
            <w:r>
              <w:rPr>
                <w:b/>
                <w:spacing w:val="-2"/>
                <w:sz w:val="20"/>
                <w:vertAlign w:val="superscript"/>
              </w:rPr>
              <w:t>ƚ</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spacing w:val="-2"/>
                <w:sz w:val="20"/>
              </w:rPr>
              <w:t>Medicaid</w:t>
            </w:r>
          </w:p>
        </w:tc>
        <w:tc>
          <w:tcPr>
            <w:tcW w:w="1502" w:type="dxa"/>
          </w:tcPr>
          <w:p>
            <w:pPr>
              <w:pStyle w:val="TableParagraph"/>
              <w:ind w:left="520" w:right="496"/>
              <w:jc w:val="center"/>
              <w:rPr>
                <w:sz w:val="20"/>
              </w:rPr>
            </w:pPr>
            <w:r>
              <w:rPr>
                <w:spacing w:val="-2"/>
                <w:sz w:val="20"/>
              </w:rPr>
              <w:t>5,865</w:t>
            </w:r>
          </w:p>
        </w:tc>
        <w:tc>
          <w:tcPr>
            <w:tcW w:w="916" w:type="dxa"/>
          </w:tcPr>
          <w:p>
            <w:pPr>
              <w:pStyle w:val="TableParagraph"/>
              <w:ind w:right="405"/>
              <w:jc w:val="right"/>
              <w:rPr>
                <w:sz w:val="20"/>
              </w:rPr>
            </w:pPr>
            <w:r>
              <w:rPr>
                <w:spacing w:val="-4"/>
                <w:sz w:val="20"/>
              </w:rPr>
              <w:t>86.9</w:t>
            </w:r>
          </w:p>
        </w:tc>
        <w:tc>
          <w:tcPr>
            <w:tcW w:w="1365" w:type="dxa"/>
          </w:tcPr>
          <w:p>
            <w:pPr>
              <w:pStyle w:val="TableParagraph"/>
              <w:ind w:right="489"/>
              <w:jc w:val="right"/>
              <w:rPr>
                <w:sz w:val="20"/>
              </w:rPr>
            </w:pPr>
            <w:r>
              <w:rPr>
                <w:spacing w:val="-5"/>
                <w:sz w:val="20"/>
              </w:rPr>
              <w:t>881</w:t>
            </w:r>
          </w:p>
        </w:tc>
        <w:tc>
          <w:tcPr>
            <w:tcW w:w="638" w:type="dxa"/>
          </w:tcPr>
          <w:p>
            <w:pPr>
              <w:pStyle w:val="TableParagraph"/>
              <w:ind w:right="107"/>
              <w:jc w:val="right"/>
              <w:rPr>
                <w:sz w:val="20"/>
              </w:rPr>
            </w:pPr>
            <w:r>
              <w:rPr>
                <w:spacing w:val="-4"/>
                <w:sz w:val="20"/>
              </w:rPr>
              <w:t>13.1</w:t>
            </w:r>
          </w:p>
        </w:tc>
      </w:tr>
      <w:tr>
        <w:trPr>
          <w:trHeight w:val="291" w:hRule="atLeast"/>
        </w:trPr>
        <w:tc>
          <w:tcPr>
            <w:tcW w:w="3234" w:type="dxa"/>
          </w:tcPr>
          <w:p>
            <w:pPr>
              <w:pStyle w:val="TableParagraph"/>
              <w:ind w:left="122"/>
              <w:rPr>
                <w:sz w:val="20"/>
              </w:rPr>
            </w:pPr>
            <w:r>
              <w:rPr>
                <w:spacing w:val="-2"/>
                <w:sz w:val="20"/>
              </w:rPr>
              <w:t>Other</w:t>
            </w:r>
          </w:p>
        </w:tc>
        <w:tc>
          <w:tcPr>
            <w:tcW w:w="1502" w:type="dxa"/>
          </w:tcPr>
          <w:p>
            <w:pPr>
              <w:pStyle w:val="TableParagraph"/>
              <w:ind w:left="520" w:right="446"/>
              <w:jc w:val="center"/>
              <w:rPr>
                <w:sz w:val="20"/>
              </w:rPr>
            </w:pPr>
            <w:r>
              <w:rPr>
                <w:spacing w:val="-4"/>
                <w:sz w:val="20"/>
              </w:rPr>
              <w:t>3950</w:t>
            </w:r>
          </w:p>
        </w:tc>
        <w:tc>
          <w:tcPr>
            <w:tcW w:w="916" w:type="dxa"/>
          </w:tcPr>
          <w:p>
            <w:pPr>
              <w:pStyle w:val="TableParagraph"/>
              <w:ind w:right="405"/>
              <w:jc w:val="right"/>
              <w:rPr>
                <w:sz w:val="20"/>
              </w:rPr>
            </w:pPr>
            <w:r>
              <w:rPr>
                <w:spacing w:val="-4"/>
                <w:sz w:val="20"/>
              </w:rPr>
              <w:t>93.4</w:t>
            </w:r>
          </w:p>
        </w:tc>
        <w:tc>
          <w:tcPr>
            <w:tcW w:w="1365" w:type="dxa"/>
          </w:tcPr>
          <w:p>
            <w:pPr>
              <w:pStyle w:val="TableParagraph"/>
              <w:ind w:right="489"/>
              <w:jc w:val="right"/>
              <w:rPr>
                <w:sz w:val="20"/>
              </w:rPr>
            </w:pPr>
            <w:r>
              <w:rPr>
                <w:spacing w:val="-5"/>
                <w:sz w:val="20"/>
              </w:rPr>
              <w:t>280</w:t>
            </w:r>
          </w:p>
        </w:tc>
        <w:tc>
          <w:tcPr>
            <w:tcW w:w="638" w:type="dxa"/>
          </w:tcPr>
          <w:p>
            <w:pPr>
              <w:pStyle w:val="TableParagraph"/>
              <w:ind w:right="107"/>
              <w:jc w:val="right"/>
              <w:rPr>
                <w:sz w:val="20"/>
              </w:rPr>
            </w:pPr>
            <w:r>
              <w:rPr>
                <w:spacing w:val="-5"/>
                <w:sz w:val="20"/>
              </w:rPr>
              <w:t>6.6</w:t>
            </w:r>
          </w:p>
        </w:tc>
      </w:tr>
      <w:tr>
        <w:trPr>
          <w:trHeight w:val="308" w:hRule="atLeast"/>
        </w:trPr>
        <w:tc>
          <w:tcPr>
            <w:tcW w:w="3234" w:type="dxa"/>
          </w:tcPr>
          <w:p>
            <w:pPr>
              <w:pStyle w:val="TableParagraph"/>
              <w:spacing w:before="18"/>
              <w:ind w:left="122"/>
              <w:rPr>
                <w:b/>
                <w:sz w:val="20"/>
              </w:rPr>
            </w:pPr>
            <w:r>
              <w:rPr>
                <w:b/>
                <w:i/>
                <w:spacing w:val="-2"/>
                <w:sz w:val="20"/>
              </w:rPr>
              <w:t>Education</w:t>
            </w:r>
            <w:r>
              <w:rPr>
                <w:b/>
                <w:spacing w:val="-2"/>
                <w:sz w:val="20"/>
                <w:vertAlign w:val="superscript"/>
              </w:rPr>
              <w:t>ƚ</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spacing w:val="-5"/>
                <w:sz w:val="20"/>
              </w:rPr>
              <w:t>&lt;HS</w:t>
            </w:r>
          </w:p>
        </w:tc>
        <w:tc>
          <w:tcPr>
            <w:tcW w:w="1502" w:type="dxa"/>
          </w:tcPr>
          <w:p>
            <w:pPr>
              <w:pStyle w:val="TableParagraph"/>
              <w:ind w:left="520" w:right="345"/>
              <w:jc w:val="center"/>
              <w:rPr>
                <w:sz w:val="20"/>
              </w:rPr>
            </w:pPr>
            <w:r>
              <w:rPr>
                <w:spacing w:val="-5"/>
                <w:sz w:val="20"/>
              </w:rPr>
              <w:t>928</w:t>
            </w:r>
          </w:p>
        </w:tc>
        <w:tc>
          <w:tcPr>
            <w:tcW w:w="916" w:type="dxa"/>
          </w:tcPr>
          <w:p>
            <w:pPr>
              <w:pStyle w:val="TableParagraph"/>
              <w:ind w:right="405"/>
              <w:jc w:val="right"/>
              <w:rPr>
                <w:sz w:val="20"/>
              </w:rPr>
            </w:pPr>
            <w:r>
              <w:rPr>
                <w:spacing w:val="-4"/>
                <w:sz w:val="20"/>
              </w:rPr>
              <w:t>86.6</w:t>
            </w:r>
          </w:p>
        </w:tc>
        <w:tc>
          <w:tcPr>
            <w:tcW w:w="1365" w:type="dxa"/>
          </w:tcPr>
          <w:p>
            <w:pPr>
              <w:pStyle w:val="TableParagraph"/>
              <w:ind w:right="489"/>
              <w:jc w:val="right"/>
              <w:rPr>
                <w:sz w:val="20"/>
              </w:rPr>
            </w:pPr>
            <w:r>
              <w:rPr>
                <w:spacing w:val="-5"/>
                <w:sz w:val="20"/>
              </w:rPr>
              <w:t>143</w:t>
            </w:r>
          </w:p>
        </w:tc>
        <w:tc>
          <w:tcPr>
            <w:tcW w:w="638" w:type="dxa"/>
          </w:tcPr>
          <w:p>
            <w:pPr>
              <w:pStyle w:val="TableParagraph"/>
              <w:ind w:right="107"/>
              <w:jc w:val="right"/>
              <w:rPr>
                <w:sz w:val="20"/>
              </w:rPr>
            </w:pPr>
            <w:r>
              <w:rPr>
                <w:spacing w:val="-4"/>
                <w:sz w:val="20"/>
              </w:rPr>
              <w:t>13.4</w:t>
            </w:r>
          </w:p>
        </w:tc>
      </w:tr>
      <w:tr>
        <w:trPr>
          <w:trHeight w:val="300" w:hRule="atLeast"/>
        </w:trPr>
        <w:tc>
          <w:tcPr>
            <w:tcW w:w="3234" w:type="dxa"/>
          </w:tcPr>
          <w:p>
            <w:pPr>
              <w:pStyle w:val="TableParagraph"/>
              <w:ind w:left="122"/>
              <w:rPr>
                <w:sz w:val="20"/>
              </w:rPr>
            </w:pPr>
            <w:r>
              <w:rPr>
                <w:spacing w:val="-2"/>
                <w:sz w:val="20"/>
              </w:rPr>
              <w:t>HS/GED</w:t>
            </w:r>
          </w:p>
        </w:tc>
        <w:tc>
          <w:tcPr>
            <w:tcW w:w="1502" w:type="dxa"/>
          </w:tcPr>
          <w:p>
            <w:pPr>
              <w:pStyle w:val="TableParagraph"/>
              <w:ind w:left="520" w:right="496"/>
              <w:jc w:val="center"/>
              <w:rPr>
                <w:sz w:val="20"/>
              </w:rPr>
            </w:pPr>
            <w:r>
              <w:rPr>
                <w:spacing w:val="-2"/>
                <w:sz w:val="20"/>
              </w:rPr>
              <w:t>1,788</w:t>
            </w:r>
          </w:p>
        </w:tc>
        <w:tc>
          <w:tcPr>
            <w:tcW w:w="916" w:type="dxa"/>
          </w:tcPr>
          <w:p>
            <w:pPr>
              <w:pStyle w:val="TableParagraph"/>
              <w:ind w:right="405"/>
              <w:jc w:val="right"/>
              <w:rPr>
                <w:sz w:val="20"/>
              </w:rPr>
            </w:pPr>
            <w:r>
              <w:rPr>
                <w:spacing w:val="-4"/>
                <w:sz w:val="20"/>
              </w:rPr>
              <w:t>86.2</w:t>
            </w:r>
          </w:p>
        </w:tc>
        <w:tc>
          <w:tcPr>
            <w:tcW w:w="1365" w:type="dxa"/>
          </w:tcPr>
          <w:p>
            <w:pPr>
              <w:pStyle w:val="TableParagraph"/>
              <w:ind w:right="489"/>
              <w:jc w:val="right"/>
              <w:rPr>
                <w:sz w:val="20"/>
              </w:rPr>
            </w:pPr>
            <w:r>
              <w:rPr>
                <w:spacing w:val="-5"/>
                <w:sz w:val="20"/>
              </w:rPr>
              <w:t>286</w:t>
            </w:r>
          </w:p>
        </w:tc>
        <w:tc>
          <w:tcPr>
            <w:tcW w:w="638" w:type="dxa"/>
          </w:tcPr>
          <w:p>
            <w:pPr>
              <w:pStyle w:val="TableParagraph"/>
              <w:ind w:right="107"/>
              <w:jc w:val="right"/>
              <w:rPr>
                <w:sz w:val="20"/>
              </w:rPr>
            </w:pPr>
            <w:r>
              <w:rPr>
                <w:spacing w:val="-4"/>
                <w:sz w:val="20"/>
              </w:rPr>
              <w:t>13.8</w:t>
            </w:r>
          </w:p>
        </w:tc>
      </w:tr>
      <w:tr>
        <w:trPr>
          <w:trHeight w:val="300" w:hRule="atLeast"/>
        </w:trPr>
        <w:tc>
          <w:tcPr>
            <w:tcW w:w="3234" w:type="dxa"/>
          </w:tcPr>
          <w:p>
            <w:pPr>
              <w:pStyle w:val="TableParagraph"/>
              <w:ind w:left="122"/>
              <w:rPr>
                <w:sz w:val="20"/>
              </w:rPr>
            </w:pPr>
            <w:r>
              <w:rPr>
                <w:spacing w:val="-2"/>
                <w:sz w:val="20"/>
              </w:rPr>
              <w:t>Some</w:t>
            </w:r>
            <w:r>
              <w:rPr>
                <w:spacing w:val="10"/>
                <w:sz w:val="20"/>
              </w:rPr>
              <w:t> </w:t>
            </w:r>
            <w:r>
              <w:rPr>
                <w:spacing w:val="-2"/>
                <w:sz w:val="20"/>
              </w:rPr>
              <w:t>College/Associate</w:t>
            </w:r>
            <w:r>
              <w:rPr>
                <w:spacing w:val="6"/>
                <w:sz w:val="20"/>
              </w:rPr>
              <w:t> </w:t>
            </w:r>
            <w:r>
              <w:rPr>
                <w:spacing w:val="-2"/>
                <w:sz w:val="20"/>
              </w:rPr>
              <w:t>Degree</w:t>
            </w:r>
          </w:p>
        </w:tc>
        <w:tc>
          <w:tcPr>
            <w:tcW w:w="1502" w:type="dxa"/>
          </w:tcPr>
          <w:p>
            <w:pPr>
              <w:pStyle w:val="TableParagraph"/>
              <w:ind w:left="520" w:right="496"/>
              <w:jc w:val="center"/>
              <w:rPr>
                <w:sz w:val="20"/>
              </w:rPr>
            </w:pPr>
            <w:r>
              <w:rPr>
                <w:spacing w:val="-2"/>
                <w:sz w:val="20"/>
              </w:rPr>
              <w:t>2,770</w:t>
            </w:r>
          </w:p>
        </w:tc>
        <w:tc>
          <w:tcPr>
            <w:tcW w:w="916" w:type="dxa"/>
          </w:tcPr>
          <w:p>
            <w:pPr>
              <w:pStyle w:val="TableParagraph"/>
              <w:ind w:right="405"/>
              <w:jc w:val="right"/>
              <w:rPr>
                <w:sz w:val="20"/>
              </w:rPr>
            </w:pPr>
            <w:r>
              <w:rPr>
                <w:spacing w:val="-4"/>
                <w:sz w:val="20"/>
              </w:rPr>
              <w:t>91.8</w:t>
            </w:r>
          </w:p>
        </w:tc>
        <w:tc>
          <w:tcPr>
            <w:tcW w:w="1365" w:type="dxa"/>
          </w:tcPr>
          <w:p>
            <w:pPr>
              <w:pStyle w:val="TableParagraph"/>
              <w:ind w:right="489"/>
              <w:jc w:val="right"/>
              <w:rPr>
                <w:sz w:val="20"/>
              </w:rPr>
            </w:pPr>
            <w:r>
              <w:rPr>
                <w:spacing w:val="-5"/>
                <w:sz w:val="20"/>
              </w:rPr>
              <w:t>247</w:t>
            </w:r>
          </w:p>
        </w:tc>
        <w:tc>
          <w:tcPr>
            <w:tcW w:w="638" w:type="dxa"/>
          </w:tcPr>
          <w:p>
            <w:pPr>
              <w:pStyle w:val="TableParagraph"/>
              <w:ind w:right="107"/>
              <w:jc w:val="right"/>
              <w:rPr>
                <w:sz w:val="20"/>
              </w:rPr>
            </w:pPr>
            <w:r>
              <w:rPr>
                <w:spacing w:val="-5"/>
                <w:sz w:val="20"/>
              </w:rPr>
              <w:t>8.2</w:t>
            </w:r>
          </w:p>
        </w:tc>
      </w:tr>
      <w:tr>
        <w:trPr>
          <w:trHeight w:val="300" w:hRule="atLeast"/>
        </w:trPr>
        <w:tc>
          <w:tcPr>
            <w:tcW w:w="3234" w:type="dxa"/>
          </w:tcPr>
          <w:p>
            <w:pPr>
              <w:pStyle w:val="TableParagraph"/>
              <w:ind w:left="122"/>
              <w:rPr>
                <w:sz w:val="20"/>
              </w:rPr>
            </w:pPr>
            <w:r>
              <w:rPr>
                <w:sz w:val="20"/>
              </w:rPr>
              <w:t>Bachelor</w:t>
            </w:r>
            <w:r>
              <w:rPr>
                <w:spacing w:val="-11"/>
                <w:sz w:val="20"/>
              </w:rPr>
              <w:t> </w:t>
            </w:r>
            <w:r>
              <w:rPr>
                <w:spacing w:val="-2"/>
                <w:sz w:val="20"/>
              </w:rPr>
              <w:t>Degree</w:t>
            </w:r>
          </w:p>
        </w:tc>
        <w:tc>
          <w:tcPr>
            <w:tcW w:w="1502" w:type="dxa"/>
          </w:tcPr>
          <w:p>
            <w:pPr>
              <w:pStyle w:val="TableParagraph"/>
              <w:ind w:left="520" w:right="496"/>
              <w:jc w:val="center"/>
              <w:rPr>
                <w:sz w:val="20"/>
              </w:rPr>
            </w:pPr>
            <w:r>
              <w:rPr>
                <w:spacing w:val="-2"/>
                <w:sz w:val="20"/>
              </w:rPr>
              <w:t>1,877</w:t>
            </w:r>
          </w:p>
        </w:tc>
        <w:tc>
          <w:tcPr>
            <w:tcW w:w="916" w:type="dxa"/>
          </w:tcPr>
          <w:p>
            <w:pPr>
              <w:pStyle w:val="TableParagraph"/>
              <w:ind w:right="405"/>
              <w:jc w:val="right"/>
              <w:rPr>
                <w:sz w:val="20"/>
              </w:rPr>
            </w:pPr>
            <w:r>
              <w:rPr>
                <w:spacing w:val="-4"/>
                <w:sz w:val="20"/>
              </w:rPr>
              <w:t>93.2</w:t>
            </w:r>
          </w:p>
        </w:tc>
        <w:tc>
          <w:tcPr>
            <w:tcW w:w="1365" w:type="dxa"/>
          </w:tcPr>
          <w:p>
            <w:pPr>
              <w:pStyle w:val="TableParagraph"/>
              <w:ind w:right="489"/>
              <w:jc w:val="right"/>
              <w:rPr>
                <w:sz w:val="20"/>
              </w:rPr>
            </w:pPr>
            <w:r>
              <w:rPr>
                <w:spacing w:val="-5"/>
                <w:sz w:val="20"/>
              </w:rPr>
              <w:t>138</w:t>
            </w:r>
          </w:p>
        </w:tc>
        <w:tc>
          <w:tcPr>
            <w:tcW w:w="638" w:type="dxa"/>
          </w:tcPr>
          <w:p>
            <w:pPr>
              <w:pStyle w:val="TableParagraph"/>
              <w:ind w:right="107"/>
              <w:jc w:val="right"/>
              <w:rPr>
                <w:sz w:val="20"/>
              </w:rPr>
            </w:pPr>
            <w:r>
              <w:rPr>
                <w:spacing w:val="-5"/>
                <w:sz w:val="20"/>
              </w:rPr>
              <w:t>6.8</w:t>
            </w:r>
          </w:p>
        </w:tc>
      </w:tr>
      <w:tr>
        <w:trPr>
          <w:trHeight w:val="291" w:hRule="atLeast"/>
        </w:trPr>
        <w:tc>
          <w:tcPr>
            <w:tcW w:w="3234" w:type="dxa"/>
          </w:tcPr>
          <w:p>
            <w:pPr>
              <w:pStyle w:val="TableParagraph"/>
              <w:ind w:left="122"/>
              <w:rPr>
                <w:sz w:val="20"/>
              </w:rPr>
            </w:pPr>
            <w:r>
              <w:rPr>
                <w:sz w:val="20"/>
              </w:rPr>
              <w:t>Graduate</w:t>
            </w:r>
            <w:r>
              <w:rPr>
                <w:spacing w:val="-10"/>
                <w:sz w:val="20"/>
              </w:rPr>
              <w:t> </w:t>
            </w:r>
            <w:r>
              <w:rPr>
                <w:spacing w:val="-2"/>
                <w:sz w:val="20"/>
              </w:rPr>
              <w:t>Degrees</w:t>
            </w:r>
          </w:p>
        </w:tc>
        <w:tc>
          <w:tcPr>
            <w:tcW w:w="1502" w:type="dxa"/>
          </w:tcPr>
          <w:p>
            <w:pPr>
              <w:pStyle w:val="TableParagraph"/>
              <w:ind w:left="520" w:right="496"/>
              <w:jc w:val="center"/>
              <w:rPr>
                <w:sz w:val="20"/>
              </w:rPr>
            </w:pPr>
            <w:r>
              <w:rPr>
                <w:spacing w:val="-2"/>
                <w:sz w:val="20"/>
              </w:rPr>
              <w:t>2,452</w:t>
            </w:r>
          </w:p>
        </w:tc>
        <w:tc>
          <w:tcPr>
            <w:tcW w:w="916" w:type="dxa"/>
          </w:tcPr>
          <w:p>
            <w:pPr>
              <w:pStyle w:val="TableParagraph"/>
              <w:ind w:right="405"/>
              <w:jc w:val="right"/>
              <w:rPr>
                <w:sz w:val="20"/>
              </w:rPr>
            </w:pPr>
            <w:r>
              <w:rPr>
                <w:spacing w:val="-4"/>
                <w:sz w:val="20"/>
              </w:rPr>
              <w:t>87.6</w:t>
            </w:r>
          </w:p>
        </w:tc>
        <w:tc>
          <w:tcPr>
            <w:tcW w:w="1365" w:type="dxa"/>
          </w:tcPr>
          <w:p>
            <w:pPr>
              <w:pStyle w:val="TableParagraph"/>
              <w:ind w:right="489"/>
              <w:jc w:val="right"/>
              <w:rPr>
                <w:sz w:val="20"/>
              </w:rPr>
            </w:pPr>
            <w:r>
              <w:rPr>
                <w:spacing w:val="-5"/>
                <w:sz w:val="20"/>
              </w:rPr>
              <w:t>347</w:t>
            </w:r>
          </w:p>
        </w:tc>
        <w:tc>
          <w:tcPr>
            <w:tcW w:w="638" w:type="dxa"/>
          </w:tcPr>
          <w:p>
            <w:pPr>
              <w:pStyle w:val="TableParagraph"/>
              <w:ind w:right="107"/>
              <w:jc w:val="right"/>
              <w:rPr>
                <w:sz w:val="20"/>
              </w:rPr>
            </w:pPr>
            <w:r>
              <w:rPr>
                <w:spacing w:val="-4"/>
                <w:sz w:val="20"/>
              </w:rPr>
              <w:t>12.4</w:t>
            </w:r>
          </w:p>
        </w:tc>
      </w:tr>
      <w:tr>
        <w:trPr>
          <w:trHeight w:val="308" w:hRule="atLeast"/>
        </w:trPr>
        <w:tc>
          <w:tcPr>
            <w:tcW w:w="3234" w:type="dxa"/>
          </w:tcPr>
          <w:p>
            <w:pPr>
              <w:pStyle w:val="TableParagraph"/>
              <w:spacing w:before="18"/>
              <w:ind w:left="122"/>
              <w:rPr>
                <w:b/>
                <w:i/>
                <w:sz w:val="20"/>
              </w:rPr>
            </w:pPr>
            <w:r>
              <w:rPr>
                <w:b/>
                <w:i/>
                <w:sz w:val="20"/>
              </w:rPr>
              <w:t>Preterm</w:t>
            </w:r>
            <w:r>
              <w:rPr>
                <w:b/>
                <w:i/>
                <w:spacing w:val="-9"/>
                <w:sz w:val="20"/>
              </w:rPr>
              <w:t> </w:t>
            </w:r>
            <w:r>
              <w:rPr>
                <w:b/>
                <w:i/>
                <w:spacing w:val="-2"/>
                <w:sz w:val="20"/>
              </w:rPr>
              <w:t>Birth</w:t>
            </w:r>
            <w:r>
              <w:rPr>
                <w:b/>
                <w:i/>
                <w:spacing w:val="-2"/>
                <w:sz w:val="20"/>
                <w:vertAlign w:val="superscript"/>
              </w:rPr>
              <w:t>*</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spacing w:val="-5"/>
                <w:sz w:val="20"/>
              </w:rPr>
              <w:t>No</w:t>
            </w:r>
          </w:p>
        </w:tc>
        <w:tc>
          <w:tcPr>
            <w:tcW w:w="1502" w:type="dxa"/>
          </w:tcPr>
          <w:p>
            <w:pPr>
              <w:pStyle w:val="TableParagraph"/>
              <w:ind w:left="520" w:right="496"/>
              <w:jc w:val="center"/>
              <w:rPr>
                <w:sz w:val="20"/>
              </w:rPr>
            </w:pPr>
            <w:r>
              <w:rPr>
                <w:spacing w:val="-2"/>
                <w:sz w:val="20"/>
              </w:rPr>
              <w:t>9,119</w:t>
            </w:r>
          </w:p>
        </w:tc>
        <w:tc>
          <w:tcPr>
            <w:tcW w:w="916" w:type="dxa"/>
          </w:tcPr>
          <w:p>
            <w:pPr>
              <w:pStyle w:val="TableParagraph"/>
              <w:ind w:right="405"/>
              <w:jc w:val="right"/>
              <w:rPr>
                <w:sz w:val="20"/>
              </w:rPr>
            </w:pPr>
            <w:r>
              <w:rPr>
                <w:spacing w:val="-4"/>
                <w:sz w:val="20"/>
              </w:rPr>
              <w:t>89.6</w:t>
            </w:r>
          </w:p>
        </w:tc>
        <w:tc>
          <w:tcPr>
            <w:tcW w:w="1365" w:type="dxa"/>
          </w:tcPr>
          <w:p>
            <w:pPr>
              <w:pStyle w:val="TableParagraph"/>
              <w:ind w:left="420"/>
              <w:rPr>
                <w:sz w:val="20"/>
              </w:rPr>
            </w:pPr>
            <w:r>
              <w:rPr>
                <w:spacing w:val="-2"/>
                <w:sz w:val="20"/>
              </w:rPr>
              <w:t>1,058</w:t>
            </w:r>
          </w:p>
        </w:tc>
        <w:tc>
          <w:tcPr>
            <w:tcW w:w="638" w:type="dxa"/>
          </w:tcPr>
          <w:p>
            <w:pPr>
              <w:pStyle w:val="TableParagraph"/>
              <w:ind w:right="107"/>
              <w:jc w:val="right"/>
              <w:rPr>
                <w:sz w:val="20"/>
              </w:rPr>
            </w:pPr>
            <w:r>
              <w:rPr>
                <w:spacing w:val="-4"/>
                <w:sz w:val="20"/>
              </w:rPr>
              <w:t>10.4</w:t>
            </w:r>
          </w:p>
        </w:tc>
      </w:tr>
      <w:tr>
        <w:trPr>
          <w:trHeight w:val="300" w:hRule="atLeast"/>
        </w:trPr>
        <w:tc>
          <w:tcPr>
            <w:tcW w:w="3234" w:type="dxa"/>
          </w:tcPr>
          <w:p>
            <w:pPr>
              <w:pStyle w:val="TableParagraph"/>
              <w:ind w:left="122"/>
              <w:rPr>
                <w:sz w:val="20"/>
              </w:rPr>
            </w:pPr>
            <w:r>
              <w:rPr>
                <w:spacing w:val="-5"/>
                <w:sz w:val="20"/>
              </w:rPr>
              <w:t>Yes</w:t>
            </w:r>
          </w:p>
        </w:tc>
        <w:tc>
          <w:tcPr>
            <w:tcW w:w="1502" w:type="dxa"/>
          </w:tcPr>
          <w:p>
            <w:pPr>
              <w:pStyle w:val="TableParagraph"/>
              <w:ind w:left="520" w:right="345"/>
              <w:jc w:val="center"/>
              <w:rPr>
                <w:sz w:val="20"/>
              </w:rPr>
            </w:pPr>
            <w:r>
              <w:rPr>
                <w:spacing w:val="-5"/>
                <w:sz w:val="20"/>
              </w:rPr>
              <w:t>694</w:t>
            </w:r>
          </w:p>
        </w:tc>
        <w:tc>
          <w:tcPr>
            <w:tcW w:w="916" w:type="dxa"/>
          </w:tcPr>
          <w:p>
            <w:pPr>
              <w:pStyle w:val="TableParagraph"/>
              <w:ind w:right="405"/>
              <w:jc w:val="right"/>
              <w:rPr>
                <w:sz w:val="20"/>
              </w:rPr>
            </w:pPr>
            <w:r>
              <w:rPr>
                <w:spacing w:val="-4"/>
                <w:sz w:val="20"/>
              </w:rPr>
              <w:t>87.1</w:t>
            </w:r>
          </w:p>
        </w:tc>
        <w:tc>
          <w:tcPr>
            <w:tcW w:w="1365" w:type="dxa"/>
          </w:tcPr>
          <w:p>
            <w:pPr>
              <w:pStyle w:val="TableParagraph"/>
              <w:ind w:right="489"/>
              <w:jc w:val="right"/>
              <w:rPr>
                <w:sz w:val="20"/>
              </w:rPr>
            </w:pPr>
            <w:r>
              <w:rPr>
                <w:spacing w:val="-5"/>
                <w:sz w:val="20"/>
              </w:rPr>
              <w:t>103</w:t>
            </w:r>
          </w:p>
        </w:tc>
        <w:tc>
          <w:tcPr>
            <w:tcW w:w="638" w:type="dxa"/>
          </w:tcPr>
          <w:p>
            <w:pPr>
              <w:pStyle w:val="TableParagraph"/>
              <w:ind w:right="107"/>
              <w:jc w:val="right"/>
              <w:rPr>
                <w:sz w:val="20"/>
              </w:rPr>
            </w:pPr>
            <w:r>
              <w:rPr>
                <w:spacing w:val="-4"/>
                <w:sz w:val="20"/>
              </w:rPr>
              <w:t>12.9</w:t>
            </w:r>
          </w:p>
        </w:tc>
      </w:tr>
      <w:tr>
        <w:trPr>
          <w:trHeight w:val="300" w:hRule="atLeast"/>
        </w:trPr>
        <w:tc>
          <w:tcPr>
            <w:tcW w:w="3234" w:type="dxa"/>
          </w:tcPr>
          <w:p>
            <w:pPr>
              <w:pStyle w:val="TableParagraph"/>
              <w:ind w:left="122"/>
              <w:rPr>
                <w:b/>
                <w:i/>
                <w:sz w:val="20"/>
              </w:rPr>
            </w:pPr>
            <w:r>
              <w:rPr>
                <w:b/>
                <w:i/>
                <w:spacing w:val="-2"/>
                <w:sz w:val="20"/>
              </w:rPr>
              <w:t>Plurality</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spacing w:val="-2"/>
                <w:sz w:val="20"/>
              </w:rPr>
              <w:t>Singleton</w:t>
            </w:r>
          </w:p>
        </w:tc>
        <w:tc>
          <w:tcPr>
            <w:tcW w:w="1502" w:type="dxa"/>
          </w:tcPr>
          <w:p>
            <w:pPr>
              <w:pStyle w:val="TableParagraph"/>
              <w:ind w:left="520" w:right="496"/>
              <w:jc w:val="center"/>
              <w:rPr>
                <w:sz w:val="20"/>
              </w:rPr>
            </w:pPr>
            <w:r>
              <w:rPr>
                <w:spacing w:val="-2"/>
                <w:sz w:val="20"/>
              </w:rPr>
              <w:t>9,692</w:t>
            </w:r>
          </w:p>
        </w:tc>
        <w:tc>
          <w:tcPr>
            <w:tcW w:w="916" w:type="dxa"/>
          </w:tcPr>
          <w:p>
            <w:pPr>
              <w:pStyle w:val="TableParagraph"/>
              <w:ind w:right="405"/>
              <w:jc w:val="right"/>
              <w:rPr>
                <w:sz w:val="20"/>
              </w:rPr>
            </w:pPr>
            <w:r>
              <w:rPr>
                <w:spacing w:val="-4"/>
                <w:sz w:val="20"/>
              </w:rPr>
              <w:t>89.5</w:t>
            </w:r>
          </w:p>
        </w:tc>
        <w:tc>
          <w:tcPr>
            <w:tcW w:w="1365" w:type="dxa"/>
          </w:tcPr>
          <w:p>
            <w:pPr>
              <w:pStyle w:val="TableParagraph"/>
              <w:ind w:left="420"/>
              <w:rPr>
                <w:sz w:val="20"/>
              </w:rPr>
            </w:pPr>
            <w:r>
              <w:rPr>
                <w:spacing w:val="-2"/>
                <w:sz w:val="20"/>
              </w:rPr>
              <w:t>1,143</w:t>
            </w:r>
          </w:p>
        </w:tc>
        <w:tc>
          <w:tcPr>
            <w:tcW w:w="638" w:type="dxa"/>
          </w:tcPr>
          <w:p>
            <w:pPr>
              <w:pStyle w:val="TableParagraph"/>
              <w:ind w:right="107"/>
              <w:jc w:val="right"/>
              <w:rPr>
                <w:sz w:val="20"/>
              </w:rPr>
            </w:pPr>
            <w:r>
              <w:rPr>
                <w:spacing w:val="-4"/>
                <w:sz w:val="20"/>
              </w:rPr>
              <w:t>10.5</w:t>
            </w:r>
          </w:p>
        </w:tc>
      </w:tr>
      <w:tr>
        <w:trPr>
          <w:trHeight w:val="300" w:hRule="atLeast"/>
        </w:trPr>
        <w:tc>
          <w:tcPr>
            <w:tcW w:w="3234" w:type="dxa"/>
          </w:tcPr>
          <w:p>
            <w:pPr>
              <w:pStyle w:val="TableParagraph"/>
              <w:ind w:left="122"/>
              <w:rPr>
                <w:sz w:val="20"/>
              </w:rPr>
            </w:pPr>
            <w:r>
              <w:rPr>
                <w:spacing w:val="-2"/>
                <w:sz w:val="20"/>
              </w:rPr>
              <w:t>Multiple</w:t>
            </w:r>
          </w:p>
        </w:tc>
        <w:tc>
          <w:tcPr>
            <w:tcW w:w="1502" w:type="dxa"/>
          </w:tcPr>
          <w:p>
            <w:pPr>
              <w:pStyle w:val="TableParagraph"/>
              <w:ind w:left="520" w:right="345"/>
              <w:jc w:val="center"/>
              <w:rPr>
                <w:sz w:val="20"/>
              </w:rPr>
            </w:pPr>
            <w:r>
              <w:rPr>
                <w:spacing w:val="-5"/>
                <w:sz w:val="20"/>
              </w:rPr>
              <w:t>123</w:t>
            </w:r>
          </w:p>
        </w:tc>
        <w:tc>
          <w:tcPr>
            <w:tcW w:w="916" w:type="dxa"/>
          </w:tcPr>
          <w:p>
            <w:pPr>
              <w:pStyle w:val="TableParagraph"/>
              <w:ind w:right="405"/>
              <w:jc w:val="right"/>
              <w:rPr>
                <w:sz w:val="20"/>
              </w:rPr>
            </w:pPr>
            <w:r>
              <w:rPr>
                <w:spacing w:val="-4"/>
                <w:sz w:val="20"/>
              </w:rPr>
              <w:t>87.2</w:t>
            </w:r>
          </w:p>
        </w:tc>
        <w:tc>
          <w:tcPr>
            <w:tcW w:w="1365" w:type="dxa"/>
          </w:tcPr>
          <w:p>
            <w:pPr>
              <w:pStyle w:val="TableParagraph"/>
              <w:ind w:right="487"/>
              <w:jc w:val="right"/>
              <w:rPr>
                <w:sz w:val="20"/>
              </w:rPr>
            </w:pPr>
            <w:r>
              <w:rPr>
                <w:spacing w:val="-5"/>
                <w:sz w:val="20"/>
              </w:rPr>
              <w:t>18</w:t>
            </w:r>
          </w:p>
        </w:tc>
        <w:tc>
          <w:tcPr>
            <w:tcW w:w="638" w:type="dxa"/>
          </w:tcPr>
          <w:p>
            <w:pPr>
              <w:pStyle w:val="TableParagraph"/>
              <w:ind w:right="107"/>
              <w:jc w:val="right"/>
              <w:rPr>
                <w:sz w:val="20"/>
              </w:rPr>
            </w:pPr>
            <w:r>
              <w:rPr>
                <w:spacing w:val="-4"/>
                <w:sz w:val="20"/>
              </w:rPr>
              <w:t>12.8</w:t>
            </w:r>
          </w:p>
        </w:tc>
      </w:tr>
      <w:tr>
        <w:trPr>
          <w:trHeight w:val="300" w:hRule="atLeast"/>
        </w:trPr>
        <w:tc>
          <w:tcPr>
            <w:tcW w:w="3234" w:type="dxa"/>
          </w:tcPr>
          <w:p>
            <w:pPr>
              <w:pStyle w:val="TableParagraph"/>
              <w:ind w:left="122"/>
              <w:rPr>
                <w:b/>
                <w:i/>
                <w:sz w:val="20"/>
              </w:rPr>
            </w:pPr>
            <w:r>
              <w:rPr>
                <w:b/>
                <w:i/>
                <w:spacing w:val="-2"/>
                <w:sz w:val="20"/>
              </w:rPr>
              <w:t>Parity</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w w:val="99"/>
                <w:sz w:val="20"/>
              </w:rPr>
              <w:t>1</w:t>
            </w:r>
          </w:p>
        </w:tc>
        <w:tc>
          <w:tcPr>
            <w:tcW w:w="1502" w:type="dxa"/>
          </w:tcPr>
          <w:p>
            <w:pPr>
              <w:pStyle w:val="TableParagraph"/>
              <w:ind w:left="520" w:right="496"/>
              <w:jc w:val="center"/>
              <w:rPr>
                <w:sz w:val="20"/>
              </w:rPr>
            </w:pPr>
            <w:r>
              <w:rPr>
                <w:spacing w:val="-2"/>
                <w:sz w:val="20"/>
              </w:rPr>
              <w:t>4,333</w:t>
            </w:r>
          </w:p>
        </w:tc>
        <w:tc>
          <w:tcPr>
            <w:tcW w:w="916" w:type="dxa"/>
          </w:tcPr>
          <w:p>
            <w:pPr>
              <w:pStyle w:val="TableParagraph"/>
              <w:ind w:right="405"/>
              <w:jc w:val="right"/>
              <w:rPr>
                <w:sz w:val="20"/>
              </w:rPr>
            </w:pPr>
            <w:r>
              <w:rPr>
                <w:spacing w:val="-4"/>
                <w:sz w:val="20"/>
              </w:rPr>
              <w:t>89.8</w:t>
            </w:r>
          </w:p>
        </w:tc>
        <w:tc>
          <w:tcPr>
            <w:tcW w:w="1365" w:type="dxa"/>
          </w:tcPr>
          <w:p>
            <w:pPr>
              <w:pStyle w:val="TableParagraph"/>
              <w:ind w:right="489"/>
              <w:jc w:val="right"/>
              <w:rPr>
                <w:sz w:val="20"/>
              </w:rPr>
            </w:pPr>
            <w:r>
              <w:rPr>
                <w:spacing w:val="-5"/>
                <w:sz w:val="20"/>
              </w:rPr>
              <w:t>493</w:t>
            </w:r>
          </w:p>
        </w:tc>
        <w:tc>
          <w:tcPr>
            <w:tcW w:w="638" w:type="dxa"/>
          </w:tcPr>
          <w:p>
            <w:pPr>
              <w:pStyle w:val="TableParagraph"/>
              <w:ind w:right="107"/>
              <w:jc w:val="right"/>
              <w:rPr>
                <w:sz w:val="20"/>
              </w:rPr>
            </w:pPr>
            <w:r>
              <w:rPr>
                <w:spacing w:val="-4"/>
                <w:sz w:val="20"/>
              </w:rPr>
              <w:t>10.2</w:t>
            </w:r>
          </w:p>
        </w:tc>
      </w:tr>
      <w:tr>
        <w:trPr>
          <w:trHeight w:val="300" w:hRule="atLeast"/>
        </w:trPr>
        <w:tc>
          <w:tcPr>
            <w:tcW w:w="3234" w:type="dxa"/>
          </w:tcPr>
          <w:p>
            <w:pPr>
              <w:pStyle w:val="TableParagraph"/>
              <w:ind w:left="122"/>
              <w:rPr>
                <w:sz w:val="20"/>
              </w:rPr>
            </w:pPr>
            <w:r>
              <w:rPr>
                <w:w w:val="99"/>
                <w:sz w:val="20"/>
              </w:rPr>
              <w:t>2</w:t>
            </w:r>
          </w:p>
        </w:tc>
        <w:tc>
          <w:tcPr>
            <w:tcW w:w="1502" w:type="dxa"/>
          </w:tcPr>
          <w:p>
            <w:pPr>
              <w:pStyle w:val="TableParagraph"/>
              <w:ind w:left="520" w:right="496"/>
              <w:jc w:val="center"/>
              <w:rPr>
                <w:sz w:val="20"/>
              </w:rPr>
            </w:pPr>
            <w:r>
              <w:rPr>
                <w:spacing w:val="-2"/>
                <w:sz w:val="20"/>
              </w:rPr>
              <w:t>3,314</w:t>
            </w:r>
          </w:p>
        </w:tc>
        <w:tc>
          <w:tcPr>
            <w:tcW w:w="916" w:type="dxa"/>
          </w:tcPr>
          <w:p>
            <w:pPr>
              <w:pStyle w:val="TableParagraph"/>
              <w:ind w:right="405"/>
              <w:jc w:val="right"/>
              <w:rPr>
                <w:sz w:val="20"/>
              </w:rPr>
            </w:pPr>
            <w:r>
              <w:rPr>
                <w:spacing w:val="-4"/>
                <w:sz w:val="20"/>
              </w:rPr>
              <w:t>89.6</w:t>
            </w:r>
          </w:p>
        </w:tc>
        <w:tc>
          <w:tcPr>
            <w:tcW w:w="1365" w:type="dxa"/>
          </w:tcPr>
          <w:p>
            <w:pPr>
              <w:pStyle w:val="TableParagraph"/>
              <w:ind w:right="489"/>
              <w:jc w:val="right"/>
              <w:rPr>
                <w:sz w:val="20"/>
              </w:rPr>
            </w:pPr>
            <w:r>
              <w:rPr>
                <w:spacing w:val="-5"/>
                <w:sz w:val="20"/>
              </w:rPr>
              <w:t>385</w:t>
            </w:r>
          </w:p>
        </w:tc>
        <w:tc>
          <w:tcPr>
            <w:tcW w:w="638" w:type="dxa"/>
          </w:tcPr>
          <w:p>
            <w:pPr>
              <w:pStyle w:val="TableParagraph"/>
              <w:ind w:right="107"/>
              <w:jc w:val="right"/>
              <w:rPr>
                <w:sz w:val="20"/>
              </w:rPr>
            </w:pPr>
            <w:r>
              <w:rPr>
                <w:spacing w:val="-4"/>
                <w:sz w:val="20"/>
              </w:rPr>
              <w:t>10.4</w:t>
            </w:r>
          </w:p>
        </w:tc>
      </w:tr>
      <w:tr>
        <w:trPr>
          <w:trHeight w:val="291" w:hRule="atLeast"/>
        </w:trPr>
        <w:tc>
          <w:tcPr>
            <w:tcW w:w="3234" w:type="dxa"/>
          </w:tcPr>
          <w:p>
            <w:pPr>
              <w:pStyle w:val="TableParagraph"/>
              <w:ind w:left="122"/>
              <w:rPr>
                <w:sz w:val="20"/>
              </w:rPr>
            </w:pPr>
            <w:r>
              <w:rPr>
                <w:spacing w:val="-5"/>
                <w:sz w:val="20"/>
              </w:rPr>
              <w:t>3+</w:t>
            </w:r>
          </w:p>
        </w:tc>
        <w:tc>
          <w:tcPr>
            <w:tcW w:w="1502" w:type="dxa"/>
          </w:tcPr>
          <w:p>
            <w:pPr>
              <w:pStyle w:val="TableParagraph"/>
              <w:ind w:left="520" w:right="496"/>
              <w:jc w:val="center"/>
              <w:rPr>
                <w:sz w:val="20"/>
              </w:rPr>
            </w:pPr>
            <w:r>
              <w:rPr>
                <w:spacing w:val="-2"/>
                <w:sz w:val="20"/>
              </w:rPr>
              <w:t>2,168</w:t>
            </w:r>
          </w:p>
        </w:tc>
        <w:tc>
          <w:tcPr>
            <w:tcW w:w="916" w:type="dxa"/>
          </w:tcPr>
          <w:p>
            <w:pPr>
              <w:pStyle w:val="TableParagraph"/>
              <w:ind w:right="405"/>
              <w:jc w:val="right"/>
              <w:rPr>
                <w:sz w:val="20"/>
              </w:rPr>
            </w:pPr>
            <w:r>
              <w:rPr>
                <w:spacing w:val="-4"/>
                <w:sz w:val="20"/>
              </w:rPr>
              <w:t>88.5</w:t>
            </w:r>
          </w:p>
        </w:tc>
        <w:tc>
          <w:tcPr>
            <w:tcW w:w="1365" w:type="dxa"/>
          </w:tcPr>
          <w:p>
            <w:pPr>
              <w:pStyle w:val="TableParagraph"/>
              <w:ind w:right="489"/>
              <w:jc w:val="right"/>
              <w:rPr>
                <w:sz w:val="20"/>
              </w:rPr>
            </w:pPr>
            <w:r>
              <w:rPr>
                <w:spacing w:val="-5"/>
                <w:sz w:val="20"/>
              </w:rPr>
              <w:t>283</w:t>
            </w:r>
          </w:p>
        </w:tc>
        <w:tc>
          <w:tcPr>
            <w:tcW w:w="638" w:type="dxa"/>
          </w:tcPr>
          <w:p>
            <w:pPr>
              <w:pStyle w:val="TableParagraph"/>
              <w:ind w:right="107"/>
              <w:jc w:val="right"/>
              <w:rPr>
                <w:sz w:val="20"/>
              </w:rPr>
            </w:pPr>
            <w:r>
              <w:rPr>
                <w:spacing w:val="-4"/>
                <w:sz w:val="20"/>
              </w:rPr>
              <w:t>11.5</w:t>
            </w:r>
          </w:p>
        </w:tc>
      </w:tr>
      <w:tr>
        <w:trPr>
          <w:trHeight w:val="308" w:hRule="atLeast"/>
        </w:trPr>
        <w:tc>
          <w:tcPr>
            <w:tcW w:w="3234" w:type="dxa"/>
          </w:tcPr>
          <w:p>
            <w:pPr>
              <w:pStyle w:val="TableParagraph"/>
              <w:spacing w:before="18"/>
              <w:ind w:left="122"/>
              <w:rPr>
                <w:b/>
                <w:i/>
                <w:sz w:val="20"/>
              </w:rPr>
            </w:pPr>
            <w:r>
              <w:rPr>
                <w:b/>
                <w:i/>
                <w:spacing w:val="-2"/>
                <w:sz w:val="20"/>
              </w:rPr>
              <w:t>Married</w:t>
            </w:r>
            <w:r>
              <w:rPr>
                <w:b/>
                <w:i/>
                <w:spacing w:val="-11"/>
                <w:sz w:val="20"/>
              </w:rPr>
              <w:t> </w:t>
            </w:r>
            <w:r>
              <w:rPr>
                <w:b/>
                <w:i/>
                <w:spacing w:val="-10"/>
                <w:sz w:val="20"/>
                <w:vertAlign w:val="superscript"/>
              </w:rPr>
              <w:t>ƚ</w:t>
            </w:r>
          </w:p>
        </w:tc>
        <w:tc>
          <w:tcPr>
            <w:tcW w:w="1502" w:type="dxa"/>
          </w:tcPr>
          <w:p>
            <w:pPr>
              <w:pStyle w:val="TableParagraph"/>
              <w:spacing w:before="0"/>
              <w:rPr>
                <w:rFonts w:ascii="Times New Roman"/>
                <w:sz w:val="20"/>
              </w:rPr>
            </w:pPr>
          </w:p>
        </w:tc>
        <w:tc>
          <w:tcPr>
            <w:tcW w:w="916" w:type="dxa"/>
          </w:tcPr>
          <w:p>
            <w:pPr>
              <w:pStyle w:val="TableParagraph"/>
              <w:spacing w:before="0"/>
              <w:rPr>
                <w:rFonts w:ascii="Times New Roman"/>
                <w:sz w:val="20"/>
              </w:rPr>
            </w:pPr>
          </w:p>
        </w:tc>
        <w:tc>
          <w:tcPr>
            <w:tcW w:w="1365" w:type="dxa"/>
          </w:tcPr>
          <w:p>
            <w:pPr>
              <w:pStyle w:val="TableParagraph"/>
              <w:spacing w:before="0"/>
              <w:rPr>
                <w:rFonts w:ascii="Times New Roman"/>
                <w:sz w:val="20"/>
              </w:rPr>
            </w:pPr>
          </w:p>
        </w:tc>
        <w:tc>
          <w:tcPr>
            <w:tcW w:w="638" w:type="dxa"/>
          </w:tcPr>
          <w:p>
            <w:pPr>
              <w:pStyle w:val="TableParagraph"/>
              <w:spacing w:before="0"/>
              <w:rPr>
                <w:rFonts w:ascii="Times New Roman"/>
                <w:sz w:val="20"/>
              </w:rPr>
            </w:pPr>
          </w:p>
        </w:tc>
      </w:tr>
      <w:tr>
        <w:trPr>
          <w:trHeight w:val="300" w:hRule="atLeast"/>
        </w:trPr>
        <w:tc>
          <w:tcPr>
            <w:tcW w:w="3234" w:type="dxa"/>
          </w:tcPr>
          <w:p>
            <w:pPr>
              <w:pStyle w:val="TableParagraph"/>
              <w:ind w:left="122"/>
              <w:rPr>
                <w:sz w:val="20"/>
              </w:rPr>
            </w:pPr>
            <w:r>
              <w:rPr>
                <w:spacing w:val="-5"/>
                <w:sz w:val="20"/>
              </w:rPr>
              <w:t>No</w:t>
            </w:r>
          </w:p>
        </w:tc>
        <w:tc>
          <w:tcPr>
            <w:tcW w:w="1502" w:type="dxa"/>
          </w:tcPr>
          <w:p>
            <w:pPr>
              <w:pStyle w:val="TableParagraph"/>
              <w:ind w:left="520" w:right="496"/>
              <w:jc w:val="center"/>
              <w:rPr>
                <w:sz w:val="20"/>
              </w:rPr>
            </w:pPr>
            <w:r>
              <w:rPr>
                <w:spacing w:val="-2"/>
                <w:sz w:val="20"/>
              </w:rPr>
              <w:t>3,867</w:t>
            </w:r>
          </w:p>
        </w:tc>
        <w:tc>
          <w:tcPr>
            <w:tcW w:w="916" w:type="dxa"/>
          </w:tcPr>
          <w:p>
            <w:pPr>
              <w:pStyle w:val="TableParagraph"/>
              <w:ind w:right="405"/>
              <w:jc w:val="right"/>
              <w:rPr>
                <w:sz w:val="20"/>
              </w:rPr>
            </w:pPr>
            <w:r>
              <w:rPr>
                <w:spacing w:val="-4"/>
                <w:sz w:val="20"/>
              </w:rPr>
              <w:t>85.9</w:t>
            </w:r>
          </w:p>
        </w:tc>
        <w:tc>
          <w:tcPr>
            <w:tcW w:w="1365" w:type="dxa"/>
          </w:tcPr>
          <w:p>
            <w:pPr>
              <w:pStyle w:val="TableParagraph"/>
              <w:ind w:right="489"/>
              <w:jc w:val="right"/>
              <w:rPr>
                <w:sz w:val="20"/>
              </w:rPr>
            </w:pPr>
            <w:r>
              <w:rPr>
                <w:spacing w:val="-5"/>
                <w:sz w:val="20"/>
              </w:rPr>
              <w:t>635</w:t>
            </w:r>
          </w:p>
        </w:tc>
        <w:tc>
          <w:tcPr>
            <w:tcW w:w="638" w:type="dxa"/>
          </w:tcPr>
          <w:p>
            <w:pPr>
              <w:pStyle w:val="TableParagraph"/>
              <w:ind w:right="107"/>
              <w:jc w:val="right"/>
              <w:rPr>
                <w:sz w:val="20"/>
              </w:rPr>
            </w:pPr>
            <w:r>
              <w:rPr>
                <w:spacing w:val="-4"/>
                <w:sz w:val="20"/>
              </w:rPr>
              <w:t>14.1</w:t>
            </w:r>
          </w:p>
        </w:tc>
      </w:tr>
      <w:tr>
        <w:trPr>
          <w:trHeight w:val="254" w:hRule="atLeast"/>
        </w:trPr>
        <w:tc>
          <w:tcPr>
            <w:tcW w:w="3234" w:type="dxa"/>
            <w:tcBorders>
              <w:bottom w:val="single" w:sz="4" w:space="0" w:color="000000"/>
            </w:tcBorders>
          </w:tcPr>
          <w:p>
            <w:pPr>
              <w:pStyle w:val="TableParagraph"/>
              <w:spacing w:line="225" w:lineRule="exact"/>
              <w:ind w:left="122"/>
              <w:rPr>
                <w:sz w:val="20"/>
              </w:rPr>
            </w:pPr>
            <w:r>
              <w:rPr>
                <w:spacing w:val="-5"/>
                <w:sz w:val="20"/>
              </w:rPr>
              <w:t>Yes</w:t>
            </w:r>
          </w:p>
        </w:tc>
        <w:tc>
          <w:tcPr>
            <w:tcW w:w="1502" w:type="dxa"/>
            <w:tcBorders>
              <w:bottom w:val="single" w:sz="4" w:space="0" w:color="000000"/>
            </w:tcBorders>
          </w:tcPr>
          <w:p>
            <w:pPr>
              <w:pStyle w:val="TableParagraph"/>
              <w:spacing w:line="225" w:lineRule="exact"/>
              <w:ind w:left="520" w:right="496"/>
              <w:jc w:val="center"/>
              <w:rPr>
                <w:sz w:val="20"/>
              </w:rPr>
            </w:pPr>
            <w:r>
              <w:rPr>
                <w:spacing w:val="-2"/>
                <w:sz w:val="20"/>
              </w:rPr>
              <w:t>5,940</w:t>
            </w:r>
          </w:p>
        </w:tc>
        <w:tc>
          <w:tcPr>
            <w:tcW w:w="916" w:type="dxa"/>
            <w:tcBorders>
              <w:bottom w:val="single" w:sz="4" w:space="0" w:color="000000"/>
            </w:tcBorders>
          </w:tcPr>
          <w:p>
            <w:pPr>
              <w:pStyle w:val="TableParagraph"/>
              <w:spacing w:line="225" w:lineRule="exact"/>
              <w:ind w:right="405"/>
              <w:jc w:val="right"/>
              <w:rPr>
                <w:sz w:val="20"/>
              </w:rPr>
            </w:pPr>
            <w:r>
              <w:rPr>
                <w:spacing w:val="-4"/>
                <w:sz w:val="20"/>
              </w:rPr>
              <w:t>91.9</w:t>
            </w:r>
          </w:p>
        </w:tc>
        <w:tc>
          <w:tcPr>
            <w:tcW w:w="1365" w:type="dxa"/>
            <w:tcBorders>
              <w:bottom w:val="single" w:sz="4" w:space="0" w:color="000000"/>
            </w:tcBorders>
          </w:tcPr>
          <w:p>
            <w:pPr>
              <w:pStyle w:val="TableParagraph"/>
              <w:spacing w:line="225" w:lineRule="exact"/>
              <w:ind w:right="489"/>
              <w:jc w:val="right"/>
              <w:rPr>
                <w:sz w:val="20"/>
              </w:rPr>
            </w:pPr>
            <w:r>
              <w:rPr>
                <w:spacing w:val="-5"/>
                <w:sz w:val="20"/>
              </w:rPr>
              <w:t>521</w:t>
            </w:r>
          </w:p>
        </w:tc>
        <w:tc>
          <w:tcPr>
            <w:tcW w:w="638" w:type="dxa"/>
            <w:tcBorders>
              <w:bottom w:val="single" w:sz="4" w:space="0" w:color="000000"/>
            </w:tcBorders>
          </w:tcPr>
          <w:p>
            <w:pPr>
              <w:pStyle w:val="TableParagraph"/>
              <w:spacing w:line="225" w:lineRule="exact"/>
              <w:ind w:right="107"/>
              <w:jc w:val="right"/>
              <w:rPr>
                <w:sz w:val="20"/>
              </w:rPr>
            </w:pPr>
            <w:r>
              <w:rPr>
                <w:spacing w:val="-5"/>
                <w:sz w:val="20"/>
              </w:rPr>
              <w:t>8.1</w:t>
            </w:r>
          </w:p>
        </w:tc>
      </w:tr>
    </w:tbl>
    <w:p>
      <w:pPr>
        <w:pStyle w:val="BodyText"/>
        <w:rPr>
          <w:b/>
        </w:rPr>
      </w:pPr>
    </w:p>
    <w:p>
      <w:pPr>
        <w:spacing w:line="243" w:lineRule="exact" w:before="194"/>
        <w:ind w:left="380" w:right="0" w:firstLine="0"/>
        <w:jc w:val="left"/>
        <w:rPr>
          <w:sz w:val="20"/>
        </w:rPr>
      </w:pPr>
      <w:r>
        <w:rPr>
          <w:sz w:val="20"/>
          <w:vertAlign w:val="superscript"/>
        </w:rPr>
        <w:t>*</w:t>
      </w:r>
      <w:r>
        <w:rPr>
          <w:sz w:val="20"/>
          <w:vertAlign w:val="baseline"/>
        </w:rPr>
        <w:t>P</w:t>
      </w:r>
      <w:r>
        <w:rPr>
          <w:spacing w:val="-2"/>
          <w:sz w:val="20"/>
          <w:vertAlign w:val="baseline"/>
        </w:rPr>
        <w:t> &lt;0.05</w:t>
      </w:r>
    </w:p>
    <w:p>
      <w:pPr>
        <w:spacing w:line="243" w:lineRule="exact" w:before="0"/>
        <w:ind w:left="380" w:right="0" w:firstLine="0"/>
        <w:jc w:val="left"/>
        <w:rPr>
          <w:sz w:val="20"/>
        </w:rPr>
      </w:pPr>
      <w:r>
        <w:rPr>
          <w:spacing w:val="-2"/>
          <w:sz w:val="20"/>
          <w:vertAlign w:val="superscript"/>
        </w:rPr>
        <w:t>ƚ</w:t>
      </w:r>
      <w:r>
        <w:rPr>
          <w:spacing w:val="-2"/>
          <w:sz w:val="20"/>
          <w:vertAlign w:val="baseline"/>
        </w:rPr>
        <w:t>P&lt;0.01</w:t>
      </w:r>
    </w:p>
    <w:p>
      <w:pPr>
        <w:spacing w:after="0" w:line="243" w:lineRule="exact"/>
        <w:jc w:val="left"/>
        <w:rPr>
          <w:sz w:val="20"/>
        </w:rPr>
        <w:sectPr>
          <w:pgSz w:w="12240" w:h="15840"/>
          <w:pgMar w:header="0" w:footer="765" w:top="1400" w:bottom="960" w:left="1060" w:right="380"/>
        </w:sectPr>
      </w:pPr>
    </w:p>
    <w:p>
      <w:pPr>
        <w:pStyle w:val="Heading2"/>
        <w:spacing w:before="32"/>
      </w:pPr>
      <w:r>
        <w:rPr/>
        <w:pict>
          <v:group style="position:absolute;margin-left:71.625pt;margin-top:30.555803pt;width:401.35pt;height:192.75pt;mso-position-horizontal-relative:page;mso-position-vertical-relative:paragraph;z-index:15732736" id="docshapegroup78" coordorigin="1433,611" coordsize="8027,3855">
            <v:rect style="position:absolute;left:3256;top:3646;width:704;height:311" id="docshape79" filled="true" fillcolor="#4f81bc" stroked="false">
              <v:fill type="solid"/>
            </v:rect>
            <v:shape style="position:absolute;left:3563;top:3577;width:90;height:128" id="docshape80" coordorigin="3564,3577" coordsize="90,128" path="m3610,3647l3610,3705m3610,3647l3610,3577m3564,3705l3654,3705m3564,3577l3654,3577e" filled="false" stroked="true" strokeweight=".75pt" strokecolor="#585858">
              <v:path arrowok="t"/>
              <v:stroke dashstyle="solid"/>
            </v:shape>
            <v:rect style="position:absolute;left:5505;top:3159;width:706;height:798" id="docshape81" filled="true" fillcolor="#4f81bc" stroked="false">
              <v:fill type="solid"/>
            </v:rect>
            <v:shape style="position:absolute;left:5812;top:3066;width:90;height:181" id="docshape82" coordorigin="5813,3066" coordsize="90,181" path="m5858,3160l5858,3247m5858,3160l5858,3066m5813,3247l5903,3247m5813,3066l5903,3066e" filled="false" stroked="true" strokeweight=".75pt" strokecolor="#585858">
              <v:path arrowok="t"/>
              <v:stroke dashstyle="solid"/>
            </v:shape>
            <v:rect style="position:absolute;left:7754;top:1950;width:706;height:2008" id="docshape83" filled="true" fillcolor="#4f81bc" stroked="false">
              <v:fill type="solid"/>
            </v:rect>
            <v:shape style="position:absolute;left:8062;top:1850;width:90;height:203" id="docshape84" coordorigin="8062,1851" coordsize="90,203" path="m8107,1950l8107,2053m8107,1950l8107,1851m8062,2053l8152,2053m8062,1851l8152,1851e" filled="false" stroked="true" strokeweight=".75pt" strokecolor="#585858">
              <v:path arrowok="t"/>
              <v:stroke dashstyle="solid"/>
            </v:shape>
            <v:line style="position:absolute" from="2484,3958" to="9232,3958" stroked="true" strokeweight=".75pt" strokecolor="#d9d9d9">
              <v:stroke dashstyle="solid"/>
            </v:line>
            <v:rect style="position:absolute;left:1440;top:618;width:8012;height:3840" id="docshape85" filled="false" stroked="true" strokeweight=".75pt" strokecolor="#d9d9d9">
              <v:stroke dashstyle="solid"/>
            </v:rect>
            <v:shape style="position:absolute;left:1994;top:747;width:325;height:2382" type="#_x0000_t202" id="docshape86" filled="false" stroked="false">
              <v:textbox inset="0,0,0,0">
                <w:txbxContent>
                  <w:p>
                    <w:pPr>
                      <w:spacing w:line="203" w:lineRule="exact" w:before="0"/>
                      <w:ind w:left="0" w:right="0" w:firstLine="0"/>
                      <w:jc w:val="left"/>
                      <w:rPr>
                        <w:sz w:val="20"/>
                      </w:rPr>
                    </w:pPr>
                    <w:r>
                      <w:rPr>
                        <w:color w:val="585858"/>
                        <w:spacing w:val="-5"/>
                        <w:sz w:val="20"/>
                      </w:rPr>
                      <w:t>100</w:t>
                    </w:r>
                  </w:p>
                  <w:p>
                    <w:pPr>
                      <w:spacing w:before="67"/>
                      <w:ind w:left="101" w:right="0" w:firstLine="0"/>
                      <w:jc w:val="left"/>
                      <w:rPr>
                        <w:sz w:val="20"/>
                      </w:rPr>
                    </w:pPr>
                    <w:r>
                      <w:rPr>
                        <w:color w:val="585858"/>
                        <w:spacing w:val="-5"/>
                        <w:sz w:val="20"/>
                      </w:rPr>
                      <w:t>90</w:t>
                    </w:r>
                  </w:p>
                  <w:p>
                    <w:pPr>
                      <w:spacing w:before="68"/>
                      <w:ind w:left="101" w:right="0" w:firstLine="0"/>
                      <w:jc w:val="left"/>
                      <w:rPr>
                        <w:sz w:val="20"/>
                      </w:rPr>
                    </w:pPr>
                    <w:r>
                      <w:rPr>
                        <w:color w:val="585858"/>
                        <w:spacing w:val="-5"/>
                        <w:sz w:val="20"/>
                      </w:rPr>
                      <w:t>80</w:t>
                    </w:r>
                  </w:p>
                  <w:p>
                    <w:pPr>
                      <w:spacing w:before="68"/>
                      <w:ind w:left="101" w:right="0" w:firstLine="0"/>
                      <w:jc w:val="left"/>
                      <w:rPr>
                        <w:sz w:val="20"/>
                      </w:rPr>
                    </w:pPr>
                    <w:r>
                      <w:rPr>
                        <w:color w:val="585858"/>
                        <w:spacing w:val="-5"/>
                        <w:sz w:val="20"/>
                      </w:rPr>
                      <w:t>70</w:t>
                    </w:r>
                  </w:p>
                  <w:p>
                    <w:pPr>
                      <w:spacing w:before="67"/>
                      <w:ind w:left="101" w:right="0" w:firstLine="0"/>
                      <w:jc w:val="left"/>
                      <w:rPr>
                        <w:sz w:val="20"/>
                      </w:rPr>
                    </w:pPr>
                    <w:r>
                      <w:rPr>
                        <w:color w:val="585858"/>
                        <w:spacing w:val="-5"/>
                        <w:sz w:val="20"/>
                      </w:rPr>
                      <w:t>60</w:t>
                    </w:r>
                  </w:p>
                  <w:p>
                    <w:pPr>
                      <w:spacing w:before="68"/>
                      <w:ind w:left="101" w:right="0" w:firstLine="0"/>
                      <w:jc w:val="left"/>
                      <w:rPr>
                        <w:sz w:val="20"/>
                      </w:rPr>
                    </w:pPr>
                    <w:r>
                      <w:rPr>
                        <w:color w:val="585858"/>
                        <w:spacing w:val="-5"/>
                        <w:sz w:val="20"/>
                      </w:rPr>
                      <w:t>50</w:t>
                    </w:r>
                  </w:p>
                  <w:p>
                    <w:pPr>
                      <w:spacing w:before="67"/>
                      <w:ind w:left="101" w:right="0" w:firstLine="0"/>
                      <w:jc w:val="left"/>
                      <w:rPr>
                        <w:sz w:val="20"/>
                      </w:rPr>
                    </w:pPr>
                    <w:r>
                      <w:rPr>
                        <w:color w:val="585858"/>
                        <w:spacing w:val="-5"/>
                        <w:sz w:val="20"/>
                      </w:rPr>
                      <w:t>40</w:t>
                    </w:r>
                  </w:p>
                  <w:p>
                    <w:pPr>
                      <w:spacing w:line="240" w:lineRule="exact" w:before="68"/>
                      <w:ind w:left="101" w:right="0" w:firstLine="0"/>
                      <w:jc w:val="left"/>
                      <w:rPr>
                        <w:sz w:val="20"/>
                      </w:rPr>
                    </w:pPr>
                    <w:r>
                      <w:rPr>
                        <w:color w:val="585858"/>
                        <w:spacing w:val="-5"/>
                        <w:sz w:val="20"/>
                      </w:rPr>
                      <w:t>30</w:t>
                    </w:r>
                  </w:p>
                </w:txbxContent>
              </v:textbox>
              <w10:wrap type="none"/>
            </v:shape>
            <v:shape style="position:absolute;left:7947;top:1676;width:340;height:180" type="#_x0000_t202" id="docshape87" filled="false" stroked="false">
              <v:textbox inset="0,0,0,0">
                <w:txbxContent>
                  <w:p>
                    <w:pPr>
                      <w:spacing w:line="180" w:lineRule="exact" w:before="0"/>
                      <w:ind w:left="0" w:right="0" w:firstLine="0"/>
                      <w:jc w:val="left"/>
                      <w:rPr>
                        <w:sz w:val="18"/>
                      </w:rPr>
                    </w:pPr>
                    <w:r>
                      <w:rPr>
                        <w:color w:val="404040"/>
                        <w:spacing w:val="-4"/>
                        <w:sz w:val="18"/>
                      </w:rPr>
                      <w:t>64.4</w:t>
                    </w:r>
                  </w:p>
                </w:txbxContent>
              </v:textbox>
              <w10:wrap type="none"/>
            </v:shape>
            <v:shape style="position:absolute;left:5697;top:2885;width:340;height:180" type="#_x0000_t202" id="docshape88" filled="false" stroked="false">
              <v:textbox inset="0,0,0,0">
                <w:txbxContent>
                  <w:p>
                    <w:pPr>
                      <w:spacing w:line="180" w:lineRule="exact" w:before="0"/>
                      <w:ind w:left="0" w:right="0" w:firstLine="0"/>
                      <w:jc w:val="left"/>
                      <w:rPr>
                        <w:sz w:val="18"/>
                      </w:rPr>
                    </w:pPr>
                    <w:r>
                      <w:rPr>
                        <w:color w:val="404040"/>
                        <w:spacing w:val="-4"/>
                        <w:sz w:val="18"/>
                      </w:rPr>
                      <w:t>25.6</w:t>
                    </w:r>
                  </w:p>
                </w:txbxContent>
              </v:textbox>
              <w10:wrap type="none"/>
            </v:shape>
            <v:shape style="position:absolute;left:2095;top:3241;width:6575;height:1083" type="#_x0000_t202" id="docshape89" filled="false" stroked="false">
              <v:textbox inset="0,0,0,0">
                <w:txbxContent>
                  <w:p>
                    <w:pPr>
                      <w:tabs>
                        <w:tab w:pos="1352" w:val="left" w:leader="none"/>
                      </w:tabs>
                      <w:spacing w:line="292" w:lineRule="exact" w:before="0"/>
                      <w:ind w:left="0" w:right="0" w:firstLine="0"/>
                      <w:jc w:val="left"/>
                      <w:rPr>
                        <w:sz w:val="18"/>
                      </w:rPr>
                    </w:pPr>
                    <w:r>
                      <w:rPr>
                        <w:color w:val="585858"/>
                        <w:spacing w:val="-5"/>
                        <w:position w:val="12"/>
                        <w:sz w:val="20"/>
                      </w:rPr>
                      <w:t>20</w:t>
                    </w:r>
                    <w:r>
                      <w:rPr>
                        <w:color w:val="585858"/>
                        <w:position w:val="12"/>
                        <w:sz w:val="20"/>
                      </w:rPr>
                      <w:tab/>
                    </w:r>
                    <w:r>
                      <w:rPr>
                        <w:color w:val="404040"/>
                        <w:spacing w:val="-4"/>
                        <w:sz w:val="18"/>
                      </w:rPr>
                      <w:t>10.0</w:t>
                    </w:r>
                  </w:p>
                  <w:p>
                    <w:pPr>
                      <w:spacing w:line="223" w:lineRule="exact" w:before="0"/>
                      <w:ind w:left="0" w:right="6370" w:firstLine="0"/>
                      <w:jc w:val="right"/>
                      <w:rPr>
                        <w:sz w:val="20"/>
                      </w:rPr>
                    </w:pPr>
                    <w:r>
                      <w:rPr>
                        <w:color w:val="585858"/>
                        <w:spacing w:val="-5"/>
                        <w:sz w:val="20"/>
                      </w:rPr>
                      <w:t>10</w:t>
                    </w:r>
                  </w:p>
                  <w:p>
                    <w:pPr>
                      <w:spacing w:before="67"/>
                      <w:ind w:left="0" w:right="6370" w:firstLine="0"/>
                      <w:jc w:val="right"/>
                      <w:rPr>
                        <w:sz w:val="20"/>
                      </w:rPr>
                    </w:pPr>
                    <w:r>
                      <w:rPr>
                        <w:color w:val="585858"/>
                        <w:w w:val="99"/>
                        <w:sz w:val="20"/>
                      </w:rPr>
                      <w:t>0</w:t>
                    </w:r>
                  </w:p>
                  <w:p>
                    <w:pPr>
                      <w:tabs>
                        <w:tab w:pos="3298" w:val="left" w:leader="none"/>
                        <w:tab w:pos="5468" w:val="left" w:leader="none"/>
                      </w:tabs>
                      <w:spacing w:line="240" w:lineRule="exact" w:before="16"/>
                      <w:ind w:left="947" w:right="0" w:firstLine="0"/>
                      <w:jc w:val="left"/>
                      <w:rPr>
                        <w:b/>
                        <w:sz w:val="20"/>
                      </w:rPr>
                    </w:pPr>
                    <w:r>
                      <w:rPr>
                        <w:b/>
                        <w:color w:val="585858"/>
                        <w:spacing w:val="-2"/>
                        <w:sz w:val="20"/>
                      </w:rPr>
                      <w:t>Often/always</w:t>
                    </w:r>
                    <w:r>
                      <w:rPr>
                        <w:b/>
                        <w:color w:val="585858"/>
                        <w:sz w:val="20"/>
                      </w:rPr>
                      <w:tab/>
                    </w:r>
                    <w:r>
                      <w:rPr>
                        <w:b/>
                        <w:color w:val="585858"/>
                        <w:spacing w:val="-2"/>
                        <w:sz w:val="20"/>
                      </w:rPr>
                      <w:t>Sometimes</w:t>
                    </w:r>
                    <w:r>
                      <w:rPr>
                        <w:b/>
                        <w:color w:val="585858"/>
                        <w:sz w:val="20"/>
                      </w:rPr>
                      <w:tab/>
                    </w:r>
                    <w:r>
                      <w:rPr>
                        <w:b/>
                        <w:color w:val="585858"/>
                        <w:spacing w:val="-2"/>
                        <w:sz w:val="20"/>
                      </w:rPr>
                      <w:t>Rarely/never</w:t>
                    </w:r>
                  </w:p>
                </w:txbxContent>
              </v:textbox>
              <w10:wrap type="none"/>
            </v:shape>
            <w10:wrap type="none"/>
          </v:group>
        </w:pict>
      </w:r>
      <w:r>
        <w:rPr/>
        <w:pict>
          <v:shape style="position:absolute;margin-left:74.848297pt;margin-top:88.052437pt;width:12pt;height:49.75pt;mso-position-horizontal-relative:page;mso-position-vertical-relative:paragraph;z-index:15733248" type="#_x0000_t202" id="docshape90"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Percent</w:t>
                  </w:r>
                  <w:r>
                    <w:rPr>
                      <w:b/>
                      <w:color w:val="585858"/>
                      <w:spacing w:val="-9"/>
                      <w:sz w:val="20"/>
                    </w:rPr>
                    <w:t> </w:t>
                  </w:r>
                  <w:r>
                    <w:rPr>
                      <w:b/>
                      <w:color w:val="585858"/>
                      <w:spacing w:val="-5"/>
                      <w:sz w:val="20"/>
                    </w:rPr>
                    <w:t>(%)</w:t>
                  </w:r>
                </w:p>
              </w:txbxContent>
            </v:textbox>
            <w10:wrap type="none"/>
          </v:shape>
        </w:pict>
      </w:r>
      <w:r>
        <w:rPr/>
        <w:t>Figure</w:t>
      </w:r>
      <w:r>
        <w:rPr>
          <w:spacing w:val="-4"/>
        </w:rPr>
        <w:t> </w:t>
      </w:r>
      <w:r>
        <w:rPr/>
        <w:t>2.</w:t>
      </w:r>
      <w:r>
        <w:rPr>
          <w:spacing w:val="-1"/>
        </w:rPr>
        <w:t> </w:t>
      </w:r>
      <w:r>
        <w:rPr/>
        <w:t>Experience</w:t>
      </w:r>
      <w:r>
        <w:rPr>
          <w:spacing w:val="-5"/>
        </w:rPr>
        <w:t> </w:t>
      </w:r>
      <w:r>
        <w:rPr/>
        <w:t>of</w:t>
      </w:r>
      <w:r>
        <w:rPr>
          <w:spacing w:val="-2"/>
        </w:rPr>
        <w:t> </w:t>
      </w:r>
      <w:r>
        <w:rPr/>
        <w:t>postpartum</w:t>
      </w:r>
      <w:r>
        <w:rPr>
          <w:spacing w:val="-2"/>
        </w:rPr>
        <w:t> </w:t>
      </w:r>
      <w:r>
        <w:rPr/>
        <w:t>depression</w:t>
      </w:r>
      <w:r>
        <w:rPr>
          <w:spacing w:val="-3"/>
        </w:rPr>
        <w:t> </w:t>
      </w:r>
      <w:r>
        <w:rPr/>
        <w:t>(PPD)</w:t>
      </w:r>
      <w:r>
        <w:rPr>
          <w:spacing w:val="-2"/>
        </w:rPr>
        <w:t> </w:t>
      </w:r>
      <w:r>
        <w:rPr/>
        <w:t>symptoms in</w:t>
      </w:r>
      <w:r>
        <w:rPr>
          <w:spacing w:val="-3"/>
        </w:rPr>
        <w:t> </w:t>
      </w:r>
      <w:r>
        <w:rPr/>
        <w:t>2020,</w:t>
      </w:r>
      <w:r>
        <w:rPr>
          <w:spacing w:val="-3"/>
        </w:rPr>
        <w:t> </w:t>
      </w:r>
      <w:r>
        <w:rPr/>
        <w:t>MA </w:t>
      </w:r>
      <w:r>
        <w:rPr>
          <w:spacing w:val="-2"/>
        </w:rPr>
        <w:t>PRAMS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15"/>
        <w:ind w:left="380" w:right="0" w:firstLine="0"/>
        <w:jc w:val="left"/>
        <w:rPr>
          <w:i/>
          <w:sz w:val="24"/>
        </w:rPr>
      </w:pPr>
      <w:r>
        <w:rPr>
          <w:i/>
          <w:sz w:val="24"/>
        </w:rPr>
        <w:t>The</w:t>
      </w:r>
      <w:r>
        <w:rPr>
          <w:i/>
          <w:spacing w:val="-1"/>
          <w:sz w:val="24"/>
        </w:rPr>
        <w:t> </w:t>
      </w:r>
      <w:r>
        <w:rPr>
          <w:i/>
          <w:sz w:val="24"/>
        </w:rPr>
        <w:t>18</w:t>
      </w:r>
      <w:r>
        <w:rPr>
          <w:i/>
          <w:spacing w:val="-3"/>
          <w:sz w:val="24"/>
        </w:rPr>
        <w:t> </w:t>
      </w:r>
      <w:r>
        <w:rPr>
          <w:i/>
          <w:sz w:val="24"/>
        </w:rPr>
        <w:t>MHVI</w:t>
      </w:r>
      <w:r>
        <w:rPr>
          <w:i/>
          <w:spacing w:val="-1"/>
          <w:sz w:val="24"/>
        </w:rPr>
        <w:t> </w:t>
      </w:r>
      <w:r>
        <w:rPr>
          <w:i/>
          <w:sz w:val="24"/>
        </w:rPr>
        <w:t>Communities</w:t>
      </w:r>
      <w:r>
        <w:rPr>
          <w:i/>
          <w:spacing w:val="-1"/>
          <w:sz w:val="24"/>
        </w:rPr>
        <w:t> </w:t>
      </w:r>
      <w:r>
        <w:rPr>
          <w:i/>
          <w:sz w:val="24"/>
        </w:rPr>
        <w:t>in</w:t>
      </w:r>
      <w:r>
        <w:rPr>
          <w:i/>
          <w:spacing w:val="-3"/>
          <w:sz w:val="24"/>
        </w:rPr>
        <w:t> </w:t>
      </w:r>
      <w:r>
        <w:rPr>
          <w:i/>
          <w:sz w:val="24"/>
        </w:rPr>
        <w:t>Massachusetts </w:t>
      </w:r>
      <w:r>
        <w:rPr>
          <w:i/>
          <w:spacing w:val="-2"/>
          <w:sz w:val="24"/>
        </w:rPr>
        <w:t>include:</w:t>
      </w:r>
    </w:p>
    <w:p>
      <w:pPr>
        <w:pStyle w:val="BodyText"/>
        <w:spacing w:before="9"/>
        <w:rPr>
          <w:i/>
          <w:sz w:val="15"/>
        </w:rPr>
      </w:pPr>
    </w:p>
    <w:p>
      <w:pPr>
        <w:spacing w:after="0"/>
        <w:rPr>
          <w:sz w:val="15"/>
        </w:rPr>
        <w:sectPr>
          <w:pgSz w:w="12240" w:h="15840"/>
          <w:pgMar w:header="0" w:footer="765" w:top="1700" w:bottom="960" w:left="1060" w:right="380"/>
        </w:sectPr>
      </w:pPr>
    </w:p>
    <w:p>
      <w:pPr>
        <w:pStyle w:val="ListParagraph"/>
        <w:numPr>
          <w:ilvl w:val="0"/>
          <w:numId w:val="7"/>
        </w:numPr>
        <w:tabs>
          <w:tab w:pos="1099" w:val="left" w:leader="none"/>
          <w:tab w:pos="1100" w:val="left" w:leader="none"/>
        </w:tabs>
        <w:spacing w:line="305" w:lineRule="exact" w:before="100" w:after="0"/>
        <w:ind w:left="1100" w:right="0" w:hanging="360"/>
        <w:jc w:val="left"/>
        <w:rPr>
          <w:sz w:val="24"/>
        </w:rPr>
      </w:pPr>
      <w:r>
        <w:rPr>
          <w:spacing w:val="-2"/>
          <w:sz w:val="24"/>
        </w:rPr>
        <w:t>Boston</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Brockton</w:t>
      </w:r>
    </w:p>
    <w:p>
      <w:pPr>
        <w:pStyle w:val="ListParagraph"/>
        <w:numPr>
          <w:ilvl w:val="0"/>
          <w:numId w:val="7"/>
        </w:numPr>
        <w:tabs>
          <w:tab w:pos="1099" w:val="left" w:leader="none"/>
          <w:tab w:pos="1100" w:val="left" w:leader="none"/>
        </w:tabs>
        <w:spacing w:line="305" w:lineRule="exact" w:before="1" w:after="0"/>
        <w:ind w:left="1100" w:right="0" w:hanging="360"/>
        <w:jc w:val="left"/>
        <w:rPr>
          <w:sz w:val="24"/>
        </w:rPr>
      </w:pPr>
      <w:r>
        <w:rPr>
          <w:spacing w:val="-2"/>
          <w:sz w:val="24"/>
        </w:rPr>
        <w:t>Chelsea</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Everett</w:t>
      </w:r>
    </w:p>
    <w:p>
      <w:pPr>
        <w:pStyle w:val="ListParagraph"/>
        <w:numPr>
          <w:ilvl w:val="0"/>
          <w:numId w:val="7"/>
        </w:numPr>
        <w:tabs>
          <w:tab w:pos="1099" w:val="left" w:leader="none"/>
          <w:tab w:pos="1100" w:val="left" w:leader="none"/>
        </w:tabs>
        <w:spacing w:line="305" w:lineRule="exact" w:before="2" w:after="0"/>
        <w:ind w:left="1100" w:right="0" w:hanging="360"/>
        <w:jc w:val="left"/>
        <w:rPr>
          <w:sz w:val="24"/>
        </w:rPr>
      </w:pPr>
      <w:r>
        <w:rPr>
          <w:sz w:val="24"/>
        </w:rPr>
        <w:t>Fall </w:t>
      </w:r>
      <w:r>
        <w:rPr>
          <w:spacing w:val="-2"/>
          <w:sz w:val="24"/>
        </w:rPr>
        <w:t>River</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Fitchburg</w:t>
      </w:r>
    </w:p>
    <w:p>
      <w:pPr>
        <w:pStyle w:val="ListParagraph"/>
        <w:numPr>
          <w:ilvl w:val="0"/>
          <w:numId w:val="7"/>
        </w:numPr>
        <w:tabs>
          <w:tab w:pos="1099" w:val="left" w:leader="none"/>
          <w:tab w:pos="1100" w:val="left" w:leader="none"/>
        </w:tabs>
        <w:spacing w:line="305" w:lineRule="exact" w:before="100" w:after="0"/>
        <w:ind w:left="1100" w:right="0" w:hanging="360"/>
        <w:jc w:val="left"/>
        <w:rPr>
          <w:sz w:val="24"/>
        </w:rPr>
      </w:pPr>
      <w:r>
        <w:rPr/>
        <w:br w:type="column"/>
      </w:r>
      <w:r>
        <w:rPr>
          <w:spacing w:val="-2"/>
          <w:sz w:val="24"/>
        </w:rPr>
        <w:t>Holyoke</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Lawrence</w:t>
      </w:r>
    </w:p>
    <w:p>
      <w:pPr>
        <w:pStyle w:val="ListParagraph"/>
        <w:numPr>
          <w:ilvl w:val="0"/>
          <w:numId w:val="7"/>
        </w:numPr>
        <w:tabs>
          <w:tab w:pos="1099" w:val="left" w:leader="none"/>
          <w:tab w:pos="1100" w:val="left" w:leader="none"/>
        </w:tabs>
        <w:spacing w:line="305" w:lineRule="exact" w:before="1" w:after="0"/>
        <w:ind w:left="1100" w:right="0" w:hanging="360"/>
        <w:jc w:val="left"/>
        <w:rPr>
          <w:sz w:val="24"/>
        </w:rPr>
      </w:pPr>
      <w:r>
        <w:rPr>
          <w:spacing w:val="-2"/>
          <w:sz w:val="24"/>
        </w:rPr>
        <w:t>Lowell</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4"/>
          <w:sz w:val="24"/>
        </w:rPr>
        <w:t>Lynn</w:t>
      </w:r>
    </w:p>
    <w:p>
      <w:pPr>
        <w:pStyle w:val="ListParagraph"/>
        <w:numPr>
          <w:ilvl w:val="0"/>
          <w:numId w:val="7"/>
        </w:numPr>
        <w:tabs>
          <w:tab w:pos="1099" w:val="left" w:leader="none"/>
          <w:tab w:pos="1100" w:val="left" w:leader="none"/>
        </w:tabs>
        <w:spacing w:line="305" w:lineRule="exact" w:before="2" w:after="0"/>
        <w:ind w:left="1100" w:right="0" w:hanging="360"/>
        <w:jc w:val="left"/>
        <w:rPr>
          <w:sz w:val="24"/>
        </w:rPr>
      </w:pPr>
      <w:r>
        <w:rPr>
          <w:sz w:val="24"/>
        </w:rPr>
        <w:t>New</w:t>
      </w:r>
      <w:r>
        <w:rPr>
          <w:spacing w:val="-2"/>
          <w:sz w:val="24"/>
        </w:rPr>
        <w:t> Bedford</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z w:val="24"/>
        </w:rPr>
        <w:t>North</w:t>
      </w:r>
      <w:r>
        <w:rPr>
          <w:spacing w:val="1"/>
          <w:sz w:val="24"/>
        </w:rPr>
        <w:t> </w:t>
      </w:r>
      <w:r>
        <w:rPr>
          <w:spacing w:val="-2"/>
          <w:sz w:val="24"/>
        </w:rPr>
        <w:t>Adams</w:t>
      </w:r>
    </w:p>
    <w:p>
      <w:pPr>
        <w:pStyle w:val="ListParagraph"/>
        <w:numPr>
          <w:ilvl w:val="0"/>
          <w:numId w:val="7"/>
        </w:numPr>
        <w:tabs>
          <w:tab w:pos="1099" w:val="left" w:leader="none"/>
          <w:tab w:pos="1100" w:val="left" w:leader="none"/>
        </w:tabs>
        <w:spacing w:line="305" w:lineRule="exact" w:before="100" w:after="0"/>
        <w:ind w:left="1100" w:right="0" w:hanging="360"/>
        <w:jc w:val="left"/>
        <w:rPr>
          <w:sz w:val="24"/>
        </w:rPr>
      </w:pPr>
      <w:r>
        <w:rPr/>
        <w:br w:type="column"/>
      </w:r>
      <w:r>
        <w:rPr>
          <w:spacing w:val="-2"/>
          <w:sz w:val="24"/>
        </w:rPr>
        <w:t>Pittsfield</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Revere</w:t>
      </w:r>
    </w:p>
    <w:p>
      <w:pPr>
        <w:pStyle w:val="ListParagraph"/>
        <w:numPr>
          <w:ilvl w:val="0"/>
          <w:numId w:val="7"/>
        </w:numPr>
        <w:tabs>
          <w:tab w:pos="1099" w:val="left" w:leader="none"/>
          <w:tab w:pos="1100" w:val="left" w:leader="none"/>
        </w:tabs>
        <w:spacing w:line="305" w:lineRule="exact" w:before="1" w:after="0"/>
        <w:ind w:left="1100" w:right="0" w:hanging="360"/>
        <w:jc w:val="left"/>
        <w:rPr>
          <w:sz w:val="24"/>
        </w:rPr>
      </w:pPr>
      <w:r>
        <w:rPr>
          <w:spacing w:val="-2"/>
          <w:sz w:val="24"/>
        </w:rPr>
        <w:t>Southbridge</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Springfield</w:t>
      </w:r>
    </w:p>
    <w:p>
      <w:pPr>
        <w:pStyle w:val="ListParagraph"/>
        <w:numPr>
          <w:ilvl w:val="0"/>
          <w:numId w:val="7"/>
        </w:numPr>
        <w:tabs>
          <w:tab w:pos="1099" w:val="left" w:leader="none"/>
          <w:tab w:pos="1100" w:val="left" w:leader="none"/>
        </w:tabs>
        <w:spacing w:line="305" w:lineRule="exact" w:before="2" w:after="0"/>
        <w:ind w:left="1100" w:right="0" w:hanging="360"/>
        <w:jc w:val="left"/>
        <w:rPr>
          <w:sz w:val="24"/>
        </w:rPr>
      </w:pPr>
      <w:r>
        <w:rPr>
          <w:spacing w:val="-2"/>
          <w:sz w:val="24"/>
        </w:rPr>
        <w:t>Webster</w:t>
      </w:r>
    </w:p>
    <w:p>
      <w:pPr>
        <w:pStyle w:val="ListParagraph"/>
        <w:numPr>
          <w:ilvl w:val="0"/>
          <w:numId w:val="7"/>
        </w:numPr>
        <w:tabs>
          <w:tab w:pos="1099" w:val="left" w:leader="none"/>
          <w:tab w:pos="1100" w:val="left" w:leader="none"/>
        </w:tabs>
        <w:spacing w:line="305" w:lineRule="exact" w:before="0" w:after="0"/>
        <w:ind w:left="1100" w:right="0" w:hanging="360"/>
        <w:jc w:val="left"/>
        <w:rPr>
          <w:sz w:val="24"/>
        </w:rPr>
      </w:pPr>
      <w:r>
        <w:rPr>
          <w:spacing w:val="-2"/>
          <w:sz w:val="24"/>
        </w:rPr>
        <w:t>Worcester</w:t>
      </w:r>
    </w:p>
    <w:sectPr>
      <w:type w:val="continuous"/>
      <w:pgSz w:w="12240" w:h="15840"/>
      <w:pgMar w:header="0" w:footer="765" w:top="1220" w:bottom="280" w:left="1060" w:right="380"/>
      <w:cols w:num="3" w:equalWidth="0">
        <w:col w:w="2065" w:space="1295"/>
        <w:col w:w="2435" w:space="925"/>
        <w:col w:w="40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Courier New">
    <w:altName w:val="Courier New"/>
    <w:charset w:val="0"/>
    <w:family w:val="modern"/>
    <w:pitch w:val="fixed"/>
  </w:font>
  <w:font w:name="Symbol">
    <w:altName w:val="Symbol"/>
    <w:charset w:val="2"/>
    <w:family w:val="roman"/>
    <w:pitch w:val="variable"/>
  </w:font>
  <w:font w:name="Calibri">
    <w:altName w:val="Calibri"/>
    <w:charset w:val="0"/>
    <w:family w:val="swiss"/>
    <w:pitch w:val="variable"/>
  </w:font>
  <w:font w:name="Arial">
    <w:altName w:val="Arial"/>
    <w:charset w:val="0"/>
    <w:family w:val="swiss"/>
    <w:pitch w:val="variable"/>
  </w:font>
  <w:font w:name="Arial Rounded MT Bold">
    <w:altName w:val="Arial Rounded MT Bol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80005pt;margin-top:742.76001pt;width:19.25pt;height:14pt;mso-position-horizontal-relative:page;mso-position-vertical-relative:page;z-index:-16600576" type="#_x0000_t202" id="docshape10"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80005pt;margin-top:742.76001pt;width:19.25pt;height:14pt;mso-position-horizontal-relative:page;mso-position-vertical-relative:page;z-index:-16600064" type="#_x0000_t202" id="docshape11"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00" w:hanging="360"/>
        <w:jc w:val="left"/>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6">
    <w:multiLevelType w:val="hybridMultilevel"/>
    <w:lvl w:ilvl="0">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292" w:hanging="360"/>
      </w:pPr>
      <w:rPr>
        <w:rFonts w:hint="default"/>
        <w:lang w:val="en-US" w:eastAsia="en-US" w:bidi="ar-SA"/>
      </w:rPr>
    </w:lvl>
    <w:lvl w:ilvl="3">
      <w:start w:val="0"/>
      <w:numFmt w:val="bullet"/>
      <w:lvlText w:val="•"/>
      <w:lvlJc w:val="left"/>
      <w:pPr>
        <w:ind w:left="1389" w:hanging="360"/>
      </w:pPr>
      <w:rPr>
        <w:rFonts w:hint="default"/>
        <w:lang w:val="en-US" w:eastAsia="en-US" w:bidi="ar-SA"/>
      </w:rPr>
    </w:lvl>
    <w:lvl w:ilvl="4">
      <w:start w:val="0"/>
      <w:numFmt w:val="bullet"/>
      <w:lvlText w:val="•"/>
      <w:lvlJc w:val="left"/>
      <w:pPr>
        <w:ind w:left="1485" w:hanging="360"/>
      </w:pPr>
      <w:rPr>
        <w:rFonts w:hint="default"/>
        <w:lang w:val="en-US" w:eastAsia="en-US" w:bidi="ar-SA"/>
      </w:rPr>
    </w:lvl>
    <w:lvl w:ilvl="5">
      <w:start w:val="0"/>
      <w:numFmt w:val="bullet"/>
      <w:lvlText w:val="•"/>
      <w:lvlJc w:val="left"/>
      <w:pPr>
        <w:ind w:left="1582" w:hanging="360"/>
      </w:pPr>
      <w:rPr>
        <w:rFonts w:hint="default"/>
        <w:lang w:val="en-US" w:eastAsia="en-US" w:bidi="ar-SA"/>
      </w:rPr>
    </w:lvl>
    <w:lvl w:ilvl="6">
      <w:start w:val="0"/>
      <w:numFmt w:val="bullet"/>
      <w:lvlText w:val="•"/>
      <w:lvlJc w:val="left"/>
      <w:pPr>
        <w:ind w:left="1678" w:hanging="360"/>
      </w:pPr>
      <w:rPr>
        <w:rFonts w:hint="default"/>
        <w:lang w:val="en-US" w:eastAsia="en-US" w:bidi="ar-SA"/>
      </w:rPr>
    </w:lvl>
    <w:lvl w:ilvl="7">
      <w:start w:val="0"/>
      <w:numFmt w:val="bullet"/>
      <w:lvlText w:val="•"/>
      <w:lvlJc w:val="left"/>
      <w:pPr>
        <w:ind w:left="1775" w:hanging="360"/>
      </w:pPr>
      <w:rPr>
        <w:rFonts w:hint="default"/>
        <w:lang w:val="en-US" w:eastAsia="en-US" w:bidi="ar-SA"/>
      </w:rPr>
    </w:lvl>
    <w:lvl w:ilvl="8">
      <w:start w:val="0"/>
      <w:numFmt w:val="bullet"/>
      <w:lvlText w:val="•"/>
      <w:lvlJc w:val="left"/>
      <w:pPr>
        <w:ind w:left="1871" w:hanging="360"/>
      </w:pPr>
      <w:rPr>
        <w:rFonts w:hint="default"/>
        <w:lang w:val="en-US" w:eastAsia="en-US" w:bidi="ar-SA"/>
      </w:rPr>
    </w:lvl>
  </w:abstractNum>
  <w:abstractNum w:abstractNumId="5">
    <w:multiLevelType w:val="hybridMultilevel"/>
    <w:lvl w:ilvl="0">
      <w:start w:val="1"/>
      <w:numFmt w:val="decimal"/>
      <w:lvlText w:val="%1."/>
      <w:lvlJc w:val="left"/>
      <w:pPr>
        <w:ind w:left="74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74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758" w:hanging="361"/>
      </w:pPr>
      <w:rPr>
        <w:rFonts w:hint="default"/>
        <w:lang w:val="en-US" w:eastAsia="en-US" w:bidi="ar-SA"/>
      </w:rPr>
    </w:lvl>
    <w:lvl w:ilvl="4">
      <w:start w:val="0"/>
      <w:numFmt w:val="bullet"/>
      <w:lvlText w:val="•"/>
      <w:lvlJc w:val="left"/>
      <w:pPr>
        <w:ind w:left="476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76" w:hanging="361"/>
      </w:pPr>
      <w:rPr>
        <w:rFonts w:hint="default"/>
        <w:lang w:val="en-US" w:eastAsia="en-US" w:bidi="ar-SA"/>
      </w:rPr>
    </w:lvl>
    <w:lvl w:ilvl="7">
      <w:start w:val="0"/>
      <w:numFmt w:val="bullet"/>
      <w:lvlText w:val="•"/>
      <w:lvlJc w:val="left"/>
      <w:pPr>
        <w:ind w:left="7782" w:hanging="361"/>
      </w:pPr>
      <w:rPr>
        <w:rFonts w:hint="default"/>
        <w:lang w:val="en-US" w:eastAsia="en-US" w:bidi="ar-SA"/>
      </w:rPr>
    </w:lvl>
    <w:lvl w:ilvl="8">
      <w:start w:val="0"/>
      <w:numFmt w:val="bullet"/>
      <w:lvlText w:val="•"/>
      <w:lvlJc w:val="left"/>
      <w:pPr>
        <w:ind w:left="8788" w:hanging="361"/>
      </w:pPr>
      <w:rPr>
        <w:rFonts w:hint="default"/>
        <w:lang w:val="en-US" w:eastAsia="en-US" w:bidi="ar-SA"/>
      </w:rPr>
    </w:lvl>
  </w:abstractNum>
  <w:abstractNum w:abstractNumId="4">
    <w:multiLevelType w:val="hybridMultilevel"/>
    <w:lvl w:ilvl="0">
      <w:start w:val="1"/>
      <w:numFmt w:val="decimal"/>
      <w:lvlText w:val="%1."/>
      <w:lvlJc w:val="left"/>
      <w:pPr>
        <w:ind w:left="1100" w:hanging="360"/>
        <w:jc w:val="left"/>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3">
    <w:multiLevelType w:val="hybridMultilevel"/>
    <w:lvl w:ilvl="0">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2">
    <w:multiLevelType w:val="hybridMultilevel"/>
    <w:lvl w:ilvl="0">
      <w:start w:val="0"/>
      <w:numFmt w:val="bullet"/>
      <w:lvlText w:val=""/>
      <w:lvlJc w:val="left"/>
      <w:pPr>
        <w:ind w:left="110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abstractNum w:abstractNumId="0">
    <w:multiLevelType w:val="hybridMultilevel"/>
    <w:lvl w:ilvl="0">
      <w:start w:val="0"/>
      <w:numFmt w:val="bullet"/>
      <w:lvlText w:val=""/>
      <w:lvlJc w:val="left"/>
      <w:pPr>
        <w:ind w:left="110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4010"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89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num w:numId="2">
    <w:abstractNumId w:val="1"/>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9"/>
      <w:ind w:left="38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80"/>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ind w:left="153" w:right="154"/>
      <w:jc w:val="center"/>
    </w:pPr>
    <w:rPr>
      <w:rFonts w:ascii="Times New Roman" w:hAnsi="Times New Roman" w:eastAsia="Times New Roman" w:cs="Times New Roman"/>
      <w:b/>
      <w:bCs/>
      <w:sz w:val="72"/>
      <w:szCs w:val="72"/>
      <w:lang w:val="en-US" w:eastAsia="en-US" w:bidi="ar-SA"/>
    </w:rPr>
  </w:style>
  <w:style w:styleId="ListParagraph" w:type="paragraph">
    <w:name w:val="List Paragraph"/>
    <w:basedOn w:val="Normal"/>
    <w:uiPriority w:val="1"/>
    <w:qFormat/>
    <w:pPr>
      <w:ind w:left="1100" w:hanging="360"/>
    </w:pPr>
    <w:rPr>
      <w:rFonts w:ascii="Calibri" w:hAnsi="Calibri" w:eastAsia="Calibri" w:cs="Calibri"/>
      <w:lang w:val="en-US" w:eastAsia="en-US" w:bidi="ar-SA"/>
    </w:rPr>
  </w:style>
  <w:style w:styleId="TableParagraph" w:type="paragraph">
    <w:name w:val="Table Paragraph"/>
    <w:basedOn w:val="Normal"/>
    <w:uiPriority w:val="1"/>
    <w:qFormat/>
    <w:pPr>
      <w:spacing w:before="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s://www.mass.gov/postpartum-depression" TargetMode="External"/><Relationship Id="rId15" Type="http://schemas.openxmlformats.org/officeDocument/2006/relationships/hyperlink" Target="https://www.chiamass.gov/ma-apcd/" TargetMode="External"/><Relationship Id="rId16" Type="http://schemas.openxmlformats.org/officeDocument/2006/relationships/hyperlink" Target="https://www.chiamass.gov/" TargetMode="External"/><Relationship Id="rId17" Type="http://schemas.openxmlformats.org/officeDocument/2006/relationships/hyperlink" Target="https://www.mass.gov/doc/phy-148-payment-for-postpartum-depression-screening-0/download" TargetMode="External"/><Relationship Id="rId18" Type="http://schemas.openxmlformats.org/officeDocument/2006/relationships/hyperlink" Target="https://www.fresno.ucsf.edu/pediatrics/downloads/edinburghscale.pdf" TargetMode="External"/><Relationship Id="rId19" Type="http://schemas.openxmlformats.org/officeDocument/2006/relationships/hyperlink" Target="https://www.apa.org/depression-guideline/patient-health-questionnaire.pdf" TargetMode="External"/><Relationship Id="rId20" Type="http://schemas.openxmlformats.org/officeDocument/2006/relationships/hyperlink" Target="https://www.mass.gov/early-intervention-parenting-partnerships-eipp" TargetMode="External"/><Relationship Id="rId21" Type="http://schemas.openxmlformats.org/officeDocument/2006/relationships/hyperlink" Target="https://www.mass.gov/wic-information-for-participants" TargetMode="External"/><Relationship Id="rId22" Type="http://schemas.openxmlformats.org/officeDocument/2006/relationships/hyperlink" Target="https://mchb.hrsa.gov/maternal-child-health-initiatives/home-visiting-overview" TargetMode="External"/><Relationship Id="rId23" Type="http://schemas.openxmlformats.org/officeDocument/2006/relationships/hyperlink" Target="https://parentsasteachers.org/" TargetMode="External"/><Relationship Id="rId24" Type="http://schemas.openxmlformats.org/officeDocument/2006/relationships/hyperlink" Target="https://www.healthyfamiliesamerica.org/" TargetMode="External"/><Relationship Id="rId25" Type="http://schemas.openxmlformats.org/officeDocument/2006/relationships/hyperlink" Target="https://www.mass.gov/welcome-family" TargetMode="External"/><Relationship Id="rId26" Type="http://schemas.openxmlformats.org/officeDocument/2006/relationships/hyperlink" Target="https://www.mass.gov/service-details/pregnancy-risk-assessment-monitoring-system-prams" TargetMode="External"/><Relationship Id="rId27" Type="http://schemas.openxmlformats.org/officeDocument/2006/relationships/hyperlink" Target="https://massclearinghouse.ehs.state.ma.us/PROG-PERIN/PP2801kit.html" TargetMode="External"/><Relationship Id="rId28" Type="http://schemas.openxmlformats.org/officeDocument/2006/relationships/hyperlink" Target="http://dx.doi.org/10.1007/s10995-016-2150-6" TargetMode="External"/><Relationship Id="rId29" Type="http://schemas.openxmlformats.org/officeDocument/2006/relationships/hyperlink" Target="http://www.ncbi.nlm.nih.gov/pubmed/27449655" TargetMode="External"/><Relationship Id="rId30" Type="http://schemas.openxmlformats.org/officeDocument/2006/relationships/hyperlink" Target="http://dx.doi.org/10.1192/bjp.158.1.46" TargetMode="External"/><Relationship Id="rId31" Type="http://schemas.openxmlformats.org/officeDocument/2006/relationships/hyperlink" Target="http://www.ncbi.nlm.nih.gov/pubmed/2015451" TargetMode="External"/><Relationship Id="rId32" Type="http://schemas.openxmlformats.org/officeDocument/2006/relationships/hyperlink" Target="http://dx.doi.org/10.1007/s10578-012-0291-4" TargetMode="External"/><Relationship Id="rId33" Type="http://schemas.openxmlformats.org/officeDocument/2006/relationships/hyperlink" Target="http://www.ncbi.nlm.nih.gov/pubmed/22407278"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EOHHS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dcterms:created xsi:type="dcterms:W3CDTF">2023-01-06T21:24:44Z</dcterms:created>
  <dcterms:modified xsi:type="dcterms:W3CDTF">2023-01-06T21:24:44Z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Acrobat PDFMaker 22 for Word</vt:lpwstr>
  </property>
  <property fmtid="{D5CDD505-2E9C-101B-9397-08002B2CF9AE}" pid="4" name="LastSaved">
    <vt:filetime>2023-01-06T00:00:00Z</vt:filetime>
  </property>
  <property fmtid="{D5CDD505-2E9C-101B-9397-08002B2CF9AE}" pid="5" name="Producer">
    <vt:lpwstr>Adobe PDF Library 22.3.58</vt:lpwstr>
  </property>
  <property fmtid="{D5CDD505-2E9C-101B-9397-08002B2CF9AE}" pid="6" name="SourceModified">
    <vt:lpwstr>D:20230105180709</vt:lpwstr>
  </property>
</Properties>
</file>