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5EC" w:rsidRDefault="006B03D7" w:rsidP="00EC6F1D">
      <w:pPr>
        <w:tabs>
          <w:tab w:val="clear" w:pos="1800"/>
          <w:tab w:val="left" w:pos="720"/>
        </w:tabs>
        <w:ind w:left="720" w:hanging="720"/>
      </w:pPr>
      <w:r w:rsidRPr="006B03D7">
        <w:tab/>
      </w:r>
    </w:p>
    <w:p w:rsidR="008B7359" w:rsidRDefault="008B7359" w:rsidP="00EC6F1D">
      <w:pPr>
        <w:tabs>
          <w:tab w:val="clear" w:pos="1800"/>
          <w:tab w:val="left" w:pos="720"/>
        </w:tabs>
        <w:ind w:left="720" w:hanging="720"/>
        <w:rPr>
          <w:b/>
        </w:rPr>
      </w:pPr>
    </w:p>
    <w:p w:rsidR="008B7359" w:rsidRDefault="008B7359" w:rsidP="00EC6F1D">
      <w:pPr>
        <w:tabs>
          <w:tab w:val="clear" w:pos="1800"/>
          <w:tab w:val="left" w:pos="720"/>
        </w:tabs>
        <w:ind w:left="720" w:hanging="720"/>
        <w:rPr>
          <w:b/>
        </w:rPr>
      </w:pPr>
    </w:p>
    <w:p w:rsidR="00CE120C" w:rsidRDefault="00CE120C" w:rsidP="00EC6F1D">
      <w:pPr>
        <w:tabs>
          <w:tab w:val="clear" w:pos="1800"/>
          <w:tab w:val="left" w:pos="720"/>
        </w:tabs>
        <w:ind w:left="720" w:hanging="720"/>
      </w:pPr>
      <w:r w:rsidRPr="006B03D7">
        <w:rPr>
          <w:b/>
        </w:rPr>
        <w:t>Background</w:t>
      </w:r>
    </w:p>
    <w:p w:rsidR="00CE120C" w:rsidRDefault="00CE120C" w:rsidP="00EC6F1D">
      <w:pPr>
        <w:tabs>
          <w:tab w:val="clear" w:pos="1800"/>
          <w:tab w:val="left" w:pos="720"/>
        </w:tabs>
        <w:ind w:left="720" w:hanging="720"/>
      </w:pPr>
    </w:p>
    <w:p w:rsidR="00F02F4A" w:rsidRPr="006B03D7" w:rsidRDefault="00FA0A71" w:rsidP="00881294">
      <w:pPr>
        <w:tabs>
          <w:tab w:val="clear" w:pos="1800"/>
          <w:tab w:val="left" w:pos="0"/>
        </w:tabs>
        <w:ind w:left="0" w:firstLine="0"/>
      </w:pPr>
      <w:r w:rsidRPr="006B03D7">
        <w:t>The 2014 amendments to the Massachusetts Contingency Plan, effective June 20, 2014, redefined</w:t>
      </w:r>
      <w:r w:rsidR="00881294">
        <w:t xml:space="preserve"> </w:t>
      </w:r>
      <w:r w:rsidRPr="006B03D7">
        <w:t>Background to include both Natural Background and Anthropogenic Background.  By definition,</w:t>
      </w:r>
      <w:r w:rsidR="00881294">
        <w:t xml:space="preserve"> </w:t>
      </w:r>
      <w:r w:rsidRPr="006B03D7">
        <w:t xml:space="preserve">Background is a condition of No Significant Risk and those Oil and Hazardous Materials (OHM) determined to be from Background can be eliminated </w:t>
      </w:r>
      <w:r w:rsidR="00881294">
        <w:t xml:space="preserve">as Contaminants of Concern </w:t>
      </w:r>
      <w:r w:rsidRPr="006B03D7">
        <w:t>from a quantitativ</w:t>
      </w:r>
      <w:r w:rsidR="00881294">
        <w:t xml:space="preserve">e </w:t>
      </w:r>
      <w:r w:rsidRPr="006B03D7">
        <w:t>Risk Characterization.</w:t>
      </w:r>
      <w:r w:rsidR="00881294">
        <w:t xml:space="preserve">  </w:t>
      </w:r>
      <w:r w:rsidRPr="006B03D7">
        <w:t xml:space="preserve">Therefore, it is important </w:t>
      </w:r>
      <w:r w:rsidR="00E90EBE" w:rsidRPr="006B03D7">
        <w:t>that sufficient documentation be provided to support the</w:t>
      </w:r>
      <w:r w:rsidRPr="006B03D7">
        <w:t xml:space="preserve"> determination of background.  The 2014 amendments also defined a new term, Historic Fill, which is a subset of </w:t>
      </w:r>
      <w:r w:rsidR="00CE120C">
        <w:t>A</w:t>
      </w:r>
      <w:r w:rsidRPr="006B03D7">
        <w:t>nthropogenic Background</w:t>
      </w:r>
      <w:r w:rsidR="00881294">
        <w:t xml:space="preserve"> (310 CMR 40.006(12))</w:t>
      </w:r>
      <w:r w:rsidRPr="006B03D7">
        <w:t>.</w:t>
      </w:r>
    </w:p>
    <w:p w:rsidR="009345B1" w:rsidRDefault="009345B1" w:rsidP="00EC6F1D">
      <w:pPr>
        <w:tabs>
          <w:tab w:val="clear" w:pos="1800"/>
          <w:tab w:val="left" w:pos="720"/>
        </w:tabs>
        <w:ind w:left="720" w:hanging="720"/>
        <w:rPr>
          <w:b/>
        </w:rPr>
      </w:pPr>
    </w:p>
    <w:p w:rsidR="00EC6F1D" w:rsidRDefault="00EC6F1D" w:rsidP="00EC6F1D">
      <w:pPr>
        <w:tabs>
          <w:tab w:val="clear" w:pos="1800"/>
          <w:tab w:val="left" w:pos="720"/>
        </w:tabs>
        <w:ind w:left="720" w:hanging="720"/>
        <w:rPr>
          <w:b/>
        </w:rPr>
      </w:pPr>
    </w:p>
    <w:p w:rsidR="006B03D7" w:rsidRDefault="00473D1C" w:rsidP="00EC6F1D">
      <w:pPr>
        <w:tabs>
          <w:tab w:val="clear" w:pos="1800"/>
          <w:tab w:val="left" w:pos="720"/>
        </w:tabs>
        <w:ind w:left="720" w:hanging="720"/>
        <w:rPr>
          <w:b/>
        </w:rPr>
      </w:pPr>
      <w:r w:rsidRPr="006B03D7">
        <w:rPr>
          <w:b/>
        </w:rPr>
        <w:t>Purpose</w:t>
      </w:r>
    </w:p>
    <w:p w:rsidR="006B03D7" w:rsidRPr="006B03D7" w:rsidRDefault="00D95300" w:rsidP="00EC6F1D">
      <w:pPr>
        <w:tabs>
          <w:tab w:val="clear" w:pos="1800"/>
          <w:tab w:val="left" w:pos="720"/>
        </w:tabs>
        <w:ind w:left="720" w:hanging="720"/>
        <w:rPr>
          <w:b/>
        </w:rPr>
      </w:pPr>
      <w:r w:rsidRPr="006B03D7">
        <w:rPr>
          <w:b/>
        </w:rPr>
        <w:tab/>
      </w:r>
    </w:p>
    <w:p w:rsidR="00534B51" w:rsidRDefault="00D95300" w:rsidP="00EC6F1D">
      <w:pPr>
        <w:tabs>
          <w:tab w:val="clear" w:pos="1800"/>
          <w:tab w:val="left" w:pos="0"/>
        </w:tabs>
        <w:ind w:left="0" w:firstLine="0"/>
      </w:pPr>
      <w:r w:rsidRPr="006B03D7">
        <w:t xml:space="preserve">This </w:t>
      </w:r>
      <w:r w:rsidR="00534B51">
        <w:t>Technical Update</w:t>
      </w:r>
      <w:r w:rsidRPr="006B03D7">
        <w:t xml:space="preserve"> provides guidance </w:t>
      </w:r>
      <w:r w:rsidR="00881294">
        <w:t xml:space="preserve">for both </w:t>
      </w:r>
      <w:r w:rsidR="00534B51">
        <w:t>LSPs preparing reports and</w:t>
      </w:r>
      <w:r w:rsidR="00881294">
        <w:t xml:space="preserve"> </w:t>
      </w:r>
      <w:r w:rsidR="00725C20" w:rsidRPr="006B03D7">
        <w:t>MassDEP staff review</w:t>
      </w:r>
      <w:r w:rsidR="00534B51">
        <w:t>ing reports</w:t>
      </w:r>
      <w:r w:rsidRPr="006B03D7">
        <w:t xml:space="preserve"> </w:t>
      </w:r>
      <w:r w:rsidR="00881294">
        <w:t>on</w:t>
      </w:r>
      <w:r w:rsidRPr="006B03D7">
        <w:t xml:space="preserve"> the appropriate level of effort and lines of evidence to support the conclusion that O</w:t>
      </w:r>
      <w:r w:rsidR="00881294">
        <w:t>HM present</w:t>
      </w:r>
      <w:r w:rsidRPr="006B03D7">
        <w:t xml:space="preserve"> at a disposal site are the result of </w:t>
      </w:r>
      <w:r w:rsidR="00534B51">
        <w:t xml:space="preserve">Anthropogenic Background (in general) and </w:t>
      </w:r>
      <w:r w:rsidRPr="006B03D7">
        <w:t>Historic Fill</w:t>
      </w:r>
      <w:r w:rsidR="00534B51">
        <w:t xml:space="preserve"> (specifically)</w:t>
      </w:r>
      <w:r w:rsidRPr="006B03D7">
        <w:t xml:space="preserve">.   Sites </w:t>
      </w:r>
      <w:r w:rsidR="00725C20" w:rsidRPr="006B03D7">
        <w:t xml:space="preserve">where the OHM is limited to </w:t>
      </w:r>
      <w:r w:rsidRPr="006B03D7">
        <w:t>Anthropogenic Background may be closed with a Permanent Solution with Conditions and no Activity and Use Limitation is required.</w:t>
      </w:r>
      <w:r w:rsidR="00725C20" w:rsidRPr="006B03D7">
        <w:t xml:space="preserve">  </w:t>
      </w:r>
    </w:p>
    <w:p w:rsidR="00725C20" w:rsidRPr="006B03D7" w:rsidRDefault="00725C20" w:rsidP="00EC6F1D">
      <w:pPr>
        <w:tabs>
          <w:tab w:val="clear" w:pos="1800"/>
          <w:tab w:val="left" w:pos="720"/>
        </w:tabs>
        <w:ind w:left="720" w:hanging="720"/>
      </w:pPr>
    </w:p>
    <w:p w:rsidR="00725C20" w:rsidRDefault="00725C20" w:rsidP="00EC6F1D">
      <w:pPr>
        <w:tabs>
          <w:tab w:val="clear" w:pos="1800"/>
          <w:tab w:val="left" w:pos="0"/>
        </w:tabs>
        <w:ind w:left="0" w:firstLine="0"/>
      </w:pPr>
      <w:r w:rsidRPr="006B03D7">
        <w:t xml:space="preserve">This document provides guidance on the relevant definitions, level of effort, guidelines for evaluation (including numeric references), and appropriate documentation in support of </w:t>
      </w:r>
      <w:r w:rsidR="00534B51">
        <w:t xml:space="preserve">Anthropogenic Background </w:t>
      </w:r>
      <w:r w:rsidRPr="006B03D7">
        <w:t xml:space="preserve">determinations. </w:t>
      </w:r>
    </w:p>
    <w:p w:rsidR="00534B51" w:rsidRPr="006B03D7" w:rsidRDefault="00534B51" w:rsidP="00EC6F1D">
      <w:pPr>
        <w:tabs>
          <w:tab w:val="clear" w:pos="1800"/>
          <w:tab w:val="left" w:pos="0"/>
        </w:tabs>
        <w:ind w:left="0" w:firstLine="0"/>
      </w:pPr>
    </w:p>
    <w:p w:rsidR="00851303" w:rsidRPr="006B03D7" w:rsidRDefault="00881294" w:rsidP="00EC6F1D">
      <w:pPr>
        <w:tabs>
          <w:tab w:val="clear" w:pos="1800"/>
          <w:tab w:val="left" w:pos="0"/>
        </w:tabs>
        <w:ind w:left="0" w:firstLine="0"/>
      </w:pPr>
      <w:r>
        <w:t xml:space="preserve">For the purposes of this guidance, it is </w:t>
      </w:r>
      <w:r w:rsidRPr="006B03D7">
        <w:t xml:space="preserve">presumed that notification has been provided for the disposal site and </w:t>
      </w:r>
      <w:r>
        <w:t>appro</w:t>
      </w:r>
      <w:r w:rsidR="0060150C">
        <w:t xml:space="preserve">priate </w:t>
      </w:r>
      <w:r w:rsidRPr="006B03D7">
        <w:t xml:space="preserve">response actions are </w:t>
      </w:r>
      <w:r w:rsidR="0060150C">
        <w:t>being conducted under the MCP.</w:t>
      </w:r>
      <w:r w:rsidRPr="006B03D7">
        <w:t xml:space="preserve"> </w:t>
      </w:r>
      <w:r w:rsidR="0060150C">
        <w:t xml:space="preserve"> </w:t>
      </w:r>
      <w:r w:rsidR="00412689" w:rsidRPr="006B03D7">
        <w:t xml:space="preserve">Since certain OHM found in </w:t>
      </w:r>
      <w:r w:rsidR="00534B51">
        <w:t>Anthropogenic Background</w:t>
      </w:r>
      <w:r w:rsidR="00412689" w:rsidRPr="006B03D7">
        <w:t xml:space="preserve"> </w:t>
      </w:r>
      <w:r w:rsidR="0060150C">
        <w:t>may also be</w:t>
      </w:r>
      <w:r w:rsidR="00412689" w:rsidRPr="006B03D7">
        <w:t xml:space="preserve"> chemicals with reporting exemptions</w:t>
      </w:r>
      <w:r w:rsidR="0060150C">
        <w:t xml:space="preserve"> and/or chemicals associated with another regulated release</w:t>
      </w:r>
      <w:r w:rsidR="00412689" w:rsidRPr="006B03D7">
        <w:t xml:space="preserve">, it is important to conduct sufficient due diligence to differentiate the source of the </w:t>
      </w:r>
      <w:r w:rsidR="00534B51">
        <w:t>c</w:t>
      </w:r>
      <w:r w:rsidR="00412689" w:rsidRPr="006B03D7">
        <w:t xml:space="preserve">ontamination using all lines of evidence.  A </w:t>
      </w:r>
      <w:r w:rsidR="0060150C">
        <w:t xml:space="preserve">well-developed </w:t>
      </w:r>
      <w:r w:rsidR="00412689" w:rsidRPr="006B03D7">
        <w:t>Conceptual Site Model should be the basis for this evaluation.</w:t>
      </w:r>
    </w:p>
    <w:p w:rsidR="00E90EBE" w:rsidRPr="006B03D7" w:rsidRDefault="00E90EBE" w:rsidP="00EC6F1D">
      <w:pPr>
        <w:tabs>
          <w:tab w:val="clear" w:pos="1800"/>
          <w:tab w:val="left" w:pos="720"/>
        </w:tabs>
        <w:ind w:left="720" w:hanging="720"/>
      </w:pPr>
    </w:p>
    <w:p w:rsidR="00EC6F1D" w:rsidRDefault="00EC6F1D" w:rsidP="00EC6F1D">
      <w:pPr>
        <w:tabs>
          <w:tab w:val="clear" w:pos="1800"/>
          <w:tab w:val="left" w:pos="720"/>
        </w:tabs>
        <w:ind w:left="720" w:hanging="720"/>
        <w:rPr>
          <w:b/>
        </w:rPr>
      </w:pPr>
    </w:p>
    <w:p w:rsidR="006B03D7" w:rsidRPr="006B03D7" w:rsidRDefault="00D95300" w:rsidP="00EC6F1D">
      <w:pPr>
        <w:tabs>
          <w:tab w:val="clear" w:pos="1800"/>
          <w:tab w:val="left" w:pos="720"/>
        </w:tabs>
        <w:ind w:left="720" w:hanging="720"/>
        <w:rPr>
          <w:b/>
        </w:rPr>
      </w:pPr>
      <w:r w:rsidRPr="006B03D7">
        <w:rPr>
          <w:b/>
        </w:rPr>
        <w:t>Definitions</w:t>
      </w:r>
      <w:r w:rsidRPr="006B03D7">
        <w:rPr>
          <w:b/>
        </w:rPr>
        <w:tab/>
      </w:r>
    </w:p>
    <w:p w:rsidR="006B03D7" w:rsidRPr="006B03D7" w:rsidRDefault="006B03D7" w:rsidP="00EC6F1D">
      <w:pPr>
        <w:tabs>
          <w:tab w:val="clear" w:pos="1800"/>
          <w:tab w:val="left" w:pos="720"/>
        </w:tabs>
        <w:ind w:left="720" w:hanging="720"/>
        <w:rPr>
          <w:b/>
        </w:rPr>
      </w:pPr>
    </w:p>
    <w:p w:rsidR="00E4116A" w:rsidRPr="006B03D7" w:rsidRDefault="00D95300" w:rsidP="00EC6F1D">
      <w:pPr>
        <w:tabs>
          <w:tab w:val="clear" w:pos="1800"/>
          <w:tab w:val="left" w:pos="720"/>
        </w:tabs>
        <w:ind w:left="720" w:hanging="720"/>
      </w:pPr>
      <w:r w:rsidRPr="006B03D7">
        <w:t xml:space="preserve">The MCP defines </w:t>
      </w:r>
      <w:r w:rsidR="00725C20" w:rsidRPr="006B03D7">
        <w:t xml:space="preserve">Anthropogenic Background, Fill and Historic Fill </w:t>
      </w:r>
      <w:r w:rsidRPr="006B03D7">
        <w:t>at 310 CMR 40.0006(12)</w:t>
      </w:r>
      <w:r w:rsidR="00725C20" w:rsidRPr="006B03D7">
        <w:t xml:space="preserve"> as follows</w:t>
      </w:r>
      <w:r w:rsidRPr="006B03D7">
        <w:t>:</w:t>
      </w:r>
    </w:p>
    <w:p w:rsidR="003D63A0" w:rsidRPr="006B03D7" w:rsidRDefault="00E4116A" w:rsidP="00EC6F1D">
      <w:pPr>
        <w:tabs>
          <w:tab w:val="clear" w:pos="1800"/>
          <w:tab w:val="left" w:pos="720"/>
        </w:tabs>
        <w:ind w:left="720" w:hanging="720"/>
      </w:pPr>
      <w:r w:rsidRPr="006B03D7">
        <w:tab/>
      </w:r>
    </w:p>
    <w:p w:rsidR="00601F13" w:rsidRPr="006B03D7" w:rsidRDefault="00D95300" w:rsidP="00EC6F1D">
      <w:pPr>
        <w:tabs>
          <w:tab w:val="clear" w:pos="1800"/>
          <w:tab w:val="left" w:pos="720"/>
        </w:tabs>
        <w:ind w:left="720" w:hanging="720"/>
      </w:pPr>
      <w:r w:rsidRPr="006B03D7">
        <w:tab/>
      </w:r>
      <w:r w:rsidRPr="006B03D7">
        <w:rPr>
          <w:u w:val="single"/>
        </w:rPr>
        <w:t xml:space="preserve"> Anthropogenic Background</w:t>
      </w:r>
      <w:r w:rsidRPr="006B03D7">
        <w:t xml:space="preserve"> means those levels of oil and hazardous material that would exist in the absence of the disposal site of concern and which are:</w:t>
      </w:r>
    </w:p>
    <w:p w:rsidR="00601F13" w:rsidRPr="006B03D7" w:rsidRDefault="00D95300" w:rsidP="00EC6F1D">
      <w:pPr>
        <w:tabs>
          <w:tab w:val="clear" w:pos="1800"/>
          <w:tab w:val="left" w:pos="720"/>
        </w:tabs>
        <w:ind w:left="720" w:hanging="720"/>
      </w:pPr>
      <w:r w:rsidRPr="006B03D7">
        <w:tab/>
        <w:t xml:space="preserve">(a)   </w:t>
      </w:r>
      <w:proofErr w:type="gramStart"/>
      <w:r w:rsidRPr="006B03D7">
        <w:t>attributable</w:t>
      </w:r>
      <w:proofErr w:type="gramEnd"/>
      <w:r w:rsidRPr="006B03D7">
        <w:t xml:space="preserve"> to atmospheric deposition of industrial process or engine emissions and are ubiquitous and consistently present in the environment at and in the vicinity of the disposal site of concern;</w:t>
      </w:r>
    </w:p>
    <w:p w:rsidR="00601F13" w:rsidRPr="006B03D7" w:rsidRDefault="00D95300" w:rsidP="00EC6F1D">
      <w:pPr>
        <w:tabs>
          <w:tab w:val="clear" w:pos="1800"/>
          <w:tab w:val="left" w:pos="720"/>
        </w:tabs>
        <w:ind w:left="720" w:hanging="720"/>
      </w:pPr>
      <w:r w:rsidRPr="006B03D7">
        <w:tab/>
        <w:t>(b)   attributable to Historic Fill;</w:t>
      </w:r>
    </w:p>
    <w:p w:rsidR="00601F13" w:rsidRPr="006B03D7" w:rsidRDefault="00D95300" w:rsidP="00EC6F1D">
      <w:pPr>
        <w:tabs>
          <w:tab w:val="clear" w:pos="1800"/>
          <w:tab w:val="left" w:pos="720"/>
        </w:tabs>
        <w:ind w:left="720" w:hanging="720"/>
      </w:pPr>
      <w:r w:rsidRPr="006B03D7">
        <w:tab/>
        <w:t>(c)   associated with sources specifically exempt from the definitions of disposal site or release as those terms are defined in MGL c. 21E and 310 CMR 40.0006;</w:t>
      </w:r>
    </w:p>
    <w:p w:rsidR="00601F13" w:rsidRPr="006B03D7" w:rsidRDefault="00D95300" w:rsidP="00EC6F1D">
      <w:pPr>
        <w:tabs>
          <w:tab w:val="clear" w:pos="1800"/>
          <w:tab w:val="left" w:pos="720"/>
        </w:tabs>
        <w:ind w:left="720" w:hanging="720"/>
      </w:pPr>
      <w:r w:rsidRPr="006B03D7">
        <w:tab/>
        <w:t>(d)   releases to groundwater from a public water supply system; or</w:t>
      </w:r>
    </w:p>
    <w:p w:rsidR="00601F13" w:rsidRPr="006B03D7" w:rsidRDefault="00D95300" w:rsidP="00EC6F1D">
      <w:pPr>
        <w:tabs>
          <w:tab w:val="clear" w:pos="1800"/>
          <w:tab w:val="left" w:pos="720"/>
        </w:tabs>
        <w:ind w:left="720" w:hanging="720"/>
      </w:pPr>
      <w:r w:rsidRPr="006B03D7">
        <w:tab/>
        <w:t>(e)   petroleum residues that are incidental to the normal operation of motor vehicles.</w:t>
      </w:r>
    </w:p>
    <w:p w:rsidR="00601F13" w:rsidRPr="006B03D7" w:rsidRDefault="00601F13" w:rsidP="00EC6F1D">
      <w:pPr>
        <w:tabs>
          <w:tab w:val="clear" w:pos="1800"/>
          <w:tab w:val="left" w:pos="720"/>
        </w:tabs>
        <w:ind w:left="720" w:hanging="720"/>
      </w:pPr>
    </w:p>
    <w:p w:rsidR="00601F13" w:rsidRPr="006B03D7" w:rsidRDefault="00D95300" w:rsidP="00EC6F1D">
      <w:pPr>
        <w:tabs>
          <w:tab w:val="clear" w:pos="1800"/>
          <w:tab w:val="left" w:pos="720"/>
        </w:tabs>
        <w:ind w:left="720" w:hanging="720"/>
      </w:pPr>
      <w:r w:rsidRPr="006B03D7">
        <w:tab/>
      </w:r>
      <w:r w:rsidRPr="006B03D7">
        <w:rPr>
          <w:u w:val="single"/>
        </w:rPr>
        <w:t>Fill Material</w:t>
      </w:r>
      <w:r w:rsidRPr="006B03D7">
        <w:t xml:space="preserve"> means soil, sediments, rock and/or stone obtained off-site that is used to fill holes or depressions, create mounds, or otherwise artificially change the grade or elevation of real property.</w:t>
      </w:r>
    </w:p>
    <w:p w:rsidR="00601F13" w:rsidRPr="006B03D7" w:rsidRDefault="00601F13" w:rsidP="00EC6F1D">
      <w:pPr>
        <w:tabs>
          <w:tab w:val="clear" w:pos="1800"/>
          <w:tab w:val="left" w:pos="720"/>
        </w:tabs>
        <w:ind w:left="720" w:hanging="720"/>
      </w:pPr>
    </w:p>
    <w:p w:rsidR="00601F13" w:rsidRPr="006B03D7" w:rsidRDefault="00D95300" w:rsidP="00EC6F1D">
      <w:pPr>
        <w:tabs>
          <w:tab w:val="clear" w:pos="1800"/>
          <w:tab w:val="left" w:pos="720"/>
        </w:tabs>
        <w:ind w:left="720" w:hanging="720"/>
      </w:pPr>
      <w:r w:rsidRPr="006B03D7">
        <w:tab/>
      </w:r>
      <w:r w:rsidRPr="006B03D7">
        <w:rPr>
          <w:u w:val="single"/>
        </w:rPr>
        <w:t>Historic Fill</w:t>
      </w:r>
      <w:r w:rsidRPr="006B03D7">
        <w:t xml:space="preserve"> means Fill Material that based on the weight of evidence and consistent with the Conceptual Site Model:</w:t>
      </w:r>
    </w:p>
    <w:p w:rsidR="00601F13" w:rsidRPr="006B03D7" w:rsidRDefault="00D95300" w:rsidP="00EC6F1D">
      <w:pPr>
        <w:tabs>
          <w:tab w:val="clear" w:pos="1800"/>
          <w:tab w:val="left" w:pos="720"/>
        </w:tabs>
        <w:ind w:left="720" w:hanging="720"/>
      </w:pPr>
      <w:r w:rsidRPr="006B03D7">
        <w:tab/>
        <w:t>(a)   was emplaced before January 1, 1983 (the effective date of MGL c21E;</w:t>
      </w:r>
    </w:p>
    <w:p w:rsidR="00601F13" w:rsidRPr="006B03D7" w:rsidRDefault="00D95300" w:rsidP="00EC6F1D">
      <w:pPr>
        <w:tabs>
          <w:tab w:val="clear" w:pos="1800"/>
          <w:tab w:val="left" w:pos="720"/>
        </w:tabs>
        <w:ind w:left="720" w:hanging="720"/>
      </w:pPr>
      <w:r w:rsidRPr="006B03D7">
        <w:tab/>
        <w:t xml:space="preserve">(b)   may contain, but is not primarily composed of, construction and demolition debris, reworked soils, dredge spoils, </w:t>
      </w:r>
      <w:r w:rsidR="00C44667" w:rsidRPr="006B03D7">
        <w:t xml:space="preserve">coal, </w:t>
      </w:r>
      <w:r w:rsidRPr="006B03D7">
        <w:t>coal ash, wood ash or other solid waste material;</w:t>
      </w:r>
    </w:p>
    <w:p w:rsidR="00601F13" w:rsidRPr="006B03D7" w:rsidRDefault="00D95300" w:rsidP="00EC6F1D">
      <w:pPr>
        <w:tabs>
          <w:tab w:val="clear" w:pos="1800"/>
          <w:tab w:val="left" w:pos="720"/>
        </w:tabs>
        <w:ind w:left="720" w:hanging="720"/>
      </w:pPr>
      <w:r w:rsidRPr="006B03D7">
        <w:lastRenderedPageBreak/>
        <w:tab/>
        <w:t>(c)   was contaminated with metals, hydrocarbons, and/or polycyclic aromatic hydrocarbons prior to emplacement, at concentrations consistent with the pervasive use and release of such materials prior to 1983;</w:t>
      </w:r>
    </w:p>
    <w:p w:rsidR="00601F13" w:rsidRPr="006B03D7" w:rsidRDefault="00D95300" w:rsidP="00EC6F1D">
      <w:pPr>
        <w:tabs>
          <w:tab w:val="clear" w:pos="1800"/>
          <w:tab w:val="left" w:pos="720"/>
        </w:tabs>
        <w:ind w:left="720" w:hanging="720"/>
      </w:pPr>
      <w:r w:rsidRPr="006B03D7">
        <w:tab/>
        <w:t xml:space="preserve">(d)   does not contain oil or hazardous materials originating from operations or activities at the location of emplacement; </w:t>
      </w:r>
    </w:p>
    <w:p w:rsidR="00601F13" w:rsidRPr="006B03D7" w:rsidRDefault="00D95300" w:rsidP="00EC6F1D">
      <w:pPr>
        <w:tabs>
          <w:tab w:val="clear" w:pos="1800"/>
          <w:tab w:val="left" w:pos="720"/>
        </w:tabs>
        <w:ind w:left="720" w:hanging="720"/>
      </w:pPr>
      <w:r w:rsidRPr="006B03D7">
        <w:tab/>
        <w:t>(e)   is not and does not contain a generated hazardous waste, other than Oil or Waste Oil;</w:t>
      </w:r>
    </w:p>
    <w:p w:rsidR="00601F13" w:rsidRPr="006B03D7" w:rsidRDefault="00D95300" w:rsidP="00EC6F1D">
      <w:pPr>
        <w:tabs>
          <w:tab w:val="clear" w:pos="1800"/>
          <w:tab w:val="left" w:pos="720"/>
        </w:tabs>
        <w:ind w:left="720" w:hanging="720"/>
      </w:pPr>
      <w:r w:rsidRPr="006B03D7">
        <w:tab/>
        <w:t>(f)   does not contain chemical production waste, manufacturing waste, or waste from processing of metal or mineral ores, residues, slag or tailings; and</w:t>
      </w:r>
    </w:p>
    <w:p w:rsidR="001D7713" w:rsidRPr="006B03D7" w:rsidRDefault="00D95300" w:rsidP="00EC6F1D">
      <w:pPr>
        <w:tabs>
          <w:tab w:val="clear" w:pos="1800"/>
          <w:tab w:val="left" w:pos="720"/>
        </w:tabs>
        <w:ind w:left="720" w:hanging="720"/>
      </w:pPr>
      <w:r w:rsidRPr="006B03D7">
        <w:tab/>
        <w:t xml:space="preserve">(g)   does not contain waste material disposed in a municipal solid waste dump, burning dump, landfill, waste lagoon or other waste disposal location.  </w:t>
      </w:r>
    </w:p>
    <w:p w:rsidR="00601F13" w:rsidRPr="006B03D7" w:rsidRDefault="00D95300" w:rsidP="00EC6F1D">
      <w:pPr>
        <w:tabs>
          <w:tab w:val="clear" w:pos="1800"/>
          <w:tab w:val="left" w:pos="720"/>
        </w:tabs>
        <w:ind w:left="720" w:hanging="720"/>
      </w:pPr>
      <w:r w:rsidRPr="006B03D7">
        <w:t xml:space="preserve">  </w:t>
      </w:r>
    </w:p>
    <w:p w:rsidR="00263861" w:rsidRPr="006B03D7" w:rsidRDefault="00263861" w:rsidP="00EC6F1D">
      <w:pPr>
        <w:tabs>
          <w:tab w:val="clear" w:pos="1800"/>
          <w:tab w:val="left" w:pos="720"/>
        </w:tabs>
        <w:ind w:left="720" w:hanging="720"/>
      </w:pPr>
    </w:p>
    <w:p w:rsidR="006B03D7" w:rsidRDefault="00050C42" w:rsidP="00EC6F1D">
      <w:pPr>
        <w:tabs>
          <w:tab w:val="clear" w:pos="1800"/>
          <w:tab w:val="left" w:pos="720"/>
        </w:tabs>
        <w:ind w:left="720" w:hanging="720"/>
        <w:rPr>
          <w:b/>
        </w:rPr>
      </w:pPr>
      <w:r w:rsidRPr="006B03D7">
        <w:rPr>
          <w:b/>
        </w:rPr>
        <w:t>Historic Fill</w:t>
      </w:r>
      <w:r w:rsidR="00E83A96">
        <w:rPr>
          <w:b/>
        </w:rPr>
        <w:t xml:space="preserve"> </w:t>
      </w:r>
      <w:r w:rsidR="00D95300" w:rsidRPr="006B03D7">
        <w:rPr>
          <w:b/>
        </w:rPr>
        <w:t>Considerations</w:t>
      </w:r>
    </w:p>
    <w:p w:rsidR="00E83A96" w:rsidRDefault="00E83A96" w:rsidP="00EC6F1D">
      <w:pPr>
        <w:tabs>
          <w:tab w:val="clear" w:pos="1800"/>
          <w:tab w:val="left" w:pos="720"/>
        </w:tabs>
        <w:ind w:left="720" w:hanging="720"/>
        <w:rPr>
          <w:b/>
        </w:rPr>
      </w:pPr>
    </w:p>
    <w:p w:rsidR="00BA7416" w:rsidRPr="006B03D7" w:rsidRDefault="00D95300" w:rsidP="00EC6F1D">
      <w:pPr>
        <w:tabs>
          <w:tab w:val="clear" w:pos="1800"/>
          <w:tab w:val="left" w:pos="0"/>
        </w:tabs>
        <w:ind w:left="0" w:firstLine="0"/>
      </w:pPr>
      <w:r w:rsidRPr="006B03D7">
        <w:t xml:space="preserve">It is important to note that Historic Fill is </w:t>
      </w:r>
      <w:r w:rsidR="00050C42" w:rsidRPr="006B03D7">
        <w:t>F</w:t>
      </w:r>
      <w:r w:rsidRPr="006B03D7">
        <w:t>ill</w:t>
      </w:r>
      <w:r w:rsidR="00DF08EC">
        <w:t xml:space="preserve"> Material which</w:t>
      </w:r>
      <w:r w:rsidRPr="006B03D7">
        <w:t xml:space="preserve"> </w:t>
      </w:r>
      <w:r w:rsidR="00262BE1" w:rsidRPr="006B03D7">
        <w:t>was brought into the</w:t>
      </w:r>
      <w:r w:rsidR="00C82671">
        <w:t xml:space="preserve"> disposal</w:t>
      </w:r>
      <w:r w:rsidR="00262BE1" w:rsidRPr="006B03D7">
        <w:t xml:space="preserve"> site from another location and </w:t>
      </w:r>
      <w:r w:rsidRPr="006B03D7">
        <w:t xml:space="preserve">is </w:t>
      </w:r>
      <w:r w:rsidR="00AD2C09" w:rsidRPr="006B03D7">
        <w:rPr>
          <w:i/>
        </w:rPr>
        <w:t>not primarily composed of</w:t>
      </w:r>
      <w:r w:rsidR="00CD0DB1" w:rsidRPr="006B03D7">
        <w:t xml:space="preserve"> debris.  </w:t>
      </w:r>
      <w:r w:rsidR="003F30E8" w:rsidRPr="006B03D7">
        <w:t>Fill</w:t>
      </w:r>
      <w:r w:rsidR="0093458D" w:rsidRPr="006B03D7">
        <w:t xml:space="preserve"> </w:t>
      </w:r>
      <w:r w:rsidR="00DF08EC">
        <w:t xml:space="preserve">Material </w:t>
      </w:r>
      <w:r w:rsidR="0093458D" w:rsidRPr="006B03D7">
        <w:t>is</w:t>
      </w:r>
      <w:r w:rsidR="003F30E8" w:rsidRPr="006B03D7">
        <w:t xml:space="preserve"> defined as “soil, sediments, rock and/or stone obtained off-site that is used to fill holes or depressions…”</w:t>
      </w:r>
      <w:r w:rsidRPr="006B03D7">
        <w:t xml:space="preserve">. </w:t>
      </w:r>
      <w:r w:rsidR="00DF08EC">
        <w:t xml:space="preserve">but may contain other material.  Off-site means </w:t>
      </w:r>
      <w:r w:rsidR="00C82671">
        <w:t xml:space="preserve">originating </w:t>
      </w:r>
      <w:r w:rsidR="00DF08EC">
        <w:t xml:space="preserve">outside of the disposal site </w:t>
      </w:r>
      <w:r w:rsidR="001D2E7A">
        <w:t xml:space="preserve">of concern, </w:t>
      </w:r>
      <w:r w:rsidR="00DF08EC">
        <w:t>but could be mixed with materials</w:t>
      </w:r>
      <w:r w:rsidR="001D2E7A">
        <w:t xml:space="preserve"> deposited</w:t>
      </w:r>
      <w:r w:rsidR="00DF08EC">
        <w:t xml:space="preserve"> within the property.</w:t>
      </w:r>
      <w:r w:rsidR="00D557F5">
        <w:t xml:space="preserve"> It is expected that Fill Material would include a certain amount of other materials including;</w:t>
      </w:r>
      <w:r w:rsidR="00EB3ACA">
        <w:t xml:space="preserve"> </w:t>
      </w:r>
      <w:r w:rsidR="003F30E8" w:rsidRPr="006B03D7">
        <w:t xml:space="preserve">construction and demolition debris, reworked soils, dredge spoils, coal </w:t>
      </w:r>
      <w:r w:rsidRPr="006B03D7">
        <w:t>ash</w:t>
      </w:r>
      <w:r w:rsidR="003F30E8" w:rsidRPr="006B03D7">
        <w:t>, wood ash or other solid waste material</w:t>
      </w:r>
      <w:r w:rsidR="00EB3ACA">
        <w:t>.  However</w:t>
      </w:r>
      <w:r w:rsidR="001D2E7A">
        <w:t>,</w:t>
      </w:r>
      <w:r w:rsidR="00EB3ACA">
        <w:t xml:space="preserve"> where the</w:t>
      </w:r>
      <w:r w:rsidR="001D2E7A">
        <w:t xml:space="preserve">se other materials are the source of </w:t>
      </w:r>
      <w:r w:rsidR="00EB3ACA">
        <w:t>OHM and they comprise the majority of the filled area</w:t>
      </w:r>
      <w:r w:rsidR="00C82671">
        <w:t>, that condition</w:t>
      </w:r>
      <w:r w:rsidR="00EB3ACA">
        <w:t xml:space="preserve"> would</w:t>
      </w:r>
      <w:r w:rsidRPr="006B03D7">
        <w:t xml:space="preserve"> not </w:t>
      </w:r>
      <w:r w:rsidR="00EB3ACA">
        <w:t xml:space="preserve">be considered </w:t>
      </w:r>
      <w:r w:rsidRPr="006B03D7">
        <w:t>Historic Fill.  Th</w:t>
      </w:r>
      <w:r w:rsidR="0093458D" w:rsidRPr="006B03D7">
        <w:t xml:space="preserve">is </w:t>
      </w:r>
      <w:r w:rsidR="003F30E8" w:rsidRPr="006B03D7">
        <w:t xml:space="preserve">restriction </w:t>
      </w:r>
      <w:r w:rsidRPr="006B03D7">
        <w:t xml:space="preserve">would </w:t>
      </w:r>
      <w:r w:rsidR="00262BE1" w:rsidRPr="006B03D7">
        <w:t>also</w:t>
      </w:r>
      <w:r w:rsidR="00B91949" w:rsidRPr="006B03D7">
        <w:t xml:space="preserve"> </w:t>
      </w:r>
      <w:r w:rsidRPr="006B03D7">
        <w:t xml:space="preserve">apply to sub-areas and/or significant horizons or layers within </w:t>
      </w:r>
      <w:r w:rsidR="00D557F5">
        <w:t>a larger</w:t>
      </w:r>
      <w:r w:rsidRPr="006B03D7">
        <w:t xml:space="preserve"> filled area</w:t>
      </w:r>
      <w:r w:rsidR="00EB3ACA">
        <w:t>.</w:t>
      </w:r>
    </w:p>
    <w:p w:rsidR="0093458D" w:rsidRPr="006B03D7" w:rsidRDefault="0093458D" w:rsidP="00EC6F1D">
      <w:pPr>
        <w:tabs>
          <w:tab w:val="clear" w:pos="1800"/>
          <w:tab w:val="left" w:pos="0"/>
        </w:tabs>
        <w:ind w:left="0" w:firstLine="0"/>
      </w:pPr>
    </w:p>
    <w:p w:rsidR="00B91949" w:rsidRPr="006B03D7" w:rsidRDefault="00D95300" w:rsidP="00EC6F1D">
      <w:pPr>
        <w:tabs>
          <w:tab w:val="clear" w:pos="1800"/>
          <w:tab w:val="left" w:pos="0"/>
        </w:tabs>
        <w:ind w:left="0" w:firstLine="0"/>
      </w:pPr>
      <w:r w:rsidRPr="006B03D7">
        <w:t>Another criterion is that the OHM must be consistent with the pervasive use and release of such materials.  Pervasive use means the use was common or typical across the Commonwealth such as motor vehicle use, atmospheric fallout from power plants, ash and debris from wood or coal burning stoves/furnaces and not specific to a</w:t>
      </w:r>
      <w:r w:rsidR="008201AB">
        <w:t>n</w:t>
      </w:r>
      <w:r w:rsidRPr="006B03D7">
        <w:t xml:space="preserve"> </w:t>
      </w:r>
      <w:r w:rsidR="008201AB">
        <w:t xml:space="preserve">individual parcel </w:t>
      </w:r>
      <w:r w:rsidRPr="006B03D7">
        <w:t xml:space="preserve">or locale.  </w:t>
      </w:r>
      <w:r w:rsidR="008201AB">
        <w:t>The historical source(s) of the OHM should be identified to the extent known, such as highways, bridges, incinerators, power plants, etc.</w:t>
      </w:r>
    </w:p>
    <w:p w:rsidR="006851D9" w:rsidRPr="006B03D7" w:rsidRDefault="006851D9" w:rsidP="00EC6F1D">
      <w:pPr>
        <w:tabs>
          <w:tab w:val="clear" w:pos="1800"/>
          <w:tab w:val="left" w:pos="0"/>
        </w:tabs>
        <w:ind w:left="0" w:firstLine="0"/>
      </w:pPr>
    </w:p>
    <w:p w:rsidR="00AF5FA0" w:rsidRPr="006B03D7" w:rsidRDefault="00D95300" w:rsidP="00EC6F1D">
      <w:pPr>
        <w:tabs>
          <w:tab w:val="clear" w:pos="1800"/>
          <w:tab w:val="left" w:pos="0"/>
        </w:tabs>
        <w:ind w:left="0" w:firstLine="0"/>
      </w:pPr>
      <w:r w:rsidRPr="006B03D7">
        <w:t xml:space="preserve">Since the chemical components included in the definition of Historic Fill are broad in scope, </w:t>
      </w:r>
      <w:r w:rsidR="003F30E8" w:rsidRPr="006B03D7">
        <w:t>MassDEP</w:t>
      </w:r>
      <w:r w:rsidRPr="006B03D7">
        <w:t xml:space="preserve"> staff sh</w:t>
      </w:r>
      <w:r w:rsidR="003F30E8" w:rsidRPr="006B03D7">
        <w:t>ould consider</w:t>
      </w:r>
      <w:r w:rsidRPr="006B03D7">
        <w:t xml:space="preserve"> the following general guidelines when reviewing </w:t>
      </w:r>
      <w:r w:rsidR="003F30E8" w:rsidRPr="006B03D7">
        <w:t>determinations</w:t>
      </w:r>
      <w:r w:rsidRPr="006B03D7">
        <w:t xml:space="preserve"> of this nature.  These are ONLY Rules of Thumb, and may not be true in ALL cases.  While staff sh</w:t>
      </w:r>
      <w:r w:rsidR="003F30E8" w:rsidRPr="006B03D7">
        <w:t>ould</w:t>
      </w:r>
      <w:r w:rsidRPr="006B03D7">
        <w:t xml:space="preserve"> not categorically dismiss assertions that soils containing these contaminants in excess of these guidelines meet the definition of Historic Fill, LSPs must present a robust argument in this regard, including, as appropriate, literature citations</w:t>
      </w:r>
      <w:r w:rsidR="0093458D" w:rsidRPr="006B03D7">
        <w:t>, multiple lines of evidence</w:t>
      </w:r>
      <w:r w:rsidRPr="006B03D7">
        <w:t xml:space="preserve"> and/or forensic analytical data.</w:t>
      </w:r>
    </w:p>
    <w:p w:rsidR="00AF5FA0" w:rsidRPr="006B03D7" w:rsidRDefault="00AF5FA0" w:rsidP="00EC6F1D">
      <w:pPr>
        <w:tabs>
          <w:tab w:val="clear" w:pos="1800"/>
          <w:tab w:val="left" w:pos="0"/>
        </w:tabs>
        <w:ind w:left="0" w:firstLine="0"/>
      </w:pPr>
    </w:p>
    <w:p w:rsidR="0093458D" w:rsidRPr="006B03D7" w:rsidRDefault="00C82671" w:rsidP="00EC6F1D">
      <w:pPr>
        <w:tabs>
          <w:tab w:val="clear" w:pos="1800"/>
          <w:tab w:val="left" w:pos="0"/>
        </w:tabs>
        <w:ind w:left="0" w:firstLine="0"/>
      </w:pPr>
      <w:r>
        <w:t xml:space="preserve">The </w:t>
      </w:r>
      <w:r w:rsidR="00D95300" w:rsidRPr="006B03D7">
        <w:t>Historic Fill designation applies to a solid soil matrix</w:t>
      </w:r>
      <w:r>
        <w:t>.  It is not expected that most Historic Fill locations would have OHM in groundwater</w:t>
      </w:r>
      <w:r w:rsidR="00D95300" w:rsidRPr="006B03D7">
        <w:t xml:space="preserve"> </w:t>
      </w:r>
      <w:r>
        <w:t>at levels of concern which is discussed later in this document.</w:t>
      </w:r>
      <w:r w:rsidR="00C44667" w:rsidRPr="006B03D7">
        <w:t xml:space="preserve"> </w:t>
      </w:r>
    </w:p>
    <w:p w:rsidR="0093458D" w:rsidRPr="006B03D7" w:rsidRDefault="0093458D" w:rsidP="00EC6F1D">
      <w:pPr>
        <w:tabs>
          <w:tab w:val="clear" w:pos="1800"/>
          <w:tab w:val="left" w:pos="720"/>
        </w:tabs>
        <w:ind w:left="720" w:hanging="720"/>
      </w:pPr>
      <w:r w:rsidRPr="006B03D7">
        <w:tab/>
      </w:r>
    </w:p>
    <w:p w:rsidR="00EC6F1D" w:rsidRDefault="0093458D" w:rsidP="00EC6F1D">
      <w:pPr>
        <w:tabs>
          <w:tab w:val="clear" w:pos="1800"/>
          <w:tab w:val="left" w:pos="720"/>
        </w:tabs>
        <w:ind w:left="720" w:hanging="720"/>
      </w:pPr>
      <w:r w:rsidRPr="006B03D7">
        <w:tab/>
      </w:r>
    </w:p>
    <w:p w:rsidR="00C44667" w:rsidRPr="006B03D7" w:rsidRDefault="00C44667" w:rsidP="00EC6F1D">
      <w:pPr>
        <w:tabs>
          <w:tab w:val="clear" w:pos="1800"/>
          <w:tab w:val="left" w:pos="720"/>
        </w:tabs>
        <w:ind w:left="720" w:hanging="720"/>
        <w:rPr>
          <w:b/>
        </w:rPr>
      </w:pPr>
      <w:r w:rsidRPr="006B03D7">
        <w:rPr>
          <w:b/>
        </w:rPr>
        <w:t>Compound Specific Discussion</w:t>
      </w:r>
    </w:p>
    <w:p w:rsidR="00C44667" w:rsidRPr="006B03D7" w:rsidRDefault="00C44667" w:rsidP="00EC6F1D">
      <w:pPr>
        <w:tabs>
          <w:tab w:val="clear" w:pos="1800"/>
          <w:tab w:val="left" w:pos="720"/>
        </w:tabs>
        <w:ind w:left="720" w:hanging="720"/>
        <w:rPr>
          <w:u w:val="single"/>
        </w:rPr>
      </w:pPr>
    </w:p>
    <w:p w:rsidR="00C82671" w:rsidRPr="00C82671" w:rsidRDefault="00C82671" w:rsidP="00EC6F1D">
      <w:pPr>
        <w:tabs>
          <w:tab w:val="clear" w:pos="1800"/>
          <w:tab w:val="left" w:pos="0"/>
        </w:tabs>
        <w:ind w:left="0" w:firstLine="0"/>
      </w:pPr>
      <w:r>
        <w:t>By definition, Historic Fill may contain metals, hydrocarbons and polycycl</w:t>
      </w:r>
      <w:r w:rsidR="00EC6F1D">
        <w:t xml:space="preserve">ic aromatic hydrocarbons </w:t>
      </w:r>
      <w:r w:rsidR="006A5BF2">
        <w:t>(PAHs), b</w:t>
      </w:r>
      <w:r>
        <w:t>ut may</w:t>
      </w:r>
      <w:r w:rsidR="006A5BF2">
        <w:t xml:space="preserve"> also include </w:t>
      </w:r>
      <w:r w:rsidR="006A5BF2" w:rsidRPr="0060150C">
        <w:rPr>
          <w:i/>
        </w:rPr>
        <w:t>de</w:t>
      </w:r>
      <w:r w:rsidR="0060150C" w:rsidRPr="0060150C">
        <w:rPr>
          <w:i/>
        </w:rPr>
        <w:t xml:space="preserve"> </w:t>
      </w:r>
      <w:r w:rsidR="006A5BF2" w:rsidRPr="0060150C">
        <w:rPr>
          <w:i/>
        </w:rPr>
        <w:t>minim</w:t>
      </w:r>
      <w:r w:rsidR="0060150C" w:rsidRPr="0060150C">
        <w:rPr>
          <w:i/>
        </w:rPr>
        <w:t>i</w:t>
      </w:r>
      <w:r w:rsidR="006A5BF2" w:rsidRPr="0060150C">
        <w:rPr>
          <w:i/>
        </w:rPr>
        <w:t>s</w:t>
      </w:r>
      <w:r w:rsidR="006A5BF2">
        <w:t xml:space="preserve"> levels of other contaminants</w:t>
      </w:r>
      <w:r>
        <w:t>.</w:t>
      </w:r>
    </w:p>
    <w:p w:rsidR="00C82671" w:rsidRDefault="00C82671" w:rsidP="00EC6F1D">
      <w:pPr>
        <w:tabs>
          <w:tab w:val="clear" w:pos="1800"/>
          <w:tab w:val="left" w:pos="720"/>
        </w:tabs>
        <w:ind w:left="720" w:hanging="720"/>
        <w:rPr>
          <w:u w:val="single"/>
        </w:rPr>
      </w:pPr>
    </w:p>
    <w:p w:rsidR="00B5684A" w:rsidRPr="003F1DE1" w:rsidRDefault="00B5684A" w:rsidP="00EC6F1D">
      <w:pPr>
        <w:tabs>
          <w:tab w:val="clear" w:pos="1800"/>
          <w:tab w:val="left" w:pos="720"/>
        </w:tabs>
        <w:ind w:left="1440" w:hanging="720"/>
        <w:rPr>
          <w:b/>
          <w:u w:val="single"/>
        </w:rPr>
      </w:pPr>
      <w:r w:rsidRPr="003F1DE1">
        <w:rPr>
          <w:b/>
          <w:u w:val="single"/>
        </w:rPr>
        <w:t>Metals</w:t>
      </w:r>
    </w:p>
    <w:p w:rsidR="00B5684A" w:rsidRDefault="00B5684A" w:rsidP="00EC6F1D">
      <w:pPr>
        <w:tabs>
          <w:tab w:val="clear" w:pos="1800"/>
          <w:tab w:val="left" w:pos="720"/>
        </w:tabs>
        <w:ind w:left="1440" w:hanging="720"/>
        <w:rPr>
          <w:u w:val="single"/>
        </w:rPr>
      </w:pPr>
    </w:p>
    <w:p w:rsidR="00BE3C19" w:rsidRDefault="00B5684A" w:rsidP="00EC6F1D">
      <w:pPr>
        <w:tabs>
          <w:tab w:val="clear" w:pos="1800"/>
          <w:tab w:val="left" w:pos="720"/>
        </w:tabs>
        <w:ind w:left="720" w:firstLine="0"/>
      </w:pPr>
      <w:r>
        <w:t>Arsenic, beryllium, cadmium, copper, lead,</w:t>
      </w:r>
      <w:r w:rsidR="00BE3C19">
        <w:t xml:space="preserve"> nickel, zinc may be present as Natural Background, Anthropogenic Background and/or </w:t>
      </w:r>
      <w:r>
        <w:t xml:space="preserve">Historic Fill. </w:t>
      </w:r>
      <w:r w:rsidR="00CE120C">
        <w:t xml:space="preserve"> </w:t>
      </w:r>
    </w:p>
    <w:p w:rsidR="00BE3C19" w:rsidRDefault="00BE3C19" w:rsidP="00EC6F1D">
      <w:pPr>
        <w:tabs>
          <w:tab w:val="clear" w:pos="1800"/>
          <w:tab w:val="left" w:pos="720"/>
        </w:tabs>
        <w:ind w:left="720" w:firstLine="0"/>
      </w:pPr>
    </w:p>
    <w:p w:rsidR="00EC6F1D" w:rsidRDefault="000F38AC" w:rsidP="00BE3C19">
      <w:pPr>
        <w:tabs>
          <w:tab w:val="clear" w:pos="1800"/>
          <w:tab w:val="left" w:pos="720"/>
        </w:tabs>
        <w:ind w:left="720" w:firstLine="0"/>
        <w:rPr>
          <w:u w:val="single"/>
        </w:rPr>
      </w:pPr>
      <w:r>
        <w:t>Elevated a</w:t>
      </w:r>
      <w:r w:rsidR="00CE120C">
        <w:t xml:space="preserve">rsenic concentrations may be </w:t>
      </w:r>
      <w:r>
        <w:t xml:space="preserve">due to </w:t>
      </w:r>
      <w:r w:rsidR="00CE120C">
        <w:t xml:space="preserve">naturally </w:t>
      </w:r>
      <w:r>
        <w:t>occurring in the soil (central Massachuse</w:t>
      </w:r>
      <w:r w:rsidR="008201AB">
        <w:t>tts), from sediment fill (B</w:t>
      </w:r>
      <w:r>
        <w:t>oston blue clay), due to the application of pesticides or from coal ash.</w:t>
      </w:r>
      <w:r w:rsidR="00B5684A">
        <w:t xml:space="preserve"> </w:t>
      </w:r>
      <w:r>
        <w:t>Beryllium, cadmium, copper, nickel and zinc are not likely to trigger risk thresholds at levels typically found in fill.</w:t>
      </w:r>
      <w:r w:rsidR="00410190">
        <w:t xml:space="preserve">  While the Boston Blue clay can contain arsenic up to 75 mg/kg, (Swanson &amp; Lamie, 2007), higher concentrations outside of central</w:t>
      </w:r>
      <w:r w:rsidR="0047213F">
        <w:t xml:space="preserve"> and northeastern M</w:t>
      </w:r>
      <w:r w:rsidR="00410190">
        <w:t>assachusetts “arsenic belt”</w:t>
      </w:r>
      <w:r w:rsidR="0047213F">
        <w:t>,</w:t>
      </w:r>
      <w:r w:rsidR="00410190">
        <w:t xml:space="preserve"> </w:t>
      </w:r>
      <w:r w:rsidR="00642DBB">
        <w:t xml:space="preserve">could </w:t>
      </w:r>
      <w:r w:rsidR="00410190">
        <w:t>indicate pesticide and/or coal ash</w:t>
      </w:r>
      <w:r w:rsidR="0047213F">
        <w:t xml:space="preserve"> as the source</w:t>
      </w:r>
      <w:r w:rsidR="00410190">
        <w:t>.</w:t>
      </w:r>
    </w:p>
    <w:p w:rsidR="008B7359" w:rsidRDefault="008B7359" w:rsidP="00EC6F1D">
      <w:pPr>
        <w:tabs>
          <w:tab w:val="clear" w:pos="1800"/>
          <w:tab w:val="left" w:pos="720"/>
        </w:tabs>
        <w:ind w:left="1440" w:hanging="720"/>
        <w:rPr>
          <w:b/>
          <w:u w:val="single"/>
        </w:rPr>
      </w:pPr>
    </w:p>
    <w:p w:rsidR="008B7359" w:rsidRDefault="008B7359" w:rsidP="00EC6F1D">
      <w:pPr>
        <w:tabs>
          <w:tab w:val="clear" w:pos="1800"/>
          <w:tab w:val="left" w:pos="720"/>
        </w:tabs>
        <w:ind w:left="1440" w:hanging="720"/>
        <w:rPr>
          <w:b/>
          <w:u w:val="single"/>
        </w:rPr>
      </w:pPr>
    </w:p>
    <w:p w:rsidR="006A5BF2" w:rsidRPr="003F1DE1" w:rsidRDefault="006A5BF2" w:rsidP="00EC6F1D">
      <w:pPr>
        <w:tabs>
          <w:tab w:val="clear" w:pos="1800"/>
          <w:tab w:val="left" w:pos="720"/>
        </w:tabs>
        <w:ind w:left="1440" w:hanging="720"/>
        <w:rPr>
          <w:b/>
          <w:u w:val="single"/>
        </w:rPr>
      </w:pPr>
      <w:r w:rsidRPr="003F1DE1">
        <w:rPr>
          <w:b/>
          <w:u w:val="single"/>
        </w:rPr>
        <w:t>Lead</w:t>
      </w:r>
    </w:p>
    <w:p w:rsidR="006A5BF2" w:rsidRPr="006B03D7" w:rsidRDefault="006A5BF2" w:rsidP="00EC6F1D">
      <w:pPr>
        <w:tabs>
          <w:tab w:val="clear" w:pos="1800"/>
          <w:tab w:val="left" w:pos="720"/>
        </w:tabs>
        <w:ind w:left="720" w:hanging="720"/>
      </w:pPr>
    </w:p>
    <w:p w:rsidR="006A5BF2" w:rsidRPr="006B03D7" w:rsidRDefault="006A5BF2" w:rsidP="00EC6F1D">
      <w:pPr>
        <w:tabs>
          <w:tab w:val="clear" w:pos="1800"/>
          <w:tab w:val="left" w:pos="720"/>
        </w:tabs>
        <w:ind w:left="720" w:firstLine="0"/>
      </w:pPr>
      <w:r w:rsidRPr="006B03D7">
        <w:t xml:space="preserve">Lead warrants special consideration as it is a metal commonly </w:t>
      </w:r>
      <w:r w:rsidR="00D24E84" w:rsidRPr="006B03D7">
        <w:t>found in</w:t>
      </w:r>
      <w:r w:rsidRPr="006B03D7">
        <w:t xml:space="preserve"> Massachusetts </w:t>
      </w:r>
      <w:r w:rsidR="00642DBB">
        <w:t xml:space="preserve">soil </w:t>
      </w:r>
      <w:r w:rsidRPr="006B03D7">
        <w:t xml:space="preserve">and attributable to a number of different sources.  Lead was used as a pigment in paints through the 1970s, where it was widely applied to buildings, bridges and water towers.  Paint removal from these structures was often conducted without the controls in place today.  Lead was also a widely-used additive in gasoline until the mid 1980s, and used in many manufacturing applications including plumbing and building materials, inks, solder, and in pesticides/herbicides.  </w:t>
      </w:r>
    </w:p>
    <w:p w:rsidR="006A5BF2" w:rsidRPr="006B03D7" w:rsidRDefault="006A5BF2" w:rsidP="00EC6F1D">
      <w:pPr>
        <w:tabs>
          <w:tab w:val="clear" w:pos="1800"/>
          <w:tab w:val="left" w:pos="720"/>
        </w:tabs>
        <w:ind w:left="720" w:hanging="720"/>
      </w:pPr>
    </w:p>
    <w:p w:rsidR="006A5BF2" w:rsidRPr="006B03D7" w:rsidRDefault="006A5BF2" w:rsidP="00EC6F1D">
      <w:pPr>
        <w:tabs>
          <w:tab w:val="clear" w:pos="1800"/>
          <w:tab w:val="left" w:pos="0"/>
        </w:tabs>
        <w:ind w:left="720" w:firstLine="0"/>
      </w:pPr>
      <w:r w:rsidRPr="006B03D7">
        <w:t>Lead present in pre-1983 Fill may have originated in whole or in part from lead-based paints that were either used on-site or at the site from where the soil originated.  Lead found at residential properties particularly near the drip line of the house is likely from lead based paint.  Commercial/industrial properties that have the potential for other on-property sources require a higher level of effort to support the conclusion that the lead is from lead-based paint.  Paint chips may or may not be visible in soil but forensics could be used to confirm the presence of lead-based paint.  A typical signature of lead-based paint in soil:</w:t>
      </w:r>
    </w:p>
    <w:p w:rsidR="006A5BF2" w:rsidRPr="006B03D7" w:rsidRDefault="006A5BF2" w:rsidP="00EC6F1D">
      <w:pPr>
        <w:tabs>
          <w:tab w:val="clear" w:pos="1800"/>
          <w:tab w:val="left" w:pos="720"/>
        </w:tabs>
        <w:ind w:left="720" w:hanging="720"/>
      </w:pPr>
    </w:p>
    <w:p w:rsidR="006A5BF2" w:rsidRDefault="006A5BF2" w:rsidP="00EC6F1D">
      <w:pPr>
        <w:pStyle w:val="ListParagraph"/>
        <w:numPr>
          <w:ilvl w:val="0"/>
          <w:numId w:val="7"/>
        </w:numPr>
        <w:ind w:left="1800"/>
      </w:pPr>
      <w:r w:rsidRPr="006B03D7">
        <w:t>highly variable lead concentrations throughout the site;</w:t>
      </w:r>
    </w:p>
    <w:p w:rsidR="008201AB" w:rsidRPr="006B03D7" w:rsidRDefault="008201AB" w:rsidP="00EC6F1D">
      <w:pPr>
        <w:pStyle w:val="ListParagraph"/>
        <w:numPr>
          <w:ilvl w:val="0"/>
          <w:numId w:val="7"/>
        </w:numPr>
        <w:ind w:left="1800"/>
      </w:pPr>
      <w:r>
        <w:t>higher concentrations near buildings and in shallow soils (presuming undisturbed)</w:t>
      </w:r>
    </w:p>
    <w:p w:rsidR="006A5BF2" w:rsidRPr="006B03D7" w:rsidRDefault="006A5BF2" w:rsidP="00EC6F1D">
      <w:pPr>
        <w:pStyle w:val="ListParagraph"/>
        <w:numPr>
          <w:ilvl w:val="0"/>
          <w:numId w:val="7"/>
        </w:numPr>
        <w:ind w:left="1800"/>
      </w:pPr>
      <w:r w:rsidRPr="006B03D7">
        <w:t>an average lead concentration of 500 to 1000 mg/kg; and</w:t>
      </w:r>
    </w:p>
    <w:p w:rsidR="006A5BF2" w:rsidRPr="006B03D7" w:rsidRDefault="006A5BF2" w:rsidP="00EC6F1D">
      <w:pPr>
        <w:pStyle w:val="ListParagraph"/>
        <w:numPr>
          <w:ilvl w:val="0"/>
          <w:numId w:val="7"/>
        </w:numPr>
        <w:ind w:left="1800"/>
      </w:pPr>
      <w:r w:rsidRPr="006B03D7">
        <w:t>a few lead values as high as 5000 to 10,000 mg/kg</w:t>
      </w:r>
    </w:p>
    <w:p w:rsidR="006A5BF2" w:rsidRPr="006B03D7" w:rsidRDefault="006A5BF2" w:rsidP="00EC6F1D">
      <w:pPr>
        <w:tabs>
          <w:tab w:val="clear" w:pos="1800"/>
          <w:tab w:val="left" w:pos="720"/>
        </w:tabs>
        <w:ind w:left="720" w:hanging="720"/>
      </w:pPr>
    </w:p>
    <w:p w:rsidR="006A5BF2" w:rsidRPr="006B03D7" w:rsidRDefault="008201AB" w:rsidP="003F1DE1">
      <w:pPr>
        <w:tabs>
          <w:tab w:val="clear" w:pos="1800"/>
          <w:tab w:val="left" w:pos="0"/>
        </w:tabs>
        <w:ind w:left="720" w:firstLine="0"/>
      </w:pPr>
      <w:r>
        <w:t xml:space="preserve">Reworking soils at a property could homogenize the distribution of OHM away from a typical pattern. </w:t>
      </w:r>
      <w:r w:rsidR="006A5BF2" w:rsidRPr="006B03D7">
        <w:t xml:space="preserve">A thorough site history indicating no other source(s) of lead at the property </w:t>
      </w:r>
      <w:r>
        <w:t xml:space="preserve">is a critical component to determine </w:t>
      </w:r>
      <w:r w:rsidR="006A5BF2" w:rsidRPr="006B03D7">
        <w:t>Historic Fill.  Higher concentrations, or areas of consistently high concentrations, require a case-specific evaluation and justification, including microscopy (to identify the presence of paint chips) and/or other forensic testing.  Of particular concern are situations where the elevated lead may have originated from smelting/foundry operations,</w:t>
      </w:r>
      <w:r w:rsidR="00576929">
        <w:t xml:space="preserve"> pesticide manufacturing,</w:t>
      </w:r>
      <w:r w:rsidR="006A5BF2" w:rsidRPr="006B03D7">
        <w:t xml:space="preserve"> the manufacturing or disposal of lead-acid batteries, or concentrated pockets of lead-paint wastes (all of which would NOT be considered lead consistent with Historic Fill)</w:t>
      </w:r>
      <w:r w:rsidR="006A5BF2">
        <w:t>.</w:t>
      </w:r>
    </w:p>
    <w:p w:rsidR="00C82671" w:rsidRDefault="00C82671" w:rsidP="00EC6F1D">
      <w:pPr>
        <w:tabs>
          <w:tab w:val="clear" w:pos="1800"/>
          <w:tab w:val="left" w:pos="720"/>
        </w:tabs>
        <w:ind w:left="720" w:hanging="720"/>
        <w:rPr>
          <w:u w:val="single"/>
        </w:rPr>
      </w:pPr>
    </w:p>
    <w:p w:rsidR="006A5BF2" w:rsidRPr="003F1DE1" w:rsidRDefault="009345B1" w:rsidP="003F1DE1">
      <w:pPr>
        <w:tabs>
          <w:tab w:val="clear" w:pos="1800"/>
          <w:tab w:val="left" w:pos="0"/>
        </w:tabs>
        <w:ind w:left="720" w:firstLine="0"/>
        <w:rPr>
          <w:b/>
          <w:u w:val="single"/>
        </w:rPr>
      </w:pPr>
      <w:r w:rsidRPr="003F1DE1">
        <w:rPr>
          <w:b/>
          <w:u w:val="single"/>
        </w:rPr>
        <w:t xml:space="preserve">Hydrocarbons - </w:t>
      </w:r>
      <w:r w:rsidR="00D95300" w:rsidRPr="003F1DE1">
        <w:rPr>
          <w:b/>
          <w:u w:val="single"/>
        </w:rPr>
        <w:t>VPH</w:t>
      </w:r>
      <w:r w:rsidR="006A5BF2" w:rsidRPr="003F1DE1">
        <w:rPr>
          <w:b/>
          <w:u w:val="single"/>
        </w:rPr>
        <w:t>,</w:t>
      </w:r>
      <w:r w:rsidR="00D95300" w:rsidRPr="003F1DE1">
        <w:rPr>
          <w:b/>
          <w:u w:val="single"/>
        </w:rPr>
        <w:t xml:space="preserve"> </w:t>
      </w:r>
      <w:r w:rsidR="006A5BF2" w:rsidRPr="003F1DE1">
        <w:rPr>
          <w:b/>
          <w:u w:val="single"/>
        </w:rPr>
        <w:t>EPH and TPH</w:t>
      </w:r>
    </w:p>
    <w:p w:rsidR="009F6CC7" w:rsidRPr="006B03D7" w:rsidRDefault="009F6CC7" w:rsidP="003F1DE1">
      <w:pPr>
        <w:tabs>
          <w:tab w:val="clear" w:pos="1800"/>
          <w:tab w:val="left" w:pos="0"/>
        </w:tabs>
        <w:ind w:left="720" w:firstLine="0"/>
      </w:pPr>
    </w:p>
    <w:p w:rsidR="00AF5FA0" w:rsidRPr="006B03D7" w:rsidRDefault="00D95300" w:rsidP="003F1DE1">
      <w:pPr>
        <w:tabs>
          <w:tab w:val="clear" w:pos="1800"/>
          <w:tab w:val="left" w:pos="0"/>
        </w:tabs>
        <w:ind w:left="720" w:firstLine="0"/>
      </w:pPr>
      <w:r w:rsidRPr="006B03D7">
        <w:t>Volatile petroleum hydrocarbons used in small quantities</w:t>
      </w:r>
      <w:r w:rsidR="009345B1">
        <w:t xml:space="preserve"> and</w:t>
      </w:r>
      <w:r w:rsidRPr="006B03D7">
        <w:t xml:space="preserve"> released in a manner associated with pervasive use </w:t>
      </w:r>
      <w:r w:rsidR="009345B1">
        <w:t xml:space="preserve">prior to 1983 would not be expected at concentration which would warrant concern.  </w:t>
      </w:r>
      <w:r w:rsidRPr="006B03D7">
        <w:t xml:space="preserve">Such small quantities would either biodegrade, volatilize or be leached/diluted to very low concentrations in soil.  Therefore, VPH </w:t>
      </w:r>
      <w:r w:rsidR="009345B1">
        <w:t xml:space="preserve">at elevated concentrations </w:t>
      </w:r>
      <w:r w:rsidRPr="006B03D7">
        <w:t xml:space="preserve">is likely due to a release/condition that would </w:t>
      </w:r>
      <w:r w:rsidRPr="006B03D7">
        <w:rPr>
          <w:u w:val="single"/>
        </w:rPr>
        <w:t>not</w:t>
      </w:r>
      <w:r w:rsidRPr="006B03D7">
        <w:t xml:space="preserve"> meet the definition of Historic Fill.  </w:t>
      </w:r>
    </w:p>
    <w:p w:rsidR="00AF5FA0" w:rsidRPr="006B03D7" w:rsidRDefault="00AF5FA0" w:rsidP="003F1DE1">
      <w:pPr>
        <w:tabs>
          <w:tab w:val="clear" w:pos="1800"/>
          <w:tab w:val="left" w:pos="0"/>
        </w:tabs>
        <w:ind w:left="720" w:firstLine="0"/>
      </w:pPr>
    </w:p>
    <w:p w:rsidR="00AF5FA0" w:rsidRDefault="00D95300" w:rsidP="003F1DE1">
      <w:pPr>
        <w:tabs>
          <w:tab w:val="clear" w:pos="1800"/>
          <w:tab w:val="left" w:pos="0"/>
        </w:tabs>
        <w:ind w:left="720" w:firstLine="0"/>
      </w:pPr>
      <w:r w:rsidRPr="006B03D7">
        <w:t xml:space="preserve">Heavier petroleum compounds such as those identified in the Extractable Petroleum Hydrocarbon (EPH) analysis or Total Petroleum Hydrocarbons (TPH) could be found at low concentrations in the 200-500 mg/kg range, but </w:t>
      </w:r>
      <w:r w:rsidR="003F30E8" w:rsidRPr="006B03D7">
        <w:t>most likely</w:t>
      </w:r>
      <w:r w:rsidRPr="006B03D7">
        <w:t xml:space="preserve"> not in excess of the RCS-1 value of 1000 mg/kg TPH.  Data from the Central Artery Project collected along the right of way found Total Petroleum Hydrocarbons (TPH) at a median concentration of 160 mg/kg and the 90</w:t>
      </w:r>
      <w:r w:rsidRPr="006B03D7">
        <w:rPr>
          <w:vertAlign w:val="superscript"/>
        </w:rPr>
        <w:t>th</w:t>
      </w:r>
      <w:r w:rsidRPr="006B03D7">
        <w:t xml:space="preserve"> percentile of 2900 mg/kg.  Concentrations in excess of 1000 mg/kg TPH or EPH fractions would need very strong evidence</w:t>
      </w:r>
      <w:r w:rsidR="009345B1">
        <w:t xml:space="preserve"> to demonstrate Historic Fill applied and that a sepa</w:t>
      </w:r>
      <w:r w:rsidR="003F30E8" w:rsidRPr="006B03D7">
        <w:t xml:space="preserve">rate </w:t>
      </w:r>
      <w:r w:rsidRPr="006B03D7">
        <w:t xml:space="preserve">petroleum </w:t>
      </w:r>
      <w:r w:rsidR="003F30E8" w:rsidRPr="006B03D7">
        <w:t>release</w:t>
      </w:r>
      <w:r w:rsidRPr="006B03D7">
        <w:t xml:space="preserve"> is </w:t>
      </w:r>
      <w:r w:rsidR="009345B1">
        <w:t xml:space="preserve">not </w:t>
      </w:r>
      <w:r w:rsidRPr="006B03D7">
        <w:t>present.</w:t>
      </w:r>
    </w:p>
    <w:p w:rsidR="006A5BF2" w:rsidRDefault="006A5BF2" w:rsidP="00EC6F1D">
      <w:pPr>
        <w:tabs>
          <w:tab w:val="clear" w:pos="1800"/>
          <w:tab w:val="left" w:pos="720"/>
        </w:tabs>
        <w:ind w:left="720" w:hanging="720"/>
      </w:pPr>
    </w:p>
    <w:p w:rsidR="009345B1" w:rsidRPr="003F1DE1" w:rsidRDefault="009345B1" w:rsidP="003F1DE1">
      <w:pPr>
        <w:tabs>
          <w:tab w:val="clear" w:pos="1800"/>
          <w:tab w:val="left" w:pos="720"/>
        </w:tabs>
        <w:ind w:left="1440" w:hanging="720"/>
        <w:rPr>
          <w:b/>
          <w:u w:val="single"/>
        </w:rPr>
      </w:pPr>
      <w:r w:rsidRPr="003F1DE1">
        <w:rPr>
          <w:b/>
          <w:u w:val="single"/>
        </w:rPr>
        <w:t>PAHs</w:t>
      </w:r>
    </w:p>
    <w:p w:rsidR="009345B1" w:rsidRDefault="009345B1" w:rsidP="00EC6F1D">
      <w:pPr>
        <w:tabs>
          <w:tab w:val="clear" w:pos="1800"/>
          <w:tab w:val="left" w:pos="720"/>
        </w:tabs>
        <w:ind w:left="720" w:hanging="720"/>
        <w:rPr>
          <w:u w:val="single"/>
        </w:rPr>
      </w:pPr>
    </w:p>
    <w:p w:rsidR="009345B1" w:rsidRPr="005F20C8" w:rsidRDefault="005F20C8" w:rsidP="003F1DE1">
      <w:pPr>
        <w:tabs>
          <w:tab w:val="clear" w:pos="1800"/>
          <w:tab w:val="left" w:pos="0"/>
        </w:tabs>
        <w:ind w:left="720" w:firstLine="0"/>
      </w:pPr>
      <w:r>
        <w:t>PAHs are ubiquitous in the environment as demonstrated by the Central Artery dataset collated by CDM and by other</w:t>
      </w:r>
      <w:r w:rsidR="0025498C">
        <w:t>s</w:t>
      </w:r>
      <w:r>
        <w:t xml:space="preserve"> including Bradley et al (1994) who sampled three urban New England cities.  A st</w:t>
      </w:r>
      <w:r w:rsidR="0025498C">
        <w:t>arting reference is Table 1 of the 2002 Technical Update entitled “Backgr</w:t>
      </w:r>
      <w:r w:rsidR="00FC172F">
        <w:t>o</w:t>
      </w:r>
      <w:r w:rsidR="0025498C">
        <w:t>und Levels of Polycyclic Aromatic Hydrocarbons and Metals in Soil”.  Concentrations of PAHs in soil above these reference values warrant closer evaluation of the potential sources, distribution and type of PAH, including petrogenic vs. pyrogenic PAHs, PAH ratios and chemical forensic fingerprinting.</w:t>
      </w:r>
    </w:p>
    <w:p w:rsidR="009345B1" w:rsidRPr="006B03D7" w:rsidRDefault="009345B1" w:rsidP="00EC6F1D">
      <w:pPr>
        <w:tabs>
          <w:tab w:val="clear" w:pos="1800"/>
          <w:tab w:val="left" w:pos="720"/>
        </w:tabs>
        <w:ind w:left="720" w:hanging="720"/>
      </w:pPr>
    </w:p>
    <w:p w:rsidR="009345B1" w:rsidRPr="003F1DE1" w:rsidRDefault="009345B1" w:rsidP="003F1DE1">
      <w:pPr>
        <w:tabs>
          <w:tab w:val="clear" w:pos="1800"/>
          <w:tab w:val="left" w:pos="0"/>
        </w:tabs>
        <w:ind w:left="720" w:firstLine="0"/>
        <w:rPr>
          <w:b/>
          <w:u w:val="single"/>
        </w:rPr>
      </w:pPr>
      <w:r w:rsidRPr="003F1DE1">
        <w:rPr>
          <w:b/>
          <w:u w:val="single"/>
        </w:rPr>
        <w:t>Other contaminants</w:t>
      </w:r>
    </w:p>
    <w:p w:rsidR="0025498C" w:rsidRPr="003F1DE1" w:rsidRDefault="0025498C" w:rsidP="003F1DE1">
      <w:pPr>
        <w:tabs>
          <w:tab w:val="clear" w:pos="1800"/>
          <w:tab w:val="left" w:pos="0"/>
        </w:tabs>
        <w:ind w:left="720" w:firstLine="0"/>
        <w:rPr>
          <w:b/>
          <w:u w:val="single"/>
        </w:rPr>
      </w:pPr>
    </w:p>
    <w:p w:rsidR="006A5BF2" w:rsidRPr="003F1DE1" w:rsidRDefault="006A5BF2" w:rsidP="003F1DE1">
      <w:pPr>
        <w:tabs>
          <w:tab w:val="clear" w:pos="1800"/>
          <w:tab w:val="left" w:pos="0"/>
        </w:tabs>
        <w:ind w:left="720" w:firstLine="0"/>
        <w:rPr>
          <w:b/>
          <w:u w:val="single"/>
        </w:rPr>
      </w:pPr>
      <w:r w:rsidRPr="003F1DE1">
        <w:rPr>
          <w:b/>
          <w:u w:val="single"/>
        </w:rPr>
        <w:t>VOCs</w:t>
      </w:r>
    </w:p>
    <w:p w:rsidR="006A5BF2" w:rsidRPr="006B03D7" w:rsidRDefault="006A5BF2" w:rsidP="003F1DE1">
      <w:pPr>
        <w:tabs>
          <w:tab w:val="clear" w:pos="1800"/>
          <w:tab w:val="left" w:pos="0"/>
        </w:tabs>
        <w:ind w:left="720" w:firstLine="0"/>
      </w:pPr>
    </w:p>
    <w:p w:rsidR="006A5BF2" w:rsidRPr="006B03D7" w:rsidRDefault="0025498C" w:rsidP="003F1DE1">
      <w:pPr>
        <w:tabs>
          <w:tab w:val="clear" w:pos="1800"/>
          <w:tab w:val="left" w:pos="0"/>
        </w:tabs>
        <w:ind w:left="720" w:firstLine="0"/>
      </w:pPr>
      <w:r>
        <w:t>C</w:t>
      </w:r>
      <w:r w:rsidR="006A5BF2" w:rsidRPr="006B03D7">
        <w:t>hlorinated solvents</w:t>
      </w:r>
      <w:r>
        <w:t xml:space="preserve"> and other VOCs</w:t>
      </w:r>
      <w:r w:rsidR="006A5BF2" w:rsidRPr="006B03D7">
        <w:t xml:space="preserve"> used in small quantities</w:t>
      </w:r>
      <w:r>
        <w:t xml:space="preserve"> are not expected to be detected at levels of concern.  Elevated concentration</w:t>
      </w:r>
      <w:r w:rsidR="00E2780A">
        <w:t>s</w:t>
      </w:r>
      <w:r>
        <w:t xml:space="preserve"> of VOCs indicate a release condition which warrants further investigation.  Similarly to VPH compounds, VOCs</w:t>
      </w:r>
      <w:r w:rsidR="006A5BF2" w:rsidRPr="006B03D7">
        <w:t xml:space="preserve"> would either biodegrade, volatilize or be leached/diluted to very low concentrations in soil.  Therefore, if chlorinated solvents are present at concentrations </w:t>
      </w:r>
      <w:r>
        <w:t>which could cause a risk, they are</w:t>
      </w:r>
      <w:r w:rsidR="006A5BF2" w:rsidRPr="006B03D7">
        <w:t xml:space="preserve"> likely due to a release/condition that would </w:t>
      </w:r>
      <w:r w:rsidR="006A5BF2" w:rsidRPr="006B03D7">
        <w:rPr>
          <w:u w:val="single"/>
        </w:rPr>
        <w:t>not</w:t>
      </w:r>
      <w:r w:rsidR="006A5BF2" w:rsidRPr="006B03D7">
        <w:t xml:space="preserve"> meet the definition of Historic Fill.  </w:t>
      </w:r>
    </w:p>
    <w:p w:rsidR="0058764A" w:rsidRPr="006B03D7" w:rsidRDefault="0058764A" w:rsidP="003F1DE1">
      <w:pPr>
        <w:tabs>
          <w:tab w:val="clear" w:pos="1800"/>
          <w:tab w:val="left" w:pos="0"/>
        </w:tabs>
        <w:ind w:left="720" w:firstLine="0"/>
      </w:pPr>
    </w:p>
    <w:p w:rsidR="00AF5FA0" w:rsidRPr="003F1DE1" w:rsidRDefault="00D95300" w:rsidP="003F1DE1">
      <w:pPr>
        <w:tabs>
          <w:tab w:val="clear" w:pos="1800"/>
          <w:tab w:val="left" w:pos="0"/>
        </w:tabs>
        <w:ind w:left="720" w:firstLine="0"/>
        <w:rPr>
          <w:b/>
          <w:u w:val="single"/>
        </w:rPr>
      </w:pPr>
      <w:r w:rsidRPr="003F1DE1">
        <w:rPr>
          <w:b/>
          <w:u w:val="single"/>
        </w:rPr>
        <w:t>Coal Ash</w:t>
      </w:r>
    </w:p>
    <w:p w:rsidR="00AF5FA0" w:rsidRPr="006B03D7" w:rsidRDefault="00AF5FA0" w:rsidP="003F1DE1">
      <w:pPr>
        <w:tabs>
          <w:tab w:val="clear" w:pos="1800"/>
          <w:tab w:val="left" w:pos="0"/>
        </w:tabs>
        <w:ind w:left="720" w:firstLine="0"/>
      </w:pPr>
    </w:p>
    <w:p w:rsidR="00AF5FA0" w:rsidRPr="006B03D7" w:rsidRDefault="00D95300" w:rsidP="003F1DE1">
      <w:pPr>
        <w:tabs>
          <w:tab w:val="clear" w:pos="1800"/>
          <w:tab w:val="left" w:pos="0"/>
        </w:tabs>
        <w:ind w:left="720" w:firstLine="0"/>
      </w:pPr>
      <w:r w:rsidRPr="006B03D7">
        <w:t xml:space="preserve">Published reports on coal ash composition indicate that </w:t>
      </w:r>
      <w:r w:rsidR="003F30E8" w:rsidRPr="006B03D7">
        <w:t>arsenic, b</w:t>
      </w:r>
      <w:r w:rsidRPr="006B03D7">
        <w:t xml:space="preserve">arium, and </w:t>
      </w:r>
      <w:r w:rsidR="003F30E8" w:rsidRPr="006B03D7">
        <w:t>c</w:t>
      </w:r>
      <w:r w:rsidRPr="006B03D7">
        <w:t>hromium are the metals in coal ash m</w:t>
      </w:r>
      <w:r w:rsidR="003F30E8" w:rsidRPr="006B03D7">
        <w:t>ost likely to exceed RCs, with a</w:t>
      </w:r>
      <w:r w:rsidRPr="006B03D7">
        <w:t xml:space="preserve">rsenic often 2X the RC S-1/2 (EPA,2009).  Lead is typically less than 200 mg/kg in coal ash.  </w:t>
      </w:r>
      <w:r w:rsidR="003F30E8" w:rsidRPr="006B03D7">
        <w:t>L</w:t>
      </w:r>
      <w:r w:rsidRPr="006B03D7">
        <w:t xml:space="preserve">evels of </w:t>
      </w:r>
      <w:r w:rsidR="003F30E8" w:rsidRPr="006B03D7">
        <w:t>n</w:t>
      </w:r>
      <w:r w:rsidRPr="006B03D7">
        <w:t xml:space="preserve">ickel, </w:t>
      </w:r>
      <w:r w:rsidR="003F30E8" w:rsidRPr="006B03D7">
        <w:t>v</w:t>
      </w:r>
      <w:r w:rsidRPr="006B03D7">
        <w:t xml:space="preserve">anadium and </w:t>
      </w:r>
      <w:r w:rsidR="003F30E8" w:rsidRPr="006B03D7">
        <w:t>z</w:t>
      </w:r>
      <w:r w:rsidRPr="006B03D7">
        <w:t xml:space="preserve">inc </w:t>
      </w:r>
      <w:r w:rsidR="003F30E8" w:rsidRPr="006B03D7">
        <w:t xml:space="preserve">in ash </w:t>
      </w:r>
      <w:r w:rsidRPr="006B03D7">
        <w:t>sometimes exceed the</w:t>
      </w:r>
      <w:r w:rsidR="00F95DC0" w:rsidRPr="006B03D7">
        <w:t xml:space="preserve"> values identified by MassDEP as background levels in soil</w:t>
      </w:r>
      <w:r w:rsidRPr="006B03D7">
        <w:t xml:space="preserve"> </w:t>
      </w:r>
      <w:r w:rsidR="00F95DC0" w:rsidRPr="006B03D7">
        <w:t>(</w:t>
      </w:r>
      <w:r w:rsidRPr="006B03D7">
        <w:t>“Table 1”</w:t>
      </w:r>
      <w:r w:rsidR="00F95DC0" w:rsidRPr="006B03D7">
        <w:t>)</w:t>
      </w:r>
      <w:r w:rsidRPr="006B03D7">
        <w:t xml:space="preserve"> </w:t>
      </w:r>
      <w:r w:rsidR="00F95DC0" w:rsidRPr="006B03D7">
        <w:t>by more than 50% (</w:t>
      </w:r>
      <w:r w:rsidRPr="006B03D7">
        <w:t xml:space="preserve">even if the ash is “diluted” by 50% soil, these values could still exceed the Table 1 values). </w:t>
      </w:r>
      <w:r w:rsidR="00E2780A">
        <w:t xml:space="preserve"> Nickel, vanadium and zinc from ash are unlikely to pose a risk</w:t>
      </w:r>
      <w:r w:rsidRPr="006B03D7">
        <w:t xml:space="preserve"> </w:t>
      </w:r>
      <w:r w:rsidR="00E2780A">
        <w:t>and be a significant concern at a site.</w:t>
      </w:r>
    </w:p>
    <w:p w:rsidR="00AF5FA0" w:rsidRPr="006B03D7" w:rsidRDefault="00AF5FA0" w:rsidP="003F1DE1">
      <w:pPr>
        <w:tabs>
          <w:tab w:val="clear" w:pos="1800"/>
          <w:tab w:val="left" w:pos="0"/>
        </w:tabs>
        <w:ind w:left="720" w:firstLine="0"/>
      </w:pPr>
    </w:p>
    <w:p w:rsidR="00AF5FA0" w:rsidRPr="003F1DE1" w:rsidRDefault="00576929" w:rsidP="003F1DE1">
      <w:pPr>
        <w:tabs>
          <w:tab w:val="clear" w:pos="1800"/>
          <w:tab w:val="left" w:pos="0"/>
        </w:tabs>
        <w:ind w:left="720" w:firstLine="0"/>
        <w:rPr>
          <w:b/>
        </w:rPr>
      </w:pPr>
      <w:r w:rsidRPr="003F1DE1">
        <w:rPr>
          <w:b/>
          <w:u w:val="single"/>
        </w:rPr>
        <w:t>Arochlor</w:t>
      </w:r>
      <w:r w:rsidR="002D11AA" w:rsidRPr="003F1DE1">
        <w:rPr>
          <w:b/>
          <w:u w:val="single"/>
        </w:rPr>
        <w:t xml:space="preserve"> PCB</w:t>
      </w:r>
      <w:r w:rsidRPr="003F1DE1">
        <w:rPr>
          <w:b/>
          <w:u w:val="single"/>
        </w:rPr>
        <w:t>s</w:t>
      </w:r>
      <w:r w:rsidR="002D11AA" w:rsidRPr="003F1DE1">
        <w:rPr>
          <w:b/>
          <w:u w:val="single"/>
        </w:rPr>
        <w:t xml:space="preserve"> by EPA</w:t>
      </w:r>
      <w:r w:rsidR="00D24E84" w:rsidRPr="003F1DE1">
        <w:rPr>
          <w:b/>
          <w:u w:val="single"/>
        </w:rPr>
        <w:t xml:space="preserve"> Method 8082</w:t>
      </w:r>
    </w:p>
    <w:p w:rsidR="00AF5FA0" w:rsidRPr="006B03D7" w:rsidRDefault="00AF5FA0" w:rsidP="003F1DE1">
      <w:pPr>
        <w:tabs>
          <w:tab w:val="clear" w:pos="1800"/>
          <w:tab w:val="left" w:pos="0"/>
        </w:tabs>
        <w:ind w:left="720" w:firstLine="0"/>
      </w:pPr>
    </w:p>
    <w:p w:rsidR="00AF5FA0" w:rsidRPr="006B03D7" w:rsidRDefault="00D95300" w:rsidP="003F1DE1">
      <w:pPr>
        <w:tabs>
          <w:tab w:val="clear" w:pos="1800"/>
          <w:tab w:val="left" w:pos="0"/>
        </w:tabs>
        <w:ind w:left="720" w:firstLine="0"/>
      </w:pPr>
      <w:r w:rsidRPr="006B03D7">
        <w:t>Polychlorinated biphenyls (PCBs) were commonly used historically in hundreds of industrial a</w:t>
      </w:r>
      <w:r w:rsidR="00576929">
        <w:t>nd</w:t>
      </w:r>
      <w:r w:rsidRPr="006B03D7">
        <w:t xml:space="preserve"> </w:t>
      </w:r>
      <w:r w:rsidR="00576929">
        <w:t>c</w:t>
      </w:r>
      <w:r w:rsidRPr="006B03D7">
        <w:t xml:space="preserve">ommercial products.  </w:t>
      </w:r>
      <w:r w:rsidR="00D24E84">
        <w:t xml:space="preserve">Elevated concentrations of PCBs would indicate a release condition and would not be considered Historic Fill.  Absent a release, </w:t>
      </w:r>
      <w:r w:rsidRPr="006B03D7">
        <w:t xml:space="preserve">it is unlikely that PCBs </w:t>
      </w:r>
      <w:r w:rsidR="00D24E84" w:rsidRPr="006B03D7">
        <w:t>would be</w:t>
      </w:r>
      <w:r w:rsidRPr="006B03D7">
        <w:t xml:space="preserve"> present in “Historic Fill” at concentrations which consistently and/or significantly exceed 1 mg/kg. The USEPA (1990) considers PCB’s at concentrations between</w:t>
      </w:r>
      <w:r w:rsidR="00E2780A">
        <w:t xml:space="preserve"> 0</w:t>
      </w:r>
      <w:r w:rsidRPr="006B03D7">
        <w:t>.1 and 1.0 mg/kg to be background.</w:t>
      </w:r>
      <w:r w:rsidR="00E2780A">
        <w:t xml:space="preserve">  </w:t>
      </w:r>
    </w:p>
    <w:p w:rsidR="00560CA3" w:rsidRPr="006B03D7" w:rsidRDefault="00D95300" w:rsidP="003F1DE1">
      <w:pPr>
        <w:tabs>
          <w:tab w:val="clear" w:pos="1800"/>
          <w:tab w:val="left" w:pos="0"/>
        </w:tabs>
        <w:ind w:left="0" w:firstLine="0"/>
      </w:pPr>
      <w:r w:rsidRPr="006B03D7">
        <w:t xml:space="preserve">  </w:t>
      </w:r>
    </w:p>
    <w:p w:rsidR="006B03D7" w:rsidRDefault="00D95300" w:rsidP="003F1DE1">
      <w:pPr>
        <w:tabs>
          <w:tab w:val="clear" w:pos="1800"/>
          <w:tab w:val="left" w:pos="0"/>
        </w:tabs>
        <w:ind w:left="0" w:firstLine="0"/>
        <w:rPr>
          <w:b/>
        </w:rPr>
      </w:pPr>
      <w:r w:rsidRPr="006B03D7">
        <w:rPr>
          <w:b/>
        </w:rPr>
        <w:t>Site Assessment</w:t>
      </w:r>
    </w:p>
    <w:p w:rsidR="00576929" w:rsidRDefault="00576929" w:rsidP="003F1DE1">
      <w:pPr>
        <w:tabs>
          <w:tab w:val="clear" w:pos="1800"/>
          <w:tab w:val="left" w:pos="0"/>
        </w:tabs>
        <w:ind w:left="0" w:firstLine="0"/>
        <w:rPr>
          <w:b/>
        </w:rPr>
      </w:pPr>
    </w:p>
    <w:p w:rsidR="00216738" w:rsidRPr="006B03D7" w:rsidRDefault="00BD3650" w:rsidP="003F1DE1">
      <w:pPr>
        <w:tabs>
          <w:tab w:val="clear" w:pos="1800"/>
          <w:tab w:val="left" w:pos="0"/>
        </w:tabs>
        <w:ind w:left="0" w:firstLine="0"/>
      </w:pPr>
      <w:r w:rsidRPr="006B03D7">
        <w:t>Where notification ha</w:t>
      </w:r>
      <w:r w:rsidR="00576929">
        <w:t xml:space="preserve">s </w:t>
      </w:r>
      <w:r w:rsidRPr="006B03D7">
        <w:t>been made for OHM attributable to</w:t>
      </w:r>
      <w:r w:rsidR="00D95300" w:rsidRPr="006B03D7">
        <w:t xml:space="preserve"> Historic Fill </w:t>
      </w:r>
      <w:r w:rsidRPr="006B03D7">
        <w:t>(i.e., a</w:t>
      </w:r>
      <w:r w:rsidR="00D95300" w:rsidRPr="006B03D7">
        <w:t xml:space="preserve"> notification exemption</w:t>
      </w:r>
      <w:r w:rsidRPr="006B03D7">
        <w:t xml:space="preserve"> was not otherwise applied at the time of notification)</w:t>
      </w:r>
      <w:r w:rsidR="00D95300" w:rsidRPr="006B03D7">
        <w:t xml:space="preserve"> the </w:t>
      </w:r>
      <w:r w:rsidRPr="006B03D7">
        <w:t xml:space="preserve">assessment of the </w:t>
      </w:r>
      <w:r w:rsidR="00D95300" w:rsidRPr="006B03D7">
        <w:t xml:space="preserve">site would need to proceed through the MCP process.  At a minimum, an Initial Site Investigation is required to support a Permanent Solution with Conditions.  </w:t>
      </w:r>
      <w:r w:rsidRPr="006B03D7">
        <w:t xml:space="preserve">The Conceptual Site Model that </w:t>
      </w:r>
      <w:r w:rsidR="00576929">
        <w:t xml:space="preserve">some or all of </w:t>
      </w:r>
      <w:r w:rsidRPr="006B03D7">
        <w:t>the OHM is due to Historic Fill will help dictate the sampling and analysis plan</w:t>
      </w:r>
      <w:r w:rsidR="00B44D00" w:rsidRPr="006B03D7">
        <w:t xml:space="preserve"> to support that hypoth</w:t>
      </w:r>
      <w:r w:rsidR="00263861" w:rsidRPr="006B03D7">
        <w:t>e</w:t>
      </w:r>
      <w:r w:rsidR="00B44D00" w:rsidRPr="006B03D7">
        <w:t xml:space="preserve">sis.  </w:t>
      </w:r>
      <w:r w:rsidR="00D95300" w:rsidRPr="006B03D7">
        <w:t>Only those contaminants that are considered ubiquitous in the environment and emplaced prior to 1983 are eligible for</w:t>
      </w:r>
      <w:r w:rsidR="00576929">
        <w:t xml:space="preserve"> consideration</w:t>
      </w:r>
      <w:r w:rsidRPr="006B03D7">
        <w:t xml:space="preserve"> as Historic Fill</w:t>
      </w:r>
      <w:r w:rsidR="00D95300" w:rsidRPr="006B03D7">
        <w:t xml:space="preserve">.  Those OHM include metals (typically arsenic, beryllium, cadmium, copper, lead, mercury and zinc), non-volatile petroleum hydrocarbons and/or poly nuclear aromatic hydrocarbons (PAHs).  PAHs indicative of a pyrogenic (ash) origin include (benzo(a)anthracene, benzo(a) pyrene, benzo(b)flouranthene, benzo(k)flouranthene, dibenzo(a,h)anthracene and indeno(1,2,3-cd)pyrene). PAHs indicative of a petrogenic (petroleum) origin include naphthalene, 2-methylnaphthalene, phenanthrene, and acenaphthene.  </w:t>
      </w:r>
      <w:r w:rsidR="003E0612" w:rsidRPr="006B03D7">
        <w:t>Soil containing c</w:t>
      </w:r>
      <w:r w:rsidR="00151362" w:rsidRPr="006B03D7">
        <w:t>hlorinated</w:t>
      </w:r>
      <w:r w:rsidR="00D95300" w:rsidRPr="006B03D7">
        <w:t xml:space="preserve"> hydrocarbons, polychlorinated biphenyls (PCBs), pesticides, herbicides, and </w:t>
      </w:r>
      <w:r w:rsidR="00576929">
        <w:t xml:space="preserve">visible </w:t>
      </w:r>
      <w:r w:rsidR="00D95300" w:rsidRPr="006B03D7">
        <w:t>asbestos</w:t>
      </w:r>
      <w:r w:rsidR="00576929">
        <w:t xml:space="preserve"> debris</w:t>
      </w:r>
      <w:r w:rsidR="00D95300" w:rsidRPr="006B03D7">
        <w:t xml:space="preserve"> </w:t>
      </w:r>
      <w:r w:rsidR="003E0612" w:rsidRPr="006B03D7">
        <w:t>is</w:t>
      </w:r>
      <w:r w:rsidR="00D95300" w:rsidRPr="006B03D7">
        <w:t xml:space="preserve"> not Historic Fill.  </w:t>
      </w:r>
    </w:p>
    <w:p w:rsidR="00216738" w:rsidRPr="006B03D7" w:rsidRDefault="00216738" w:rsidP="003F1DE1">
      <w:pPr>
        <w:tabs>
          <w:tab w:val="clear" w:pos="1800"/>
          <w:tab w:val="left" w:pos="0"/>
        </w:tabs>
        <w:ind w:left="0" w:firstLine="0"/>
      </w:pPr>
    </w:p>
    <w:p w:rsidR="00151362" w:rsidRPr="006B03D7" w:rsidRDefault="00D95300" w:rsidP="003F1DE1">
      <w:pPr>
        <w:tabs>
          <w:tab w:val="clear" w:pos="1800"/>
          <w:tab w:val="left" w:pos="0"/>
        </w:tabs>
        <w:ind w:left="0" w:firstLine="0"/>
      </w:pPr>
      <w:r w:rsidRPr="006B03D7">
        <w:t>Table 1 lists chemicals which are considered consistent with natural background as well as the 90</w:t>
      </w:r>
      <w:r w:rsidRPr="006B03D7">
        <w:rPr>
          <w:vertAlign w:val="superscript"/>
        </w:rPr>
        <w:t>th</w:t>
      </w:r>
      <w:r w:rsidRPr="006B03D7">
        <w:t xml:space="preserve"> percentile </w:t>
      </w:r>
      <w:r w:rsidR="003E0612" w:rsidRPr="006B03D7">
        <w:t xml:space="preserve">value </w:t>
      </w:r>
      <w:r w:rsidR="0045792F" w:rsidRPr="006B03D7">
        <w:t>f</w:t>
      </w:r>
      <w:r w:rsidR="003E0612" w:rsidRPr="006B03D7">
        <w:t>or</w:t>
      </w:r>
      <w:r w:rsidRPr="006B03D7">
        <w:t xml:space="preserve"> soils containing wood or coal ash. Many metals found in coal ash are documented in EPA publications and Electric Power Research Institute (EPRI) reports.  </w:t>
      </w:r>
    </w:p>
    <w:p w:rsidR="00820684" w:rsidRPr="006B03D7" w:rsidRDefault="00151362" w:rsidP="003F1DE1">
      <w:pPr>
        <w:tabs>
          <w:tab w:val="clear" w:pos="1800"/>
          <w:tab w:val="left" w:pos="0"/>
        </w:tabs>
        <w:ind w:left="0" w:firstLine="0"/>
      </w:pPr>
      <w:r w:rsidRPr="006B03D7">
        <w:tab/>
      </w:r>
    </w:p>
    <w:p w:rsidR="003F1DE1" w:rsidRPr="003F1DE1" w:rsidRDefault="00D95300" w:rsidP="003F1DE1">
      <w:pPr>
        <w:tabs>
          <w:tab w:val="clear" w:pos="1800"/>
          <w:tab w:val="left" w:pos="0"/>
        </w:tabs>
        <w:ind w:left="720" w:firstLine="0"/>
        <w:rPr>
          <w:b/>
          <w:u w:val="single"/>
        </w:rPr>
      </w:pPr>
      <w:r w:rsidRPr="003F1DE1">
        <w:rPr>
          <w:b/>
          <w:u w:val="single"/>
        </w:rPr>
        <w:t>Site History</w:t>
      </w:r>
    </w:p>
    <w:p w:rsidR="003F1DE1" w:rsidRDefault="003F1DE1" w:rsidP="003F1DE1">
      <w:pPr>
        <w:tabs>
          <w:tab w:val="clear" w:pos="1800"/>
          <w:tab w:val="left" w:pos="0"/>
        </w:tabs>
        <w:ind w:left="720" w:firstLine="0"/>
        <w:rPr>
          <w:u w:val="single"/>
        </w:rPr>
      </w:pPr>
    </w:p>
    <w:p w:rsidR="008B7359" w:rsidRDefault="00D95300" w:rsidP="003F1DE1">
      <w:pPr>
        <w:tabs>
          <w:tab w:val="clear" w:pos="1800"/>
          <w:tab w:val="left" w:pos="0"/>
        </w:tabs>
        <w:ind w:left="720" w:firstLine="0"/>
      </w:pPr>
      <w:r w:rsidRPr="006B03D7">
        <w:t xml:space="preserve">A thorough site history is critical to rule out </w:t>
      </w:r>
      <w:r w:rsidR="00576929">
        <w:t xml:space="preserve">on-site </w:t>
      </w:r>
      <w:r w:rsidRPr="006B03D7">
        <w:t>sources of contamination and to be able to support a Historic Fill determination.  Sufficient evidence must be provided that the area was filled prior to 1983</w:t>
      </w:r>
      <w:r w:rsidR="00820684" w:rsidRPr="006B03D7">
        <w:t>,</w:t>
      </w:r>
      <w:r w:rsidRPr="006B03D7">
        <w:t xml:space="preserve"> </w:t>
      </w:r>
      <w:r w:rsidR="00576929">
        <w:t xml:space="preserve">that the fill contained the OHM at the time of placement; that it was </w:t>
      </w:r>
      <w:r w:rsidRPr="006B03D7">
        <w:t>not filled with a chemical p</w:t>
      </w:r>
      <w:r w:rsidR="001D0DE3">
        <w:t>roduction or manufacturing waste</w:t>
      </w:r>
      <w:r w:rsidR="00820684" w:rsidRPr="006B03D7">
        <w:t xml:space="preserve">, and </w:t>
      </w:r>
      <w:r w:rsidR="00576929">
        <w:t xml:space="preserve">that it is </w:t>
      </w:r>
      <w:r w:rsidR="00820684" w:rsidRPr="006B03D7">
        <w:t>not</w:t>
      </w:r>
      <w:r w:rsidRPr="006B03D7">
        <w:t xml:space="preserve"> a municipal solid waste </w:t>
      </w:r>
      <w:r w:rsidR="00820684" w:rsidRPr="006B03D7">
        <w:t>disposal</w:t>
      </w:r>
      <w:r w:rsidRPr="006B03D7">
        <w:t xml:space="preserve"> location.   An ineligible waste disposal location includes Mass-DEP approved landfills (post 1971), </w:t>
      </w:r>
    </w:p>
    <w:p w:rsidR="008B7359" w:rsidRDefault="008B7359" w:rsidP="003F1DE1">
      <w:pPr>
        <w:tabs>
          <w:tab w:val="clear" w:pos="1800"/>
          <w:tab w:val="left" w:pos="0"/>
        </w:tabs>
        <w:ind w:left="720" w:firstLine="0"/>
      </w:pPr>
    </w:p>
    <w:p w:rsidR="008B7359" w:rsidRDefault="008B7359" w:rsidP="003F1DE1">
      <w:pPr>
        <w:tabs>
          <w:tab w:val="clear" w:pos="1800"/>
          <w:tab w:val="left" w:pos="0"/>
        </w:tabs>
        <w:ind w:left="720" w:firstLine="0"/>
      </w:pPr>
    </w:p>
    <w:p w:rsidR="00695863" w:rsidRPr="006B03D7" w:rsidRDefault="00D95300" w:rsidP="003F1DE1">
      <w:pPr>
        <w:tabs>
          <w:tab w:val="clear" w:pos="1800"/>
          <w:tab w:val="left" w:pos="0"/>
        </w:tabs>
        <w:ind w:left="720" w:firstLine="0"/>
      </w:pPr>
      <w:proofErr w:type="gramStart"/>
      <w:r w:rsidRPr="006B03D7">
        <w:t>a</w:t>
      </w:r>
      <w:proofErr w:type="gramEnd"/>
      <w:r w:rsidRPr="006B03D7">
        <w:t xml:space="preserve"> historic municipal landfill/dump, a burn dump or an illegal landfill.  Sufficient due diligence based upon the specific site location and area history is </w:t>
      </w:r>
      <w:r w:rsidR="00B44D00" w:rsidRPr="006B03D7">
        <w:t xml:space="preserve">necessary to </w:t>
      </w:r>
      <w:r w:rsidRPr="006B03D7">
        <w:t xml:space="preserve">support the </w:t>
      </w:r>
      <w:r w:rsidR="00B44D00" w:rsidRPr="006B03D7">
        <w:t>determina</w:t>
      </w:r>
      <w:r w:rsidRPr="006B03D7">
        <w:t xml:space="preserve">tion of Historic Fill.  </w:t>
      </w:r>
      <w:r w:rsidR="00B44D00" w:rsidRPr="006B03D7">
        <w:t>Commercial and i</w:t>
      </w:r>
      <w:r w:rsidRPr="006B03D7">
        <w:t xml:space="preserve">ndustrialized areas require a higher level of effort to rule out on-property sources of contamination. </w:t>
      </w:r>
    </w:p>
    <w:p w:rsidR="00695863" w:rsidRPr="006B03D7" w:rsidRDefault="00695863" w:rsidP="003F1DE1">
      <w:pPr>
        <w:tabs>
          <w:tab w:val="clear" w:pos="1800"/>
          <w:tab w:val="left" w:pos="0"/>
        </w:tabs>
        <w:ind w:left="720" w:firstLine="0"/>
      </w:pPr>
    </w:p>
    <w:p w:rsidR="00D35A85" w:rsidRPr="006B03D7" w:rsidRDefault="00D95300" w:rsidP="003F1DE1">
      <w:pPr>
        <w:tabs>
          <w:tab w:val="clear" w:pos="1800"/>
          <w:tab w:val="left" w:pos="0"/>
        </w:tabs>
        <w:ind w:left="720" w:firstLine="0"/>
      </w:pPr>
      <w:r w:rsidRPr="006B03D7">
        <w:t xml:space="preserve">Aerial photos and topographic maps should be reviewed to document changes in topography which would indicate a filling history. These maps are readily available on various web sites and should be included in an appendix to the </w:t>
      </w:r>
      <w:r w:rsidR="00820684" w:rsidRPr="006B03D7">
        <w:t>Permanent S</w:t>
      </w:r>
      <w:r w:rsidR="00D35A85" w:rsidRPr="006B03D7">
        <w:t>olution</w:t>
      </w:r>
      <w:r w:rsidRPr="006B03D7">
        <w:t xml:space="preserve"> </w:t>
      </w:r>
      <w:r w:rsidR="00B44D00" w:rsidRPr="006B03D7">
        <w:t>Statement where a Permanent Solution relies on a Historic Fill determination</w:t>
      </w:r>
      <w:r w:rsidRPr="006B03D7">
        <w:t xml:space="preserve">. Available topographic maps date from 1893 to 1987 and aerial photos go back to 1938 for some areas although the quality varies. Topographic changes such </w:t>
      </w:r>
      <w:r w:rsidR="00D35A85" w:rsidRPr="006B03D7">
        <w:t>a</w:t>
      </w:r>
      <w:r w:rsidR="00820684" w:rsidRPr="006B03D7">
        <w:t>s</w:t>
      </w:r>
      <w:r w:rsidRPr="006B03D7">
        <w:t xml:space="preserve"> wetland to </w:t>
      </w:r>
      <w:r w:rsidR="00820684" w:rsidRPr="006B03D7">
        <w:t>up</w:t>
      </w:r>
      <w:r w:rsidR="00D35A85" w:rsidRPr="006B03D7">
        <w:t>land</w:t>
      </w:r>
      <w:r w:rsidRPr="006B03D7">
        <w:t>, the shapes of water bodies, the elimination or culverting of streams, and elevation changes should be identified.  Low-lying and wetland coastal areas were subject to filling historically.  Areas may also have been filled to create roadways, railways or other transportation corridors. Town offices often have historical information regarding property development including the planning department and conservation commissions if there are wetland or water resources nearby.  Chapter 91 licenses date back to 1866 and were required for filling tidelands and ponds greater than 10 acres in area. The licenses are maintained by the MassDEP Waterways program but were also recorded at the Registry of Deeds for the impacted property.</w:t>
      </w:r>
      <w:r w:rsidR="001D0DE3">
        <w:t xml:space="preserve"> An additional source of information in the Boston area filling is contained in “Gaining Ground: A History of Landmaking in Boston” (N. Seasholes, 2003). </w:t>
      </w:r>
    </w:p>
    <w:p w:rsidR="00D35A85" w:rsidRPr="006B03D7" w:rsidRDefault="00D35A85" w:rsidP="003F1DE1">
      <w:pPr>
        <w:tabs>
          <w:tab w:val="clear" w:pos="1800"/>
          <w:tab w:val="left" w:pos="0"/>
        </w:tabs>
        <w:ind w:left="720" w:firstLine="0"/>
      </w:pPr>
    </w:p>
    <w:p w:rsidR="005E202C" w:rsidRPr="006B03D7" w:rsidRDefault="003F1DE1" w:rsidP="003F1DE1">
      <w:pPr>
        <w:tabs>
          <w:tab w:val="clear" w:pos="1800"/>
          <w:tab w:val="left" w:pos="0"/>
        </w:tabs>
        <w:ind w:left="720" w:firstLine="0"/>
      </w:pPr>
      <w:r>
        <w:t xml:space="preserve"> </w:t>
      </w:r>
      <w:r w:rsidR="00D95300" w:rsidRPr="006B03D7">
        <w:t xml:space="preserve">The disposal site history requirements of a Phase I </w:t>
      </w:r>
      <w:r w:rsidR="001D0DE3">
        <w:t xml:space="preserve">are </w:t>
      </w:r>
      <w:r w:rsidR="00D95300" w:rsidRPr="006B03D7">
        <w:t>appl</w:t>
      </w:r>
      <w:r w:rsidR="00B44D00" w:rsidRPr="006B03D7">
        <w:t>icable and relev</w:t>
      </w:r>
      <w:r w:rsidR="008C5F91" w:rsidRPr="006B03D7">
        <w:t>a</w:t>
      </w:r>
      <w:r w:rsidR="00B44D00" w:rsidRPr="006B03D7">
        <w:t>nt</w:t>
      </w:r>
      <w:r w:rsidR="00820684" w:rsidRPr="006B03D7">
        <w:t xml:space="preserve"> to a Historic Fill determination</w:t>
      </w:r>
      <w:r w:rsidR="00D95300" w:rsidRPr="006B03D7">
        <w:t>, includ</w:t>
      </w:r>
      <w:r w:rsidR="001D0DE3">
        <w:t>ing</w:t>
      </w:r>
      <w:r w:rsidR="00D95300" w:rsidRPr="006B03D7">
        <w:t xml:space="preserve">: owner/operator history, release and OHM storage </w:t>
      </w:r>
      <w:r w:rsidR="001D0DE3">
        <w:t xml:space="preserve">and use </w:t>
      </w:r>
      <w:r w:rsidR="00D95300" w:rsidRPr="006B03D7">
        <w:t>history, manufacturing operations and waste management history, environmental permits and compliance history (see 310 CMR 40.0483(1</w:t>
      </w:r>
      <w:proofErr w:type="gramStart"/>
      <w:r w:rsidR="00D95300" w:rsidRPr="006B03D7">
        <w:t>)(</w:t>
      </w:r>
      <w:proofErr w:type="gramEnd"/>
      <w:r w:rsidR="00D95300" w:rsidRPr="006B03D7">
        <w:t>c)).</w:t>
      </w:r>
    </w:p>
    <w:p w:rsidR="005E202C" w:rsidRPr="006B03D7" w:rsidRDefault="005E202C" w:rsidP="003F1DE1">
      <w:pPr>
        <w:tabs>
          <w:tab w:val="clear" w:pos="1800"/>
          <w:tab w:val="left" w:pos="0"/>
        </w:tabs>
        <w:ind w:left="0" w:firstLine="0"/>
      </w:pPr>
    </w:p>
    <w:p w:rsidR="008B35D9" w:rsidRPr="006B03D7" w:rsidRDefault="003F1DE1" w:rsidP="003F1DE1">
      <w:pPr>
        <w:tabs>
          <w:tab w:val="clear" w:pos="1800"/>
          <w:tab w:val="left" w:pos="0"/>
        </w:tabs>
        <w:ind w:left="720" w:firstLine="0"/>
      </w:pPr>
      <w:r>
        <w:t xml:space="preserve"> </w:t>
      </w:r>
      <w:r w:rsidR="00D95300" w:rsidRPr="006B03D7">
        <w:t xml:space="preserve">Some </w:t>
      </w:r>
      <w:r w:rsidR="00D35A85" w:rsidRPr="006B03D7">
        <w:t xml:space="preserve">available </w:t>
      </w:r>
      <w:r w:rsidR="00D95300" w:rsidRPr="006B03D7">
        <w:t xml:space="preserve">resources </w:t>
      </w:r>
      <w:r w:rsidR="00820684" w:rsidRPr="006B03D7">
        <w:t>to</w:t>
      </w:r>
      <w:r w:rsidR="00D95300" w:rsidRPr="006B03D7">
        <w:t xml:space="preserve"> research the property history and to rule out or rule in potential sources of contamination include: </w:t>
      </w:r>
    </w:p>
    <w:p w:rsidR="002D5E91" w:rsidRPr="006B03D7" w:rsidRDefault="002D5E91" w:rsidP="003F1DE1">
      <w:pPr>
        <w:tabs>
          <w:tab w:val="clear" w:pos="1800"/>
          <w:tab w:val="left" w:pos="0"/>
        </w:tabs>
        <w:ind w:left="0" w:firstLine="0"/>
      </w:pPr>
    </w:p>
    <w:p w:rsidR="00043D66" w:rsidRPr="006B03D7" w:rsidRDefault="00D95300" w:rsidP="003F1DE1">
      <w:pPr>
        <w:pStyle w:val="ListParagraph"/>
        <w:numPr>
          <w:ilvl w:val="0"/>
          <w:numId w:val="20"/>
        </w:numPr>
        <w:ind w:left="1800"/>
      </w:pPr>
      <w:r w:rsidRPr="006B03D7">
        <w:t xml:space="preserve">Local Government offices - Town offices (Planning Dept., Conservation Commission), city directories; </w:t>
      </w:r>
    </w:p>
    <w:p w:rsidR="00043D66" w:rsidRPr="006B03D7" w:rsidRDefault="00D95300" w:rsidP="003F1DE1">
      <w:pPr>
        <w:pStyle w:val="ListParagraph"/>
        <w:numPr>
          <w:ilvl w:val="0"/>
          <w:numId w:val="20"/>
        </w:numPr>
        <w:ind w:left="1800"/>
      </w:pPr>
      <w:r w:rsidRPr="006B03D7">
        <w:t xml:space="preserve">Mapping Resources - Sanborn Insurance maps, topographic maps, and aerial photos </w:t>
      </w:r>
    </w:p>
    <w:p w:rsidR="00043D66" w:rsidRPr="006B03D7" w:rsidRDefault="00D95300" w:rsidP="003F1DE1">
      <w:pPr>
        <w:pStyle w:val="ListParagraph"/>
        <w:numPr>
          <w:ilvl w:val="0"/>
          <w:numId w:val="20"/>
        </w:numPr>
        <w:ind w:left="1800"/>
      </w:pPr>
      <w:r w:rsidRPr="006B03D7">
        <w:t>MassDEP - 21E files of sites/releases, Facility and Hazardous Waste Generator history, Chapter 91 licenses.</w:t>
      </w:r>
    </w:p>
    <w:p w:rsidR="00F72681" w:rsidRPr="006B03D7" w:rsidRDefault="00F72681" w:rsidP="003F1DE1">
      <w:pPr>
        <w:tabs>
          <w:tab w:val="clear" w:pos="1800"/>
          <w:tab w:val="left" w:pos="0"/>
        </w:tabs>
        <w:ind w:left="0" w:firstLine="0"/>
      </w:pPr>
    </w:p>
    <w:p w:rsidR="003F1DE1" w:rsidRPr="003F1DE1" w:rsidRDefault="00D95300" w:rsidP="003F1DE1">
      <w:pPr>
        <w:tabs>
          <w:tab w:val="clear" w:pos="1800"/>
          <w:tab w:val="left" w:pos="0"/>
        </w:tabs>
        <w:ind w:left="0" w:firstLine="0"/>
        <w:rPr>
          <w:b/>
          <w:u w:val="single"/>
        </w:rPr>
      </w:pPr>
      <w:r w:rsidRPr="006B03D7">
        <w:tab/>
      </w:r>
      <w:r w:rsidRPr="003F1DE1">
        <w:rPr>
          <w:b/>
          <w:u w:val="single"/>
        </w:rPr>
        <w:t>Subsurface Investigations</w:t>
      </w:r>
    </w:p>
    <w:p w:rsidR="003F1DE1" w:rsidRDefault="003F1DE1" w:rsidP="003F1DE1">
      <w:pPr>
        <w:tabs>
          <w:tab w:val="clear" w:pos="1800"/>
          <w:tab w:val="left" w:pos="0"/>
        </w:tabs>
        <w:ind w:left="0" w:firstLine="0"/>
        <w:rPr>
          <w:u w:val="single"/>
        </w:rPr>
      </w:pPr>
    </w:p>
    <w:p w:rsidR="00E00C07" w:rsidRPr="006B03D7" w:rsidRDefault="00D95300" w:rsidP="003F1DE1">
      <w:pPr>
        <w:tabs>
          <w:tab w:val="clear" w:pos="1800"/>
          <w:tab w:val="left" w:pos="0"/>
        </w:tabs>
        <w:ind w:left="720" w:firstLine="0"/>
      </w:pPr>
      <w:r w:rsidRPr="006B03D7">
        <w:t xml:space="preserve">The areas believed to contain Historic Fill must be field verified using a sufficient number of test pits, soil borings, and/or trenches, to adequately </w:t>
      </w:r>
      <w:r w:rsidR="00B306FE" w:rsidRPr="006B03D7">
        <w:t xml:space="preserve">identify and locate </w:t>
      </w:r>
      <w:r w:rsidRPr="006B03D7">
        <w:t xml:space="preserve">the </w:t>
      </w:r>
      <w:r w:rsidR="00B306FE" w:rsidRPr="006B03D7">
        <w:t xml:space="preserve">Historic </w:t>
      </w:r>
      <w:r w:rsidR="00B44D00" w:rsidRPr="006B03D7">
        <w:t>F</w:t>
      </w:r>
      <w:r w:rsidRPr="006B03D7">
        <w:t xml:space="preserve">ill </w:t>
      </w:r>
      <w:r w:rsidR="00B306FE" w:rsidRPr="006B03D7">
        <w:t>within the boundaries of the disposal site.  Delineation of the nature and extent of the disposal site would include those areas considered to be Historic Fill</w:t>
      </w:r>
      <w:r w:rsidR="00E00C07" w:rsidRPr="006B03D7">
        <w:t>.</w:t>
      </w:r>
      <w:r w:rsidRPr="006B03D7">
        <w:t xml:space="preserve"> Excavations/borings should be extended at least two feet into presumed native </w:t>
      </w:r>
      <w:r w:rsidR="00B306FE" w:rsidRPr="006B03D7">
        <w:t>soils</w:t>
      </w:r>
      <w:r w:rsidRPr="006B03D7">
        <w:t xml:space="preserve"> or until bedrock/refusal is met.  Depending upon the depth of the </w:t>
      </w:r>
      <w:r w:rsidR="00B44D00" w:rsidRPr="006B03D7">
        <w:t>F</w:t>
      </w:r>
      <w:r w:rsidRPr="006B03D7">
        <w:t xml:space="preserve">ill layer, continuous split spoon samples may be advised.  Geophysical methods, particularly electrical conductivity (EC) can be used to quickly define Historic Fill boundaries, as a heterogeneous </w:t>
      </w:r>
      <w:r w:rsidR="00B44D00" w:rsidRPr="006B03D7">
        <w:t>F</w:t>
      </w:r>
      <w:r w:rsidRPr="006B03D7">
        <w:t xml:space="preserve">ill has an obvious and unique EC signature.  Visual observations are also important in confirming the presence of Historic Fill.  </w:t>
      </w:r>
      <w:r w:rsidR="00B44D00" w:rsidRPr="006B03D7">
        <w:t>V</w:t>
      </w:r>
      <w:r w:rsidRPr="006B03D7">
        <w:t xml:space="preserve">arious </w:t>
      </w:r>
      <w:r w:rsidR="00B44D00" w:rsidRPr="006B03D7">
        <w:t>F</w:t>
      </w:r>
      <w:r w:rsidRPr="006B03D7">
        <w:t xml:space="preserve">ill horizons should be noted including the coloring, texture, composition (construction debris, ash, asphalt pavement /grindings), relative amounts or percentages and depth of the </w:t>
      </w:r>
      <w:r w:rsidR="00B44D00" w:rsidRPr="006B03D7">
        <w:t>F</w:t>
      </w:r>
      <w:r w:rsidRPr="006B03D7">
        <w:t xml:space="preserve">ill.  </w:t>
      </w:r>
      <w:r w:rsidR="007C7017">
        <w:t xml:space="preserve">Consideration of information and data from adjacent parcels with a common filling history may also be used as a line of evidence.  </w:t>
      </w:r>
      <w:r w:rsidRPr="006B03D7">
        <w:t xml:space="preserve">A minimum number of borings/test pits recommended for a typical urban location (1/4 acre) is 4-6, with more required for larger or more complicated parcels. </w:t>
      </w:r>
    </w:p>
    <w:p w:rsidR="00E00C07" w:rsidRPr="006B03D7" w:rsidRDefault="00E00C07" w:rsidP="003F1DE1">
      <w:pPr>
        <w:tabs>
          <w:tab w:val="clear" w:pos="1800"/>
          <w:tab w:val="left" w:pos="0"/>
        </w:tabs>
        <w:ind w:left="720" w:firstLine="0"/>
      </w:pPr>
    </w:p>
    <w:p w:rsidR="008B7359" w:rsidRDefault="00D95300" w:rsidP="003F1DE1">
      <w:pPr>
        <w:tabs>
          <w:tab w:val="clear" w:pos="1800"/>
          <w:tab w:val="left" w:pos="0"/>
        </w:tabs>
        <w:ind w:left="720" w:firstLine="0"/>
      </w:pPr>
      <w:r w:rsidRPr="006B03D7">
        <w:t xml:space="preserve">The areas </w:t>
      </w:r>
      <w:r w:rsidR="00F43261" w:rsidRPr="006B03D7">
        <w:t>asserted to be</w:t>
      </w:r>
      <w:r w:rsidRPr="006B03D7">
        <w:t xml:space="preserve"> Historic Fill must be identified, characterized and verified through quantitative laboratory analysis.  Again, the site history plays an important role in determining the location, number and chemical analysis of the samples.  A site with a long history of industrial use would require a higher level of investigation to distinguish between releases from historic operations vs. Historic Fill emplacement.  At a minimum, the MCP 14 metals and PAH analysis </w:t>
      </w:r>
    </w:p>
    <w:p w:rsidR="008B7359" w:rsidRDefault="008B7359" w:rsidP="003F1DE1">
      <w:pPr>
        <w:tabs>
          <w:tab w:val="clear" w:pos="1800"/>
          <w:tab w:val="left" w:pos="0"/>
        </w:tabs>
        <w:ind w:left="720" w:firstLine="0"/>
      </w:pPr>
    </w:p>
    <w:p w:rsidR="00AF5FA0" w:rsidRPr="006B03D7" w:rsidRDefault="00D95300" w:rsidP="003F1DE1">
      <w:pPr>
        <w:tabs>
          <w:tab w:val="clear" w:pos="1800"/>
          <w:tab w:val="left" w:pos="0"/>
        </w:tabs>
        <w:ind w:left="720" w:firstLine="0"/>
      </w:pPr>
      <w:proofErr w:type="gramStart"/>
      <w:r w:rsidRPr="006B03D7">
        <w:t>should</w:t>
      </w:r>
      <w:proofErr w:type="gramEnd"/>
      <w:r w:rsidRPr="006B03D7">
        <w:t xml:space="preserve"> be conducted on each sample as well as those parameters necessary to define the nature and extent of other releases on the site.</w:t>
      </w:r>
      <w:r w:rsidR="007F243F">
        <w:t xml:space="preserve">  Depending upon visual and headspace screening results, EPH, VPH and VOCs may be warranted.</w:t>
      </w:r>
      <w:r w:rsidRPr="006B03D7">
        <w:t xml:space="preserve">  A representative number of soil samples </w:t>
      </w:r>
      <w:r w:rsidR="00B44D00" w:rsidRPr="006B03D7">
        <w:t>must</w:t>
      </w:r>
      <w:r w:rsidRPr="006B03D7">
        <w:t xml:space="preserve"> be collected including at least one from each discrete horizon/</w:t>
      </w:r>
      <w:r w:rsidR="00B44D00" w:rsidRPr="006B03D7">
        <w:t>F</w:t>
      </w:r>
      <w:r w:rsidRPr="006B03D7">
        <w:t xml:space="preserve">ill zone identified.  The boundary between </w:t>
      </w:r>
      <w:r w:rsidR="00F43261" w:rsidRPr="006B03D7">
        <w:t xml:space="preserve">Historic </w:t>
      </w:r>
      <w:r w:rsidR="00B44D00" w:rsidRPr="006B03D7">
        <w:t>F</w:t>
      </w:r>
      <w:r w:rsidRPr="006B03D7">
        <w:t>ill zones and native soil may be obvious based upon visual observations</w:t>
      </w:r>
      <w:r w:rsidR="00C66C35" w:rsidRPr="006B03D7">
        <w:t>,</w:t>
      </w:r>
      <w:r w:rsidRPr="006B03D7">
        <w:t xml:space="preserve"> but in some cases the distinction will not be clear and may require chemical analysis to assist in the determination of the boundary.  Composite sampling (5 discrete sub-samples) in similar zones or horizons is acceptable to provide broader coverage of the </w:t>
      </w:r>
      <w:r w:rsidR="00F43261" w:rsidRPr="006B03D7">
        <w:t xml:space="preserve">Historic </w:t>
      </w:r>
      <w:r w:rsidR="00B44D00" w:rsidRPr="006B03D7">
        <w:t>F</w:t>
      </w:r>
      <w:r w:rsidRPr="006B03D7">
        <w:t xml:space="preserve">ill area. Incremental sampling methodology (ISM) can also be used to obtain representative concentrations in the fill.  A minimum of one soil sample per boring/test pit/excavation is recommended.  XRF can also be used as a field screening tool to determine the </w:t>
      </w:r>
      <w:r w:rsidR="00B44D00" w:rsidRPr="006B03D7">
        <w:t xml:space="preserve">areas of elevated </w:t>
      </w:r>
      <w:r w:rsidRPr="006B03D7">
        <w:t xml:space="preserve">metals concentrations in the </w:t>
      </w:r>
      <w:r w:rsidR="00F43261" w:rsidRPr="006B03D7">
        <w:t xml:space="preserve">Historic </w:t>
      </w:r>
      <w:r w:rsidR="00B44D00" w:rsidRPr="006B03D7">
        <w:t>F</w:t>
      </w:r>
      <w:r w:rsidRPr="006B03D7">
        <w:t>ill and aid decisions about</w:t>
      </w:r>
      <w:r w:rsidR="00F43261" w:rsidRPr="006B03D7">
        <w:t xml:space="preserve"> quantitative</w:t>
      </w:r>
      <w:r w:rsidRPr="006B03D7">
        <w:t xml:space="preserve"> laboratory analysis.</w:t>
      </w:r>
    </w:p>
    <w:p w:rsidR="00AF5FA0" w:rsidRPr="006B03D7" w:rsidRDefault="00AF5FA0" w:rsidP="003F1DE1">
      <w:pPr>
        <w:tabs>
          <w:tab w:val="clear" w:pos="1800"/>
          <w:tab w:val="left" w:pos="0"/>
        </w:tabs>
        <w:ind w:left="0" w:firstLine="0"/>
      </w:pPr>
    </w:p>
    <w:p w:rsidR="00AF5FA0" w:rsidRPr="006B03D7" w:rsidRDefault="00D95300" w:rsidP="003F1DE1">
      <w:pPr>
        <w:tabs>
          <w:tab w:val="clear" w:pos="1800"/>
          <w:tab w:val="left" w:pos="0"/>
        </w:tabs>
        <w:ind w:left="720" w:firstLine="0"/>
      </w:pPr>
      <w:r w:rsidRPr="006B03D7">
        <w:t>Forensic analysis is a useful tool to support Historic Fill determinations in identifying ash and other components of the soil matrix which would provide a line of evidence</w:t>
      </w:r>
      <w:r w:rsidR="007C7017">
        <w:t xml:space="preserve"> for the origin of the OHM</w:t>
      </w:r>
      <w:r w:rsidRPr="006B03D7">
        <w:t>.  Laboratories can use microscopy to identify particles in the soil matrix</w:t>
      </w:r>
      <w:r w:rsidR="007C7017">
        <w:t xml:space="preserve"> and to selectively analyze samples</w:t>
      </w:r>
      <w:r w:rsidRPr="006B03D7">
        <w:t>.  Typical ash analysis includes Polarized Light Microscopy (PLM), Scanning Electron Microscopy (SEM) and Energy Dispersive Spectroscopy (EDS).</w:t>
      </w:r>
      <w:r w:rsidR="0051387A">
        <w:t xml:space="preserve">  Fly ash and bottom ash have different shape characteristics and metal composition. This distinction can be used to determine if the metals concentrations are due to the ash or another source. </w:t>
      </w:r>
      <w:r w:rsidRPr="006B03D7">
        <w:t xml:space="preserve"> EDS is also used to determine if paint chips contain lead since EDS provides an elemental analysis of a particle.</w:t>
      </w:r>
      <w:r w:rsidR="007C7017">
        <w:t xml:space="preserve"> Alkylated PAH analysis </w:t>
      </w:r>
      <w:r w:rsidR="000E0CEA">
        <w:t xml:space="preserve">and ratio plots </w:t>
      </w:r>
      <w:r w:rsidR="007C7017">
        <w:t xml:space="preserve">can </w:t>
      </w:r>
      <w:r w:rsidR="0051387A">
        <w:t>be used to</w:t>
      </w:r>
      <w:r w:rsidR="007C7017">
        <w:t xml:space="preserve"> provide information regarding the origin of the </w:t>
      </w:r>
      <w:r w:rsidR="000E0CEA">
        <w:t>PAHs</w:t>
      </w:r>
      <w:r w:rsidR="007C7017">
        <w:t xml:space="preserve"> to support a </w:t>
      </w:r>
      <w:r w:rsidR="000E0CEA">
        <w:t xml:space="preserve">Historic Fill </w:t>
      </w:r>
      <w:r w:rsidR="007C7017">
        <w:t>determination.</w:t>
      </w:r>
    </w:p>
    <w:p w:rsidR="00F43261" w:rsidRPr="006B03D7" w:rsidRDefault="00F43261" w:rsidP="003F1DE1">
      <w:pPr>
        <w:tabs>
          <w:tab w:val="clear" w:pos="1800"/>
          <w:tab w:val="left" w:pos="0"/>
        </w:tabs>
        <w:ind w:left="720" w:firstLine="0"/>
      </w:pPr>
    </w:p>
    <w:p w:rsidR="003F1DE1" w:rsidRPr="003F1DE1" w:rsidRDefault="00D95300" w:rsidP="003F1DE1">
      <w:pPr>
        <w:tabs>
          <w:tab w:val="clear" w:pos="1800"/>
          <w:tab w:val="left" w:pos="0"/>
        </w:tabs>
        <w:ind w:left="720" w:firstLine="0"/>
        <w:rPr>
          <w:b/>
          <w:u w:val="single"/>
        </w:rPr>
      </w:pPr>
      <w:r w:rsidRPr="003F1DE1">
        <w:rPr>
          <w:b/>
          <w:u w:val="single"/>
        </w:rPr>
        <w:t>Data Compilation</w:t>
      </w:r>
    </w:p>
    <w:p w:rsidR="003F1DE1" w:rsidRDefault="003F1DE1" w:rsidP="003F1DE1">
      <w:pPr>
        <w:tabs>
          <w:tab w:val="clear" w:pos="1800"/>
          <w:tab w:val="left" w:pos="0"/>
        </w:tabs>
        <w:ind w:left="720" w:firstLine="0"/>
        <w:rPr>
          <w:u w:val="single"/>
        </w:rPr>
      </w:pPr>
    </w:p>
    <w:p w:rsidR="00473D1C" w:rsidRPr="006B03D7" w:rsidRDefault="00D95300" w:rsidP="003F1DE1">
      <w:pPr>
        <w:tabs>
          <w:tab w:val="clear" w:pos="1800"/>
          <w:tab w:val="left" w:pos="0"/>
        </w:tabs>
        <w:ind w:left="720" w:firstLine="0"/>
      </w:pPr>
      <w:r w:rsidRPr="006B03D7">
        <w:t>Data should be compiled in tables with ranges, max</w:t>
      </w:r>
      <w:r w:rsidR="000E0CEA">
        <w:t>imum</w:t>
      </w:r>
      <w:r w:rsidRPr="006B03D7">
        <w:t xml:space="preserve"> and min</w:t>
      </w:r>
      <w:r w:rsidR="000E0CEA">
        <w:t>imum</w:t>
      </w:r>
      <w:r w:rsidRPr="006B03D7">
        <w:t>, avera</w:t>
      </w:r>
      <w:r w:rsidR="00B44D00" w:rsidRPr="006B03D7">
        <w:t xml:space="preserve">ge or median in a format which </w:t>
      </w:r>
      <w:r w:rsidRPr="006B03D7">
        <w:t>can be compared to Table 1,</w:t>
      </w:r>
      <w:r w:rsidR="000E0CEA">
        <w:t xml:space="preserve"> which contains </w:t>
      </w:r>
      <w:r w:rsidRPr="006B03D7">
        <w:t>the 90</w:t>
      </w:r>
      <w:r w:rsidRPr="006B03D7">
        <w:rPr>
          <w:vertAlign w:val="superscript"/>
        </w:rPr>
        <w:t>th</w:t>
      </w:r>
      <w:r w:rsidRPr="006B03D7">
        <w:t xml:space="preserve"> percentile </w:t>
      </w:r>
      <w:r w:rsidR="000E0CEA">
        <w:t>data</w:t>
      </w:r>
      <w:r w:rsidR="0051387A">
        <w:t xml:space="preserve"> tabulation</w:t>
      </w:r>
      <w:r w:rsidRPr="006B03D7">
        <w:t xml:space="preserve">. Table 1- 90th percentile values are </w:t>
      </w:r>
      <w:r w:rsidR="00B44D00" w:rsidRPr="006B03D7">
        <w:t xml:space="preserve">considered </w:t>
      </w:r>
      <w:r w:rsidRPr="006B03D7">
        <w:t xml:space="preserve">a maximum, </w:t>
      </w:r>
      <w:r w:rsidR="00B44D00" w:rsidRPr="006B03D7">
        <w:t>“</w:t>
      </w:r>
      <w:r w:rsidRPr="006B03D7">
        <w:t>not to exceed concentration</w:t>
      </w:r>
      <w:r w:rsidR="00E03BDD" w:rsidRPr="006B03D7">
        <w:t>”</w:t>
      </w:r>
      <w:r w:rsidRPr="006B03D7">
        <w:t xml:space="preserve">.  If </w:t>
      </w:r>
      <w:r w:rsidR="00C66C35" w:rsidRPr="006B03D7">
        <w:t>contaminant concentrations</w:t>
      </w:r>
      <w:r w:rsidR="0051387A">
        <w:t xml:space="preserve"> in the Fill</w:t>
      </w:r>
      <w:r w:rsidR="00C66C35" w:rsidRPr="006B03D7">
        <w:t xml:space="preserve"> fall</w:t>
      </w:r>
      <w:r w:rsidRPr="006B03D7">
        <w:t xml:space="preserve"> outside </w:t>
      </w:r>
      <w:r w:rsidR="00C66C35" w:rsidRPr="006B03D7">
        <w:t xml:space="preserve">of </w:t>
      </w:r>
      <w:r w:rsidRPr="006B03D7">
        <w:t>those values, a higher level of effort</w:t>
      </w:r>
      <w:r w:rsidR="007B1A48" w:rsidRPr="006B03D7">
        <w:t>,</w:t>
      </w:r>
      <w:r w:rsidRPr="006B03D7">
        <w:t xml:space="preserve"> including additional data</w:t>
      </w:r>
      <w:r w:rsidR="007B1A48" w:rsidRPr="006B03D7">
        <w:t>,</w:t>
      </w:r>
      <w:r w:rsidRPr="006B03D7">
        <w:t xml:space="preserve"> would be </w:t>
      </w:r>
      <w:r w:rsidR="00E03BDD" w:rsidRPr="006B03D7">
        <w:t xml:space="preserve">warranted </w:t>
      </w:r>
      <w:r w:rsidRPr="006B03D7">
        <w:t xml:space="preserve">in order to provide a statistically valid data set.  Additional justification necessary to </w:t>
      </w:r>
      <w:r w:rsidR="007B1A48" w:rsidRPr="006B03D7">
        <w:t>support a</w:t>
      </w:r>
      <w:r w:rsidRPr="006B03D7">
        <w:t xml:space="preserve"> Historic Fill </w:t>
      </w:r>
      <w:r w:rsidR="007B1A48" w:rsidRPr="006B03D7">
        <w:t xml:space="preserve">determination </w:t>
      </w:r>
      <w:r w:rsidRPr="006B03D7">
        <w:t>may include information from sites/projects in the area,</w:t>
      </w:r>
      <w:r w:rsidR="00022F30" w:rsidRPr="006B03D7">
        <w:t xml:space="preserve"> peer reviewed publications</w:t>
      </w:r>
      <w:r w:rsidRPr="006B03D7">
        <w:t xml:space="preserve">, and/or government studies. Potential or known releases at a site with the same contaminants as those typically found in Historic Fill would require a much higher level of effort </w:t>
      </w:r>
      <w:r w:rsidR="0087542D" w:rsidRPr="006B03D7">
        <w:t xml:space="preserve">to support </w:t>
      </w:r>
      <w:r w:rsidR="003E0612" w:rsidRPr="006B03D7">
        <w:t>a</w:t>
      </w:r>
      <w:r w:rsidR="0087542D" w:rsidRPr="006B03D7">
        <w:t xml:space="preserve"> Historic Fill determination </w:t>
      </w:r>
      <w:r w:rsidRPr="006B03D7">
        <w:t xml:space="preserve">than </w:t>
      </w:r>
      <w:r w:rsidR="0087542D" w:rsidRPr="006B03D7">
        <w:t xml:space="preserve">a </w:t>
      </w:r>
      <w:r w:rsidRPr="006B03D7">
        <w:t xml:space="preserve">release where the contaminants are </w:t>
      </w:r>
      <w:r w:rsidR="0087542D" w:rsidRPr="006B03D7">
        <w:t xml:space="preserve">clearly </w:t>
      </w:r>
      <w:r w:rsidRPr="006B03D7">
        <w:t xml:space="preserve">distinct from </w:t>
      </w:r>
      <w:r w:rsidR="0087542D" w:rsidRPr="006B03D7">
        <w:t>OHM typically found in Historic Fill</w:t>
      </w:r>
      <w:r w:rsidRPr="006B03D7">
        <w:t>.</w:t>
      </w:r>
    </w:p>
    <w:p w:rsidR="006C7337" w:rsidRPr="006B03D7" w:rsidRDefault="006C7337" w:rsidP="003F1DE1">
      <w:pPr>
        <w:tabs>
          <w:tab w:val="clear" w:pos="1800"/>
          <w:tab w:val="left" w:pos="0"/>
        </w:tabs>
        <w:ind w:left="0" w:firstLine="0"/>
      </w:pPr>
    </w:p>
    <w:p w:rsidR="003F1DE1" w:rsidRDefault="00D95300" w:rsidP="003F1DE1">
      <w:pPr>
        <w:tabs>
          <w:tab w:val="clear" w:pos="1800"/>
          <w:tab w:val="left" w:pos="0"/>
        </w:tabs>
        <w:ind w:left="0" w:firstLine="0"/>
        <w:rPr>
          <w:u w:val="single"/>
        </w:rPr>
      </w:pPr>
      <w:r w:rsidRPr="006B03D7">
        <w:tab/>
      </w:r>
      <w:r w:rsidRPr="003F1DE1">
        <w:rPr>
          <w:b/>
          <w:u w:val="single"/>
        </w:rPr>
        <w:t>Conceptual Site Mod</w:t>
      </w:r>
      <w:r w:rsidRPr="006B03D7">
        <w:rPr>
          <w:u w:val="single"/>
        </w:rPr>
        <w:t>el</w:t>
      </w:r>
    </w:p>
    <w:p w:rsidR="003F1DE1" w:rsidRDefault="003F1DE1" w:rsidP="003F1DE1">
      <w:pPr>
        <w:tabs>
          <w:tab w:val="clear" w:pos="1800"/>
          <w:tab w:val="left" w:pos="0"/>
        </w:tabs>
        <w:ind w:left="0" w:firstLine="0"/>
        <w:rPr>
          <w:u w:val="single"/>
        </w:rPr>
      </w:pPr>
    </w:p>
    <w:p w:rsidR="005A2860" w:rsidRPr="006B03D7" w:rsidRDefault="00D95300" w:rsidP="003F1DE1">
      <w:pPr>
        <w:tabs>
          <w:tab w:val="clear" w:pos="1800"/>
          <w:tab w:val="left" w:pos="0"/>
        </w:tabs>
        <w:ind w:left="720" w:firstLine="0"/>
      </w:pPr>
      <w:proofErr w:type="gramStart"/>
      <w:r w:rsidRPr="006B03D7">
        <w:t>a</w:t>
      </w:r>
      <w:proofErr w:type="gramEnd"/>
      <w:r w:rsidRPr="006B03D7">
        <w:t xml:space="preserve"> discussion of the </w:t>
      </w:r>
      <w:r w:rsidR="006505F3" w:rsidRPr="006B03D7">
        <w:t xml:space="preserve">OHM origins including </w:t>
      </w:r>
      <w:r w:rsidR="00587AC0">
        <w:t xml:space="preserve">possible on-site sources, </w:t>
      </w:r>
      <w:r w:rsidR="006505F3" w:rsidRPr="006B03D7">
        <w:t xml:space="preserve">Anthropogenic Background and the </w:t>
      </w:r>
      <w:r w:rsidRPr="006B03D7">
        <w:t>Historic Fill</w:t>
      </w:r>
      <w:r w:rsidR="006C7337" w:rsidRPr="006B03D7">
        <w:t xml:space="preserve"> </w:t>
      </w:r>
      <w:r w:rsidR="00262BE1" w:rsidRPr="006B03D7">
        <w:t>determination</w:t>
      </w:r>
      <w:r w:rsidRPr="006B03D7">
        <w:t xml:space="preserve"> </w:t>
      </w:r>
      <w:r w:rsidR="006505F3" w:rsidRPr="006B03D7">
        <w:t>should</w:t>
      </w:r>
      <w:r w:rsidRPr="006B03D7">
        <w:t xml:space="preserve"> be included in the CSM, including </w:t>
      </w:r>
      <w:r w:rsidR="00022F30" w:rsidRPr="006B03D7">
        <w:t>site history, the fill</w:t>
      </w:r>
      <w:r w:rsidRPr="006B03D7">
        <w:t xml:space="preserve"> location</w:t>
      </w:r>
      <w:r w:rsidR="00022F30" w:rsidRPr="006B03D7">
        <w:t xml:space="preserve"> in relationship to the disposal site</w:t>
      </w:r>
      <w:r w:rsidRPr="006B03D7">
        <w:t xml:space="preserve">, </w:t>
      </w:r>
      <w:r w:rsidR="00022F30" w:rsidRPr="006B03D7">
        <w:t xml:space="preserve">and the fill </w:t>
      </w:r>
      <w:r w:rsidRPr="006B03D7">
        <w:t>composition</w:t>
      </w:r>
      <w:r w:rsidR="00022F30" w:rsidRPr="006B03D7">
        <w:t xml:space="preserve"> both descriptive and analytic.</w:t>
      </w:r>
    </w:p>
    <w:p w:rsidR="00E83A96" w:rsidRDefault="00E83A96" w:rsidP="003F1DE1">
      <w:pPr>
        <w:tabs>
          <w:tab w:val="clear" w:pos="1800"/>
          <w:tab w:val="left" w:pos="0"/>
        </w:tabs>
        <w:ind w:left="0" w:firstLine="0"/>
        <w:rPr>
          <w:b/>
        </w:rPr>
      </w:pPr>
    </w:p>
    <w:p w:rsidR="00E83A96" w:rsidRDefault="00E03BDD" w:rsidP="003F1DE1">
      <w:pPr>
        <w:tabs>
          <w:tab w:val="clear" w:pos="1800"/>
          <w:tab w:val="left" w:pos="0"/>
        </w:tabs>
        <w:ind w:left="0" w:firstLine="0"/>
        <w:rPr>
          <w:b/>
        </w:rPr>
      </w:pPr>
      <w:r w:rsidRPr="006B03D7">
        <w:rPr>
          <w:b/>
        </w:rPr>
        <w:t>Risk</w:t>
      </w:r>
      <w:r w:rsidR="001A7F50">
        <w:rPr>
          <w:b/>
        </w:rPr>
        <w:t xml:space="preserve"> </w:t>
      </w:r>
      <w:r w:rsidR="00D95300" w:rsidRPr="006B03D7">
        <w:rPr>
          <w:b/>
        </w:rPr>
        <w:t>Characterization</w:t>
      </w:r>
    </w:p>
    <w:p w:rsidR="00E83A96" w:rsidRDefault="00E83A96" w:rsidP="003F1DE1">
      <w:pPr>
        <w:tabs>
          <w:tab w:val="clear" w:pos="1800"/>
          <w:tab w:val="left" w:pos="0"/>
        </w:tabs>
        <w:ind w:left="0" w:firstLine="0"/>
        <w:rPr>
          <w:b/>
        </w:rPr>
      </w:pPr>
    </w:p>
    <w:p w:rsidR="002B45DB" w:rsidRPr="006B03D7" w:rsidRDefault="00D95300" w:rsidP="003F1DE1">
      <w:pPr>
        <w:tabs>
          <w:tab w:val="clear" w:pos="1800"/>
          <w:tab w:val="left" w:pos="0"/>
        </w:tabs>
        <w:ind w:left="0" w:firstLine="0"/>
        <w:rPr>
          <w:b/>
        </w:rPr>
      </w:pPr>
      <w:r w:rsidRPr="006B03D7">
        <w:t xml:space="preserve">Per 310 CMR 40.0902(3) if the concentration(s) of OHM is at or below </w:t>
      </w:r>
      <w:r w:rsidR="00BE3C19">
        <w:t>Natural or Anthropogenic B</w:t>
      </w:r>
      <w:r w:rsidRPr="006B03D7">
        <w:t>ackground levels, then that OHM does not need to be included in the Risk Characterization.</w:t>
      </w:r>
    </w:p>
    <w:p w:rsidR="002B45DB" w:rsidRPr="006B03D7" w:rsidRDefault="002B45DB" w:rsidP="003F1DE1">
      <w:pPr>
        <w:tabs>
          <w:tab w:val="clear" w:pos="1800"/>
          <w:tab w:val="left" w:pos="0"/>
        </w:tabs>
        <w:ind w:left="0" w:firstLine="0"/>
      </w:pPr>
    </w:p>
    <w:p w:rsidR="00E83A96" w:rsidRDefault="00D95300" w:rsidP="003F1DE1">
      <w:pPr>
        <w:tabs>
          <w:tab w:val="clear" w:pos="1800"/>
          <w:tab w:val="left" w:pos="0"/>
        </w:tabs>
        <w:ind w:left="0" w:firstLine="0"/>
        <w:rPr>
          <w:b/>
        </w:rPr>
      </w:pPr>
      <w:r w:rsidRPr="006B03D7">
        <w:rPr>
          <w:b/>
        </w:rPr>
        <w:t>Site Closure</w:t>
      </w:r>
    </w:p>
    <w:p w:rsidR="00E83A96" w:rsidRDefault="00E83A96" w:rsidP="003F1DE1">
      <w:pPr>
        <w:tabs>
          <w:tab w:val="clear" w:pos="1800"/>
          <w:tab w:val="left" w:pos="0"/>
        </w:tabs>
        <w:ind w:left="0" w:firstLine="0"/>
        <w:rPr>
          <w:b/>
        </w:rPr>
      </w:pPr>
    </w:p>
    <w:p w:rsidR="00C02D34" w:rsidRPr="006B03D7" w:rsidRDefault="00C02D34" w:rsidP="003F1DE1">
      <w:pPr>
        <w:tabs>
          <w:tab w:val="clear" w:pos="1800"/>
          <w:tab w:val="left" w:pos="0"/>
        </w:tabs>
        <w:ind w:left="0" w:firstLine="0"/>
      </w:pPr>
      <w:r w:rsidRPr="006B03D7">
        <w:t>Sites at which OHM have been eliminated from the risk characterization because they have been determined to be Anthropogenic Background (including Historic Fill) are eligible for a Permanent Solution with Conditions.</w:t>
      </w:r>
    </w:p>
    <w:p w:rsidR="00C02D34" w:rsidRPr="006B03D7" w:rsidRDefault="00C02D34" w:rsidP="003F1DE1">
      <w:pPr>
        <w:tabs>
          <w:tab w:val="clear" w:pos="1800"/>
          <w:tab w:val="left" w:pos="0"/>
        </w:tabs>
        <w:ind w:left="0" w:firstLine="0"/>
      </w:pPr>
    </w:p>
    <w:p w:rsidR="008B7359" w:rsidRDefault="00C02D34" w:rsidP="003F1DE1">
      <w:pPr>
        <w:tabs>
          <w:tab w:val="clear" w:pos="1800"/>
          <w:tab w:val="left" w:pos="0"/>
        </w:tabs>
        <w:ind w:left="0" w:firstLine="0"/>
      </w:pPr>
      <w:r w:rsidRPr="006B03D7">
        <w:t xml:space="preserve"> A Permanent Solution with Conditions and an Activity and Use Limitation applies at sites where the risk characterization, excluding the OHM exclusively associated with Anthropogenic Background, also includes limitations on site use and potential exposure in order to document a condition of No Significant </w:t>
      </w:r>
    </w:p>
    <w:p w:rsidR="008B7359" w:rsidRDefault="008B7359" w:rsidP="003F1DE1">
      <w:pPr>
        <w:tabs>
          <w:tab w:val="clear" w:pos="1800"/>
          <w:tab w:val="left" w:pos="0"/>
        </w:tabs>
        <w:ind w:left="0" w:firstLine="0"/>
      </w:pPr>
    </w:p>
    <w:p w:rsidR="00C02D34" w:rsidRPr="006B03D7" w:rsidRDefault="00C02D34" w:rsidP="003F1DE1">
      <w:pPr>
        <w:tabs>
          <w:tab w:val="clear" w:pos="1800"/>
          <w:tab w:val="left" w:pos="0"/>
        </w:tabs>
        <w:ind w:left="0" w:firstLine="0"/>
      </w:pPr>
      <w:proofErr w:type="gramStart"/>
      <w:r w:rsidRPr="006B03D7">
        <w:t>Risk.</w:t>
      </w:r>
      <w:proofErr w:type="gramEnd"/>
    </w:p>
    <w:p w:rsidR="00C02D34" w:rsidRPr="006B03D7" w:rsidRDefault="00C02D34" w:rsidP="003F1DE1">
      <w:pPr>
        <w:tabs>
          <w:tab w:val="clear" w:pos="1800"/>
          <w:tab w:val="left" w:pos="0"/>
        </w:tabs>
        <w:ind w:left="0" w:firstLine="0"/>
      </w:pPr>
    </w:p>
    <w:p w:rsidR="00C02D34" w:rsidRPr="006B03D7" w:rsidRDefault="00C02D34" w:rsidP="003F1DE1">
      <w:pPr>
        <w:tabs>
          <w:tab w:val="clear" w:pos="1800"/>
          <w:tab w:val="left" w:pos="0"/>
        </w:tabs>
        <w:ind w:left="0" w:firstLine="0"/>
      </w:pPr>
      <w:r w:rsidRPr="006B03D7">
        <w:t xml:space="preserve">A Permanent Solution with Conditions but No AUL (310 CMR 40.1013) applies at sites where the risk characterization, excluding the OHM exclusively associated with Anthropogenic Background, documents a condition of No Significant Risk for unrestricted use of the site.  </w:t>
      </w:r>
    </w:p>
    <w:p w:rsidR="00C02D34" w:rsidRPr="006B03D7" w:rsidRDefault="00C02D34" w:rsidP="003F1DE1">
      <w:pPr>
        <w:tabs>
          <w:tab w:val="clear" w:pos="1800"/>
          <w:tab w:val="left" w:pos="0"/>
        </w:tabs>
        <w:ind w:left="0" w:firstLine="0"/>
      </w:pPr>
    </w:p>
    <w:p w:rsidR="002B45DB" w:rsidRPr="006B03D7" w:rsidRDefault="00E03BDD" w:rsidP="003F1DE1">
      <w:pPr>
        <w:tabs>
          <w:tab w:val="clear" w:pos="1800"/>
          <w:tab w:val="left" w:pos="0"/>
        </w:tabs>
        <w:ind w:left="0" w:firstLine="0"/>
        <w:rPr>
          <w:b/>
        </w:rPr>
      </w:pPr>
      <w:r w:rsidRPr="006B03D7">
        <w:t>Response action</w:t>
      </w:r>
      <w:r w:rsidR="00C02D34" w:rsidRPr="006B03D7">
        <w:t>s</w:t>
      </w:r>
      <w:r w:rsidRPr="006B03D7">
        <w:t xml:space="preserve"> must include at a </w:t>
      </w:r>
      <w:r w:rsidR="00D95300" w:rsidRPr="006B03D7">
        <w:t xml:space="preserve">minimum an Initial Site Investigation, </w:t>
      </w:r>
      <w:r w:rsidRPr="006B03D7">
        <w:t xml:space="preserve">where work is completed </w:t>
      </w:r>
      <w:r w:rsidR="00D95300" w:rsidRPr="006B03D7">
        <w:t xml:space="preserve">within a year of notification.  Otherwise, the site must be Tier Classified with a Phase I report and continue with </w:t>
      </w:r>
      <w:r w:rsidR="000A43E6" w:rsidRPr="006B03D7">
        <w:t xml:space="preserve">phased </w:t>
      </w:r>
      <w:r w:rsidR="00D95300" w:rsidRPr="006B03D7">
        <w:t>response actions.</w:t>
      </w:r>
    </w:p>
    <w:p w:rsidR="00C93EC3" w:rsidRPr="006B03D7" w:rsidRDefault="00D95300" w:rsidP="003F1DE1">
      <w:pPr>
        <w:tabs>
          <w:tab w:val="clear" w:pos="1800"/>
          <w:tab w:val="left" w:pos="0"/>
        </w:tabs>
        <w:ind w:left="0" w:firstLine="0"/>
      </w:pPr>
      <w:r w:rsidRPr="006B03D7">
        <w:tab/>
      </w:r>
    </w:p>
    <w:p w:rsidR="0095008A" w:rsidRPr="006B03D7" w:rsidRDefault="00E03BDD" w:rsidP="003F1DE1">
      <w:pPr>
        <w:tabs>
          <w:tab w:val="clear" w:pos="1800"/>
          <w:tab w:val="left" w:pos="0"/>
        </w:tabs>
        <w:ind w:left="0" w:firstLine="0"/>
      </w:pPr>
      <w:r w:rsidRPr="006B03D7">
        <w:t>Historic Fill Delineation - P</w:t>
      </w:r>
      <w:r w:rsidR="00D95300" w:rsidRPr="006B03D7">
        <w:t xml:space="preserve">er 310 CMR 40.1056(2) (a) and (j) (2), a Permanent Solution must contain a clear and accurate description of the disposal site including the location of the areas characterized as </w:t>
      </w:r>
      <w:r w:rsidR="000A43E6" w:rsidRPr="006B03D7">
        <w:t xml:space="preserve">Background </w:t>
      </w:r>
      <w:r w:rsidR="006505F3" w:rsidRPr="006B03D7">
        <w:t xml:space="preserve">relative to </w:t>
      </w:r>
      <w:r w:rsidR="000A43E6" w:rsidRPr="006B03D7">
        <w:t xml:space="preserve">the </w:t>
      </w:r>
      <w:r w:rsidR="000A43E6" w:rsidRPr="00587AC0">
        <w:rPr>
          <w:u w:val="single"/>
        </w:rPr>
        <w:t>disposal site</w:t>
      </w:r>
      <w:r w:rsidR="006505F3" w:rsidRPr="00587AC0">
        <w:rPr>
          <w:u w:val="single"/>
        </w:rPr>
        <w:t xml:space="preserve"> boundaries</w:t>
      </w:r>
      <w:r w:rsidR="00D95300" w:rsidRPr="006B03D7">
        <w:t xml:space="preserve">.  A simple way to achieve this requirement is to provide a plan </w:t>
      </w:r>
      <w:r w:rsidRPr="006B03D7">
        <w:t xml:space="preserve">to scale </w:t>
      </w:r>
      <w:r w:rsidR="00D95300" w:rsidRPr="006B03D7">
        <w:t xml:space="preserve">which shows the disposal site boundaries </w:t>
      </w:r>
      <w:r w:rsidRPr="006B03D7">
        <w:t xml:space="preserve">along with locations/landmarks, </w:t>
      </w:r>
      <w:r w:rsidR="00D95300" w:rsidRPr="006B03D7">
        <w:t xml:space="preserve">and the approximate/extrapolated </w:t>
      </w:r>
      <w:r w:rsidRPr="006B03D7">
        <w:t xml:space="preserve">vertical and horizontal </w:t>
      </w:r>
      <w:r w:rsidR="00D95300" w:rsidRPr="006B03D7">
        <w:t>Historic Fill boundaries</w:t>
      </w:r>
      <w:r w:rsidRPr="006B03D7">
        <w:t xml:space="preserve"> relative to the disposal site/areas of contamination included in the risk characterization.  Such a plan is considered the best approach for conveying information about the location of Historic Fill to MassDEP, current and future property owners and others who may reviewing the Permanent Solution Statement, as well as ensuring that Historic Fill is identified and properly managed as part of future site development. A</w:t>
      </w:r>
      <w:r w:rsidR="00D95300" w:rsidRPr="006B03D7">
        <w:t xml:space="preserve"> detailed narrative description that identifies the</w:t>
      </w:r>
      <w:r w:rsidR="00A76C07" w:rsidRPr="006B03D7">
        <w:t xml:space="preserve"> known or implied</w:t>
      </w:r>
      <w:r w:rsidR="00D95300" w:rsidRPr="006B03D7">
        <w:t xml:space="preserve"> vertical and horizontal extent of Historic Fill </w:t>
      </w:r>
      <w:r w:rsidR="00641A4F" w:rsidRPr="006B03D7">
        <w:t xml:space="preserve">within the site boundaries </w:t>
      </w:r>
      <w:r w:rsidR="00D95300" w:rsidRPr="006B03D7">
        <w:t>along with locations/landmarks so that the area can be readily identified</w:t>
      </w:r>
      <w:r w:rsidRPr="006B03D7">
        <w:t xml:space="preserve"> may also be provided in addition to a plan, but a description alone is not considered</w:t>
      </w:r>
      <w:r w:rsidR="00587AC0">
        <w:t xml:space="preserve"> adequate</w:t>
      </w:r>
      <w:r w:rsidR="00D95300" w:rsidRPr="006B03D7">
        <w:t>.</w:t>
      </w:r>
    </w:p>
    <w:p w:rsidR="00F43261" w:rsidRPr="006B03D7" w:rsidRDefault="00F43261" w:rsidP="003F1DE1">
      <w:pPr>
        <w:tabs>
          <w:tab w:val="clear" w:pos="1800"/>
          <w:tab w:val="left" w:pos="0"/>
        </w:tabs>
        <w:ind w:left="0" w:firstLine="0"/>
      </w:pPr>
    </w:p>
    <w:p w:rsidR="00C93EC3" w:rsidRPr="006B03D7" w:rsidRDefault="008C5F91" w:rsidP="003F1DE1">
      <w:pPr>
        <w:tabs>
          <w:tab w:val="clear" w:pos="1800"/>
          <w:tab w:val="left" w:pos="0"/>
        </w:tabs>
        <w:ind w:left="0" w:firstLine="0"/>
      </w:pPr>
      <w:r w:rsidRPr="006B03D7">
        <w:t>Anthropogenic Background,</w:t>
      </w:r>
      <w:r w:rsidR="00B306FE" w:rsidRPr="006B03D7">
        <w:t xml:space="preserve"> and the subset Historic Fill,</w:t>
      </w:r>
      <w:r w:rsidRPr="006B03D7">
        <w:t xml:space="preserve"> is </w:t>
      </w:r>
      <w:r w:rsidR="00D95300" w:rsidRPr="006B03D7">
        <w:t>itself a “condition”</w:t>
      </w:r>
      <w:r w:rsidRPr="006B03D7">
        <w:t xml:space="preserve"> of the Permanent Solution.  Pursuant to 310 CMR 40.1056(2)(j)(2), the documentation related to this condition must be included in the Permanent Solution Statement</w:t>
      </w:r>
      <w:r w:rsidR="00D95300" w:rsidRPr="006B03D7">
        <w:t xml:space="preserve">. </w:t>
      </w:r>
      <w:r w:rsidRPr="00587AC0">
        <w:rPr>
          <w:i/>
        </w:rPr>
        <w:t>In this regard, i</w:t>
      </w:r>
      <w:r w:rsidR="00D95300" w:rsidRPr="00587AC0">
        <w:rPr>
          <w:i/>
        </w:rPr>
        <w:t>t is recommended that the Permanent Solution Statement include information regarding the handling of th</w:t>
      </w:r>
      <w:r w:rsidR="000A43E6" w:rsidRPr="00587AC0">
        <w:rPr>
          <w:i/>
        </w:rPr>
        <w:t>is material</w:t>
      </w:r>
      <w:r w:rsidR="00D95300" w:rsidRPr="00587AC0">
        <w:rPr>
          <w:i/>
        </w:rPr>
        <w:t xml:space="preserve"> should it be excavated or moved.  An LSP may make recommendations in the form of Best Management Practices regarding future use include maintaining the </w:t>
      </w:r>
      <w:r w:rsidRPr="00587AC0">
        <w:rPr>
          <w:i/>
        </w:rPr>
        <w:t>F</w:t>
      </w:r>
      <w:r w:rsidR="00D95300" w:rsidRPr="00587AC0">
        <w:rPr>
          <w:i/>
        </w:rPr>
        <w:t>ill in place, excavation, construction, gardening, etc.</w:t>
      </w:r>
      <w:r w:rsidR="00D95300" w:rsidRPr="006B03D7">
        <w:t xml:space="preserve">  </w:t>
      </w:r>
      <w:r w:rsidR="000A43E6" w:rsidRPr="006B03D7">
        <w:t>Anthropogenic Background/</w:t>
      </w:r>
      <w:r w:rsidR="00D95300" w:rsidRPr="006B03D7">
        <w:t xml:space="preserve">Historic Fill </w:t>
      </w:r>
      <w:r w:rsidR="0087542D" w:rsidRPr="006B03D7">
        <w:t xml:space="preserve">that is excavated </w:t>
      </w:r>
      <w:r w:rsidR="00D95300" w:rsidRPr="006B03D7">
        <w:t xml:space="preserve">must still be managed as a remediation waste if RCs are exceeded. Pursuant to 310 CMR 40.1067(5) </w:t>
      </w:r>
      <w:r w:rsidRPr="006B03D7">
        <w:t xml:space="preserve">applicable to </w:t>
      </w:r>
      <w:r w:rsidR="00D95300" w:rsidRPr="006B03D7">
        <w:t>remedial actions</w:t>
      </w:r>
      <w:r w:rsidRPr="006B03D7">
        <w:t xml:space="preserve"> at disposal sites with a Permanent Solution with Conditions where an AUL is not require</w:t>
      </w:r>
      <w:r w:rsidR="00587AC0">
        <w:t>d</w:t>
      </w:r>
      <w:r w:rsidRPr="006B03D7">
        <w:t xml:space="preserve"> (i.e., in the case of a Permanent Solution with conditions limited to Historic Fill),</w:t>
      </w:r>
      <w:r w:rsidR="00D95300" w:rsidRPr="006B03D7">
        <w:t xml:space="preserve"> which exceed the limited excavation threshold, i.e. 100 yds</w:t>
      </w:r>
      <w:r w:rsidR="00D95300" w:rsidRPr="006B03D7">
        <w:rPr>
          <w:vertAlign w:val="superscript"/>
        </w:rPr>
        <w:t>3</w:t>
      </w:r>
      <w:r w:rsidR="00D95300" w:rsidRPr="006B03D7">
        <w:t xml:space="preserve"> oil and 20 yds</w:t>
      </w:r>
      <w:r w:rsidR="00D95300" w:rsidRPr="006B03D7">
        <w:rPr>
          <w:vertAlign w:val="superscript"/>
        </w:rPr>
        <w:t>3</w:t>
      </w:r>
      <w:r w:rsidR="00D95300" w:rsidRPr="006B03D7">
        <w:t xml:space="preserve"> hazardous material, must be conducted under a Release Abatement Measure.  </w:t>
      </w:r>
    </w:p>
    <w:p w:rsidR="00413C51" w:rsidRPr="006B03D7" w:rsidRDefault="00413C51" w:rsidP="003F1DE1">
      <w:pPr>
        <w:tabs>
          <w:tab w:val="clear" w:pos="1800"/>
          <w:tab w:val="left" w:pos="0"/>
        </w:tabs>
        <w:ind w:left="0" w:firstLine="0"/>
      </w:pPr>
    </w:p>
    <w:p w:rsidR="00E83A96" w:rsidRDefault="00D95300" w:rsidP="003F1DE1">
      <w:pPr>
        <w:tabs>
          <w:tab w:val="clear" w:pos="1800"/>
          <w:tab w:val="left" w:pos="0"/>
        </w:tabs>
        <w:ind w:left="0" w:firstLine="0"/>
        <w:rPr>
          <w:b/>
        </w:rPr>
      </w:pPr>
      <w:r w:rsidRPr="006B03D7">
        <w:rPr>
          <w:b/>
        </w:rPr>
        <w:t>Attachment</w:t>
      </w:r>
      <w:r w:rsidR="000A43E6" w:rsidRPr="006B03D7">
        <w:rPr>
          <w:b/>
        </w:rPr>
        <w:t>s</w:t>
      </w:r>
      <w:r w:rsidRPr="006B03D7">
        <w:rPr>
          <w:b/>
        </w:rPr>
        <w:t>:</w:t>
      </w:r>
    </w:p>
    <w:p w:rsidR="00E83A96" w:rsidRDefault="00E83A96" w:rsidP="003F1DE1">
      <w:pPr>
        <w:tabs>
          <w:tab w:val="clear" w:pos="1800"/>
          <w:tab w:val="left" w:pos="0"/>
        </w:tabs>
        <w:ind w:left="0" w:firstLine="0"/>
        <w:rPr>
          <w:b/>
        </w:rPr>
      </w:pPr>
    </w:p>
    <w:p w:rsidR="002C61B7" w:rsidRPr="006B03D7" w:rsidRDefault="00D95300" w:rsidP="0020021D">
      <w:pPr>
        <w:tabs>
          <w:tab w:val="clear" w:pos="1800"/>
          <w:tab w:val="left" w:pos="720"/>
        </w:tabs>
        <w:ind w:left="720" w:hanging="720"/>
      </w:pPr>
      <w:r w:rsidRPr="006B03D7">
        <w:tab/>
        <w:t>Table 1</w:t>
      </w:r>
      <w:r w:rsidR="00EE6A2F" w:rsidRPr="006B03D7">
        <w:t>:</w:t>
      </w:r>
      <w:r w:rsidRPr="006B03D7">
        <w:t xml:space="preserve"> Technical Update entitled “Background Levels of Polycyclic Aromatic Hydrocarbons and Metals in Soil”, 2002.</w:t>
      </w:r>
    </w:p>
    <w:p w:rsidR="00EE6A2F" w:rsidRPr="006B03D7" w:rsidRDefault="00EE6A2F" w:rsidP="003F1DE1">
      <w:pPr>
        <w:tabs>
          <w:tab w:val="clear" w:pos="1800"/>
          <w:tab w:val="left" w:pos="0"/>
        </w:tabs>
        <w:ind w:left="0" w:firstLine="0"/>
      </w:pPr>
    </w:p>
    <w:p w:rsidR="00EE6A2F" w:rsidRPr="006B03D7" w:rsidRDefault="00EE6A2F" w:rsidP="003F1DE1">
      <w:pPr>
        <w:tabs>
          <w:tab w:val="clear" w:pos="1800"/>
          <w:tab w:val="left" w:pos="0"/>
        </w:tabs>
        <w:ind w:left="0" w:firstLine="0"/>
      </w:pPr>
      <w:r w:rsidRPr="006B03D7">
        <w:tab/>
        <w:t xml:space="preserve">Table 2: Historic Fill Evaluation </w:t>
      </w:r>
      <w:r w:rsidR="0020021D">
        <w:t>C</w:t>
      </w:r>
      <w:r w:rsidR="002E23E7">
        <w:t>riteria</w:t>
      </w:r>
      <w:r w:rsidRPr="006B03D7">
        <w:t xml:space="preserve"> </w:t>
      </w:r>
    </w:p>
    <w:p w:rsidR="00F43261" w:rsidRPr="006B03D7" w:rsidRDefault="00F43261" w:rsidP="003F1DE1">
      <w:pPr>
        <w:tabs>
          <w:tab w:val="clear" w:pos="1800"/>
          <w:tab w:val="left" w:pos="0"/>
        </w:tabs>
        <w:ind w:left="0" w:firstLine="0"/>
      </w:pPr>
    </w:p>
    <w:p w:rsidR="00EE6A2F" w:rsidRPr="006B03D7" w:rsidRDefault="00F43261" w:rsidP="003F1DE1">
      <w:pPr>
        <w:tabs>
          <w:tab w:val="clear" w:pos="1800"/>
          <w:tab w:val="left" w:pos="0"/>
        </w:tabs>
        <w:ind w:left="0" w:firstLine="0"/>
      </w:pPr>
      <w:r w:rsidRPr="006B03D7">
        <w:tab/>
      </w:r>
      <w:r w:rsidR="00E83A96">
        <w:t>Notification Exemption Summary</w:t>
      </w:r>
    </w:p>
    <w:p w:rsidR="002C61B7" w:rsidRPr="006B03D7" w:rsidRDefault="002C61B7" w:rsidP="003F1DE1">
      <w:pPr>
        <w:tabs>
          <w:tab w:val="clear" w:pos="1800"/>
          <w:tab w:val="left" w:pos="0"/>
        </w:tabs>
        <w:ind w:left="0" w:firstLine="0"/>
      </w:pPr>
    </w:p>
    <w:p w:rsidR="003F1DE1" w:rsidRDefault="003F1DE1">
      <w:pPr>
        <w:widowControl/>
        <w:tabs>
          <w:tab w:val="clear" w:pos="1800"/>
        </w:tabs>
        <w:autoSpaceDE/>
        <w:autoSpaceDN/>
        <w:adjustRightInd/>
        <w:ind w:left="0" w:firstLine="0"/>
        <w:rPr>
          <w:b/>
        </w:rPr>
      </w:pPr>
      <w:r>
        <w:rPr>
          <w:b/>
        </w:rPr>
        <w:br w:type="page"/>
      </w:r>
    </w:p>
    <w:p w:rsidR="008B7359" w:rsidRDefault="008B7359" w:rsidP="003F1DE1">
      <w:pPr>
        <w:tabs>
          <w:tab w:val="clear" w:pos="1800"/>
          <w:tab w:val="left" w:pos="0"/>
        </w:tabs>
        <w:ind w:left="0" w:firstLine="0"/>
        <w:rPr>
          <w:b/>
        </w:rPr>
      </w:pPr>
    </w:p>
    <w:p w:rsidR="00E83A96" w:rsidRDefault="00D95300" w:rsidP="003F1DE1">
      <w:pPr>
        <w:tabs>
          <w:tab w:val="clear" w:pos="1800"/>
          <w:tab w:val="left" w:pos="0"/>
        </w:tabs>
        <w:ind w:left="0" w:firstLine="0"/>
        <w:rPr>
          <w:b/>
        </w:rPr>
      </w:pPr>
      <w:r w:rsidRPr="006B03D7">
        <w:rPr>
          <w:b/>
        </w:rPr>
        <w:t>References:</w:t>
      </w:r>
    </w:p>
    <w:p w:rsidR="00E83A96" w:rsidRDefault="00E83A96" w:rsidP="003F1DE1">
      <w:pPr>
        <w:tabs>
          <w:tab w:val="clear" w:pos="1800"/>
          <w:tab w:val="left" w:pos="0"/>
        </w:tabs>
        <w:ind w:left="0" w:firstLine="0"/>
        <w:rPr>
          <w:b/>
        </w:rPr>
      </w:pPr>
    </w:p>
    <w:p w:rsidR="000813AA" w:rsidRPr="006B03D7" w:rsidRDefault="00D95300" w:rsidP="0020021D">
      <w:pPr>
        <w:tabs>
          <w:tab w:val="clear" w:pos="1800"/>
          <w:tab w:val="left" w:pos="0"/>
        </w:tabs>
        <w:ind w:left="720" w:firstLine="0"/>
      </w:pPr>
      <w:proofErr w:type="gramStart"/>
      <w:r w:rsidRPr="006B03D7">
        <w:t>Characterization of Coal Combustion Residues from Electric Utilities – Leaching and Characterization Data, EPA-600/R-09/151 December 2009.</w:t>
      </w:r>
      <w:proofErr w:type="gramEnd"/>
    </w:p>
    <w:p w:rsidR="000813AA" w:rsidRPr="006B03D7" w:rsidRDefault="000813AA" w:rsidP="0020021D">
      <w:pPr>
        <w:tabs>
          <w:tab w:val="clear" w:pos="1800"/>
          <w:tab w:val="left" w:pos="0"/>
        </w:tabs>
        <w:ind w:left="720" w:firstLine="0"/>
      </w:pPr>
    </w:p>
    <w:p w:rsidR="000813AA" w:rsidRPr="006B03D7" w:rsidRDefault="00D95300" w:rsidP="0020021D">
      <w:pPr>
        <w:tabs>
          <w:tab w:val="clear" w:pos="1800"/>
          <w:tab w:val="left" w:pos="0"/>
        </w:tabs>
        <w:ind w:left="720" w:firstLine="0"/>
      </w:pPr>
      <w:r w:rsidRPr="006B03D7">
        <w:t>Coal Combustion Residual Beneficial Use Evaluation, Fly Ash and FGD Gypsum Wallboard, USEPA.  February 2014.</w:t>
      </w:r>
    </w:p>
    <w:p w:rsidR="007120E8" w:rsidRPr="006B03D7" w:rsidRDefault="007120E8" w:rsidP="0020021D">
      <w:pPr>
        <w:tabs>
          <w:tab w:val="clear" w:pos="1800"/>
          <w:tab w:val="left" w:pos="0"/>
        </w:tabs>
        <w:ind w:left="720" w:firstLine="0"/>
      </w:pPr>
    </w:p>
    <w:p w:rsidR="007120E8" w:rsidRPr="006B03D7" w:rsidRDefault="00D95300" w:rsidP="0020021D">
      <w:pPr>
        <w:tabs>
          <w:tab w:val="clear" w:pos="1800"/>
          <w:tab w:val="left" w:pos="0"/>
        </w:tabs>
        <w:ind w:left="720" w:firstLine="0"/>
      </w:pPr>
      <w:r w:rsidRPr="006B03D7">
        <w:t>EPRI, Coal Ash: Characteristics, Management and Environmental Issues, Technical Update, September 2009.</w:t>
      </w:r>
    </w:p>
    <w:p w:rsidR="000813AA" w:rsidRPr="006B03D7" w:rsidRDefault="00D95300" w:rsidP="0020021D">
      <w:pPr>
        <w:tabs>
          <w:tab w:val="clear" w:pos="1800"/>
          <w:tab w:val="left" w:pos="0"/>
        </w:tabs>
        <w:ind w:left="720" w:firstLine="0"/>
      </w:pPr>
      <w:r w:rsidRPr="006B03D7">
        <w:tab/>
      </w:r>
    </w:p>
    <w:p w:rsidR="00272329" w:rsidRPr="006B03D7" w:rsidRDefault="00D95300" w:rsidP="0020021D">
      <w:pPr>
        <w:tabs>
          <w:tab w:val="clear" w:pos="1800"/>
          <w:tab w:val="left" w:pos="0"/>
        </w:tabs>
        <w:ind w:left="720" w:firstLine="0"/>
      </w:pPr>
      <w:r w:rsidRPr="006B03D7">
        <w:t xml:space="preserve">EPRI, Mobilization and Attenuation of Trace Elements in an Artificially Weather </w:t>
      </w:r>
      <w:r w:rsidRPr="006B03D7">
        <w:br/>
        <w:t>Fly Ash, University of Alberta, EPRI EA-4747</w:t>
      </w:r>
    </w:p>
    <w:p w:rsidR="00272329" w:rsidRPr="006B03D7" w:rsidRDefault="00D95300" w:rsidP="0020021D">
      <w:pPr>
        <w:tabs>
          <w:tab w:val="clear" w:pos="1800"/>
          <w:tab w:val="left" w:pos="0"/>
        </w:tabs>
        <w:ind w:left="720" w:firstLine="0"/>
      </w:pPr>
      <w:r w:rsidRPr="006B03D7">
        <w:tab/>
      </w:r>
    </w:p>
    <w:p w:rsidR="008A2915" w:rsidRPr="006B03D7" w:rsidRDefault="00D95300" w:rsidP="0020021D">
      <w:pPr>
        <w:tabs>
          <w:tab w:val="clear" w:pos="1800"/>
          <w:tab w:val="left" w:pos="0"/>
        </w:tabs>
        <w:ind w:left="720" w:firstLine="0"/>
      </w:pPr>
      <w:r w:rsidRPr="006B03D7">
        <w:t>EPRI, Mixtures of Coal Combustion By-Product and Composted Yard Waste for Use as Soil Substitutes and Amendments, Ohio State University Research Foundation, EPRI TR 106682August 1976.</w:t>
      </w:r>
    </w:p>
    <w:p w:rsidR="008A2915" w:rsidRPr="006B03D7" w:rsidRDefault="008A2915" w:rsidP="0020021D">
      <w:pPr>
        <w:tabs>
          <w:tab w:val="clear" w:pos="1800"/>
          <w:tab w:val="left" w:pos="0"/>
        </w:tabs>
        <w:ind w:left="720" w:firstLine="0"/>
      </w:pPr>
    </w:p>
    <w:p w:rsidR="000813AA" w:rsidRPr="006B03D7" w:rsidRDefault="00D95300" w:rsidP="0020021D">
      <w:pPr>
        <w:tabs>
          <w:tab w:val="clear" w:pos="1800"/>
          <w:tab w:val="left" w:pos="0"/>
        </w:tabs>
        <w:ind w:left="720" w:firstLine="0"/>
      </w:pPr>
      <w:r w:rsidRPr="006B03D7">
        <w:t>Identification of Historic Fill Using Readily Available Information Sources, LSPA Technical Online Journal, M. Zirbel, 4-16-10.</w:t>
      </w:r>
    </w:p>
    <w:p w:rsidR="0096236D" w:rsidRPr="006B03D7" w:rsidRDefault="0096236D" w:rsidP="0020021D">
      <w:pPr>
        <w:tabs>
          <w:tab w:val="clear" w:pos="1800"/>
          <w:tab w:val="left" w:pos="0"/>
        </w:tabs>
        <w:ind w:left="720" w:firstLine="0"/>
      </w:pPr>
    </w:p>
    <w:p w:rsidR="00216738" w:rsidRDefault="00D95300" w:rsidP="0020021D">
      <w:pPr>
        <w:tabs>
          <w:tab w:val="clear" w:pos="1800"/>
          <w:tab w:val="left" w:pos="0"/>
        </w:tabs>
        <w:ind w:left="720" w:firstLine="0"/>
      </w:pPr>
      <w:r w:rsidRPr="006B03D7">
        <w:t xml:space="preserve">Historic Fill Material Technical Guidance, NJ Dept. of Environmental Protection, Site Remediation Program, April 29, 2013. </w:t>
      </w:r>
    </w:p>
    <w:p w:rsidR="001D0DE3" w:rsidRPr="006B03D7" w:rsidRDefault="001D0DE3" w:rsidP="0020021D">
      <w:pPr>
        <w:tabs>
          <w:tab w:val="clear" w:pos="1800"/>
          <w:tab w:val="left" w:pos="0"/>
        </w:tabs>
        <w:ind w:left="720" w:firstLine="0"/>
      </w:pPr>
    </w:p>
    <w:p w:rsidR="001D0DE3" w:rsidRPr="006B03D7" w:rsidRDefault="001D0DE3" w:rsidP="0020021D">
      <w:pPr>
        <w:tabs>
          <w:tab w:val="clear" w:pos="1800"/>
          <w:tab w:val="left" w:pos="0"/>
        </w:tabs>
        <w:ind w:left="720" w:firstLine="0"/>
      </w:pPr>
      <w:proofErr w:type="gramStart"/>
      <w:r>
        <w:t>Gaining Ground: A History of Landmaking in Boston</w:t>
      </w:r>
      <w:r w:rsidR="00D24E84">
        <w:t>,</w:t>
      </w:r>
      <w:r>
        <w:t xml:space="preserve"> (</w:t>
      </w:r>
      <w:r w:rsidR="00D24E84">
        <w:t xml:space="preserve">Nancy </w:t>
      </w:r>
      <w:r>
        <w:t>Seasholes, 2003).</w:t>
      </w:r>
      <w:proofErr w:type="gramEnd"/>
      <w:r>
        <w:t xml:space="preserve"> </w:t>
      </w:r>
    </w:p>
    <w:p w:rsidR="008A2915" w:rsidRPr="006B03D7" w:rsidRDefault="008A2915" w:rsidP="0020021D">
      <w:pPr>
        <w:tabs>
          <w:tab w:val="clear" w:pos="1800"/>
          <w:tab w:val="left" w:pos="0"/>
        </w:tabs>
        <w:ind w:left="720" w:firstLine="0"/>
      </w:pPr>
    </w:p>
    <w:p w:rsidR="008A2915" w:rsidRPr="006B03D7" w:rsidRDefault="00D95300" w:rsidP="0020021D">
      <w:pPr>
        <w:tabs>
          <w:tab w:val="clear" w:pos="1800"/>
          <w:tab w:val="left" w:pos="0"/>
        </w:tabs>
        <w:ind w:left="720" w:firstLine="0"/>
      </w:pPr>
      <w:r w:rsidRPr="006B03D7">
        <w:t xml:space="preserve">ITRC Incremental Sampling Methodology, </w:t>
      </w:r>
      <w:hyperlink r:id="rId9" w:history="1">
        <w:r w:rsidRPr="006B03D7">
          <w:rPr>
            <w:rStyle w:val="Hyperlink"/>
          </w:rPr>
          <w:t>http://www.itrcweb.org/ism-1/Executive_Summary.html</w:t>
        </w:r>
      </w:hyperlink>
    </w:p>
    <w:p w:rsidR="008A2915" w:rsidRPr="006B03D7" w:rsidRDefault="008A2915" w:rsidP="0020021D">
      <w:pPr>
        <w:tabs>
          <w:tab w:val="clear" w:pos="1800"/>
          <w:tab w:val="left" w:pos="0"/>
        </w:tabs>
        <w:ind w:left="720" w:firstLine="0"/>
      </w:pPr>
    </w:p>
    <w:p w:rsidR="00EB60BC" w:rsidRPr="006B03D7" w:rsidRDefault="00D95300" w:rsidP="0020021D">
      <w:pPr>
        <w:tabs>
          <w:tab w:val="clear" w:pos="1800"/>
          <w:tab w:val="left" w:pos="0"/>
        </w:tabs>
        <w:ind w:left="720" w:firstLine="0"/>
      </w:pPr>
      <w:r w:rsidRPr="006B03D7">
        <w:t>MassDEP Compendium of Quality Assurance and Quality Control Requirement and Performance Standards for Selected Analytical Methods Used in Support of Response action for the Massachusetts Contingency Plan (MC),WSC-02-320, July 1, 2010</w:t>
      </w:r>
    </w:p>
    <w:p w:rsidR="00EB60BC" w:rsidRPr="006B03D7" w:rsidRDefault="00D95300" w:rsidP="0020021D">
      <w:pPr>
        <w:tabs>
          <w:tab w:val="clear" w:pos="1800"/>
          <w:tab w:val="left" w:pos="0"/>
        </w:tabs>
        <w:ind w:left="720" w:firstLine="0"/>
      </w:pPr>
      <w:r w:rsidRPr="006B03D7">
        <w:tab/>
      </w:r>
    </w:p>
    <w:p w:rsidR="0096236D" w:rsidRPr="006B03D7" w:rsidRDefault="00D95300" w:rsidP="0020021D">
      <w:pPr>
        <w:tabs>
          <w:tab w:val="clear" w:pos="1800"/>
          <w:tab w:val="left" w:pos="0"/>
        </w:tabs>
        <w:ind w:left="720" w:firstLine="0"/>
      </w:pPr>
      <w:r w:rsidRPr="006B03D7">
        <w:t>MassDEP Technical Update entitled “Background Levels of Polycyclic Aromatic Hydrocarbons and Metals in Soil”.</w:t>
      </w:r>
    </w:p>
    <w:p w:rsidR="008741AB" w:rsidRPr="006B03D7" w:rsidRDefault="008741AB" w:rsidP="0020021D">
      <w:pPr>
        <w:tabs>
          <w:tab w:val="clear" w:pos="1800"/>
          <w:tab w:val="left" w:pos="0"/>
        </w:tabs>
        <w:ind w:left="720" w:firstLine="0"/>
      </w:pPr>
    </w:p>
    <w:p w:rsidR="008741AB" w:rsidRPr="006B03D7" w:rsidRDefault="00D95300" w:rsidP="0020021D">
      <w:pPr>
        <w:tabs>
          <w:tab w:val="clear" w:pos="1800"/>
          <w:tab w:val="left" w:pos="0"/>
        </w:tabs>
        <w:ind w:left="720" w:firstLine="0"/>
      </w:pPr>
      <w:r w:rsidRPr="006B03D7">
        <w:t>Methods for Evaluating Application for the Coal Ash and Wood Ash exemption under the Massachusetts Contingency Plan, LSP Association White Paper, October 19, 1999.</w:t>
      </w:r>
    </w:p>
    <w:p w:rsidR="00E343A9" w:rsidRPr="006B03D7" w:rsidRDefault="00E343A9" w:rsidP="0020021D">
      <w:pPr>
        <w:tabs>
          <w:tab w:val="clear" w:pos="1800"/>
          <w:tab w:val="left" w:pos="0"/>
        </w:tabs>
        <w:ind w:left="720" w:firstLine="0"/>
      </w:pPr>
    </w:p>
    <w:p w:rsidR="00E343A9" w:rsidRPr="006B03D7" w:rsidRDefault="00E343A9" w:rsidP="0020021D">
      <w:pPr>
        <w:tabs>
          <w:tab w:val="clear" w:pos="1800"/>
          <w:tab w:val="left" w:pos="0"/>
        </w:tabs>
        <w:ind w:left="720" w:firstLine="0"/>
      </w:pPr>
      <w:r w:rsidRPr="006B03D7">
        <w:t>State of Wisconsin Division of Public Health, Correspondence Memorandum “Public Health Implications of Residual Lead and Arsenic in Orchard Soils”, dated March 28, 2000.</w:t>
      </w:r>
    </w:p>
    <w:p w:rsidR="008741AB" w:rsidRPr="006B03D7" w:rsidRDefault="00D95300" w:rsidP="0020021D">
      <w:pPr>
        <w:tabs>
          <w:tab w:val="clear" w:pos="1800"/>
          <w:tab w:val="left" w:pos="0"/>
        </w:tabs>
        <w:ind w:left="720" w:firstLine="0"/>
      </w:pPr>
      <w:r w:rsidRPr="006B03D7">
        <w:tab/>
      </w:r>
    </w:p>
    <w:p w:rsidR="000813AA" w:rsidRPr="006B03D7" w:rsidRDefault="00D95300" w:rsidP="0020021D">
      <w:pPr>
        <w:tabs>
          <w:tab w:val="clear" w:pos="1800"/>
          <w:tab w:val="left" w:pos="0"/>
        </w:tabs>
        <w:ind w:left="720" w:firstLine="0"/>
      </w:pPr>
      <w:r w:rsidRPr="006B03D7">
        <w:t>Streamlined Site Cleanup in New York City, USEPA Brownfields and Land Revitalization Technology Support Center and NYC Mayor’s Office of Operations, August 2010</w:t>
      </w:r>
    </w:p>
    <w:p w:rsidR="008A2915" w:rsidRPr="006B03D7" w:rsidRDefault="00D95300" w:rsidP="0020021D">
      <w:pPr>
        <w:tabs>
          <w:tab w:val="clear" w:pos="1800"/>
          <w:tab w:val="left" w:pos="0"/>
        </w:tabs>
        <w:ind w:left="720" w:firstLine="0"/>
      </w:pPr>
      <w:r w:rsidRPr="006B03D7">
        <w:tab/>
      </w:r>
    </w:p>
    <w:p w:rsidR="00ED07D5" w:rsidRPr="006B03D7" w:rsidRDefault="00D95300" w:rsidP="0020021D">
      <w:pPr>
        <w:tabs>
          <w:tab w:val="clear" w:pos="1800"/>
          <w:tab w:val="left" w:pos="0"/>
        </w:tabs>
        <w:ind w:left="720" w:firstLine="0"/>
      </w:pPr>
      <w:proofErr w:type="gramStart"/>
      <w:r w:rsidRPr="006B03D7">
        <w:t>USEPA.</w:t>
      </w:r>
      <w:proofErr w:type="gramEnd"/>
      <w:r w:rsidRPr="006B03D7">
        <w:t xml:space="preserve"> Guidance on Remedial Actions for Superfund Sites with PCB Contamination. Office of Emergency and Remedial Response. EPA/540/G-90/007. August 1990.</w:t>
      </w:r>
    </w:p>
    <w:p w:rsidR="002C61B7" w:rsidRPr="006B03D7" w:rsidRDefault="00D95300" w:rsidP="003F1DE1">
      <w:pPr>
        <w:tabs>
          <w:tab w:val="clear" w:pos="1800"/>
          <w:tab w:val="left" w:pos="0"/>
        </w:tabs>
        <w:ind w:left="0" w:firstLine="0"/>
      </w:pPr>
      <w:r w:rsidRPr="006B03D7">
        <w:tab/>
      </w:r>
    </w:p>
    <w:p w:rsidR="00E83A96" w:rsidRDefault="00D95300" w:rsidP="003F1DE1">
      <w:pPr>
        <w:tabs>
          <w:tab w:val="clear" w:pos="1800"/>
          <w:tab w:val="left" w:pos="0"/>
        </w:tabs>
        <w:ind w:left="0" w:firstLine="0"/>
        <w:rPr>
          <w:b/>
        </w:rPr>
      </w:pPr>
      <w:r w:rsidRPr="006B03D7">
        <w:rPr>
          <w:b/>
        </w:rPr>
        <w:t>Resources:</w:t>
      </w:r>
    </w:p>
    <w:p w:rsidR="0020021D" w:rsidRDefault="0020021D" w:rsidP="003F1DE1">
      <w:pPr>
        <w:tabs>
          <w:tab w:val="clear" w:pos="1800"/>
          <w:tab w:val="left" w:pos="0"/>
        </w:tabs>
        <w:ind w:left="0" w:firstLine="0"/>
        <w:rPr>
          <w:b/>
        </w:rPr>
      </w:pPr>
    </w:p>
    <w:p w:rsidR="0000588D" w:rsidRPr="006B03D7" w:rsidRDefault="00D95300" w:rsidP="003F1DE1">
      <w:pPr>
        <w:tabs>
          <w:tab w:val="clear" w:pos="1800"/>
          <w:tab w:val="left" w:pos="0"/>
        </w:tabs>
        <w:ind w:left="0" w:firstLine="0"/>
      </w:pPr>
      <w:r w:rsidRPr="006B03D7">
        <w:rPr>
          <w:b/>
        </w:rPr>
        <w:tab/>
      </w:r>
      <w:r w:rsidRPr="006B03D7">
        <w:t xml:space="preserve">Historic Aerials and Topographic </w:t>
      </w:r>
      <w:proofErr w:type="gramStart"/>
      <w:r w:rsidRPr="006B03D7">
        <w:t xml:space="preserve">maps  </w:t>
      </w:r>
      <w:proofErr w:type="gramEnd"/>
      <w:r w:rsidR="00D56518">
        <w:fldChar w:fldCharType="begin"/>
      </w:r>
      <w:r w:rsidR="006474DF">
        <w:instrText>HYPERLINK "http://www.historicaerials.com"</w:instrText>
      </w:r>
      <w:r w:rsidR="00D56518">
        <w:fldChar w:fldCharType="separate"/>
      </w:r>
      <w:r w:rsidRPr="006B03D7">
        <w:rPr>
          <w:rStyle w:val="Hyperlink"/>
        </w:rPr>
        <w:t>http://www.historicaerials.com</w:t>
      </w:r>
      <w:r w:rsidR="00D56518">
        <w:fldChar w:fldCharType="end"/>
      </w:r>
      <w:r w:rsidRPr="006B03D7">
        <w:t xml:space="preserve"> search by address, town</w:t>
      </w:r>
    </w:p>
    <w:p w:rsidR="007221E8" w:rsidRPr="006B03D7" w:rsidRDefault="007221E8" w:rsidP="003F1DE1">
      <w:pPr>
        <w:tabs>
          <w:tab w:val="clear" w:pos="1800"/>
          <w:tab w:val="left" w:pos="0"/>
        </w:tabs>
        <w:ind w:left="0" w:firstLine="0"/>
      </w:pPr>
    </w:p>
    <w:p w:rsidR="007221E8" w:rsidRPr="006B03D7" w:rsidRDefault="00D95300" w:rsidP="0020021D">
      <w:pPr>
        <w:tabs>
          <w:tab w:val="clear" w:pos="1800"/>
          <w:tab w:val="left" w:pos="0"/>
        </w:tabs>
        <w:ind w:left="720" w:firstLine="0"/>
      </w:pPr>
      <w:r w:rsidRPr="006B03D7">
        <w:t xml:space="preserve">Historic USGS maps UNH government Information Dept. </w:t>
      </w:r>
      <w:hyperlink r:id="rId10" w:history="1">
        <w:r w:rsidRPr="006B03D7">
          <w:rPr>
            <w:rStyle w:val="Hyperlink"/>
          </w:rPr>
          <w:t>http://docs.unh.edu/towns/MassachusettsTownList.htm</w:t>
        </w:r>
      </w:hyperlink>
    </w:p>
    <w:p w:rsidR="007221E8" w:rsidRPr="006B03D7" w:rsidRDefault="007221E8" w:rsidP="0020021D">
      <w:pPr>
        <w:tabs>
          <w:tab w:val="clear" w:pos="1800"/>
          <w:tab w:val="left" w:pos="0"/>
        </w:tabs>
        <w:ind w:left="720" w:firstLine="0"/>
      </w:pPr>
    </w:p>
    <w:p w:rsidR="00F02F4A" w:rsidRPr="006B03D7" w:rsidRDefault="00D95300" w:rsidP="0020021D">
      <w:pPr>
        <w:tabs>
          <w:tab w:val="clear" w:pos="1800"/>
          <w:tab w:val="left" w:pos="0"/>
        </w:tabs>
        <w:ind w:left="720" w:firstLine="0"/>
      </w:pPr>
      <w:r w:rsidRPr="006B03D7">
        <w:t xml:space="preserve">Sanborn Insurance Map Library – State Library of Massachusetts – Special Collections: </w:t>
      </w:r>
      <w:hyperlink r:id="rId11" w:history="1">
        <w:r w:rsidRPr="006B03D7">
          <w:rPr>
            <w:rStyle w:val="Hyperlink"/>
          </w:rPr>
          <w:t>http://www.mass.gov/anf/research-and-tech/research-state-and-local-history/sanborn-maps.html</w:t>
        </w:r>
      </w:hyperlink>
    </w:p>
    <w:p w:rsidR="007221E8" w:rsidRDefault="007221E8" w:rsidP="003F1DE1">
      <w:pPr>
        <w:pStyle w:val="FSbodytext"/>
        <w:tabs>
          <w:tab w:val="left" w:pos="0"/>
        </w:tabs>
        <w:jc w:val="center"/>
      </w:pPr>
      <w:r w:rsidRPr="006B03D7">
        <w:br w:type="page"/>
      </w:r>
      <w:r>
        <w:lastRenderedPageBreak/>
        <w:t>Table 1.</w:t>
      </w:r>
    </w:p>
    <w:p w:rsidR="007221E8" w:rsidRDefault="007221E8" w:rsidP="00EC6F1D">
      <w:pPr>
        <w:pStyle w:val="FSbodytext"/>
        <w:tabs>
          <w:tab w:val="left" w:pos="720"/>
        </w:tabs>
        <w:ind w:left="720" w:hanging="720"/>
        <w:jc w:val="center"/>
        <w:rPr>
          <w:b/>
        </w:rPr>
      </w:pPr>
      <w:r>
        <w:rPr>
          <w:b/>
        </w:rPr>
        <w:t>M</w:t>
      </w:r>
      <w:r w:rsidR="00263861">
        <w:rPr>
          <w:b/>
        </w:rPr>
        <w:t>ass</w:t>
      </w:r>
      <w:r>
        <w:rPr>
          <w:b/>
        </w:rPr>
        <w:t xml:space="preserve">DEP Identified Background Levels in Soil </w:t>
      </w:r>
    </w:p>
    <w:p w:rsidR="007221E8" w:rsidRPr="002C61B7" w:rsidRDefault="007221E8" w:rsidP="00EC6F1D">
      <w:pPr>
        <w:tabs>
          <w:tab w:val="clear" w:pos="1800"/>
          <w:tab w:val="left" w:pos="720"/>
        </w:tabs>
        <w:ind w:left="720" w:hanging="720"/>
      </w:pPr>
    </w:p>
    <w:tbl>
      <w:tblPr>
        <w:tblW w:w="0" w:type="auto"/>
        <w:jc w:val="center"/>
        <w:tblLayout w:type="fixed"/>
        <w:tblCellMar>
          <w:left w:w="0" w:type="dxa"/>
          <w:right w:w="0" w:type="dxa"/>
        </w:tblCellMar>
        <w:tblLook w:val="0000"/>
      </w:tblPr>
      <w:tblGrid>
        <w:gridCol w:w="2912"/>
        <w:gridCol w:w="1621"/>
        <w:gridCol w:w="2336"/>
      </w:tblGrid>
      <w:tr w:rsidR="007221E8" w:rsidTr="00A1661F">
        <w:trPr>
          <w:cantSplit/>
          <w:trHeight w:val="1287"/>
          <w:jc w:val="center"/>
        </w:trPr>
        <w:tc>
          <w:tcPr>
            <w:tcW w:w="2912" w:type="dxa"/>
            <w:tcBorders>
              <w:bottom w:val="single" w:sz="4" w:space="0" w:color="auto"/>
            </w:tcBorders>
            <w:vAlign w:val="bottom"/>
          </w:tcPr>
          <w:p w:rsidR="007221E8" w:rsidRDefault="007221E8" w:rsidP="00EC6F1D">
            <w:pPr>
              <w:pStyle w:val="FSbodytext"/>
              <w:tabs>
                <w:tab w:val="left" w:pos="720"/>
              </w:tabs>
              <w:ind w:left="720" w:hanging="720"/>
              <w:rPr>
                <w:rFonts w:eastAsia="Arial Unicode MS"/>
                <w:b/>
                <w:color w:val="FF0000"/>
              </w:rPr>
            </w:pPr>
          </w:p>
          <w:p w:rsidR="007221E8" w:rsidRDefault="007221E8" w:rsidP="00EC6F1D">
            <w:pPr>
              <w:pStyle w:val="FSbodytext"/>
              <w:tabs>
                <w:tab w:val="left" w:pos="720"/>
              </w:tabs>
              <w:ind w:left="720" w:hanging="720"/>
              <w:rPr>
                <w:rFonts w:eastAsia="Arial Unicode MS"/>
                <w:b/>
                <w:sz w:val="22"/>
              </w:rPr>
            </w:pPr>
            <w:r>
              <w:rPr>
                <w:b/>
                <w:sz w:val="22"/>
              </w:rPr>
              <w:t> </w:t>
            </w:r>
          </w:p>
          <w:p w:rsidR="007221E8" w:rsidRDefault="007221E8" w:rsidP="00EC6F1D">
            <w:pPr>
              <w:pStyle w:val="FSbodytext"/>
              <w:tabs>
                <w:tab w:val="left" w:pos="720"/>
              </w:tabs>
              <w:ind w:left="720" w:hanging="720"/>
              <w:rPr>
                <w:rFonts w:eastAsia="Arial Unicode MS"/>
                <w:b/>
              </w:rPr>
            </w:pPr>
            <w:r>
              <w:rPr>
                <w:b/>
                <w:sz w:val="22"/>
              </w:rPr>
              <w:t> </w:t>
            </w:r>
          </w:p>
          <w:p w:rsidR="007221E8" w:rsidRDefault="007221E8" w:rsidP="00EC6F1D">
            <w:pPr>
              <w:pStyle w:val="FSbodytext"/>
              <w:tabs>
                <w:tab w:val="left" w:pos="720"/>
              </w:tabs>
              <w:ind w:left="720" w:hanging="720"/>
              <w:rPr>
                <w:rFonts w:eastAsia="Arial Unicode MS"/>
                <w:b/>
              </w:rPr>
            </w:pPr>
            <w:r>
              <w:rPr>
                <w:b/>
                <w:sz w:val="18"/>
              </w:rPr>
              <w:t>OIL OR HAZARDOUS MATERIAL</w:t>
            </w:r>
          </w:p>
        </w:tc>
        <w:tc>
          <w:tcPr>
            <w:tcW w:w="1621" w:type="dxa"/>
            <w:tcBorders>
              <w:bottom w:val="single" w:sz="4" w:space="0" w:color="auto"/>
            </w:tcBorders>
            <w:vAlign w:val="bottom"/>
          </w:tcPr>
          <w:p w:rsidR="007221E8" w:rsidRDefault="007221E8" w:rsidP="00EC6F1D">
            <w:pPr>
              <w:pStyle w:val="FSbodytext"/>
              <w:tabs>
                <w:tab w:val="left" w:pos="720"/>
              </w:tabs>
              <w:ind w:left="720" w:hanging="720"/>
              <w:jc w:val="center"/>
              <w:rPr>
                <w:rFonts w:eastAsia="Arial Unicode MS"/>
                <w:b/>
                <w:sz w:val="18"/>
              </w:rPr>
            </w:pPr>
            <w:r>
              <w:rPr>
                <w:rFonts w:eastAsia="Arial Unicode MS"/>
                <w:b/>
                <w:sz w:val="18"/>
              </w:rPr>
              <w:t>Concentration</w:t>
            </w:r>
          </w:p>
          <w:p w:rsidR="007221E8" w:rsidRDefault="007221E8" w:rsidP="00EC6F1D">
            <w:pPr>
              <w:pStyle w:val="FSbodytext"/>
              <w:tabs>
                <w:tab w:val="left" w:pos="720"/>
              </w:tabs>
              <w:ind w:left="720" w:hanging="720"/>
              <w:jc w:val="center"/>
              <w:rPr>
                <w:rFonts w:eastAsia="Arial Unicode MS"/>
                <w:b/>
                <w:sz w:val="18"/>
              </w:rPr>
            </w:pPr>
            <w:r>
              <w:rPr>
                <w:rFonts w:eastAsia="Arial Unicode MS"/>
                <w:b/>
                <w:sz w:val="18"/>
              </w:rPr>
              <w:t xml:space="preserve"> in “Natural”</w:t>
            </w:r>
          </w:p>
          <w:p w:rsidR="007221E8" w:rsidRDefault="007221E8" w:rsidP="00EC6F1D">
            <w:pPr>
              <w:pStyle w:val="FSbodytext"/>
              <w:tabs>
                <w:tab w:val="left" w:pos="720"/>
              </w:tabs>
              <w:ind w:left="720" w:hanging="720"/>
              <w:jc w:val="center"/>
              <w:rPr>
                <w:rFonts w:eastAsia="Arial Unicode MS"/>
                <w:b/>
                <w:sz w:val="18"/>
              </w:rPr>
            </w:pPr>
            <w:r>
              <w:rPr>
                <w:rFonts w:eastAsia="Arial Unicode MS"/>
                <w:b/>
                <w:sz w:val="18"/>
              </w:rPr>
              <w:t xml:space="preserve"> Soil</w:t>
            </w:r>
          </w:p>
          <w:p w:rsidR="007221E8" w:rsidRDefault="007221E8" w:rsidP="00EC6F1D">
            <w:pPr>
              <w:pStyle w:val="FSbodytext"/>
              <w:tabs>
                <w:tab w:val="left" w:pos="720"/>
              </w:tabs>
              <w:ind w:left="720" w:hanging="720"/>
              <w:jc w:val="center"/>
              <w:rPr>
                <w:rFonts w:eastAsia="Arial Unicode MS"/>
                <w:b/>
                <w:sz w:val="18"/>
              </w:rPr>
            </w:pPr>
            <w:r>
              <w:rPr>
                <w:rFonts w:eastAsia="Arial Unicode MS"/>
                <w:b/>
                <w:sz w:val="18"/>
              </w:rPr>
              <w:t>Mg/kg</w:t>
            </w:r>
          </w:p>
        </w:tc>
        <w:tc>
          <w:tcPr>
            <w:tcW w:w="2336" w:type="dxa"/>
            <w:tcBorders>
              <w:bottom w:val="single" w:sz="4" w:space="0" w:color="auto"/>
            </w:tcBorders>
            <w:vAlign w:val="bottom"/>
          </w:tcPr>
          <w:p w:rsidR="0020021D" w:rsidRDefault="007221E8" w:rsidP="0020021D">
            <w:pPr>
              <w:pStyle w:val="FSbodytext"/>
              <w:tabs>
                <w:tab w:val="left" w:pos="720"/>
              </w:tabs>
              <w:ind w:left="720" w:hanging="720"/>
              <w:jc w:val="center"/>
              <w:rPr>
                <w:b/>
                <w:sz w:val="18"/>
              </w:rPr>
            </w:pPr>
            <w:r>
              <w:rPr>
                <w:b/>
                <w:sz w:val="18"/>
              </w:rPr>
              <w:t>Concentration</w:t>
            </w:r>
          </w:p>
          <w:p w:rsidR="0020021D" w:rsidRDefault="007221E8" w:rsidP="0020021D">
            <w:pPr>
              <w:pStyle w:val="FSbodytext"/>
              <w:tabs>
                <w:tab w:val="left" w:pos="720"/>
              </w:tabs>
              <w:ind w:left="720" w:hanging="720"/>
              <w:jc w:val="center"/>
              <w:rPr>
                <w:b/>
                <w:sz w:val="18"/>
              </w:rPr>
            </w:pPr>
            <w:r>
              <w:rPr>
                <w:b/>
                <w:sz w:val="18"/>
              </w:rPr>
              <w:t>in Soil Containing Coal</w:t>
            </w:r>
          </w:p>
          <w:p w:rsidR="0020021D" w:rsidRDefault="0020021D" w:rsidP="0020021D">
            <w:pPr>
              <w:pStyle w:val="FSbodytext"/>
              <w:tabs>
                <w:tab w:val="left" w:pos="720"/>
              </w:tabs>
              <w:ind w:left="720" w:hanging="720"/>
              <w:jc w:val="center"/>
              <w:rPr>
                <w:b/>
                <w:sz w:val="18"/>
              </w:rPr>
            </w:pPr>
            <w:r>
              <w:rPr>
                <w:b/>
                <w:sz w:val="18"/>
              </w:rPr>
              <w:t>Ash or Wood Ash</w:t>
            </w:r>
          </w:p>
          <w:p w:rsidR="0020021D" w:rsidRDefault="007221E8" w:rsidP="0020021D">
            <w:pPr>
              <w:pStyle w:val="FSbodytext"/>
              <w:tabs>
                <w:tab w:val="left" w:pos="720"/>
              </w:tabs>
              <w:ind w:left="720" w:hanging="720"/>
              <w:jc w:val="center"/>
              <w:rPr>
                <w:b/>
                <w:sz w:val="18"/>
              </w:rPr>
            </w:pPr>
            <w:r>
              <w:rPr>
                <w:b/>
                <w:sz w:val="18"/>
              </w:rPr>
              <w:t>Associated With</w:t>
            </w:r>
          </w:p>
          <w:p w:rsidR="007221E8" w:rsidRDefault="007221E8" w:rsidP="0020021D">
            <w:pPr>
              <w:pStyle w:val="FSbodytext"/>
              <w:tabs>
                <w:tab w:val="left" w:pos="720"/>
              </w:tabs>
              <w:ind w:left="720" w:hanging="720"/>
              <w:jc w:val="center"/>
              <w:rPr>
                <w:b/>
                <w:sz w:val="18"/>
              </w:rPr>
            </w:pPr>
            <w:r>
              <w:rPr>
                <w:b/>
                <w:sz w:val="18"/>
              </w:rPr>
              <w:t>Fill Material</w:t>
            </w:r>
          </w:p>
          <w:p w:rsidR="007221E8" w:rsidRDefault="007221E8" w:rsidP="00EC6F1D">
            <w:pPr>
              <w:pStyle w:val="FSbodytext"/>
              <w:tabs>
                <w:tab w:val="left" w:pos="720"/>
              </w:tabs>
              <w:ind w:left="720" w:hanging="720"/>
              <w:jc w:val="center"/>
              <w:rPr>
                <w:rFonts w:eastAsia="Arial Unicode MS"/>
                <w:b/>
                <w:sz w:val="18"/>
              </w:rPr>
            </w:pPr>
            <w:r>
              <w:rPr>
                <w:b/>
                <w:sz w:val="18"/>
              </w:rPr>
              <w:t>mg/kg</w:t>
            </w:r>
          </w:p>
        </w:tc>
      </w:tr>
      <w:tr w:rsidR="007221E8" w:rsidTr="0020021D">
        <w:trPr>
          <w:jc w:val="center"/>
        </w:trPr>
        <w:tc>
          <w:tcPr>
            <w:tcW w:w="2912" w:type="dxa"/>
            <w:tcBorders>
              <w:top w:val="single" w:sz="4" w:space="0" w:color="auto"/>
            </w:tcBorders>
            <w:vAlign w:val="bottom"/>
          </w:tcPr>
          <w:p w:rsidR="007221E8" w:rsidRDefault="007221E8" w:rsidP="00EC6F1D">
            <w:pPr>
              <w:pStyle w:val="FSbodytext"/>
              <w:tabs>
                <w:tab w:val="left" w:pos="720"/>
              </w:tabs>
              <w:ind w:left="720" w:hanging="720"/>
              <w:rPr>
                <w:rFonts w:eastAsia="Arial Unicode MS"/>
                <w:sz w:val="18"/>
              </w:rPr>
            </w:pPr>
            <w:r>
              <w:rPr>
                <w:sz w:val="18"/>
              </w:rPr>
              <w:t>ACENAPHTHENE</w:t>
            </w:r>
            <w:r>
              <w:rPr>
                <w:sz w:val="16"/>
                <w:vertAlign w:val="superscript"/>
              </w:rPr>
              <w:t>2</w:t>
            </w:r>
          </w:p>
        </w:tc>
        <w:tc>
          <w:tcPr>
            <w:tcW w:w="1621" w:type="dxa"/>
            <w:tcBorders>
              <w:top w:val="single" w:sz="4" w:space="0" w:color="auto"/>
            </w:tcBorders>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0.5</w:t>
            </w:r>
          </w:p>
        </w:tc>
        <w:tc>
          <w:tcPr>
            <w:tcW w:w="2336" w:type="dxa"/>
            <w:tcBorders>
              <w:top w:val="single" w:sz="4" w:space="0" w:color="auto"/>
            </w:tcBorders>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2</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ACENAPHTHYLENE</w:t>
            </w:r>
            <w:r>
              <w:rPr>
                <w:sz w:val="16"/>
                <w:vertAlign w:val="superscript"/>
              </w:rPr>
              <w:t>2</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0.5</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1</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ANTHRACENE</w:t>
            </w:r>
            <w:r>
              <w:rPr>
                <w:sz w:val="16"/>
                <w:vertAlign w:val="superscript"/>
              </w:rPr>
              <w:t>2</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1</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4</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sz w:val="18"/>
              </w:rPr>
            </w:pPr>
            <w:r>
              <w:rPr>
                <w:sz w:val="18"/>
              </w:rPr>
              <w:t>ALUMINUM</w:t>
            </w:r>
            <w:r>
              <w:rPr>
                <w:sz w:val="16"/>
                <w:vertAlign w:val="superscript"/>
              </w:rPr>
              <w:t>1</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10,000</w:t>
            </w:r>
          </w:p>
        </w:tc>
        <w:tc>
          <w:tcPr>
            <w:tcW w:w="2336" w:type="dxa"/>
            <w:vAlign w:val="bottom"/>
          </w:tcPr>
          <w:p w:rsidR="007221E8" w:rsidRDefault="007221E8" w:rsidP="0020021D">
            <w:pPr>
              <w:pStyle w:val="FSbodytext"/>
              <w:tabs>
                <w:tab w:val="left" w:pos="720"/>
                <w:tab w:val="decimal" w:pos="1350"/>
              </w:tabs>
              <w:ind w:left="720" w:hanging="720"/>
              <w:jc w:val="center"/>
              <w:rPr>
                <w:sz w:val="16"/>
              </w:rPr>
            </w:pPr>
            <w:r>
              <w:rPr>
                <w:sz w:val="16"/>
              </w:rPr>
              <w:t>10,000</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ANTIMONY</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1</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7</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ARSENIC</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20</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20</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BARIUM</w:t>
            </w:r>
            <w:r>
              <w:rPr>
                <w:sz w:val="16"/>
                <w:vertAlign w:val="superscript"/>
              </w:rPr>
              <w:t>1</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50</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50</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BENZO(a)ANTHRACENE</w:t>
            </w:r>
            <w:r>
              <w:rPr>
                <w:sz w:val="16"/>
                <w:vertAlign w:val="superscript"/>
              </w:rPr>
              <w:t>2</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2</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9</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BENZO(a)PYRENE</w:t>
            </w:r>
            <w:r>
              <w:rPr>
                <w:sz w:val="16"/>
                <w:vertAlign w:val="superscript"/>
              </w:rPr>
              <w:t>2</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2</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7</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BENZO(b)FLUORANTHENE</w:t>
            </w:r>
            <w:r>
              <w:rPr>
                <w:sz w:val="16"/>
                <w:vertAlign w:val="superscript"/>
              </w:rPr>
              <w:t>2</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2</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8</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BENZO(g,h,i)PERYLENE</w:t>
            </w:r>
            <w:r>
              <w:rPr>
                <w:sz w:val="16"/>
                <w:vertAlign w:val="superscript"/>
              </w:rPr>
              <w:t>2</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1</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3</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BENZO(k)FLUORANTHENE</w:t>
            </w:r>
            <w:r>
              <w:rPr>
                <w:sz w:val="16"/>
                <w:vertAlign w:val="superscript"/>
              </w:rPr>
              <w:t>2</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1</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4</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BERYLLIUM</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0.4</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0.9</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CADMIUM</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2</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3</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CHROMIUM (TOTAL)</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30</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40</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CHROMIUM(III)</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30</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40</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Times New Roman"/>
              </w:rPr>
            </w:pPr>
            <w:r>
              <w:rPr>
                <w:rFonts w:eastAsia="Times New Roman"/>
              </w:rPr>
              <w:t>CHROMIUM(VI)</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30</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40</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CHRYSENE</w:t>
            </w:r>
            <w:r>
              <w:rPr>
                <w:sz w:val="16"/>
                <w:vertAlign w:val="superscript"/>
              </w:rPr>
              <w:t>2</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2</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7</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sz w:val="18"/>
              </w:rPr>
            </w:pPr>
            <w:r>
              <w:rPr>
                <w:sz w:val="18"/>
              </w:rPr>
              <w:t>COBALT</w:t>
            </w:r>
            <w:r>
              <w:rPr>
                <w:sz w:val="16"/>
                <w:vertAlign w:val="superscript"/>
              </w:rPr>
              <w:t>1</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4</w:t>
            </w:r>
          </w:p>
        </w:tc>
        <w:tc>
          <w:tcPr>
            <w:tcW w:w="2336" w:type="dxa"/>
            <w:vAlign w:val="bottom"/>
          </w:tcPr>
          <w:p w:rsidR="007221E8" w:rsidRDefault="007221E8" w:rsidP="0020021D">
            <w:pPr>
              <w:pStyle w:val="FSbodytext"/>
              <w:tabs>
                <w:tab w:val="left" w:pos="720"/>
                <w:tab w:val="decimal" w:pos="1350"/>
              </w:tabs>
              <w:ind w:left="720" w:hanging="720"/>
              <w:jc w:val="center"/>
              <w:rPr>
                <w:sz w:val="16"/>
              </w:rPr>
            </w:pPr>
            <w:r>
              <w:rPr>
                <w:sz w:val="16"/>
              </w:rPr>
              <w:t>4</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sz w:val="18"/>
              </w:rPr>
            </w:pPr>
            <w:r>
              <w:rPr>
                <w:sz w:val="18"/>
              </w:rPr>
              <w:t>COPPER</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40</w:t>
            </w:r>
          </w:p>
        </w:tc>
        <w:tc>
          <w:tcPr>
            <w:tcW w:w="2336" w:type="dxa"/>
            <w:vAlign w:val="bottom"/>
          </w:tcPr>
          <w:p w:rsidR="007221E8" w:rsidRDefault="007221E8" w:rsidP="0020021D">
            <w:pPr>
              <w:pStyle w:val="FSbodytext"/>
              <w:tabs>
                <w:tab w:val="left" w:pos="720"/>
                <w:tab w:val="decimal" w:pos="1350"/>
              </w:tabs>
              <w:ind w:left="720" w:hanging="720"/>
              <w:jc w:val="center"/>
              <w:rPr>
                <w:sz w:val="16"/>
              </w:rPr>
            </w:pPr>
            <w:r>
              <w:rPr>
                <w:sz w:val="16"/>
              </w:rPr>
              <w:t>200</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DIBENZO(a,h)ANTHRACENE</w:t>
            </w:r>
            <w:r>
              <w:rPr>
                <w:sz w:val="16"/>
                <w:vertAlign w:val="superscript"/>
              </w:rPr>
              <w:t>2</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0.5</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1</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FLUORANTHENE</w:t>
            </w:r>
            <w:r>
              <w:rPr>
                <w:sz w:val="16"/>
                <w:vertAlign w:val="superscript"/>
              </w:rPr>
              <w:t>2</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4</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10</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FLUORENE</w:t>
            </w:r>
            <w:r>
              <w:rPr>
                <w:sz w:val="16"/>
                <w:vertAlign w:val="superscript"/>
              </w:rPr>
              <w:t>2</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1</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2</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INDENO(1,2,3-cd)PYRENE</w:t>
            </w:r>
            <w:r>
              <w:rPr>
                <w:sz w:val="16"/>
                <w:vertAlign w:val="superscript"/>
              </w:rPr>
              <w:t>2</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1</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3</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sz w:val="18"/>
              </w:rPr>
            </w:pPr>
            <w:r>
              <w:rPr>
                <w:sz w:val="18"/>
              </w:rPr>
              <w:t>IRON</w:t>
            </w:r>
            <w:r>
              <w:rPr>
                <w:sz w:val="16"/>
                <w:vertAlign w:val="superscript"/>
              </w:rPr>
              <w:t>1</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20,000</w:t>
            </w:r>
          </w:p>
        </w:tc>
        <w:tc>
          <w:tcPr>
            <w:tcW w:w="2336" w:type="dxa"/>
            <w:vAlign w:val="bottom"/>
          </w:tcPr>
          <w:p w:rsidR="007221E8" w:rsidRDefault="007221E8" w:rsidP="0020021D">
            <w:pPr>
              <w:pStyle w:val="FSbodytext"/>
              <w:tabs>
                <w:tab w:val="left" w:pos="720"/>
                <w:tab w:val="decimal" w:pos="1350"/>
              </w:tabs>
              <w:ind w:left="720" w:hanging="720"/>
              <w:jc w:val="center"/>
              <w:rPr>
                <w:sz w:val="16"/>
              </w:rPr>
            </w:pPr>
            <w:r>
              <w:rPr>
                <w:sz w:val="16"/>
              </w:rPr>
              <w:t>20,000</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LEAD</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100</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600</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sz w:val="18"/>
              </w:rPr>
            </w:pPr>
            <w:r>
              <w:rPr>
                <w:sz w:val="18"/>
              </w:rPr>
              <w:t>MAGNESIUM</w:t>
            </w:r>
            <w:r>
              <w:rPr>
                <w:sz w:val="16"/>
                <w:vertAlign w:val="superscript"/>
              </w:rPr>
              <w:t>1</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5,000</w:t>
            </w:r>
          </w:p>
        </w:tc>
        <w:tc>
          <w:tcPr>
            <w:tcW w:w="2336" w:type="dxa"/>
            <w:vAlign w:val="bottom"/>
          </w:tcPr>
          <w:p w:rsidR="007221E8" w:rsidRDefault="007221E8" w:rsidP="0020021D">
            <w:pPr>
              <w:pStyle w:val="FSbodytext"/>
              <w:tabs>
                <w:tab w:val="left" w:pos="720"/>
                <w:tab w:val="decimal" w:pos="1350"/>
              </w:tabs>
              <w:ind w:left="720" w:hanging="720"/>
              <w:jc w:val="center"/>
              <w:rPr>
                <w:sz w:val="16"/>
              </w:rPr>
            </w:pPr>
            <w:r>
              <w:rPr>
                <w:sz w:val="16"/>
              </w:rPr>
              <w:t>5,000</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sz w:val="18"/>
              </w:rPr>
            </w:pPr>
            <w:r>
              <w:rPr>
                <w:sz w:val="18"/>
              </w:rPr>
              <w:t>MANGANESE</w:t>
            </w:r>
            <w:r>
              <w:rPr>
                <w:sz w:val="16"/>
                <w:vertAlign w:val="superscript"/>
              </w:rPr>
              <w:t>1</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300</w:t>
            </w:r>
          </w:p>
        </w:tc>
        <w:tc>
          <w:tcPr>
            <w:tcW w:w="2336" w:type="dxa"/>
            <w:vAlign w:val="bottom"/>
          </w:tcPr>
          <w:p w:rsidR="007221E8" w:rsidRDefault="007221E8" w:rsidP="0020021D">
            <w:pPr>
              <w:pStyle w:val="FSbodytext"/>
              <w:tabs>
                <w:tab w:val="left" w:pos="720"/>
                <w:tab w:val="decimal" w:pos="1350"/>
              </w:tabs>
              <w:ind w:left="720" w:hanging="720"/>
              <w:jc w:val="center"/>
              <w:rPr>
                <w:sz w:val="16"/>
              </w:rPr>
            </w:pPr>
            <w:r>
              <w:rPr>
                <w:sz w:val="16"/>
              </w:rPr>
              <w:t>300</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MERCURY</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0.3</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1</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METHYLNAPHTHALENE, 2-</w:t>
            </w:r>
            <w:r>
              <w:rPr>
                <w:sz w:val="16"/>
                <w:vertAlign w:val="superscript"/>
              </w:rPr>
              <w:t>2</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0.5</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1</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NAPHTHALENE</w:t>
            </w:r>
            <w:r>
              <w:rPr>
                <w:sz w:val="16"/>
                <w:vertAlign w:val="superscript"/>
              </w:rPr>
              <w:t>2</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0.5</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1</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NICKEL</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20</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30</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PHENANTHRENE</w:t>
            </w:r>
            <w:r>
              <w:rPr>
                <w:sz w:val="16"/>
                <w:vertAlign w:val="superscript"/>
              </w:rPr>
              <w:t>2</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3</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20</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PYRENE</w:t>
            </w:r>
            <w:r>
              <w:rPr>
                <w:sz w:val="16"/>
                <w:vertAlign w:val="superscript"/>
              </w:rPr>
              <w:t>2</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4</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20</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SELENIUM</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0.5</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1</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SILVER</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0.6</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5</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THALLIUM</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0.6</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5</w:t>
            </w:r>
          </w:p>
        </w:tc>
      </w:tr>
      <w:tr w:rsidR="007221E8" w:rsidTr="0020021D">
        <w:trPr>
          <w:jc w:val="center"/>
        </w:trPr>
        <w:tc>
          <w:tcPr>
            <w:tcW w:w="2912" w:type="dxa"/>
            <w:vAlign w:val="bottom"/>
          </w:tcPr>
          <w:p w:rsidR="007221E8" w:rsidRDefault="007221E8" w:rsidP="00EC6F1D">
            <w:pPr>
              <w:pStyle w:val="FSbodytext"/>
              <w:tabs>
                <w:tab w:val="left" w:pos="720"/>
              </w:tabs>
              <w:ind w:left="720" w:hanging="720"/>
              <w:rPr>
                <w:rFonts w:eastAsia="Arial Unicode MS"/>
                <w:sz w:val="18"/>
              </w:rPr>
            </w:pPr>
            <w:r>
              <w:rPr>
                <w:sz w:val="18"/>
              </w:rPr>
              <w:t>VANADIUM</w:t>
            </w:r>
            <w:r>
              <w:rPr>
                <w:sz w:val="16"/>
                <w:vertAlign w:val="superscript"/>
              </w:rPr>
              <w:t>1</w:t>
            </w:r>
          </w:p>
        </w:tc>
        <w:tc>
          <w:tcPr>
            <w:tcW w:w="1621" w:type="dxa"/>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30</w:t>
            </w:r>
          </w:p>
        </w:tc>
        <w:tc>
          <w:tcPr>
            <w:tcW w:w="2336" w:type="dxa"/>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30</w:t>
            </w:r>
          </w:p>
        </w:tc>
      </w:tr>
      <w:tr w:rsidR="007221E8" w:rsidTr="0020021D">
        <w:trPr>
          <w:jc w:val="center"/>
        </w:trPr>
        <w:tc>
          <w:tcPr>
            <w:tcW w:w="2912" w:type="dxa"/>
            <w:tcBorders>
              <w:bottom w:val="single" w:sz="4" w:space="0" w:color="auto"/>
            </w:tcBorders>
            <w:vAlign w:val="bottom"/>
          </w:tcPr>
          <w:p w:rsidR="007221E8" w:rsidRDefault="007221E8" w:rsidP="00EC6F1D">
            <w:pPr>
              <w:pStyle w:val="FSbodytext"/>
              <w:tabs>
                <w:tab w:val="left" w:pos="720"/>
              </w:tabs>
              <w:ind w:left="720" w:hanging="720"/>
              <w:rPr>
                <w:rFonts w:eastAsia="Arial Unicode MS"/>
                <w:sz w:val="18"/>
              </w:rPr>
            </w:pPr>
            <w:r>
              <w:rPr>
                <w:sz w:val="18"/>
              </w:rPr>
              <w:t>ZINC</w:t>
            </w:r>
          </w:p>
        </w:tc>
        <w:tc>
          <w:tcPr>
            <w:tcW w:w="1621" w:type="dxa"/>
            <w:tcBorders>
              <w:bottom w:val="single" w:sz="4" w:space="0" w:color="auto"/>
            </w:tcBorders>
            <w:vAlign w:val="bottom"/>
          </w:tcPr>
          <w:p w:rsidR="007221E8" w:rsidRDefault="007221E8" w:rsidP="0020021D">
            <w:pPr>
              <w:pStyle w:val="FSbodytext"/>
              <w:tabs>
                <w:tab w:val="left" w:pos="720"/>
                <w:tab w:val="decimal" w:pos="811"/>
              </w:tabs>
              <w:ind w:left="720" w:hanging="720"/>
              <w:jc w:val="center"/>
              <w:rPr>
                <w:rFonts w:eastAsia="Arial Unicode MS"/>
                <w:sz w:val="16"/>
              </w:rPr>
            </w:pPr>
            <w:r>
              <w:rPr>
                <w:rFonts w:eastAsia="Arial Unicode MS"/>
                <w:sz w:val="16"/>
              </w:rPr>
              <w:t>100</w:t>
            </w:r>
          </w:p>
        </w:tc>
        <w:tc>
          <w:tcPr>
            <w:tcW w:w="2336" w:type="dxa"/>
            <w:tcBorders>
              <w:bottom w:val="single" w:sz="4" w:space="0" w:color="auto"/>
            </w:tcBorders>
            <w:vAlign w:val="bottom"/>
          </w:tcPr>
          <w:p w:rsidR="007221E8" w:rsidRDefault="007221E8" w:rsidP="0020021D">
            <w:pPr>
              <w:pStyle w:val="FSbodytext"/>
              <w:tabs>
                <w:tab w:val="left" w:pos="720"/>
                <w:tab w:val="decimal" w:pos="1350"/>
              </w:tabs>
              <w:ind w:left="720" w:hanging="720"/>
              <w:jc w:val="center"/>
              <w:rPr>
                <w:rFonts w:eastAsia="Arial Unicode MS"/>
                <w:sz w:val="16"/>
              </w:rPr>
            </w:pPr>
            <w:r>
              <w:rPr>
                <w:rFonts w:eastAsia="Arial Unicode MS"/>
                <w:sz w:val="16"/>
              </w:rPr>
              <w:t>300</w:t>
            </w:r>
          </w:p>
        </w:tc>
      </w:tr>
    </w:tbl>
    <w:p w:rsidR="007221E8" w:rsidRDefault="007221E8" w:rsidP="00EC6F1D">
      <w:pPr>
        <w:pStyle w:val="FSbodytext"/>
        <w:tabs>
          <w:tab w:val="left" w:pos="720"/>
        </w:tabs>
        <w:ind w:left="720" w:hanging="720"/>
        <w:jc w:val="center"/>
        <w:rPr>
          <w:sz w:val="16"/>
        </w:rPr>
      </w:pPr>
      <w:r>
        <w:rPr>
          <w:sz w:val="16"/>
        </w:rPr>
        <w:t>(Values rounded to one significant figure.)</w:t>
      </w:r>
    </w:p>
    <w:p w:rsidR="007221E8" w:rsidRDefault="007221E8" w:rsidP="00EC6F1D">
      <w:pPr>
        <w:pStyle w:val="FSbodytext"/>
        <w:tabs>
          <w:tab w:val="left" w:pos="720"/>
        </w:tabs>
        <w:ind w:left="720" w:hanging="720"/>
        <w:rPr>
          <w:sz w:val="16"/>
        </w:rPr>
      </w:pPr>
      <w:r>
        <w:rPr>
          <w:sz w:val="16"/>
          <w:vertAlign w:val="superscript"/>
        </w:rPr>
        <w:t>1</w:t>
      </w:r>
      <w:r>
        <w:rPr>
          <w:sz w:val="16"/>
        </w:rPr>
        <w:t xml:space="preserve"> In the absence of </w:t>
      </w:r>
      <w:r w:rsidR="00263861">
        <w:rPr>
          <w:sz w:val="16"/>
        </w:rPr>
        <w:t>F</w:t>
      </w:r>
      <w:r>
        <w:rPr>
          <w:sz w:val="16"/>
        </w:rPr>
        <w:t>ill-specific data, the “natural” soil value has been adopted.</w:t>
      </w:r>
    </w:p>
    <w:p w:rsidR="002E23E7" w:rsidRDefault="007221E8" w:rsidP="00EC6F1D">
      <w:pPr>
        <w:tabs>
          <w:tab w:val="clear" w:pos="1800"/>
          <w:tab w:val="left" w:pos="720"/>
        </w:tabs>
        <w:ind w:left="720" w:hanging="720"/>
        <w:rPr>
          <w:sz w:val="16"/>
        </w:rPr>
      </w:pPr>
      <w:proofErr w:type="gramStart"/>
      <w:r>
        <w:rPr>
          <w:sz w:val="16"/>
          <w:vertAlign w:val="superscript"/>
        </w:rPr>
        <w:t>2</w:t>
      </w:r>
      <w:r>
        <w:rPr>
          <w:sz w:val="16"/>
        </w:rPr>
        <w:t xml:space="preserve">  In</w:t>
      </w:r>
      <w:proofErr w:type="gramEnd"/>
      <w:r>
        <w:rPr>
          <w:sz w:val="16"/>
        </w:rPr>
        <w:t xml:space="preserve"> the absence of data specific to “natural” soil, a lower percentile value from the </w:t>
      </w:r>
      <w:r w:rsidR="00263861">
        <w:rPr>
          <w:sz w:val="16"/>
        </w:rPr>
        <w:t>F</w:t>
      </w:r>
      <w:r>
        <w:rPr>
          <w:sz w:val="16"/>
        </w:rPr>
        <w:t>ill data set has been adopted.</w:t>
      </w:r>
    </w:p>
    <w:p w:rsidR="008B7359" w:rsidRDefault="008B7359" w:rsidP="00EC6F1D">
      <w:pPr>
        <w:tabs>
          <w:tab w:val="clear" w:pos="1800"/>
          <w:tab w:val="left" w:pos="720"/>
        </w:tabs>
        <w:ind w:left="720" w:hanging="720"/>
        <w:rPr>
          <w:sz w:val="16"/>
        </w:rPr>
      </w:pPr>
    </w:p>
    <w:tbl>
      <w:tblPr>
        <w:tblStyle w:val="TableGrid"/>
        <w:tblW w:w="10350" w:type="dxa"/>
        <w:tblInd w:w="108" w:type="dxa"/>
        <w:tblLook w:val="04A0"/>
      </w:tblPr>
      <w:tblGrid>
        <w:gridCol w:w="2848"/>
        <w:gridCol w:w="1076"/>
        <w:gridCol w:w="6426"/>
      </w:tblGrid>
      <w:tr w:rsidR="00E36D21" w:rsidTr="00E83A96">
        <w:tc>
          <w:tcPr>
            <w:tcW w:w="10350" w:type="dxa"/>
            <w:gridSpan w:val="3"/>
            <w:shd w:val="clear" w:color="auto" w:fill="B8CCE4" w:themeFill="accent1" w:themeFillTint="66"/>
          </w:tcPr>
          <w:p w:rsidR="00E36D21" w:rsidRDefault="00E36D21" w:rsidP="00EC6F1D">
            <w:pPr>
              <w:tabs>
                <w:tab w:val="clear" w:pos="1800"/>
                <w:tab w:val="left" w:pos="720"/>
              </w:tabs>
              <w:ind w:left="720" w:hanging="720"/>
              <w:jc w:val="center"/>
            </w:pPr>
          </w:p>
          <w:p w:rsidR="00E36D21" w:rsidRDefault="00E36D21" w:rsidP="00EC6F1D">
            <w:pPr>
              <w:tabs>
                <w:tab w:val="clear" w:pos="1800"/>
                <w:tab w:val="left" w:pos="720"/>
              </w:tabs>
              <w:ind w:left="720" w:hanging="720"/>
              <w:jc w:val="center"/>
              <w:rPr>
                <w:b/>
              </w:rPr>
            </w:pPr>
            <w:r>
              <w:rPr>
                <w:b/>
              </w:rPr>
              <w:t>Table 2</w:t>
            </w:r>
          </w:p>
          <w:p w:rsidR="00E36D21" w:rsidRPr="005A5357" w:rsidRDefault="00E36D21" w:rsidP="00EC6F1D">
            <w:pPr>
              <w:tabs>
                <w:tab w:val="clear" w:pos="1800"/>
                <w:tab w:val="left" w:pos="720"/>
              </w:tabs>
              <w:ind w:left="720" w:hanging="720"/>
              <w:jc w:val="center"/>
              <w:rPr>
                <w:b/>
              </w:rPr>
            </w:pPr>
            <w:r w:rsidRPr="005A5357">
              <w:rPr>
                <w:b/>
              </w:rPr>
              <w:t>Historic Fill</w:t>
            </w:r>
            <w:r>
              <w:rPr>
                <w:b/>
              </w:rPr>
              <w:t xml:space="preserve"> Evaluation </w:t>
            </w:r>
            <w:r w:rsidR="002E23E7">
              <w:rPr>
                <w:b/>
              </w:rPr>
              <w:t>Criteria</w:t>
            </w:r>
            <w:r>
              <w:rPr>
                <w:b/>
              </w:rPr>
              <w:t>*</w:t>
            </w:r>
          </w:p>
          <w:p w:rsidR="00E36D21" w:rsidRDefault="00E36D21" w:rsidP="00EC6F1D">
            <w:pPr>
              <w:tabs>
                <w:tab w:val="clear" w:pos="1800"/>
                <w:tab w:val="left" w:pos="720"/>
              </w:tabs>
              <w:ind w:left="720" w:hanging="720"/>
              <w:jc w:val="center"/>
            </w:pPr>
          </w:p>
        </w:tc>
      </w:tr>
      <w:tr w:rsidR="002D11AA" w:rsidRPr="0081386C" w:rsidTr="002E23E7">
        <w:tc>
          <w:tcPr>
            <w:tcW w:w="2848" w:type="dxa"/>
            <w:vAlign w:val="bottom"/>
          </w:tcPr>
          <w:p w:rsidR="00E36D21" w:rsidRPr="00E36D21" w:rsidRDefault="00AF5FA0" w:rsidP="002E23E7">
            <w:pPr>
              <w:tabs>
                <w:tab w:val="clear" w:pos="1800"/>
                <w:tab w:val="left" w:pos="720"/>
                <w:tab w:val="center" w:pos="4680"/>
                <w:tab w:val="right" w:pos="9360"/>
              </w:tabs>
              <w:ind w:left="720" w:hanging="720"/>
              <w:jc w:val="center"/>
              <w:rPr>
                <w:b/>
              </w:rPr>
            </w:pPr>
            <w:r w:rsidRPr="00AF5FA0">
              <w:rPr>
                <w:b/>
              </w:rPr>
              <w:t>Criteria</w:t>
            </w:r>
          </w:p>
        </w:tc>
        <w:tc>
          <w:tcPr>
            <w:tcW w:w="1076" w:type="dxa"/>
            <w:vAlign w:val="bottom"/>
          </w:tcPr>
          <w:p w:rsidR="0020021D" w:rsidRDefault="00AF5FA0" w:rsidP="002E23E7">
            <w:pPr>
              <w:tabs>
                <w:tab w:val="clear" w:pos="1800"/>
                <w:tab w:val="left" w:pos="720"/>
                <w:tab w:val="center" w:pos="4680"/>
                <w:tab w:val="right" w:pos="9360"/>
              </w:tabs>
              <w:ind w:left="720" w:hanging="720"/>
              <w:jc w:val="center"/>
              <w:rPr>
                <w:b/>
              </w:rPr>
            </w:pPr>
            <w:r w:rsidRPr="00AF5FA0">
              <w:rPr>
                <w:b/>
              </w:rPr>
              <w:t>Historic</w:t>
            </w:r>
          </w:p>
          <w:p w:rsidR="00E36D21" w:rsidRPr="00E36D21" w:rsidRDefault="00AF5FA0" w:rsidP="002E23E7">
            <w:pPr>
              <w:tabs>
                <w:tab w:val="clear" w:pos="1800"/>
                <w:tab w:val="left" w:pos="720"/>
                <w:tab w:val="center" w:pos="4680"/>
                <w:tab w:val="right" w:pos="9360"/>
              </w:tabs>
              <w:ind w:left="720" w:hanging="720"/>
              <w:jc w:val="center"/>
              <w:rPr>
                <w:b/>
              </w:rPr>
            </w:pPr>
            <w:r w:rsidRPr="00AF5FA0">
              <w:rPr>
                <w:b/>
              </w:rPr>
              <w:t>Fill?</w:t>
            </w:r>
          </w:p>
        </w:tc>
        <w:tc>
          <w:tcPr>
            <w:tcW w:w="6426" w:type="dxa"/>
            <w:vAlign w:val="bottom"/>
          </w:tcPr>
          <w:p w:rsidR="00E36D21" w:rsidRPr="00E36D21" w:rsidRDefault="00AF5FA0" w:rsidP="002E23E7">
            <w:pPr>
              <w:tabs>
                <w:tab w:val="clear" w:pos="1800"/>
                <w:tab w:val="left" w:pos="720"/>
                <w:tab w:val="center" w:pos="4680"/>
                <w:tab w:val="right" w:pos="9360"/>
              </w:tabs>
              <w:ind w:left="720" w:hanging="720"/>
              <w:jc w:val="center"/>
              <w:rPr>
                <w:b/>
              </w:rPr>
            </w:pPr>
            <w:r w:rsidRPr="00AF5FA0">
              <w:rPr>
                <w:b/>
              </w:rPr>
              <w:t>Comments</w:t>
            </w:r>
          </w:p>
        </w:tc>
      </w:tr>
      <w:tr w:rsidR="002D11AA" w:rsidRPr="00914BB3" w:rsidTr="002E23E7">
        <w:tc>
          <w:tcPr>
            <w:tcW w:w="2848" w:type="dxa"/>
            <w:vAlign w:val="center"/>
          </w:tcPr>
          <w:p w:rsidR="002F00C9" w:rsidRPr="00AF5FA0" w:rsidRDefault="002F00C9" w:rsidP="002E23E7">
            <w:pPr>
              <w:tabs>
                <w:tab w:val="clear" w:pos="1800"/>
                <w:tab w:val="left" w:pos="0"/>
                <w:tab w:val="center" w:pos="4680"/>
                <w:tab w:val="right" w:pos="9360"/>
              </w:tabs>
              <w:ind w:left="0" w:firstLine="0"/>
              <w:jc w:val="center"/>
            </w:pPr>
            <w:r>
              <w:t xml:space="preserve">Fill </w:t>
            </w:r>
            <w:r w:rsidR="0045052D">
              <w:t xml:space="preserve">from off-site source </w:t>
            </w:r>
            <w:r>
              <w:t>emplaced prior to 1983</w:t>
            </w:r>
          </w:p>
        </w:tc>
        <w:tc>
          <w:tcPr>
            <w:tcW w:w="1076" w:type="dxa"/>
            <w:vAlign w:val="center"/>
          </w:tcPr>
          <w:p w:rsidR="00A76C07" w:rsidRDefault="00A76C07" w:rsidP="002E23E7">
            <w:pPr>
              <w:tabs>
                <w:tab w:val="clear" w:pos="1800"/>
                <w:tab w:val="left" w:pos="0"/>
                <w:tab w:val="center" w:pos="4680"/>
                <w:tab w:val="right" w:pos="9360"/>
              </w:tabs>
              <w:ind w:left="0" w:firstLine="0"/>
              <w:jc w:val="center"/>
            </w:pPr>
          </w:p>
          <w:p w:rsidR="002F00C9" w:rsidRPr="00AF5FA0" w:rsidRDefault="00A76C07" w:rsidP="002E23E7">
            <w:pPr>
              <w:tabs>
                <w:tab w:val="clear" w:pos="1800"/>
                <w:tab w:val="left" w:pos="0"/>
                <w:tab w:val="center" w:pos="4680"/>
                <w:tab w:val="right" w:pos="9360"/>
              </w:tabs>
              <w:ind w:left="0" w:firstLine="0"/>
              <w:jc w:val="center"/>
            </w:pPr>
            <w:r>
              <w:t>P</w:t>
            </w:r>
            <w:r w:rsidR="0045052D">
              <w:t>robably</w:t>
            </w:r>
          </w:p>
        </w:tc>
        <w:tc>
          <w:tcPr>
            <w:tcW w:w="6426" w:type="dxa"/>
            <w:vAlign w:val="center"/>
          </w:tcPr>
          <w:p w:rsidR="002F00C9" w:rsidRDefault="002F00C9" w:rsidP="002E23E7">
            <w:pPr>
              <w:tabs>
                <w:tab w:val="clear" w:pos="1800"/>
                <w:tab w:val="left" w:pos="0"/>
                <w:tab w:val="center" w:pos="4680"/>
                <w:tab w:val="right" w:pos="9360"/>
              </w:tabs>
              <w:ind w:left="0" w:firstLine="0"/>
            </w:pPr>
            <w:r>
              <w:t>Site history of filling documented, c</w:t>
            </w:r>
            <w:r w:rsidR="000A43E6">
              <w:t>.</w:t>
            </w:r>
            <w:r>
              <w:t>91, historic aerials, town records</w:t>
            </w:r>
          </w:p>
          <w:p w:rsidR="00180060" w:rsidRDefault="002F00C9" w:rsidP="002E23E7">
            <w:pPr>
              <w:tabs>
                <w:tab w:val="clear" w:pos="1800"/>
                <w:tab w:val="left" w:pos="0"/>
                <w:tab w:val="center" w:pos="4680"/>
                <w:tab w:val="right" w:pos="9360"/>
              </w:tabs>
              <w:ind w:left="0" w:firstLine="0"/>
            </w:pPr>
            <w:r>
              <w:t>Boring test pits clearly indicate peat or native material</w:t>
            </w:r>
            <w:r w:rsidR="0087542D">
              <w:t xml:space="preserve"> beneath</w:t>
            </w:r>
            <w:r w:rsidR="00263861">
              <w:t xml:space="preserve"> F</w:t>
            </w:r>
            <w:r w:rsidR="0087542D">
              <w:t>ill</w:t>
            </w:r>
          </w:p>
          <w:p w:rsidR="002F00C9" w:rsidRPr="00AF5FA0" w:rsidRDefault="0087542D" w:rsidP="002E23E7">
            <w:pPr>
              <w:tabs>
                <w:tab w:val="clear" w:pos="1800"/>
                <w:tab w:val="left" w:pos="0"/>
                <w:tab w:val="center" w:pos="4680"/>
                <w:tab w:val="right" w:pos="9360"/>
              </w:tabs>
              <w:ind w:left="0" w:firstLine="0"/>
            </w:pPr>
            <w:r>
              <w:t>layer</w:t>
            </w:r>
          </w:p>
        </w:tc>
      </w:tr>
      <w:tr w:rsidR="002D11AA" w:rsidRPr="00914BB3" w:rsidTr="002E23E7">
        <w:tc>
          <w:tcPr>
            <w:tcW w:w="2848" w:type="dxa"/>
            <w:vAlign w:val="center"/>
          </w:tcPr>
          <w:p w:rsidR="00E36D21" w:rsidRPr="00E36D21" w:rsidRDefault="00AF5FA0" w:rsidP="002E23E7">
            <w:pPr>
              <w:tabs>
                <w:tab w:val="clear" w:pos="1800"/>
                <w:tab w:val="left" w:pos="0"/>
                <w:tab w:val="center" w:pos="4680"/>
                <w:tab w:val="right" w:pos="9360"/>
              </w:tabs>
              <w:ind w:left="0" w:firstLine="0"/>
              <w:jc w:val="center"/>
            </w:pPr>
            <w:r w:rsidRPr="00AF5FA0">
              <w:t>Fill is primarily soil</w:t>
            </w:r>
          </w:p>
        </w:tc>
        <w:tc>
          <w:tcPr>
            <w:tcW w:w="1076" w:type="dxa"/>
            <w:vAlign w:val="center"/>
          </w:tcPr>
          <w:p w:rsidR="00A76C07" w:rsidRDefault="00A76C07" w:rsidP="002E23E7">
            <w:pPr>
              <w:tabs>
                <w:tab w:val="clear" w:pos="1800"/>
                <w:tab w:val="left" w:pos="0"/>
                <w:tab w:val="center" w:pos="4680"/>
                <w:tab w:val="right" w:pos="9360"/>
              </w:tabs>
              <w:ind w:left="0" w:firstLine="0"/>
              <w:jc w:val="center"/>
            </w:pPr>
            <w:r>
              <w:t>P</w:t>
            </w:r>
            <w:r w:rsidR="0045052D">
              <w:t>robably</w:t>
            </w:r>
          </w:p>
          <w:p w:rsidR="00E36D21" w:rsidRPr="00E36D21" w:rsidRDefault="00E36D21" w:rsidP="002E23E7">
            <w:pPr>
              <w:tabs>
                <w:tab w:val="clear" w:pos="1800"/>
                <w:tab w:val="left" w:pos="0"/>
                <w:tab w:val="center" w:pos="4680"/>
                <w:tab w:val="right" w:pos="9360"/>
              </w:tabs>
              <w:ind w:left="0" w:firstLine="0"/>
              <w:jc w:val="center"/>
            </w:pPr>
          </w:p>
        </w:tc>
        <w:tc>
          <w:tcPr>
            <w:tcW w:w="6426" w:type="dxa"/>
            <w:vAlign w:val="center"/>
          </w:tcPr>
          <w:p w:rsidR="0045052D" w:rsidRDefault="00EE6A2F" w:rsidP="002E23E7">
            <w:pPr>
              <w:tabs>
                <w:tab w:val="clear" w:pos="1800"/>
                <w:tab w:val="left" w:pos="0"/>
                <w:tab w:val="center" w:pos="4680"/>
                <w:tab w:val="right" w:pos="9360"/>
              </w:tabs>
              <w:ind w:left="0" w:firstLine="0"/>
            </w:pPr>
            <w:r>
              <w:t xml:space="preserve">&gt;50% of total </w:t>
            </w:r>
            <w:r w:rsidR="0045052D">
              <w:t xml:space="preserve">contaminated </w:t>
            </w:r>
            <w:r>
              <w:t>mass must be</w:t>
            </w:r>
            <w:r w:rsidR="00AF5FA0" w:rsidRPr="00AF5FA0">
              <w:t xml:space="preserve"> soil</w:t>
            </w:r>
            <w:r w:rsidR="000A43E6">
              <w:t>-n</w:t>
            </w:r>
            <w:r w:rsidR="002F00C9">
              <w:t>ot p</w:t>
            </w:r>
            <w:r w:rsidR="002F00C9" w:rsidRPr="00AF5FA0">
              <w:t xml:space="preserve">redominately </w:t>
            </w:r>
            <w:r w:rsidR="0045052D">
              <w:t>a</w:t>
            </w:r>
            <w:r w:rsidR="002F00C9" w:rsidRPr="00AF5FA0">
              <w:t>sh,</w:t>
            </w:r>
          </w:p>
          <w:p w:rsidR="0045052D" w:rsidRDefault="002F00C9" w:rsidP="002E23E7">
            <w:pPr>
              <w:tabs>
                <w:tab w:val="clear" w:pos="1800"/>
                <w:tab w:val="left" w:pos="0"/>
                <w:tab w:val="center" w:pos="4680"/>
                <w:tab w:val="right" w:pos="9360"/>
              </w:tabs>
              <w:ind w:left="0" w:firstLine="0"/>
            </w:pPr>
            <w:r>
              <w:t>dredge spoils,</w:t>
            </w:r>
            <w:r w:rsidRPr="00AF5FA0">
              <w:t xml:space="preserve"> </w:t>
            </w:r>
            <w:r w:rsidR="000A43E6">
              <w:t>c</w:t>
            </w:r>
            <w:r w:rsidRPr="00AF5FA0">
              <w:t>onstruction or demolition debris</w:t>
            </w:r>
            <w:r w:rsidR="000A43E6">
              <w:t>, n</w:t>
            </w:r>
            <w:r w:rsidRPr="00AF5FA0">
              <w:t xml:space="preserve">o </w:t>
            </w:r>
            <w:r>
              <w:t>large</w:t>
            </w:r>
            <w:r w:rsidRPr="00AF5FA0">
              <w:t xml:space="preserve"> discrete</w:t>
            </w:r>
          </w:p>
          <w:p w:rsidR="00C44667" w:rsidRDefault="0045052D" w:rsidP="002E23E7">
            <w:pPr>
              <w:tabs>
                <w:tab w:val="clear" w:pos="1800"/>
                <w:tab w:val="left" w:pos="0"/>
                <w:tab w:val="center" w:pos="4680"/>
                <w:tab w:val="right" w:pos="9360"/>
              </w:tabs>
              <w:ind w:left="0" w:firstLine="0"/>
            </w:pPr>
            <w:r>
              <w:t>a</w:t>
            </w:r>
            <w:r w:rsidR="002F00C9" w:rsidRPr="00AF5FA0">
              <w:t>rea</w:t>
            </w:r>
            <w:r w:rsidR="002F00C9">
              <w:t>s</w:t>
            </w:r>
            <w:r w:rsidR="00B637B8">
              <w:t xml:space="preserve"> or </w:t>
            </w:r>
            <w:r w:rsidR="002F00C9" w:rsidRPr="00AF5FA0">
              <w:t>layer</w:t>
            </w:r>
            <w:r w:rsidR="002F00C9">
              <w:t>s</w:t>
            </w:r>
            <w:r w:rsidR="002F00C9" w:rsidRPr="00AF5FA0">
              <w:t xml:space="preserve"> composed</w:t>
            </w:r>
            <w:r w:rsidR="002F00C9">
              <w:t xml:space="preserve"> of ineligible materials within t</w:t>
            </w:r>
            <w:r w:rsidR="002F00C9" w:rsidRPr="00AF5FA0">
              <w:t>he filled area</w:t>
            </w:r>
          </w:p>
        </w:tc>
      </w:tr>
      <w:tr w:rsidR="002D11AA" w:rsidRPr="00C21CE9" w:rsidTr="002E23E7">
        <w:trPr>
          <w:trHeight w:val="494"/>
        </w:trPr>
        <w:tc>
          <w:tcPr>
            <w:tcW w:w="2848" w:type="dxa"/>
            <w:vAlign w:val="center"/>
          </w:tcPr>
          <w:p w:rsidR="00E36D21" w:rsidRPr="00E36D21" w:rsidRDefault="0020082E" w:rsidP="002E23E7">
            <w:pPr>
              <w:tabs>
                <w:tab w:val="clear" w:pos="1800"/>
                <w:tab w:val="left" w:pos="0"/>
                <w:tab w:val="center" w:pos="4680"/>
                <w:tab w:val="right" w:pos="9360"/>
              </w:tabs>
              <w:ind w:left="0" w:firstLine="0"/>
              <w:jc w:val="center"/>
            </w:pPr>
            <w:r>
              <w:t>OHM from p</w:t>
            </w:r>
            <w:r w:rsidR="00AF5FA0" w:rsidRPr="00AF5FA0">
              <w:t>ervasive use</w:t>
            </w:r>
          </w:p>
        </w:tc>
        <w:tc>
          <w:tcPr>
            <w:tcW w:w="1076" w:type="dxa"/>
            <w:vAlign w:val="center"/>
          </w:tcPr>
          <w:p w:rsidR="00E36D21" w:rsidRDefault="0045052D" w:rsidP="002E23E7">
            <w:pPr>
              <w:tabs>
                <w:tab w:val="clear" w:pos="1800"/>
                <w:tab w:val="left" w:pos="0"/>
                <w:tab w:val="center" w:pos="4680"/>
                <w:tab w:val="right" w:pos="9360"/>
              </w:tabs>
              <w:ind w:left="0" w:firstLine="0"/>
              <w:jc w:val="center"/>
            </w:pPr>
            <w:r>
              <w:t>Probably</w:t>
            </w:r>
          </w:p>
          <w:p w:rsidR="00A76C07" w:rsidRPr="00E36D21" w:rsidRDefault="00A76C07" w:rsidP="002E23E7">
            <w:pPr>
              <w:tabs>
                <w:tab w:val="clear" w:pos="1800"/>
                <w:tab w:val="left" w:pos="0"/>
                <w:tab w:val="center" w:pos="4680"/>
                <w:tab w:val="right" w:pos="9360"/>
              </w:tabs>
              <w:ind w:left="0" w:firstLine="0"/>
              <w:jc w:val="center"/>
            </w:pPr>
          </w:p>
        </w:tc>
        <w:tc>
          <w:tcPr>
            <w:tcW w:w="6426" w:type="dxa"/>
            <w:vAlign w:val="center"/>
          </w:tcPr>
          <w:p w:rsidR="00180060" w:rsidRDefault="00AF5FA0" w:rsidP="002E23E7">
            <w:pPr>
              <w:tabs>
                <w:tab w:val="clear" w:pos="1800"/>
                <w:tab w:val="left" w:pos="0"/>
                <w:tab w:val="center" w:pos="4680"/>
                <w:tab w:val="right" w:pos="9360"/>
              </w:tabs>
              <w:ind w:left="0" w:firstLine="0"/>
            </w:pPr>
            <w:r w:rsidRPr="00AF5FA0">
              <w:t xml:space="preserve">Common or typical </w:t>
            </w:r>
            <w:r w:rsidR="0045052D">
              <w:t xml:space="preserve">of </w:t>
            </w:r>
            <w:r w:rsidR="0020082E">
              <w:t xml:space="preserve">widespread </w:t>
            </w:r>
            <w:r w:rsidRPr="00AF5FA0">
              <w:t>use (i</w:t>
            </w:r>
            <w:r w:rsidR="000A43E6">
              <w:t>.</w:t>
            </w:r>
            <w:r w:rsidRPr="00AF5FA0">
              <w:t>e</w:t>
            </w:r>
            <w:r w:rsidR="000A43E6">
              <w:t>.</w:t>
            </w:r>
            <w:r w:rsidRPr="00AF5FA0">
              <w:t>: motor vehicle use, power</w:t>
            </w:r>
          </w:p>
          <w:p w:rsidR="0045052D" w:rsidRDefault="00AF5FA0" w:rsidP="002E23E7">
            <w:pPr>
              <w:tabs>
                <w:tab w:val="clear" w:pos="1800"/>
                <w:tab w:val="left" w:pos="0"/>
                <w:tab w:val="center" w:pos="4680"/>
                <w:tab w:val="right" w:pos="9360"/>
              </w:tabs>
              <w:ind w:left="0" w:firstLine="0"/>
            </w:pPr>
            <w:r w:rsidRPr="00AF5FA0">
              <w:t>plants, wood or coal burning stoves/furnaces)</w:t>
            </w:r>
            <w:r w:rsidR="0045052D">
              <w:t xml:space="preserve"> over an area and not a</w:t>
            </w:r>
          </w:p>
          <w:p w:rsidR="002F00C9" w:rsidRPr="00E36D21" w:rsidRDefault="0045052D" w:rsidP="002E23E7">
            <w:pPr>
              <w:tabs>
                <w:tab w:val="clear" w:pos="1800"/>
                <w:tab w:val="left" w:pos="0"/>
                <w:tab w:val="center" w:pos="4680"/>
                <w:tab w:val="right" w:pos="9360"/>
              </w:tabs>
              <w:ind w:left="0" w:firstLine="0"/>
            </w:pPr>
            <w:proofErr w:type="gramStart"/>
            <w:r>
              <w:t>discrete</w:t>
            </w:r>
            <w:proofErr w:type="gramEnd"/>
            <w:r>
              <w:t xml:space="preserve"> area</w:t>
            </w:r>
            <w:r w:rsidR="00AF5FA0" w:rsidRPr="00AF5FA0">
              <w:t>.</w:t>
            </w:r>
            <w:r w:rsidR="007F048A">
              <w:t xml:space="preserve"> Includes</w:t>
            </w:r>
            <w:r w:rsidR="0020082E">
              <w:t xml:space="preserve"> m</w:t>
            </w:r>
            <w:r w:rsidR="002F00C9">
              <w:t xml:space="preserve">etals, hydrocarbons </w:t>
            </w:r>
            <w:r w:rsidR="007F048A">
              <w:t>and/</w:t>
            </w:r>
            <w:r w:rsidR="002F00C9">
              <w:t>or PAHs</w:t>
            </w:r>
            <w:r>
              <w:t>.</w:t>
            </w:r>
          </w:p>
        </w:tc>
      </w:tr>
      <w:tr w:rsidR="002D11AA" w:rsidTr="002E23E7">
        <w:tc>
          <w:tcPr>
            <w:tcW w:w="2848" w:type="dxa"/>
            <w:vAlign w:val="center"/>
          </w:tcPr>
          <w:p w:rsidR="0020082E" w:rsidRPr="00AF5FA0" w:rsidRDefault="0020082E" w:rsidP="002E23E7">
            <w:pPr>
              <w:tabs>
                <w:tab w:val="clear" w:pos="1800"/>
                <w:tab w:val="left" w:pos="0"/>
                <w:tab w:val="center" w:pos="4680"/>
                <w:tab w:val="right" w:pos="9360"/>
              </w:tabs>
              <w:ind w:left="0" w:firstLine="0"/>
              <w:jc w:val="center"/>
            </w:pPr>
            <w:r>
              <w:t xml:space="preserve">Does not contain OHM from </w:t>
            </w:r>
            <w:r w:rsidR="0043671B">
              <w:t xml:space="preserve">site </w:t>
            </w:r>
            <w:r>
              <w:t>operations</w:t>
            </w:r>
          </w:p>
        </w:tc>
        <w:tc>
          <w:tcPr>
            <w:tcW w:w="1076" w:type="dxa"/>
            <w:vAlign w:val="center"/>
          </w:tcPr>
          <w:p w:rsidR="0020082E" w:rsidRDefault="0045052D" w:rsidP="002E23E7">
            <w:pPr>
              <w:tabs>
                <w:tab w:val="clear" w:pos="1800"/>
                <w:tab w:val="left" w:pos="0"/>
                <w:tab w:val="center" w:pos="4680"/>
                <w:tab w:val="right" w:pos="9360"/>
              </w:tabs>
              <w:ind w:left="0" w:firstLine="0"/>
              <w:jc w:val="center"/>
            </w:pPr>
            <w:r>
              <w:t>Probably</w:t>
            </w:r>
          </w:p>
          <w:p w:rsidR="00A76C07" w:rsidRPr="00AF5FA0" w:rsidRDefault="00A76C07" w:rsidP="002E23E7">
            <w:pPr>
              <w:tabs>
                <w:tab w:val="clear" w:pos="1800"/>
                <w:tab w:val="left" w:pos="0"/>
                <w:tab w:val="center" w:pos="4680"/>
                <w:tab w:val="right" w:pos="9360"/>
              </w:tabs>
              <w:ind w:left="0" w:firstLine="0"/>
              <w:jc w:val="center"/>
            </w:pPr>
          </w:p>
        </w:tc>
        <w:tc>
          <w:tcPr>
            <w:tcW w:w="6426" w:type="dxa"/>
            <w:vAlign w:val="center"/>
          </w:tcPr>
          <w:p w:rsidR="0020082E" w:rsidRDefault="0020082E" w:rsidP="002E23E7">
            <w:pPr>
              <w:tabs>
                <w:tab w:val="clear" w:pos="1800"/>
                <w:tab w:val="left" w:pos="0"/>
                <w:tab w:val="center" w:pos="4680"/>
                <w:tab w:val="right" w:pos="9360"/>
              </w:tabs>
              <w:ind w:left="0" w:firstLine="0"/>
            </w:pPr>
            <w:r>
              <w:t>Site history demonstrates no on-site sources of OHM</w:t>
            </w:r>
            <w:r w:rsidR="00A212C0">
              <w:t xml:space="preserve"> &gt;RCs</w:t>
            </w:r>
          </w:p>
        </w:tc>
      </w:tr>
      <w:tr w:rsidR="002D11AA" w:rsidTr="002E23E7">
        <w:tc>
          <w:tcPr>
            <w:tcW w:w="2848" w:type="dxa"/>
            <w:vAlign w:val="center"/>
          </w:tcPr>
          <w:p w:rsidR="0020082E" w:rsidRPr="00AF5FA0" w:rsidRDefault="0020082E" w:rsidP="002E23E7">
            <w:pPr>
              <w:tabs>
                <w:tab w:val="clear" w:pos="1800"/>
                <w:tab w:val="left" w:pos="0"/>
                <w:tab w:val="center" w:pos="4680"/>
                <w:tab w:val="right" w:pos="9360"/>
              </w:tabs>
              <w:ind w:left="0" w:firstLine="0"/>
              <w:jc w:val="center"/>
            </w:pPr>
            <w:r>
              <w:t>Contains Hazardous Waste or chemical by-products</w:t>
            </w:r>
          </w:p>
        </w:tc>
        <w:tc>
          <w:tcPr>
            <w:tcW w:w="1076" w:type="dxa"/>
            <w:vAlign w:val="center"/>
          </w:tcPr>
          <w:p w:rsidR="0020082E" w:rsidRPr="00AF5FA0" w:rsidRDefault="0020082E" w:rsidP="002E23E7">
            <w:pPr>
              <w:tabs>
                <w:tab w:val="clear" w:pos="1800"/>
                <w:tab w:val="left" w:pos="0"/>
                <w:tab w:val="center" w:pos="4680"/>
                <w:tab w:val="right" w:pos="9360"/>
              </w:tabs>
              <w:ind w:left="0" w:firstLine="0"/>
              <w:jc w:val="center"/>
            </w:pPr>
            <w:r>
              <w:t>NO</w:t>
            </w:r>
          </w:p>
        </w:tc>
        <w:tc>
          <w:tcPr>
            <w:tcW w:w="6426" w:type="dxa"/>
            <w:vAlign w:val="center"/>
          </w:tcPr>
          <w:p w:rsidR="0020082E" w:rsidRDefault="0043671B" w:rsidP="002E23E7">
            <w:pPr>
              <w:tabs>
                <w:tab w:val="clear" w:pos="1800"/>
                <w:tab w:val="left" w:pos="0"/>
                <w:tab w:val="center" w:pos="4680"/>
                <w:tab w:val="right" w:pos="9360"/>
              </w:tabs>
              <w:ind w:left="0" w:firstLine="0"/>
            </w:pPr>
            <w:r>
              <w:t>Not eligible for Historic Fill</w:t>
            </w:r>
            <w:r w:rsidR="00A212C0">
              <w:t xml:space="preserve"> with the exception of</w:t>
            </w:r>
            <w:r w:rsidR="00022F30">
              <w:t xml:space="preserve"> Oil,</w:t>
            </w:r>
            <w:r w:rsidR="00A212C0">
              <w:t xml:space="preserve"> Waste Oil</w:t>
            </w:r>
          </w:p>
        </w:tc>
      </w:tr>
      <w:tr w:rsidR="002D11AA" w:rsidTr="002E23E7">
        <w:tc>
          <w:tcPr>
            <w:tcW w:w="2848" w:type="dxa"/>
            <w:vAlign w:val="center"/>
          </w:tcPr>
          <w:p w:rsidR="0020082E" w:rsidRPr="00AF5FA0" w:rsidRDefault="0020082E" w:rsidP="002E23E7">
            <w:pPr>
              <w:tabs>
                <w:tab w:val="clear" w:pos="1800"/>
                <w:tab w:val="left" w:pos="0"/>
                <w:tab w:val="center" w:pos="4680"/>
                <w:tab w:val="right" w:pos="9360"/>
              </w:tabs>
              <w:ind w:left="0" w:firstLine="0"/>
              <w:jc w:val="center"/>
            </w:pPr>
            <w:r>
              <w:t>Is a municipal  or burn dump, waste lagoon</w:t>
            </w:r>
          </w:p>
        </w:tc>
        <w:tc>
          <w:tcPr>
            <w:tcW w:w="1076" w:type="dxa"/>
            <w:vAlign w:val="center"/>
          </w:tcPr>
          <w:p w:rsidR="0020082E" w:rsidRPr="00AF5FA0" w:rsidRDefault="0020082E" w:rsidP="002E23E7">
            <w:pPr>
              <w:tabs>
                <w:tab w:val="clear" w:pos="1800"/>
                <w:tab w:val="left" w:pos="0"/>
                <w:tab w:val="center" w:pos="4680"/>
                <w:tab w:val="right" w:pos="9360"/>
              </w:tabs>
              <w:ind w:left="0" w:firstLine="0"/>
              <w:jc w:val="center"/>
            </w:pPr>
            <w:r>
              <w:t>NO</w:t>
            </w:r>
          </w:p>
        </w:tc>
        <w:tc>
          <w:tcPr>
            <w:tcW w:w="6426" w:type="dxa"/>
            <w:vAlign w:val="center"/>
          </w:tcPr>
          <w:p w:rsidR="0020082E" w:rsidRDefault="0043671B" w:rsidP="002E23E7">
            <w:pPr>
              <w:tabs>
                <w:tab w:val="clear" w:pos="1800"/>
                <w:tab w:val="left" w:pos="0"/>
                <w:tab w:val="center" w:pos="4680"/>
                <w:tab w:val="right" w:pos="9360"/>
              </w:tabs>
              <w:ind w:left="0" w:firstLine="0"/>
            </w:pPr>
            <w:r>
              <w:t>N</w:t>
            </w:r>
            <w:r w:rsidR="0020082E">
              <w:t>ot eligible</w:t>
            </w:r>
            <w:r>
              <w:t xml:space="preserve"> for Historic Fill</w:t>
            </w:r>
          </w:p>
        </w:tc>
      </w:tr>
      <w:tr w:rsidR="002D11AA" w:rsidTr="002E23E7">
        <w:tc>
          <w:tcPr>
            <w:tcW w:w="2848" w:type="dxa"/>
            <w:vAlign w:val="center"/>
          </w:tcPr>
          <w:p w:rsidR="00E36D21" w:rsidRPr="00E36D21" w:rsidRDefault="00AF5FA0" w:rsidP="002E23E7">
            <w:pPr>
              <w:tabs>
                <w:tab w:val="clear" w:pos="1800"/>
                <w:tab w:val="left" w:pos="0"/>
                <w:tab w:val="center" w:pos="4680"/>
                <w:tab w:val="right" w:pos="9360"/>
              </w:tabs>
              <w:ind w:left="0" w:firstLine="0"/>
              <w:jc w:val="center"/>
            </w:pPr>
            <w:r w:rsidRPr="00AF5FA0">
              <w:t>Asbestos</w:t>
            </w:r>
          </w:p>
        </w:tc>
        <w:tc>
          <w:tcPr>
            <w:tcW w:w="1076" w:type="dxa"/>
            <w:vAlign w:val="center"/>
          </w:tcPr>
          <w:p w:rsidR="00E36D21" w:rsidRPr="00E36D21" w:rsidRDefault="00AF5FA0" w:rsidP="002E23E7">
            <w:pPr>
              <w:tabs>
                <w:tab w:val="clear" w:pos="1800"/>
                <w:tab w:val="left" w:pos="0"/>
                <w:tab w:val="center" w:pos="4680"/>
                <w:tab w:val="right" w:pos="9360"/>
              </w:tabs>
              <w:ind w:left="0" w:firstLine="0"/>
              <w:jc w:val="center"/>
            </w:pPr>
            <w:r w:rsidRPr="00AF5FA0">
              <w:t>NO</w:t>
            </w:r>
          </w:p>
        </w:tc>
        <w:tc>
          <w:tcPr>
            <w:tcW w:w="6426" w:type="dxa"/>
            <w:vAlign w:val="center"/>
          </w:tcPr>
          <w:p w:rsidR="00E36D21" w:rsidRPr="00E36D21" w:rsidRDefault="002F00C9" w:rsidP="002E23E7">
            <w:pPr>
              <w:tabs>
                <w:tab w:val="clear" w:pos="1800"/>
                <w:tab w:val="left" w:pos="0"/>
                <w:tab w:val="center" w:pos="4680"/>
                <w:tab w:val="right" w:pos="9360"/>
              </w:tabs>
              <w:ind w:left="0" w:firstLine="0"/>
            </w:pPr>
            <w:r>
              <w:t>N</w:t>
            </w:r>
            <w:r w:rsidR="0043671B">
              <w:t>ot eligible for H</w:t>
            </w:r>
            <w:r w:rsidR="00AF5FA0" w:rsidRPr="00AF5FA0">
              <w:t xml:space="preserve">istoric </w:t>
            </w:r>
            <w:r w:rsidR="0043671B">
              <w:t>F</w:t>
            </w:r>
            <w:r w:rsidR="00AF5FA0" w:rsidRPr="00AF5FA0">
              <w:t>ill</w:t>
            </w:r>
          </w:p>
        </w:tc>
      </w:tr>
      <w:tr w:rsidR="002D11AA" w:rsidTr="002E23E7">
        <w:tc>
          <w:tcPr>
            <w:tcW w:w="2848" w:type="dxa"/>
            <w:vAlign w:val="center"/>
          </w:tcPr>
          <w:p w:rsidR="00E36D21" w:rsidRPr="00E36D21" w:rsidRDefault="00AF5FA0" w:rsidP="002E23E7">
            <w:pPr>
              <w:tabs>
                <w:tab w:val="clear" w:pos="1800"/>
                <w:tab w:val="left" w:pos="0"/>
                <w:tab w:val="center" w:pos="4680"/>
                <w:tab w:val="right" w:pos="9360"/>
              </w:tabs>
              <w:ind w:left="0" w:firstLine="0"/>
              <w:jc w:val="center"/>
            </w:pPr>
            <w:r w:rsidRPr="00AF5FA0">
              <w:t>Herbicides/Pesticides</w:t>
            </w:r>
          </w:p>
        </w:tc>
        <w:tc>
          <w:tcPr>
            <w:tcW w:w="1076" w:type="dxa"/>
            <w:vAlign w:val="center"/>
          </w:tcPr>
          <w:p w:rsidR="00E36D21" w:rsidRPr="00E36D21" w:rsidRDefault="00AF5FA0" w:rsidP="002E23E7">
            <w:pPr>
              <w:tabs>
                <w:tab w:val="clear" w:pos="1800"/>
                <w:tab w:val="left" w:pos="0"/>
                <w:tab w:val="center" w:pos="4680"/>
                <w:tab w:val="right" w:pos="9360"/>
              </w:tabs>
              <w:ind w:left="0" w:firstLine="0"/>
              <w:jc w:val="center"/>
            </w:pPr>
            <w:r w:rsidRPr="00AF5FA0">
              <w:t>NO</w:t>
            </w:r>
          </w:p>
        </w:tc>
        <w:tc>
          <w:tcPr>
            <w:tcW w:w="6426" w:type="dxa"/>
            <w:vAlign w:val="center"/>
          </w:tcPr>
          <w:p w:rsidR="00E36D21" w:rsidRPr="00E36D21" w:rsidRDefault="002F00C9" w:rsidP="002E23E7">
            <w:pPr>
              <w:tabs>
                <w:tab w:val="clear" w:pos="1800"/>
                <w:tab w:val="left" w:pos="0"/>
                <w:tab w:val="center" w:pos="4680"/>
                <w:tab w:val="right" w:pos="9360"/>
              </w:tabs>
              <w:ind w:left="0" w:firstLine="0"/>
            </w:pPr>
            <w:r>
              <w:t>N</w:t>
            </w:r>
            <w:r w:rsidR="0043671B">
              <w:t>ot eligible for H</w:t>
            </w:r>
            <w:r w:rsidR="00AF5FA0" w:rsidRPr="00AF5FA0">
              <w:t xml:space="preserve">istoric </w:t>
            </w:r>
            <w:r w:rsidR="0043671B">
              <w:t>F</w:t>
            </w:r>
            <w:r w:rsidR="00AF5FA0" w:rsidRPr="00AF5FA0">
              <w:t>ill</w:t>
            </w:r>
            <w:r w:rsidR="00A212C0">
              <w:t xml:space="preserve"> but may be Anthropogenic Background</w:t>
            </w:r>
          </w:p>
        </w:tc>
      </w:tr>
      <w:tr w:rsidR="002D11AA" w:rsidRPr="00FD700F" w:rsidTr="002E23E7">
        <w:trPr>
          <w:trHeight w:val="926"/>
        </w:trPr>
        <w:tc>
          <w:tcPr>
            <w:tcW w:w="2848" w:type="dxa"/>
            <w:vAlign w:val="center"/>
          </w:tcPr>
          <w:p w:rsidR="00C44667" w:rsidRDefault="00AF5FA0" w:rsidP="002E23E7">
            <w:pPr>
              <w:tabs>
                <w:tab w:val="clear" w:pos="1800"/>
                <w:tab w:val="left" w:pos="0"/>
              </w:tabs>
              <w:ind w:left="0" w:firstLine="0"/>
              <w:jc w:val="center"/>
            </w:pPr>
            <w:r w:rsidRPr="00AF5FA0">
              <w:t>Volatile petroleum hydrocarbons (VPH)</w:t>
            </w:r>
          </w:p>
        </w:tc>
        <w:tc>
          <w:tcPr>
            <w:tcW w:w="1076" w:type="dxa"/>
            <w:vAlign w:val="center"/>
          </w:tcPr>
          <w:p w:rsidR="00E36D21" w:rsidRPr="00E36D21" w:rsidRDefault="00AF5FA0" w:rsidP="002E23E7">
            <w:pPr>
              <w:tabs>
                <w:tab w:val="clear" w:pos="1800"/>
                <w:tab w:val="left" w:pos="0"/>
              </w:tabs>
              <w:ind w:left="0" w:firstLine="0"/>
              <w:jc w:val="center"/>
            </w:pPr>
            <w:r w:rsidRPr="00AF5FA0">
              <w:t>NO</w:t>
            </w:r>
          </w:p>
        </w:tc>
        <w:tc>
          <w:tcPr>
            <w:tcW w:w="6426" w:type="dxa"/>
            <w:vAlign w:val="center"/>
          </w:tcPr>
          <w:p w:rsidR="00C44667" w:rsidRDefault="00AF5FA0" w:rsidP="002E23E7">
            <w:pPr>
              <w:tabs>
                <w:tab w:val="clear" w:pos="1800"/>
                <w:tab w:val="left" w:pos="0"/>
              </w:tabs>
              <w:ind w:left="0" w:firstLine="0"/>
            </w:pPr>
            <w:r w:rsidRPr="00AF5FA0">
              <w:t xml:space="preserve">Small quantities released in a manner associated with pervasive use </w:t>
            </w:r>
            <w:r w:rsidR="002D11AA">
              <w:t>could be present but would be expected to be low</w:t>
            </w:r>
            <w:r w:rsidRPr="00AF5FA0">
              <w:t xml:space="preserve"> if disposed prior to 1983.  Such small quantities would either biodegrade, volatilize or be diluted to very low concentrations in soil.</w:t>
            </w:r>
          </w:p>
        </w:tc>
      </w:tr>
      <w:tr w:rsidR="002D11AA" w:rsidRPr="00E118BB" w:rsidTr="002E23E7">
        <w:tc>
          <w:tcPr>
            <w:tcW w:w="2848" w:type="dxa"/>
            <w:shd w:val="clear" w:color="auto" w:fill="auto"/>
            <w:vAlign w:val="center"/>
          </w:tcPr>
          <w:p w:rsidR="00A76C07" w:rsidRDefault="00A76C07" w:rsidP="002E23E7">
            <w:pPr>
              <w:tabs>
                <w:tab w:val="clear" w:pos="1800"/>
                <w:tab w:val="left" w:pos="0"/>
              </w:tabs>
              <w:ind w:left="0" w:firstLine="0"/>
              <w:jc w:val="center"/>
            </w:pPr>
            <w:r>
              <w:t>EPH</w:t>
            </w:r>
          </w:p>
          <w:p w:rsidR="00A76C07" w:rsidRPr="00AF5FA0" w:rsidRDefault="00A76C07" w:rsidP="002E23E7">
            <w:pPr>
              <w:tabs>
                <w:tab w:val="clear" w:pos="1800"/>
                <w:tab w:val="left" w:pos="0"/>
              </w:tabs>
              <w:ind w:left="0" w:firstLine="0"/>
              <w:jc w:val="center"/>
            </w:pPr>
          </w:p>
        </w:tc>
        <w:tc>
          <w:tcPr>
            <w:tcW w:w="1076" w:type="dxa"/>
            <w:shd w:val="clear" w:color="auto" w:fill="auto"/>
            <w:vAlign w:val="center"/>
          </w:tcPr>
          <w:p w:rsidR="00A76C07" w:rsidRPr="00AF5FA0" w:rsidDel="00A76C07" w:rsidRDefault="002D11AA" w:rsidP="002E23E7">
            <w:pPr>
              <w:tabs>
                <w:tab w:val="clear" w:pos="1800"/>
                <w:tab w:val="left" w:pos="0"/>
              </w:tabs>
              <w:ind w:left="0" w:firstLine="0"/>
              <w:jc w:val="center"/>
            </w:pPr>
            <w:r>
              <w:t>Possibly</w:t>
            </w:r>
          </w:p>
        </w:tc>
        <w:tc>
          <w:tcPr>
            <w:tcW w:w="6426" w:type="dxa"/>
            <w:shd w:val="clear" w:color="auto" w:fill="auto"/>
            <w:vAlign w:val="center"/>
          </w:tcPr>
          <w:p w:rsidR="00A76C07" w:rsidRPr="00AF5FA0" w:rsidRDefault="00A76C07" w:rsidP="002E23E7">
            <w:pPr>
              <w:tabs>
                <w:tab w:val="clear" w:pos="1800"/>
                <w:tab w:val="left" w:pos="0"/>
              </w:tabs>
              <w:ind w:left="0" w:firstLine="0"/>
            </w:pPr>
            <w:r w:rsidRPr="00AF5FA0">
              <w:t>Heavier petroleum compounds (i.e.: EPH or TPH) could be found at low concentrations in the 200-500 mg/kg range, but probably not</w:t>
            </w:r>
            <w:r w:rsidR="002D11AA">
              <w:t xml:space="preserve"> at a level of concern, i.e. &gt;</w:t>
            </w:r>
            <w:r w:rsidRPr="00AF5FA0">
              <w:t xml:space="preserve"> 1000 mg/kg total hydrocarbons.</w:t>
            </w:r>
          </w:p>
        </w:tc>
      </w:tr>
      <w:tr w:rsidR="002D11AA" w:rsidRPr="00E118BB" w:rsidTr="002E23E7">
        <w:tc>
          <w:tcPr>
            <w:tcW w:w="2848" w:type="dxa"/>
            <w:vAlign w:val="center"/>
          </w:tcPr>
          <w:p w:rsidR="00E36D21" w:rsidRPr="00E36D21" w:rsidRDefault="002D11AA" w:rsidP="002E23E7">
            <w:pPr>
              <w:tabs>
                <w:tab w:val="clear" w:pos="1800"/>
                <w:tab w:val="left" w:pos="0"/>
              </w:tabs>
              <w:ind w:left="0" w:firstLine="0"/>
              <w:jc w:val="center"/>
            </w:pPr>
            <w:r>
              <w:t>Non-volatile PAHs (pervasive</w:t>
            </w:r>
            <w:r w:rsidR="00AF5FA0" w:rsidRPr="00AF5FA0">
              <w:t xml:space="preserve"> use)</w:t>
            </w:r>
          </w:p>
        </w:tc>
        <w:tc>
          <w:tcPr>
            <w:tcW w:w="1076" w:type="dxa"/>
            <w:vAlign w:val="center"/>
          </w:tcPr>
          <w:p w:rsidR="00E36D21" w:rsidRPr="00E36D21" w:rsidRDefault="00A76C07" w:rsidP="002E23E7">
            <w:pPr>
              <w:tabs>
                <w:tab w:val="clear" w:pos="1800"/>
                <w:tab w:val="left" w:pos="0"/>
              </w:tabs>
              <w:ind w:left="0" w:firstLine="0"/>
              <w:jc w:val="center"/>
            </w:pPr>
            <w:r>
              <w:t>Possibly</w:t>
            </w:r>
          </w:p>
        </w:tc>
        <w:tc>
          <w:tcPr>
            <w:tcW w:w="6426" w:type="dxa"/>
            <w:vAlign w:val="center"/>
          </w:tcPr>
          <w:p w:rsidR="00E36D21" w:rsidRPr="00E36D21" w:rsidRDefault="00AF5FA0" w:rsidP="002E23E7">
            <w:pPr>
              <w:tabs>
                <w:tab w:val="clear" w:pos="1800"/>
                <w:tab w:val="left" w:pos="0"/>
              </w:tabs>
              <w:ind w:left="0" w:firstLine="0"/>
            </w:pPr>
            <w:r w:rsidRPr="00AF5FA0">
              <w:t>Indicative of a pyrogenic (ash) origin include (</w:t>
            </w:r>
            <w:proofErr w:type="spellStart"/>
            <w:r w:rsidRPr="00AF5FA0">
              <w:t>benzo</w:t>
            </w:r>
            <w:proofErr w:type="spellEnd"/>
            <w:r w:rsidRPr="00AF5FA0">
              <w:t>(a)</w:t>
            </w:r>
            <w:proofErr w:type="spellStart"/>
            <w:r w:rsidRPr="00AF5FA0">
              <w:t>anthracene</w:t>
            </w:r>
            <w:proofErr w:type="spellEnd"/>
            <w:r w:rsidRPr="00AF5FA0">
              <w:t>,</w:t>
            </w:r>
          </w:p>
          <w:p w:rsidR="00E36D21" w:rsidRPr="00E36D21" w:rsidRDefault="00AF5FA0" w:rsidP="002E23E7">
            <w:pPr>
              <w:tabs>
                <w:tab w:val="clear" w:pos="1800"/>
                <w:tab w:val="left" w:pos="0"/>
              </w:tabs>
              <w:ind w:left="0" w:firstLine="0"/>
            </w:pPr>
            <w:r w:rsidRPr="00AF5FA0">
              <w:t>benzo(a) pyrene, benzo(b)flouranthene, benzo(k)flouranthene,</w:t>
            </w:r>
          </w:p>
          <w:p w:rsidR="00180060" w:rsidRDefault="00AF5FA0" w:rsidP="002E23E7">
            <w:pPr>
              <w:tabs>
                <w:tab w:val="clear" w:pos="1800"/>
                <w:tab w:val="left" w:pos="0"/>
              </w:tabs>
              <w:ind w:left="0" w:firstLine="0"/>
            </w:pPr>
            <w:proofErr w:type="spellStart"/>
            <w:proofErr w:type="gramStart"/>
            <w:r w:rsidRPr="00AF5FA0">
              <w:t>dibenzo</w:t>
            </w:r>
            <w:proofErr w:type="spellEnd"/>
            <w:r w:rsidRPr="00AF5FA0">
              <w:t>(</w:t>
            </w:r>
            <w:proofErr w:type="spellStart"/>
            <w:proofErr w:type="gramEnd"/>
            <w:r w:rsidRPr="00AF5FA0">
              <w:t>a,h</w:t>
            </w:r>
            <w:proofErr w:type="spellEnd"/>
            <w:r w:rsidRPr="00AF5FA0">
              <w:t>)</w:t>
            </w:r>
            <w:proofErr w:type="spellStart"/>
            <w:r w:rsidRPr="00AF5FA0">
              <w:t>anthracene</w:t>
            </w:r>
            <w:proofErr w:type="spellEnd"/>
            <w:r w:rsidRPr="00AF5FA0">
              <w:t xml:space="preserve"> and </w:t>
            </w:r>
            <w:proofErr w:type="spellStart"/>
            <w:r w:rsidRPr="00AF5FA0">
              <w:t>indeno</w:t>
            </w:r>
            <w:proofErr w:type="spellEnd"/>
            <w:r w:rsidRPr="00AF5FA0">
              <w:t xml:space="preserve"> (1,2,3-cd)</w:t>
            </w:r>
            <w:proofErr w:type="spellStart"/>
            <w:r w:rsidRPr="00AF5FA0">
              <w:t>pyrene</w:t>
            </w:r>
            <w:proofErr w:type="spellEnd"/>
            <w:r w:rsidRPr="00AF5FA0">
              <w:t>).</w:t>
            </w:r>
          </w:p>
          <w:p w:rsidR="00180060" w:rsidRDefault="00B637B8" w:rsidP="002E23E7">
            <w:pPr>
              <w:tabs>
                <w:tab w:val="clear" w:pos="1800"/>
                <w:tab w:val="left" w:pos="0"/>
              </w:tabs>
              <w:ind w:left="0" w:firstLine="0"/>
            </w:pPr>
            <w:r>
              <w:t>PAHs i</w:t>
            </w:r>
            <w:r w:rsidRPr="00AF5FA0">
              <w:t xml:space="preserve">ndicative of a </w:t>
            </w:r>
            <w:proofErr w:type="spellStart"/>
            <w:r w:rsidRPr="00AF5FA0">
              <w:t>petrogenic</w:t>
            </w:r>
            <w:proofErr w:type="spellEnd"/>
            <w:r w:rsidRPr="00AF5FA0">
              <w:t xml:space="preserve"> (petroleum) origin include</w:t>
            </w:r>
          </w:p>
          <w:p w:rsidR="00B637B8" w:rsidRPr="00E36D21" w:rsidRDefault="00180060" w:rsidP="002E23E7">
            <w:pPr>
              <w:tabs>
                <w:tab w:val="clear" w:pos="1800"/>
                <w:tab w:val="left" w:pos="0"/>
              </w:tabs>
              <w:ind w:left="0" w:firstLine="0"/>
            </w:pPr>
            <w:r>
              <w:t>n</w:t>
            </w:r>
            <w:r w:rsidR="00B637B8" w:rsidRPr="00AF5FA0">
              <w:t xml:space="preserve">aphthalene, </w:t>
            </w:r>
            <w:r w:rsidR="00B637B8">
              <w:t xml:space="preserve"> </w:t>
            </w:r>
            <w:r w:rsidR="005543B7">
              <w:t>2</w:t>
            </w:r>
            <w:r w:rsidR="00B637B8" w:rsidRPr="00AF5FA0">
              <w:t xml:space="preserve">-methylnaphthalene,phenanthrene,and </w:t>
            </w:r>
            <w:r w:rsidR="005543B7">
              <w:t>a</w:t>
            </w:r>
            <w:r w:rsidR="00B637B8" w:rsidRPr="00AF5FA0">
              <w:t>cenaphthene</w:t>
            </w:r>
            <w:r w:rsidR="002D11AA">
              <w:t>.</w:t>
            </w:r>
          </w:p>
        </w:tc>
      </w:tr>
      <w:tr w:rsidR="002D11AA" w:rsidRPr="0015074D" w:rsidTr="002E23E7">
        <w:tc>
          <w:tcPr>
            <w:tcW w:w="2848" w:type="dxa"/>
            <w:vAlign w:val="center"/>
          </w:tcPr>
          <w:p w:rsidR="006235F9" w:rsidRPr="00E36D21" w:rsidRDefault="006235F9" w:rsidP="002E23E7">
            <w:pPr>
              <w:tabs>
                <w:tab w:val="clear" w:pos="1800"/>
                <w:tab w:val="left" w:pos="0"/>
              </w:tabs>
              <w:ind w:left="0" w:firstLine="0"/>
              <w:jc w:val="center"/>
            </w:pPr>
            <w:r w:rsidRPr="00AF5FA0">
              <w:t>Metals</w:t>
            </w:r>
          </w:p>
          <w:p w:rsidR="006235F9" w:rsidRPr="00E36D21" w:rsidRDefault="002D11AA" w:rsidP="002E23E7">
            <w:pPr>
              <w:tabs>
                <w:tab w:val="clear" w:pos="1800"/>
                <w:tab w:val="left" w:pos="0"/>
              </w:tabs>
              <w:ind w:left="0" w:firstLine="0"/>
              <w:jc w:val="center"/>
            </w:pPr>
            <w:r>
              <w:t>(pervasive</w:t>
            </w:r>
            <w:r w:rsidR="006235F9" w:rsidRPr="00AF5FA0">
              <w:t xml:space="preserve"> use)</w:t>
            </w:r>
          </w:p>
        </w:tc>
        <w:tc>
          <w:tcPr>
            <w:tcW w:w="1076" w:type="dxa"/>
            <w:vAlign w:val="center"/>
          </w:tcPr>
          <w:p w:rsidR="006235F9" w:rsidRPr="00E36D21" w:rsidRDefault="00A76C07" w:rsidP="002E23E7">
            <w:pPr>
              <w:tabs>
                <w:tab w:val="clear" w:pos="1800"/>
                <w:tab w:val="left" w:pos="0"/>
              </w:tabs>
              <w:ind w:left="0" w:firstLine="0"/>
              <w:jc w:val="center"/>
            </w:pPr>
            <w:r>
              <w:t>Possibly</w:t>
            </w:r>
          </w:p>
        </w:tc>
        <w:tc>
          <w:tcPr>
            <w:tcW w:w="6426" w:type="dxa"/>
            <w:vAlign w:val="center"/>
          </w:tcPr>
          <w:p w:rsidR="006235F9" w:rsidRPr="00E36D21" w:rsidRDefault="006235F9" w:rsidP="002E23E7">
            <w:pPr>
              <w:tabs>
                <w:tab w:val="clear" w:pos="1800"/>
                <w:tab w:val="left" w:pos="0"/>
              </w:tabs>
              <w:ind w:left="0" w:firstLine="0"/>
            </w:pPr>
            <w:r w:rsidRPr="00AF5FA0">
              <w:t>Arsenic</w:t>
            </w:r>
            <w:r>
              <w:t xml:space="preserve"> (&lt;100 mg/kg)</w:t>
            </w:r>
            <w:r w:rsidRPr="00AF5FA0">
              <w:t xml:space="preserve">, </w:t>
            </w:r>
            <w:r>
              <w:t xml:space="preserve">barium (&lt;1000mg/kg), </w:t>
            </w:r>
            <w:r w:rsidRPr="00AF5FA0">
              <w:t>beryllium</w:t>
            </w:r>
            <w:r>
              <w:t xml:space="preserve"> (&lt;90 mg/kg)</w:t>
            </w:r>
            <w:r w:rsidRPr="00AF5FA0">
              <w:t>, cadmium</w:t>
            </w:r>
            <w:r>
              <w:t xml:space="preserve"> (&lt;70 mg/kg)</w:t>
            </w:r>
            <w:r w:rsidRPr="00AF5FA0">
              <w:t xml:space="preserve">, </w:t>
            </w:r>
            <w:r>
              <w:t xml:space="preserve">chromium (&lt;100 mg/kg), </w:t>
            </w:r>
            <w:r w:rsidRPr="00AF5FA0">
              <w:t>copper</w:t>
            </w:r>
            <w:r>
              <w:t xml:space="preserve"> (200 mg/kg)</w:t>
            </w:r>
            <w:r w:rsidRPr="00AF5FA0">
              <w:t>, lead</w:t>
            </w:r>
            <w:r>
              <w:t xml:space="preserve"> (&lt;1000 mg/kg)</w:t>
            </w:r>
            <w:r w:rsidRPr="00AF5FA0">
              <w:t>, mercury</w:t>
            </w:r>
            <w:r>
              <w:t>(&lt;20 mg/kg)</w:t>
            </w:r>
            <w:r w:rsidRPr="00AF5FA0">
              <w:t>, zinc</w:t>
            </w:r>
            <w:r>
              <w:t>(&lt;1000 mg/kg),</w:t>
            </w:r>
          </w:p>
          <w:p w:rsidR="006235F9" w:rsidRDefault="006235F9" w:rsidP="002E23E7">
            <w:pPr>
              <w:tabs>
                <w:tab w:val="clear" w:pos="1800"/>
                <w:tab w:val="left" w:pos="0"/>
              </w:tabs>
              <w:ind w:left="0" w:firstLine="0"/>
            </w:pPr>
            <w:r w:rsidRPr="00AF5FA0">
              <w:t>Lead - historically used in paint (buildings, bridges and water towers),</w:t>
            </w:r>
          </w:p>
          <w:p w:rsidR="006235F9" w:rsidRPr="00E36D21" w:rsidRDefault="006235F9" w:rsidP="002E23E7">
            <w:pPr>
              <w:tabs>
                <w:tab w:val="clear" w:pos="1800"/>
                <w:tab w:val="left" w:pos="0"/>
              </w:tabs>
              <w:ind w:left="0" w:firstLine="0"/>
            </w:pPr>
            <w:proofErr w:type="gramStart"/>
            <w:r w:rsidRPr="00AF5FA0">
              <w:t>gasoline</w:t>
            </w:r>
            <w:proofErr w:type="gramEnd"/>
            <w:r w:rsidRPr="00AF5FA0">
              <w:t xml:space="preserve">, pipes, </w:t>
            </w:r>
            <w:r w:rsidR="00A76C07">
              <w:t xml:space="preserve">and </w:t>
            </w:r>
            <w:r w:rsidRPr="00AF5FA0">
              <w:t>solder.</w:t>
            </w:r>
          </w:p>
        </w:tc>
      </w:tr>
      <w:tr w:rsidR="002D11AA" w:rsidRPr="0058666E" w:rsidTr="002E23E7">
        <w:tc>
          <w:tcPr>
            <w:tcW w:w="2848" w:type="dxa"/>
            <w:vAlign w:val="center"/>
          </w:tcPr>
          <w:p w:rsidR="006235F9" w:rsidRPr="00E36D21" w:rsidRDefault="006235F9" w:rsidP="002E23E7">
            <w:pPr>
              <w:tabs>
                <w:tab w:val="clear" w:pos="1800"/>
                <w:tab w:val="left" w:pos="0"/>
              </w:tabs>
              <w:ind w:left="0" w:firstLine="0"/>
              <w:jc w:val="center"/>
            </w:pPr>
            <w:r w:rsidRPr="00AF5FA0">
              <w:t>Lead</w:t>
            </w:r>
          </w:p>
        </w:tc>
        <w:tc>
          <w:tcPr>
            <w:tcW w:w="1076" w:type="dxa"/>
            <w:vAlign w:val="center"/>
          </w:tcPr>
          <w:p w:rsidR="006235F9" w:rsidRPr="00E36D21" w:rsidRDefault="006235F9" w:rsidP="002E23E7">
            <w:pPr>
              <w:tabs>
                <w:tab w:val="clear" w:pos="1800"/>
                <w:tab w:val="left" w:pos="0"/>
              </w:tabs>
              <w:ind w:left="0" w:firstLine="0"/>
              <w:jc w:val="center"/>
            </w:pPr>
            <w:r w:rsidRPr="00AF5FA0">
              <w:t>NO</w:t>
            </w:r>
          </w:p>
        </w:tc>
        <w:tc>
          <w:tcPr>
            <w:tcW w:w="6426" w:type="dxa"/>
            <w:vAlign w:val="center"/>
          </w:tcPr>
          <w:p w:rsidR="006235F9" w:rsidRPr="00E36D21" w:rsidRDefault="006235F9" w:rsidP="002E23E7">
            <w:pPr>
              <w:tabs>
                <w:tab w:val="clear" w:pos="1800"/>
                <w:tab w:val="left" w:pos="0"/>
              </w:tabs>
              <w:ind w:left="0" w:firstLine="0"/>
            </w:pPr>
            <w:r>
              <w:t>Site history of i</w:t>
            </w:r>
            <w:r w:rsidRPr="00AF5FA0">
              <w:t xml:space="preserve">ndustries which used lead such as </w:t>
            </w:r>
            <w:r>
              <w:t xml:space="preserve">paint, </w:t>
            </w:r>
            <w:r w:rsidRPr="00AF5FA0">
              <w:t>battery</w:t>
            </w:r>
            <w:r>
              <w:t xml:space="preserve">, </w:t>
            </w:r>
            <w:r w:rsidR="002D11AA">
              <w:t xml:space="preserve">glass, </w:t>
            </w:r>
            <w:r>
              <w:t>munitions</w:t>
            </w:r>
            <w:r w:rsidRPr="00AF5FA0">
              <w:t xml:space="preserve"> herbicide/pesticide manufacturers, and foundries</w:t>
            </w:r>
            <w:r w:rsidR="002D11AA">
              <w:t>.</w:t>
            </w:r>
          </w:p>
        </w:tc>
      </w:tr>
      <w:tr w:rsidR="002D11AA" w:rsidRPr="00E36D21" w:rsidTr="002E23E7">
        <w:tc>
          <w:tcPr>
            <w:tcW w:w="2848" w:type="dxa"/>
            <w:vAlign w:val="center"/>
          </w:tcPr>
          <w:p w:rsidR="006235F9" w:rsidRPr="00E36D21" w:rsidRDefault="006235F9" w:rsidP="002E23E7">
            <w:pPr>
              <w:tabs>
                <w:tab w:val="clear" w:pos="1800"/>
                <w:tab w:val="left" w:pos="0"/>
              </w:tabs>
              <w:ind w:left="0" w:firstLine="0"/>
              <w:jc w:val="center"/>
            </w:pPr>
            <w:r w:rsidRPr="00AF5FA0">
              <w:t>Lead</w:t>
            </w:r>
          </w:p>
        </w:tc>
        <w:tc>
          <w:tcPr>
            <w:tcW w:w="1076" w:type="dxa"/>
            <w:vAlign w:val="center"/>
          </w:tcPr>
          <w:p w:rsidR="006235F9" w:rsidRPr="00E36D21" w:rsidRDefault="00A76C07" w:rsidP="002E23E7">
            <w:pPr>
              <w:tabs>
                <w:tab w:val="clear" w:pos="1800"/>
                <w:tab w:val="left" w:pos="0"/>
              </w:tabs>
              <w:ind w:left="0" w:firstLine="0"/>
              <w:jc w:val="center"/>
            </w:pPr>
            <w:r>
              <w:t>Possibly</w:t>
            </w:r>
          </w:p>
        </w:tc>
        <w:tc>
          <w:tcPr>
            <w:tcW w:w="6426" w:type="dxa"/>
            <w:vAlign w:val="center"/>
          </w:tcPr>
          <w:p w:rsidR="006235F9" w:rsidRDefault="006235F9" w:rsidP="002E23E7">
            <w:pPr>
              <w:tabs>
                <w:tab w:val="clear" w:pos="1800"/>
                <w:tab w:val="left" w:pos="0"/>
              </w:tabs>
              <w:ind w:left="0" w:firstLine="0"/>
            </w:pPr>
            <w:r w:rsidRPr="00AF5FA0">
              <w:t>A thorough site history rules out an on-site release. Forensic analysis supports the identification of lead in paint chips</w:t>
            </w:r>
            <w:r w:rsidR="002D11AA">
              <w:t xml:space="preserve"> or presence in coal/wood ash</w:t>
            </w:r>
            <w:r w:rsidRPr="00AF5FA0">
              <w:t>.</w:t>
            </w:r>
          </w:p>
        </w:tc>
      </w:tr>
      <w:tr w:rsidR="002D11AA" w:rsidRPr="00E36D21" w:rsidTr="002E23E7">
        <w:tc>
          <w:tcPr>
            <w:tcW w:w="2848" w:type="dxa"/>
            <w:vAlign w:val="center"/>
          </w:tcPr>
          <w:p w:rsidR="006235F9" w:rsidRPr="00E36D21" w:rsidRDefault="006235F9" w:rsidP="002E23E7">
            <w:pPr>
              <w:tabs>
                <w:tab w:val="clear" w:pos="1800"/>
                <w:tab w:val="left" w:pos="0"/>
              </w:tabs>
              <w:ind w:left="0" w:firstLine="0"/>
              <w:jc w:val="center"/>
            </w:pPr>
            <w:r w:rsidRPr="00AF5FA0">
              <w:t>Lead paint in soil</w:t>
            </w:r>
          </w:p>
        </w:tc>
        <w:tc>
          <w:tcPr>
            <w:tcW w:w="1076" w:type="dxa"/>
            <w:vAlign w:val="center"/>
          </w:tcPr>
          <w:p w:rsidR="00A76C07" w:rsidRPr="00E36D21" w:rsidRDefault="002D11AA" w:rsidP="002E23E7">
            <w:pPr>
              <w:tabs>
                <w:tab w:val="clear" w:pos="1800"/>
                <w:tab w:val="left" w:pos="0"/>
              </w:tabs>
              <w:ind w:left="0" w:firstLine="0"/>
              <w:jc w:val="center"/>
            </w:pPr>
            <w:r>
              <w:t>Possibly</w:t>
            </w:r>
          </w:p>
        </w:tc>
        <w:tc>
          <w:tcPr>
            <w:tcW w:w="6426" w:type="dxa"/>
            <w:vAlign w:val="center"/>
          </w:tcPr>
          <w:p w:rsidR="006235F9" w:rsidRPr="00E36D21" w:rsidRDefault="006235F9" w:rsidP="002E23E7">
            <w:pPr>
              <w:tabs>
                <w:tab w:val="clear" w:pos="1800"/>
                <w:tab w:val="left" w:pos="0"/>
              </w:tabs>
              <w:ind w:left="0" w:firstLine="0"/>
            </w:pPr>
            <w:r>
              <w:t>If m</w:t>
            </w:r>
            <w:r w:rsidRPr="00AF5FA0">
              <w:t xml:space="preserve">oved from original location (exempt if found at its original </w:t>
            </w:r>
            <w:r w:rsidR="002D11AA">
              <w:t xml:space="preserve">on-site </w:t>
            </w:r>
            <w:r w:rsidRPr="00AF5FA0">
              <w:t xml:space="preserve">location).  </w:t>
            </w:r>
            <w:r>
              <w:t>History indicates lead is likely from paint used in buildings,</w:t>
            </w:r>
            <w:r w:rsidR="002D11AA">
              <w:t xml:space="preserve"> or on</w:t>
            </w:r>
            <w:r>
              <w:t xml:space="preserve"> infrastructure</w:t>
            </w:r>
            <w:r w:rsidR="002D11AA">
              <w:t xml:space="preserve"> and forensic analysis supports assertion</w:t>
            </w:r>
            <w:r w:rsidRPr="00AF5FA0">
              <w:t>.</w:t>
            </w:r>
          </w:p>
        </w:tc>
      </w:tr>
      <w:tr w:rsidR="002D11AA" w:rsidRPr="00E36D21" w:rsidTr="002E23E7">
        <w:tc>
          <w:tcPr>
            <w:tcW w:w="2848" w:type="dxa"/>
            <w:vAlign w:val="center"/>
          </w:tcPr>
          <w:p w:rsidR="006235F9" w:rsidRPr="00E36D21" w:rsidRDefault="006235F9" w:rsidP="002E23E7">
            <w:pPr>
              <w:tabs>
                <w:tab w:val="clear" w:pos="1800"/>
                <w:tab w:val="left" w:pos="0"/>
                <w:tab w:val="center" w:pos="4680"/>
                <w:tab w:val="right" w:pos="9360"/>
              </w:tabs>
              <w:ind w:left="0" w:firstLine="0"/>
              <w:jc w:val="center"/>
            </w:pPr>
            <w:r w:rsidRPr="00AF5FA0">
              <w:t>Polychlorinated biphenyls (PCBs)</w:t>
            </w:r>
          </w:p>
        </w:tc>
        <w:tc>
          <w:tcPr>
            <w:tcW w:w="1076" w:type="dxa"/>
            <w:vAlign w:val="center"/>
          </w:tcPr>
          <w:p w:rsidR="006235F9" w:rsidRPr="00E36D21" w:rsidRDefault="006235F9" w:rsidP="002E23E7">
            <w:pPr>
              <w:tabs>
                <w:tab w:val="clear" w:pos="1800"/>
                <w:tab w:val="left" w:pos="0"/>
                <w:tab w:val="center" w:pos="4680"/>
                <w:tab w:val="right" w:pos="9360"/>
              </w:tabs>
              <w:ind w:left="0" w:firstLine="0"/>
              <w:jc w:val="center"/>
            </w:pPr>
            <w:r w:rsidRPr="00AF5FA0">
              <w:t>NO</w:t>
            </w:r>
          </w:p>
        </w:tc>
        <w:tc>
          <w:tcPr>
            <w:tcW w:w="6426" w:type="dxa"/>
            <w:vAlign w:val="center"/>
          </w:tcPr>
          <w:p w:rsidR="006235F9" w:rsidRDefault="006235F9" w:rsidP="002E23E7">
            <w:pPr>
              <w:tabs>
                <w:tab w:val="clear" w:pos="1800"/>
                <w:tab w:val="left" w:pos="0"/>
                <w:tab w:val="center" w:pos="4680"/>
                <w:tab w:val="right" w:pos="9360"/>
              </w:tabs>
              <w:ind w:left="0" w:firstLine="0"/>
            </w:pPr>
            <w:r w:rsidRPr="00AF5FA0">
              <w:t>Used in a number of industrial and commercial products.</w:t>
            </w:r>
          </w:p>
          <w:p w:rsidR="006235F9" w:rsidRDefault="006235F9" w:rsidP="002E23E7">
            <w:pPr>
              <w:tabs>
                <w:tab w:val="clear" w:pos="1800"/>
                <w:tab w:val="left" w:pos="0"/>
                <w:tab w:val="center" w:pos="4680"/>
                <w:tab w:val="right" w:pos="9360"/>
              </w:tabs>
              <w:ind w:left="0" w:firstLine="0"/>
            </w:pPr>
            <w:r>
              <w:t>U</w:t>
            </w:r>
            <w:r w:rsidRPr="00AF5FA0">
              <w:t xml:space="preserve">nlikely that PCBs would be present in “Historic Fill” at concentrations which consistently and/or significantly exceed </w:t>
            </w:r>
            <w:r>
              <w:t>1</w:t>
            </w:r>
            <w:r w:rsidRPr="00AF5FA0">
              <w:t xml:space="preserve"> mg/kg. Background – PCBs between </w:t>
            </w:r>
            <w:r>
              <w:t>0</w:t>
            </w:r>
            <w:r w:rsidRPr="00AF5FA0">
              <w:t>.1 and 1.0 mg/kg (USEPA -1990)</w:t>
            </w:r>
          </w:p>
        </w:tc>
      </w:tr>
      <w:tr w:rsidR="006235F9" w:rsidRPr="00E36D21" w:rsidTr="00E83A96">
        <w:tc>
          <w:tcPr>
            <w:tcW w:w="10350" w:type="dxa"/>
            <w:gridSpan w:val="3"/>
          </w:tcPr>
          <w:p w:rsidR="006235F9" w:rsidRPr="00E36D21" w:rsidRDefault="006235F9" w:rsidP="0020021D">
            <w:pPr>
              <w:tabs>
                <w:tab w:val="clear" w:pos="1800"/>
                <w:tab w:val="left" w:pos="162"/>
                <w:tab w:val="center" w:pos="4680"/>
                <w:tab w:val="right" w:pos="9360"/>
              </w:tabs>
              <w:ind w:left="162" w:hanging="162"/>
            </w:pPr>
            <w:r w:rsidRPr="0020021D">
              <w:rPr>
                <w:sz w:val="18"/>
                <w:szCs w:val="18"/>
              </w:rPr>
              <w:t>* Fill material, based on the weight of evidence and consistent with the CSM.  These are ONLY guidelines and may</w:t>
            </w:r>
            <w:r w:rsidR="0020021D">
              <w:rPr>
                <w:sz w:val="18"/>
                <w:szCs w:val="18"/>
              </w:rPr>
              <w:t xml:space="preserve"> </w:t>
            </w:r>
            <w:r w:rsidRPr="0020021D">
              <w:rPr>
                <w:sz w:val="18"/>
                <w:szCs w:val="18"/>
              </w:rPr>
              <w:t>not be applicable in ALL cases.  While staff shall not categorically dismiss assertions that soils containing these</w:t>
            </w:r>
            <w:r w:rsidR="0020021D">
              <w:rPr>
                <w:sz w:val="18"/>
                <w:szCs w:val="18"/>
              </w:rPr>
              <w:t xml:space="preserve"> </w:t>
            </w:r>
            <w:r w:rsidRPr="0020021D">
              <w:rPr>
                <w:sz w:val="18"/>
                <w:szCs w:val="18"/>
              </w:rPr>
              <w:t>contaminants in excess of these guidelines meet the definition of Historic Fill, proponents must present a robust</w:t>
            </w:r>
            <w:r w:rsidR="0020021D">
              <w:rPr>
                <w:sz w:val="18"/>
                <w:szCs w:val="18"/>
              </w:rPr>
              <w:t xml:space="preserve"> </w:t>
            </w:r>
            <w:r w:rsidR="0020021D" w:rsidRPr="0020021D">
              <w:rPr>
                <w:sz w:val="18"/>
                <w:szCs w:val="18"/>
              </w:rPr>
              <w:t>argu</w:t>
            </w:r>
            <w:r w:rsidR="0020021D">
              <w:rPr>
                <w:sz w:val="18"/>
                <w:szCs w:val="18"/>
              </w:rPr>
              <w:t>m</w:t>
            </w:r>
            <w:r w:rsidR="0020021D" w:rsidRPr="0020021D">
              <w:rPr>
                <w:sz w:val="18"/>
                <w:szCs w:val="18"/>
              </w:rPr>
              <w:t>ent</w:t>
            </w:r>
            <w:r w:rsidRPr="0020021D">
              <w:rPr>
                <w:sz w:val="18"/>
                <w:szCs w:val="18"/>
              </w:rPr>
              <w:t xml:space="preserve"> in this regard, including, as appropriate, literature citations and/or forensic analytical data.</w:t>
            </w:r>
          </w:p>
        </w:tc>
      </w:tr>
    </w:tbl>
    <w:p w:rsidR="003A002F" w:rsidRDefault="003A002F" w:rsidP="003A002F">
      <w:pPr>
        <w:tabs>
          <w:tab w:val="clear" w:pos="1800"/>
          <w:tab w:val="left" w:pos="720"/>
        </w:tabs>
        <w:spacing w:before="120"/>
        <w:ind w:left="720" w:hanging="720"/>
        <w:jc w:val="center"/>
        <w:rPr>
          <w:sz w:val="28"/>
          <w:szCs w:val="28"/>
        </w:rPr>
      </w:pPr>
    </w:p>
    <w:p w:rsidR="004702A6" w:rsidRDefault="001A7F50" w:rsidP="003A002F">
      <w:pPr>
        <w:tabs>
          <w:tab w:val="clear" w:pos="1800"/>
          <w:tab w:val="left" w:pos="720"/>
        </w:tabs>
        <w:spacing w:before="240"/>
        <w:ind w:left="720" w:hanging="720"/>
        <w:jc w:val="center"/>
        <w:rPr>
          <w:sz w:val="28"/>
          <w:szCs w:val="28"/>
        </w:rPr>
      </w:pPr>
      <w:r>
        <w:rPr>
          <w:sz w:val="28"/>
          <w:szCs w:val="28"/>
        </w:rPr>
        <w:lastRenderedPageBreak/>
        <w:t>Reporting Exemption Summary</w:t>
      </w:r>
    </w:p>
    <w:p w:rsidR="001A7F50" w:rsidRDefault="001A7F50" w:rsidP="00EC6F1D">
      <w:pPr>
        <w:tabs>
          <w:tab w:val="clear" w:pos="1800"/>
          <w:tab w:val="left" w:pos="720"/>
        </w:tabs>
        <w:ind w:left="720" w:hanging="720"/>
        <w:jc w:val="center"/>
        <w:rPr>
          <w:sz w:val="28"/>
          <w:szCs w:val="28"/>
        </w:rPr>
      </w:pPr>
    </w:p>
    <w:p w:rsidR="001A7F50" w:rsidRDefault="001A7F50" w:rsidP="00EC6F1D">
      <w:pPr>
        <w:tabs>
          <w:tab w:val="clear" w:pos="1800"/>
          <w:tab w:val="left" w:pos="720"/>
        </w:tabs>
        <w:ind w:left="720" w:hanging="720"/>
        <w:rPr>
          <w:b/>
        </w:rPr>
      </w:pPr>
      <w:r w:rsidRPr="006B03D7">
        <w:rPr>
          <w:b/>
        </w:rPr>
        <w:t>Exemptions:</w:t>
      </w:r>
    </w:p>
    <w:p w:rsidR="001A7F50" w:rsidRDefault="001A7F50" w:rsidP="00EC6F1D">
      <w:pPr>
        <w:tabs>
          <w:tab w:val="clear" w:pos="1800"/>
          <w:tab w:val="left" w:pos="720"/>
        </w:tabs>
        <w:ind w:left="720" w:hanging="720"/>
      </w:pPr>
    </w:p>
    <w:p w:rsidR="001A7F50" w:rsidRPr="006B03D7" w:rsidRDefault="0020021D" w:rsidP="00EC6F1D">
      <w:pPr>
        <w:tabs>
          <w:tab w:val="clear" w:pos="1800"/>
          <w:tab w:val="left" w:pos="720"/>
        </w:tabs>
        <w:ind w:left="720" w:hanging="720"/>
      </w:pPr>
      <w:r>
        <w:tab/>
      </w:r>
      <w:r w:rsidR="001A7F50" w:rsidRPr="006B03D7">
        <w:t>Conditions that are categorically exempted from the definition of release or disposal site under c. 21E and the MCP are “Anthropogenic Background” pursuant to clause (c) of the Anthropogenic Background definition which thereby negates the need to evaluate such OHM as part of a Historic Fill evaluation.  These conditions also have reporting exemptions at 310 CMR 40.0317.</w:t>
      </w:r>
    </w:p>
    <w:p w:rsidR="001A7F50" w:rsidRPr="006B03D7" w:rsidRDefault="001A7F50" w:rsidP="00EC6F1D">
      <w:pPr>
        <w:tabs>
          <w:tab w:val="clear" w:pos="1800"/>
          <w:tab w:val="left" w:pos="720"/>
        </w:tabs>
        <w:ind w:left="720" w:hanging="720"/>
      </w:pPr>
    </w:p>
    <w:p w:rsidR="001A7F50" w:rsidRPr="006B03D7" w:rsidRDefault="0020021D" w:rsidP="00EC6F1D">
      <w:pPr>
        <w:tabs>
          <w:tab w:val="clear" w:pos="1800"/>
          <w:tab w:val="left" w:pos="720"/>
        </w:tabs>
        <w:ind w:left="720" w:hanging="720"/>
      </w:pPr>
      <w:r>
        <w:tab/>
      </w:r>
      <w:r w:rsidR="001A7F50" w:rsidRPr="006B03D7">
        <w:t>However, other conditions that have reporting exemptions are NOT exempt from regulation under c. 21E and the MCP.  These “reporting only” exemptions may or may not meet the definition of Historic Fill (assuming, of course, that the site in question was otherwise reportable and therefore known to MassDEP).</w:t>
      </w:r>
    </w:p>
    <w:p w:rsidR="001A7F50" w:rsidRPr="006B03D7" w:rsidRDefault="001A7F50" w:rsidP="00EC6F1D">
      <w:pPr>
        <w:tabs>
          <w:tab w:val="clear" w:pos="1800"/>
          <w:tab w:val="left" w:pos="720"/>
        </w:tabs>
        <w:ind w:left="720" w:hanging="720"/>
      </w:pPr>
    </w:p>
    <w:p w:rsidR="001A7F50" w:rsidRPr="006B03D7" w:rsidRDefault="0020021D" w:rsidP="00EC6F1D">
      <w:pPr>
        <w:tabs>
          <w:tab w:val="clear" w:pos="1800"/>
          <w:tab w:val="left" w:pos="720"/>
        </w:tabs>
        <w:ind w:left="720" w:hanging="720"/>
      </w:pPr>
      <w:r>
        <w:tab/>
      </w:r>
      <w:r w:rsidR="001A7F50" w:rsidRPr="006B03D7">
        <w:t>The LSP in the Conceptual Site Model must evaluate all OHM to determine or make a reasonable case for how the OHM came to be present, whether it meets the definition of Anthropogenic Background or Historic Fill and therefore can be excluded from the Risk Characterization.</w:t>
      </w:r>
    </w:p>
    <w:p w:rsidR="001A7F50" w:rsidRPr="006B03D7" w:rsidRDefault="001A7F50" w:rsidP="00EC6F1D">
      <w:pPr>
        <w:tabs>
          <w:tab w:val="clear" w:pos="1800"/>
          <w:tab w:val="left" w:pos="720"/>
        </w:tabs>
        <w:ind w:left="720" w:hanging="720"/>
      </w:pPr>
    </w:p>
    <w:p w:rsidR="001A7F50" w:rsidRPr="006B03D7" w:rsidRDefault="001A7F50" w:rsidP="00EC6F1D">
      <w:pPr>
        <w:tabs>
          <w:tab w:val="clear" w:pos="1800"/>
          <w:tab w:val="left" w:pos="720"/>
        </w:tabs>
        <w:ind w:left="720" w:hanging="720"/>
      </w:pPr>
      <w:r w:rsidRPr="006B03D7">
        <w:tab/>
        <w:t>There are 3 types of “exempted” conditions germane to Anthropogenic Background and Historic Fill:</w:t>
      </w:r>
    </w:p>
    <w:p w:rsidR="001A7F50" w:rsidRPr="006B03D7" w:rsidRDefault="001A7F50" w:rsidP="00EC6F1D">
      <w:pPr>
        <w:tabs>
          <w:tab w:val="clear" w:pos="1800"/>
          <w:tab w:val="left" w:pos="720"/>
        </w:tabs>
        <w:ind w:left="720" w:hanging="720"/>
      </w:pPr>
    </w:p>
    <w:p w:rsidR="001A7F50" w:rsidRPr="006B03D7" w:rsidRDefault="001A7F50" w:rsidP="0020021D">
      <w:pPr>
        <w:pStyle w:val="ListParagraph"/>
        <w:numPr>
          <w:ilvl w:val="0"/>
          <w:numId w:val="32"/>
        </w:numPr>
      </w:pPr>
      <w:r w:rsidRPr="006B03D7">
        <w:t xml:space="preserve">Conditions that are </w:t>
      </w:r>
      <w:r w:rsidRPr="006B03D7">
        <w:rPr>
          <w:i/>
        </w:rPr>
        <w:t xml:space="preserve">categorically </w:t>
      </w:r>
      <w:r w:rsidRPr="006B03D7">
        <w:t>exempted from regulation under c. 21E and the MCP;</w:t>
      </w:r>
    </w:p>
    <w:p w:rsidR="001A7F50" w:rsidRPr="006B03D7" w:rsidRDefault="001A7F50" w:rsidP="0020021D">
      <w:pPr>
        <w:pStyle w:val="ListParagraph"/>
        <w:numPr>
          <w:ilvl w:val="0"/>
          <w:numId w:val="32"/>
        </w:numPr>
      </w:pPr>
      <w:r w:rsidRPr="006B03D7">
        <w:t xml:space="preserve">Conditions that are </w:t>
      </w:r>
      <w:r w:rsidRPr="006B03D7">
        <w:rPr>
          <w:i/>
        </w:rPr>
        <w:t>conditionally</w:t>
      </w:r>
      <w:r w:rsidRPr="006B03D7">
        <w:t xml:space="preserve"> exempted from regulation under c, 21E and the MCP;</w:t>
      </w:r>
    </w:p>
    <w:p w:rsidR="001A7F50" w:rsidRPr="006B03D7" w:rsidRDefault="001A7F50" w:rsidP="0020021D">
      <w:pPr>
        <w:pStyle w:val="ListParagraph"/>
        <w:numPr>
          <w:ilvl w:val="0"/>
          <w:numId w:val="32"/>
        </w:numPr>
      </w:pPr>
      <w:r w:rsidRPr="006B03D7">
        <w:t xml:space="preserve">Conditions that are exempted from </w:t>
      </w:r>
      <w:r w:rsidRPr="006B03D7">
        <w:rPr>
          <w:i/>
        </w:rPr>
        <w:t>reporting</w:t>
      </w:r>
      <w:r w:rsidRPr="006B03D7">
        <w:t xml:space="preserve"> under the MCP.</w:t>
      </w:r>
    </w:p>
    <w:p w:rsidR="001A7F50" w:rsidRPr="006B03D7" w:rsidRDefault="001A7F50" w:rsidP="00EC6F1D">
      <w:pPr>
        <w:tabs>
          <w:tab w:val="clear" w:pos="1800"/>
          <w:tab w:val="left" w:pos="720"/>
        </w:tabs>
        <w:ind w:left="720" w:hanging="720"/>
      </w:pPr>
    </w:p>
    <w:p w:rsidR="001A7F50" w:rsidRPr="006B03D7" w:rsidRDefault="001A7F50" w:rsidP="00EC6F1D">
      <w:pPr>
        <w:pStyle w:val="ListParagraph"/>
        <w:numPr>
          <w:ilvl w:val="0"/>
          <w:numId w:val="19"/>
        </w:numPr>
        <w:tabs>
          <w:tab w:val="clear" w:pos="1800"/>
          <w:tab w:val="left" w:pos="720"/>
        </w:tabs>
        <w:ind w:left="720" w:hanging="720"/>
      </w:pPr>
      <w:r w:rsidRPr="006B03D7">
        <w:t>Conditions that are categorically (i.e., in all cases) exempted from regulation under c. 21E and the MCP (i.e. Anthropogenic Background) are OHMs that are attributable to:</w:t>
      </w:r>
    </w:p>
    <w:p w:rsidR="001A7F50" w:rsidRPr="006B03D7" w:rsidRDefault="001A7F50" w:rsidP="00EC6F1D">
      <w:pPr>
        <w:tabs>
          <w:tab w:val="clear" w:pos="1800"/>
          <w:tab w:val="left" w:pos="720"/>
        </w:tabs>
        <w:ind w:left="720" w:hanging="720"/>
      </w:pPr>
    </w:p>
    <w:p w:rsidR="001A7F50" w:rsidRPr="006B03D7" w:rsidRDefault="001A7F50" w:rsidP="0020021D">
      <w:pPr>
        <w:pStyle w:val="ListParagraph"/>
        <w:numPr>
          <w:ilvl w:val="0"/>
          <w:numId w:val="33"/>
        </w:numPr>
        <w:tabs>
          <w:tab w:val="clear" w:pos="1800"/>
          <w:tab w:val="left" w:pos="720"/>
        </w:tabs>
      </w:pPr>
      <w:r w:rsidRPr="006B03D7">
        <w:t xml:space="preserve">emissions from engine exhaust (lead and pyrogenic PAHs); and </w:t>
      </w:r>
    </w:p>
    <w:p w:rsidR="001A7F50" w:rsidRPr="006B03D7" w:rsidRDefault="001A7F50" w:rsidP="0020021D">
      <w:pPr>
        <w:pStyle w:val="ListParagraph"/>
        <w:numPr>
          <w:ilvl w:val="0"/>
          <w:numId w:val="33"/>
        </w:numPr>
        <w:tabs>
          <w:tab w:val="clear" w:pos="1800"/>
          <w:tab w:val="left" w:pos="720"/>
        </w:tabs>
      </w:pPr>
      <w:r w:rsidRPr="006B03D7">
        <w:t>pesticides/herbicides at concentrations consistent with application/label instructions</w:t>
      </w:r>
    </w:p>
    <w:p w:rsidR="001A7F50" w:rsidRPr="006B03D7" w:rsidRDefault="001A7F50" w:rsidP="00EC6F1D">
      <w:pPr>
        <w:tabs>
          <w:tab w:val="clear" w:pos="1800"/>
          <w:tab w:val="left" w:pos="720"/>
        </w:tabs>
        <w:ind w:left="720" w:hanging="720"/>
      </w:pPr>
    </w:p>
    <w:p w:rsidR="001A7F50" w:rsidRPr="006B03D7" w:rsidRDefault="001A7F50" w:rsidP="0020021D">
      <w:pPr>
        <w:tabs>
          <w:tab w:val="clear" w:pos="1800"/>
          <w:tab w:val="left" w:pos="720"/>
        </w:tabs>
        <w:ind w:left="720" w:firstLine="0"/>
      </w:pPr>
      <w:r w:rsidRPr="006B03D7">
        <w:t>Note that these exemptions apply even in cases where impacted soils were moved from their original locations.  In general, impacts of this nature should be presumed for pre-1983 fills where:</w:t>
      </w:r>
    </w:p>
    <w:p w:rsidR="001A7F50" w:rsidRPr="006B03D7" w:rsidRDefault="001A7F50" w:rsidP="00EC6F1D">
      <w:pPr>
        <w:tabs>
          <w:tab w:val="clear" w:pos="1800"/>
          <w:tab w:val="left" w:pos="720"/>
        </w:tabs>
        <w:ind w:left="720" w:hanging="720"/>
      </w:pPr>
    </w:p>
    <w:p w:rsidR="001A7F50" w:rsidRPr="006B03D7" w:rsidRDefault="001A7F50" w:rsidP="0020021D">
      <w:pPr>
        <w:pStyle w:val="ListParagraph"/>
        <w:numPr>
          <w:ilvl w:val="0"/>
          <w:numId w:val="34"/>
        </w:numPr>
        <w:tabs>
          <w:tab w:val="clear" w:pos="1800"/>
          <w:tab w:val="left" w:pos="720"/>
        </w:tabs>
      </w:pPr>
      <w:proofErr w:type="gramStart"/>
      <w:r w:rsidRPr="006B03D7">
        <w:t>lead</w:t>
      </w:r>
      <w:proofErr w:type="gramEnd"/>
      <w:r w:rsidRPr="006B03D7">
        <w:t xml:space="preserve"> &lt; 300 mg/kg (pesticide and lead emissions).</w:t>
      </w:r>
    </w:p>
    <w:p w:rsidR="001A7F50" w:rsidRPr="006B03D7" w:rsidRDefault="001A7F50" w:rsidP="0020021D">
      <w:pPr>
        <w:pStyle w:val="ListParagraph"/>
        <w:numPr>
          <w:ilvl w:val="0"/>
          <w:numId w:val="34"/>
        </w:numPr>
        <w:tabs>
          <w:tab w:val="clear" w:pos="1800"/>
          <w:tab w:val="left" w:pos="720"/>
        </w:tabs>
      </w:pPr>
      <w:proofErr w:type="gramStart"/>
      <w:r w:rsidRPr="006B03D7">
        <w:t>pyrogenic</w:t>
      </w:r>
      <w:proofErr w:type="gramEnd"/>
      <w:r w:rsidRPr="006B03D7">
        <w:t xml:space="preserve"> PAHs &lt; PAHs in MassDEP’s Background Levels of Polycyclic Aromatic Hydrocarbons and Metals in Soil (2002) (“Table 1 attached).  </w:t>
      </w:r>
    </w:p>
    <w:p w:rsidR="001A7F50" w:rsidRPr="006B03D7" w:rsidRDefault="001A7F50" w:rsidP="0020021D">
      <w:pPr>
        <w:pStyle w:val="ListParagraph"/>
        <w:numPr>
          <w:ilvl w:val="0"/>
          <w:numId w:val="34"/>
        </w:numPr>
        <w:tabs>
          <w:tab w:val="clear" w:pos="1800"/>
          <w:tab w:val="left" w:pos="720"/>
        </w:tabs>
      </w:pPr>
      <w:proofErr w:type="gramStart"/>
      <w:r w:rsidRPr="006B03D7">
        <w:t>arsenic</w:t>
      </w:r>
      <w:proofErr w:type="gramEnd"/>
      <w:r w:rsidRPr="006B03D7">
        <w:t xml:space="preserve"> &lt; 40 mg/kg AND there is a known site history of Lead Arsenate pesticide use.</w:t>
      </w:r>
    </w:p>
    <w:p w:rsidR="001A7F50" w:rsidRPr="006B03D7" w:rsidRDefault="001A7F50" w:rsidP="00EC6F1D">
      <w:pPr>
        <w:pStyle w:val="ListParagraph"/>
        <w:tabs>
          <w:tab w:val="clear" w:pos="1800"/>
          <w:tab w:val="left" w:pos="720"/>
        </w:tabs>
        <w:ind w:hanging="720"/>
      </w:pPr>
    </w:p>
    <w:p w:rsidR="001A7F50" w:rsidRPr="006B03D7" w:rsidRDefault="001A7F50" w:rsidP="0020021D">
      <w:pPr>
        <w:pStyle w:val="ListParagraph"/>
        <w:numPr>
          <w:ilvl w:val="0"/>
          <w:numId w:val="19"/>
        </w:numPr>
        <w:tabs>
          <w:tab w:val="clear" w:pos="1800"/>
          <w:tab w:val="left" w:pos="720"/>
        </w:tabs>
        <w:ind w:left="720" w:hanging="720"/>
      </w:pPr>
      <w:r w:rsidRPr="006B03D7">
        <w:t>Conditions that are conditionally (i.e., in some cases) exempted from regulation under c. 21E and the MCP consist of:</w:t>
      </w:r>
    </w:p>
    <w:p w:rsidR="001A7F50" w:rsidRPr="006B03D7" w:rsidRDefault="001A7F50" w:rsidP="00EC6F1D">
      <w:pPr>
        <w:tabs>
          <w:tab w:val="clear" w:pos="1800"/>
          <w:tab w:val="left" w:pos="720"/>
        </w:tabs>
        <w:ind w:left="720" w:hanging="720"/>
      </w:pPr>
    </w:p>
    <w:p w:rsidR="001A7F50" w:rsidRPr="006B03D7" w:rsidRDefault="001A7F50" w:rsidP="0020021D">
      <w:pPr>
        <w:pStyle w:val="ListParagraph"/>
        <w:numPr>
          <w:ilvl w:val="0"/>
          <w:numId w:val="37"/>
        </w:numPr>
        <w:tabs>
          <w:tab w:val="clear" w:pos="1800"/>
          <w:tab w:val="left" w:pos="720"/>
        </w:tabs>
      </w:pPr>
      <w:r w:rsidRPr="006B03D7">
        <w:t xml:space="preserve">lead-based paint at the point of original application </w:t>
      </w:r>
    </w:p>
    <w:p w:rsidR="001A7F50" w:rsidRPr="006B03D7" w:rsidRDefault="001A7F50" w:rsidP="00EC6F1D">
      <w:pPr>
        <w:pStyle w:val="ListParagraph"/>
        <w:tabs>
          <w:tab w:val="clear" w:pos="1800"/>
          <w:tab w:val="left" w:pos="720"/>
        </w:tabs>
        <w:ind w:hanging="720"/>
      </w:pPr>
    </w:p>
    <w:p w:rsidR="001A7F50" w:rsidRPr="006B03D7" w:rsidRDefault="001A7F50" w:rsidP="0020021D">
      <w:pPr>
        <w:pStyle w:val="ListParagraph"/>
        <w:tabs>
          <w:tab w:val="clear" w:pos="1800"/>
          <w:tab w:val="left" w:pos="720"/>
        </w:tabs>
        <w:ind w:firstLine="0"/>
      </w:pPr>
      <w:r w:rsidRPr="006B03D7">
        <w:t>It is important to note that this exemption would NOT apply to soils that were moved from the point where the lead-based paint was originally applied (i.e., as will be the case in many Historic Fill situations).  However, this point is largely moot, given that in most cases such conditions may otherwise meet the definition of Historic Fill as a ubiquitous area-wide contaminant, as discussed further below.  Note also that contaminants associated with lead-based paints may include other heavy metals and even PCBs at low levels, though these require case-specific rationale and justification.</w:t>
      </w:r>
    </w:p>
    <w:p w:rsidR="001A7F50" w:rsidRPr="006B03D7" w:rsidRDefault="001A7F50" w:rsidP="00EC6F1D">
      <w:pPr>
        <w:tabs>
          <w:tab w:val="clear" w:pos="1800"/>
          <w:tab w:val="left" w:pos="720"/>
        </w:tabs>
        <w:ind w:left="720" w:hanging="720"/>
      </w:pPr>
    </w:p>
    <w:p w:rsidR="001A7F50" w:rsidRPr="006B03D7" w:rsidRDefault="001A7F50" w:rsidP="00EC6F1D">
      <w:pPr>
        <w:pStyle w:val="ListParagraph"/>
        <w:numPr>
          <w:ilvl w:val="0"/>
          <w:numId w:val="19"/>
        </w:numPr>
        <w:tabs>
          <w:tab w:val="clear" w:pos="1800"/>
          <w:tab w:val="left" w:pos="720"/>
        </w:tabs>
        <w:ind w:left="720" w:hanging="720"/>
      </w:pPr>
      <w:r w:rsidRPr="006B03D7">
        <w:t>Lastly, conditions that are exempted from reporting under the MCP, but have been previously reported or are present at a disposal site with OHM that otherwise requires notification, include:</w:t>
      </w:r>
    </w:p>
    <w:p w:rsidR="001A7F50" w:rsidRPr="006B03D7" w:rsidRDefault="001A7F50" w:rsidP="00EC6F1D">
      <w:pPr>
        <w:tabs>
          <w:tab w:val="clear" w:pos="1800"/>
          <w:tab w:val="left" w:pos="720"/>
        </w:tabs>
        <w:ind w:left="720" w:hanging="720"/>
      </w:pPr>
    </w:p>
    <w:p w:rsidR="003A002F" w:rsidRDefault="003A002F" w:rsidP="003A002F">
      <w:pPr>
        <w:tabs>
          <w:tab w:val="clear" w:pos="1800"/>
          <w:tab w:val="left" w:pos="720"/>
        </w:tabs>
        <w:ind w:left="1440" w:firstLine="0"/>
      </w:pPr>
    </w:p>
    <w:p w:rsidR="003A002F" w:rsidRDefault="003A002F" w:rsidP="003A002F">
      <w:pPr>
        <w:tabs>
          <w:tab w:val="clear" w:pos="1800"/>
          <w:tab w:val="left" w:pos="720"/>
        </w:tabs>
        <w:ind w:left="1440" w:firstLine="0"/>
      </w:pPr>
    </w:p>
    <w:p w:rsidR="001A7F50" w:rsidRPr="006B03D7" w:rsidRDefault="001A7F50" w:rsidP="0020021D">
      <w:pPr>
        <w:pStyle w:val="ListParagraph"/>
        <w:numPr>
          <w:ilvl w:val="0"/>
          <w:numId w:val="37"/>
        </w:numPr>
        <w:tabs>
          <w:tab w:val="clear" w:pos="1800"/>
          <w:tab w:val="left" w:pos="720"/>
        </w:tabs>
      </w:pPr>
      <w:r w:rsidRPr="006B03D7">
        <w:t xml:space="preserve">coal, coal ash, or wood ash (excluding wood ash from preserved/pressure- treated lumber, which contains arsenic, copper, and chromium);, </w:t>
      </w:r>
    </w:p>
    <w:p w:rsidR="001A7F50" w:rsidRPr="006B03D7" w:rsidRDefault="001A7F50" w:rsidP="0020021D">
      <w:pPr>
        <w:pStyle w:val="ListParagraph"/>
        <w:numPr>
          <w:ilvl w:val="0"/>
          <w:numId w:val="37"/>
        </w:numPr>
        <w:tabs>
          <w:tab w:val="clear" w:pos="1800"/>
          <w:tab w:val="left" w:pos="720"/>
        </w:tabs>
      </w:pPr>
      <w:r w:rsidRPr="006B03D7">
        <w:t>the asphaltic binder in  bituminous pavement (hydrocarbons and petrogenic PAHs);</w:t>
      </w:r>
    </w:p>
    <w:p w:rsidR="001A7F50" w:rsidRPr="006B03D7" w:rsidRDefault="001A7F50" w:rsidP="0020021D">
      <w:pPr>
        <w:pStyle w:val="ListParagraph"/>
        <w:numPr>
          <w:ilvl w:val="0"/>
          <w:numId w:val="37"/>
        </w:numPr>
        <w:tabs>
          <w:tab w:val="clear" w:pos="1800"/>
          <w:tab w:val="left" w:pos="720"/>
        </w:tabs>
      </w:pPr>
      <w:r w:rsidRPr="006B03D7">
        <w:t>piers, pilings, utility poles (hydrocarbons and petrogenic PAHs)</w:t>
      </w:r>
    </w:p>
    <w:p w:rsidR="001A7F50" w:rsidRPr="006B03D7" w:rsidRDefault="001A7F50" w:rsidP="00EC6F1D">
      <w:pPr>
        <w:tabs>
          <w:tab w:val="clear" w:pos="1800"/>
          <w:tab w:val="left" w:pos="720"/>
        </w:tabs>
        <w:ind w:left="720" w:hanging="720"/>
      </w:pPr>
      <w:r w:rsidRPr="006B03D7">
        <w:t xml:space="preserve"> </w:t>
      </w:r>
    </w:p>
    <w:p w:rsidR="001A7F50" w:rsidRPr="006B03D7" w:rsidRDefault="001A7F50" w:rsidP="0020021D">
      <w:pPr>
        <w:tabs>
          <w:tab w:val="clear" w:pos="1800"/>
          <w:tab w:val="left" w:pos="720"/>
        </w:tabs>
        <w:ind w:left="720" w:firstLine="0"/>
      </w:pPr>
      <w:r w:rsidRPr="006B03D7">
        <w:t xml:space="preserve">Conditions that are reported to MassDEP are subject to the review criteria discussed below.  Table </w:t>
      </w:r>
      <w:r w:rsidR="00BE3C19">
        <w:t>1</w:t>
      </w:r>
      <w:r w:rsidRPr="006B03D7">
        <w:t xml:space="preserve"> provides a one-page summary of the Historic Fill criteria and approximate concentrations of OHM to be expected.</w:t>
      </w:r>
    </w:p>
    <w:p w:rsidR="001A7F50" w:rsidRDefault="001A7F50" w:rsidP="00EC6F1D">
      <w:pPr>
        <w:tabs>
          <w:tab w:val="clear" w:pos="1800"/>
          <w:tab w:val="left" w:pos="720"/>
        </w:tabs>
        <w:ind w:left="720" w:hanging="720"/>
        <w:jc w:val="center"/>
        <w:rPr>
          <w:sz w:val="28"/>
          <w:szCs w:val="28"/>
        </w:rPr>
      </w:pPr>
    </w:p>
    <w:p w:rsidR="001A7F50" w:rsidRPr="004702A6" w:rsidRDefault="001A7F50" w:rsidP="00EC6F1D">
      <w:pPr>
        <w:tabs>
          <w:tab w:val="clear" w:pos="1800"/>
          <w:tab w:val="left" w:pos="720"/>
        </w:tabs>
        <w:ind w:left="720" w:hanging="720"/>
        <w:rPr>
          <w:sz w:val="28"/>
          <w:szCs w:val="28"/>
        </w:rPr>
      </w:pPr>
    </w:p>
    <w:sectPr w:rsidR="001A7F50" w:rsidRPr="004702A6" w:rsidSect="001A7F50">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359" w:rsidRDefault="008B7359" w:rsidP="0095008A">
      <w:r>
        <w:separator/>
      </w:r>
    </w:p>
  </w:endnote>
  <w:endnote w:type="continuationSeparator" w:id="0">
    <w:p w:rsidR="008B7359" w:rsidRDefault="008B7359" w:rsidP="0095008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47D" w:rsidRDefault="001564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359" w:rsidRDefault="008B7359">
    <w:pPr>
      <w:pStyle w:val="Footer"/>
      <w:jc w:val="right"/>
    </w:pPr>
    <w:r>
      <w:t xml:space="preserve">2016-05-24 DRAFT – page </w:t>
    </w:r>
    <w:sdt>
      <w:sdtPr>
        <w:id w:val="23322337"/>
        <w:docPartObj>
          <w:docPartGallery w:val="Page Numbers (Bottom of Page)"/>
          <w:docPartUnique/>
        </w:docPartObj>
      </w:sdtPr>
      <w:sdtContent>
        <w:fldSimple w:instr=" PAGE   \* MERGEFORMAT ">
          <w:r w:rsidR="00646001">
            <w:rPr>
              <w:noProof/>
            </w:rPr>
            <w:t>1</w:t>
          </w:r>
        </w:fldSimple>
      </w:sdtContent>
    </w:sdt>
  </w:p>
  <w:p w:rsidR="008B7359" w:rsidRDefault="008B7359" w:rsidP="009500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47D" w:rsidRDefault="001564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359" w:rsidRDefault="008B7359" w:rsidP="0095008A">
      <w:r>
        <w:separator/>
      </w:r>
    </w:p>
  </w:footnote>
  <w:footnote w:type="continuationSeparator" w:id="0">
    <w:p w:rsidR="008B7359" w:rsidRDefault="008B7359" w:rsidP="009500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47D" w:rsidRDefault="001564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359" w:rsidRDefault="008B7359" w:rsidP="008B7359">
    <w:pPr>
      <w:pStyle w:val="Header"/>
      <w:spacing w:after="60"/>
      <w:rPr>
        <w:sz w:val="18"/>
        <w:szCs w:val="18"/>
      </w:rPr>
    </w:pPr>
    <w:r>
      <w:rPr>
        <w:sz w:val="18"/>
        <w:szCs w:val="18"/>
      </w:rPr>
      <w:t xml:space="preserve">Please submit any written comments on this draft by </w:t>
    </w:r>
    <w:r w:rsidRPr="008B7359">
      <w:rPr>
        <w:b/>
        <w:sz w:val="18"/>
        <w:szCs w:val="18"/>
        <w:u w:val="single"/>
      </w:rPr>
      <w:t>Ju</w:t>
    </w:r>
    <w:r w:rsidR="0015647D">
      <w:rPr>
        <w:b/>
        <w:sz w:val="18"/>
        <w:szCs w:val="18"/>
        <w:u w:val="single"/>
      </w:rPr>
      <w:t>ly</w:t>
    </w:r>
    <w:r w:rsidRPr="008B7359">
      <w:rPr>
        <w:b/>
        <w:sz w:val="18"/>
        <w:szCs w:val="18"/>
        <w:u w:val="single"/>
      </w:rPr>
      <w:t xml:space="preserve"> </w:t>
    </w:r>
    <w:r w:rsidR="0015647D">
      <w:rPr>
        <w:b/>
        <w:sz w:val="18"/>
        <w:szCs w:val="18"/>
        <w:u w:val="single"/>
      </w:rPr>
      <w:t>15</w:t>
    </w:r>
    <w:r w:rsidRPr="008B7359">
      <w:rPr>
        <w:b/>
        <w:sz w:val="18"/>
        <w:szCs w:val="18"/>
        <w:u w:val="single"/>
      </w:rPr>
      <w:t>, 2016</w:t>
    </w:r>
    <w:r>
      <w:rPr>
        <w:b/>
        <w:sz w:val="18"/>
        <w:szCs w:val="18"/>
      </w:rPr>
      <w:t xml:space="preserve"> </w:t>
    </w:r>
    <w:r>
      <w:rPr>
        <w:sz w:val="18"/>
        <w:szCs w:val="18"/>
      </w:rPr>
      <w:t xml:space="preserve">to </w:t>
    </w:r>
    <w:hyperlink r:id="rId1" w:history="1">
      <w:r w:rsidRPr="00F8313B">
        <w:rPr>
          <w:rStyle w:val="Hyperlink"/>
          <w:sz w:val="18"/>
          <w:szCs w:val="18"/>
        </w:rPr>
        <w:t>Paul.Locke@MassMail.state.ma.us</w:t>
      </w:r>
    </w:hyperlink>
  </w:p>
  <w:p w:rsidR="008B7359" w:rsidRDefault="008B7359">
    <w:pPr>
      <w:pStyle w:val="Header"/>
      <w:rPr>
        <w:sz w:val="18"/>
        <w:szCs w:val="18"/>
      </w:rPr>
    </w:pPr>
    <w:r w:rsidRPr="008B7359">
      <w:rPr>
        <w:sz w:val="18"/>
        <w:szCs w:val="18"/>
      </w:rPr>
      <w:t xml:space="preserve">Historic Fill / Anthropogenic Background </w:t>
    </w:r>
    <w:r>
      <w:rPr>
        <w:sz w:val="18"/>
        <w:szCs w:val="18"/>
      </w:rPr>
      <w:t xml:space="preserve">Public Comment </w:t>
    </w:r>
    <w:r w:rsidRPr="008B7359">
      <w:rPr>
        <w:sz w:val="18"/>
        <w:szCs w:val="18"/>
      </w:rPr>
      <w:t>DRAFT Technical Update</w:t>
    </w:r>
    <w:r>
      <w:rPr>
        <w:sz w:val="18"/>
        <w:szCs w:val="18"/>
      </w:rPr>
      <w:t xml:space="preserve">          </w:t>
    </w:r>
    <w:r w:rsidRPr="008B7359">
      <w:rPr>
        <w:sz w:val="18"/>
        <w:szCs w:val="18"/>
      </w:rPr>
      <w:t>Version 1.0 - May 24, 2016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47D" w:rsidRDefault="001564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24B"/>
    <w:multiLevelType w:val="hybridMultilevel"/>
    <w:tmpl w:val="2C3EB722"/>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3B15602"/>
    <w:multiLevelType w:val="hybridMultilevel"/>
    <w:tmpl w:val="8736A688"/>
    <w:lvl w:ilvl="0" w:tplc="04090001">
      <w:start w:val="1"/>
      <w:numFmt w:val="bullet"/>
      <w:lvlText w:val=""/>
      <w:lvlJc w:val="left"/>
      <w:pPr>
        <w:ind w:left="720" w:hanging="360"/>
      </w:pPr>
      <w:rPr>
        <w:rFonts w:ascii="Symbol" w:hAnsi="Symbol" w:hint="default"/>
      </w:rPr>
    </w:lvl>
    <w:lvl w:ilvl="1" w:tplc="D2221422">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9">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353F2"/>
    <w:multiLevelType w:val="hybridMultilevel"/>
    <w:tmpl w:val="7E76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36391"/>
    <w:multiLevelType w:val="hybridMultilevel"/>
    <w:tmpl w:val="0454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D9187A"/>
    <w:multiLevelType w:val="hybridMultilevel"/>
    <w:tmpl w:val="8592CD54"/>
    <w:lvl w:ilvl="0" w:tplc="0409000F">
      <w:start w:val="1"/>
      <w:numFmt w:val="decimal"/>
      <w:lvlText w:val="%1."/>
      <w:lvlJc w:val="left"/>
      <w:pPr>
        <w:ind w:left="5400" w:hanging="360"/>
      </w:pPr>
      <w:rPr>
        <w:rFonts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5">
    <w:nsid w:val="0ED775B7"/>
    <w:multiLevelType w:val="hybridMultilevel"/>
    <w:tmpl w:val="6D9C95E0"/>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0FF90970"/>
    <w:multiLevelType w:val="hybridMultilevel"/>
    <w:tmpl w:val="7C44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494E0F"/>
    <w:multiLevelType w:val="hybridMultilevel"/>
    <w:tmpl w:val="EDCAEADE"/>
    <w:lvl w:ilvl="0" w:tplc="04090001">
      <w:start w:val="1"/>
      <w:numFmt w:val="bullet"/>
      <w:lvlText w:val=""/>
      <w:lvlJc w:val="left"/>
      <w:pPr>
        <w:ind w:left="720" w:hanging="360"/>
      </w:pPr>
      <w:rPr>
        <w:rFonts w:ascii="Symbol" w:hAnsi="Symbol" w:hint="default"/>
      </w:rPr>
    </w:lvl>
    <w:lvl w:ilvl="1" w:tplc="D2221422">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9">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B21CD2"/>
    <w:multiLevelType w:val="hybridMultilevel"/>
    <w:tmpl w:val="C15C8E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7B22EB3"/>
    <w:multiLevelType w:val="hybridMultilevel"/>
    <w:tmpl w:val="78446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8C0265E"/>
    <w:multiLevelType w:val="hybridMultilevel"/>
    <w:tmpl w:val="4B6A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E4074B"/>
    <w:multiLevelType w:val="hybridMultilevel"/>
    <w:tmpl w:val="7B1A36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AD34F94"/>
    <w:multiLevelType w:val="hybridMultilevel"/>
    <w:tmpl w:val="5FA6DB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26A7AC9"/>
    <w:multiLevelType w:val="hybridMultilevel"/>
    <w:tmpl w:val="67942904"/>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25AC70CD"/>
    <w:multiLevelType w:val="hybridMultilevel"/>
    <w:tmpl w:val="70C0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7C0BA3"/>
    <w:multiLevelType w:val="hybridMultilevel"/>
    <w:tmpl w:val="3C10BB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F61FC5"/>
    <w:multiLevelType w:val="hybridMultilevel"/>
    <w:tmpl w:val="12F23164"/>
    <w:lvl w:ilvl="0" w:tplc="04090001">
      <w:start w:val="1"/>
      <w:numFmt w:val="bullet"/>
      <w:lvlText w:val=""/>
      <w:lvlJc w:val="left"/>
      <w:pPr>
        <w:ind w:left="720" w:hanging="360"/>
      </w:pPr>
      <w:rPr>
        <w:rFonts w:ascii="Symbol" w:hAnsi="Symbol" w:hint="default"/>
      </w:rPr>
    </w:lvl>
    <w:lvl w:ilvl="1" w:tplc="D2221422">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D">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5C465E"/>
    <w:multiLevelType w:val="hybridMultilevel"/>
    <w:tmpl w:val="B69C26E6"/>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41506B79"/>
    <w:multiLevelType w:val="hybridMultilevel"/>
    <w:tmpl w:val="1A1E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0D1FAC"/>
    <w:multiLevelType w:val="hybridMultilevel"/>
    <w:tmpl w:val="08840002"/>
    <w:lvl w:ilvl="0" w:tplc="B644E7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98654FE"/>
    <w:multiLevelType w:val="hybridMultilevel"/>
    <w:tmpl w:val="6234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D23348"/>
    <w:multiLevelType w:val="hybridMultilevel"/>
    <w:tmpl w:val="38CC4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AF26F34"/>
    <w:multiLevelType w:val="hybridMultilevel"/>
    <w:tmpl w:val="E13EC1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4010E"/>
    <w:multiLevelType w:val="hybridMultilevel"/>
    <w:tmpl w:val="C5BC4AF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06C72F1"/>
    <w:multiLevelType w:val="hybridMultilevel"/>
    <w:tmpl w:val="D526AA1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0634AB"/>
    <w:multiLevelType w:val="hybridMultilevel"/>
    <w:tmpl w:val="6928A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ED4991"/>
    <w:multiLevelType w:val="hybridMultilevel"/>
    <w:tmpl w:val="F11C66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874757"/>
    <w:multiLevelType w:val="hybridMultilevel"/>
    <w:tmpl w:val="3F7AA3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AB0B2A"/>
    <w:multiLevelType w:val="hybridMultilevel"/>
    <w:tmpl w:val="122A29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nsid w:val="622575C8"/>
    <w:multiLevelType w:val="hybridMultilevel"/>
    <w:tmpl w:val="77080AB4"/>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66924294"/>
    <w:multiLevelType w:val="hybridMultilevel"/>
    <w:tmpl w:val="BF50185A"/>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69070A08"/>
    <w:multiLevelType w:val="hybridMultilevel"/>
    <w:tmpl w:val="1854C8D8"/>
    <w:lvl w:ilvl="0" w:tplc="04090009">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2">
    <w:nsid w:val="69FC3658"/>
    <w:multiLevelType w:val="hybridMultilevel"/>
    <w:tmpl w:val="39DE4C4A"/>
    <w:lvl w:ilvl="0" w:tplc="04090009">
      <w:start w:val="1"/>
      <w:numFmt w:val="bullet"/>
      <w:lvlText w:val=""/>
      <w:lvlJc w:val="left"/>
      <w:pPr>
        <w:ind w:left="4032" w:hanging="360"/>
      </w:pPr>
      <w:rPr>
        <w:rFonts w:ascii="Wingdings" w:hAnsi="Wingdings" w:hint="default"/>
      </w:rPr>
    </w:lvl>
    <w:lvl w:ilvl="1" w:tplc="04090003" w:tentative="1">
      <w:start w:val="1"/>
      <w:numFmt w:val="bullet"/>
      <w:lvlText w:val="o"/>
      <w:lvlJc w:val="left"/>
      <w:pPr>
        <w:ind w:left="4752" w:hanging="360"/>
      </w:pPr>
      <w:rPr>
        <w:rFonts w:ascii="Courier New" w:hAnsi="Courier New" w:cs="Courier New" w:hint="default"/>
      </w:rPr>
    </w:lvl>
    <w:lvl w:ilvl="2" w:tplc="04090005" w:tentative="1">
      <w:start w:val="1"/>
      <w:numFmt w:val="bullet"/>
      <w:lvlText w:val=""/>
      <w:lvlJc w:val="left"/>
      <w:pPr>
        <w:ind w:left="5472" w:hanging="360"/>
      </w:pPr>
      <w:rPr>
        <w:rFonts w:ascii="Wingdings" w:hAnsi="Wingdings" w:hint="default"/>
      </w:rPr>
    </w:lvl>
    <w:lvl w:ilvl="3" w:tplc="04090001" w:tentative="1">
      <w:start w:val="1"/>
      <w:numFmt w:val="bullet"/>
      <w:lvlText w:val=""/>
      <w:lvlJc w:val="left"/>
      <w:pPr>
        <w:ind w:left="6192" w:hanging="360"/>
      </w:pPr>
      <w:rPr>
        <w:rFonts w:ascii="Symbol" w:hAnsi="Symbol" w:hint="default"/>
      </w:rPr>
    </w:lvl>
    <w:lvl w:ilvl="4" w:tplc="04090003" w:tentative="1">
      <w:start w:val="1"/>
      <w:numFmt w:val="bullet"/>
      <w:lvlText w:val="o"/>
      <w:lvlJc w:val="left"/>
      <w:pPr>
        <w:ind w:left="6912" w:hanging="360"/>
      </w:pPr>
      <w:rPr>
        <w:rFonts w:ascii="Courier New" w:hAnsi="Courier New" w:cs="Courier New" w:hint="default"/>
      </w:rPr>
    </w:lvl>
    <w:lvl w:ilvl="5" w:tplc="04090005" w:tentative="1">
      <w:start w:val="1"/>
      <w:numFmt w:val="bullet"/>
      <w:lvlText w:val=""/>
      <w:lvlJc w:val="left"/>
      <w:pPr>
        <w:ind w:left="7632" w:hanging="360"/>
      </w:pPr>
      <w:rPr>
        <w:rFonts w:ascii="Wingdings" w:hAnsi="Wingdings" w:hint="default"/>
      </w:rPr>
    </w:lvl>
    <w:lvl w:ilvl="6" w:tplc="04090001" w:tentative="1">
      <w:start w:val="1"/>
      <w:numFmt w:val="bullet"/>
      <w:lvlText w:val=""/>
      <w:lvlJc w:val="left"/>
      <w:pPr>
        <w:ind w:left="8352" w:hanging="360"/>
      </w:pPr>
      <w:rPr>
        <w:rFonts w:ascii="Symbol" w:hAnsi="Symbol" w:hint="default"/>
      </w:rPr>
    </w:lvl>
    <w:lvl w:ilvl="7" w:tplc="04090003" w:tentative="1">
      <w:start w:val="1"/>
      <w:numFmt w:val="bullet"/>
      <w:lvlText w:val="o"/>
      <w:lvlJc w:val="left"/>
      <w:pPr>
        <w:ind w:left="9072" w:hanging="360"/>
      </w:pPr>
      <w:rPr>
        <w:rFonts w:ascii="Courier New" w:hAnsi="Courier New" w:cs="Courier New" w:hint="default"/>
      </w:rPr>
    </w:lvl>
    <w:lvl w:ilvl="8" w:tplc="04090005" w:tentative="1">
      <w:start w:val="1"/>
      <w:numFmt w:val="bullet"/>
      <w:lvlText w:val=""/>
      <w:lvlJc w:val="left"/>
      <w:pPr>
        <w:ind w:left="9792" w:hanging="360"/>
      </w:pPr>
      <w:rPr>
        <w:rFonts w:ascii="Wingdings" w:hAnsi="Wingdings" w:hint="default"/>
      </w:rPr>
    </w:lvl>
  </w:abstractNum>
  <w:abstractNum w:abstractNumId="33">
    <w:nsid w:val="6E160B83"/>
    <w:multiLevelType w:val="hybridMultilevel"/>
    <w:tmpl w:val="BF22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474218"/>
    <w:multiLevelType w:val="hybridMultilevel"/>
    <w:tmpl w:val="CEFC31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72190410"/>
    <w:multiLevelType w:val="hybridMultilevel"/>
    <w:tmpl w:val="29424F36"/>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nsid w:val="764461E1"/>
    <w:multiLevelType w:val="hybridMultilevel"/>
    <w:tmpl w:val="69AC55AC"/>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34"/>
  </w:num>
  <w:num w:numId="2">
    <w:abstractNumId w:val="23"/>
  </w:num>
  <w:num w:numId="3">
    <w:abstractNumId w:val="12"/>
  </w:num>
  <w:num w:numId="4">
    <w:abstractNumId w:val="30"/>
  </w:num>
  <w:num w:numId="5">
    <w:abstractNumId w:val="17"/>
  </w:num>
  <w:num w:numId="6">
    <w:abstractNumId w:val="5"/>
  </w:num>
  <w:num w:numId="7">
    <w:abstractNumId w:val="31"/>
  </w:num>
  <w:num w:numId="8">
    <w:abstractNumId w:val="6"/>
  </w:num>
  <w:num w:numId="9">
    <w:abstractNumId w:val="26"/>
  </w:num>
  <w:num w:numId="10">
    <w:abstractNumId w:val="25"/>
  </w:num>
  <w:num w:numId="11">
    <w:abstractNumId w:val="27"/>
  </w:num>
  <w:num w:numId="12">
    <w:abstractNumId w:val="15"/>
  </w:num>
  <w:num w:numId="13">
    <w:abstractNumId w:val="3"/>
  </w:num>
  <w:num w:numId="14">
    <w:abstractNumId w:val="10"/>
  </w:num>
  <w:num w:numId="15">
    <w:abstractNumId w:val="14"/>
  </w:num>
  <w:num w:numId="16">
    <w:abstractNumId w:val="20"/>
  </w:num>
  <w:num w:numId="17">
    <w:abstractNumId w:val="18"/>
  </w:num>
  <w:num w:numId="18">
    <w:abstractNumId w:val="4"/>
  </w:num>
  <w:num w:numId="19">
    <w:abstractNumId w:val="19"/>
  </w:num>
  <w:num w:numId="20">
    <w:abstractNumId w:val="36"/>
  </w:num>
  <w:num w:numId="21">
    <w:abstractNumId w:val="2"/>
  </w:num>
  <w:num w:numId="22">
    <w:abstractNumId w:val="7"/>
  </w:num>
  <w:num w:numId="23">
    <w:abstractNumId w:val="33"/>
  </w:num>
  <w:num w:numId="24">
    <w:abstractNumId w:val="28"/>
  </w:num>
  <w:num w:numId="25">
    <w:abstractNumId w:val="13"/>
  </w:num>
  <w:num w:numId="26">
    <w:abstractNumId w:val="16"/>
  </w:num>
  <w:num w:numId="27">
    <w:abstractNumId w:val="29"/>
  </w:num>
  <w:num w:numId="28">
    <w:abstractNumId w:val="0"/>
  </w:num>
  <w:num w:numId="29">
    <w:abstractNumId w:val="35"/>
  </w:num>
  <w:num w:numId="30">
    <w:abstractNumId w:val="1"/>
  </w:num>
  <w:num w:numId="31">
    <w:abstractNumId w:val="32"/>
  </w:num>
  <w:num w:numId="32">
    <w:abstractNumId w:val="22"/>
  </w:num>
  <w:num w:numId="33">
    <w:abstractNumId w:val="9"/>
  </w:num>
  <w:num w:numId="34">
    <w:abstractNumId w:val="8"/>
  </w:num>
  <w:num w:numId="35">
    <w:abstractNumId w:val="21"/>
  </w:num>
  <w:num w:numId="36">
    <w:abstractNumId w:val="24"/>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C4625"/>
    <w:rsid w:val="0000588D"/>
    <w:rsid w:val="00011751"/>
    <w:rsid w:val="00021D5A"/>
    <w:rsid w:val="00022F30"/>
    <w:rsid w:val="000306EA"/>
    <w:rsid w:val="000310CB"/>
    <w:rsid w:val="00033464"/>
    <w:rsid w:val="00043D66"/>
    <w:rsid w:val="00050C42"/>
    <w:rsid w:val="00065A68"/>
    <w:rsid w:val="00066BCF"/>
    <w:rsid w:val="000739AB"/>
    <w:rsid w:val="000802C5"/>
    <w:rsid w:val="000813AA"/>
    <w:rsid w:val="00091261"/>
    <w:rsid w:val="000A294D"/>
    <w:rsid w:val="000A43E6"/>
    <w:rsid w:val="000A66BC"/>
    <w:rsid w:val="000C04EF"/>
    <w:rsid w:val="000C0C6B"/>
    <w:rsid w:val="000D161E"/>
    <w:rsid w:val="000E0CEA"/>
    <w:rsid w:val="000E6677"/>
    <w:rsid w:val="000F116F"/>
    <w:rsid w:val="000F38AC"/>
    <w:rsid w:val="000F44A0"/>
    <w:rsid w:val="000F64C7"/>
    <w:rsid w:val="00104484"/>
    <w:rsid w:val="00113B5B"/>
    <w:rsid w:val="00115F22"/>
    <w:rsid w:val="00151362"/>
    <w:rsid w:val="00153D79"/>
    <w:rsid w:val="00155A15"/>
    <w:rsid w:val="0015647D"/>
    <w:rsid w:val="00161B04"/>
    <w:rsid w:val="001719A8"/>
    <w:rsid w:val="00180060"/>
    <w:rsid w:val="00180439"/>
    <w:rsid w:val="00182FC7"/>
    <w:rsid w:val="00193C27"/>
    <w:rsid w:val="001A1348"/>
    <w:rsid w:val="001A5DD4"/>
    <w:rsid w:val="001A7F50"/>
    <w:rsid w:val="001C25DE"/>
    <w:rsid w:val="001D0DE3"/>
    <w:rsid w:val="001D2E7A"/>
    <w:rsid w:val="001D7713"/>
    <w:rsid w:val="001F2521"/>
    <w:rsid w:val="0020021D"/>
    <w:rsid w:val="0020082E"/>
    <w:rsid w:val="00215CEA"/>
    <w:rsid w:val="00216738"/>
    <w:rsid w:val="0022091F"/>
    <w:rsid w:val="0022096D"/>
    <w:rsid w:val="00223E7F"/>
    <w:rsid w:val="002334DD"/>
    <w:rsid w:val="00240012"/>
    <w:rsid w:val="00240D8D"/>
    <w:rsid w:val="00247471"/>
    <w:rsid w:val="0025498C"/>
    <w:rsid w:val="0025536E"/>
    <w:rsid w:val="00262018"/>
    <w:rsid w:val="00262BE1"/>
    <w:rsid w:val="00263861"/>
    <w:rsid w:val="002656A6"/>
    <w:rsid w:val="00272329"/>
    <w:rsid w:val="00281E6C"/>
    <w:rsid w:val="00296492"/>
    <w:rsid w:val="002A3A7C"/>
    <w:rsid w:val="002A3D49"/>
    <w:rsid w:val="002B45DB"/>
    <w:rsid w:val="002B7228"/>
    <w:rsid w:val="002C39CE"/>
    <w:rsid w:val="002C4D90"/>
    <w:rsid w:val="002C61B7"/>
    <w:rsid w:val="002C6E6C"/>
    <w:rsid w:val="002D11AA"/>
    <w:rsid w:val="002D48B7"/>
    <w:rsid w:val="002D5E91"/>
    <w:rsid w:val="002E23E7"/>
    <w:rsid w:val="002F00C9"/>
    <w:rsid w:val="002F474E"/>
    <w:rsid w:val="00304E15"/>
    <w:rsid w:val="0031656F"/>
    <w:rsid w:val="00327455"/>
    <w:rsid w:val="003301DC"/>
    <w:rsid w:val="00330E27"/>
    <w:rsid w:val="00341B88"/>
    <w:rsid w:val="003637BF"/>
    <w:rsid w:val="00375741"/>
    <w:rsid w:val="0039449E"/>
    <w:rsid w:val="00396D97"/>
    <w:rsid w:val="003A002F"/>
    <w:rsid w:val="003C69A4"/>
    <w:rsid w:val="003C7FFE"/>
    <w:rsid w:val="003D63A0"/>
    <w:rsid w:val="003E0612"/>
    <w:rsid w:val="003E45EC"/>
    <w:rsid w:val="003E6434"/>
    <w:rsid w:val="003F1DE1"/>
    <w:rsid w:val="003F30E8"/>
    <w:rsid w:val="00410190"/>
    <w:rsid w:val="00412689"/>
    <w:rsid w:val="00413C51"/>
    <w:rsid w:val="004266C9"/>
    <w:rsid w:val="0043638C"/>
    <w:rsid w:val="0043671B"/>
    <w:rsid w:val="00437746"/>
    <w:rsid w:val="0045052D"/>
    <w:rsid w:val="0045792F"/>
    <w:rsid w:val="00463FAF"/>
    <w:rsid w:val="004702A6"/>
    <w:rsid w:val="0047213F"/>
    <w:rsid w:val="00473D1C"/>
    <w:rsid w:val="00495C3E"/>
    <w:rsid w:val="00495DF7"/>
    <w:rsid w:val="004A4A54"/>
    <w:rsid w:val="004C5C64"/>
    <w:rsid w:val="004E5064"/>
    <w:rsid w:val="0050516E"/>
    <w:rsid w:val="0051387A"/>
    <w:rsid w:val="00515106"/>
    <w:rsid w:val="00534B51"/>
    <w:rsid w:val="00544C8A"/>
    <w:rsid w:val="005543B7"/>
    <w:rsid w:val="00560CA3"/>
    <w:rsid w:val="00576929"/>
    <w:rsid w:val="0058764A"/>
    <w:rsid w:val="00587AC0"/>
    <w:rsid w:val="00590001"/>
    <w:rsid w:val="005A2860"/>
    <w:rsid w:val="005B53A7"/>
    <w:rsid w:val="005B5D62"/>
    <w:rsid w:val="005B70BA"/>
    <w:rsid w:val="005C0B66"/>
    <w:rsid w:val="005C4625"/>
    <w:rsid w:val="005D3369"/>
    <w:rsid w:val="005D6900"/>
    <w:rsid w:val="005E0451"/>
    <w:rsid w:val="005E202C"/>
    <w:rsid w:val="005E36C5"/>
    <w:rsid w:val="005F20C8"/>
    <w:rsid w:val="005F70E3"/>
    <w:rsid w:val="0060150C"/>
    <w:rsid w:val="00601F13"/>
    <w:rsid w:val="00610B9F"/>
    <w:rsid w:val="00617DF5"/>
    <w:rsid w:val="006208F4"/>
    <w:rsid w:val="00620CFB"/>
    <w:rsid w:val="006235F9"/>
    <w:rsid w:val="006350E8"/>
    <w:rsid w:val="00641A4F"/>
    <w:rsid w:val="00641CC0"/>
    <w:rsid w:val="00642DBB"/>
    <w:rsid w:val="00646001"/>
    <w:rsid w:val="006474DF"/>
    <w:rsid w:val="006505F3"/>
    <w:rsid w:val="0066204F"/>
    <w:rsid w:val="00667BAA"/>
    <w:rsid w:val="00680704"/>
    <w:rsid w:val="006851D9"/>
    <w:rsid w:val="00685A3D"/>
    <w:rsid w:val="00695863"/>
    <w:rsid w:val="006975AC"/>
    <w:rsid w:val="006A5A72"/>
    <w:rsid w:val="006A5BF2"/>
    <w:rsid w:val="006B03D7"/>
    <w:rsid w:val="006B0E74"/>
    <w:rsid w:val="006B67E8"/>
    <w:rsid w:val="006C3BCB"/>
    <w:rsid w:val="006C7337"/>
    <w:rsid w:val="006E7C14"/>
    <w:rsid w:val="00700F5B"/>
    <w:rsid w:val="007051B9"/>
    <w:rsid w:val="00711784"/>
    <w:rsid w:val="007120E8"/>
    <w:rsid w:val="00716991"/>
    <w:rsid w:val="007221E8"/>
    <w:rsid w:val="007251AB"/>
    <w:rsid w:val="00725C20"/>
    <w:rsid w:val="00730DB3"/>
    <w:rsid w:val="007315B7"/>
    <w:rsid w:val="00735027"/>
    <w:rsid w:val="00742221"/>
    <w:rsid w:val="007511AD"/>
    <w:rsid w:val="00753E4C"/>
    <w:rsid w:val="007707E3"/>
    <w:rsid w:val="00793D62"/>
    <w:rsid w:val="007A7D04"/>
    <w:rsid w:val="007B1A48"/>
    <w:rsid w:val="007B7844"/>
    <w:rsid w:val="007C1A96"/>
    <w:rsid w:val="007C7017"/>
    <w:rsid w:val="007E3546"/>
    <w:rsid w:val="007F048A"/>
    <w:rsid w:val="007F243F"/>
    <w:rsid w:val="00801974"/>
    <w:rsid w:val="00802F72"/>
    <w:rsid w:val="0080738E"/>
    <w:rsid w:val="008201AB"/>
    <w:rsid w:val="00820684"/>
    <w:rsid w:val="008324CE"/>
    <w:rsid w:val="00845AD6"/>
    <w:rsid w:val="00851303"/>
    <w:rsid w:val="00857986"/>
    <w:rsid w:val="00857B37"/>
    <w:rsid w:val="00864D6A"/>
    <w:rsid w:val="008741AB"/>
    <w:rsid w:val="0087542D"/>
    <w:rsid w:val="00881294"/>
    <w:rsid w:val="00895BFA"/>
    <w:rsid w:val="008A25AC"/>
    <w:rsid w:val="008A2915"/>
    <w:rsid w:val="008B35D9"/>
    <w:rsid w:val="008B49E0"/>
    <w:rsid w:val="008B7359"/>
    <w:rsid w:val="008C4487"/>
    <w:rsid w:val="008C5F91"/>
    <w:rsid w:val="008D0E08"/>
    <w:rsid w:val="008D204E"/>
    <w:rsid w:val="008E2208"/>
    <w:rsid w:val="008E63AB"/>
    <w:rsid w:val="009029C6"/>
    <w:rsid w:val="00922D8A"/>
    <w:rsid w:val="009277D7"/>
    <w:rsid w:val="0093458D"/>
    <w:rsid w:val="009345B1"/>
    <w:rsid w:val="00942761"/>
    <w:rsid w:val="0095008A"/>
    <w:rsid w:val="009540C8"/>
    <w:rsid w:val="0096236D"/>
    <w:rsid w:val="009643CC"/>
    <w:rsid w:val="00970040"/>
    <w:rsid w:val="0098299B"/>
    <w:rsid w:val="009918F5"/>
    <w:rsid w:val="009961DA"/>
    <w:rsid w:val="009A5242"/>
    <w:rsid w:val="009A68EB"/>
    <w:rsid w:val="009A77B5"/>
    <w:rsid w:val="009B17C2"/>
    <w:rsid w:val="009B7B1A"/>
    <w:rsid w:val="009B7FFB"/>
    <w:rsid w:val="009C32D1"/>
    <w:rsid w:val="009E35F7"/>
    <w:rsid w:val="009E7D44"/>
    <w:rsid w:val="009E7FA0"/>
    <w:rsid w:val="009F6CC7"/>
    <w:rsid w:val="00A1661F"/>
    <w:rsid w:val="00A212C0"/>
    <w:rsid w:val="00A55C05"/>
    <w:rsid w:val="00A56934"/>
    <w:rsid w:val="00A607F8"/>
    <w:rsid w:val="00A6459A"/>
    <w:rsid w:val="00A733E8"/>
    <w:rsid w:val="00A74033"/>
    <w:rsid w:val="00A76C07"/>
    <w:rsid w:val="00A810E1"/>
    <w:rsid w:val="00A87FD4"/>
    <w:rsid w:val="00AB2022"/>
    <w:rsid w:val="00AB2509"/>
    <w:rsid w:val="00AB7212"/>
    <w:rsid w:val="00AC0F42"/>
    <w:rsid w:val="00AD2B74"/>
    <w:rsid w:val="00AD2C09"/>
    <w:rsid w:val="00AE62CA"/>
    <w:rsid w:val="00AF5FA0"/>
    <w:rsid w:val="00B0573B"/>
    <w:rsid w:val="00B20395"/>
    <w:rsid w:val="00B306FE"/>
    <w:rsid w:val="00B44D00"/>
    <w:rsid w:val="00B5272D"/>
    <w:rsid w:val="00B53E61"/>
    <w:rsid w:val="00B5684A"/>
    <w:rsid w:val="00B63579"/>
    <w:rsid w:val="00B637B8"/>
    <w:rsid w:val="00B66E0B"/>
    <w:rsid w:val="00B67EDF"/>
    <w:rsid w:val="00B71BCA"/>
    <w:rsid w:val="00B765D6"/>
    <w:rsid w:val="00B809B3"/>
    <w:rsid w:val="00B82A74"/>
    <w:rsid w:val="00B91949"/>
    <w:rsid w:val="00BA26E3"/>
    <w:rsid w:val="00BA4558"/>
    <w:rsid w:val="00BA49F5"/>
    <w:rsid w:val="00BA4CD1"/>
    <w:rsid w:val="00BA7124"/>
    <w:rsid w:val="00BA7416"/>
    <w:rsid w:val="00BD2E02"/>
    <w:rsid w:val="00BD3650"/>
    <w:rsid w:val="00BE0353"/>
    <w:rsid w:val="00BE0DA4"/>
    <w:rsid w:val="00BE3C19"/>
    <w:rsid w:val="00BF72C7"/>
    <w:rsid w:val="00BF734E"/>
    <w:rsid w:val="00C02D34"/>
    <w:rsid w:val="00C22CEF"/>
    <w:rsid w:val="00C26D2D"/>
    <w:rsid w:val="00C44667"/>
    <w:rsid w:val="00C4550E"/>
    <w:rsid w:val="00C457AB"/>
    <w:rsid w:val="00C45923"/>
    <w:rsid w:val="00C50E01"/>
    <w:rsid w:val="00C56336"/>
    <w:rsid w:val="00C62E1C"/>
    <w:rsid w:val="00C66C35"/>
    <w:rsid w:val="00C82671"/>
    <w:rsid w:val="00C93E73"/>
    <w:rsid w:val="00C93EC3"/>
    <w:rsid w:val="00CA0236"/>
    <w:rsid w:val="00CA2384"/>
    <w:rsid w:val="00CB668C"/>
    <w:rsid w:val="00CC5295"/>
    <w:rsid w:val="00CD0DB1"/>
    <w:rsid w:val="00CD5282"/>
    <w:rsid w:val="00CE120C"/>
    <w:rsid w:val="00CE7FA6"/>
    <w:rsid w:val="00CF0DE1"/>
    <w:rsid w:val="00CF689D"/>
    <w:rsid w:val="00D1165F"/>
    <w:rsid w:val="00D14BE1"/>
    <w:rsid w:val="00D24E84"/>
    <w:rsid w:val="00D35A85"/>
    <w:rsid w:val="00D557F5"/>
    <w:rsid w:val="00D56518"/>
    <w:rsid w:val="00D643ED"/>
    <w:rsid w:val="00D90ECD"/>
    <w:rsid w:val="00D95300"/>
    <w:rsid w:val="00DA6365"/>
    <w:rsid w:val="00DC5C42"/>
    <w:rsid w:val="00DD7582"/>
    <w:rsid w:val="00DE0E89"/>
    <w:rsid w:val="00DE4139"/>
    <w:rsid w:val="00DE550B"/>
    <w:rsid w:val="00DF08EC"/>
    <w:rsid w:val="00E00C07"/>
    <w:rsid w:val="00E03BDD"/>
    <w:rsid w:val="00E079F3"/>
    <w:rsid w:val="00E21BC0"/>
    <w:rsid w:val="00E2780A"/>
    <w:rsid w:val="00E3180A"/>
    <w:rsid w:val="00E324B0"/>
    <w:rsid w:val="00E343A9"/>
    <w:rsid w:val="00E3602D"/>
    <w:rsid w:val="00E36D21"/>
    <w:rsid w:val="00E4116A"/>
    <w:rsid w:val="00E43444"/>
    <w:rsid w:val="00E43F31"/>
    <w:rsid w:val="00E574D0"/>
    <w:rsid w:val="00E620D8"/>
    <w:rsid w:val="00E679A5"/>
    <w:rsid w:val="00E83A96"/>
    <w:rsid w:val="00E877A0"/>
    <w:rsid w:val="00E90EBE"/>
    <w:rsid w:val="00E942FE"/>
    <w:rsid w:val="00EB3AA9"/>
    <w:rsid w:val="00EB3ACA"/>
    <w:rsid w:val="00EB60BC"/>
    <w:rsid w:val="00EC6F1D"/>
    <w:rsid w:val="00ED07D5"/>
    <w:rsid w:val="00EE6A2F"/>
    <w:rsid w:val="00EE7A1E"/>
    <w:rsid w:val="00EF732E"/>
    <w:rsid w:val="00F02F4A"/>
    <w:rsid w:val="00F14FB2"/>
    <w:rsid w:val="00F15039"/>
    <w:rsid w:val="00F218B0"/>
    <w:rsid w:val="00F33572"/>
    <w:rsid w:val="00F37080"/>
    <w:rsid w:val="00F43261"/>
    <w:rsid w:val="00F45347"/>
    <w:rsid w:val="00F50385"/>
    <w:rsid w:val="00F60305"/>
    <w:rsid w:val="00F656A4"/>
    <w:rsid w:val="00F65EAA"/>
    <w:rsid w:val="00F707A4"/>
    <w:rsid w:val="00F72681"/>
    <w:rsid w:val="00F7290F"/>
    <w:rsid w:val="00F83961"/>
    <w:rsid w:val="00F949CA"/>
    <w:rsid w:val="00F95DC0"/>
    <w:rsid w:val="00FA0A71"/>
    <w:rsid w:val="00FA192E"/>
    <w:rsid w:val="00FC012A"/>
    <w:rsid w:val="00FC172F"/>
    <w:rsid w:val="00FC1BF2"/>
    <w:rsid w:val="00FC40D8"/>
    <w:rsid w:val="00FC5450"/>
    <w:rsid w:val="00FC6637"/>
    <w:rsid w:val="00FD1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5008A"/>
    <w:pPr>
      <w:widowControl w:val="0"/>
      <w:tabs>
        <w:tab w:val="left" w:pos="1800"/>
      </w:tabs>
      <w:autoSpaceDE w:val="0"/>
      <w:autoSpaceDN w:val="0"/>
      <w:adjustRightInd w:val="0"/>
      <w:ind w:left="1800" w:hanging="1800"/>
    </w:pPr>
    <w:rPr>
      <w:rFonts w:ascii="Arial" w:hAnsi="Arial" w:cs="Arial"/>
      <w:color w:val="000000"/>
    </w:rPr>
  </w:style>
  <w:style w:type="paragraph" w:styleId="Heading1">
    <w:name w:val="heading 1"/>
    <w:basedOn w:val="Normal"/>
    <w:next w:val="Normal"/>
    <w:link w:val="Heading1Char"/>
    <w:qFormat/>
    <w:rsid w:val="00BA26E3"/>
    <w:pPr>
      <w:outlineLvl w:val="0"/>
    </w:pPr>
  </w:style>
  <w:style w:type="paragraph" w:styleId="Heading2">
    <w:name w:val="heading 2"/>
    <w:basedOn w:val="Normal"/>
    <w:next w:val="Normal"/>
    <w:link w:val="Heading2Char"/>
    <w:qFormat/>
    <w:rsid w:val="001719A8"/>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qFormat/>
    <w:rsid w:val="001719A8"/>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6E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1719A8"/>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1719A8"/>
    <w:rPr>
      <w:b/>
      <w:bCs/>
    </w:rPr>
  </w:style>
  <w:style w:type="paragraph" w:styleId="Header">
    <w:name w:val="header"/>
    <w:basedOn w:val="Normal"/>
    <w:link w:val="HeaderChar"/>
    <w:rsid w:val="004E5064"/>
    <w:pPr>
      <w:tabs>
        <w:tab w:val="center" w:pos="4680"/>
        <w:tab w:val="right" w:pos="9360"/>
      </w:tabs>
    </w:pPr>
  </w:style>
  <w:style w:type="character" w:customStyle="1" w:styleId="HeaderChar">
    <w:name w:val="Header Char"/>
    <w:basedOn w:val="DefaultParagraphFont"/>
    <w:link w:val="Header"/>
    <w:rsid w:val="004E5064"/>
    <w:rPr>
      <w:rFonts w:ascii="Arial" w:hAnsi="Arial" w:cs="Arial"/>
      <w:sz w:val="24"/>
      <w:szCs w:val="24"/>
    </w:rPr>
  </w:style>
  <w:style w:type="paragraph" w:styleId="Footer">
    <w:name w:val="footer"/>
    <w:basedOn w:val="Normal"/>
    <w:link w:val="FooterChar"/>
    <w:uiPriority w:val="99"/>
    <w:rsid w:val="004E5064"/>
    <w:pPr>
      <w:tabs>
        <w:tab w:val="center" w:pos="4680"/>
        <w:tab w:val="right" w:pos="9360"/>
      </w:tabs>
    </w:pPr>
  </w:style>
  <w:style w:type="character" w:customStyle="1" w:styleId="FooterChar">
    <w:name w:val="Footer Char"/>
    <w:basedOn w:val="DefaultParagraphFont"/>
    <w:link w:val="Footer"/>
    <w:uiPriority w:val="99"/>
    <w:rsid w:val="004E5064"/>
    <w:rPr>
      <w:rFonts w:ascii="Arial" w:hAnsi="Arial" w:cs="Arial"/>
      <w:sz w:val="24"/>
      <w:szCs w:val="24"/>
    </w:rPr>
  </w:style>
  <w:style w:type="character" w:styleId="Hyperlink">
    <w:name w:val="Hyperlink"/>
    <w:basedOn w:val="DefaultParagraphFont"/>
    <w:rsid w:val="00BE0353"/>
    <w:rPr>
      <w:color w:val="0000FF"/>
      <w:u w:val="single"/>
    </w:rPr>
  </w:style>
  <w:style w:type="paragraph" w:customStyle="1" w:styleId="FSbodytext">
    <w:name w:val="• FS body text"/>
    <w:basedOn w:val="Normal"/>
    <w:rsid w:val="007221E8"/>
    <w:pPr>
      <w:widowControl/>
      <w:tabs>
        <w:tab w:val="clear" w:pos="1800"/>
      </w:tabs>
      <w:autoSpaceDE/>
      <w:autoSpaceDN/>
      <w:adjustRightInd/>
      <w:spacing w:line="260" w:lineRule="exact"/>
      <w:ind w:left="0" w:firstLine="0"/>
    </w:pPr>
    <w:rPr>
      <w:rFonts w:eastAsia="Times" w:cs="Times New Roman"/>
      <w:color w:val="auto"/>
    </w:rPr>
  </w:style>
  <w:style w:type="paragraph" w:styleId="NoSpacing">
    <w:name w:val="No Spacing"/>
    <w:link w:val="NoSpacingChar"/>
    <w:qFormat/>
    <w:rsid w:val="007221E8"/>
    <w:rPr>
      <w:sz w:val="22"/>
      <w:szCs w:val="22"/>
    </w:rPr>
  </w:style>
  <w:style w:type="character" w:customStyle="1" w:styleId="NoSpacingChar">
    <w:name w:val="No Spacing Char"/>
    <w:basedOn w:val="DefaultParagraphFont"/>
    <w:link w:val="NoSpacing"/>
    <w:rsid w:val="007221E8"/>
    <w:rPr>
      <w:sz w:val="22"/>
      <w:szCs w:val="22"/>
      <w:lang w:val="en-US" w:eastAsia="en-US" w:bidi="ar-SA"/>
    </w:rPr>
  </w:style>
  <w:style w:type="character" w:styleId="CommentReference">
    <w:name w:val="annotation reference"/>
    <w:basedOn w:val="DefaultParagraphFont"/>
    <w:rsid w:val="00B20395"/>
    <w:rPr>
      <w:sz w:val="16"/>
      <w:szCs w:val="16"/>
    </w:rPr>
  </w:style>
  <w:style w:type="paragraph" w:styleId="CommentText">
    <w:name w:val="annotation text"/>
    <w:basedOn w:val="Normal"/>
    <w:link w:val="CommentTextChar"/>
    <w:rsid w:val="00B20395"/>
  </w:style>
  <w:style w:type="character" w:customStyle="1" w:styleId="CommentTextChar">
    <w:name w:val="Comment Text Char"/>
    <w:basedOn w:val="DefaultParagraphFont"/>
    <w:link w:val="CommentText"/>
    <w:rsid w:val="00B20395"/>
    <w:rPr>
      <w:rFonts w:ascii="Arial" w:hAnsi="Arial" w:cs="Arial"/>
      <w:color w:val="000000"/>
    </w:rPr>
  </w:style>
  <w:style w:type="paragraph" w:styleId="CommentSubject">
    <w:name w:val="annotation subject"/>
    <w:basedOn w:val="CommentText"/>
    <w:next w:val="CommentText"/>
    <w:link w:val="CommentSubjectChar"/>
    <w:rsid w:val="00B20395"/>
    <w:rPr>
      <w:b/>
      <w:bCs/>
    </w:rPr>
  </w:style>
  <w:style w:type="character" w:customStyle="1" w:styleId="CommentSubjectChar">
    <w:name w:val="Comment Subject Char"/>
    <w:basedOn w:val="CommentTextChar"/>
    <w:link w:val="CommentSubject"/>
    <w:rsid w:val="00B20395"/>
    <w:rPr>
      <w:b/>
      <w:bCs/>
    </w:rPr>
  </w:style>
  <w:style w:type="paragraph" w:styleId="BalloonText">
    <w:name w:val="Balloon Text"/>
    <w:basedOn w:val="Normal"/>
    <w:link w:val="BalloonTextChar"/>
    <w:rsid w:val="00B20395"/>
    <w:rPr>
      <w:rFonts w:ascii="Tahoma" w:hAnsi="Tahoma" w:cs="Tahoma"/>
      <w:sz w:val="16"/>
      <w:szCs w:val="16"/>
    </w:rPr>
  </w:style>
  <w:style w:type="character" w:customStyle="1" w:styleId="BalloonTextChar">
    <w:name w:val="Balloon Text Char"/>
    <w:basedOn w:val="DefaultParagraphFont"/>
    <w:link w:val="BalloonText"/>
    <w:rsid w:val="00B20395"/>
    <w:rPr>
      <w:rFonts w:ascii="Tahoma" w:hAnsi="Tahoma" w:cs="Tahoma"/>
      <w:color w:val="000000"/>
      <w:sz w:val="16"/>
      <w:szCs w:val="16"/>
    </w:rPr>
  </w:style>
  <w:style w:type="paragraph" w:styleId="ListParagraph">
    <w:name w:val="List Paragraph"/>
    <w:basedOn w:val="Normal"/>
    <w:qFormat/>
    <w:rsid w:val="000739AB"/>
    <w:pPr>
      <w:ind w:left="720"/>
      <w:contextualSpacing/>
    </w:pPr>
  </w:style>
  <w:style w:type="table" w:styleId="TableGrid">
    <w:name w:val="Table Grid"/>
    <w:basedOn w:val="TableNormal"/>
    <w:rsid w:val="00E36D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docs.unh.edu/towns/MassachusettsTownList.htm"/>
  <Relationship Id="rId11" Type="http://schemas.openxmlformats.org/officeDocument/2006/relationships/hyperlink" TargetMode="External" Target="http://www.mass.gov/anf/research-and-tech/research-state-and-local-history/sanborn-maps.ht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itrcweb.org/ism-1/Executive_Summary.html"/>
</Relationships>

</file>

<file path=word/_rels/header2.xml.rels><?xml version="1.0" encoding="UTF-8"?>

<Relationships xmlns="http://schemas.openxmlformats.org/package/2006/relationships">
  <Relationship Id="rId1" Type="http://schemas.openxmlformats.org/officeDocument/2006/relationships/hyperlink" TargetMode="External" Target="mailto:Paul.Locke@MassMail.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51477-9C13-49EE-BAAB-C0743B8177BF}">
  <ds:schemaRefs>
    <ds:schemaRef ds:uri="http://schemas.openxmlformats.org/officeDocument/2006/bibliography"/>
  </ds:schemaRefs>
</ds:datastoreItem>
</file>

<file path=customXml/itemProps2.xml><?xml version="1.0" encoding="utf-8"?>
<ds:datastoreItem xmlns:ds="http://schemas.openxmlformats.org/officeDocument/2006/customXml" ds:itemID="{BEF77571-1BBD-4A97-9733-12F2AAE9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5624</Words>
  <Characters>32057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37606</CharactersWithSpaces>
  <SharedDoc>false</SharedDoc>
  <HLinks>
    <vt:vector size="12" baseType="variant">
      <vt:variant>
        <vt:i4>7602303</vt:i4>
      </vt:variant>
      <vt:variant>
        <vt:i4>3</vt:i4>
      </vt:variant>
      <vt:variant>
        <vt:i4>0</vt:i4>
      </vt:variant>
      <vt:variant>
        <vt:i4>5</vt:i4>
      </vt:variant>
      <vt:variant>
        <vt:lpwstr>http://docs.unh.edu/towns/MassachusettsTownList.htm</vt:lpwstr>
      </vt:variant>
      <vt:variant>
        <vt:lpwstr/>
      </vt:variant>
      <vt:variant>
        <vt:i4>3735677</vt:i4>
      </vt:variant>
      <vt:variant>
        <vt:i4>0</vt:i4>
      </vt:variant>
      <vt:variant>
        <vt:i4>0</vt:i4>
      </vt:variant>
      <vt:variant>
        <vt:i4>5</vt:i4>
      </vt:variant>
      <vt:variant>
        <vt:lpwstr>http://www.historicaerials.com/</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2016-06-07T17:25:00Z</dcterms:created>
  <dc:creator>pdonahue</dc:creator>
  <lastModifiedBy>ecallahan</lastModifiedBy>
  <lastPrinted>2015-03-03T14:49:00Z</lastPrinted>
  <dcterms:modified xsi:type="dcterms:W3CDTF">2016-06-07T17:25:00Z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