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2F3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5FE9B1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338F8A3B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4B6D5F9" w14:textId="7BA90785" w:rsidR="006D06D9" w:rsidRDefault="00CD1DEC" w:rsidP="000F315B">
      <w:pPr>
        <w:pStyle w:val="ExecOffice"/>
        <w:framePr w:w="6926" w:wrap="notBeside" w:vAnchor="page" w:x="2884" w:y="711"/>
      </w:pPr>
      <w:r>
        <w:t>67 Forest</w:t>
      </w:r>
      <w:r w:rsidR="000537DA">
        <w:t xml:space="preserve"> Street, </w:t>
      </w:r>
      <w:r>
        <w:t>Marlborough</w:t>
      </w:r>
      <w:r w:rsidR="000537DA">
        <w:t xml:space="preserve">, MA </w:t>
      </w:r>
      <w:r>
        <w:t>01957</w:t>
      </w:r>
    </w:p>
    <w:p w14:paraId="153B7173" w14:textId="77777777" w:rsidR="00BA4055" w:rsidRDefault="00DB0ADA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16475D7" wp14:editId="1609AA53">
            <wp:extent cx="965835" cy="1148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00E7" w14:textId="22EA505A" w:rsidR="009908FF" w:rsidRDefault="00B4168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7F73D" wp14:editId="1F4243A4">
                <wp:simplePos x="0" y="0"/>
                <wp:positionH relativeFrom="column">
                  <wp:posOffset>4995545</wp:posOffset>
                </wp:positionH>
                <wp:positionV relativeFrom="paragraph">
                  <wp:posOffset>558800</wp:posOffset>
                </wp:positionV>
                <wp:extent cx="1814195" cy="11360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041D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B2B321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532CA944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73666F8A" w14:textId="08F5C922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3BD1F92B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150C02A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E8C10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9431FF6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7F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35pt;margin-top:44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" stroked="f">
                <v:textbox style="mso-fit-shape-to-text:t">
                  <w:txbxContent>
                    <w:p w14:paraId="5B4041D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B2B321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532CA944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73666F8A" w14:textId="08F5C922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3BD1F92B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150C02A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E8C10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9431FF6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B5344" w14:textId="121964BD" w:rsidR="00FC6B42" w:rsidRDefault="00B4168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1E997" wp14:editId="22C9173C">
                <wp:simplePos x="0" y="0"/>
                <wp:positionH relativeFrom="column">
                  <wp:posOffset>-185420</wp:posOffset>
                </wp:positionH>
                <wp:positionV relativeFrom="paragraph">
                  <wp:posOffset>151765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6C7B4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6483CD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C52CA50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F28407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63E1A87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1E997" id="_x0000_s1027" type="#_x0000_t202" style="position:absolute;margin-left:-14.6pt;margin-top:11.9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C80vvS3wAAAAoB&#10;AAAPAAAAAAAAAAAAAAAAAGAEAABkcnMvZG93bnJldi54bWxQSwUGAAAAAAQABADzAAAAbAUAAAAA&#10;" stroked="f">
                <v:textbox style="mso-fit-shape-to-text:t">
                  <w:txbxContent>
                    <w:p w14:paraId="71A6C7B4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6483CD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C52CA50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F28407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63E1A87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2F63E22" w14:textId="77777777" w:rsidR="00FC6B42" w:rsidRDefault="00FC6B42" w:rsidP="0072610D"/>
    <w:p w14:paraId="2BBA5D71" w14:textId="77777777" w:rsidR="00033154" w:rsidRDefault="00033154" w:rsidP="0072610D"/>
    <w:p w14:paraId="279F8FA5" w14:textId="77777777" w:rsidR="00033154" w:rsidRDefault="00033154" w:rsidP="0072610D"/>
    <w:p w14:paraId="2F566D62" w14:textId="77777777" w:rsidR="00033154" w:rsidRDefault="00033154" w:rsidP="0072610D"/>
    <w:p w14:paraId="21AF042C" w14:textId="77777777" w:rsidR="00033154" w:rsidRDefault="00033154" w:rsidP="0072610D"/>
    <w:p w14:paraId="523FCEF8" w14:textId="77777777" w:rsidR="00945A24" w:rsidRDefault="00A26158" w:rsidP="00BD6FF4">
      <w:r>
        <w:t xml:space="preserve"> </w:t>
      </w:r>
    </w:p>
    <w:p w14:paraId="74F3E8C4" w14:textId="77777777" w:rsidR="00DB0ADA" w:rsidRPr="00DB0ADA" w:rsidRDefault="00DB0ADA" w:rsidP="00DB0ADA">
      <w:pPr>
        <w:jc w:val="center"/>
      </w:pPr>
      <w:r w:rsidRPr="00DB0ADA">
        <w:rPr>
          <w:b/>
        </w:rPr>
        <w:t>Memorandum</w:t>
      </w:r>
    </w:p>
    <w:p w14:paraId="4C359DE4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</w:rPr>
      </w:pPr>
    </w:p>
    <w:p w14:paraId="3FF702E1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  <w:b/>
        </w:rPr>
      </w:pPr>
      <w:r w:rsidRPr="00DB0ADA">
        <w:rPr>
          <w:rFonts w:eastAsia="@Batang"/>
          <w:b/>
        </w:rPr>
        <w:t>TO:</w:t>
      </w:r>
      <w:r w:rsidRPr="00DB0ADA">
        <w:rPr>
          <w:rFonts w:eastAsia="@Batang"/>
        </w:rPr>
        <w:tab/>
      </w:r>
      <w:r w:rsidRPr="00DB0ADA">
        <w:rPr>
          <w:rFonts w:eastAsia="@Batang"/>
        </w:rPr>
        <w:tab/>
        <w:t>Nursing Home and Rest Home Administrators</w:t>
      </w:r>
    </w:p>
    <w:p w14:paraId="02363D6C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  <w:b/>
        </w:rPr>
      </w:pPr>
    </w:p>
    <w:p w14:paraId="75DEF6E1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</w:rPr>
      </w:pPr>
      <w:r w:rsidRPr="00DB0ADA">
        <w:rPr>
          <w:rFonts w:eastAsia="@Batang"/>
          <w:b/>
        </w:rPr>
        <w:t>FROM:</w:t>
      </w:r>
      <w:r w:rsidRPr="00DB0ADA">
        <w:rPr>
          <w:rFonts w:eastAsia="@Batang"/>
        </w:rPr>
        <w:t xml:space="preserve">          </w:t>
      </w:r>
      <w:r w:rsidRPr="00DB0ADA">
        <w:rPr>
          <w:rFonts w:eastAsia="@Batang"/>
        </w:rPr>
        <w:tab/>
        <w:t xml:space="preserve">Elizabeth </w:t>
      </w:r>
      <w:proofErr w:type="spellStart"/>
      <w:r w:rsidRPr="00DB0ADA">
        <w:rPr>
          <w:rFonts w:eastAsia="@Batang"/>
        </w:rPr>
        <w:t>Daake</w:t>
      </w:r>
      <w:proofErr w:type="spellEnd"/>
      <w:r w:rsidRPr="00DB0ADA">
        <w:rPr>
          <w:rFonts w:eastAsia="@Batang"/>
        </w:rPr>
        <w:t xml:space="preserve"> Kelley, MBA, MPH</w:t>
      </w:r>
    </w:p>
    <w:p w14:paraId="05B1FABF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</w:rPr>
      </w:pPr>
      <w:r w:rsidRPr="00DB0ADA">
        <w:rPr>
          <w:rFonts w:eastAsia="@Batang"/>
        </w:rPr>
        <w:tab/>
      </w:r>
      <w:r w:rsidRPr="00DB0ADA">
        <w:rPr>
          <w:rFonts w:eastAsia="@Batang"/>
        </w:rPr>
        <w:tab/>
        <w:t>Director, Bureau of Health Care Safety and Quality</w:t>
      </w:r>
    </w:p>
    <w:p w14:paraId="17ED3640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</w:rPr>
      </w:pPr>
      <w:r w:rsidRPr="00DB0ADA">
        <w:rPr>
          <w:rFonts w:eastAsia="@Batang"/>
        </w:rPr>
        <w:tab/>
      </w:r>
      <w:r w:rsidRPr="00DB0ADA">
        <w:rPr>
          <w:rFonts w:eastAsia="@Batang"/>
        </w:rPr>
        <w:tab/>
      </w:r>
      <w:r w:rsidRPr="00DB0ADA">
        <w:rPr>
          <w:rFonts w:eastAsia="@Batang"/>
        </w:rPr>
        <w:tab/>
      </w:r>
      <w:r w:rsidRPr="00DB0ADA">
        <w:rPr>
          <w:rFonts w:eastAsia="@Batang"/>
        </w:rPr>
        <w:tab/>
      </w:r>
    </w:p>
    <w:p w14:paraId="0246E5F5" w14:textId="4CA87E3D" w:rsidR="00DB0ADA" w:rsidRPr="00DB0ADA" w:rsidRDefault="00DB0ADA" w:rsidP="00DB0ADA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DB0ADA">
        <w:rPr>
          <w:rFonts w:eastAsia="@Batang"/>
          <w:b/>
        </w:rPr>
        <w:t>SUBJECT:</w:t>
      </w:r>
      <w:r w:rsidRPr="00DB0ADA">
        <w:rPr>
          <w:rFonts w:eastAsia="@Batang"/>
        </w:rPr>
        <w:t xml:space="preserve">   </w:t>
      </w:r>
      <w:r w:rsidRPr="00DB0ADA">
        <w:rPr>
          <w:rFonts w:eastAsia="@Batang"/>
        </w:rPr>
        <w:tab/>
      </w:r>
      <w:r w:rsidR="00DC4FE4">
        <w:rPr>
          <w:rFonts w:eastAsia="@Batang"/>
        </w:rPr>
        <w:t xml:space="preserve">Antigen </w:t>
      </w:r>
      <w:r w:rsidRPr="00DB0ADA">
        <w:rPr>
          <w:rFonts w:eastAsia="@Batang"/>
        </w:rPr>
        <w:t>Rapid Point of Care COVID-19 Testing for Long-Term Care (LTC) Facil</w:t>
      </w:r>
      <w:r w:rsidR="00D55AC4">
        <w:rPr>
          <w:rFonts w:eastAsia="@Batang"/>
        </w:rPr>
        <w:t>ity Visitors</w:t>
      </w:r>
    </w:p>
    <w:p w14:paraId="74F09E06" w14:textId="77777777" w:rsidR="00DB0ADA" w:rsidRPr="00DB0ADA" w:rsidRDefault="00DB0ADA" w:rsidP="00DB0ADA">
      <w:pPr>
        <w:autoSpaceDE w:val="0"/>
        <w:autoSpaceDN w:val="0"/>
        <w:adjustRightInd w:val="0"/>
        <w:rPr>
          <w:rFonts w:eastAsia="@Batang"/>
          <w:b/>
        </w:rPr>
      </w:pPr>
    </w:p>
    <w:p w14:paraId="4DEB4AF6" w14:textId="0E8E4B61" w:rsidR="00DB0ADA" w:rsidRPr="00DB0ADA" w:rsidRDefault="00DB0ADA" w:rsidP="00DB0ADA">
      <w:pPr>
        <w:autoSpaceDE w:val="0"/>
        <w:autoSpaceDN w:val="0"/>
        <w:adjustRightInd w:val="0"/>
        <w:rPr>
          <w:rFonts w:eastAsia="@Batang"/>
        </w:rPr>
      </w:pPr>
      <w:r w:rsidRPr="00DB0ADA">
        <w:rPr>
          <w:rFonts w:eastAsia="@Batang"/>
          <w:b/>
        </w:rPr>
        <w:t>DATE:</w:t>
      </w:r>
      <w:r w:rsidRPr="00DB0ADA">
        <w:rPr>
          <w:rFonts w:eastAsia="@Batang"/>
          <w:b/>
        </w:rPr>
        <w:tab/>
      </w:r>
      <w:r w:rsidR="00D55AC4">
        <w:rPr>
          <w:rFonts w:eastAsia="@Batang"/>
        </w:rPr>
        <w:t xml:space="preserve">April </w:t>
      </w:r>
      <w:proofErr w:type="gramStart"/>
      <w:r w:rsidR="001E5225">
        <w:rPr>
          <w:rFonts w:eastAsia="@Batang"/>
        </w:rPr>
        <w:t>4</w:t>
      </w:r>
      <w:proofErr w:type="gramEnd"/>
      <w:r w:rsidR="00DC4FE4">
        <w:rPr>
          <w:rFonts w:eastAsia="@Batang"/>
        </w:rPr>
        <w:t xml:space="preserve"> 2022</w:t>
      </w:r>
    </w:p>
    <w:p w14:paraId="504CB213" w14:textId="77777777" w:rsidR="00DB0324" w:rsidRPr="00DB0324" w:rsidRDefault="00DB0324" w:rsidP="000F31C4">
      <w:pPr>
        <w:autoSpaceDE w:val="0"/>
        <w:autoSpaceDN w:val="0"/>
        <w:adjustRightInd w:val="0"/>
        <w:rPr>
          <w:rFonts w:eastAsia="@Batang"/>
          <w:b/>
          <w:bCs/>
          <w:szCs w:val="24"/>
          <w:u w:val="single"/>
        </w:rPr>
      </w:pPr>
    </w:p>
    <w:p w14:paraId="0C0D0CE6" w14:textId="03EE8F80" w:rsidR="003A31C7" w:rsidRDefault="002A6C76" w:rsidP="008A4076">
      <w:pPr>
        <w:autoSpaceDE w:val="0"/>
        <w:autoSpaceDN w:val="0"/>
        <w:adjustRightInd w:val="0"/>
        <w:rPr>
          <w:rFonts w:eastAsia="@Batang"/>
          <w:szCs w:val="24"/>
        </w:rPr>
      </w:pPr>
      <w:proofErr w:type="gramStart"/>
      <w:r>
        <w:rPr>
          <w:rFonts w:eastAsia="@Batang"/>
          <w:szCs w:val="24"/>
        </w:rPr>
        <w:t>In order to</w:t>
      </w:r>
      <w:proofErr w:type="gramEnd"/>
      <w:r>
        <w:rPr>
          <w:rFonts w:eastAsia="@Batang"/>
          <w:szCs w:val="24"/>
        </w:rPr>
        <w:t xml:space="preserve"> </w:t>
      </w:r>
      <w:r w:rsidR="007E447D">
        <w:rPr>
          <w:rFonts w:eastAsia="@Batang"/>
          <w:szCs w:val="24"/>
        </w:rPr>
        <w:t>promote</w:t>
      </w:r>
      <w:r>
        <w:rPr>
          <w:rFonts w:eastAsia="@Batang"/>
          <w:szCs w:val="24"/>
        </w:rPr>
        <w:t xml:space="preserve"> safe visitation in the Commonwealth’s </w:t>
      </w:r>
      <w:r w:rsidR="007A461B">
        <w:rPr>
          <w:rFonts w:eastAsia="@Batang"/>
          <w:szCs w:val="24"/>
        </w:rPr>
        <w:t>long-term care (</w:t>
      </w:r>
      <w:r w:rsidR="000F31C4" w:rsidRPr="00DB0ADA">
        <w:rPr>
          <w:rFonts w:eastAsia="@Batang"/>
          <w:szCs w:val="24"/>
        </w:rPr>
        <w:t>LTC</w:t>
      </w:r>
      <w:r w:rsidR="007A461B">
        <w:rPr>
          <w:rFonts w:eastAsia="@Batang"/>
          <w:szCs w:val="24"/>
        </w:rPr>
        <w:t>)</w:t>
      </w:r>
      <w:r w:rsidR="000F31C4" w:rsidRPr="00DB0ADA">
        <w:rPr>
          <w:rFonts w:eastAsia="@Batang"/>
          <w:szCs w:val="24"/>
        </w:rPr>
        <w:t xml:space="preserve"> facilities</w:t>
      </w:r>
      <w:r>
        <w:rPr>
          <w:rFonts w:eastAsia="@Batang"/>
          <w:szCs w:val="24"/>
        </w:rPr>
        <w:t xml:space="preserve">, the Massachusetts Department of Public Health (DPH) is pleased to offer additional visitor testing resources to LTC </w:t>
      </w:r>
      <w:r w:rsidR="002B35FE">
        <w:rPr>
          <w:rFonts w:eastAsia="@Batang"/>
          <w:szCs w:val="24"/>
        </w:rPr>
        <w:t>facilities</w:t>
      </w:r>
      <w:r>
        <w:rPr>
          <w:rFonts w:eastAsia="@Batang"/>
          <w:szCs w:val="24"/>
        </w:rPr>
        <w:t>.  This memorandum provides information</w:t>
      </w:r>
      <w:r w:rsidR="000F31C4" w:rsidRPr="00DB0ADA">
        <w:rPr>
          <w:rFonts w:eastAsia="@Batang"/>
          <w:szCs w:val="24"/>
        </w:rPr>
        <w:t xml:space="preserve"> on how to </w:t>
      </w:r>
      <w:r w:rsidR="00D55AC4">
        <w:rPr>
          <w:rFonts w:eastAsia="@Batang"/>
          <w:szCs w:val="24"/>
        </w:rPr>
        <w:t xml:space="preserve">use and </w:t>
      </w:r>
      <w:r w:rsidR="000F31C4" w:rsidRPr="00DB0ADA">
        <w:rPr>
          <w:rFonts w:eastAsia="@Batang"/>
          <w:szCs w:val="24"/>
        </w:rPr>
        <w:t xml:space="preserve">request </w:t>
      </w:r>
      <w:bookmarkStart w:id="0" w:name="_Hlk99601627"/>
      <w:proofErr w:type="spellStart"/>
      <w:r w:rsidR="00D55AC4">
        <w:rPr>
          <w:rFonts w:eastAsia="@Batang"/>
          <w:szCs w:val="24"/>
        </w:rPr>
        <w:t>iHealth</w:t>
      </w:r>
      <w:proofErr w:type="spellEnd"/>
      <w:r w:rsidR="00D55AC4">
        <w:rPr>
          <w:rFonts w:eastAsia="@Batang"/>
          <w:szCs w:val="24"/>
        </w:rPr>
        <w:t xml:space="preserve"> </w:t>
      </w:r>
      <w:r w:rsidR="00D55AC4" w:rsidRPr="00D55AC4">
        <w:rPr>
          <w:rFonts w:eastAsia="@Batang"/>
          <w:szCs w:val="24"/>
        </w:rPr>
        <w:t>COVID-19 Antigen Rapid Test</w:t>
      </w:r>
      <w:r w:rsidR="00D55AC4">
        <w:rPr>
          <w:rFonts w:eastAsia="@Batang"/>
          <w:szCs w:val="24"/>
        </w:rPr>
        <w:t>s</w:t>
      </w:r>
      <w:bookmarkEnd w:id="0"/>
      <w:r w:rsidR="00D55AC4">
        <w:rPr>
          <w:rFonts w:eastAsia="@Batang"/>
          <w:szCs w:val="24"/>
        </w:rPr>
        <w:t xml:space="preserve"> for visitor testing and distribution to visitors.  </w:t>
      </w:r>
    </w:p>
    <w:p w14:paraId="0867E72D" w14:textId="77777777" w:rsidR="003A31C7" w:rsidRDefault="003A31C7" w:rsidP="008A4076">
      <w:pPr>
        <w:autoSpaceDE w:val="0"/>
        <w:autoSpaceDN w:val="0"/>
        <w:adjustRightInd w:val="0"/>
        <w:rPr>
          <w:rFonts w:eastAsia="@Batang"/>
          <w:szCs w:val="24"/>
        </w:rPr>
      </w:pPr>
    </w:p>
    <w:p w14:paraId="02C0BCCD" w14:textId="7203CB02" w:rsidR="001E5225" w:rsidRDefault="00DB0ADA" w:rsidP="003A31C7">
      <w:pPr>
        <w:rPr>
          <w:szCs w:val="24"/>
        </w:rPr>
      </w:pPr>
      <w:r w:rsidRPr="00DB0ADA">
        <w:rPr>
          <w:rFonts w:eastAsia="@Batang"/>
        </w:rPr>
        <w:t xml:space="preserve">The </w:t>
      </w:r>
      <w:proofErr w:type="spellStart"/>
      <w:r w:rsidR="008A4076" w:rsidRPr="008A4076">
        <w:rPr>
          <w:rFonts w:eastAsia="@Batang"/>
        </w:rPr>
        <w:t>iHealth</w:t>
      </w:r>
      <w:proofErr w:type="spellEnd"/>
      <w:r w:rsidR="008A4076" w:rsidRPr="008A4076">
        <w:rPr>
          <w:rFonts w:eastAsia="@Batang"/>
        </w:rPr>
        <w:t xml:space="preserve"> COVID-19 Antigen Rapid Tests </w:t>
      </w:r>
      <w:r w:rsidRPr="00DB0ADA">
        <w:rPr>
          <w:rFonts w:eastAsia="@Batang"/>
        </w:rPr>
        <w:t xml:space="preserve">test received Emergency Use Authorization (EUA) from the Food and Drug Administration (FDA) in </w:t>
      </w:r>
      <w:r w:rsidR="008A4076">
        <w:rPr>
          <w:rFonts w:eastAsia="@Batang"/>
        </w:rPr>
        <w:t xml:space="preserve">December </w:t>
      </w:r>
      <w:r w:rsidR="00DA0B94">
        <w:rPr>
          <w:rFonts w:eastAsia="@Batang"/>
        </w:rPr>
        <w:t>202</w:t>
      </w:r>
      <w:r w:rsidR="008A4076">
        <w:rPr>
          <w:rFonts w:eastAsia="@Batang"/>
        </w:rPr>
        <w:t>1</w:t>
      </w:r>
      <w:r w:rsidRPr="00DB0ADA">
        <w:rPr>
          <w:rFonts w:eastAsia="@Batang"/>
        </w:rPr>
        <w:t xml:space="preserve">. The test is performed on a nasal swab and delivers results in just 15 </w:t>
      </w:r>
      <w:proofErr w:type="gramStart"/>
      <w:r w:rsidRPr="00DB0ADA">
        <w:rPr>
          <w:rFonts w:eastAsia="@Batang"/>
        </w:rPr>
        <w:t>minutes</w:t>
      </w:r>
      <w:r w:rsidR="0041160C">
        <w:rPr>
          <w:rFonts w:eastAsia="@Batang"/>
        </w:rPr>
        <w:t>.</w:t>
      </w:r>
      <w:r w:rsidR="0082735E">
        <w:rPr>
          <w:rFonts w:eastAsia="@Batang"/>
        </w:rPr>
        <w:t>.</w:t>
      </w:r>
      <w:proofErr w:type="gramEnd"/>
      <w:r w:rsidR="003A31C7">
        <w:rPr>
          <w:rFonts w:eastAsia="@Batang"/>
        </w:rPr>
        <w:t xml:space="preserve"> </w:t>
      </w:r>
      <w:r w:rsidR="003A31C7">
        <w:rPr>
          <w:szCs w:val="24"/>
        </w:rPr>
        <w:t>F</w:t>
      </w:r>
      <w:r w:rsidR="003A31C7" w:rsidRPr="00DB0ADA">
        <w:rPr>
          <w:szCs w:val="24"/>
        </w:rPr>
        <w:t xml:space="preserve">urther information about the proper use of the </w:t>
      </w:r>
      <w:proofErr w:type="spellStart"/>
      <w:r w:rsidR="003A31C7">
        <w:rPr>
          <w:szCs w:val="24"/>
        </w:rPr>
        <w:t>iHealth</w:t>
      </w:r>
      <w:proofErr w:type="spellEnd"/>
      <w:r w:rsidR="003A31C7">
        <w:rPr>
          <w:szCs w:val="24"/>
        </w:rPr>
        <w:t xml:space="preserve"> COVID-19 Rapid Antigen Tests</w:t>
      </w:r>
      <w:r w:rsidR="003A31C7" w:rsidRPr="00DB0ADA">
        <w:rPr>
          <w:szCs w:val="24"/>
        </w:rPr>
        <w:t xml:space="preserve"> can be found on the package insert</w:t>
      </w:r>
      <w:r w:rsidR="003A31C7">
        <w:rPr>
          <w:szCs w:val="24"/>
        </w:rPr>
        <w:t xml:space="preserve">, </w:t>
      </w:r>
      <w:r w:rsidR="00DC3803">
        <w:rPr>
          <w:szCs w:val="24"/>
        </w:rPr>
        <w:t xml:space="preserve">or </w:t>
      </w:r>
      <w:r w:rsidR="003A31C7">
        <w:rPr>
          <w:szCs w:val="24"/>
        </w:rPr>
        <w:t>on the manufacturer’s website:</w:t>
      </w:r>
      <w:r w:rsidR="003A31C7" w:rsidRPr="006F493A">
        <w:t xml:space="preserve"> </w:t>
      </w:r>
      <w:hyperlink r:id="rId9" w:history="1">
        <w:r w:rsidR="003A31C7" w:rsidRPr="00DA6E21">
          <w:rPr>
            <w:rStyle w:val="Hyperlink"/>
            <w:szCs w:val="24"/>
          </w:rPr>
          <w:t>https://ihealthlabs.com/</w:t>
        </w:r>
      </w:hyperlink>
      <w:r w:rsidR="003A31C7">
        <w:rPr>
          <w:rStyle w:val="Hyperlink"/>
          <w:szCs w:val="24"/>
        </w:rPr>
        <w:t xml:space="preserve"> </w:t>
      </w:r>
      <w:r w:rsidR="003A31C7" w:rsidRPr="00DB0ADA">
        <w:rPr>
          <w:szCs w:val="24"/>
        </w:rPr>
        <w:t xml:space="preserve">and </w:t>
      </w:r>
      <w:hyperlink r:id="rId10" w:history="1">
        <w:r w:rsidR="003A31C7" w:rsidRPr="00DB0ADA">
          <w:rPr>
            <w:color w:val="0000FF"/>
            <w:szCs w:val="24"/>
            <w:u w:val="single"/>
          </w:rPr>
          <w:t>on the FDA website</w:t>
        </w:r>
      </w:hyperlink>
      <w:r w:rsidR="003A31C7" w:rsidRPr="00DB0ADA">
        <w:rPr>
          <w:szCs w:val="24"/>
        </w:rPr>
        <w:t xml:space="preserve">. </w:t>
      </w:r>
      <w:bookmarkStart w:id="1" w:name="_Hlk99946367"/>
    </w:p>
    <w:bookmarkEnd w:id="1"/>
    <w:p w14:paraId="2A45BBFD" w14:textId="333B380C" w:rsidR="008A4076" w:rsidRDefault="008A4076" w:rsidP="003A31C7">
      <w:pPr>
        <w:rPr>
          <w:szCs w:val="24"/>
        </w:rPr>
      </w:pPr>
    </w:p>
    <w:p w14:paraId="061392C9" w14:textId="77777777" w:rsidR="00DC3803" w:rsidRDefault="00DC3803" w:rsidP="003A31C7">
      <w:pPr>
        <w:rPr>
          <w:rFonts w:eastAsia="@Batang"/>
          <w:b/>
          <w:bCs/>
          <w:szCs w:val="24"/>
          <w:u w:val="single"/>
        </w:rPr>
      </w:pPr>
    </w:p>
    <w:p w14:paraId="567410F0" w14:textId="2834CE36" w:rsidR="002B35FE" w:rsidRDefault="002B35FE" w:rsidP="003A31C7">
      <w:r>
        <w:t xml:space="preserve">LTC facilities should store </w:t>
      </w:r>
      <w:proofErr w:type="spellStart"/>
      <w:r>
        <w:t>iHealth</w:t>
      </w:r>
      <w:proofErr w:type="spellEnd"/>
      <w:r>
        <w:t xml:space="preserve"> COVID-19 Antigen Rapid Test in a dry location between 36-86 °F (2-30 °C). They should ensure all test components are at room temperature 65-86 °F (18-30 °C) before use. The COVID-19 Test Card inside the foil pouch should be used within 1 hour after opening. The </w:t>
      </w:r>
      <w:proofErr w:type="spellStart"/>
      <w:r>
        <w:t>iHealth</w:t>
      </w:r>
      <w:proofErr w:type="spellEnd"/>
      <w:r>
        <w:t>® COVID-19 Antigen Rapid Test is stable before the expiration date marked on the packaging.</w:t>
      </w:r>
      <w:r w:rsidR="0041160C">
        <w:t xml:space="preserve"> </w:t>
      </w:r>
      <w:r w:rsidR="001E5225">
        <w:t>T</w:t>
      </w:r>
      <w:r w:rsidR="001E5225" w:rsidRPr="001E5225">
        <w:t>ests</w:t>
      </w:r>
      <w:r w:rsidR="001E5225">
        <w:t xml:space="preserve"> with</w:t>
      </w:r>
      <w:r w:rsidR="006C0C72">
        <w:t xml:space="preserve"> expiration dates on or before September 29, 2022</w:t>
      </w:r>
      <w:r w:rsidR="001E5225">
        <w:t xml:space="preserve"> </w:t>
      </w:r>
      <w:r w:rsidR="001E5225" w:rsidRPr="001E5225">
        <w:t xml:space="preserve"> may be used for an additional three months past the expiration date stamped on the box; more information may be found here</w:t>
      </w:r>
      <w:r w:rsidR="001E5225">
        <w:t>:</w:t>
      </w:r>
      <w:r w:rsidR="001E5225" w:rsidRPr="001E5225">
        <w:t xml:space="preserve"> </w:t>
      </w:r>
      <w:hyperlink r:id="rId11" w:history="1">
        <w:r w:rsidR="009C570C" w:rsidRPr="00172670">
          <w:rPr>
            <w:rStyle w:val="Hyperlink"/>
          </w:rPr>
          <w:t>https://www.mass.gov/lists/covid-19-self-test-at-home-instructions-graphic</w:t>
        </w:r>
      </w:hyperlink>
    </w:p>
    <w:p w14:paraId="26E3CF26" w14:textId="77777777" w:rsidR="00DB0ADA" w:rsidRPr="00DB0ADA" w:rsidRDefault="00DB0ADA" w:rsidP="00DB0ADA">
      <w:pPr>
        <w:rPr>
          <w:rFonts w:eastAsia="@Batang"/>
          <w:szCs w:val="24"/>
        </w:rPr>
      </w:pPr>
    </w:p>
    <w:p w14:paraId="07009270" w14:textId="1C1AEDC5" w:rsidR="00DB0ADA" w:rsidRPr="00DB0ADA" w:rsidRDefault="002B35FE" w:rsidP="00DB0ADA">
      <w:pPr>
        <w:rPr>
          <w:rFonts w:eastAsia="@Batang"/>
          <w:szCs w:val="24"/>
        </w:rPr>
      </w:pPr>
      <w:r>
        <w:rPr>
          <w:rFonts w:eastAsia="@Batang"/>
          <w:szCs w:val="24"/>
        </w:rPr>
        <w:t xml:space="preserve">LTC facilities should distribute </w:t>
      </w:r>
      <w:proofErr w:type="spellStart"/>
      <w:r w:rsidR="00AA167B">
        <w:rPr>
          <w:rFonts w:eastAsia="@Batang"/>
          <w:szCs w:val="24"/>
        </w:rPr>
        <w:t>iHealth</w:t>
      </w:r>
      <w:proofErr w:type="spellEnd"/>
      <w:r w:rsidR="00AA167B">
        <w:rPr>
          <w:rFonts w:eastAsia="@Batang"/>
          <w:szCs w:val="24"/>
        </w:rPr>
        <w:t xml:space="preserve"> COVID-19 Antigen Rapid Tests</w:t>
      </w:r>
      <w:r w:rsidR="002805B5">
        <w:rPr>
          <w:rFonts w:eastAsia="@Batang"/>
          <w:szCs w:val="24"/>
        </w:rPr>
        <w:t xml:space="preserve"> in unopened boxes of two tests</w:t>
      </w:r>
      <w:r w:rsidR="00AA167B">
        <w:rPr>
          <w:rFonts w:eastAsia="@Batang"/>
          <w:szCs w:val="24"/>
        </w:rPr>
        <w:t xml:space="preserve"> </w:t>
      </w:r>
      <w:r w:rsidR="004937DF">
        <w:rPr>
          <w:rFonts w:eastAsia="@Batang"/>
          <w:szCs w:val="24"/>
        </w:rPr>
        <w:t xml:space="preserve">per box </w:t>
      </w:r>
      <w:r w:rsidR="00AA167B">
        <w:rPr>
          <w:rFonts w:eastAsia="@Batang"/>
          <w:szCs w:val="24"/>
        </w:rPr>
        <w:t>to visitors to promote safe visitation</w:t>
      </w:r>
      <w:r w:rsidR="008A4076">
        <w:rPr>
          <w:rFonts w:eastAsia="@Batang"/>
          <w:szCs w:val="24"/>
        </w:rPr>
        <w:t xml:space="preserve">, or, if requested by the visitor, administered upon arrival at the facility. </w:t>
      </w:r>
      <w:r w:rsidR="00AA167B">
        <w:rPr>
          <w:rFonts w:eastAsia="@Batang"/>
          <w:szCs w:val="24"/>
        </w:rPr>
        <w:t>These tests</w:t>
      </w:r>
      <w:r w:rsidR="00DB0ADA" w:rsidRPr="00DB0ADA">
        <w:rPr>
          <w:rFonts w:eastAsia="@Batang"/>
          <w:szCs w:val="24"/>
        </w:rPr>
        <w:t xml:space="preserve"> </w:t>
      </w:r>
      <w:r w:rsidR="0041160C">
        <w:rPr>
          <w:rFonts w:eastAsia="@Batang"/>
          <w:szCs w:val="24"/>
        </w:rPr>
        <w:t>are not intended for us</w:t>
      </w:r>
      <w:r w:rsidR="00DB0ADA" w:rsidRPr="00DB0ADA">
        <w:rPr>
          <w:rFonts w:eastAsia="@Batang"/>
          <w:szCs w:val="24"/>
        </w:rPr>
        <w:t xml:space="preserve">e </w:t>
      </w:r>
      <w:r w:rsidR="0041160C">
        <w:rPr>
          <w:rFonts w:eastAsia="@Batang"/>
          <w:szCs w:val="24"/>
        </w:rPr>
        <w:t xml:space="preserve">by </w:t>
      </w:r>
      <w:r w:rsidR="00AA167B">
        <w:rPr>
          <w:rFonts w:eastAsia="@Batang"/>
          <w:szCs w:val="24"/>
        </w:rPr>
        <w:t xml:space="preserve">staff or residents, including </w:t>
      </w:r>
      <w:r w:rsidR="00DB0ADA" w:rsidRPr="00DB0ADA">
        <w:rPr>
          <w:rFonts w:eastAsia="@Batang"/>
          <w:szCs w:val="24"/>
        </w:rPr>
        <w:t>broad scale asymptomatic testing of staff and residents when there are no resident or staff cases in the facility.</w:t>
      </w:r>
    </w:p>
    <w:p w14:paraId="3BFE8890" w14:textId="77777777" w:rsidR="00DB0ADA" w:rsidRPr="00DB0ADA" w:rsidRDefault="00DB0ADA" w:rsidP="00DB0ADA">
      <w:pPr>
        <w:rPr>
          <w:rFonts w:eastAsia="@Batang"/>
          <w:szCs w:val="24"/>
        </w:rPr>
      </w:pPr>
    </w:p>
    <w:p w14:paraId="732CF003" w14:textId="0E5DDE64" w:rsidR="00DB0ADA" w:rsidRPr="00DB0ADA" w:rsidRDefault="00DB0ADA" w:rsidP="008A4076">
      <w:pPr>
        <w:contextualSpacing/>
      </w:pPr>
      <w:r w:rsidRPr="00DB0ADA">
        <w:rPr>
          <w:color w:val="000000"/>
          <w:szCs w:val="24"/>
        </w:rPr>
        <w:t xml:space="preserve">If a </w:t>
      </w:r>
      <w:r w:rsidR="00AA167B">
        <w:rPr>
          <w:color w:val="000000"/>
          <w:szCs w:val="24"/>
        </w:rPr>
        <w:t xml:space="preserve">visitor reports </w:t>
      </w:r>
      <w:r w:rsidR="00F95D2B">
        <w:rPr>
          <w:color w:val="000000"/>
          <w:szCs w:val="24"/>
        </w:rPr>
        <w:t xml:space="preserve">to the LTC facility </w:t>
      </w:r>
      <w:r w:rsidR="00AA167B">
        <w:rPr>
          <w:color w:val="000000"/>
          <w:szCs w:val="24"/>
        </w:rPr>
        <w:t xml:space="preserve">that </w:t>
      </w:r>
      <w:r w:rsidR="00B51E96">
        <w:rPr>
          <w:color w:val="000000"/>
          <w:szCs w:val="24"/>
        </w:rPr>
        <w:t>they have</w:t>
      </w:r>
      <w:r w:rsidRPr="00DB0ADA">
        <w:rPr>
          <w:color w:val="000000"/>
          <w:szCs w:val="24"/>
        </w:rPr>
        <w:t xml:space="preserve"> a positive </w:t>
      </w:r>
      <w:proofErr w:type="spellStart"/>
      <w:r w:rsidR="008A4076">
        <w:rPr>
          <w:color w:val="000000"/>
          <w:szCs w:val="24"/>
        </w:rPr>
        <w:t>iHealth</w:t>
      </w:r>
      <w:proofErr w:type="spellEnd"/>
      <w:r w:rsidR="008A4076">
        <w:rPr>
          <w:color w:val="000000"/>
          <w:szCs w:val="24"/>
        </w:rPr>
        <w:t xml:space="preserve"> COVID-19 Antigen Rapid T</w:t>
      </w:r>
      <w:r w:rsidRPr="00DB0ADA">
        <w:rPr>
          <w:color w:val="000000"/>
          <w:szCs w:val="24"/>
        </w:rPr>
        <w:t>est</w:t>
      </w:r>
      <w:r w:rsidR="002B35FE">
        <w:rPr>
          <w:color w:val="000000"/>
          <w:szCs w:val="24"/>
        </w:rPr>
        <w:t>, the LTC facility should advise the visitor to</w:t>
      </w:r>
      <w:r w:rsidRPr="00DB0ADA">
        <w:rPr>
          <w:color w:val="000000"/>
          <w:szCs w:val="24"/>
        </w:rPr>
        <w:t xml:space="preserve"> isolate at home</w:t>
      </w:r>
      <w:r w:rsidR="00E61792">
        <w:rPr>
          <w:color w:val="000000"/>
          <w:szCs w:val="24"/>
        </w:rPr>
        <w:t xml:space="preserve"> and follow </w:t>
      </w:r>
      <w:r w:rsidR="008A4076">
        <w:rPr>
          <w:color w:val="000000"/>
          <w:szCs w:val="24"/>
        </w:rPr>
        <w:t xml:space="preserve">up with their </w:t>
      </w:r>
      <w:r w:rsidR="0041160C">
        <w:rPr>
          <w:color w:val="000000"/>
          <w:szCs w:val="24"/>
        </w:rPr>
        <w:t xml:space="preserve">health care </w:t>
      </w:r>
      <w:r w:rsidR="008A4076">
        <w:rPr>
          <w:color w:val="000000"/>
          <w:szCs w:val="24"/>
        </w:rPr>
        <w:t>provider.</w:t>
      </w:r>
    </w:p>
    <w:p w14:paraId="49CFE829" w14:textId="7D1FBD27" w:rsidR="00DB0ADA" w:rsidRPr="00DB0ADA" w:rsidRDefault="00DB0ADA" w:rsidP="00AA167B">
      <w:pPr>
        <w:ind w:left="720"/>
        <w:rPr>
          <w:szCs w:val="24"/>
        </w:rPr>
      </w:pPr>
    </w:p>
    <w:p w14:paraId="553E9C00" w14:textId="18669F81" w:rsidR="00AA167B" w:rsidRPr="00DB0ADA" w:rsidRDefault="00DB0ADA" w:rsidP="00AA167B">
      <w:pPr>
        <w:rPr>
          <w:szCs w:val="24"/>
        </w:rPr>
      </w:pPr>
      <w:r w:rsidRPr="00DB0ADA">
        <w:rPr>
          <w:szCs w:val="24"/>
        </w:rPr>
        <w:t xml:space="preserve">It is the responsibility of the LTC facility to ensure that </w:t>
      </w:r>
      <w:r w:rsidR="003E2EA9">
        <w:rPr>
          <w:szCs w:val="24"/>
        </w:rPr>
        <w:t xml:space="preserve">any </w:t>
      </w:r>
      <w:r w:rsidRPr="00DB0ADA">
        <w:rPr>
          <w:szCs w:val="24"/>
        </w:rPr>
        <w:t>staff administering tests have completed the necessary training requirements</w:t>
      </w:r>
      <w:r w:rsidR="003E2EA9">
        <w:rPr>
          <w:szCs w:val="24"/>
        </w:rPr>
        <w:t xml:space="preserve"> and can demonstrate competency.</w:t>
      </w:r>
      <w:r w:rsidR="00AA167B" w:rsidRPr="00AA167B">
        <w:rPr>
          <w:szCs w:val="24"/>
        </w:rPr>
        <w:t xml:space="preserve"> </w:t>
      </w:r>
      <w:r w:rsidR="00AA167B" w:rsidRPr="00DB0ADA">
        <w:rPr>
          <w:szCs w:val="24"/>
        </w:rPr>
        <w:t>Staff administering tests must change gloves between handling of specimens</w:t>
      </w:r>
      <w:r w:rsidR="00AA167B">
        <w:rPr>
          <w:szCs w:val="24"/>
        </w:rPr>
        <w:t xml:space="preserve"> and should r</w:t>
      </w:r>
      <w:r w:rsidR="00AA167B" w:rsidRPr="00DB0ADA">
        <w:rPr>
          <w:szCs w:val="24"/>
        </w:rPr>
        <w:t xml:space="preserve">efer to </w:t>
      </w:r>
      <w:hyperlink r:id="rId12" w:history="1">
        <w:r w:rsidR="00AA167B" w:rsidRPr="00DB0ADA">
          <w:rPr>
            <w:color w:val="0000FF"/>
            <w:szCs w:val="24"/>
            <w:u w:val="single"/>
          </w:rPr>
          <w:t>DPH Comprehensive PPE Guidance</w:t>
        </w:r>
      </w:hyperlink>
      <w:r w:rsidR="00AA167B" w:rsidRPr="00DB0ADA">
        <w:rPr>
          <w:szCs w:val="24"/>
        </w:rPr>
        <w:t xml:space="preserve"> for further information regarding the proper use of PPE.</w:t>
      </w:r>
    </w:p>
    <w:p w14:paraId="3C4A484E" w14:textId="77777777" w:rsidR="00DB0ADA" w:rsidRPr="00DB0ADA" w:rsidRDefault="00DB0ADA" w:rsidP="00DB0ADA">
      <w:pPr>
        <w:rPr>
          <w:szCs w:val="24"/>
        </w:rPr>
      </w:pPr>
    </w:p>
    <w:p w14:paraId="756FD48D" w14:textId="003B741E" w:rsidR="00DB0ADA" w:rsidRDefault="00DB0ADA" w:rsidP="00DB0ADA">
      <w:pPr>
        <w:rPr>
          <w:rFonts w:eastAsia="@Batang"/>
          <w:szCs w:val="24"/>
        </w:rPr>
      </w:pPr>
      <w:r w:rsidRPr="00DB0ADA">
        <w:rPr>
          <w:rFonts w:eastAsia="@Batang"/>
          <w:szCs w:val="24"/>
        </w:rPr>
        <w:t xml:space="preserve">LTC </w:t>
      </w:r>
      <w:r w:rsidR="002B35FE">
        <w:rPr>
          <w:rFonts w:eastAsia="@Batang"/>
          <w:szCs w:val="24"/>
        </w:rPr>
        <w:t>f</w:t>
      </w:r>
      <w:r w:rsidRPr="00DB0ADA">
        <w:rPr>
          <w:rFonts w:eastAsia="@Batang"/>
          <w:szCs w:val="24"/>
        </w:rPr>
        <w:t xml:space="preserve">acilities that receive any </w:t>
      </w:r>
      <w:proofErr w:type="spellStart"/>
      <w:r w:rsidR="003E2EA9">
        <w:rPr>
          <w:rFonts w:eastAsia="@Batang"/>
          <w:szCs w:val="24"/>
        </w:rPr>
        <w:t>iHealth</w:t>
      </w:r>
      <w:proofErr w:type="spellEnd"/>
      <w:r w:rsidR="003E2EA9">
        <w:rPr>
          <w:rFonts w:eastAsia="@Batang"/>
          <w:szCs w:val="24"/>
        </w:rPr>
        <w:t xml:space="preserve"> </w:t>
      </w:r>
      <w:r w:rsidR="00AA167B">
        <w:rPr>
          <w:rFonts w:eastAsia="@Batang"/>
          <w:szCs w:val="24"/>
        </w:rPr>
        <w:t>COVID-19 R</w:t>
      </w:r>
      <w:r w:rsidRPr="00DB0ADA">
        <w:rPr>
          <w:rFonts w:eastAsia="@Batang"/>
          <w:szCs w:val="24"/>
        </w:rPr>
        <w:t xml:space="preserve">apid </w:t>
      </w:r>
      <w:r w:rsidR="00AA167B">
        <w:rPr>
          <w:rFonts w:eastAsia="@Batang"/>
          <w:szCs w:val="24"/>
        </w:rPr>
        <w:t>A</w:t>
      </w:r>
      <w:r w:rsidRPr="00DB0ADA">
        <w:rPr>
          <w:rFonts w:eastAsia="@Batang"/>
          <w:szCs w:val="24"/>
        </w:rPr>
        <w:t xml:space="preserve">ntigen </w:t>
      </w:r>
      <w:r w:rsidR="00AA167B">
        <w:rPr>
          <w:rFonts w:eastAsia="@Batang"/>
          <w:szCs w:val="24"/>
        </w:rPr>
        <w:t>T</w:t>
      </w:r>
      <w:r w:rsidRPr="00DB0ADA">
        <w:rPr>
          <w:rFonts w:eastAsia="@Batang"/>
          <w:szCs w:val="24"/>
        </w:rPr>
        <w:t>est</w:t>
      </w:r>
      <w:r w:rsidR="003E2EA9">
        <w:rPr>
          <w:rFonts w:eastAsia="@Batang"/>
          <w:szCs w:val="24"/>
        </w:rPr>
        <w:t xml:space="preserve">s </w:t>
      </w:r>
      <w:r w:rsidR="003E2EA9" w:rsidRPr="002A6C76">
        <w:rPr>
          <w:rFonts w:eastAsia="@Batang"/>
          <w:b/>
          <w:bCs/>
          <w:szCs w:val="24"/>
        </w:rPr>
        <w:t>do not</w:t>
      </w:r>
      <w:r w:rsidR="003E2EA9">
        <w:rPr>
          <w:rFonts w:eastAsia="@Batang"/>
          <w:szCs w:val="24"/>
        </w:rPr>
        <w:t xml:space="preserve"> need to </w:t>
      </w:r>
      <w:r w:rsidRPr="00DB0ADA">
        <w:rPr>
          <w:rFonts w:eastAsia="@Batang"/>
          <w:szCs w:val="24"/>
        </w:rPr>
        <w:t xml:space="preserve">report test results to the </w:t>
      </w:r>
      <w:r w:rsidR="002B35FE">
        <w:rPr>
          <w:rFonts w:eastAsia="@Batang"/>
          <w:szCs w:val="24"/>
        </w:rPr>
        <w:t xml:space="preserve">DPH’s </w:t>
      </w:r>
      <w:r w:rsidRPr="00DB0ADA">
        <w:rPr>
          <w:rFonts w:eastAsia="@Batang"/>
          <w:szCs w:val="24"/>
        </w:rPr>
        <w:t>Bureau of Infectious Diseases and Laboratory Sciences (BIDLS)</w:t>
      </w:r>
      <w:r w:rsidR="003E2EA9">
        <w:rPr>
          <w:rFonts w:eastAsia="@Batang"/>
          <w:szCs w:val="24"/>
        </w:rPr>
        <w:t xml:space="preserve"> because </w:t>
      </w:r>
      <w:r w:rsidR="002B35FE">
        <w:rPr>
          <w:rFonts w:eastAsia="@Batang"/>
          <w:szCs w:val="24"/>
        </w:rPr>
        <w:t xml:space="preserve">these tests </w:t>
      </w:r>
      <w:r w:rsidR="003E2EA9">
        <w:rPr>
          <w:rFonts w:eastAsia="@Batang"/>
          <w:szCs w:val="24"/>
        </w:rPr>
        <w:t>are over the counter</w:t>
      </w:r>
      <w:r w:rsidR="00AA167B">
        <w:rPr>
          <w:rFonts w:eastAsia="@Batang"/>
          <w:szCs w:val="24"/>
        </w:rPr>
        <w:t xml:space="preserve"> tests</w:t>
      </w:r>
      <w:r w:rsidR="003E2EA9">
        <w:rPr>
          <w:rFonts w:eastAsia="@Batang"/>
          <w:szCs w:val="24"/>
        </w:rPr>
        <w:t xml:space="preserve"> and do not require a facility to have a CLIA certificate of waiver to administer or distribute to visitors</w:t>
      </w:r>
      <w:r w:rsidRPr="00DB0ADA">
        <w:rPr>
          <w:rFonts w:eastAsia="@Batang"/>
          <w:szCs w:val="24"/>
        </w:rPr>
        <w:t xml:space="preserve">. </w:t>
      </w:r>
    </w:p>
    <w:p w14:paraId="4D788806" w14:textId="77777777" w:rsidR="000D2771" w:rsidRDefault="000D2771" w:rsidP="00DB0ADA">
      <w:pPr>
        <w:rPr>
          <w:rFonts w:eastAsia="@Batang"/>
          <w:szCs w:val="24"/>
        </w:rPr>
      </w:pPr>
    </w:p>
    <w:p w14:paraId="5E3A0DAC" w14:textId="77777777" w:rsidR="00DB0ADA" w:rsidRPr="00DB0ADA" w:rsidRDefault="00DB0ADA" w:rsidP="00DB0ADA">
      <w:pPr>
        <w:rPr>
          <w:rFonts w:eastAsia="@Batang"/>
          <w:szCs w:val="24"/>
        </w:rPr>
      </w:pPr>
    </w:p>
    <w:p w14:paraId="7E99C9F2" w14:textId="451F3E83" w:rsidR="0082735E" w:rsidRPr="0082735E" w:rsidRDefault="0082735E" w:rsidP="00DB0ADA">
      <w:pPr>
        <w:rPr>
          <w:rFonts w:eastAsia="@Batang"/>
          <w:b/>
          <w:bCs/>
          <w:u w:val="single"/>
        </w:rPr>
      </w:pPr>
      <w:r w:rsidRPr="0082735E">
        <w:rPr>
          <w:rFonts w:eastAsia="@Batang"/>
          <w:b/>
          <w:bCs/>
          <w:u w:val="single"/>
        </w:rPr>
        <w:t xml:space="preserve">How to Request: </w:t>
      </w:r>
    </w:p>
    <w:p w14:paraId="5FBBF32B" w14:textId="77777777" w:rsidR="0082735E" w:rsidRDefault="0082735E" w:rsidP="00DB0ADA">
      <w:pPr>
        <w:rPr>
          <w:rFonts w:eastAsia="@Batang"/>
        </w:rPr>
      </w:pPr>
    </w:p>
    <w:p w14:paraId="321C6B1B" w14:textId="3AAF8FD2" w:rsidR="00DB0ADA" w:rsidRDefault="00DB0ADA" w:rsidP="00DB0ADA">
      <w:pPr>
        <w:rPr>
          <w:rFonts w:eastAsia="@Batang"/>
        </w:rPr>
      </w:pPr>
      <w:r w:rsidRPr="00DB0ADA">
        <w:rPr>
          <w:rFonts w:eastAsia="@Batang"/>
        </w:rPr>
        <w:t xml:space="preserve">Maximum order volumes for LTC facilities requesting </w:t>
      </w:r>
      <w:proofErr w:type="spellStart"/>
      <w:r w:rsidR="00D55AC4" w:rsidRPr="00D55AC4">
        <w:rPr>
          <w:rFonts w:eastAsia="@Batang"/>
        </w:rPr>
        <w:t>iHealth</w:t>
      </w:r>
      <w:proofErr w:type="spellEnd"/>
      <w:r w:rsidR="00D55AC4" w:rsidRPr="00D55AC4">
        <w:rPr>
          <w:rFonts w:eastAsia="@Batang"/>
        </w:rPr>
        <w:t xml:space="preserve"> COVID-19 Antigen Rapid </w:t>
      </w:r>
      <w:r w:rsidR="002A6C76">
        <w:rPr>
          <w:rFonts w:eastAsia="@Batang"/>
        </w:rPr>
        <w:t xml:space="preserve">Tests </w:t>
      </w:r>
      <w:r w:rsidRPr="00DB0ADA">
        <w:rPr>
          <w:rFonts w:eastAsia="@Batang"/>
        </w:rPr>
        <w:t xml:space="preserve">from </w:t>
      </w:r>
      <w:r w:rsidR="002B35FE">
        <w:rPr>
          <w:rFonts w:eastAsia="@Batang"/>
        </w:rPr>
        <w:t>DPH</w:t>
      </w:r>
      <w:r w:rsidRPr="00DB0ADA">
        <w:rPr>
          <w:rFonts w:eastAsia="@Batang"/>
        </w:rPr>
        <w:t xml:space="preserve"> are calculated based on the number of licensed beds at each facility. </w:t>
      </w:r>
      <w:r w:rsidR="002B35FE">
        <w:rPr>
          <w:rFonts w:eastAsia="@Batang"/>
        </w:rPr>
        <w:t>LTC f</w:t>
      </w:r>
      <w:r w:rsidRPr="00DB0ADA">
        <w:rPr>
          <w:rFonts w:eastAsia="@Batang"/>
        </w:rPr>
        <w:t>acilities are permitted to receive</w:t>
      </w:r>
      <w:r w:rsidR="00D55AC4">
        <w:rPr>
          <w:rFonts w:eastAsia="@Batang"/>
        </w:rPr>
        <w:t xml:space="preserve"> a one-ti</w:t>
      </w:r>
      <w:r w:rsidR="002A6C76">
        <w:rPr>
          <w:rFonts w:eastAsia="@Batang"/>
        </w:rPr>
        <w:t>me</w:t>
      </w:r>
      <w:r w:rsidR="00D55AC4">
        <w:rPr>
          <w:rFonts w:eastAsia="@Batang"/>
        </w:rPr>
        <w:t xml:space="preserve"> distribution of</w:t>
      </w:r>
      <w:r w:rsidRPr="00DB0ADA">
        <w:rPr>
          <w:rFonts w:eastAsia="@Batang"/>
        </w:rPr>
        <w:t xml:space="preserve"> up to </w:t>
      </w:r>
      <w:r w:rsidR="00D55AC4">
        <w:rPr>
          <w:rFonts w:eastAsia="@Batang"/>
        </w:rPr>
        <w:t>twelve</w:t>
      </w:r>
      <w:r w:rsidR="00B4168E" w:rsidRPr="00DB0ADA">
        <w:rPr>
          <w:rFonts w:eastAsia="@Batang"/>
        </w:rPr>
        <w:t xml:space="preserve"> </w:t>
      </w:r>
      <w:r w:rsidRPr="00DB0ADA">
        <w:rPr>
          <w:rFonts w:eastAsia="@Batang"/>
        </w:rPr>
        <w:t>test</w:t>
      </w:r>
      <w:r w:rsidR="00B4168E">
        <w:rPr>
          <w:rFonts w:eastAsia="@Batang"/>
        </w:rPr>
        <w:t>s</w:t>
      </w:r>
      <w:r w:rsidR="004937DF">
        <w:rPr>
          <w:rFonts w:eastAsia="@Batang"/>
        </w:rPr>
        <w:t xml:space="preserve"> (2 tests per box)</w:t>
      </w:r>
      <w:r w:rsidRPr="00DB0ADA">
        <w:rPr>
          <w:rFonts w:eastAsia="@Batang"/>
        </w:rPr>
        <w:t xml:space="preserve"> per licensed bed</w:t>
      </w:r>
      <w:r w:rsidR="00D55AC4">
        <w:rPr>
          <w:rFonts w:eastAsia="@Batang"/>
        </w:rPr>
        <w:t xml:space="preserve">.  </w:t>
      </w:r>
      <w:r w:rsidRPr="00DB0ADA">
        <w:rPr>
          <w:rFonts w:eastAsia="@Batang"/>
        </w:rPr>
        <w:t xml:space="preserve">Facilities </w:t>
      </w:r>
      <w:r w:rsidR="006C0C72">
        <w:rPr>
          <w:rFonts w:eastAsia="@Batang"/>
        </w:rPr>
        <w:t xml:space="preserve">may only request tests once.  </w:t>
      </w:r>
    </w:p>
    <w:p w14:paraId="1967F373" w14:textId="43F334D4" w:rsidR="002A6C76" w:rsidRDefault="002A6C76" w:rsidP="00DB0ADA">
      <w:pPr>
        <w:rPr>
          <w:rFonts w:eastAsia="@Batang"/>
        </w:rPr>
      </w:pPr>
    </w:p>
    <w:p w14:paraId="2E1BBE6B" w14:textId="46E55B8E" w:rsidR="009C570C" w:rsidRDefault="002A6C76" w:rsidP="00DB0ADA">
      <w:pPr>
        <w:rPr>
          <w:rFonts w:eastAsia="@Batang"/>
        </w:rPr>
      </w:pPr>
      <w:r w:rsidRPr="002A6C76">
        <w:rPr>
          <w:rFonts w:eastAsia="@Batang"/>
        </w:rPr>
        <w:t xml:space="preserve">In order to request </w:t>
      </w:r>
      <w:proofErr w:type="spellStart"/>
      <w:r>
        <w:rPr>
          <w:rFonts w:eastAsia="@Batang"/>
        </w:rPr>
        <w:t>iHealth</w:t>
      </w:r>
      <w:proofErr w:type="spellEnd"/>
      <w:r>
        <w:rPr>
          <w:rFonts w:eastAsia="@Batang"/>
        </w:rPr>
        <w:t xml:space="preserve"> COVID-19 Antigen Rapid Tests</w:t>
      </w:r>
      <w:r w:rsidRPr="002A6C76">
        <w:rPr>
          <w:rFonts w:eastAsia="@Batang"/>
        </w:rPr>
        <w:t xml:space="preserve">, </w:t>
      </w:r>
      <w:r w:rsidR="002B35FE">
        <w:rPr>
          <w:rFonts w:eastAsia="@Batang"/>
        </w:rPr>
        <w:t xml:space="preserve">LTC </w:t>
      </w:r>
      <w:r w:rsidRPr="002A6C76">
        <w:rPr>
          <w:rFonts w:eastAsia="@Batang"/>
        </w:rPr>
        <w:t xml:space="preserve">facilities should complete </w:t>
      </w:r>
      <w:r>
        <w:rPr>
          <w:rFonts w:eastAsia="@Batang"/>
        </w:rPr>
        <w:t xml:space="preserve">the </w:t>
      </w:r>
      <w:hyperlink r:id="rId13" w:history="1">
        <w:r w:rsidRPr="00CD1DEC">
          <w:rPr>
            <w:rStyle w:val="Hyperlink"/>
            <w:rFonts w:eastAsia="@Batang"/>
          </w:rPr>
          <w:t>survey</w:t>
        </w:r>
      </w:hyperlink>
      <w:r>
        <w:rPr>
          <w:rFonts w:eastAsia="@Batang"/>
        </w:rPr>
        <w:t xml:space="preserve"> no later than April 15, 2022 found at the following link: </w:t>
      </w:r>
      <w:hyperlink r:id="rId14" w:history="1">
        <w:r w:rsidR="009C570C" w:rsidRPr="00172670">
          <w:rPr>
            <w:rStyle w:val="Hyperlink"/>
            <w:rFonts w:eastAsia="@Batang"/>
          </w:rPr>
          <w:t>https://docs.google.com/forms/d/e/1FAIpQLSfA6yfHomtI8ICeS0jlswOr854tYs5OwyyAD3KkwJExLSVQIg/viewform</w:t>
        </w:r>
      </w:hyperlink>
    </w:p>
    <w:p w14:paraId="643E8FBE" w14:textId="3750B425" w:rsidR="002A6C76" w:rsidRPr="00DB0ADA" w:rsidRDefault="002A6C76" w:rsidP="00DB0ADA">
      <w:pPr>
        <w:rPr>
          <w:rFonts w:eastAsia="@Batang"/>
        </w:rPr>
      </w:pPr>
      <w:r>
        <w:rPr>
          <w:rFonts w:eastAsia="@Batang"/>
        </w:rPr>
        <w:br/>
      </w:r>
      <w:r w:rsidRPr="002A6C76">
        <w:rPr>
          <w:rFonts w:eastAsia="@Batang"/>
        </w:rPr>
        <w:t xml:space="preserve">Delivery timelines may vary based on DPH delivery capacity. </w:t>
      </w:r>
      <w:r w:rsidR="002B35FE">
        <w:rPr>
          <w:rFonts w:eastAsia="@Batang"/>
        </w:rPr>
        <w:t>LTC f</w:t>
      </w:r>
      <w:r w:rsidRPr="002A6C76">
        <w:rPr>
          <w:rFonts w:eastAsia="@Batang"/>
        </w:rPr>
        <w:t xml:space="preserve">acilities should expect to receive requested test kits within </w:t>
      </w:r>
      <w:r w:rsidR="00786E5A">
        <w:rPr>
          <w:rFonts w:eastAsia="@Batang"/>
        </w:rPr>
        <w:t>two</w:t>
      </w:r>
      <w:r w:rsidR="00786E5A" w:rsidRPr="002A6C76">
        <w:rPr>
          <w:rFonts w:eastAsia="@Batang"/>
        </w:rPr>
        <w:t xml:space="preserve"> </w:t>
      </w:r>
      <w:r w:rsidRPr="002A6C76">
        <w:rPr>
          <w:rFonts w:eastAsia="@Batang"/>
        </w:rPr>
        <w:t>week</w:t>
      </w:r>
      <w:r w:rsidR="00786E5A">
        <w:rPr>
          <w:rFonts w:eastAsia="@Batang"/>
        </w:rPr>
        <w:t>s</w:t>
      </w:r>
      <w:r w:rsidRPr="002A6C76">
        <w:rPr>
          <w:rFonts w:eastAsia="@Batang"/>
        </w:rPr>
        <w:t xml:space="preserve"> of a request being submitted.</w:t>
      </w:r>
    </w:p>
    <w:sectPr w:rsidR="002A6C76" w:rsidRPr="00DB0ADA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07471" w14:textId="77777777" w:rsidR="00AF7043" w:rsidRDefault="00AF7043" w:rsidP="00B12544">
      <w:r>
        <w:separator/>
      </w:r>
    </w:p>
  </w:endnote>
  <w:endnote w:type="continuationSeparator" w:id="0">
    <w:p w14:paraId="3575783E" w14:textId="77777777" w:rsidR="00AF7043" w:rsidRDefault="00AF7043" w:rsidP="00B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D0D86" w14:textId="77777777" w:rsidR="00AF7043" w:rsidRDefault="00AF7043" w:rsidP="00B12544">
      <w:r>
        <w:separator/>
      </w:r>
    </w:p>
  </w:footnote>
  <w:footnote w:type="continuationSeparator" w:id="0">
    <w:p w14:paraId="4FC1E10C" w14:textId="77777777" w:rsidR="00AF7043" w:rsidRDefault="00AF7043" w:rsidP="00B1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1940"/>
    <w:multiLevelType w:val="hybridMultilevel"/>
    <w:tmpl w:val="B156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081D"/>
    <w:multiLevelType w:val="hybridMultilevel"/>
    <w:tmpl w:val="CF0A58A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7067C87"/>
    <w:multiLevelType w:val="hybridMultilevel"/>
    <w:tmpl w:val="2C96CDD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76F26CC"/>
    <w:multiLevelType w:val="hybridMultilevel"/>
    <w:tmpl w:val="275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74B7F"/>
    <w:multiLevelType w:val="hybridMultilevel"/>
    <w:tmpl w:val="1C5C539E"/>
    <w:lvl w:ilvl="0" w:tplc="2CF03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A2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2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AC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0C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86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29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5A756E"/>
    <w:multiLevelType w:val="hybridMultilevel"/>
    <w:tmpl w:val="66646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84ADE"/>
    <w:multiLevelType w:val="hybridMultilevel"/>
    <w:tmpl w:val="F5AC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2122E"/>
    <w:rsid w:val="00033154"/>
    <w:rsid w:val="00042048"/>
    <w:rsid w:val="000537DA"/>
    <w:rsid w:val="000545A8"/>
    <w:rsid w:val="00072F87"/>
    <w:rsid w:val="00073DCC"/>
    <w:rsid w:val="000902A5"/>
    <w:rsid w:val="000D2771"/>
    <w:rsid w:val="000F315B"/>
    <w:rsid w:val="000F31C4"/>
    <w:rsid w:val="00121FD2"/>
    <w:rsid w:val="00134659"/>
    <w:rsid w:val="0015268B"/>
    <w:rsid w:val="0017047F"/>
    <w:rsid w:val="001729C4"/>
    <w:rsid w:val="00177C77"/>
    <w:rsid w:val="00182503"/>
    <w:rsid w:val="001C12AD"/>
    <w:rsid w:val="001E5225"/>
    <w:rsid w:val="001E706F"/>
    <w:rsid w:val="00276957"/>
    <w:rsid w:val="00276DCC"/>
    <w:rsid w:val="002805B5"/>
    <w:rsid w:val="002A6C76"/>
    <w:rsid w:val="002B35FE"/>
    <w:rsid w:val="00385812"/>
    <w:rsid w:val="00386CAC"/>
    <w:rsid w:val="00392D0B"/>
    <w:rsid w:val="003A31C7"/>
    <w:rsid w:val="003A7AFC"/>
    <w:rsid w:val="003C468A"/>
    <w:rsid w:val="003C60EF"/>
    <w:rsid w:val="003E2EA9"/>
    <w:rsid w:val="0041160C"/>
    <w:rsid w:val="00443A83"/>
    <w:rsid w:val="0048097B"/>
    <w:rsid w:val="004813AC"/>
    <w:rsid w:val="004937DF"/>
    <w:rsid w:val="004B37A0"/>
    <w:rsid w:val="004B763E"/>
    <w:rsid w:val="004C419D"/>
    <w:rsid w:val="004C506F"/>
    <w:rsid w:val="004D6B39"/>
    <w:rsid w:val="004E062B"/>
    <w:rsid w:val="004E696C"/>
    <w:rsid w:val="005448AA"/>
    <w:rsid w:val="00545FC6"/>
    <w:rsid w:val="00585417"/>
    <w:rsid w:val="005E1AA2"/>
    <w:rsid w:val="005E349C"/>
    <w:rsid w:val="005F3186"/>
    <w:rsid w:val="0060734C"/>
    <w:rsid w:val="006948E5"/>
    <w:rsid w:val="006C0C72"/>
    <w:rsid w:val="006D06D9"/>
    <w:rsid w:val="006D77A6"/>
    <w:rsid w:val="006F493A"/>
    <w:rsid w:val="00702109"/>
    <w:rsid w:val="0072610D"/>
    <w:rsid w:val="00770F53"/>
    <w:rsid w:val="007736A1"/>
    <w:rsid w:val="00786E5A"/>
    <w:rsid w:val="007A2B67"/>
    <w:rsid w:val="007A461B"/>
    <w:rsid w:val="007B3F4B"/>
    <w:rsid w:val="007B7347"/>
    <w:rsid w:val="007D10F3"/>
    <w:rsid w:val="007E447D"/>
    <w:rsid w:val="007F2FA1"/>
    <w:rsid w:val="00820DB7"/>
    <w:rsid w:val="0082735E"/>
    <w:rsid w:val="008A0E49"/>
    <w:rsid w:val="008A4076"/>
    <w:rsid w:val="008C7FB7"/>
    <w:rsid w:val="00901BBD"/>
    <w:rsid w:val="00930CDE"/>
    <w:rsid w:val="00945A24"/>
    <w:rsid w:val="009908FF"/>
    <w:rsid w:val="00995505"/>
    <w:rsid w:val="009C570C"/>
    <w:rsid w:val="009D7A7A"/>
    <w:rsid w:val="009E2812"/>
    <w:rsid w:val="00A222DF"/>
    <w:rsid w:val="00A24DDE"/>
    <w:rsid w:val="00A26158"/>
    <w:rsid w:val="00A47316"/>
    <w:rsid w:val="00A65101"/>
    <w:rsid w:val="00A86197"/>
    <w:rsid w:val="00AA167B"/>
    <w:rsid w:val="00AE46E5"/>
    <w:rsid w:val="00AF1CB1"/>
    <w:rsid w:val="00AF7043"/>
    <w:rsid w:val="00B10CF7"/>
    <w:rsid w:val="00B12544"/>
    <w:rsid w:val="00B403BF"/>
    <w:rsid w:val="00B4168E"/>
    <w:rsid w:val="00B51E96"/>
    <w:rsid w:val="00B608D9"/>
    <w:rsid w:val="00B66332"/>
    <w:rsid w:val="00BA1AD3"/>
    <w:rsid w:val="00BA4055"/>
    <w:rsid w:val="00BA7FB6"/>
    <w:rsid w:val="00BD6FF4"/>
    <w:rsid w:val="00C1400D"/>
    <w:rsid w:val="00C148E5"/>
    <w:rsid w:val="00C1576F"/>
    <w:rsid w:val="00C20BFE"/>
    <w:rsid w:val="00C24EE2"/>
    <w:rsid w:val="00C832EB"/>
    <w:rsid w:val="00CC1778"/>
    <w:rsid w:val="00CC536F"/>
    <w:rsid w:val="00CD1DEC"/>
    <w:rsid w:val="00CD7C11"/>
    <w:rsid w:val="00CE575B"/>
    <w:rsid w:val="00CF300F"/>
    <w:rsid w:val="00CF3DE8"/>
    <w:rsid w:val="00D0493F"/>
    <w:rsid w:val="00D472E6"/>
    <w:rsid w:val="00D55AC4"/>
    <w:rsid w:val="00D56F91"/>
    <w:rsid w:val="00D642F2"/>
    <w:rsid w:val="00D71773"/>
    <w:rsid w:val="00D8671C"/>
    <w:rsid w:val="00DA0B94"/>
    <w:rsid w:val="00DA57C3"/>
    <w:rsid w:val="00DB0324"/>
    <w:rsid w:val="00DB0ADA"/>
    <w:rsid w:val="00DC3803"/>
    <w:rsid w:val="00DC3855"/>
    <w:rsid w:val="00DC4FE4"/>
    <w:rsid w:val="00E242A8"/>
    <w:rsid w:val="00E274B8"/>
    <w:rsid w:val="00E61792"/>
    <w:rsid w:val="00E72707"/>
    <w:rsid w:val="00EF03A5"/>
    <w:rsid w:val="00F0298E"/>
    <w:rsid w:val="00F0586E"/>
    <w:rsid w:val="00F42B99"/>
    <w:rsid w:val="00F43932"/>
    <w:rsid w:val="00F50893"/>
    <w:rsid w:val="00F95D2B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AC6A"/>
  <w15:docId w15:val="{93A785AA-661C-4B97-BAA4-997DF24A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table" w:styleId="TableGrid">
    <w:name w:val="Table Grid"/>
    <w:basedOn w:val="TableNormal"/>
    <w:uiPriority w:val="59"/>
    <w:rsid w:val="00DB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06F"/>
    <w:rPr>
      <w:sz w:val="24"/>
    </w:rPr>
  </w:style>
  <w:style w:type="character" w:styleId="CommentReference">
    <w:name w:val="annotation reference"/>
    <w:basedOn w:val="DefaultParagraphFont"/>
    <w:rsid w:val="00386C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6C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6CAC"/>
  </w:style>
  <w:style w:type="paragraph" w:styleId="CommentSubject">
    <w:name w:val="annotation subject"/>
    <w:basedOn w:val="CommentText"/>
    <w:next w:val="CommentText"/>
    <w:link w:val="CommentSubjectChar"/>
    <w:rsid w:val="00386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6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F1C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B125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2544"/>
  </w:style>
  <w:style w:type="character" w:styleId="FootnoteReference">
    <w:name w:val="footnote reference"/>
    <w:basedOn w:val="DefaultParagraphFont"/>
    <w:rsid w:val="00B1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fA6yfHomtI8ICeS0jlswOr854tYs5OwyyAD3KkwJExLSVQI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updated-comprehensive-personal-protective-equipment-2/downl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covid-19-self-test-at-home-instructions-graphi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da.gov/media/153925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healthlabs.com/" TargetMode="External"/><Relationship Id="rId14" Type="http://schemas.openxmlformats.org/officeDocument/2006/relationships/hyperlink" Target="https://docs.google.com/forms/d/e/1FAIpQLSfA6yfHomtI8ICeS0jlswOr854tYs5OwyyAD3KkwJExLSVQIg/view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39FB-8305-4CE8-B2D2-EEC6B24C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677</Words>
  <Characters>3864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DPH</dc:creator>
  <cp:keywords/>
  <dc:description/>
  <cp:lastModifiedBy>Callahan, Marita (DPH)</cp:lastModifiedBy>
  <cp:revision>2</cp:revision>
  <cp:lastPrinted>2020-08-12T21:19:00Z</cp:lastPrinted>
  <dcterms:created xsi:type="dcterms:W3CDTF">2022-04-04T14:28:00Z</dcterms:created>
  <dcterms:modified xsi:type="dcterms:W3CDTF">2022-04-04T14:28:00Z</dcterms:modified>
</cp:coreProperties>
</file>