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59" w:lineRule="auto" w:before="19"/>
        <w:ind w:left="4418" w:right="831" w:hanging="3227"/>
        <w:jc w:val="left"/>
        <w:rPr>
          <w:b/>
          <w:sz w:val="28"/>
        </w:rPr>
      </w:pPr>
      <w:r>
        <w:rPr>
          <w:b/>
          <w:sz w:val="28"/>
        </w:rPr>
        <w:t>APPENDIX C. Commissions, Advisory Bodies, and Stakeholder Group Descriptions</w:t>
      </w:r>
    </w:p>
    <w:p>
      <w:pPr>
        <w:pStyle w:val="Heading1"/>
        <w:spacing w:before="203"/>
      </w:pPr>
      <w:r>
        <w:rPr/>
        <w:t>13 Largest Cities Forum</w:t>
      </w:r>
    </w:p>
    <w:p>
      <w:pPr>
        <w:pStyle w:val="BodyText"/>
        <w:spacing w:before="7"/>
        <w:ind w:left="0" w:right="0"/>
        <w:jc w:val="left"/>
        <w:rPr>
          <w:b/>
          <w:sz w:val="16"/>
        </w:rPr>
      </w:pPr>
    </w:p>
    <w:p>
      <w:pPr>
        <w:pStyle w:val="BodyText"/>
        <w:spacing w:line="278" w:lineRule="auto" w:before="0"/>
        <w:ind w:right="117"/>
      </w:pPr>
      <w:r>
        <w:rPr/>
        <w:t>The Office of Local and Regional Health (OLRH) formed the Massachusetts 13 Largest Cities Project (13 LCP)</w:t>
      </w:r>
      <w:r>
        <w:rPr>
          <w:spacing w:val="-9"/>
        </w:rPr>
        <w:t> </w:t>
      </w:r>
      <w:r>
        <w:rPr/>
        <w:t>as</w:t>
      </w:r>
      <w:r>
        <w:rPr>
          <w:spacing w:val="-8"/>
        </w:rPr>
        <w:t> </w:t>
      </w:r>
      <w:r>
        <w:rPr/>
        <w:t>part</w:t>
      </w:r>
      <w:r>
        <w:rPr>
          <w:spacing w:val="-9"/>
        </w:rPr>
        <w:t> </w:t>
      </w:r>
      <w:r>
        <w:rPr/>
        <w:t>of</w:t>
      </w:r>
      <w:r>
        <w:rPr>
          <w:spacing w:val="-9"/>
        </w:rPr>
        <w:t> </w:t>
      </w:r>
      <w:r>
        <w:rPr/>
        <w:t>its</w:t>
      </w:r>
      <w:r>
        <w:rPr>
          <w:spacing w:val="-8"/>
        </w:rPr>
        <w:t> </w:t>
      </w:r>
      <w:r>
        <w:rPr/>
        <w:t>effort</w:t>
      </w:r>
      <w:r>
        <w:rPr>
          <w:spacing w:val="-9"/>
        </w:rPr>
        <w:t> </w:t>
      </w:r>
      <w:r>
        <w:rPr/>
        <w:t>to</w:t>
      </w:r>
      <w:r>
        <w:rPr>
          <w:spacing w:val="-7"/>
        </w:rPr>
        <w:t> </w:t>
      </w:r>
      <w:r>
        <w:rPr/>
        <w:t>define</w:t>
      </w:r>
      <w:r>
        <w:rPr>
          <w:spacing w:val="-9"/>
        </w:rPr>
        <w:t> </w:t>
      </w:r>
      <w:r>
        <w:rPr/>
        <w:t>strategic</w:t>
      </w:r>
      <w:r>
        <w:rPr>
          <w:spacing w:val="-9"/>
        </w:rPr>
        <w:t> </w:t>
      </w:r>
      <w:r>
        <w:rPr/>
        <w:t>relationships</w:t>
      </w:r>
      <w:r>
        <w:rPr>
          <w:spacing w:val="-8"/>
        </w:rPr>
        <w:t> </w:t>
      </w:r>
      <w:r>
        <w:rPr/>
        <w:t>with</w:t>
      </w:r>
      <w:r>
        <w:rPr>
          <w:spacing w:val="-9"/>
        </w:rPr>
        <w:t> </w:t>
      </w:r>
      <w:r>
        <w:rPr/>
        <w:t>public</w:t>
      </w:r>
      <w:r>
        <w:rPr>
          <w:spacing w:val="-9"/>
        </w:rPr>
        <w:t> </w:t>
      </w:r>
      <w:r>
        <w:rPr/>
        <w:t>health</w:t>
      </w:r>
      <w:r>
        <w:rPr>
          <w:spacing w:val="-9"/>
        </w:rPr>
        <w:t> </w:t>
      </w:r>
      <w:r>
        <w:rPr/>
        <w:t>departments</w:t>
      </w:r>
      <w:r>
        <w:rPr>
          <w:spacing w:val="-9"/>
        </w:rPr>
        <w:t> </w:t>
      </w:r>
      <w:r>
        <w:rPr/>
        <w:t>in</w:t>
      </w:r>
      <w:r>
        <w:rPr>
          <w:spacing w:val="-8"/>
        </w:rPr>
        <w:t> </w:t>
      </w:r>
      <w:r>
        <w:rPr/>
        <w:t>Massachusetts cities. On June 7, 2017, OLRH convened a public health forum with the public health leadership from the 13 largest Massachusetts cities. The selected Massachusetts cities (Boston, Cambridge, Somerville, Newton, Quincy, Lynn, Lawrence, Lowell, Springfield, Worcester, New Bedford, Fall River, and Brockton) met the criteria of the CDC 500 Cities Project (population greater than 75,000) with which the 13LCP is aligned.</w:t>
      </w:r>
    </w:p>
    <w:p>
      <w:pPr>
        <w:pStyle w:val="BodyText"/>
        <w:spacing w:line="278" w:lineRule="auto" w:before="160"/>
        <w:ind w:right="116" w:firstLine="49"/>
      </w:pPr>
      <w:r>
        <w:rPr/>
        <w:t>The key objectives of the meeting were to 1) enhance collaboration, communication, and partnerships between MDPH and local public health leadership from the 13 largest cities in Massachusetts, 2) to identify and address the problems associated with delivering the 10 essential public health services in larger cities, 3) support accreditation readiness activities among larger cities, and 4) promote opportunities for future engagement among the 13 LCP public health leadership, academic institutions, and the health care community.</w:t>
      </w:r>
    </w:p>
    <w:p>
      <w:pPr>
        <w:pStyle w:val="Heading1"/>
      </w:pPr>
      <w:r>
        <w:rPr/>
        <w:t>Coalition for Local Public Health</w:t>
      </w:r>
    </w:p>
    <w:p>
      <w:pPr>
        <w:pStyle w:val="BodyText"/>
        <w:spacing w:line="259" w:lineRule="auto"/>
        <w:ind w:right="115"/>
      </w:pPr>
      <w:r>
        <w:rPr/>
        <w:t>The Coalition for Local Public Health (CLPH) consists of five public health organizations dedicated to advocating for the resources needed to promote healthy communities in Massachusetts through strong Boards of Health and Health Departments. The organizations represent over 3,000 citizens and professionals interested in supporting the Commonwealth’s local public health infrastructure.</w:t>
      </w:r>
    </w:p>
    <w:p>
      <w:pPr>
        <w:pStyle w:val="BodyText"/>
        <w:spacing w:line="259" w:lineRule="auto"/>
        <w:ind w:left="459" w:right="116"/>
      </w:pPr>
      <w:r>
        <w:rPr/>
        <w:t>The five member organizations are: Massachusetts Association of Health Boards, Massachusetts Association of Public Health Nurses; Massachusetts Environmental Health Association, Massachusetts Health Officers Association and Massachusetts Public Health Association.</w:t>
      </w:r>
    </w:p>
    <w:p>
      <w:pPr>
        <w:pStyle w:val="Heading1"/>
      </w:pPr>
      <w:r>
        <w:rPr/>
        <w:t>Health and Disability Partnership</w:t>
      </w:r>
    </w:p>
    <w:p>
      <w:pPr>
        <w:pStyle w:val="BodyText"/>
        <w:spacing w:before="179"/>
        <w:ind w:right="117"/>
      </w:pPr>
      <w:r>
        <w:rPr/>
        <w:t>The</w:t>
      </w:r>
      <w:r>
        <w:rPr>
          <w:spacing w:val="-10"/>
        </w:rPr>
        <w:t> </w:t>
      </w:r>
      <w:r>
        <w:rPr/>
        <w:t>Health</w:t>
      </w:r>
      <w:r>
        <w:rPr>
          <w:spacing w:val="-10"/>
        </w:rPr>
        <w:t> </w:t>
      </w:r>
      <w:r>
        <w:rPr/>
        <w:t>and</w:t>
      </w:r>
      <w:r>
        <w:rPr>
          <w:spacing w:val="-10"/>
        </w:rPr>
        <w:t> </w:t>
      </w:r>
      <w:r>
        <w:rPr/>
        <w:t>Disability</w:t>
      </w:r>
      <w:r>
        <w:rPr>
          <w:spacing w:val="-9"/>
        </w:rPr>
        <w:t> </w:t>
      </w:r>
      <w:r>
        <w:rPr/>
        <w:t>Partnership</w:t>
      </w:r>
      <w:r>
        <w:rPr>
          <w:spacing w:val="-10"/>
        </w:rPr>
        <w:t> </w:t>
      </w:r>
      <w:r>
        <w:rPr/>
        <w:t>is</w:t>
      </w:r>
      <w:r>
        <w:rPr>
          <w:spacing w:val="-9"/>
        </w:rPr>
        <w:t> </w:t>
      </w:r>
      <w:r>
        <w:rPr>
          <w:color w:val="212121"/>
        </w:rPr>
        <w:t>a</w:t>
      </w:r>
      <w:r>
        <w:rPr>
          <w:color w:val="212121"/>
          <w:spacing w:val="-10"/>
        </w:rPr>
        <w:t> </w:t>
      </w:r>
      <w:r>
        <w:rPr>
          <w:color w:val="212121"/>
        </w:rPr>
        <w:t>coalition</w:t>
      </w:r>
      <w:r>
        <w:rPr>
          <w:color w:val="212121"/>
          <w:spacing w:val="-10"/>
        </w:rPr>
        <w:t> </w:t>
      </w:r>
      <w:r>
        <w:rPr>
          <w:color w:val="212121"/>
        </w:rPr>
        <w:t>of</w:t>
      </w:r>
      <w:r>
        <w:rPr>
          <w:color w:val="212121"/>
          <w:spacing w:val="-10"/>
        </w:rPr>
        <w:t> </w:t>
      </w:r>
      <w:r>
        <w:rPr>
          <w:color w:val="212121"/>
        </w:rPr>
        <w:t>disability</w:t>
      </w:r>
      <w:r>
        <w:rPr>
          <w:color w:val="212121"/>
          <w:spacing w:val="-10"/>
        </w:rPr>
        <w:t> </w:t>
      </w:r>
      <w:r>
        <w:rPr>
          <w:color w:val="212121"/>
        </w:rPr>
        <w:t>advocacy</w:t>
      </w:r>
      <w:r>
        <w:rPr>
          <w:color w:val="212121"/>
          <w:spacing w:val="-10"/>
        </w:rPr>
        <w:t> </w:t>
      </w:r>
      <w:r>
        <w:rPr>
          <w:color w:val="212121"/>
        </w:rPr>
        <w:t>organizations,</w:t>
      </w:r>
      <w:r>
        <w:rPr>
          <w:color w:val="212121"/>
          <w:spacing w:val="-10"/>
        </w:rPr>
        <w:t> </w:t>
      </w:r>
      <w:r>
        <w:rPr>
          <w:color w:val="212121"/>
        </w:rPr>
        <w:t>state</w:t>
      </w:r>
      <w:r>
        <w:rPr>
          <w:color w:val="212121"/>
          <w:spacing w:val="-9"/>
        </w:rPr>
        <w:t> </w:t>
      </w:r>
      <w:r>
        <w:rPr>
          <w:color w:val="212121"/>
        </w:rPr>
        <w:t>agencies</w:t>
      </w:r>
      <w:r>
        <w:rPr>
          <w:color w:val="212121"/>
          <w:spacing w:val="-9"/>
        </w:rPr>
        <w:t> </w:t>
      </w:r>
      <w:r>
        <w:rPr>
          <w:color w:val="212121"/>
        </w:rPr>
        <w:t>and other stakeholders working to improve the health of people with disabilities statewide. The Partnership was created by the Health and Disability Program (HDP) at the Massachusetts Department of Public Health.</w:t>
      </w:r>
    </w:p>
    <w:p>
      <w:pPr>
        <w:pStyle w:val="BodyText"/>
        <w:ind w:right="115"/>
      </w:pPr>
      <w:r>
        <w:rPr>
          <w:color w:val="212121"/>
        </w:rPr>
        <w:t>The</w:t>
      </w:r>
      <w:r>
        <w:rPr>
          <w:color w:val="212121"/>
          <w:spacing w:val="-9"/>
        </w:rPr>
        <w:t> </w:t>
      </w:r>
      <w:r>
        <w:rPr>
          <w:color w:val="212121"/>
        </w:rPr>
        <w:t>Partnership,</w:t>
      </w:r>
      <w:r>
        <w:rPr>
          <w:color w:val="212121"/>
          <w:spacing w:val="-10"/>
        </w:rPr>
        <w:t> </w:t>
      </w:r>
      <w:r>
        <w:rPr>
          <w:color w:val="212121"/>
        </w:rPr>
        <w:t>which</w:t>
      </w:r>
      <w:r>
        <w:rPr>
          <w:color w:val="212121"/>
          <w:spacing w:val="-9"/>
        </w:rPr>
        <w:t> </w:t>
      </w:r>
      <w:r>
        <w:rPr>
          <w:color w:val="212121"/>
        </w:rPr>
        <w:t>meets</w:t>
      </w:r>
      <w:r>
        <w:rPr>
          <w:color w:val="212121"/>
          <w:spacing w:val="-9"/>
        </w:rPr>
        <w:t> </w:t>
      </w:r>
      <w:r>
        <w:rPr>
          <w:color w:val="212121"/>
        </w:rPr>
        <w:t>quarterly,</w:t>
      </w:r>
      <w:r>
        <w:rPr>
          <w:color w:val="212121"/>
          <w:spacing w:val="-10"/>
        </w:rPr>
        <w:t> </w:t>
      </w:r>
      <w:r>
        <w:rPr>
          <w:color w:val="212121"/>
        </w:rPr>
        <w:t>informs</w:t>
      </w:r>
      <w:r>
        <w:rPr>
          <w:color w:val="212121"/>
          <w:spacing w:val="-9"/>
        </w:rPr>
        <w:t> </w:t>
      </w:r>
      <w:r>
        <w:rPr>
          <w:color w:val="212121"/>
        </w:rPr>
        <w:t>and</w:t>
      </w:r>
      <w:r>
        <w:rPr>
          <w:color w:val="212121"/>
          <w:spacing w:val="-10"/>
        </w:rPr>
        <w:t> </w:t>
      </w:r>
      <w:r>
        <w:rPr>
          <w:color w:val="212121"/>
        </w:rPr>
        <w:t>strengthens</w:t>
      </w:r>
      <w:r>
        <w:rPr>
          <w:color w:val="212121"/>
          <w:spacing w:val="-9"/>
        </w:rPr>
        <w:t> </w:t>
      </w:r>
      <w:r>
        <w:rPr>
          <w:color w:val="212121"/>
        </w:rPr>
        <w:t>HDP’s</w:t>
      </w:r>
      <w:r>
        <w:rPr>
          <w:color w:val="212121"/>
          <w:spacing w:val="-10"/>
        </w:rPr>
        <w:t> </w:t>
      </w:r>
      <w:r>
        <w:rPr>
          <w:color w:val="212121"/>
        </w:rPr>
        <w:t>priorities</w:t>
      </w:r>
      <w:r>
        <w:rPr>
          <w:color w:val="212121"/>
          <w:spacing w:val="-10"/>
        </w:rPr>
        <w:t> </w:t>
      </w:r>
      <w:r>
        <w:rPr>
          <w:color w:val="212121"/>
        </w:rPr>
        <w:t>and</w:t>
      </w:r>
      <w:r>
        <w:rPr>
          <w:color w:val="212121"/>
          <w:spacing w:val="-10"/>
        </w:rPr>
        <w:t> </w:t>
      </w:r>
      <w:r>
        <w:rPr>
          <w:color w:val="212121"/>
        </w:rPr>
        <w:t>initiatives,</w:t>
      </w:r>
      <w:r>
        <w:rPr>
          <w:color w:val="212121"/>
          <w:spacing w:val="-10"/>
        </w:rPr>
        <w:t> </w:t>
      </w:r>
      <w:r>
        <w:rPr>
          <w:color w:val="212121"/>
        </w:rPr>
        <w:t>ensuring that</w:t>
      </w:r>
      <w:r>
        <w:rPr>
          <w:color w:val="212121"/>
          <w:spacing w:val="-8"/>
        </w:rPr>
        <w:t> </w:t>
      </w:r>
      <w:r>
        <w:rPr>
          <w:color w:val="212121"/>
        </w:rPr>
        <w:t>HDP</w:t>
      </w:r>
      <w:r>
        <w:rPr>
          <w:color w:val="212121"/>
          <w:spacing w:val="-7"/>
        </w:rPr>
        <w:t> </w:t>
      </w:r>
      <w:r>
        <w:rPr>
          <w:color w:val="212121"/>
        </w:rPr>
        <w:t>activities</w:t>
      </w:r>
      <w:r>
        <w:rPr>
          <w:color w:val="212121"/>
          <w:spacing w:val="-9"/>
        </w:rPr>
        <w:t> </w:t>
      </w:r>
      <w:r>
        <w:rPr>
          <w:color w:val="212121"/>
        </w:rPr>
        <w:t>are</w:t>
      </w:r>
      <w:r>
        <w:rPr>
          <w:color w:val="212121"/>
          <w:spacing w:val="-7"/>
        </w:rPr>
        <w:t> </w:t>
      </w:r>
      <w:r>
        <w:rPr>
          <w:color w:val="212121"/>
        </w:rPr>
        <w:t>carried</w:t>
      </w:r>
      <w:r>
        <w:rPr>
          <w:color w:val="212121"/>
          <w:spacing w:val="-8"/>
        </w:rPr>
        <w:t> </w:t>
      </w:r>
      <w:r>
        <w:rPr>
          <w:color w:val="212121"/>
        </w:rPr>
        <w:t>out</w:t>
      </w:r>
      <w:r>
        <w:rPr>
          <w:color w:val="212121"/>
          <w:spacing w:val="-8"/>
        </w:rPr>
        <w:t> </w:t>
      </w:r>
      <w:r>
        <w:rPr>
          <w:color w:val="212121"/>
        </w:rPr>
        <w:t>in</w:t>
      </w:r>
      <w:r>
        <w:rPr>
          <w:color w:val="212121"/>
          <w:spacing w:val="-7"/>
        </w:rPr>
        <w:t> </w:t>
      </w:r>
      <w:r>
        <w:rPr>
          <w:color w:val="212121"/>
        </w:rPr>
        <w:t>the</w:t>
      </w:r>
      <w:r>
        <w:rPr>
          <w:color w:val="212121"/>
          <w:spacing w:val="-7"/>
        </w:rPr>
        <w:t> </w:t>
      </w:r>
      <w:r>
        <w:rPr>
          <w:color w:val="212121"/>
        </w:rPr>
        <w:t>spirit</w:t>
      </w:r>
      <w:r>
        <w:rPr>
          <w:color w:val="212121"/>
          <w:spacing w:val="-9"/>
        </w:rPr>
        <w:t> </w:t>
      </w:r>
      <w:r>
        <w:rPr>
          <w:color w:val="212121"/>
        </w:rPr>
        <w:t>of</w:t>
      </w:r>
      <w:r>
        <w:rPr>
          <w:color w:val="212121"/>
          <w:spacing w:val="-8"/>
        </w:rPr>
        <w:t> </w:t>
      </w:r>
      <w:r>
        <w:rPr>
          <w:color w:val="212121"/>
        </w:rPr>
        <w:t>“nothing</w:t>
      </w:r>
      <w:r>
        <w:rPr>
          <w:color w:val="212121"/>
          <w:spacing w:val="-8"/>
        </w:rPr>
        <w:t> </w:t>
      </w:r>
      <w:r>
        <w:rPr>
          <w:color w:val="212121"/>
        </w:rPr>
        <w:t>about</w:t>
      </w:r>
      <w:r>
        <w:rPr>
          <w:color w:val="212121"/>
          <w:spacing w:val="-8"/>
        </w:rPr>
        <w:t> </w:t>
      </w:r>
      <w:r>
        <w:rPr>
          <w:color w:val="212121"/>
        </w:rPr>
        <w:t>us</w:t>
      </w:r>
      <w:r>
        <w:rPr>
          <w:color w:val="212121"/>
          <w:spacing w:val="-9"/>
        </w:rPr>
        <w:t> </w:t>
      </w:r>
      <w:r>
        <w:rPr>
          <w:color w:val="212121"/>
        </w:rPr>
        <w:t>without</w:t>
      </w:r>
      <w:r>
        <w:rPr>
          <w:color w:val="212121"/>
          <w:spacing w:val="-9"/>
        </w:rPr>
        <w:t> </w:t>
      </w:r>
      <w:r>
        <w:rPr>
          <w:color w:val="212121"/>
        </w:rPr>
        <w:t>us”.</w:t>
      </w:r>
      <w:r>
        <w:rPr>
          <w:color w:val="212121"/>
          <w:spacing w:val="-7"/>
        </w:rPr>
        <w:t> </w:t>
      </w:r>
      <w:r>
        <w:rPr>
          <w:color w:val="212121"/>
        </w:rPr>
        <w:t>The</w:t>
      </w:r>
      <w:r>
        <w:rPr>
          <w:color w:val="212121"/>
          <w:spacing w:val="-8"/>
        </w:rPr>
        <w:t> </w:t>
      </w:r>
      <w:r>
        <w:rPr>
          <w:color w:val="212121"/>
        </w:rPr>
        <w:t>Partnership</w:t>
      </w:r>
      <w:r>
        <w:rPr>
          <w:color w:val="212121"/>
          <w:spacing w:val="-8"/>
        </w:rPr>
        <w:t> </w:t>
      </w:r>
      <w:r>
        <w:rPr>
          <w:color w:val="212121"/>
        </w:rPr>
        <w:t>has</w:t>
      </w:r>
      <w:r>
        <w:rPr>
          <w:color w:val="212121"/>
          <w:spacing w:val="-8"/>
        </w:rPr>
        <w:t> </w:t>
      </w:r>
      <w:r>
        <w:rPr>
          <w:color w:val="212121"/>
        </w:rPr>
        <w:t>been particularly helpful to HDP in gathering data and prioritizing issues for HDP’s statewide health needs assessment</w:t>
      </w:r>
      <w:r>
        <w:rPr>
          <w:color w:val="212121"/>
          <w:spacing w:val="-10"/>
        </w:rPr>
        <w:t> </w:t>
      </w:r>
      <w:r>
        <w:rPr>
          <w:color w:val="212121"/>
        </w:rPr>
        <w:t>of</w:t>
      </w:r>
      <w:r>
        <w:rPr>
          <w:color w:val="212121"/>
          <w:spacing w:val="-10"/>
        </w:rPr>
        <w:t> </w:t>
      </w:r>
      <w:r>
        <w:rPr>
          <w:color w:val="212121"/>
        </w:rPr>
        <w:t>people</w:t>
      </w:r>
      <w:r>
        <w:rPr>
          <w:color w:val="212121"/>
          <w:spacing w:val="-10"/>
        </w:rPr>
        <w:t> </w:t>
      </w:r>
      <w:r>
        <w:rPr>
          <w:color w:val="212121"/>
        </w:rPr>
        <w:t>with</w:t>
      </w:r>
      <w:r>
        <w:rPr>
          <w:color w:val="212121"/>
          <w:spacing w:val="-9"/>
        </w:rPr>
        <w:t> </w:t>
      </w:r>
      <w:r>
        <w:rPr>
          <w:color w:val="212121"/>
        </w:rPr>
        <w:t>disabilities</w:t>
      </w:r>
      <w:r>
        <w:rPr>
          <w:color w:val="212121"/>
          <w:spacing w:val="-9"/>
        </w:rPr>
        <w:t> </w:t>
      </w:r>
      <w:r>
        <w:rPr>
          <w:color w:val="212121"/>
        </w:rPr>
        <w:t>and</w:t>
      </w:r>
      <w:r>
        <w:rPr>
          <w:color w:val="212121"/>
          <w:spacing w:val="-9"/>
        </w:rPr>
        <w:t> </w:t>
      </w:r>
      <w:r>
        <w:rPr>
          <w:color w:val="212121"/>
        </w:rPr>
        <w:t>their</w:t>
      </w:r>
      <w:r>
        <w:rPr>
          <w:color w:val="212121"/>
          <w:spacing w:val="-9"/>
        </w:rPr>
        <w:t> </w:t>
      </w:r>
      <w:r>
        <w:rPr>
          <w:color w:val="212121"/>
        </w:rPr>
        <w:t>care</w:t>
      </w:r>
      <w:r>
        <w:rPr>
          <w:color w:val="212121"/>
          <w:spacing w:val="-9"/>
        </w:rPr>
        <w:t> </w:t>
      </w:r>
      <w:r>
        <w:rPr>
          <w:color w:val="212121"/>
        </w:rPr>
        <w:t>providers,</w:t>
      </w:r>
      <w:r>
        <w:rPr>
          <w:color w:val="212121"/>
          <w:spacing w:val="-10"/>
        </w:rPr>
        <w:t> </w:t>
      </w:r>
      <w:r>
        <w:rPr>
          <w:color w:val="212121"/>
        </w:rPr>
        <w:t>keeping</w:t>
      </w:r>
      <w:r>
        <w:rPr>
          <w:color w:val="212121"/>
          <w:spacing w:val="-10"/>
        </w:rPr>
        <w:t> </w:t>
      </w:r>
      <w:r>
        <w:rPr>
          <w:color w:val="212121"/>
        </w:rPr>
        <w:t>HDP</w:t>
      </w:r>
      <w:r>
        <w:rPr>
          <w:color w:val="212121"/>
          <w:spacing w:val="-10"/>
        </w:rPr>
        <w:t> </w:t>
      </w:r>
      <w:r>
        <w:rPr>
          <w:color w:val="212121"/>
        </w:rPr>
        <w:t>aware</w:t>
      </w:r>
      <w:r>
        <w:rPr>
          <w:color w:val="212121"/>
          <w:spacing w:val="-10"/>
        </w:rPr>
        <w:t> </w:t>
      </w:r>
      <w:r>
        <w:rPr>
          <w:color w:val="212121"/>
        </w:rPr>
        <w:t>of</w:t>
      </w:r>
      <w:r>
        <w:rPr>
          <w:color w:val="212121"/>
          <w:spacing w:val="-10"/>
        </w:rPr>
        <w:t> </w:t>
      </w:r>
      <w:r>
        <w:rPr>
          <w:color w:val="212121"/>
        </w:rPr>
        <w:t>important</w:t>
      </w:r>
      <w:r>
        <w:rPr>
          <w:color w:val="212121"/>
          <w:spacing w:val="-10"/>
        </w:rPr>
        <w:t> </w:t>
      </w:r>
      <w:r>
        <w:rPr>
          <w:color w:val="212121"/>
        </w:rPr>
        <w:t>concerns in the disability community, collaborating to make the best use of people and resources, and including people with disabilities in emergency preparedness efforts. It has also been helpful in improving facility and communications access to health care providers, promoting the work of HDP within the disability community, helping to develop logic models and work plans for HDP activities, bringing accessible, culturally competent health promotion and disease management programs to people with disabilities, and planning for the sustainability of HDP and Partnership</w:t>
      </w:r>
      <w:r>
        <w:rPr>
          <w:color w:val="212121"/>
          <w:spacing w:val="-29"/>
        </w:rPr>
        <w:t> </w:t>
      </w:r>
      <w:r>
        <w:rPr>
          <w:color w:val="212121"/>
        </w:rPr>
        <w:t>activities.</w:t>
      </w:r>
    </w:p>
    <w:p>
      <w:pPr>
        <w:spacing w:after="0"/>
        <w:sectPr>
          <w:footerReference w:type="default" r:id="rId5"/>
          <w:type w:val="continuous"/>
          <w:pgSz w:w="12240" w:h="15840"/>
          <w:pgMar w:footer="743" w:top="1420" w:bottom="940" w:left="980" w:right="1320"/>
          <w:pgNumType w:start="288"/>
        </w:sectPr>
      </w:pPr>
    </w:p>
    <w:p>
      <w:pPr>
        <w:pStyle w:val="Heading1"/>
        <w:spacing w:before="40"/>
      </w:pPr>
      <w:r>
        <w:rPr/>
        <w:t>Health and Medical Coordinating Coalitions</w:t>
      </w:r>
    </w:p>
    <w:p>
      <w:pPr>
        <w:pStyle w:val="BodyText"/>
        <w:ind w:right="119"/>
      </w:pPr>
      <w:r>
        <w:rPr>
          <w:color w:val="212121"/>
        </w:rPr>
        <w:t>Six</w:t>
      </w:r>
      <w:r>
        <w:rPr>
          <w:color w:val="212121"/>
          <w:spacing w:val="-12"/>
        </w:rPr>
        <w:t> </w:t>
      </w:r>
      <w:r>
        <w:rPr>
          <w:color w:val="212121"/>
        </w:rPr>
        <w:t>regional</w:t>
      </w:r>
      <w:r>
        <w:rPr>
          <w:color w:val="212121"/>
          <w:spacing w:val="-12"/>
        </w:rPr>
        <w:t> </w:t>
      </w:r>
      <w:r>
        <w:rPr>
          <w:color w:val="212121"/>
        </w:rPr>
        <w:t>Health</w:t>
      </w:r>
      <w:r>
        <w:rPr>
          <w:color w:val="212121"/>
          <w:spacing w:val="-12"/>
        </w:rPr>
        <w:t> </w:t>
      </w:r>
      <w:r>
        <w:rPr>
          <w:color w:val="212121"/>
        </w:rPr>
        <w:t>and</w:t>
      </w:r>
      <w:r>
        <w:rPr>
          <w:color w:val="212121"/>
          <w:spacing w:val="-11"/>
        </w:rPr>
        <w:t> </w:t>
      </w:r>
      <w:r>
        <w:rPr>
          <w:color w:val="212121"/>
        </w:rPr>
        <w:t>Medical</w:t>
      </w:r>
      <w:r>
        <w:rPr>
          <w:color w:val="212121"/>
          <w:spacing w:val="-12"/>
        </w:rPr>
        <w:t> </w:t>
      </w:r>
      <w:r>
        <w:rPr>
          <w:color w:val="212121"/>
        </w:rPr>
        <w:t>Coordinating</w:t>
      </w:r>
      <w:r>
        <w:rPr>
          <w:color w:val="212121"/>
          <w:spacing w:val="-12"/>
        </w:rPr>
        <w:t> </w:t>
      </w:r>
      <w:r>
        <w:rPr>
          <w:color w:val="212121"/>
        </w:rPr>
        <w:t>Coalitions</w:t>
      </w:r>
      <w:r>
        <w:rPr>
          <w:color w:val="212121"/>
          <w:spacing w:val="-12"/>
        </w:rPr>
        <w:t> </w:t>
      </w:r>
      <w:r>
        <w:rPr>
          <w:color w:val="212121"/>
        </w:rPr>
        <w:t>(HMCCs)</w:t>
      </w:r>
      <w:r>
        <w:rPr>
          <w:color w:val="212121"/>
          <w:spacing w:val="-12"/>
        </w:rPr>
        <w:t> </w:t>
      </w:r>
      <w:r>
        <w:rPr>
          <w:color w:val="212121"/>
        </w:rPr>
        <w:t>have</w:t>
      </w:r>
      <w:r>
        <w:rPr>
          <w:color w:val="212121"/>
          <w:spacing w:val="-12"/>
        </w:rPr>
        <w:t> </w:t>
      </w:r>
      <w:r>
        <w:rPr>
          <w:color w:val="212121"/>
        </w:rPr>
        <w:t>been</w:t>
      </w:r>
      <w:r>
        <w:rPr>
          <w:color w:val="212121"/>
          <w:spacing w:val="-12"/>
        </w:rPr>
        <w:t> </w:t>
      </w:r>
      <w:r>
        <w:rPr>
          <w:color w:val="212121"/>
        </w:rPr>
        <w:t>established</w:t>
      </w:r>
      <w:r>
        <w:rPr>
          <w:color w:val="212121"/>
          <w:spacing w:val="-12"/>
        </w:rPr>
        <w:t> </w:t>
      </w:r>
      <w:r>
        <w:rPr>
          <w:color w:val="212121"/>
        </w:rPr>
        <w:t>to</w:t>
      </w:r>
      <w:r>
        <w:rPr>
          <w:color w:val="212121"/>
          <w:spacing w:val="-12"/>
        </w:rPr>
        <w:t> </w:t>
      </w:r>
      <w:r>
        <w:rPr>
          <w:color w:val="212121"/>
        </w:rPr>
        <w:t>promote</w:t>
      </w:r>
      <w:r>
        <w:rPr>
          <w:color w:val="212121"/>
          <w:spacing w:val="-12"/>
        </w:rPr>
        <w:t> </w:t>
      </w:r>
      <w:r>
        <w:rPr>
          <w:color w:val="212121"/>
        </w:rPr>
        <w:t>cross‐ disciplinary planning and support public health and medical response across the Commonwealth during emergencies and</w:t>
      </w:r>
      <w:r>
        <w:rPr>
          <w:color w:val="212121"/>
          <w:spacing w:val="-16"/>
        </w:rPr>
        <w:t> </w:t>
      </w:r>
      <w:r>
        <w:rPr>
          <w:color w:val="212121"/>
        </w:rPr>
        <w:t>disasters.</w:t>
      </w:r>
    </w:p>
    <w:p>
      <w:pPr>
        <w:pStyle w:val="BodyText"/>
      </w:pPr>
      <w:r>
        <w:rPr>
          <w:color w:val="212121"/>
        </w:rPr>
        <w:t>Each</w:t>
      </w:r>
      <w:r>
        <w:rPr>
          <w:color w:val="212121"/>
          <w:spacing w:val="-14"/>
        </w:rPr>
        <w:t> </w:t>
      </w:r>
      <w:r>
        <w:rPr>
          <w:color w:val="212121"/>
        </w:rPr>
        <w:t>HMCC</w:t>
      </w:r>
      <w:r>
        <w:rPr>
          <w:color w:val="212121"/>
          <w:spacing w:val="-15"/>
        </w:rPr>
        <w:t> </w:t>
      </w:r>
      <w:r>
        <w:rPr>
          <w:color w:val="212121"/>
        </w:rPr>
        <w:t>is</w:t>
      </w:r>
      <w:r>
        <w:rPr>
          <w:color w:val="212121"/>
          <w:spacing w:val="-15"/>
        </w:rPr>
        <w:t> </w:t>
      </w:r>
      <w:r>
        <w:rPr>
          <w:color w:val="212121"/>
        </w:rPr>
        <w:t>supported</w:t>
      </w:r>
      <w:r>
        <w:rPr>
          <w:color w:val="212121"/>
          <w:spacing w:val="-15"/>
        </w:rPr>
        <w:t> </w:t>
      </w:r>
      <w:r>
        <w:rPr>
          <w:color w:val="212121"/>
        </w:rPr>
        <w:t>by</w:t>
      </w:r>
      <w:r>
        <w:rPr>
          <w:color w:val="212121"/>
          <w:spacing w:val="-13"/>
        </w:rPr>
        <w:t> </w:t>
      </w:r>
      <w:r>
        <w:rPr>
          <w:color w:val="212121"/>
        </w:rPr>
        <w:t>a</w:t>
      </w:r>
      <w:r>
        <w:rPr>
          <w:color w:val="212121"/>
          <w:spacing w:val="-15"/>
        </w:rPr>
        <w:t> </w:t>
      </w:r>
      <w:r>
        <w:rPr>
          <w:color w:val="212121"/>
        </w:rPr>
        <w:t>sponsoring</w:t>
      </w:r>
      <w:r>
        <w:rPr>
          <w:color w:val="212121"/>
          <w:spacing w:val="-13"/>
        </w:rPr>
        <w:t> </w:t>
      </w:r>
      <w:r>
        <w:rPr>
          <w:color w:val="212121"/>
        </w:rPr>
        <w:t>organization</w:t>
      </w:r>
      <w:r>
        <w:rPr>
          <w:color w:val="212121"/>
          <w:spacing w:val="-14"/>
        </w:rPr>
        <w:t> </w:t>
      </w:r>
      <w:r>
        <w:rPr>
          <w:color w:val="212121"/>
        </w:rPr>
        <w:t>with</w:t>
      </w:r>
      <w:r>
        <w:rPr>
          <w:color w:val="212121"/>
          <w:spacing w:val="-14"/>
        </w:rPr>
        <w:t> </w:t>
      </w:r>
      <w:r>
        <w:rPr>
          <w:color w:val="212121"/>
        </w:rPr>
        <w:t>dedicated</w:t>
      </w:r>
      <w:r>
        <w:rPr>
          <w:color w:val="212121"/>
          <w:spacing w:val="-15"/>
        </w:rPr>
        <w:t> </w:t>
      </w:r>
      <w:r>
        <w:rPr>
          <w:color w:val="212121"/>
        </w:rPr>
        <w:t>staffing</w:t>
      </w:r>
      <w:r>
        <w:rPr>
          <w:color w:val="212121"/>
          <w:spacing w:val="-14"/>
        </w:rPr>
        <w:t> </w:t>
      </w:r>
      <w:r>
        <w:rPr>
          <w:color w:val="212121"/>
        </w:rPr>
        <w:t>whose</w:t>
      </w:r>
      <w:r>
        <w:rPr>
          <w:color w:val="212121"/>
          <w:spacing w:val="-15"/>
        </w:rPr>
        <w:t> </w:t>
      </w:r>
      <w:r>
        <w:rPr>
          <w:color w:val="212121"/>
        </w:rPr>
        <w:t>objective</w:t>
      </w:r>
      <w:r>
        <w:rPr>
          <w:color w:val="212121"/>
          <w:spacing w:val="-12"/>
        </w:rPr>
        <w:t> </w:t>
      </w:r>
      <w:r>
        <w:rPr>
          <w:color w:val="212121"/>
        </w:rPr>
        <w:t>is</w:t>
      </w:r>
      <w:r>
        <w:rPr>
          <w:color w:val="212121"/>
          <w:spacing w:val="-15"/>
        </w:rPr>
        <w:t> </w:t>
      </w:r>
      <w:r>
        <w:rPr>
          <w:color w:val="212121"/>
        </w:rPr>
        <w:t>to</w:t>
      </w:r>
      <w:r>
        <w:rPr>
          <w:color w:val="212121"/>
          <w:spacing w:val="-15"/>
        </w:rPr>
        <w:t> </w:t>
      </w:r>
      <w:r>
        <w:rPr>
          <w:color w:val="212121"/>
        </w:rPr>
        <w:t>ensure integrated planning and capacity‐building across five core disciplines: acute care hospitals, community health</w:t>
      </w:r>
      <w:r>
        <w:rPr>
          <w:color w:val="212121"/>
          <w:spacing w:val="-5"/>
        </w:rPr>
        <w:t> </w:t>
      </w:r>
      <w:r>
        <w:rPr>
          <w:color w:val="212121"/>
        </w:rPr>
        <w:t>centers,</w:t>
      </w:r>
      <w:r>
        <w:rPr>
          <w:color w:val="212121"/>
          <w:spacing w:val="-7"/>
        </w:rPr>
        <w:t> </w:t>
      </w:r>
      <w:r>
        <w:rPr>
          <w:color w:val="212121"/>
        </w:rPr>
        <w:t>large</w:t>
      </w:r>
      <w:r>
        <w:rPr>
          <w:color w:val="212121"/>
          <w:spacing w:val="-8"/>
        </w:rPr>
        <w:t> </w:t>
      </w:r>
      <w:r>
        <w:rPr>
          <w:color w:val="212121"/>
        </w:rPr>
        <w:t>ambulatory</w:t>
      </w:r>
      <w:r>
        <w:rPr>
          <w:color w:val="212121"/>
          <w:spacing w:val="-8"/>
        </w:rPr>
        <w:t> </w:t>
      </w:r>
      <w:r>
        <w:rPr>
          <w:color w:val="212121"/>
        </w:rPr>
        <w:t>care</w:t>
      </w:r>
      <w:r>
        <w:rPr>
          <w:color w:val="212121"/>
          <w:spacing w:val="-6"/>
        </w:rPr>
        <w:t> </w:t>
      </w:r>
      <w:r>
        <w:rPr>
          <w:color w:val="212121"/>
        </w:rPr>
        <w:t>organizations,</w:t>
      </w:r>
      <w:r>
        <w:rPr>
          <w:color w:val="212121"/>
          <w:spacing w:val="-6"/>
        </w:rPr>
        <w:t> </w:t>
      </w:r>
      <w:r>
        <w:rPr>
          <w:color w:val="212121"/>
        </w:rPr>
        <w:t>emergency</w:t>
      </w:r>
      <w:r>
        <w:rPr>
          <w:color w:val="212121"/>
          <w:spacing w:val="-5"/>
        </w:rPr>
        <w:t> </w:t>
      </w:r>
      <w:r>
        <w:rPr>
          <w:color w:val="212121"/>
        </w:rPr>
        <w:t>medical</w:t>
      </w:r>
      <w:r>
        <w:rPr>
          <w:color w:val="212121"/>
          <w:spacing w:val="-6"/>
        </w:rPr>
        <w:t> </w:t>
      </w:r>
      <w:r>
        <w:rPr>
          <w:color w:val="212121"/>
        </w:rPr>
        <w:t>services,</w:t>
      </w:r>
      <w:r>
        <w:rPr>
          <w:color w:val="212121"/>
          <w:spacing w:val="-7"/>
        </w:rPr>
        <w:t> </w:t>
      </w:r>
      <w:r>
        <w:rPr>
          <w:color w:val="212121"/>
        </w:rPr>
        <w:t>local</w:t>
      </w:r>
      <w:r>
        <w:rPr>
          <w:color w:val="212121"/>
          <w:spacing w:val="-6"/>
        </w:rPr>
        <w:t> </w:t>
      </w:r>
      <w:r>
        <w:rPr>
          <w:color w:val="212121"/>
        </w:rPr>
        <w:t>public</w:t>
      </w:r>
      <w:r>
        <w:rPr>
          <w:color w:val="212121"/>
          <w:spacing w:val="-6"/>
        </w:rPr>
        <w:t> </w:t>
      </w:r>
      <w:r>
        <w:rPr>
          <w:color w:val="212121"/>
        </w:rPr>
        <w:t>health,</w:t>
      </w:r>
      <w:r>
        <w:rPr>
          <w:color w:val="212121"/>
          <w:spacing w:val="-6"/>
        </w:rPr>
        <w:t> </w:t>
      </w:r>
      <w:r>
        <w:rPr>
          <w:color w:val="212121"/>
        </w:rPr>
        <w:t>and long‐term care. The HMCC works closely with other health and medical partners, and builds strong connections with emergency management and public safety/first responder organizations within the region, as well as other public and private organizations with a role under Emergency Support Function 8 (ESF8), public health and medical</w:t>
      </w:r>
      <w:r>
        <w:rPr>
          <w:color w:val="212121"/>
          <w:spacing w:val="-22"/>
        </w:rPr>
        <w:t> </w:t>
      </w:r>
      <w:r>
        <w:rPr>
          <w:color w:val="212121"/>
        </w:rPr>
        <w:t>services.</w:t>
      </w:r>
    </w:p>
    <w:p>
      <w:pPr>
        <w:pStyle w:val="BodyText"/>
      </w:pPr>
      <w:r>
        <w:rPr>
          <w:color w:val="212121"/>
        </w:rPr>
        <w:t>Each HMCC conducts capabilities‐based planning to advance regional health and medical capacity to prepare for, respond to, recover from, and mitigate the impact of large scale emergencies and disasters. Planning activities are consistent with the health care and public health preparedness capabilities as established by the Assistant Secretary of Preparedness and Response (ASPR) and the Centers for Disease Control and Prevention (CDC).</w:t>
      </w:r>
    </w:p>
    <w:p>
      <w:pPr>
        <w:pStyle w:val="BodyText"/>
        <w:spacing w:before="7"/>
        <w:ind w:left="0" w:right="0"/>
        <w:jc w:val="left"/>
        <w:rPr>
          <w:sz w:val="16"/>
        </w:rPr>
      </w:pPr>
    </w:p>
    <w:p>
      <w:pPr>
        <w:pStyle w:val="Heading1"/>
        <w:spacing w:before="0"/>
      </w:pPr>
      <w:r>
        <w:rPr/>
        <w:t>Local State Advisory Committee</w:t>
      </w:r>
    </w:p>
    <w:p>
      <w:pPr>
        <w:pStyle w:val="BodyText"/>
        <w:ind w:right="119"/>
      </w:pPr>
      <w:r>
        <w:rPr/>
        <w:t>The Local State Advisory Committee (LSAC) is a monthly meeting between local public health representatives of the Emergency Preparedness Coalitions and the Department of Public Health (DPH).</w:t>
      </w:r>
    </w:p>
    <w:p>
      <w:pPr>
        <w:pStyle w:val="BodyText"/>
        <w:spacing w:line="259" w:lineRule="auto"/>
      </w:pPr>
      <w:r>
        <w:rPr/>
        <w:t>The formation of the Local State Advisory Committee (LSAC) was initiated by the Coalition of Local Public Health (CLPH) in August 2006 to “build on the work already accomplished by the CLPH regarding public health” by serving as an Advisory Committee on public health emergency preparedness to the Massachusetts Commissioner of Public Health. The LSAC functions as a standing committee of the CLPH and</w:t>
      </w:r>
      <w:r>
        <w:rPr>
          <w:spacing w:val="-7"/>
        </w:rPr>
        <w:t> </w:t>
      </w:r>
      <w:r>
        <w:rPr/>
        <w:t>is</w:t>
      </w:r>
      <w:r>
        <w:rPr>
          <w:spacing w:val="-7"/>
        </w:rPr>
        <w:t> </w:t>
      </w:r>
      <w:r>
        <w:rPr/>
        <w:t>an</w:t>
      </w:r>
      <w:r>
        <w:rPr>
          <w:spacing w:val="-7"/>
        </w:rPr>
        <w:t> </w:t>
      </w:r>
      <w:r>
        <w:rPr/>
        <w:t>advisory</w:t>
      </w:r>
      <w:r>
        <w:rPr>
          <w:spacing w:val="-7"/>
        </w:rPr>
        <w:t> </w:t>
      </w:r>
      <w:r>
        <w:rPr/>
        <w:t>group</w:t>
      </w:r>
      <w:r>
        <w:rPr>
          <w:spacing w:val="-6"/>
        </w:rPr>
        <w:t> </w:t>
      </w:r>
      <w:r>
        <w:rPr/>
        <w:t>only,</w:t>
      </w:r>
      <w:r>
        <w:rPr>
          <w:spacing w:val="-7"/>
        </w:rPr>
        <w:t> </w:t>
      </w:r>
      <w:r>
        <w:rPr/>
        <w:t>with</w:t>
      </w:r>
      <w:r>
        <w:rPr>
          <w:spacing w:val="-5"/>
        </w:rPr>
        <w:t> </w:t>
      </w:r>
      <w:r>
        <w:rPr/>
        <w:t>no</w:t>
      </w:r>
      <w:r>
        <w:rPr>
          <w:spacing w:val="-7"/>
        </w:rPr>
        <w:t> </w:t>
      </w:r>
      <w:r>
        <w:rPr/>
        <w:t>formal</w:t>
      </w:r>
      <w:r>
        <w:rPr>
          <w:spacing w:val="-6"/>
        </w:rPr>
        <w:t> </w:t>
      </w:r>
      <w:r>
        <w:rPr/>
        <w:t>authority.</w:t>
      </w:r>
      <w:r>
        <w:rPr>
          <w:spacing w:val="-7"/>
        </w:rPr>
        <w:t> </w:t>
      </w:r>
      <w:r>
        <w:rPr/>
        <w:t>Public</w:t>
      </w:r>
      <w:r>
        <w:rPr>
          <w:spacing w:val="-7"/>
        </w:rPr>
        <w:t> </w:t>
      </w:r>
      <w:r>
        <w:rPr/>
        <w:t>Health</w:t>
      </w:r>
      <w:r>
        <w:rPr>
          <w:spacing w:val="-7"/>
        </w:rPr>
        <w:t> </w:t>
      </w:r>
      <w:r>
        <w:rPr/>
        <w:t>authority</w:t>
      </w:r>
      <w:r>
        <w:rPr>
          <w:spacing w:val="-5"/>
        </w:rPr>
        <w:t> </w:t>
      </w:r>
      <w:r>
        <w:rPr/>
        <w:t>rests</w:t>
      </w:r>
      <w:r>
        <w:rPr>
          <w:spacing w:val="-6"/>
        </w:rPr>
        <w:t> </w:t>
      </w:r>
      <w:r>
        <w:rPr/>
        <w:t>with</w:t>
      </w:r>
      <w:r>
        <w:rPr>
          <w:spacing w:val="-6"/>
        </w:rPr>
        <w:t> </w:t>
      </w:r>
      <w:r>
        <w:rPr/>
        <w:t>the</w:t>
      </w:r>
      <w:r>
        <w:rPr>
          <w:spacing w:val="-5"/>
        </w:rPr>
        <w:t> </w:t>
      </w:r>
      <w:r>
        <w:rPr/>
        <w:t>local</w:t>
      </w:r>
      <w:r>
        <w:rPr>
          <w:spacing w:val="-7"/>
        </w:rPr>
        <w:t> </w:t>
      </w:r>
      <w:r>
        <w:rPr/>
        <w:t>health departments in the</w:t>
      </w:r>
      <w:r>
        <w:rPr>
          <w:spacing w:val="-22"/>
        </w:rPr>
        <w:t> </w:t>
      </w:r>
      <w:r>
        <w:rPr/>
        <w:t>Coalitions.</w:t>
      </w:r>
    </w:p>
    <w:p>
      <w:pPr>
        <w:pStyle w:val="BodyText"/>
        <w:spacing w:line="259" w:lineRule="auto"/>
        <w:ind w:right="119"/>
      </w:pPr>
      <w:r>
        <w:rPr/>
        <w:t>The</w:t>
      </w:r>
      <w:r>
        <w:rPr>
          <w:spacing w:val="-8"/>
        </w:rPr>
        <w:t> </w:t>
      </w:r>
      <w:r>
        <w:rPr/>
        <w:t>mission</w:t>
      </w:r>
      <w:r>
        <w:rPr>
          <w:spacing w:val="-8"/>
        </w:rPr>
        <w:t> </w:t>
      </w:r>
      <w:r>
        <w:rPr/>
        <w:t>of</w:t>
      </w:r>
      <w:r>
        <w:rPr>
          <w:spacing w:val="-9"/>
        </w:rPr>
        <w:t> </w:t>
      </w:r>
      <w:r>
        <w:rPr/>
        <w:t>the</w:t>
      </w:r>
      <w:r>
        <w:rPr>
          <w:spacing w:val="-8"/>
        </w:rPr>
        <w:t> </w:t>
      </w:r>
      <w:r>
        <w:rPr/>
        <w:t>LSAC</w:t>
      </w:r>
      <w:r>
        <w:rPr>
          <w:spacing w:val="-7"/>
        </w:rPr>
        <w:t> </w:t>
      </w:r>
      <w:r>
        <w:rPr/>
        <w:t>is</w:t>
      </w:r>
      <w:r>
        <w:rPr>
          <w:spacing w:val="-7"/>
        </w:rPr>
        <w:t> </w:t>
      </w:r>
      <w:r>
        <w:rPr/>
        <w:t>to</w:t>
      </w:r>
      <w:r>
        <w:rPr>
          <w:spacing w:val="-8"/>
        </w:rPr>
        <w:t> </w:t>
      </w:r>
      <w:r>
        <w:rPr/>
        <w:t>collaborate</w:t>
      </w:r>
      <w:r>
        <w:rPr>
          <w:spacing w:val="-6"/>
        </w:rPr>
        <w:t> </w:t>
      </w:r>
      <w:r>
        <w:rPr/>
        <w:t>to</w:t>
      </w:r>
      <w:r>
        <w:rPr>
          <w:spacing w:val="-8"/>
        </w:rPr>
        <w:t> </w:t>
      </w:r>
      <w:r>
        <w:rPr/>
        <w:t>advance</w:t>
      </w:r>
      <w:r>
        <w:rPr>
          <w:spacing w:val="-8"/>
        </w:rPr>
        <w:t> </w:t>
      </w:r>
      <w:r>
        <w:rPr/>
        <w:t>Public</w:t>
      </w:r>
      <w:r>
        <w:rPr>
          <w:spacing w:val="-8"/>
        </w:rPr>
        <w:t> </w:t>
      </w:r>
      <w:r>
        <w:rPr/>
        <w:t>Health</w:t>
      </w:r>
      <w:r>
        <w:rPr>
          <w:spacing w:val="-8"/>
        </w:rPr>
        <w:t> </w:t>
      </w:r>
      <w:r>
        <w:rPr/>
        <w:t>preparedness</w:t>
      </w:r>
      <w:r>
        <w:rPr>
          <w:spacing w:val="-7"/>
        </w:rPr>
        <w:t> </w:t>
      </w:r>
      <w:r>
        <w:rPr/>
        <w:t>in</w:t>
      </w:r>
      <w:r>
        <w:rPr>
          <w:spacing w:val="-8"/>
        </w:rPr>
        <w:t> </w:t>
      </w:r>
      <w:r>
        <w:rPr/>
        <w:t>the</w:t>
      </w:r>
      <w:r>
        <w:rPr>
          <w:spacing w:val="-8"/>
        </w:rPr>
        <w:t> </w:t>
      </w:r>
      <w:r>
        <w:rPr/>
        <w:t>Commonwealth</w:t>
      </w:r>
      <w:r>
        <w:rPr>
          <w:spacing w:val="-8"/>
        </w:rPr>
        <w:t> </w:t>
      </w:r>
      <w:r>
        <w:rPr/>
        <w:t>of Massachusetts.</w:t>
      </w:r>
    </w:p>
    <w:p>
      <w:pPr>
        <w:pStyle w:val="BodyText"/>
        <w:spacing w:line="259" w:lineRule="auto"/>
        <w:ind w:right="117"/>
      </w:pPr>
      <w:r>
        <w:rPr/>
        <w:t>Membership</w:t>
      </w:r>
      <w:r>
        <w:rPr>
          <w:spacing w:val="-4"/>
        </w:rPr>
        <w:t> </w:t>
      </w:r>
      <w:r>
        <w:rPr/>
        <w:t>of</w:t>
      </w:r>
      <w:r>
        <w:rPr>
          <w:spacing w:val="-5"/>
        </w:rPr>
        <w:t> </w:t>
      </w:r>
      <w:r>
        <w:rPr/>
        <w:t>the</w:t>
      </w:r>
      <w:r>
        <w:rPr>
          <w:spacing w:val="-5"/>
        </w:rPr>
        <w:t> </w:t>
      </w:r>
      <w:r>
        <w:rPr/>
        <w:t>LSAC</w:t>
      </w:r>
      <w:r>
        <w:rPr>
          <w:spacing w:val="-4"/>
        </w:rPr>
        <w:t> </w:t>
      </w:r>
      <w:r>
        <w:rPr/>
        <w:t>consists</w:t>
      </w:r>
      <w:r>
        <w:rPr>
          <w:spacing w:val="-5"/>
        </w:rPr>
        <w:t> </w:t>
      </w:r>
      <w:r>
        <w:rPr/>
        <w:t>of</w:t>
      </w:r>
      <w:r>
        <w:rPr>
          <w:spacing w:val="-6"/>
        </w:rPr>
        <w:t> </w:t>
      </w:r>
      <w:r>
        <w:rPr/>
        <w:t>each</w:t>
      </w:r>
      <w:r>
        <w:rPr>
          <w:spacing w:val="-5"/>
        </w:rPr>
        <w:t> </w:t>
      </w:r>
      <w:r>
        <w:rPr/>
        <w:t>of</w:t>
      </w:r>
      <w:r>
        <w:rPr>
          <w:spacing w:val="-4"/>
        </w:rPr>
        <w:t> </w:t>
      </w:r>
      <w:r>
        <w:rPr/>
        <w:t>the</w:t>
      </w:r>
      <w:r>
        <w:rPr>
          <w:spacing w:val="-5"/>
        </w:rPr>
        <w:t> </w:t>
      </w:r>
      <w:r>
        <w:rPr/>
        <w:t>Preparedness</w:t>
      </w:r>
      <w:r>
        <w:rPr>
          <w:spacing w:val="-5"/>
        </w:rPr>
        <w:t> </w:t>
      </w:r>
      <w:r>
        <w:rPr/>
        <w:t>Coalitions,</w:t>
      </w:r>
      <w:r>
        <w:rPr>
          <w:spacing w:val="-6"/>
        </w:rPr>
        <w:t> </w:t>
      </w:r>
      <w:r>
        <w:rPr/>
        <w:t>the</w:t>
      </w:r>
      <w:r>
        <w:rPr>
          <w:spacing w:val="-4"/>
        </w:rPr>
        <w:t> </w:t>
      </w:r>
      <w:r>
        <w:rPr/>
        <w:t>two</w:t>
      </w:r>
      <w:r>
        <w:rPr>
          <w:spacing w:val="-6"/>
        </w:rPr>
        <w:t> </w:t>
      </w:r>
      <w:r>
        <w:rPr/>
        <w:t>Tribal</w:t>
      </w:r>
      <w:r>
        <w:rPr>
          <w:spacing w:val="-5"/>
        </w:rPr>
        <w:t> </w:t>
      </w:r>
      <w:r>
        <w:rPr/>
        <w:t>Nations</w:t>
      </w:r>
      <w:r>
        <w:rPr>
          <w:spacing w:val="-6"/>
        </w:rPr>
        <w:t> </w:t>
      </w:r>
      <w:r>
        <w:rPr/>
        <w:t>and</w:t>
      </w:r>
      <w:r>
        <w:rPr>
          <w:spacing w:val="-6"/>
        </w:rPr>
        <w:t> </w:t>
      </w:r>
      <w:r>
        <w:rPr/>
        <w:t>each of</w:t>
      </w:r>
      <w:r>
        <w:rPr>
          <w:spacing w:val="-12"/>
        </w:rPr>
        <w:t> </w:t>
      </w:r>
      <w:r>
        <w:rPr/>
        <w:t>the</w:t>
      </w:r>
      <w:r>
        <w:rPr>
          <w:spacing w:val="-11"/>
        </w:rPr>
        <w:t> </w:t>
      </w:r>
      <w:r>
        <w:rPr/>
        <w:t>five,</w:t>
      </w:r>
      <w:r>
        <w:rPr>
          <w:spacing w:val="-12"/>
        </w:rPr>
        <w:t> </w:t>
      </w:r>
      <w:r>
        <w:rPr/>
        <w:t>statewide</w:t>
      </w:r>
      <w:r>
        <w:rPr>
          <w:spacing w:val="-11"/>
        </w:rPr>
        <w:t> </w:t>
      </w:r>
      <w:r>
        <w:rPr/>
        <w:t>public</w:t>
      </w:r>
      <w:r>
        <w:rPr>
          <w:spacing w:val="-13"/>
        </w:rPr>
        <w:t> </w:t>
      </w:r>
      <w:r>
        <w:rPr/>
        <w:t>health</w:t>
      </w:r>
      <w:r>
        <w:rPr>
          <w:spacing w:val="-12"/>
        </w:rPr>
        <w:t> </w:t>
      </w:r>
      <w:r>
        <w:rPr/>
        <w:t>professional</w:t>
      </w:r>
      <w:r>
        <w:rPr>
          <w:spacing w:val="-13"/>
        </w:rPr>
        <w:t> </w:t>
      </w:r>
      <w:r>
        <w:rPr/>
        <w:t>organizations</w:t>
      </w:r>
      <w:r>
        <w:rPr>
          <w:spacing w:val="-10"/>
        </w:rPr>
        <w:t> </w:t>
      </w:r>
      <w:r>
        <w:rPr/>
        <w:t>which</w:t>
      </w:r>
      <w:r>
        <w:rPr>
          <w:spacing w:val="-11"/>
        </w:rPr>
        <w:t> </w:t>
      </w:r>
      <w:r>
        <w:rPr/>
        <w:t>comprise</w:t>
      </w:r>
      <w:r>
        <w:rPr>
          <w:spacing w:val="-11"/>
        </w:rPr>
        <w:t> </w:t>
      </w:r>
      <w:r>
        <w:rPr/>
        <w:t>the</w:t>
      </w:r>
      <w:r>
        <w:rPr>
          <w:spacing w:val="-12"/>
        </w:rPr>
        <w:t> </w:t>
      </w:r>
      <w:r>
        <w:rPr/>
        <w:t>Coalition</w:t>
      </w:r>
      <w:r>
        <w:rPr>
          <w:spacing w:val="-12"/>
        </w:rPr>
        <w:t> </w:t>
      </w:r>
      <w:r>
        <w:rPr/>
        <w:t>of</w:t>
      </w:r>
      <w:r>
        <w:rPr>
          <w:spacing w:val="-12"/>
        </w:rPr>
        <w:t> </w:t>
      </w:r>
      <w:r>
        <w:rPr/>
        <w:t>Local</w:t>
      </w:r>
      <w:r>
        <w:rPr>
          <w:spacing w:val="-13"/>
        </w:rPr>
        <w:t> </w:t>
      </w:r>
      <w:r>
        <w:rPr/>
        <w:t>Public Health.</w:t>
      </w:r>
      <w:r>
        <w:rPr>
          <w:spacing w:val="-14"/>
        </w:rPr>
        <w:t> </w:t>
      </w:r>
      <w:r>
        <w:rPr/>
        <w:t>Each</w:t>
      </w:r>
      <w:r>
        <w:rPr>
          <w:spacing w:val="-12"/>
        </w:rPr>
        <w:t> </w:t>
      </w:r>
      <w:r>
        <w:rPr/>
        <w:t>member</w:t>
      </w:r>
      <w:r>
        <w:rPr>
          <w:spacing w:val="-15"/>
        </w:rPr>
        <w:t> </w:t>
      </w:r>
      <w:r>
        <w:rPr/>
        <w:t>organization</w:t>
      </w:r>
      <w:r>
        <w:rPr>
          <w:spacing w:val="-14"/>
        </w:rPr>
        <w:t> </w:t>
      </w:r>
      <w:r>
        <w:rPr/>
        <w:t>will</w:t>
      </w:r>
      <w:r>
        <w:rPr>
          <w:spacing w:val="-14"/>
        </w:rPr>
        <w:t> </w:t>
      </w:r>
      <w:r>
        <w:rPr/>
        <w:t>appoint</w:t>
      </w:r>
      <w:r>
        <w:rPr>
          <w:spacing w:val="-14"/>
        </w:rPr>
        <w:t> </w:t>
      </w:r>
      <w:r>
        <w:rPr/>
        <w:t>one</w:t>
      </w:r>
      <w:r>
        <w:rPr>
          <w:spacing w:val="-14"/>
        </w:rPr>
        <w:t> </w:t>
      </w:r>
      <w:r>
        <w:rPr/>
        <w:t>Representative</w:t>
      </w:r>
      <w:r>
        <w:rPr>
          <w:spacing w:val="-14"/>
        </w:rPr>
        <w:t> </w:t>
      </w:r>
      <w:r>
        <w:rPr/>
        <w:t>(except</w:t>
      </w:r>
      <w:r>
        <w:rPr>
          <w:spacing w:val="-15"/>
        </w:rPr>
        <w:t> </w:t>
      </w:r>
      <w:r>
        <w:rPr/>
        <w:t>the</w:t>
      </w:r>
      <w:r>
        <w:rPr>
          <w:spacing w:val="-12"/>
        </w:rPr>
        <w:t> </w:t>
      </w:r>
      <w:r>
        <w:rPr/>
        <w:t>Central</w:t>
      </w:r>
      <w:r>
        <w:rPr>
          <w:spacing w:val="-13"/>
        </w:rPr>
        <w:t> </w:t>
      </w:r>
      <w:r>
        <w:rPr/>
        <w:t>Region,</w:t>
      </w:r>
      <w:r>
        <w:rPr>
          <w:spacing w:val="-14"/>
        </w:rPr>
        <w:t> </w:t>
      </w:r>
      <w:r>
        <w:rPr/>
        <w:t>which</w:t>
      </w:r>
      <w:r>
        <w:rPr>
          <w:spacing w:val="-15"/>
        </w:rPr>
        <w:t> </w:t>
      </w:r>
      <w:r>
        <w:rPr/>
        <w:t>may have two Representatives) and an Alternate to the LSAC. The Commissioner of Public Health and his/her representative</w:t>
      </w:r>
      <w:r>
        <w:rPr>
          <w:spacing w:val="-13"/>
        </w:rPr>
        <w:t> </w:t>
      </w:r>
      <w:r>
        <w:rPr/>
        <w:t>and</w:t>
      </w:r>
      <w:r>
        <w:rPr>
          <w:spacing w:val="-12"/>
        </w:rPr>
        <w:t> </w:t>
      </w:r>
      <w:r>
        <w:rPr/>
        <w:t>the</w:t>
      </w:r>
      <w:r>
        <w:rPr>
          <w:spacing w:val="-13"/>
        </w:rPr>
        <w:t> </w:t>
      </w:r>
      <w:r>
        <w:rPr/>
        <w:t>Director</w:t>
      </w:r>
      <w:r>
        <w:rPr>
          <w:spacing w:val="-12"/>
        </w:rPr>
        <w:t> </w:t>
      </w:r>
      <w:r>
        <w:rPr/>
        <w:t>of</w:t>
      </w:r>
      <w:r>
        <w:rPr>
          <w:spacing w:val="-14"/>
        </w:rPr>
        <w:t> </w:t>
      </w:r>
      <w:r>
        <w:rPr/>
        <w:t>the</w:t>
      </w:r>
      <w:r>
        <w:rPr>
          <w:spacing w:val="-11"/>
        </w:rPr>
        <w:t> </w:t>
      </w:r>
      <w:r>
        <w:rPr/>
        <w:t>MDPH</w:t>
      </w:r>
      <w:r>
        <w:rPr>
          <w:spacing w:val="-13"/>
        </w:rPr>
        <w:t> </w:t>
      </w:r>
      <w:r>
        <w:rPr/>
        <w:t>Emergency</w:t>
      </w:r>
      <w:r>
        <w:rPr>
          <w:spacing w:val="-12"/>
        </w:rPr>
        <w:t> </w:t>
      </w:r>
      <w:r>
        <w:rPr/>
        <w:t>Preparedness</w:t>
      </w:r>
      <w:r>
        <w:rPr>
          <w:spacing w:val="-13"/>
        </w:rPr>
        <w:t> </w:t>
      </w:r>
      <w:r>
        <w:rPr/>
        <w:t>Bureau</w:t>
      </w:r>
      <w:r>
        <w:rPr>
          <w:spacing w:val="-13"/>
        </w:rPr>
        <w:t> </w:t>
      </w:r>
      <w:r>
        <w:rPr/>
        <w:t>and</w:t>
      </w:r>
      <w:r>
        <w:rPr>
          <w:spacing w:val="-13"/>
        </w:rPr>
        <w:t> </w:t>
      </w:r>
      <w:r>
        <w:rPr/>
        <w:t>his/her</w:t>
      </w:r>
      <w:r>
        <w:rPr>
          <w:spacing w:val="-13"/>
        </w:rPr>
        <w:t> </w:t>
      </w:r>
      <w:r>
        <w:rPr/>
        <w:t>representative shall have ex‐officio membership at each</w:t>
      </w:r>
      <w:r>
        <w:rPr>
          <w:spacing w:val="-25"/>
        </w:rPr>
        <w:t> </w:t>
      </w:r>
      <w:r>
        <w:rPr/>
        <w:t>meeting.</w:t>
      </w:r>
    </w:p>
    <w:p>
      <w:pPr>
        <w:pStyle w:val="Heading1"/>
        <w:spacing w:before="158"/>
      </w:pPr>
      <w:r>
        <w:rPr/>
        <w:t>MA Coalition for Suicide Prevention</w:t>
      </w:r>
    </w:p>
    <w:p>
      <w:pPr>
        <w:pStyle w:val="BodyText"/>
        <w:spacing w:before="181"/>
      </w:pPr>
      <w:r>
        <w:rPr/>
        <w:t>The Massachusetts Coalition for Suicide Prevention (MCSP) is a broad‐based inclusive alliance of suicide prevention advocates. Members includes public and private agency representatives, non‐profit organizations, policymakers, survivors of suicide loss, suicide attempt survivors, mental health clinicians and other health care providers, law enforcement, mental health and public health consumers, and concerned citizens committed to working together to reduce the incidence of self‐harm and suicide in Massachusetts.  From  its  inception,  the  Coalition  has  been  a  public  /private  partnership,  involving</w:t>
      </w:r>
    </w:p>
    <w:p>
      <w:pPr>
        <w:spacing w:after="0"/>
        <w:sectPr>
          <w:pgSz w:w="12240" w:h="15840"/>
          <w:pgMar w:header="0" w:footer="743" w:top="1400" w:bottom="940" w:left="980" w:right="1320"/>
        </w:sectPr>
      </w:pPr>
    </w:p>
    <w:p>
      <w:pPr>
        <w:pStyle w:val="BodyText"/>
        <w:spacing w:before="40"/>
      </w:pPr>
      <w:r>
        <w:rPr/>
        <w:t>government</w:t>
      </w:r>
      <w:r>
        <w:rPr>
          <w:spacing w:val="-7"/>
        </w:rPr>
        <w:t> </w:t>
      </w:r>
      <w:r>
        <w:rPr/>
        <w:t>agencies</w:t>
      </w:r>
      <w:r>
        <w:rPr>
          <w:spacing w:val="-8"/>
        </w:rPr>
        <w:t> </w:t>
      </w:r>
      <w:r>
        <w:rPr/>
        <w:t>such</w:t>
      </w:r>
      <w:r>
        <w:rPr>
          <w:spacing w:val="-7"/>
        </w:rPr>
        <w:t> </w:t>
      </w:r>
      <w:r>
        <w:rPr/>
        <w:t>as</w:t>
      </w:r>
      <w:r>
        <w:rPr>
          <w:spacing w:val="-8"/>
        </w:rPr>
        <w:t> </w:t>
      </w:r>
      <w:r>
        <w:rPr/>
        <w:t>the</w:t>
      </w:r>
      <w:r>
        <w:rPr>
          <w:spacing w:val="-8"/>
        </w:rPr>
        <w:t> </w:t>
      </w:r>
      <w:r>
        <w:rPr/>
        <w:t>Department</w:t>
      </w:r>
      <w:r>
        <w:rPr>
          <w:spacing w:val="-8"/>
        </w:rPr>
        <w:t> </w:t>
      </w:r>
      <w:r>
        <w:rPr/>
        <w:t>of</w:t>
      </w:r>
      <w:r>
        <w:rPr>
          <w:spacing w:val="-8"/>
        </w:rPr>
        <w:t> </w:t>
      </w:r>
      <w:r>
        <w:rPr/>
        <w:t>Public</w:t>
      </w:r>
      <w:r>
        <w:rPr>
          <w:spacing w:val="-8"/>
        </w:rPr>
        <w:t> </w:t>
      </w:r>
      <w:r>
        <w:rPr/>
        <w:t>Health</w:t>
      </w:r>
      <w:r>
        <w:rPr>
          <w:spacing w:val="-8"/>
        </w:rPr>
        <w:t> </w:t>
      </w:r>
      <w:r>
        <w:rPr/>
        <w:t>and</w:t>
      </w:r>
      <w:r>
        <w:rPr>
          <w:spacing w:val="-9"/>
        </w:rPr>
        <w:t> </w:t>
      </w:r>
      <w:r>
        <w:rPr/>
        <w:t>Department</w:t>
      </w:r>
      <w:r>
        <w:rPr>
          <w:spacing w:val="-7"/>
        </w:rPr>
        <w:t> </w:t>
      </w:r>
      <w:r>
        <w:rPr/>
        <w:t>of</w:t>
      </w:r>
      <w:r>
        <w:rPr>
          <w:spacing w:val="-8"/>
        </w:rPr>
        <w:t> </w:t>
      </w:r>
      <w:r>
        <w:rPr/>
        <w:t>Mental</w:t>
      </w:r>
      <w:r>
        <w:rPr>
          <w:spacing w:val="-6"/>
        </w:rPr>
        <w:t> </w:t>
      </w:r>
      <w:r>
        <w:rPr/>
        <w:t>Health</w:t>
      </w:r>
      <w:r>
        <w:rPr>
          <w:spacing w:val="-8"/>
        </w:rPr>
        <w:t> </w:t>
      </w:r>
      <w:r>
        <w:rPr/>
        <w:t>working in</w:t>
      </w:r>
      <w:r>
        <w:rPr>
          <w:spacing w:val="-7"/>
        </w:rPr>
        <w:t> </w:t>
      </w:r>
      <w:r>
        <w:rPr/>
        <w:t>partnership</w:t>
      </w:r>
      <w:r>
        <w:rPr>
          <w:spacing w:val="-7"/>
        </w:rPr>
        <w:t> </w:t>
      </w:r>
      <w:r>
        <w:rPr/>
        <w:t>with</w:t>
      </w:r>
      <w:r>
        <w:rPr>
          <w:spacing w:val="-7"/>
        </w:rPr>
        <w:t> </w:t>
      </w:r>
      <w:r>
        <w:rPr/>
        <w:t>community‐based</w:t>
      </w:r>
      <w:r>
        <w:rPr>
          <w:spacing w:val="-7"/>
        </w:rPr>
        <w:t> </w:t>
      </w:r>
      <w:r>
        <w:rPr/>
        <w:t>agencies</w:t>
      </w:r>
      <w:r>
        <w:rPr>
          <w:spacing w:val="-7"/>
        </w:rPr>
        <w:t> </w:t>
      </w:r>
      <w:r>
        <w:rPr/>
        <w:t>and</w:t>
      </w:r>
      <w:r>
        <w:rPr>
          <w:spacing w:val="-6"/>
        </w:rPr>
        <w:t> </w:t>
      </w:r>
      <w:r>
        <w:rPr/>
        <w:t>interested</w:t>
      </w:r>
      <w:r>
        <w:rPr>
          <w:spacing w:val="-7"/>
        </w:rPr>
        <w:t> </w:t>
      </w:r>
      <w:r>
        <w:rPr/>
        <w:t>individuals.</w:t>
      </w:r>
    </w:p>
    <w:p>
      <w:pPr>
        <w:pStyle w:val="BodyText"/>
      </w:pPr>
      <w:r>
        <w:rPr/>
        <w:t>The goals of the coalition are to support and develop effective suicide prevention initiatives by providing leadership and advocacy, promote collaborations among organizations, develop and recommend policy, and promote research and development.</w:t>
      </w:r>
    </w:p>
    <w:p>
      <w:pPr>
        <w:pStyle w:val="Heading1"/>
      </w:pPr>
      <w:r>
        <w:rPr/>
        <w:t>MA Commission on LGBTQ Youth</w:t>
      </w:r>
    </w:p>
    <w:p>
      <w:pPr>
        <w:pStyle w:val="BodyText"/>
        <w:ind w:left="459" w:right="117"/>
      </w:pPr>
      <w:r>
        <w:rPr/>
        <w:t>The Massachusetts Commission on LGBTQ Youth is an independent agency of the Commonwealth with a mandate to investigate the use of resources from both the public and private sectors to enhance and improve</w:t>
      </w:r>
      <w:r>
        <w:rPr>
          <w:spacing w:val="-6"/>
        </w:rPr>
        <w:t> </w:t>
      </w:r>
      <w:r>
        <w:rPr/>
        <w:t>the</w:t>
      </w:r>
      <w:r>
        <w:rPr>
          <w:spacing w:val="-4"/>
        </w:rPr>
        <w:t> </w:t>
      </w:r>
      <w:r>
        <w:rPr/>
        <w:t>ability</w:t>
      </w:r>
      <w:r>
        <w:rPr>
          <w:spacing w:val="-5"/>
        </w:rPr>
        <w:t> </w:t>
      </w:r>
      <w:r>
        <w:rPr/>
        <w:t>of</w:t>
      </w:r>
      <w:r>
        <w:rPr>
          <w:spacing w:val="-7"/>
        </w:rPr>
        <w:t> </w:t>
      </w:r>
      <w:r>
        <w:rPr/>
        <w:t>state</w:t>
      </w:r>
      <w:r>
        <w:rPr>
          <w:spacing w:val="-7"/>
        </w:rPr>
        <w:t> </w:t>
      </w:r>
      <w:r>
        <w:rPr/>
        <w:t>agencies</w:t>
      </w:r>
      <w:r>
        <w:rPr>
          <w:spacing w:val="-5"/>
        </w:rPr>
        <w:t> </w:t>
      </w:r>
      <w:r>
        <w:rPr/>
        <w:t>to</w:t>
      </w:r>
      <w:r>
        <w:rPr>
          <w:spacing w:val="-4"/>
        </w:rPr>
        <w:t> </w:t>
      </w:r>
      <w:r>
        <w:rPr/>
        <w:t>provide</w:t>
      </w:r>
      <w:r>
        <w:rPr>
          <w:spacing w:val="-6"/>
        </w:rPr>
        <w:t> </w:t>
      </w:r>
      <w:r>
        <w:rPr/>
        <w:t>services</w:t>
      </w:r>
      <w:r>
        <w:rPr>
          <w:spacing w:val="-5"/>
        </w:rPr>
        <w:t> </w:t>
      </w:r>
      <w:r>
        <w:rPr/>
        <w:t>that</w:t>
      </w:r>
      <w:r>
        <w:rPr>
          <w:spacing w:val="-6"/>
        </w:rPr>
        <w:t> </w:t>
      </w:r>
      <w:r>
        <w:rPr/>
        <w:t>protect</w:t>
      </w:r>
      <w:r>
        <w:rPr>
          <w:spacing w:val="-7"/>
        </w:rPr>
        <w:t> </w:t>
      </w:r>
      <w:r>
        <w:rPr/>
        <w:t>and</w:t>
      </w:r>
      <w:r>
        <w:rPr>
          <w:spacing w:val="-6"/>
        </w:rPr>
        <w:t> </w:t>
      </w:r>
      <w:r>
        <w:rPr/>
        <w:t>support</w:t>
      </w:r>
      <w:r>
        <w:rPr>
          <w:spacing w:val="-7"/>
        </w:rPr>
        <w:t> </w:t>
      </w:r>
      <w:r>
        <w:rPr/>
        <w:t>the</w:t>
      </w:r>
      <w:r>
        <w:rPr>
          <w:spacing w:val="-5"/>
        </w:rPr>
        <w:t> </w:t>
      </w:r>
      <w:r>
        <w:rPr/>
        <w:t>health</w:t>
      </w:r>
      <w:r>
        <w:rPr>
          <w:spacing w:val="-7"/>
        </w:rPr>
        <w:t> </w:t>
      </w:r>
      <w:r>
        <w:rPr/>
        <w:t>and</w:t>
      </w:r>
      <w:r>
        <w:rPr>
          <w:spacing w:val="-7"/>
        </w:rPr>
        <w:t> </w:t>
      </w:r>
      <w:r>
        <w:rPr/>
        <w:t>safety</w:t>
      </w:r>
      <w:r>
        <w:rPr>
          <w:spacing w:val="-4"/>
        </w:rPr>
        <w:t> </w:t>
      </w:r>
      <w:r>
        <w:rPr/>
        <w:t>of Lesbian, Gay, Bisexual, Transgender, Queer and Questioning (LGBTQ) youth in the schools and communities of Massachusetts. The Commission has a focus on suicide prevention and violence intervention policies regarding harassment and discrimination against LGBTQ youth, and also makes recommendations about policies and programs supporting LGBTQ youth to state government</w:t>
      </w:r>
      <w:r>
        <w:rPr>
          <w:spacing w:val="-34"/>
        </w:rPr>
        <w:t> </w:t>
      </w:r>
      <w:r>
        <w:rPr/>
        <w:t>agencies.</w:t>
      </w:r>
    </w:p>
    <w:p>
      <w:pPr>
        <w:pStyle w:val="Heading1"/>
      </w:pPr>
      <w:r>
        <w:rPr/>
        <w:t>Advisory Board to the Occupational Health Surveillance Program</w:t>
      </w:r>
    </w:p>
    <w:p>
      <w:pPr>
        <w:pStyle w:val="BodyText"/>
        <w:ind w:right="116"/>
      </w:pPr>
      <w:r>
        <w:rPr>
          <w:color w:val="212121"/>
        </w:rPr>
        <w:t>The Occupational Health and Safety Advisory Board is a 13‐member board consisting of the following persons or their designees: Secretary of Labor and Workforce Development, Personnel Administrator/Chief Human Resources Officer, Director of the Department of Labor Standards, Secretary of Administration and Finance, Director of the Office of Employee Relations, Commissioner of the Massachusetts Department of Public Health, Director of the Department of Industrial Accidents, four representatives from labor unions representing state employees, one representative from a community‐ based</w:t>
      </w:r>
      <w:r>
        <w:rPr>
          <w:color w:val="212121"/>
          <w:spacing w:val="-15"/>
        </w:rPr>
        <w:t> </w:t>
      </w:r>
      <w:r>
        <w:rPr>
          <w:color w:val="212121"/>
        </w:rPr>
        <w:t>health</w:t>
      </w:r>
      <w:r>
        <w:rPr>
          <w:color w:val="212121"/>
          <w:spacing w:val="-13"/>
        </w:rPr>
        <w:t> </w:t>
      </w:r>
      <w:r>
        <w:rPr>
          <w:color w:val="212121"/>
        </w:rPr>
        <w:t>and</w:t>
      </w:r>
      <w:r>
        <w:rPr>
          <w:color w:val="212121"/>
          <w:spacing w:val="-15"/>
        </w:rPr>
        <w:t> </w:t>
      </w:r>
      <w:r>
        <w:rPr>
          <w:color w:val="212121"/>
        </w:rPr>
        <w:t>safety</w:t>
      </w:r>
      <w:r>
        <w:rPr>
          <w:color w:val="212121"/>
          <w:spacing w:val="-14"/>
        </w:rPr>
        <w:t> </w:t>
      </w:r>
      <w:r>
        <w:rPr>
          <w:color w:val="212121"/>
        </w:rPr>
        <w:t>advocacy</w:t>
      </w:r>
      <w:r>
        <w:rPr>
          <w:color w:val="212121"/>
          <w:spacing w:val="-15"/>
        </w:rPr>
        <w:t> </w:t>
      </w:r>
      <w:r>
        <w:rPr>
          <w:color w:val="212121"/>
        </w:rPr>
        <w:t>organization,</w:t>
      </w:r>
      <w:r>
        <w:rPr>
          <w:color w:val="212121"/>
          <w:spacing w:val="-15"/>
        </w:rPr>
        <w:t> </w:t>
      </w:r>
      <w:r>
        <w:rPr>
          <w:color w:val="212121"/>
        </w:rPr>
        <w:t>and</w:t>
      </w:r>
      <w:r>
        <w:rPr>
          <w:color w:val="212121"/>
          <w:spacing w:val="-15"/>
        </w:rPr>
        <w:t> </w:t>
      </w:r>
      <w:r>
        <w:rPr>
          <w:color w:val="212121"/>
        </w:rPr>
        <w:t>one</w:t>
      </w:r>
      <w:r>
        <w:rPr>
          <w:color w:val="212121"/>
          <w:spacing w:val="-14"/>
        </w:rPr>
        <w:t> </w:t>
      </w:r>
      <w:r>
        <w:rPr>
          <w:color w:val="212121"/>
        </w:rPr>
        <w:t>member</w:t>
      </w:r>
      <w:r>
        <w:rPr>
          <w:color w:val="212121"/>
          <w:spacing w:val="-14"/>
        </w:rPr>
        <w:t> </w:t>
      </w:r>
      <w:r>
        <w:rPr>
          <w:color w:val="212121"/>
        </w:rPr>
        <w:t>of</w:t>
      </w:r>
      <w:r>
        <w:rPr>
          <w:color w:val="212121"/>
          <w:spacing w:val="-15"/>
        </w:rPr>
        <w:t> </w:t>
      </w:r>
      <w:r>
        <w:rPr>
          <w:color w:val="212121"/>
        </w:rPr>
        <w:t>the</w:t>
      </w:r>
      <w:r>
        <w:rPr>
          <w:color w:val="212121"/>
          <w:spacing w:val="-15"/>
        </w:rPr>
        <w:t> </w:t>
      </w:r>
      <w:r>
        <w:rPr>
          <w:color w:val="212121"/>
        </w:rPr>
        <w:t>faculty</w:t>
      </w:r>
      <w:r>
        <w:rPr>
          <w:color w:val="212121"/>
          <w:spacing w:val="-15"/>
        </w:rPr>
        <w:t> </w:t>
      </w:r>
      <w:r>
        <w:rPr>
          <w:color w:val="212121"/>
        </w:rPr>
        <w:t>of</w:t>
      </w:r>
      <w:r>
        <w:rPr>
          <w:color w:val="212121"/>
          <w:spacing w:val="-15"/>
        </w:rPr>
        <w:t> </w:t>
      </w:r>
      <w:r>
        <w:rPr>
          <w:color w:val="212121"/>
        </w:rPr>
        <w:t>the</w:t>
      </w:r>
      <w:r>
        <w:rPr>
          <w:color w:val="212121"/>
          <w:spacing w:val="-15"/>
        </w:rPr>
        <w:t> </w:t>
      </w:r>
      <w:r>
        <w:rPr>
          <w:color w:val="212121"/>
        </w:rPr>
        <w:t>Department</w:t>
      </w:r>
      <w:r>
        <w:rPr>
          <w:color w:val="212121"/>
          <w:spacing w:val="-14"/>
        </w:rPr>
        <w:t> </w:t>
      </w:r>
      <w:r>
        <w:rPr>
          <w:color w:val="212121"/>
        </w:rPr>
        <w:t>of</w:t>
      </w:r>
      <w:r>
        <w:rPr>
          <w:color w:val="212121"/>
          <w:spacing w:val="-14"/>
        </w:rPr>
        <w:t> </w:t>
      </w:r>
      <w:r>
        <w:rPr>
          <w:color w:val="212121"/>
        </w:rPr>
        <w:t>Work Environment at the University of Massachusetts‐</w:t>
      </w:r>
      <w:r>
        <w:rPr>
          <w:color w:val="212121"/>
          <w:spacing w:val="-11"/>
        </w:rPr>
        <w:t> </w:t>
      </w:r>
      <w:r>
        <w:rPr>
          <w:color w:val="212121"/>
        </w:rPr>
        <w:t>Lowell.</w:t>
      </w:r>
    </w:p>
    <w:p>
      <w:pPr>
        <w:pStyle w:val="BodyText"/>
        <w:ind w:right="114"/>
      </w:pPr>
      <w:r>
        <w:rPr>
          <w:color w:val="212121"/>
        </w:rPr>
        <w:t>The mission of the Board is to evaluate and address any needed improvements in the protection of Commonwealth employees at the macro policy level. The Board uses methods such as evaluation of existing</w:t>
      </w:r>
      <w:r>
        <w:rPr>
          <w:color w:val="212121"/>
          <w:spacing w:val="-10"/>
        </w:rPr>
        <w:t> </w:t>
      </w:r>
      <w:r>
        <w:rPr>
          <w:color w:val="212121"/>
        </w:rPr>
        <w:t>health</w:t>
      </w:r>
      <w:r>
        <w:rPr>
          <w:color w:val="212121"/>
          <w:spacing w:val="-10"/>
        </w:rPr>
        <w:t> </w:t>
      </w:r>
      <w:r>
        <w:rPr>
          <w:color w:val="212121"/>
        </w:rPr>
        <w:t>and</w:t>
      </w:r>
      <w:r>
        <w:rPr>
          <w:color w:val="212121"/>
          <w:spacing w:val="-10"/>
        </w:rPr>
        <w:t> </w:t>
      </w:r>
      <w:r>
        <w:rPr>
          <w:color w:val="212121"/>
        </w:rPr>
        <w:t>safety</w:t>
      </w:r>
      <w:r>
        <w:rPr>
          <w:color w:val="212121"/>
          <w:spacing w:val="-10"/>
        </w:rPr>
        <w:t> </w:t>
      </w:r>
      <w:r>
        <w:rPr>
          <w:color w:val="212121"/>
        </w:rPr>
        <w:t>systems</w:t>
      </w:r>
      <w:r>
        <w:rPr>
          <w:color w:val="212121"/>
          <w:spacing w:val="-10"/>
        </w:rPr>
        <w:t> </w:t>
      </w:r>
      <w:r>
        <w:rPr>
          <w:color w:val="212121"/>
        </w:rPr>
        <w:t>and</w:t>
      </w:r>
      <w:r>
        <w:rPr>
          <w:color w:val="212121"/>
          <w:spacing w:val="-10"/>
        </w:rPr>
        <w:t> </w:t>
      </w:r>
      <w:r>
        <w:rPr>
          <w:color w:val="212121"/>
        </w:rPr>
        <w:t>injury</w:t>
      </w:r>
      <w:r>
        <w:rPr>
          <w:color w:val="212121"/>
          <w:spacing w:val="-10"/>
        </w:rPr>
        <w:t> </w:t>
      </w:r>
      <w:r>
        <w:rPr>
          <w:color w:val="212121"/>
        </w:rPr>
        <w:t>and</w:t>
      </w:r>
      <w:r>
        <w:rPr>
          <w:color w:val="212121"/>
          <w:spacing w:val="-10"/>
        </w:rPr>
        <w:t> </w:t>
      </w:r>
      <w:r>
        <w:rPr>
          <w:color w:val="212121"/>
        </w:rPr>
        <w:t>illness</w:t>
      </w:r>
      <w:r>
        <w:rPr>
          <w:color w:val="212121"/>
          <w:spacing w:val="-10"/>
        </w:rPr>
        <w:t> </w:t>
      </w:r>
      <w:r>
        <w:rPr>
          <w:color w:val="212121"/>
        </w:rPr>
        <w:t>statistics</w:t>
      </w:r>
      <w:r>
        <w:rPr>
          <w:color w:val="212121"/>
          <w:spacing w:val="-9"/>
        </w:rPr>
        <w:t> </w:t>
      </w:r>
      <w:r>
        <w:rPr>
          <w:color w:val="212121"/>
        </w:rPr>
        <w:t>to</w:t>
      </w:r>
      <w:r>
        <w:rPr>
          <w:color w:val="212121"/>
          <w:spacing w:val="-10"/>
        </w:rPr>
        <w:t> </w:t>
      </w:r>
      <w:r>
        <w:rPr>
          <w:color w:val="212121"/>
        </w:rPr>
        <w:t>create</w:t>
      </w:r>
      <w:r>
        <w:rPr>
          <w:color w:val="212121"/>
          <w:spacing w:val="-10"/>
        </w:rPr>
        <w:t> </w:t>
      </w:r>
      <w:r>
        <w:rPr>
          <w:color w:val="212121"/>
        </w:rPr>
        <w:t>recommendations</w:t>
      </w:r>
      <w:r>
        <w:rPr>
          <w:color w:val="212121"/>
          <w:spacing w:val="-10"/>
        </w:rPr>
        <w:t> </w:t>
      </w:r>
      <w:r>
        <w:rPr>
          <w:color w:val="212121"/>
        </w:rPr>
        <w:t>on</w:t>
      </w:r>
      <w:r>
        <w:rPr>
          <w:color w:val="212121"/>
          <w:spacing w:val="-10"/>
        </w:rPr>
        <w:t> </w:t>
      </w:r>
      <w:r>
        <w:rPr>
          <w:color w:val="212121"/>
        </w:rPr>
        <w:t>effective strategies</w:t>
      </w:r>
      <w:r>
        <w:rPr>
          <w:color w:val="212121"/>
          <w:spacing w:val="-5"/>
        </w:rPr>
        <w:t> </w:t>
      </w:r>
      <w:r>
        <w:rPr>
          <w:color w:val="212121"/>
        </w:rPr>
        <w:t>to</w:t>
      </w:r>
      <w:r>
        <w:rPr>
          <w:color w:val="212121"/>
          <w:spacing w:val="-7"/>
        </w:rPr>
        <w:t> </w:t>
      </w:r>
      <w:r>
        <w:rPr>
          <w:color w:val="212121"/>
        </w:rPr>
        <w:t>improve</w:t>
      </w:r>
      <w:r>
        <w:rPr>
          <w:color w:val="212121"/>
          <w:spacing w:val="-7"/>
        </w:rPr>
        <w:t> </w:t>
      </w:r>
      <w:r>
        <w:rPr>
          <w:color w:val="212121"/>
        </w:rPr>
        <w:t>state</w:t>
      </w:r>
      <w:r>
        <w:rPr>
          <w:color w:val="212121"/>
          <w:spacing w:val="-6"/>
        </w:rPr>
        <w:t> </w:t>
      </w:r>
      <w:r>
        <w:rPr>
          <w:color w:val="212121"/>
        </w:rPr>
        <w:t>worker</w:t>
      </w:r>
      <w:r>
        <w:rPr>
          <w:color w:val="212121"/>
          <w:spacing w:val="-6"/>
        </w:rPr>
        <w:t> </w:t>
      </w:r>
      <w:r>
        <w:rPr>
          <w:color w:val="212121"/>
        </w:rPr>
        <w:t>health</w:t>
      </w:r>
      <w:r>
        <w:rPr>
          <w:color w:val="212121"/>
          <w:spacing w:val="-6"/>
        </w:rPr>
        <w:t> </w:t>
      </w:r>
      <w:r>
        <w:rPr>
          <w:color w:val="212121"/>
        </w:rPr>
        <w:t>and</w:t>
      </w:r>
      <w:r>
        <w:rPr>
          <w:color w:val="212121"/>
          <w:spacing w:val="-6"/>
        </w:rPr>
        <w:t> </w:t>
      </w:r>
      <w:r>
        <w:rPr>
          <w:color w:val="212121"/>
        </w:rPr>
        <w:t>safety</w:t>
      </w:r>
      <w:r>
        <w:rPr>
          <w:color w:val="212121"/>
          <w:spacing w:val="-5"/>
        </w:rPr>
        <w:t> </w:t>
      </w:r>
      <w:r>
        <w:rPr>
          <w:color w:val="212121"/>
        </w:rPr>
        <w:t>‐‐</w:t>
      </w:r>
      <w:r>
        <w:rPr>
          <w:color w:val="212121"/>
          <w:spacing w:val="-7"/>
        </w:rPr>
        <w:t> </w:t>
      </w:r>
      <w:r>
        <w:rPr>
          <w:color w:val="212121"/>
        </w:rPr>
        <w:t>including</w:t>
      </w:r>
      <w:r>
        <w:rPr>
          <w:color w:val="212121"/>
          <w:spacing w:val="-6"/>
        </w:rPr>
        <w:t> </w:t>
      </w:r>
      <w:r>
        <w:rPr>
          <w:color w:val="212121"/>
        </w:rPr>
        <w:t>centralized</w:t>
      </w:r>
      <w:r>
        <w:rPr>
          <w:color w:val="212121"/>
          <w:spacing w:val="-7"/>
        </w:rPr>
        <w:t> </w:t>
      </w:r>
      <w:r>
        <w:rPr>
          <w:color w:val="212121"/>
        </w:rPr>
        <w:t>worker</w:t>
      </w:r>
      <w:r>
        <w:rPr>
          <w:color w:val="212121"/>
          <w:spacing w:val="-6"/>
        </w:rPr>
        <w:t> </w:t>
      </w:r>
      <w:r>
        <w:rPr>
          <w:color w:val="212121"/>
        </w:rPr>
        <w:t>protection</w:t>
      </w:r>
      <w:r>
        <w:rPr>
          <w:color w:val="212121"/>
          <w:spacing w:val="-6"/>
        </w:rPr>
        <w:t> </w:t>
      </w:r>
      <w:r>
        <w:rPr>
          <w:color w:val="212121"/>
        </w:rPr>
        <w:t>policies</w:t>
      </w:r>
      <w:r>
        <w:rPr>
          <w:color w:val="212121"/>
          <w:spacing w:val="-6"/>
        </w:rPr>
        <w:t> </w:t>
      </w:r>
      <w:r>
        <w:rPr>
          <w:color w:val="212121"/>
        </w:rPr>
        <w:t>or regulations, needed resource allocations, and/or agency health and safety system improvement measures. The Board also monitors the effectiveness of the state's health and safety</w:t>
      </w:r>
      <w:r>
        <w:rPr>
          <w:color w:val="212121"/>
          <w:spacing w:val="-36"/>
        </w:rPr>
        <w:t> </w:t>
      </w:r>
      <w:r>
        <w:rPr>
          <w:color w:val="212121"/>
        </w:rPr>
        <w:t>programs.</w:t>
      </w:r>
    </w:p>
    <w:p>
      <w:pPr>
        <w:pStyle w:val="Heading1"/>
        <w:spacing w:before="160"/>
      </w:pPr>
      <w:r>
        <w:rPr/>
        <w:t>Prescription Monitoring Program Stakeholders</w:t>
      </w:r>
    </w:p>
    <w:p>
      <w:pPr>
        <w:pStyle w:val="BodyText"/>
        <w:spacing w:line="259" w:lineRule="auto"/>
        <w:ind w:right="115"/>
      </w:pPr>
      <w:r>
        <w:rPr/>
        <w:t>The Prescription Monitoring Program (PMP) Stakeholders is composed of representatives of provider groups, professional medical and pharmacy organizations, and law enforcement who evaluate the Massachusetts PMP for its functionality and ease of use and make recommendations for enhancements to the system. The PMP collects dispensing information on Massachusetts Schedule II through V controlled substances dispensed pursuant to a prescription. Schedules II through V consist of those prescription</w:t>
      </w:r>
      <w:r>
        <w:rPr>
          <w:spacing w:val="-11"/>
        </w:rPr>
        <w:t> </w:t>
      </w:r>
      <w:r>
        <w:rPr/>
        <w:t>drug</w:t>
      </w:r>
      <w:r>
        <w:rPr>
          <w:spacing w:val="-12"/>
        </w:rPr>
        <w:t> </w:t>
      </w:r>
      <w:r>
        <w:rPr/>
        <w:t>products</w:t>
      </w:r>
      <w:r>
        <w:rPr>
          <w:spacing w:val="-12"/>
        </w:rPr>
        <w:t> </w:t>
      </w:r>
      <w:r>
        <w:rPr/>
        <w:t>with</w:t>
      </w:r>
      <w:r>
        <w:rPr>
          <w:spacing w:val="-11"/>
        </w:rPr>
        <w:t> </w:t>
      </w:r>
      <w:r>
        <w:rPr/>
        <w:t>recognized</w:t>
      </w:r>
      <w:r>
        <w:rPr>
          <w:spacing w:val="-12"/>
        </w:rPr>
        <w:t> </w:t>
      </w:r>
      <w:r>
        <w:rPr/>
        <w:t>potential</w:t>
      </w:r>
      <w:r>
        <w:rPr>
          <w:spacing w:val="-11"/>
        </w:rPr>
        <w:t> </w:t>
      </w:r>
      <w:r>
        <w:rPr/>
        <w:t>for</w:t>
      </w:r>
      <w:r>
        <w:rPr>
          <w:spacing w:val="-12"/>
        </w:rPr>
        <w:t> </w:t>
      </w:r>
      <w:r>
        <w:rPr/>
        <w:t>abuse</w:t>
      </w:r>
      <w:r>
        <w:rPr>
          <w:spacing w:val="-12"/>
        </w:rPr>
        <w:t> </w:t>
      </w:r>
      <w:r>
        <w:rPr/>
        <w:t>or</w:t>
      </w:r>
      <w:r>
        <w:rPr>
          <w:spacing w:val="-10"/>
        </w:rPr>
        <w:t> </w:t>
      </w:r>
      <w:r>
        <w:rPr/>
        <w:t>dependence</w:t>
      </w:r>
      <w:r>
        <w:rPr>
          <w:spacing w:val="-11"/>
        </w:rPr>
        <w:t> </w:t>
      </w:r>
      <w:r>
        <w:rPr/>
        <w:t>(e.g.,</w:t>
      </w:r>
      <w:r>
        <w:rPr>
          <w:spacing w:val="-11"/>
        </w:rPr>
        <w:t> </w:t>
      </w:r>
      <w:r>
        <w:rPr/>
        <w:t>narcotics,</w:t>
      </w:r>
      <w:r>
        <w:rPr>
          <w:spacing w:val="-12"/>
        </w:rPr>
        <w:t> </w:t>
      </w:r>
      <w:r>
        <w:rPr/>
        <w:t>stimulants, and sedatives). Consequently, they are among those most sought for illicit and non‐medical use. The PMP is primarily an educational tool that provides prescribers and dispenser access to their patient’s prescription history. The PMP also provides access to law enforcement and regulatory officials provided their inquiries are related to open and ongoing investigations concerning drug distribution and  diversion.  Finally, the PMP analyzes the data to determine prescribing and dispensing</w:t>
      </w:r>
      <w:r>
        <w:rPr>
          <w:spacing w:val="-30"/>
        </w:rPr>
        <w:t> </w:t>
      </w:r>
      <w:r>
        <w:rPr/>
        <w:t>trends.</w:t>
      </w:r>
    </w:p>
    <w:p>
      <w:pPr>
        <w:spacing w:after="0" w:line="259" w:lineRule="auto"/>
        <w:sectPr>
          <w:pgSz w:w="12240" w:h="15840"/>
          <w:pgMar w:header="0" w:footer="743" w:top="1400" w:bottom="940" w:left="980" w:right="1320"/>
        </w:sectPr>
      </w:pPr>
    </w:p>
    <w:p>
      <w:pPr>
        <w:pStyle w:val="Heading1"/>
        <w:spacing w:before="40"/>
      </w:pPr>
      <w:r>
        <w:rPr/>
        <w:t>Preventive Health and Health Services Block Grant Advisory</w:t>
      </w:r>
    </w:p>
    <w:p>
      <w:pPr>
        <w:pStyle w:val="BodyText"/>
        <w:spacing w:line="259" w:lineRule="auto"/>
        <w:ind w:left="459" w:right="117"/>
      </w:pPr>
      <w:r>
        <w:rPr/>
        <w:t>The PHHS Block Grant Advisory Committee is a 12‐member committee with representation from local public</w:t>
      </w:r>
      <w:r>
        <w:rPr>
          <w:spacing w:val="-17"/>
        </w:rPr>
        <w:t> </w:t>
      </w:r>
      <w:r>
        <w:rPr/>
        <w:t>health,</w:t>
      </w:r>
      <w:r>
        <w:rPr>
          <w:spacing w:val="-16"/>
        </w:rPr>
        <w:t> </w:t>
      </w:r>
      <w:r>
        <w:rPr/>
        <w:t>public</w:t>
      </w:r>
      <w:r>
        <w:rPr>
          <w:spacing w:val="-17"/>
        </w:rPr>
        <w:t> </w:t>
      </w:r>
      <w:r>
        <w:rPr/>
        <w:t>health</w:t>
      </w:r>
      <w:r>
        <w:rPr>
          <w:spacing w:val="-16"/>
        </w:rPr>
        <w:t> </w:t>
      </w:r>
      <w:r>
        <w:rPr/>
        <w:t>advocacy</w:t>
      </w:r>
      <w:r>
        <w:rPr>
          <w:spacing w:val="-17"/>
        </w:rPr>
        <w:t> </w:t>
      </w:r>
      <w:r>
        <w:rPr/>
        <w:t>organizations,</w:t>
      </w:r>
      <w:r>
        <w:rPr>
          <w:spacing w:val="-17"/>
        </w:rPr>
        <w:t> </w:t>
      </w:r>
      <w:r>
        <w:rPr/>
        <w:t>and</w:t>
      </w:r>
      <w:r>
        <w:rPr>
          <w:spacing w:val="-17"/>
        </w:rPr>
        <w:t> </w:t>
      </w:r>
      <w:r>
        <w:rPr/>
        <w:t>non‐profit</w:t>
      </w:r>
      <w:r>
        <w:rPr>
          <w:spacing w:val="-17"/>
        </w:rPr>
        <w:t> </w:t>
      </w:r>
      <w:r>
        <w:rPr/>
        <w:t>organizations.</w:t>
      </w:r>
      <w:r>
        <w:rPr>
          <w:spacing w:val="-16"/>
        </w:rPr>
        <w:t> </w:t>
      </w:r>
      <w:r>
        <w:rPr/>
        <w:t>The</w:t>
      </w:r>
      <w:r>
        <w:rPr>
          <w:spacing w:val="-16"/>
        </w:rPr>
        <w:t> </w:t>
      </w:r>
      <w:r>
        <w:rPr/>
        <w:t>committee</w:t>
      </w:r>
      <w:r>
        <w:rPr>
          <w:spacing w:val="-17"/>
        </w:rPr>
        <w:t> </w:t>
      </w:r>
      <w:r>
        <w:rPr/>
        <w:t>provides oversight in planning program priorities, funding decisions, and maintenance of the funding accountability. The PHHS Block Grant was established in 1981 as a flexible way for states to address priority</w:t>
      </w:r>
      <w:r>
        <w:rPr>
          <w:spacing w:val="-9"/>
        </w:rPr>
        <w:t> </w:t>
      </w:r>
      <w:r>
        <w:rPr/>
        <w:t>health</w:t>
      </w:r>
      <w:r>
        <w:rPr>
          <w:spacing w:val="-9"/>
        </w:rPr>
        <w:t> </w:t>
      </w:r>
      <w:r>
        <w:rPr/>
        <w:t>concerns</w:t>
      </w:r>
      <w:r>
        <w:rPr>
          <w:spacing w:val="-9"/>
        </w:rPr>
        <w:t> </w:t>
      </w:r>
      <w:r>
        <w:rPr/>
        <w:t>focused</w:t>
      </w:r>
      <w:r>
        <w:rPr>
          <w:spacing w:val="-9"/>
        </w:rPr>
        <w:t> </w:t>
      </w:r>
      <w:r>
        <w:rPr/>
        <w:t>on</w:t>
      </w:r>
      <w:r>
        <w:rPr>
          <w:spacing w:val="-9"/>
        </w:rPr>
        <w:t> </w:t>
      </w:r>
      <w:r>
        <w:rPr/>
        <w:t>Healthy</w:t>
      </w:r>
      <w:r>
        <w:rPr>
          <w:spacing w:val="-9"/>
        </w:rPr>
        <w:t> </w:t>
      </w:r>
      <w:r>
        <w:rPr/>
        <w:t>People</w:t>
      </w:r>
      <w:r>
        <w:rPr>
          <w:spacing w:val="-9"/>
        </w:rPr>
        <w:t> </w:t>
      </w:r>
      <w:r>
        <w:rPr/>
        <w:t>2020</w:t>
      </w:r>
      <w:r>
        <w:rPr>
          <w:spacing w:val="-9"/>
        </w:rPr>
        <w:t> </w:t>
      </w:r>
      <w:r>
        <w:rPr/>
        <w:t>objectives.</w:t>
      </w:r>
      <w:r>
        <w:rPr>
          <w:spacing w:val="-9"/>
        </w:rPr>
        <w:t> </w:t>
      </w:r>
      <w:r>
        <w:rPr/>
        <w:t>The</w:t>
      </w:r>
      <w:r>
        <w:rPr>
          <w:spacing w:val="-8"/>
        </w:rPr>
        <w:t> </w:t>
      </w:r>
      <w:r>
        <w:rPr/>
        <w:t>grant</w:t>
      </w:r>
      <w:r>
        <w:rPr>
          <w:spacing w:val="-8"/>
        </w:rPr>
        <w:t> </w:t>
      </w:r>
      <w:r>
        <w:rPr/>
        <w:t>has</w:t>
      </w:r>
      <w:r>
        <w:rPr>
          <w:spacing w:val="-8"/>
        </w:rPr>
        <w:t> </w:t>
      </w:r>
      <w:r>
        <w:rPr/>
        <w:t>been</w:t>
      </w:r>
      <w:r>
        <w:rPr>
          <w:spacing w:val="-9"/>
        </w:rPr>
        <w:t> </w:t>
      </w:r>
      <w:r>
        <w:rPr/>
        <w:t>a</w:t>
      </w:r>
      <w:r>
        <w:rPr>
          <w:spacing w:val="-7"/>
        </w:rPr>
        <w:t> </w:t>
      </w:r>
      <w:r>
        <w:rPr/>
        <w:t>key</w:t>
      </w:r>
      <w:r>
        <w:rPr>
          <w:spacing w:val="-7"/>
        </w:rPr>
        <w:t> </w:t>
      </w:r>
      <w:r>
        <w:rPr/>
        <w:t>mechanism for Massachusetts to achieve the three Public Health Core Functions: Assessment, Policy, and Assurance, and ensures the infrastructure is in place both at the state and community level to address the ten Essential Public Health Services. This funding is the foundation upon which other services and initiatives are</w:t>
      </w:r>
      <w:r>
        <w:rPr>
          <w:spacing w:val="-15"/>
        </w:rPr>
        <w:t> </w:t>
      </w:r>
      <w:r>
        <w:rPr/>
        <w:t>built.</w:t>
      </w:r>
      <w:r>
        <w:rPr>
          <w:spacing w:val="-15"/>
        </w:rPr>
        <w:t> </w:t>
      </w:r>
      <w:r>
        <w:rPr/>
        <w:t>Integrated</w:t>
      </w:r>
      <w:r>
        <w:rPr>
          <w:spacing w:val="-15"/>
        </w:rPr>
        <w:t> </w:t>
      </w:r>
      <w:r>
        <w:rPr/>
        <w:t>with</w:t>
      </w:r>
      <w:r>
        <w:rPr>
          <w:spacing w:val="-14"/>
        </w:rPr>
        <w:t> </w:t>
      </w:r>
      <w:r>
        <w:rPr/>
        <w:t>both</w:t>
      </w:r>
      <w:r>
        <w:rPr>
          <w:spacing w:val="-15"/>
        </w:rPr>
        <w:t> </w:t>
      </w:r>
      <w:r>
        <w:rPr/>
        <w:t>state</w:t>
      </w:r>
      <w:r>
        <w:rPr>
          <w:spacing w:val="-14"/>
        </w:rPr>
        <w:t> </w:t>
      </w:r>
      <w:r>
        <w:rPr/>
        <w:t>and</w:t>
      </w:r>
      <w:r>
        <w:rPr>
          <w:spacing w:val="-13"/>
        </w:rPr>
        <w:t> </w:t>
      </w:r>
      <w:r>
        <w:rPr/>
        <w:t>other</w:t>
      </w:r>
      <w:r>
        <w:rPr>
          <w:spacing w:val="-15"/>
        </w:rPr>
        <w:t> </w:t>
      </w:r>
      <w:r>
        <w:rPr/>
        <w:t>federal</w:t>
      </w:r>
      <w:r>
        <w:rPr>
          <w:spacing w:val="-14"/>
        </w:rPr>
        <w:t> </w:t>
      </w:r>
      <w:r>
        <w:rPr/>
        <w:t>funding,</w:t>
      </w:r>
      <w:r>
        <w:rPr>
          <w:spacing w:val="-15"/>
        </w:rPr>
        <w:t> </w:t>
      </w:r>
      <w:r>
        <w:rPr/>
        <w:t>it</w:t>
      </w:r>
      <w:r>
        <w:rPr>
          <w:spacing w:val="-15"/>
        </w:rPr>
        <w:t> </w:t>
      </w:r>
      <w:r>
        <w:rPr/>
        <w:t>ensures</w:t>
      </w:r>
      <w:r>
        <w:rPr>
          <w:spacing w:val="-15"/>
        </w:rPr>
        <w:t> </w:t>
      </w:r>
      <w:r>
        <w:rPr/>
        <w:t>that</w:t>
      </w:r>
      <w:r>
        <w:rPr>
          <w:spacing w:val="-15"/>
        </w:rPr>
        <w:t> </w:t>
      </w:r>
      <w:r>
        <w:rPr/>
        <w:t>Massachusetts</w:t>
      </w:r>
      <w:r>
        <w:rPr>
          <w:spacing w:val="-14"/>
        </w:rPr>
        <w:t> </w:t>
      </w:r>
      <w:r>
        <w:rPr/>
        <w:t>can</w:t>
      </w:r>
      <w:r>
        <w:rPr>
          <w:spacing w:val="-15"/>
        </w:rPr>
        <w:t> </w:t>
      </w:r>
      <w:r>
        <w:rPr/>
        <w:t>continue to</w:t>
      </w:r>
      <w:r>
        <w:rPr>
          <w:spacing w:val="-9"/>
        </w:rPr>
        <w:t> </w:t>
      </w:r>
      <w:r>
        <w:rPr/>
        <w:t>address</w:t>
      </w:r>
      <w:r>
        <w:rPr>
          <w:spacing w:val="-7"/>
        </w:rPr>
        <w:t> </w:t>
      </w:r>
      <w:r>
        <w:rPr/>
        <w:t>the</w:t>
      </w:r>
      <w:r>
        <w:rPr>
          <w:spacing w:val="-9"/>
        </w:rPr>
        <w:t> </w:t>
      </w:r>
      <w:r>
        <w:rPr/>
        <w:t>disparities</w:t>
      </w:r>
      <w:r>
        <w:rPr>
          <w:spacing w:val="-8"/>
        </w:rPr>
        <w:t> </w:t>
      </w:r>
      <w:r>
        <w:rPr/>
        <w:t>which</w:t>
      </w:r>
      <w:r>
        <w:rPr>
          <w:spacing w:val="-9"/>
        </w:rPr>
        <w:t> </w:t>
      </w:r>
      <w:r>
        <w:rPr/>
        <w:t>exist</w:t>
      </w:r>
      <w:r>
        <w:rPr>
          <w:spacing w:val="-9"/>
        </w:rPr>
        <w:t> </w:t>
      </w:r>
      <w:r>
        <w:rPr/>
        <w:t>in</w:t>
      </w:r>
      <w:r>
        <w:rPr>
          <w:spacing w:val="-9"/>
        </w:rPr>
        <w:t> </w:t>
      </w:r>
      <w:r>
        <w:rPr/>
        <w:t>health</w:t>
      </w:r>
      <w:r>
        <w:rPr>
          <w:spacing w:val="-9"/>
        </w:rPr>
        <w:t> </w:t>
      </w:r>
      <w:r>
        <w:rPr/>
        <w:t>outcomes</w:t>
      </w:r>
      <w:r>
        <w:rPr>
          <w:spacing w:val="-9"/>
        </w:rPr>
        <w:t> </w:t>
      </w:r>
      <w:r>
        <w:rPr/>
        <w:t>and</w:t>
      </w:r>
      <w:r>
        <w:rPr>
          <w:spacing w:val="-8"/>
        </w:rPr>
        <w:t> </w:t>
      </w:r>
      <w:r>
        <w:rPr/>
        <w:t>maintain</w:t>
      </w:r>
      <w:r>
        <w:rPr>
          <w:spacing w:val="-8"/>
        </w:rPr>
        <w:t> </w:t>
      </w:r>
      <w:r>
        <w:rPr/>
        <w:t>core</w:t>
      </w:r>
      <w:r>
        <w:rPr>
          <w:spacing w:val="-8"/>
        </w:rPr>
        <w:t> </w:t>
      </w:r>
      <w:r>
        <w:rPr/>
        <w:t>public</w:t>
      </w:r>
      <w:r>
        <w:rPr>
          <w:spacing w:val="-9"/>
        </w:rPr>
        <w:t> </w:t>
      </w:r>
      <w:r>
        <w:rPr/>
        <w:t>health</w:t>
      </w:r>
      <w:r>
        <w:rPr>
          <w:spacing w:val="-9"/>
        </w:rPr>
        <w:t> </w:t>
      </w:r>
      <w:r>
        <w:rPr/>
        <w:t>functions.</w:t>
      </w:r>
      <w:r>
        <w:rPr>
          <w:spacing w:val="-8"/>
        </w:rPr>
        <w:t> </w:t>
      </w:r>
      <w:r>
        <w:rPr/>
        <w:t>Some of the specific program goals include sexual assault prevention, implementation of community‐level strategies to increase active living and healthy eating, local public health capacity building, healthy communities’</w:t>
      </w:r>
      <w:r>
        <w:rPr>
          <w:spacing w:val="-6"/>
        </w:rPr>
        <w:t> </w:t>
      </w:r>
      <w:r>
        <w:rPr/>
        <w:t>capacity</w:t>
      </w:r>
      <w:r>
        <w:rPr>
          <w:spacing w:val="-7"/>
        </w:rPr>
        <w:t> </w:t>
      </w:r>
      <w:r>
        <w:rPr/>
        <w:t>building,</w:t>
      </w:r>
      <w:r>
        <w:rPr>
          <w:spacing w:val="-7"/>
        </w:rPr>
        <w:t> </w:t>
      </w:r>
      <w:r>
        <w:rPr/>
        <w:t>and</w:t>
      </w:r>
      <w:r>
        <w:rPr>
          <w:spacing w:val="-7"/>
        </w:rPr>
        <w:t> </w:t>
      </w:r>
      <w:r>
        <w:rPr/>
        <w:t>infrastructure</w:t>
      </w:r>
      <w:r>
        <w:rPr>
          <w:spacing w:val="-7"/>
        </w:rPr>
        <w:t> </w:t>
      </w:r>
      <w:r>
        <w:rPr/>
        <w:t>investment</w:t>
      </w:r>
      <w:r>
        <w:rPr>
          <w:spacing w:val="-7"/>
        </w:rPr>
        <w:t> </w:t>
      </w:r>
      <w:r>
        <w:rPr/>
        <w:t>in</w:t>
      </w:r>
      <w:r>
        <w:rPr>
          <w:spacing w:val="-6"/>
        </w:rPr>
        <w:t> </w:t>
      </w:r>
      <w:r>
        <w:rPr/>
        <w:t>public</w:t>
      </w:r>
      <w:r>
        <w:rPr>
          <w:spacing w:val="-7"/>
        </w:rPr>
        <w:t> </w:t>
      </w:r>
      <w:r>
        <w:rPr/>
        <w:t>health.</w:t>
      </w:r>
    </w:p>
    <w:p>
      <w:pPr>
        <w:pStyle w:val="Heading1"/>
        <w:ind w:left="459"/>
      </w:pPr>
      <w:r>
        <w:rPr/>
        <w:t>Massachusetts Rural Council on Health</w:t>
      </w:r>
    </w:p>
    <w:p>
      <w:pPr>
        <w:pStyle w:val="BodyText"/>
        <w:spacing w:before="181"/>
      </w:pPr>
      <w:r>
        <w:rPr>
          <w:color w:val="212121"/>
        </w:rPr>
        <w:t>The</w:t>
      </w:r>
      <w:r>
        <w:rPr>
          <w:color w:val="212121"/>
          <w:spacing w:val="-6"/>
        </w:rPr>
        <w:t> </w:t>
      </w:r>
      <w:r>
        <w:rPr>
          <w:color w:val="212121"/>
        </w:rPr>
        <w:t>Massachusetts</w:t>
      </w:r>
      <w:r>
        <w:rPr>
          <w:color w:val="212121"/>
          <w:spacing w:val="-8"/>
        </w:rPr>
        <w:t> </w:t>
      </w:r>
      <w:r>
        <w:rPr>
          <w:color w:val="212121"/>
        </w:rPr>
        <w:t>Rural</w:t>
      </w:r>
      <w:r>
        <w:rPr>
          <w:color w:val="212121"/>
          <w:spacing w:val="-8"/>
        </w:rPr>
        <w:t> </w:t>
      </w:r>
      <w:r>
        <w:rPr>
          <w:color w:val="212121"/>
        </w:rPr>
        <w:t>Council</w:t>
      </w:r>
      <w:r>
        <w:rPr>
          <w:color w:val="212121"/>
          <w:spacing w:val="-8"/>
        </w:rPr>
        <w:t> </w:t>
      </w:r>
      <w:r>
        <w:rPr>
          <w:color w:val="212121"/>
        </w:rPr>
        <w:t>on</w:t>
      </w:r>
      <w:r>
        <w:rPr>
          <w:color w:val="212121"/>
          <w:spacing w:val="-8"/>
        </w:rPr>
        <w:t> </w:t>
      </w:r>
      <w:r>
        <w:rPr>
          <w:color w:val="212121"/>
        </w:rPr>
        <w:t>Health</w:t>
      </w:r>
      <w:r>
        <w:rPr>
          <w:color w:val="212121"/>
          <w:spacing w:val="-7"/>
        </w:rPr>
        <w:t> </w:t>
      </w:r>
      <w:r>
        <w:rPr>
          <w:color w:val="212121"/>
        </w:rPr>
        <w:t>is</w:t>
      </w:r>
      <w:r>
        <w:rPr>
          <w:color w:val="212121"/>
          <w:spacing w:val="-8"/>
        </w:rPr>
        <w:t> </w:t>
      </w:r>
      <w:r>
        <w:rPr>
          <w:color w:val="212121"/>
        </w:rPr>
        <w:t>a</w:t>
      </w:r>
      <w:r>
        <w:rPr>
          <w:color w:val="212121"/>
          <w:spacing w:val="-7"/>
        </w:rPr>
        <w:t> </w:t>
      </w:r>
      <w:r>
        <w:rPr>
          <w:color w:val="212121"/>
        </w:rPr>
        <w:t>group</w:t>
      </w:r>
      <w:r>
        <w:rPr>
          <w:color w:val="212121"/>
          <w:spacing w:val="-6"/>
        </w:rPr>
        <w:t> </w:t>
      </w:r>
      <w:r>
        <w:rPr>
          <w:color w:val="212121"/>
        </w:rPr>
        <w:t>of</w:t>
      </w:r>
      <w:r>
        <w:rPr>
          <w:color w:val="212121"/>
          <w:spacing w:val="-8"/>
        </w:rPr>
        <w:t> </w:t>
      </w:r>
      <w:r>
        <w:rPr>
          <w:color w:val="212121"/>
        </w:rPr>
        <w:t>20</w:t>
      </w:r>
      <w:r>
        <w:rPr>
          <w:color w:val="212121"/>
          <w:spacing w:val="-7"/>
        </w:rPr>
        <w:t> </w:t>
      </w:r>
      <w:r>
        <w:rPr>
          <w:color w:val="212121"/>
        </w:rPr>
        <w:t>rural‐based</w:t>
      </w:r>
      <w:r>
        <w:rPr>
          <w:color w:val="212121"/>
          <w:spacing w:val="-8"/>
        </w:rPr>
        <w:t> </w:t>
      </w:r>
      <w:r>
        <w:rPr>
          <w:color w:val="212121"/>
        </w:rPr>
        <w:t>providers</w:t>
      </w:r>
      <w:r>
        <w:rPr>
          <w:color w:val="212121"/>
          <w:spacing w:val="-8"/>
        </w:rPr>
        <w:t> </w:t>
      </w:r>
      <w:r>
        <w:rPr>
          <w:color w:val="212121"/>
        </w:rPr>
        <w:t>and</w:t>
      </w:r>
      <w:r>
        <w:rPr>
          <w:color w:val="212121"/>
          <w:spacing w:val="-7"/>
        </w:rPr>
        <w:t> </w:t>
      </w:r>
      <w:r>
        <w:rPr>
          <w:color w:val="212121"/>
        </w:rPr>
        <w:t>community</w:t>
      </w:r>
      <w:r>
        <w:rPr>
          <w:color w:val="212121"/>
          <w:spacing w:val="-8"/>
        </w:rPr>
        <w:t> </w:t>
      </w:r>
      <w:r>
        <w:rPr>
          <w:color w:val="212121"/>
        </w:rPr>
        <w:t>leaders representing a broad range of service types from across the state. Also participating in Council activities are staff from multiple state agencies and other statewide organizations interested in rural health. The Council serves not only in an advisory capacity to the State Office of Rural Health but also provides leadership for rural health across the state. They periodically host larger educational and networking events to bring together a greater network of rural health stakeholders in</w:t>
      </w:r>
      <w:r>
        <w:rPr>
          <w:color w:val="212121"/>
          <w:spacing w:val="-34"/>
        </w:rPr>
        <w:t> </w:t>
      </w:r>
      <w:r>
        <w:rPr>
          <w:color w:val="212121"/>
        </w:rPr>
        <w:t>Massachusetts.</w:t>
      </w:r>
    </w:p>
    <w:p>
      <w:pPr>
        <w:pStyle w:val="Heading1"/>
        <w:spacing w:before="160"/>
      </w:pPr>
      <w:r>
        <w:rPr/>
        <w:t>Wellness in Schools Coalition</w:t>
      </w:r>
    </w:p>
    <w:p>
      <w:pPr>
        <w:pStyle w:val="BodyText"/>
        <w:spacing w:before="160"/>
        <w:ind w:right="117"/>
      </w:pPr>
      <w:r>
        <w:rPr/>
        <w:t>The Wellness in Schools Coalition brings together stakeholders from across the state in an effort to mobilize communities to foster the whole child through school wellness initiatives. By taking an interdisciplinary approach to school wellness, the Coalition is able to support safe and healthy schools through the sharing of resources, collaboration of organizations, and promotion of public health. Topics range from nutrition and physical activity/education to mental health and substance abuse.</w:t>
      </w:r>
    </w:p>
    <w:p>
      <w:pPr>
        <w:pStyle w:val="BodyText"/>
        <w:spacing w:before="160"/>
      </w:pPr>
      <w:r>
        <w:rPr/>
        <w:t>The Wellness in Schools Coalition is organized by Claire Santarelli, RD CDE LDN, of the Massachusetts Department of Public Health and Lisa Jackson, MS RD LDN, of the Massachusetts Department of Elementary and Secondary Education.</w:t>
      </w:r>
    </w:p>
    <w:p>
      <w:pPr>
        <w:pStyle w:val="Heading1"/>
        <w:spacing w:before="160"/>
      </w:pPr>
      <w:r>
        <w:rPr/>
        <w:t>State Technical Advisory Group</w:t>
      </w:r>
    </w:p>
    <w:p>
      <w:pPr>
        <w:pStyle w:val="BodyText"/>
        <w:spacing w:before="160"/>
        <w:ind w:right="116"/>
      </w:pPr>
      <w:r>
        <w:rPr>
          <w:color w:val="212121"/>
        </w:rPr>
        <w:t>The State Technical Advisory Group works with the Bureau of Environmental Health as part of the Environmental Public Health Tracking Cooperative Agreement with the US Centers for Disease Control and Prevention. The Advisory Group provides counsel to the Bureau on the development and implementation</w:t>
      </w:r>
      <w:r>
        <w:rPr>
          <w:color w:val="212121"/>
          <w:spacing w:val="-15"/>
        </w:rPr>
        <w:t> </w:t>
      </w:r>
      <w:r>
        <w:rPr>
          <w:color w:val="212121"/>
        </w:rPr>
        <w:t>of</w:t>
      </w:r>
      <w:r>
        <w:rPr>
          <w:color w:val="212121"/>
          <w:spacing w:val="-15"/>
        </w:rPr>
        <w:t> </w:t>
      </w:r>
      <w:r>
        <w:rPr>
          <w:color w:val="212121"/>
        </w:rPr>
        <w:t>the</w:t>
      </w:r>
      <w:r>
        <w:rPr>
          <w:color w:val="212121"/>
          <w:spacing w:val="-13"/>
        </w:rPr>
        <w:t> </w:t>
      </w:r>
      <w:r>
        <w:rPr>
          <w:color w:val="212121"/>
        </w:rPr>
        <w:t>EPHT</w:t>
      </w:r>
      <w:r>
        <w:rPr>
          <w:color w:val="212121"/>
          <w:spacing w:val="-15"/>
        </w:rPr>
        <w:t> </w:t>
      </w:r>
      <w:r>
        <w:rPr>
          <w:color w:val="212121"/>
        </w:rPr>
        <w:t>interactive</w:t>
      </w:r>
      <w:r>
        <w:rPr>
          <w:color w:val="212121"/>
          <w:spacing w:val="-13"/>
        </w:rPr>
        <w:t> </w:t>
      </w:r>
      <w:r>
        <w:rPr>
          <w:color w:val="212121"/>
        </w:rPr>
        <w:t>public</w:t>
      </w:r>
      <w:r>
        <w:rPr>
          <w:color w:val="212121"/>
          <w:spacing w:val="-15"/>
        </w:rPr>
        <w:t> </w:t>
      </w:r>
      <w:r>
        <w:rPr>
          <w:color w:val="212121"/>
        </w:rPr>
        <w:t>health</w:t>
      </w:r>
      <w:r>
        <w:rPr>
          <w:color w:val="212121"/>
          <w:spacing w:val="-12"/>
        </w:rPr>
        <w:t> </w:t>
      </w:r>
      <w:r>
        <w:rPr>
          <w:color w:val="212121"/>
        </w:rPr>
        <w:t>data</w:t>
      </w:r>
      <w:r>
        <w:rPr>
          <w:color w:val="212121"/>
          <w:spacing w:val="-15"/>
        </w:rPr>
        <w:t> </w:t>
      </w:r>
      <w:r>
        <w:rPr>
          <w:color w:val="212121"/>
        </w:rPr>
        <w:t>portal,</w:t>
      </w:r>
      <w:r>
        <w:rPr>
          <w:color w:val="212121"/>
          <w:spacing w:val="-15"/>
        </w:rPr>
        <w:t> </w:t>
      </w:r>
      <w:r>
        <w:rPr>
          <w:color w:val="212121"/>
        </w:rPr>
        <w:t>including</w:t>
      </w:r>
      <w:r>
        <w:rPr>
          <w:color w:val="212121"/>
          <w:spacing w:val="-14"/>
        </w:rPr>
        <w:t> </w:t>
      </w:r>
      <w:r>
        <w:rPr>
          <w:color w:val="212121"/>
        </w:rPr>
        <w:t>the</w:t>
      </w:r>
      <w:r>
        <w:rPr>
          <w:color w:val="212121"/>
          <w:spacing w:val="-13"/>
        </w:rPr>
        <w:t> </w:t>
      </w:r>
      <w:r>
        <w:rPr>
          <w:color w:val="212121"/>
        </w:rPr>
        <w:t>environmental</w:t>
      </w:r>
      <w:r>
        <w:rPr>
          <w:color w:val="212121"/>
          <w:spacing w:val="-15"/>
        </w:rPr>
        <w:t> </w:t>
      </w:r>
      <w:r>
        <w:rPr>
          <w:color w:val="212121"/>
        </w:rPr>
        <w:t>health</w:t>
      </w:r>
      <w:r>
        <w:rPr>
          <w:color w:val="212121"/>
          <w:spacing w:val="-14"/>
        </w:rPr>
        <w:t> </w:t>
      </w:r>
      <w:r>
        <w:rPr>
          <w:color w:val="212121"/>
        </w:rPr>
        <w:t>data and educational messaging presented, the application’s functionality and usability, and outreach and collaboration</w:t>
      </w:r>
      <w:r>
        <w:rPr>
          <w:color w:val="212121"/>
          <w:spacing w:val="-11"/>
        </w:rPr>
        <w:t> </w:t>
      </w:r>
      <w:r>
        <w:rPr>
          <w:color w:val="212121"/>
        </w:rPr>
        <w:t>opportunities.</w:t>
      </w:r>
    </w:p>
    <w:sectPr>
      <w:pgSz w:w="12240" w:h="15840"/>
      <w:pgMar w:header="0" w:footer="743" w:top="1400" w:bottom="940" w:left="9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jc w:val="left"/>
      <w:rPr>
        <w:sz w:val="20"/>
      </w:rPr>
    </w:pPr>
    <w:r>
      <w:rPr/>
      <w:pict>
        <v:shapetype id="_x0000_t202" o:spt="202" coordsize="21600,21600" path="m,l,21600r21600,l21600,xe">
          <v:stroke joinstyle="miter"/>
          <v:path gradientshapeok="t" o:connecttype="rect"/>
        </v:shapetype>
        <v:shape style="position:absolute;margin-left:52pt;margin-top:743.825012pt;width:212.85pt;height:13pt;mso-position-horizontal-relative:page;mso-position-vertical-relative:page;z-index:-2896" type="#_x0000_t202" filled="false" stroked="false">
          <v:textbox inset="0,0,0,0">
            <w:txbxContent>
              <w:p>
                <w:pPr>
                  <w:spacing w:line="244" w:lineRule="exact" w:before="0"/>
                  <w:ind w:left="40" w:right="0" w:firstLine="0"/>
                  <w:jc w:val="left"/>
                  <w:rPr>
                    <w:b/>
                    <w:sz w:val="22"/>
                  </w:rPr>
                </w:pPr>
                <w:r>
                  <w:rPr/>
                  <w:fldChar w:fldCharType="begin"/>
                </w:r>
                <w:r>
                  <w:rPr>
                    <w:sz w:val="22"/>
                  </w:rPr>
                  <w:instrText> PAGE </w:instrText>
                </w:r>
                <w:r>
                  <w:rPr/>
                  <w:fldChar w:fldCharType="separate"/>
                </w:r>
                <w:r>
                  <w:rPr/>
                  <w:t>288</w:t>
                </w:r>
                <w:r>
                  <w:rPr/>
                  <w:fldChar w:fldCharType="end"/>
                </w:r>
                <w:r>
                  <w:rPr>
                    <w:sz w:val="22"/>
                  </w:rPr>
                  <w:t> | </w:t>
                </w:r>
                <w:r>
                  <w:rPr>
                    <w:b/>
                    <w:color w:val="203864"/>
                    <w:sz w:val="22"/>
                  </w:rPr>
                  <w:t>Massachusetts State Health Assessment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159"/>
      <w:ind w:left="460" w:right="118"/>
      <w:jc w:val="both"/>
    </w:pPr>
    <w:rPr>
      <w:rFonts w:ascii="Calibri" w:hAnsi="Calibri" w:eastAsia="Calibri" w:cs="Calibri"/>
      <w:sz w:val="22"/>
      <w:szCs w:val="22"/>
    </w:rPr>
  </w:style>
  <w:style w:styleId="Heading1" w:type="paragraph">
    <w:name w:val="Heading 1"/>
    <w:basedOn w:val="Normal"/>
    <w:uiPriority w:val="1"/>
    <w:qFormat/>
    <w:pPr>
      <w:spacing w:before="159"/>
      <w:ind w:left="460"/>
      <w:jc w:val="both"/>
      <w:outlineLvl w:val="1"/>
    </w:pPr>
    <w:rPr>
      <w:rFonts w:ascii="Calibri" w:hAnsi="Calibri" w:eastAsia="Calibri" w:cs="Calibr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kerrichetti</dc:creator>
  <dc:title>Microsoft Word - MA SHA_Final_All_100217_Version2</dc:title>
  <dcterms:created xsi:type="dcterms:W3CDTF">2017-10-02T20:40:03Z</dcterms:created>
  <dcterms:modified xsi:type="dcterms:W3CDTF">2017-10-02T20:40:03Z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2017-10-02T00:00:00Z</vt:filetime>
  </property>
  <property fmtid="{D5CDD505-2E9C-101B-9397-08002B2CF9AE}" pid="3" name="Creator">
    <vt:lpwstr>PScript5.dll Version 5.2.2</vt:lpwstr>
  </property>
  <property fmtid="{D5CDD505-2E9C-101B-9397-08002B2CF9AE}" pid="4" name="LastSaved">
    <vt:filetime>2017-10-03T00:00:00Z</vt:filetime>
  </property>
</Properties>
</file>