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71BA7" w:rsidRPr="00F561AD" w14:paraId="0873D91B" w14:textId="77777777" w:rsidTr="00171BA7">
        <w:trPr>
          <w:trHeight w:hRule="exact" w:val="864"/>
          <w:jc w:val="center"/>
        </w:trPr>
        <w:tc>
          <w:tcPr>
            <w:tcW w:w="4080" w:type="dxa"/>
            <w:tcBorders>
              <w:top w:val="single" w:sz="4" w:space="0" w:color="auto"/>
              <w:left w:val="single" w:sz="4" w:space="0" w:color="auto"/>
              <w:bottom w:val="nil"/>
              <w:right w:val="single" w:sz="4" w:space="0" w:color="auto"/>
            </w:tcBorders>
          </w:tcPr>
          <w:p w14:paraId="16D6BA83" w14:textId="77777777"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Commonwealth of Massachusetts</w:t>
            </w:r>
          </w:p>
          <w:p w14:paraId="46BDF9F3" w14:textId="77777777" w:rsidR="00171BA7" w:rsidRPr="00F561AD" w:rsidRDefault="00171BA7"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MassHealth</w:t>
            </w:r>
          </w:p>
          <w:p w14:paraId="012AA843" w14:textId="77777777" w:rsidR="00171BA7" w:rsidRPr="00F561AD" w:rsidRDefault="00171BA7"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Provider Manual Series</w:t>
            </w:r>
          </w:p>
        </w:tc>
        <w:tc>
          <w:tcPr>
            <w:tcW w:w="3750" w:type="dxa"/>
            <w:tcBorders>
              <w:left w:val="single" w:sz="4" w:space="0" w:color="auto"/>
            </w:tcBorders>
          </w:tcPr>
          <w:p w14:paraId="5C85C2AB" w14:textId="77777777"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Subchapter Number and Title</w:t>
            </w:r>
          </w:p>
          <w:p w14:paraId="1289FA09" w14:textId="77777777" w:rsidR="00171BA7" w:rsidRPr="00F561AD" w:rsidRDefault="00171BA7"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Appendix D: Supplemental Instructions for TPL Exceptions</w:t>
            </w:r>
          </w:p>
        </w:tc>
        <w:tc>
          <w:tcPr>
            <w:tcW w:w="1890" w:type="dxa"/>
          </w:tcPr>
          <w:p w14:paraId="5249D707" w14:textId="77777777"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Page</w:t>
            </w:r>
          </w:p>
          <w:p w14:paraId="75CB0460" w14:textId="2E9E2B54"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D-</w:t>
            </w:r>
            <w:r w:rsidRPr="00F561AD">
              <w:rPr>
                <w:rStyle w:val="PageNumber"/>
                <w:rFonts w:ascii="Arial" w:hAnsi="Arial" w:cs="Arial"/>
              </w:rPr>
              <w:t>1</w:t>
            </w:r>
          </w:p>
        </w:tc>
      </w:tr>
      <w:tr w:rsidR="00171BA7" w:rsidRPr="00F561AD" w14:paraId="458D5CF1" w14:textId="77777777" w:rsidTr="00171BA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5F5C8898" w14:textId="77777777" w:rsidR="00171BA7" w:rsidRPr="00F561AD" w:rsidRDefault="00171BA7"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Home Health Agency Manual</w:t>
            </w:r>
          </w:p>
        </w:tc>
        <w:tc>
          <w:tcPr>
            <w:tcW w:w="3750" w:type="dxa"/>
            <w:tcBorders>
              <w:left w:val="single" w:sz="4" w:space="0" w:color="auto"/>
            </w:tcBorders>
          </w:tcPr>
          <w:p w14:paraId="7BF11A5D" w14:textId="77777777"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Transmittal Letter</w:t>
            </w:r>
          </w:p>
          <w:p w14:paraId="6B8D583F" w14:textId="28E14C7B"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HHA-</w:t>
            </w:r>
            <w:r w:rsidR="00F561AD" w:rsidRPr="00F561AD">
              <w:rPr>
                <w:rFonts w:ascii="Arial" w:hAnsi="Arial" w:cs="Arial"/>
              </w:rPr>
              <w:t>58</w:t>
            </w:r>
          </w:p>
        </w:tc>
        <w:tc>
          <w:tcPr>
            <w:tcW w:w="1890" w:type="dxa"/>
          </w:tcPr>
          <w:p w14:paraId="287F4979" w14:textId="77777777" w:rsidR="00171BA7" w:rsidRPr="00F561AD" w:rsidRDefault="00171BA7"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Date</w:t>
            </w:r>
          </w:p>
          <w:p w14:paraId="36325FAE" w14:textId="4A680CAB" w:rsidR="00171BA7" w:rsidRPr="00F561AD" w:rsidRDefault="00F561A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10/1</w:t>
            </w:r>
            <w:r w:rsidR="00EE5E31">
              <w:rPr>
                <w:rFonts w:ascii="Arial" w:hAnsi="Arial" w:cs="Arial"/>
              </w:rPr>
              <w:t>8</w:t>
            </w:r>
            <w:r w:rsidRPr="00F561AD">
              <w:rPr>
                <w:rFonts w:ascii="Arial" w:hAnsi="Arial" w:cs="Arial"/>
              </w:rPr>
              <w:t>/23</w:t>
            </w:r>
          </w:p>
        </w:tc>
      </w:tr>
    </w:tbl>
    <w:p w14:paraId="5C6DDB38" w14:textId="77777777" w:rsidR="00171BA7" w:rsidRPr="00F561AD" w:rsidRDefault="00171BA7" w:rsidP="005E356C">
      <w:pPr>
        <w:ind w:right="-216"/>
        <w:jc w:val="center"/>
        <w:outlineLvl w:val="0"/>
        <w:rPr>
          <w:b/>
          <w:sz w:val="22"/>
          <w:szCs w:val="22"/>
        </w:rPr>
      </w:pPr>
    </w:p>
    <w:p w14:paraId="76C33D42" w14:textId="7FE056C6" w:rsidR="001D4D79" w:rsidRPr="00F561AD" w:rsidRDefault="001D4D79" w:rsidP="005E356C">
      <w:pPr>
        <w:ind w:right="-216"/>
        <w:jc w:val="center"/>
        <w:outlineLvl w:val="0"/>
        <w:rPr>
          <w:b/>
          <w:sz w:val="22"/>
          <w:szCs w:val="22"/>
        </w:rPr>
      </w:pPr>
      <w:r w:rsidRPr="00F561AD">
        <w:rPr>
          <w:b/>
          <w:sz w:val="22"/>
          <w:szCs w:val="22"/>
        </w:rPr>
        <w:t>Supplemental Instructions for TPL Exceptions</w:t>
      </w:r>
    </w:p>
    <w:p w14:paraId="3B1206E3" w14:textId="77777777" w:rsidR="001D4D79" w:rsidRPr="00F561AD" w:rsidRDefault="001D4D79" w:rsidP="005E356C">
      <w:pPr>
        <w:ind w:right="-216"/>
        <w:jc w:val="center"/>
        <w:outlineLvl w:val="0"/>
        <w:rPr>
          <w:b/>
          <w:sz w:val="22"/>
          <w:szCs w:val="22"/>
        </w:rPr>
      </w:pPr>
      <w:r w:rsidRPr="00F561AD">
        <w:rPr>
          <w:b/>
          <w:sz w:val="22"/>
          <w:szCs w:val="22"/>
        </w:rPr>
        <w:t>Submitting Claims for Members with Medicare or Commercial Insurance</w:t>
      </w:r>
    </w:p>
    <w:p w14:paraId="3D9EFA52" w14:textId="77777777" w:rsidR="001D4D79" w:rsidRPr="00F561AD" w:rsidRDefault="001D4D79" w:rsidP="0064058D">
      <w:pPr>
        <w:spacing w:before="120" w:after="120"/>
        <w:rPr>
          <w:sz w:val="22"/>
          <w:szCs w:val="22"/>
        </w:rPr>
      </w:pPr>
      <w:r w:rsidRPr="00F561AD">
        <w:rPr>
          <w:sz w:val="22"/>
          <w:szCs w:val="22"/>
        </w:rPr>
        <w:t>This appendix contains supplemental billing instructions for submitting 837I transactions, direct data entry (DDE) claims for members who have Medicare or commercial insurance, and whose services are determined not covered by the primary insurer. This appendix describes TPL exceptions that may apply when members have Medicare or commercial insurance. This appendix contains specific MassHealth billing instructions and supplements the instructions found in the HIPAA 837I Implementation Guide and MassHealth 837I Companion Guide.</w:t>
      </w:r>
    </w:p>
    <w:p w14:paraId="16F5FD0C" w14:textId="71288993" w:rsidR="001D4D79" w:rsidRPr="00F561AD" w:rsidRDefault="001D4D79" w:rsidP="00432459">
      <w:pPr>
        <w:autoSpaceDE w:val="0"/>
        <w:autoSpaceDN w:val="0"/>
        <w:adjustRightInd w:val="0"/>
        <w:rPr>
          <w:sz w:val="22"/>
          <w:szCs w:val="22"/>
        </w:rPr>
      </w:pPr>
      <w:r w:rsidRPr="00F561AD">
        <w:rPr>
          <w:sz w:val="22"/>
          <w:szCs w:val="22"/>
        </w:rPr>
        <w:t xml:space="preserve">MassHealth requires all claims to be submitted in an electronic format unless the provider has received an approved electronic claim submission waiver. See </w:t>
      </w:r>
      <w:hyperlink r:id="rId8" w:history="1">
        <w:r w:rsidRPr="00F561AD">
          <w:rPr>
            <w:rStyle w:val="Hyperlink"/>
            <w:sz w:val="22"/>
            <w:szCs w:val="22"/>
          </w:rPr>
          <w:t>All Provider Bulletin 217</w:t>
        </w:r>
      </w:hyperlink>
      <w:r w:rsidRPr="00F561AD">
        <w:rPr>
          <w:sz w:val="22"/>
          <w:szCs w:val="22"/>
        </w:rPr>
        <w:t>.</w:t>
      </w:r>
    </w:p>
    <w:p w14:paraId="75F9865B" w14:textId="77777777" w:rsidR="001D4D79" w:rsidRPr="00F561AD" w:rsidRDefault="001D4D79" w:rsidP="0064058D">
      <w:pPr>
        <w:spacing w:before="120" w:after="120"/>
        <w:ind w:right="-216"/>
        <w:outlineLvl w:val="0"/>
        <w:rPr>
          <w:b/>
          <w:bCs/>
          <w:sz w:val="22"/>
          <w:szCs w:val="22"/>
        </w:rPr>
      </w:pPr>
      <w:r w:rsidRPr="00F561AD">
        <w:rPr>
          <w:b/>
          <w:bCs/>
          <w:sz w:val="22"/>
          <w:szCs w:val="22"/>
        </w:rPr>
        <w:t>Third-Party Liability (TPL) Requirements</w:t>
      </w:r>
    </w:p>
    <w:p w14:paraId="00A43877" w14:textId="77777777" w:rsidR="001D4D79" w:rsidRPr="00F561AD" w:rsidRDefault="001D4D79" w:rsidP="002A5F4F">
      <w:pPr>
        <w:ind w:right="-216"/>
        <w:rPr>
          <w:sz w:val="22"/>
          <w:szCs w:val="22"/>
        </w:rPr>
      </w:pPr>
      <w:r w:rsidRPr="00F561AD">
        <w:rPr>
          <w:sz w:val="22"/>
          <w:szCs w:val="22"/>
        </w:rPr>
        <w:t>To ensure that MassHealth is the payer of last resort, generally providers must make diligent efforts to obtain payment from other resources before billing MassHealth. See MassHealth regulations at 130 CMR 450.316. Providers must submit a claim and seek a new coverage determination from the insurer any time a member’s condition or health insurance coverage status changes, even if Medicare or a commercial insurer previously denied coverage for the same service.</w:t>
      </w:r>
    </w:p>
    <w:p w14:paraId="3716D3D2" w14:textId="77777777" w:rsidR="001D4D79" w:rsidRPr="00F561AD" w:rsidRDefault="001D4D79" w:rsidP="0064058D">
      <w:pPr>
        <w:spacing w:before="120" w:after="120"/>
        <w:ind w:right="-216"/>
        <w:outlineLvl w:val="0"/>
        <w:rPr>
          <w:b/>
          <w:bCs/>
          <w:sz w:val="22"/>
          <w:szCs w:val="22"/>
        </w:rPr>
      </w:pPr>
      <w:r w:rsidRPr="00F561AD">
        <w:rPr>
          <w:b/>
          <w:bCs/>
          <w:sz w:val="22"/>
          <w:szCs w:val="22"/>
        </w:rPr>
        <w:t>Medicare Exceptions</w:t>
      </w:r>
    </w:p>
    <w:p w14:paraId="01C8E7AD" w14:textId="555810EE" w:rsidR="001D4D79" w:rsidRPr="00F561AD" w:rsidRDefault="001D4D79" w:rsidP="0064058D">
      <w:pPr>
        <w:spacing w:after="120"/>
        <w:ind w:right="-216"/>
        <w:rPr>
          <w:bCs/>
          <w:sz w:val="22"/>
          <w:szCs w:val="22"/>
        </w:rPr>
      </w:pPr>
      <w:r w:rsidRPr="00F561AD">
        <w:rPr>
          <w:sz w:val="22"/>
          <w:szCs w:val="22"/>
        </w:rPr>
        <w:t>Home</w:t>
      </w:r>
      <w:r w:rsidR="00D220A9" w:rsidRPr="00F561AD">
        <w:rPr>
          <w:sz w:val="22"/>
          <w:szCs w:val="22"/>
        </w:rPr>
        <w:t xml:space="preserve"> </w:t>
      </w:r>
      <w:r w:rsidRPr="00F561AD">
        <w:rPr>
          <w:sz w:val="22"/>
          <w:szCs w:val="22"/>
        </w:rPr>
        <w:t xml:space="preserve">health services for a MassHealth member must be billed to Medicare unless the following </w:t>
      </w:r>
      <w:r w:rsidRPr="00F561AD">
        <w:rPr>
          <w:bCs/>
          <w:sz w:val="22"/>
          <w:szCs w:val="22"/>
        </w:rPr>
        <w:t>exception</w:t>
      </w:r>
      <w:r w:rsidR="00D02B72" w:rsidRPr="00F561AD">
        <w:rPr>
          <w:bCs/>
          <w:sz w:val="22"/>
          <w:szCs w:val="22"/>
        </w:rPr>
        <w:t>s</w:t>
      </w:r>
      <w:r w:rsidRPr="00F561AD">
        <w:rPr>
          <w:bCs/>
          <w:sz w:val="22"/>
          <w:szCs w:val="22"/>
        </w:rPr>
        <w:t xml:space="preserve"> exist.</w:t>
      </w:r>
    </w:p>
    <w:p w14:paraId="2A5A7510" w14:textId="1FD5565A" w:rsidR="00D02B72" w:rsidRPr="00F561AD" w:rsidRDefault="00D02B72" w:rsidP="00D02B72">
      <w:pPr>
        <w:pStyle w:val="ListParagraph"/>
        <w:numPr>
          <w:ilvl w:val="0"/>
          <w:numId w:val="9"/>
        </w:numPr>
        <w:spacing w:after="120"/>
        <w:ind w:right="-216"/>
        <w:rPr>
          <w:sz w:val="22"/>
          <w:szCs w:val="22"/>
        </w:rPr>
      </w:pPr>
      <w:r w:rsidRPr="00F561AD">
        <w:rPr>
          <w:sz w:val="22"/>
          <w:szCs w:val="22"/>
        </w:rPr>
        <w:t xml:space="preserve">Providers do not have to bill Medicare </w:t>
      </w:r>
      <w:r w:rsidR="000D250E" w:rsidRPr="00F561AD">
        <w:rPr>
          <w:sz w:val="22"/>
          <w:szCs w:val="22"/>
        </w:rPr>
        <w:t xml:space="preserve">before </w:t>
      </w:r>
      <w:r w:rsidRPr="00F561AD">
        <w:rPr>
          <w:sz w:val="22"/>
          <w:szCs w:val="22"/>
        </w:rPr>
        <w:t>billing MassHealth for members who are not homebound (i.e., member is not confined to place of residence).</w:t>
      </w:r>
    </w:p>
    <w:p w14:paraId="6B49C1EC" w14:textId="7F768A41" w:rsidR="00D02B72" w:rsidRPr="00F561AD" w:rsidRDefault="00D02B72" w:rsidP="00D02B72">
      <w:pPr>
        <w:pStyle w:val="ListParagraph"/>
        <w:numPr>
          <w:ilvl w:val="0"/>
          <w:numId w:val="9"/>
        </w:numPr>
        <w:spacing w:after="120"/>
        <w:ind w:right="-216"/>
        <w:rPr>
          <w:sz w:val="22"/>
          <w:szCs w:val="22"/>
        </w:rPr>
      </w:pPr>
      <w:r w:rsidRPr="00F561AD">
        <w:rPr>
          <w:sz w:val="22"/>
          <w:szCs w:val="22"/>
        </w:rPr>
        <w:t xml:space="preserve">Providers do not have to bill Medicare </w:t>
      </w:r>
      <w:r w:rsidR="000D250E" w:rsidRPr="00F561AD">
        <w:rPr>
          <w:sz w:val="22"/>
          <w:szCs w:val="22"/>
        </w:rPr>
        <w:t xml:space="preserve">before </w:t>
      </w:r>
      <w:r w:rsidRPr="00F561AD">
        <w:rPr>
          <w:sz w:val="22"/>
          <w:szCs w:val="22"/>
        </w:rPr>
        <w:t>billing MassHealth for members who are homebound and receiving oral medication administration visits</w:t>
      </w:r>
      <w:r w:rsidR="004A248F" w:rsidRPr="00F561AD">
        <w:rPr>
          <w:sz w:val="22"/>
          <w:szCs w:val="22"/>
        </w:rPr>
        <w:t xml:space="preserve"> (MAVs)</w:t>
      </w:r>
      <w:r w:rsidRPr="00F561AD">
        <w:rPr>
          <w:sz w:val="22"/>
          <w:szCs w:val="22"/>
        </w:rPr>
        <w:t xml:space="preserve">. Visits for the purpose of certification and recertification fall within this exception. </w:t>
      </w:r>
    </w:p>
    <w:p w14:paraId="07A17625" w14:textId="7EF84EE2" w:rsidR="00D02B72" w:rsidRPr="00F561AD" w:rsidRDefault="00D02B72" w:rsidP="00D02B72">
      <w:pPr>
        <w:pStyle w:val="ListParagraph"/>
        <w:numPr>
          <w:ilvl w:val="1"/>
          <w:numId w:val="9"/>
        </w:numPr>
        <w:spacing w:after="120"/>
        <w:ind w:right="-216"/>
        <w:rPr>
          <w:sz w:val="22"/>
          <w:szCs w:val="22"/>
        </w:rPr>
      </w:pPr>
      <w:r w:rsidRPr="00F561AD">
        <w:rPr>
          <w:sz w:val="22"/>
          <w:szCs w:val="22"/>
        </w:rPr>
        <w:t>Members who are homebound</w:t>
      </w:r>
      <w:r w:rsidR="000D250E" w:rsidRPr="00F561AD">
        <w:rPr>
          <w:sz w:val="22"/>
          <w:szCs w:val="22"/>
        </w:rPr>
        <w:t xml:space="preserve"> and</w:t>
      </w:r>
      <w:r w:rsidRPr="00F561AD">
        <w:rPr>
          <w:sz w:val="22"/>
          <w:szCs w:val="22"/>
        </w:rPr>
        <w:t xml:space="preserve"> receiving other home health services in addition to MAVs administered orally must bill Medicare for the other home health services.</w:t>
      </w:r>
    </w:p>
    <w:p w14:paraId="4511553C" w14:textId="77777777" w:rsidR="00D02B72" w:rsidRPr="00F561AD" w:rsidRDefault="00D02B72" w:rsidP="0064058D">
      <w:pPr>
        <w:spacing w:after="120"/>
        <w:ind w:right="-216"/>
        <w:rPr>
          <w:sz w:val="22"/>
          <w:szCs w:val="22"/>
        </w:rPr>
      </w:pPr>
    </w:p>
    <w:p w14:paraId="2B8F4247" w14:textId="77777777" w:rsidR="001D4D79" w:rsidRPr="00F561AD" w:rsidRDefault="001D4D79" w:rsidP="00E23A2C">
      <w:pPr>
        <w:rPr>
          <w:sz w:val="22"/>
          <w:szCs w:val="22"/>
        </w:rPr>
      </w:pPr>
      <w:r w:rsidRPr="00F561AD">
        <w:rPr>
          <w:sz w:val="22"/>
          <w:szCs w:val="22"/>
        </w:rPr>
        <w:t>If this TPL exception exists, follow the instructions outlined in this appendix for claim submission.</w:t>
      </w:r>
    </w:p>
    <w:p w14:paraId="31EE5BFC" w14:textId="77777777" w:rsidR="001D4D79" w:rsidRPr="00F561AD" w:rsidRDefault="001D4D79" w:rsidP="0064058D">
      <w:pPr>
        <w:spacing w:before="120" w:after="120"/>
        <w:ind w:right="-216"/>
        <w:rPr>
          <w:sz w:val="22"/>
          <w:szCs w:val="22"/>
        </w:rPr>
      </w:pPr>
      <w:r w:rsidRPr="00F561AD">
        <w:rPr>
          <w:sz w:val="22"/>
          <w:szCs w:val="22"/>
        </w:rPr>
        <w:t>Providers must file a claim and seek a new coverage determination any time a member’s medical condition or medical circumstance changes, even if Medicare previously denied coverage for the same service. Providers are required to retain the Medicare advance beneficiary notice (ABN) for auditing purposes.</w:t>
      </w:r>
    </w:p>
    <w:p w14:paraId="204BA33F" w14:textId="77777777" w:rsidR="001D4D79" w:rsidRPr="00F561AD" w:rsidRDefault="001D4D79" w:rsidP="005E356C">
      <w:pPr>
        <w:ind w:right="-216"/>
        <w:outlineLvl w:val="0"/>
        <w:rPr>
          <w:bCs/>
          <w:sz w:val="22"/>
          <w:szCs w:val="22"/>
        </w:rPr>
      </w:pPr>
      <w:r w:rsidRPr="00F561AD">
        <w:rPr>
          <w:b/>
          <w:bCs/>
          <w:sz w:val="22"/>
          <w:szCs w:val="22"/>
        </w:rPr>
        <w:t>Medicare Denials</w:t>
      </w:r>
    </w:p>
    <w:p w14:paraId="10C2736B" w14:textId="1D711F35" w:rsidR="001D4D79" w:rsidRPr="00F561AD" w:rsidRDefault="001D4D79" w:rsidP="0064058D">
      <w:pPr>
        <w:spacing w:before="120"/>
        <w:ind w:right="-216"/>
        <w:rPr>
          <w:sz w:val="22"/>
          <w:szCs w:val="22"/>
        </w:rPr>
      </w:pPr>
      <w:r w:rsidRPr="00F561AD">
        <w:rPr>
          <w:sz w:val="22"/>
          <w:szCs w:val="22"/>
        </w:rPr>
        <w:t xml:space="preserve">If a claim for a MassHealth member has been submitted to Medicare and subsequently denied, </w:t>
      </w:r>
      <w:r w:rsidR="006E1C74" w:rsidRPr="00F561AD">
        <w:rPr>
          <w:sz w:val="22"/>
          <w:szCs w:val="22"/>
        </w:rPr>
        <w:t xml:space="preserve">the provider may submit the claim to MassHealth with the Medicare denial reason reported on the claim. The </w:t>
      </w:r>
      <w:r w:rsidR="004F68C5" w:rsidRPr="00F561AD">
        <w:rPr>
          <w:sz w:val="22"/>
          <w:szCs w:val="22"/>
        </w:rPr>
        <w:t xml:space="preserve">provider must retain the </w:t>
      </w:r>
      <w:r w:rsidR="006E1C74" w:rsidRPr="00F561AD">
        <w:rPr>
          <w:sz w:val="22"/>
          <w:szCs w:val="22"/>
        </w:rPr>
        <w:t xml:space="preserve">Medicare remittance advice. If requested by the </w:t>
      </w:r>
      <w:r w:rsidR="004F68C5" w:rsidRPr="00F561AD">
        <w:rPr>
          <w:sz w:val="22"/>
          <w:szCs w:val="22"/>
        </w:rPr>
        <w:t xml:space="preserve">MassHealth </w:t>
      </w:r>
      <w:r w:rsidR="006E1C74" w:rsidRPr="00F561AD">
        <w:rPr>
          <w:sz w:val="22"/>
          <w:szCs w:val="22"/>
        </w:rPr>
        <w:t>agency, submit the Medicare remittance advice to MassHealth within 10 days of its receipt</w:t>
      </w:r>
      <w:r w:rsidRPr="00F561AD">
        <w:rPr>
          <w:sz w:val="22"/>
          <w:szCs w:val="22"/>
        </w:rPr>
        <w:t>.</w:t>
      </w:r>
    </w:p>
    <w:p w14:paraId="0ED286F2" w14:textId="77777777" w:rsidR="001D4D79" w:rsidRPr="00F561AD" w:rsidRDefault="001D4D79" w:rsidP="002A5F4F">
      <w:pPr>
        <w:ind w:right="-216"/>
        <w:rPr>
          <w:sz w:val="22"/>
          <w:szCs w:val="22"/>
        </w:rPr>
      </w:pPr>
    </w:p>
    <w:p w14:paraId="4CB71B92" w14:textId="77777777" w:rsidR="00865DEE" w:rsidRPr="00F561AD" w:rsidRDefault="00865DEE" w:rsidP="00865DEE">
      <w:pPr>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865DEE" w:rsidRPr="00F561AD" w14:paraId="5AB66341"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27A99C03" w14:textId="77777777"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lastRenderedPageBreak/>
              <w:t>Commonwealth of Massachusetts</w:t>
            </w:r>
          </w:p>
          <w:p w14:paraId="30D2EF1D" w14:textId="77777777" w:rsidR="00865DEE" w:rsidRPr="00F561AD" w:rsidRDefault="00865DEE" w:rsidP="00C67563">
            <w:pPr>
              <w:keepNext/>
              <w:widowControl w:val="0"/>
              <w:tabs>
                <w:tab w:val="left" w:pos="936"/>
                <w:tab w:val="left" w:pos="1314"/>
                <w:tab w:val="left" w:pos="1692"/>
                <w:tab w:val="left" w:pos="2070"/>
              </w:tabs>
              <w:jc w:val="center"/>
              <w:rPr>
                <w:rFonts w:ascii="Arial" w:hAnsi="Arial" w:cs="Arial"/>
                <w:b/>
              </w:rPr>
            </w:pPr>
            <w:r w:rsidRPr="00F561AD">
              <w:rPr>
                <w:rFonts w:ascii="Arial" w:hAnsi="Arial" w:cs="Arial"/>
                <w:b/>
              </w:rPr>
              <w:t>MassHealth</w:t>
            </w:r>
          </w:p>
          <w:p w14:paraId="272C0514" w14:textId="77777777" w:rsidR="00865DEE" w:rsidRPr="00F561AD" w:rsidRDefault="00865DEE" w:rsidP="00C67563">
            <w:pPr>
              <w:keepNext/>
              <w:widowControl w:val="0"/>
              <w:tabs>
                <w:tab w:val="left" w:pos="936"/>
                <w:tab w:val="left" w:pos="1314"/>
                <w:tab w:val="left" w:pos="1692"/>
                <w:tab w:val="left" w:pos="2070"/>
              </w:tabs>
              <w:jc w:val="center"/>
              <w:rPr>
                <w:rFonts w:ascii="Arial" w:hAnsi="Arial" w:cs="Arial"/>
                <w:b/>
              </w:rPr>
            </w:pPr>
            <w:r w:rsidRPr="00F561AD">
              <w:rPr>
                <w:rFonts w:ascii="Arial" w:hAnsi="Arial" w:cs="Arial"/>
                <w:b/>
              </w:rPr>
              <w:t>Provider Manual Series</w:t>
            </w:r>
          </w:p>
        </w:tc>
        <w:tc>
          <w:tcPr>
            <w:tcW w:w="3750" w:type="dxa"/>
            <w:tcBorders>
              <w:left w:val="single" w:sz="4" w:space="0" w:color="auto"/>
            </w:tcBorders>
          </w:tcPr>
          <w:p w14:paraId="5ECB8610" w14:textId="77777777"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Subchapter Number and Title</w:t>
            </w:r>
          </w:p>
          <w:p w14:paraId="40E2FDB0" w14:textId="77777777" w:rsidR="00865DEE" w:rsidRPr="00F561AD" w:rsidRDefault="00865DEE" w:rsidP="00C67563">
            <w:pPr>
              <w:keepNext/>
              <w:widowControl w:val="0"/>
              <w:tabs>
                <w:tab w:val="left" w:pos="936"/>
                <w:tab w:val="left" w:pos="1314"/>
                <w:tab w:val="left" w:pos="1692"/>
                <w:tab w:val="left" w:pos="2070"/>
              </w:tabs>
              <w:jc w:val="center"/>
              <w:rPr>
                <w:rFonts w:ascii="Arial" w:hAnsi="Arial" w:cs="Arial"/>
              </w:rPr>
            </w:pPr>
            <w:r w:rsidRPr="00F561AD">
              <w:rPr>
                <w:rFonts w:ascii="Arial" w:hAnsi="Arial" w:cs="Arial"/>
              </w:rPr>
              <w:t>Appendix D: Supplemental Instructions for TPL Exceptions</w:t>
            </w:r>
          </w:p>
        </w:tc>
        <w:tc>
          <w:tcPr>
            <w:tcW w:w="1890" w:type="dxa"/>
          </w:tcPr>
          <w:p w14:paraId="5F2B15AA" w14:textId="77777777"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Page</w:t>
            </w:r>
          </w:p>
          <w:p w14:paraId="12EAF49A" w14:textId="0CC8A16A"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D-</w:t>
            </w:r>
            <w:r w:rsidR="00FA6B9D" w:rsidRPr="00F561AD">
              <w:rPr>
                <w:rFonts w:ascii="Arial" w:hAnsi="Arial" w:cs="Arial"/>
              </w:rPr>
              <w:t>2</w:t>
            </w:r>
          </w:p>
        </w:tc>
      </w:tr>
      <w:tr w:rsidR="00865DEE" w:rsidRPr="00F561AD" w14:paraId="363174F5"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220A8E01" w14:textId="77777777" w:rsidR="00865DEE" w:rsidRPr="00F561AD" w:rsidRDefault="00865DEE" w:rsidP="00C67563">
            <w:pPr>
              <w:keepNext/>
              <w:widowControl w:val="0"/>
              <w:tabs>
                <w:tab w:val="left" w:pos="936"/>
                <w:tab w:val="left" w:pos="1314"/>
                <w:tab w:val="left" w:pos="1692"/>
                <w:tab w:val="left" w:pos="2070"/>
              </w:tabs>
              <w:jc w:val="center"/>
              <w:rPr>
                <w:rFonts w:ascii="Arial" w:hAnsi="Arial" w:cs="Arial"/>
              </w:rPr>
            </w:pPr>
            <w:r w:rsidRPr="00F561AD">
              <w:rPr>
                <w:rFonts w:ascii="Arial" w:hAnsi="Arial" w:cs="Arial"/>
              </w:rPr>
              <w:t>Home Health Agency Manual</w:t>
            </w:r>
          </w:p>
        </w:tc>
        <w:tc>
          <w:tcPr>
            <w:tcW w:w="3750" w:type="dxa"/>
            <w:tcBorders>
              <w:left w:val="single" w:sz="4" w:space="0" w:color="auto"/>
            </w:tcBorders>
          </w:tcPr>
          <w:p w14:paraId="09F68A98" w14:textId="77777777"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Transmittal Letter</w:t>
            </w:r>
          </w:p>
          <w:p w14:paraId="522F8E9B" w14:textId="05912D44"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HHA-</w:t>
            </w:r>
            <w:r w:rsidR="00F561AD" w:rsidRPr="00F561AD">
              <w:rPr>
                <w:rFonts w:ascii="Arial" w:hAnsi="Arial" w:cs="Arial"/>
              </w:rPr>
              <w:t>58</w:t>
            </w:r>
          </w:p>
        </w:tc>
        <w:tc>
          <w:tcPr>
            <w:tcW w:w="1890" w:type="dxa"/>
          </w:tcPr>
          <w:p w14:paraId="057EC2A7" w14:textId="77777777" w:rsidR="00865DEE" w:rsidRPr="00F561AD" w:rsidRDefault="00865DEE" w:rsidP="00C67563">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Date</w:t>
            </w:r>
          </w:p>
          <w:p w14:paraId="6AFE3B2F" w14:textId="304F3221" w:rsidR="00865DEE" w:rsidRPr="00F561AD" w:rsidRDefault="00F561AD" w:rsidP="00C67563">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10/</w:t>
            </w:r>
            <w:r w:rsidR="007C7FFE">
              <w:rPr>
                <w:rFonts w:ascii="Arial" w:hAnsi="Arial" w:cs="Arial"/>
              </w:rPr>
              <w:t>18</w:t>
            </w:r>
            <w:r w:rsidRPr="00F561AD">
              <w:rPr>
                <w:rFonts w:ascii="Arial" w:hAnsi="Arial" w:cs="Arial"/>
              </w:rPr>
              <w:t>/23</w:t>
            </w:r>
          </w:p>
        </w:tc>
      </w:tr>
    </w:tbl>
    <w:p w14:paraId="0D2CF947" w14:textId="77777777" w:rsidR="00865DEE" w:rsidRPr="00F561AD" w:rsidRDefault="00865DEE" w:rsidP="00865DEE">
      <w:pPr>
        <w:keepNext/>
        <w:ind w:right="-216"/>
        <w:rPr>
          <w:spacing w:val="-1"/>
          <w:sz w:val="22"/>
          <w:szCs w:val="22"/>
        </w:rPr>
      </w:pPr>
    </w:p>
    <w:p w14:paraId="3D8FB8CC" w14:textId="3C99E4AE" w:rsidR="001D4D79" w:rsidRPr="00F561AD" w:rsidRDefault="001D4D79" w:rsidP="00C67563">
      <w:pPr>
        <w:keepNext/>
        <w:ind w:right="-216"/>
        <w:rPr>
          <w:b/>
          <w:bCs/>
          <w:sz w:val="22"/>
          <w:szCs w:val="22"/>
        </w:rPr>
      </w:pPr>
      <w:r w:rsidRPr="00F561AD">
        <w:rPr>
          <w:spacing w:val="-1"/>
          <w:sz w:val="22"/>
          <w:szCs w:val="22"/>
        </w:rPr>
        <w:t>Mail</w:t>
      </w:r>
      <w:r w:rsidRPr="00F561AD">
        <w:rPr>
          <w:spacing w:val="1"/>
          <w:sz w:val="22"/>
          <w:szCs w:val="22"/>
        </w:rPr>
        <w:t xml:space="preserve"> </w:t>
      </w:r>
      <w:r w:rsidRPr="00F561AD">
        <w:rPr>
          <w:spacing w:val="-2"/>
          <w:sz w:val="22"/>
          <w:szCs w:val="22"/>
        </w:rPr>
        <w:t>or</w:t>
      </w:r>
      <w:r w:rsidRPr="00F561AD">
        <w:rPr>
          <w:spacing w:val="1"/>
          <w:sz w:val="22"/>
          <w:szCs w:val="22"/>
        </w:rPr>
        <w:t xml:space="preserve"> </w:t>
      </w:r>
      <w:r w:rsidRPr="00F561AD">
        <w:rPr>
          <w:spacing w:val="-1"/>
          <w:sz w:val="22"/>
          <w:szCs w:val="22"/>
        </w:rPr>
        <w:t>fax</w:t>
      </w:r>
      <w:r w:rsidRPr="00F561AD">
        <w:rPr>
          <w:sz w:val="22"/>
          <w:szCs w:val="22"/>
        </w:rPr>
        <w:t xml:space="preserve"> a </w:t>
      </w:r>
      <w:r w:rsidRPr="00F561AD">
        <w:rPr>
          <w:spacing w:val="-1"/>
          <w:sz w:val="22"/>
          <w:szCs w:val="22"/>
        </w:rPr>
        <w:t>copy</w:t>
      </w:r>
      <w:r w:rsidRPr="00F561AD">
        <w:rPr>
          <w:spacing w:val="-3"/>
          <w:sz w:val="22"/>
          <w:szCs w:val="22"/>
        </w:rPr>
        <w:t xml:space="preserve"> </w:t>
      </w:r>
      <w:r w:rsidRPr="00F561AD">
        <w:rPr>
          <w:sz w:val="22"/>
          <w:szCs w:val="22"/>
        </w:rPr>
        <w:t>of</w:t>
      </w:r>
      <w:r w:rsidRPr="00F561AD">
        <w:rPr>
          <w:spacing w:val="1"/>
          <w:sz w:val="22"/>
          <w:szCs w:val="22"/>
        </w:rPr>
        <w:t xml:space="preserve"> </w:t>
      </w:r>
      <w:r w:rsidRPr="00F561AD">
        <w:rPr>
          <w:spacing w:val="-1"/>
          <w:sz w:val="22"/>
          <w:szCs w:val="22"/>
        </w:rPr>
        <w:t>the</w:t>
      </w:r>
      <w:r w:rsidRPr="00F561AD">
        <w:rPr>
          <w:sz w:val="22"/>
          <w:szCs w:val="22"/>
        </w:rPr>
        <w:t xml:space="preserve"> </w:t>
      </w:r>
      <w:r w:rsidR="009D4009" w:rsidRPr="00F561AD">
        <w:rPr>
          <w:spacing w:val="-2"/>
          <w:sz w:val="22"/>
          <w:szCs w:val="22"/>
        </w:rPr>
        <w:t>Medicare remittance advice</w:t>
      </w:r>
      <w:r w:rsidR="009D4009" w:rsidRPr="00F561AD">
        <w:rPr>
          <w:spacing w:val="-1"/>
          <w:sz w:val="22"/>
          <w:szCs w:val="22"/>
        </w:rPr>
        <w:t xml:space="preserve"> </w:t>
      </w:r>
      <w:r w:rsidRPr="00F561AD">
        <w:rPr>
          <w:sz w:val="22"/>
          <w:szCs w:val="22"/>
        </w:rPr>
        <w:t>to</w:t>
      </w:r>
    </w:p>
    <w:p w14:paraId="4DB13D81" w14:textId="77777777" w:rsidR="001D4D79" w:rsidRPr="00F561AD" w:rsidRDefault="001D4D79" w:rsidP="00C67563">
      <w:pPr>
        <w:keepNext/>
        <w:ind w:right="-216"/>
        <w:rPr>
          <w:b/>
          <w:bCs/>
          <w:sz w:val="22"/>
          <w:szCs w:val="22"/>
        </w:rPr>
      </w:pPr>
    </w:p>
    <w:p w14:paraId="23915E13" w14:textId="77777777" w:rsidR="001D4D79" w:rsidRPr="00F561AD" w:rsidRDefault="001D4D79" w:rsidP="00C67563">
      <w:pPr>
        <w:keepNext/>
        <w:ind w:firstLine="360"/>
        <w:rPr>
          <w:sz w:val="22"/>
          <w:szCs w:val="22"/>
        </w:rPr>
      </w:pPr>
      <w:r w:rsidRPr="00F561AD">
        <w:rPr>
          <w:sz w:val="22"/>
          <w:szCs w:val="22"/>
        </w:rPr>
        <w:t>Third Party Appeals Unit MA</w:t>
      </w:r>
    </w:p>
    <w:p w14:paraId="1AD2BB13" w14:textId="77777777" w:rsidR="001D4D79" w:rsidRPr="00F561AD" w:rsidRDefault="001D4D79" w:rsidP="006D5349">
      <w:pPr>
        <w:ind w:firstLine="360"/>
        <w:rPr>
          <w:sz w:val="22"/>
          <w:szCs w:val="22"/>
        </w:rPr>
      </w:pPr>
      <w:r w:rsidRPr="00F561AD">
        <w:rPr>
          <w:sz w:val="22"/>
          <w:szCs w:val="22"/>
        </w:rPr>
        <w:t>UMass Chan Medical School</w:t>
      </w:r>
    </w:p>
    <w:p w14:paraId="215F75E9" w14:textId="77777777" w:rsidR="001D4D79" w:rsidRPr="00F561AD" w:rsidRDefault="001D4D79" w:rsidP="006D5349">
      <w:pPr>
        <w:ind w:firstLine="360"/>
        <w:rPr>
          <w:sz w:val="22"/>
          <w:szCs w:val="22"/>
        </w:rPr>
      </w:pPr>
      <w:r w:rsidRPr="00F561AD">
        <w:rPr>
          <w:sz w:val="22"/>
          <w:szCs w:val="22"/>
        </w:rPr>
        <w:t>333 South Street</w:t>
      </w:r>
    </w:p>
    <w:p w14:paraId="663B3359" w14:textId="54FF5CDE" w:rsidR="001D4D79" w:rsidRPr="00F561AD" w:rsidRDefault="001D4D79" w:rsidP="006D5349">
      <w:pPr>
        <w:ind w:firstLine="360"/>
        <w:rPr>
          <w:sz w:val="22"/>
          <w:szCs w:val="22"/>
        </w:rPr>
      </w:pPr>
      <w:r w:rsidRPr="00F561AD">
        <w:rPr>
          <w:sz w:val="22"/>
          <w:szCs w:val="22"/>
        </w:rPr>
        <w:t xml:space="preserve">Shrewsbury, MA </w:t>
      </w:r>
      <w:r w:rsidR="009D4009" w:rsidRPr="00F561AD">
        <w:rPr>
          <w:sz w:val="22"/>
          <w:szCs w:val="22"/>
        </w:rPr>
        <w:t xml:space="preserve"> </w:t>
      </w:r>
      <w:r w:rsidRPr="00F561AD">
        <w:rPr>
          <w:sz w:val="22"/>
          <w:szCs w:val="22"/>
        </w:rPr>
        <w:t>01545-4169</w:t>
      </w:r>
    </w:p>
    <w:p w14:paraId="082DD705" w14:textId="76E6A972" w:rsidR="001D4D79" w:rsidRPr="00F561AD" w:rsidRDefault="007C2362" w:rsidP="006D5349">
      <w:pPr>
        <w:ind w:firstLine="360"/>
        <w:rPr>
          <w:sz w:val="22"/>
          <w:szCs w:val="22"/>
        </w:rPr>
      </w:pPr>
      <w:r w:rsidRPr="00F561AD">
        <w:rPr>
          <w:sz w:val="22"/>
          <w:szCs w:val="22"/>
        </w:rPr>
        <w:t>(</w:t>
      </w:r>
      <w:r w:rsidR="001D4D79" w:rsidRPr="00F561AD">
        <w:rPr>
          <w:sz w:val="22"/>
          <w:szCs w:val="22"/>
        </w:rPr>
        <w:t>877</w:t>
      </w:r>
      <w:r w:rsidRPr="00F561AD">
        <w:rPr>
          <w:sz w:val="22"/>
          <w:szCs w:val="22"/>
        </w:rPr>
        <w:t xml:space="preserve">) </w:t>
      </w:r>
      <w:r w:rsidR="001D4D79" w:rsidRPr="00F561AD">
        <w:rPr>
          <w:sz w:val="22"/>
          <w:szCs w:val="22"/>
        </w:rPr>
        <w:t>533-4381</w:t>
      </w:r>
    </w:p>
    <w:p w14:paraId="7B75EFA5" w14:textId="09FF6A23" w:rsidR="001D4D79" w:rsidRPr="00F561AD" w:rsidRDefault="007C2362" w:rsidP="006D5349">
      <w:pPr>
        <w:ind w:firstLine="360"/>
        <w:rPr>
          <w:sz w:val="22"/>
          <w:szCs w:val="22"/>
        </w:rPr>
      </w:pPr>
      <w:r w:rsidRPr="00F561AD">
        <w:rPr>
          <w:sz w:val="22"/>
          <w:szCs w:val="22"/>
        </w:rPr>
        <w:t>(</w:t>
      </w:r>
      <w:r w:rsidR="001D4D79" w:rsidRPr="00F561AD">
        <w:rPr>
          <w:sz w:val="22"/>
          <w:szCs w:val="22"/>
        </w:rPr>
        <w:t>508</w:t>
      </w:r>
      <w:r w:rsidRPr="00F561AD">
        <w:rPr>
          <w:sz w:val="22"/>
          <w:szCs w:val="22"/>
        </w:rPr>
        <w:t xml:space="preserve">) </w:t>
      </w:r>
      <w:r w:rsidR="001D4D79" w:rsidRPr="00F561AD">
        <w:rPr>
          <w:sz w:val="22"/>
          <w:szCs w:val="22"/>
        </w:rPr>
        <w:t>421-8990 (fax)</w:t>
      </w:r>
    </w:p>
    <w:p w14:paraId="6B9A59CA" w14:textId="26976D99" w:rsidR="002D281C" w:rsidRPr="00F561AD" w:rsidRDefault="002D281C" w:rsidP="00C67563">
      <w:pPr>
        <w:rPr>
          <w:sz w:val="22"/>
          <w:szCs w:val="22"/>
        </w:rPr>
      </w:pPr>
    </w:p>
    <w:p w14:paraId="1AAEA5F5" w14:textId="77777777" w:rsidR="001D4D79" w:rsidRPr="00F561AD" w:rsidRDefault="001D4D79" w:rsidP="0064058D">
      <w:pPr>
        <w:spacing w:before="120" w:after="120"/>
        <w:ind w:right="-216"/>
        <w:outlineLvl w:val="0"/>
        <w:rPr>
          <w:b/>
          <w:bCs/>
          <w:sz w:val="22"/>
          <w:szCs w:val="22"/>
        </w:rPr>
      </w:pPr>
      <w:r w:rsidRPr="00F561AD">
        <w:rPr>
          <w:b/>
          <w:bCs/>
          <w:sz w:val="22"/>
          <w:szCs w:val="22"/>
        </w:rPr>
        <w:t>Commercial Insurance</w:t>
      </w:r>
    </w:p>
    <w:p w14:paraId="392155A3" w14:textId="77777777" w:rsidR="001D4D79" w:rsidRPr="00F561AD" w:rsidRDefault="001D4D79" w:rsidP="002A5F4F">
      <w:pPr>
        <w:ind w:right="-216"/>
        <w:rPr>
          <w:sz w:val="22"/>
          <w:szCs w:val="22"/>
        </w:rPr>
      </w:pPr>
      <w:r w:rsidRPr="00F561AD">
        <w:rPr>
          <w:sz w:val="22"/>
          <w:szCs w:val="22"/>
        </w:rPr>
        <w:t xml:space="preserve">Home health services for a member with commercial insurance must generally be billed to the commercial insurer before submitting a claim to MassHealth. Refer to MassHealth regulations at 130 CMR 450.316. </w:t>
      </w:r>
    </w:p>
    <w:p w14:paraId="4EDF1971" w14:textId="77777777" w:rsidR="001D4D79" w:rsidRPr="00F561AD" w:rsidRDefault="001D4D79" w:rsidP="0064058D">
      <w:pPr>
        <w:spacing w:before="120" w:after="120"/>
        <w:ind w:right="-216"/>
        <w:rPr>
          <w:sz w:val="22"/>
          <w:szCs w:val="22"/>
        </w:rPr>
      </w:pPr>
      <w:r w:rsidRPr="00F561AD">
        <w:rPr>
          <w:sz w:val="22"/>
          <w:szCs w:val="22"/>
        </w:rPr>
        <w:t xml:space="preserve">Even if an insurer previously denied coverage for the same service, providers must submit a claim and seek a new coverage determination from an insurer whenever there is a new admission or a change in the member’s medical condition or health insurance coverage status, known as a “qualifying event.” A qualifying event is defined as any change in a member’s condition or circumstance that may trigger a change in insurance coverage. The following list includes some examples of qualifying events that would require </w:t>
      </w:r>
      <w:proofErr w:type="gramStart"/>
      <w:r w:rsidRPr="00F561AD">
        <w:rPr>
          <w:sz w:val="22"/>
          <w:szCs w:val="22"/>
        </w:rPr>
        <w:t>a coverage</w:t>
      </w:r>
      <w:proofErr w:type="gramEnd"/>
      <w:r w:rsidRPr="00F561AD">
        <w:rPr>
          <w:sz w:val="22"/>
          <w:szCs w:val="22"/>
        </w:rPr>
        <w:t xml:space="preserve"> determination by a commercial insurer.</w:t>
      </w:r>
    </w:p>
    <w:p w14:paraId="5FDFEBFA" w14:textId="77777777" w:rsidR="001D4D79" w:rsidRPr="00F561AD" w:rsidRDefault="001D4D79" w:rsidP="001D4D79">
      <w:pPr>
        <w:numPr>
          <w:ilvl w:val="0"/>
          <w:numId w:val="5"/>
        </w:numPr>
        <w:spacing w:after="60"/>
        <w:ind w:right="-216"/>
        <w:rPr>
          <w:sz w:val="22"/>
          <w:szCs w:val="22"/>
        </w:rPr>
      </w:pPr>
      <w:r w:rsidRPr="00F561AD">
        <w:rPr>
          <w:sz w:val="22"/>
          <w:szCs w:val="22"/>
        </w:rPr>
        <w:t>new services from a home health agency (HHA</w:t>
      </w:r>
      <w:proofErr w:type="gramStart"/>
      <w:r w:rsidRPr="00F561AD">
        <w:rPr>
          <w:sz w:val="22"/>
          <w:szCs w:val="22"/>
        </w:rPr>
        <w:t>);</w:t>
      </w:r>
      <w:proofErr w:type="gramEnd"/>
    </w:p>
    <w:p w14:paraId="2C6CAD30" w14:textId="77777777" w:rsidR="001D4D79" w:rsidRPr="00F561AD" w:rsidRDefault="001D4D79" w:rsidP="001D4D79">
      <w:pPr>
        <w:numPr>
          <w:ilvl w:val="0"/>
          <w:numId w:val="5"/>
        </w:numPr>
        <w:spacing w:after="60"/>
        <w:ind w:right="-216"/>
        <w:rPr>
          <w:sz w:val="22"/>
          <w:szCs w:val="22"/>
        </w:rPr>
      </w:pPr>
      <w:r w:rsidRPr="00F561AD">
        <w:rPr>
          <w:sz w:val="22"/>
          <w:szCs w:val="22"/>
        </w:rPr>
        <w:t xml:space="preserve">new HHA services after discharge from an inpatient hospital or skilled facility stay resulting in a change of skilled services in the plan of </w:t>
      </w:r>
      <w:proofErr w:type="gramStart"/>
      <w:r w:rsidRPr="00F561AD">
        <w:rPr>
          <w:sz w:val="22"/>
          <w:szCs w:val="22"/>
        </w:rPr>
        <w:t>care;</w:t>
      </w:r>
      <w:proofErr w:type="gramEnd"/>
    </w:p>
    <w:p w14:paraId="603CDC55" w14:textId="77777777" w:rsidR="001D4D79" w:rsidRPr="00F561AD" w:rsidRDefault="001D4D79" w:rsidP="001D4D79">
      <w:pPr>
        <w:numPr>
          <w:ilvl w:val="0"/>
          <w:numId w:val="5"/>
        </w:numPr>
        <w:spacing w:after="60"/>
        <w:ind w:right="-216"/>
        <w:rPr>
          <w:sz w:val="22"/>
          <w:szCs w:val="22"/>
        </w:rPr>
      </w:pPr>
      <w:r w:rsidRPr="00F561AD">
        <w:rPr>
          <w:sz w:val="22"/>
          <w:szCs w:val="22"/>
        </w:rPr>
        <w:t xml:space="preserve">new commercial insurance coverage or change of </w:t>
      </w:r>
      <w:proofErr w:type="gramStart"/>
      <w:r w:rsidRPr="00F561AD">
        <w:rPr>
          <w:sz w:val="22"/>
          <w:szCs w:val="22"/>
        </w:rPr>
        <w:t>insurer;</w:t>
      </w:r>
      <w:proofErr w:type="gramEnd"/>
    </w:p>
    <w:p w14:paraId="19DD972D" w14:textId="77777777" w:rsidR="001D4D79" w:rsidRPr="00F561AD" w:rsidRDefault="001D4D79" w:rsidP="001D4D79">
      <w:pPr>
        <w:numPr>
          <w:ilvl w:val="0"/>
          <w:numId w:val="5"/>
        </w:numPr>
        <w:spacing w:after="60"/>
        <w:ind w:right="-216"/>
        <w:rPr>
          <w:sz w:val="22"/>
          <w:szCs w:val="22"/>
        </w:rPr>
      </w:pPr>
      <w:r w:rsidRPr="00F561AD">
        <w:rPr>
          <w:sz w:val="22"/>
          <w:szCs w:val="22"/>
        </w:rPr>
        <w:t>commencement of annual commercial insurance coverage or other periodic benefit(s</w:t>
      </w:r>
      <w:proofErr w:type="gramStart"/>
      <w:r w:rsidRPr="00F561AD">
        <w:rPr>
          <w:sz w:val="22"/>
          <w:szCs w:val="22"/>
        </w:rPr>
        <w:t>);</w:t>
      </w:r>
      <w:proofErr w:type="gramEnd"/>
    </w:p>
    <w:p w14:paraId="64FD5B35" w14:textId="77777777" w:rsidR="001D4D79" w:rsidRPr="00F561AD" w:rsidRDefault="001D4D79" w:rsidP="001D4D79">
      <w:pPr>
        <w:numPr>
          <w:ilvl w:val="0"/>
          <w:numId w:val="5"/>
        </w:numPr>
        <w:spacing w:after="60"/>
        <w:ind w:right="-216"/>
        <w:rPr>
          <w:sz w:val="22"/>
          <w:szCs w:val="22"/>
        </w:rPr>
      </w:pPr>
      <w:r w:rsidRPr="00F561AD">
        <w:rPr>
          <w:sz w:val="22"/>
          <w:szCs w:val="22"/>
        </w:rPr>
        <w:t>reinstatement of insurance benefits; or</w:t>
      </w:r>
    </w:p>
    <w:p w14:paraId="66A0F37E" w14:textId="77777777" w:rsidR="001D4D79" w:rsidRPr="00F561AD" w:rsidRDefault="001D4D79" w:rsidP="001D4D79">
      <w:pPr>
        <w:numPr>
          <w:ilvl w:val="0"/>
          <w:numId w:val="5"/>
        </w:numPr>
        <w:spacing w:after="60"/>
        <w:ind w:right="-216"/>
        <w:rPr>
          <w:sz w:val="22"/>
          <w:szCs w:val="22"/>
        </w:rPr>
      </w:pPr>
      <w:r w:rsidRPr="00F561AD">
        <w:rPr>
          <w:sz w:val="22"/>
          <w:szCs w:val="22"/>
        </w:rPr>
        <w:t>change in the patient’s medical condition resulting in a change of skilled services in the plan of care.</w:t>
      </w:r>
    </w:p>
    <w:p w14:paraId="47AA108D" w14:textId="1A5458DB" w:rsidR="001D4D79" w:rsidRPr="00F561AD" w:rsidRDefault="001D4D79" w:rsidP="0064058D">
      <w:pPr>
        <w:spacing w:before="120"/>
        <w:ind w:right="-216"/>
        <w:rPr>
          <w:sz w:val="22"/>
          <w:szCs w:val="22"/>
        </w:rPr>
      </w:pPr>
      <w:r w:rsidRPr="00F561AD">
        <w:rPr>
          <w:sz w:val="22"/>
          <w:szCs w:val="22"/>
        </w:rPr>
        <w:t xml:space="preserve">If after review, the commercial carrier has denied the claim due to noncoverage, providers should follow the HIPAA implementation guides and MassHealth companion guides for submission of the initial claim to MassHealth. Implementation and companion guides are available on the MassHealth website at </w:t>
      </w:r>
      <w:hyperlink r:id="rId9" w:history="1">
        <w:r w:rsidR="00C57262" w:rsidRPr="00F561AD">
          <w:rPr>
            <w:rStyle w:val="Hyperlink"/>
            <w:sz w:val="22"/>
            <w:szCs w:val="22"/>
          </w:rPr>
          <w:t>mass.gov/</w:t>
        </w:r>
        <w:proofErr w:type="spellStart"/>
        <w:r w:rsidR="00C57262" w:rsidRPr="00F561AD">
          <w:rPr>
            <w:rStyle w:val="Hyperlink"/>
            <w:sz w:val="22"/>
            <w:szCs w:val="22"/>
          </w:rPr>
          <w:t>masshealth</w:t>
        </w:r>
        <w:proofErr w:type="spellEnd"/>
      </w:hyperlink>
      <w:r w:rsidRPr="00F561AD">
        <w:rPr>
          <w:sz w:val="22"/>
          <w:szCs w:val="22"/>
        </w:rPr>
        <w:t>.</w:t>
      </w:r>
    </w:p>
    <w:p w14:paraId="6249BAA7" w14:textId="77777777" w:rsidR="001D4D79" w:rsidRPr="00F561AD" w:rsidRDefault="001D4D79" w:rsidP="0064058D">
      <w:pPr>
        <w:autoSpaceDE w:val="0"/>
        <w:autoSpaceDN w:val="0"/>
        <w:adjustRightInd w:val="0"/>
        <w:spacing w:before="120" w:after="120"/>
        <w:rPr>
          <w:sz w:val="22"/>
          <w:szCs w:val="22"/>
        </w:rPr>
      </w:pPr>
      <w:r w:rsidRPr="00F561AD">
        <w:rPr>
          <w:sz w:val="22"/>
          <w:szCs w:val="22"/>
        </w:rPr>
        <w:t xml:space="preserve">Providers are required to keep on file for auditing purposes the insurer’s original explanation of benefits (EOB), 835 </w:t>
      </w:r>
      <w:proofErr w:type="gramStart"/>
      <w:r w:rsidRPr="00F561AD">
        <w:rPr>
          <w:sz w:val="22"/>
          <w:szCs w:val="22"/>
        </w:rPr>
        <w:t>transaction</w:t>
      </w:r>
      <w:proofErr w:type="gramEnd"/>
      <w:r w:rsidRPr="00F561AD">
        <w:rPr>
          <w:sz w:val="22"/>
          <w:szCs w:val="22"/>
        </w:rPr>
        <w:t>, or response from the insurer. Providers must retain a copy of the insurer’s denial</w:t>
      </w:r>
      <w:r w:rsidRPr="00F561AD">
        <w:t>.</w:t>
      </w:r>
      <w:r w:rsidRPr="00F561AD">
        <w:rPr>
          <w:sz w:val="22"/>
          <w:szCs w:val="22"/>
        </w:rPr>
        <w:t xml:space="preserve"> If requested by the agency, submit to MassHealth within 10 days of its receipt.</w:t>
      </w:r>
    </w:p>
    <w:p w14:paraId="418A72CF" w14:textId="77777777" w:rsidR="001D4D79" w:rsidRPr="00F561AD" w:rsidRDefault="001D4D79" w:rsidP="00560A3D">
      <w:pPr>
        <w:ind w:right="-216"/>
        <w:rPr>
          <w:b/>
          <w:bCs/>
          <w:sz w:val="22"/>
          <w:szCs w:val="22"/>
        </w:rPr>
      </w:pPr>
      <w:r w:rsidRPr="00F561AD">
        <w:rPr>
          <w:spacing w:val="-1"/>
          <w:sz w:val="22"/>
          <w:szCs w:val="22"/>
        </w:rPr>
        <w:t>Mail</w:t>
      </w:r>
      <w:r w:rsidRPr="00F561AD">
        <w:rPr>
          <w:spacing w:val="1"/>
          <w:sz w:val="22"/>
          <w:szCs w:val="22"/>
        </w:rPr>
        <w:t xml:space="preserve"> </w:t>
      </w:r>
      <w:r w:rsidRPr="00F561AD">
        <w:rPr>
          <w:spacing w:val="-2"/>
          <w:sz w:val="22"/>
          <w:szCs w:val="22"/>
        </w:rPr>
        <w:t>or</w:t>
      </w:r>
      <w:r w:rsidRPr="00F561AD">
        <w:rPr>
          <w:spacing w:val="1"/>
          <w:sz w:val="22"/>
          <w:szCs w:val="22"/>
        </w:rPr>
        <w:t xml:space="preserve"> </w:t>
      </w:r>
      <w:r w:rsidRPr="00F561AD">
        <w:rPr>
          <w:spacing w:val="-1"/>
          <w:sz w:val="22"/>
          <w:szCs w:val="22"/>
        </w:rPr>
        <w:t>fax</w:t>
      </w:r>
      <w:r w:rsidRPr="00F561AD">
        <w:rPr>
          <w:sz w:val="22"/>
          <w:szCs w:val="22"/>
        </w:rPr>
        <w:t xml:space="preserve"> a </w:t>
      </w:r>
      <w:r w:rsidRPr="00F561AD">
        <w:rPr>
          <w:spacing w:val="-1"/>
          <w:sz w:val="22"/>
          <w:szCs w:val="22"/>
        </w:rPr>
        <w:t>copy</w:t>
      </w:r>
      <w:r w:rsidRPr="00F561AD">
        <w:rPr>
          <w:spacing w:val="-3"/>
          <w:sz w:val="22"/>
          <w:szCs w:val="22"/>
        </w:rPr>
        <w:t xml:space="preserve"> </w:t>
      </w:r>
      <w:r w:rsidRPr="00F561AD">
        <w:rPr>
          <w:sz w:val="22"/>
          <w:szCs w:val="22"/>
        </w:rPr>
        <w:t>of</w:t>
      </w:r>
      <w:r w:rsidRPr="00F561AD">
        <w:rPr>
          <w:spacing w:val="1"/>
          <w:sz w:val="22"/>
          <w:szCs w:val="22"/>
        </w:rPr>
        <w:t xml:space="preserve"> </w:t>
      </w:r>
      <w:r w:rsidRPr="00F561AD">
        <w:rPr>
          <w:spacing w:val="-1"/>
          <w:sz w:val="22"/>
          <w:szCs w:val="22"/>
        </w:rPr>
        <w:t>the</w:t>
      </w:r>
      <w:r w:rsidRPr="00F561AD">
        <w:rPr>
          <w:sz w:val="22"/>
          <w:szCs w:val="22"/>
        </w:rPr>
        <w:t xml:space="preserve"> </w:t>
      </w:r>
      <w:r w:rsidRPr="00F561AD">
        <w:rPr>
          <w:spacing w:val="-2"/>
          <w:sz w:val="22"/>
          <w:szCs w:val="22"/>
        </w:rPr>
        <w:t>EOB</w:t>
      </w:r>
      <w:r w:rsidRPr="00F561AD">
        <w:rPr>
          <w:spacing w:val="-1"/>
          <w:sz w:val="22"/>
          <w:szCs w:val="22"/>
        </w:rPr>
        <w:t xml:space="preserve"> </w:t>
      </w:r>
      <w:r w:rsidRPr="00F561AD">
        <w:rPr>
          <w:sz w:val="22"/>
          <w:szCs w:val="22"/>
        </w:rPr>
        <w:t>to:</w:t>
      </w:r>
    </w:p>
    <w:p w14:paraId="77633661" w14:textId="77777777" w:rsidR="001D4D79" w:rsidRPr="00F561AD" w:rsidRDefault="001D4D79" w:rsidP="00560A3D">
      <w:pPr>
        <w:ind w:right="-216"/>
        <w:rPr>
          <w:b/>
          <w:bCs/>
          <w:sz w:val="22"/>
          <w:szCs w:val="22"/>
        </w:rPr>
      </w:pPr>
    </w:p>
    <w:p w14:paraId="342A1682" w14:textId="77777777" w:rsidR="001D4D79" w:rsidRPr="00F561AD" w:rsidRDefault="001D4D79" w:rsidP="00560A3D">
      <w:pPr>
        <w:ind w:firstLine="360"/>
        <w:rPr>
          <w:sz w:val="22"/>
          <w:szCs w:val="22"/>
        </w:rPr>
      </w:pPr>
      <w:r w:rsidRPr="00F561AD">
        <w:rPr>
          <w:sz w:val="22"/>
          <w:szCs w:val="22"/>
        </w:rPr>
        <w:t>Third Party Appeals Unit MA</w:t>
      </w:r>
    </w:p>
    <w:p w14:paraId="4DAE4906" w14:textId="77777777" w:rsidR="001D4D79" w:rsidRPr="00F561AD" w:rsidRDefault="001D4D79" w:rsidP="00560A3D">
      <w:pPr>
        <w:ind w:firstLine="360"/>
        <w:rPr>
          <w:sz w:val="22"/>
          <w:szCs w:val="22"/>
        </w:rPr>
      </w:pPr>
      <w:r w:rsidRPr="00F561AD">
        <w:rPr>
          <w:sz w:val="22"/>
          <w:szCs w:val="22"/>
        </w:rPr>
        <w:t>UMass Chan Medical School</w:t>
      </w:r>
    </w:p>
    <w:p w14:paraId="3234562E" w14:textId="77777777" w:rsidR="001D4D79" w:rsidRPr="00F561AD" w:rsidRDefault="001D4D79" w:rsidP="00560A3D">
      <w:pPr>
        <w:ind w:firstLine="360"/>
        <w:rPr>
          <w:sz w:val="22"/>
          <w:szCs w:val="22"/>
        </w:rPr>
      </w:pPr>
      <w:r w:rsidRPr="00F561AD">
        <w:rPr>
          <w:sz w:val="22"/>
          <w:szCs w:val="22"/>
        </w:rPr>
        <w:t>333 South Street</w:t>
      </w:r>
    </w:p>
    <w:p w14:paraId="1CDAE4E0" w14:textId="4F65A99D" w:rsidR="001D4D79" w:rsidRPr="00F561AD" w:rsidRDefault="001D4D79" w:rsidP="00560A3D">
      <w:pPr>
        <w:ind w:firstLine="360"/>
        <w:rPr>
          <w:sz w:val="22"/>
          <w:szCs w:val="22"/>
        </w:rPr>
      </w:pPr>
      <w:r w:rsidRPr="00F561AD">
        <w:rPr>
          <w:sz w:val="22"/>
          <w:szCs w:val="22"/>
        </w:rPr>
        <w:t>Shrewsbury, MA</w:t>
      </w:r>
      <w:r w:rsidR="00F76CBF" w:rsidRPr="00F561AD">
        <w:rPr>
          <w:sz w:val="22"/>
          <w:szCs w:val="22"/>
        </w:rPr>
        <w:t xml:space="preserve"> </w:t>
      </w:r>
      <w:r w:rsidRPr="00F561AD">
        <w:rPr>
          <w:sz w:val="22"/>
          <w:szCs w:val="22"/>
        </w:rPr>
        <w:t xml:space="preserve"> 01545-4169</w:t>
      </w:r>
    </w:p>
    <w:p w14:paraId="148B27C4" w14:textId="30E18DF8" w:rsidR="001D4D79" w:rsidRPr="00F561AD" w:rsidRDefault="00F76CBF" w:rsidP="00560A3D">
      <w:pPr>
        <w:ind w:firstLine="360"/>
        <w:rPr>
          <w:sz w:val="22"/>
          <w:szCs w:val="22"/>
        </w:rPr>
      </w:pPr>
      <w:r w:rsidRPr="00F561AD">
        <w:rPr>
          <w:sz w:val="22"/>
          <w:szCs w:val="22"/>
        </w:rPr>
        <w:t>(</w:t>
      </w:r>
      <w:r w:rsidR="001D4D79" w:rsidRPr="00F561AD">
        <w:rPr>
          <w:sz w:val="22"/>
          <w:szCs w:val="22"/>
        </w:rPr>
        <w:t>877</w:t>
      </w:r>
      <w:r w:rsidRPr="00F561AD">
        <w:rPr>
          <w:sz w:val="22"/>
          <w:szCs w:val="22"/>
        </w:rPr>
        <w:t xml:space="preserve">) </w:t>
      </w:r>
      <w:r w:rsidR="001D4D79" w:rsidRPr="00F561AD">
        <w:rPr>
          <w:sz w:val="22"/>
          <w:szCs w:val="22"/>
        </w:rPr>
        <w:t>533-4381</w:t>
      </w:r>
    </w:p>
    <w:p w14:paraId="39813B22" w14:textId="581036B6" w:rsidR="001D4D79" w:rsidRPr="00F561AD" w:rsidRDefault="00F76CBF" w:rsidP="00086F97">
      <w:pPr>
        <w:autoSpaceDE w:val="0"/>
        <w:autoSpaceDN w:val="0"/>
        <w:adjustRightInd w:val="0"/>
        <w:ind w:firstLine="360"/>
        <w:rPr>
          <w:sz w:val="22"/>
          <w:szCs w:val="22"/>
        </w:rPr>
      </w:pPr>
      <w:r w:rsidRPr="00F561AD">
        <w:rPr>
          <w:sz w:val="22"/>
          <w:szCs w:val="22"/>
        </w:rPr>
        <w:t>(</w:t>
      </w:r>
      <w:r w:rsidR="001D4D79" w:rsidRPr="00F561AD">
        <w:rPr>
          <w:sz w:val="22"/>
          <w:szCs w:val="22"/>
        </w:rPr>
        <w:t>508</w:t>
      </w:r>
      <w:r w:rsidRPr="00F561AD">
        <w:rPr>
          <w:sz w:val="22"/>
          <w:szCs w:val="22"/>
        </w:rPr>
        <w:t xml:space="preserve">) </w:t>
      </w:r>
      <w:r w:rsidR="001D4D79" w:rsidRPr="00F561AD">
        <w:rPr>
          <w:sz w:val="22"/>
          <w:szCs w:val="22"/>
        </w:rPr>
        <w:t>421-8990 (fax)</w:t>
      </w:r>
    </w:p>
    <w:p w14:paraId="2DC65248" w14:textId="77777777" w:rsidR="001D4D79" w:rsidRPr="00F561AD" w:rsidRDefault="001D4D79" w:rsidP="00086F97">
      <w:pPr>
        <w:autoSpaceDE w:val="0"/>
        <w:autoSpaceDN w:val="0"/>
        <w:adjustRightInd w:val="0"/>
        <w:ind w:firstLine="360"/>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FA6B9D" w:rsidRPr="00F561AD" w14:paraId="20894BE5"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062662B4"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lastRenderedPageBreak/>
              <w:t>Commonwealth of Massachusetts</w:t>
            </w:r>
          </w:p>
          <w:p w14:paraId="09A5528F" w14:textId="77777777" w:rsidR="00FA6B9D" w:rsidRPr="00F561AD" w:rsidRDefault="00FA6B9D"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MassHealth</w:t>
            </w:r>
          </w:p>
          <w:p w14:paraId="265CF026" w14:textId="77777777" w:rsidR="00FA6B9D" w:rsidRPr="00F561AD" w:rsidRDefault="00FA6B9D"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Provider Manual Series</w:t>
            </w:r>
          </w:p>
        </w:tc>
        <w:tc>
          <w:tcPr>
            <w:tcW w:w="3750" w:type="dxa"/>
            <w:tcBorders>
              <w:left w:val="single" w:sz="4" w:space="0" w:color="auto"/>
            </w:tcBorders>
          </w:tcPr>
          <w:p w14:paraId="56759E1F"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Subchapter Number and Title</w:t>
            </w:r>
          </w:p>
          <w:p w14:paraId="793FED91" w14:textId="77777777" w:rsidR="00FA6B9D" w:rsidRPr="00F561AD" w:rsidRDefault="00FA6B9D"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Appendix D: Supplemental Instructions for TPL Exceptions</w:t>
            </w:r>
          </w:p>
        </w:tc>
        <w:tc>
          <w:tcPr>
            <w:tcW w:w="1890" w:type="dxa"/>
          </w:tcPr>
          <w:p w14:paraId="2489B981"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Page</w:t>
            </w:r>
          </w:p>
          <w:p w14:paraId="529E5E02"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D-3</w:t>
            </w:r>
          </w:p>
        </w:tc>
      </w:tr>
      <w:tr w:rsidR="00FA6B9D" w:rsidRPr="00F561AD" w14:paraId="670B9103"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4E314983" w14:textId="77777777" w:rsidR="00FA6B9D" w:rsidRPr="00F561AD" w:rsidRDefault="00FA6B9D"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Home Health Agency Manual</w:t>
            </w:r>
          </w:p>
        </w:tc>
        <w:tc>
          <w:tcPr>
            <w:tcW w:w="3750" w:type="dxa"/>
            <w:tcBorders>
              <w:left w:val="single" w:sz="4" w:space="0" w:color="auto"/>
            </w:tcBorders>
          </w:tcPr>
          <w:p w14:paraId="53DDFEB4"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Transmittal Letter</w:t>
            </w:r>
          </w:p>
          <w:p w14:paraId="0681309C" w14:textId="513AF862"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HHA-</w:t>
            </w:r>
            <w:r w:rsidR="00F561AD" w:rsidRPr="00F561AD">
              <w:rPr>
                <w:rFonts w:ascii="Arial" w:hAnsi="Arial" w:cs="Arial"/>
              </w:rPr>
              <w:t>58</w:t>
            </w:r>
          </w:p>
        </w:tc>
        <w:tc>
          <w:tcPr>
            <w:tcW w:w="1890" w:type="dxa"/>
          </w:tcPr>
          <w:p w14:paraId="253295C2"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Date</w:t>
            </w:r>
          </w:p>
          <w:p w14:paraId="20A7F916" w14:textId="37D850F0" w:rsidR="00FA6B9D" w:rsidRPr="00F561AD" w:rsidRDefault="00F561A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10/</w:t>
            </w:r>
            <w:r w:rsidR="007C7FFE">
              <w:rPr>
                <w:rFonts w:ascii="Arial" w:hAnsi="Arial" w:cs="Arial"/>
              </w:rPr>
              <w:t>18</w:t>
            </w:r>
            <w:r w:rsidRPr="00F561AD">
              <w:rPr>
                <w:rFonts w:ascii="Arial" w:hAnsi="Arial" w:cs="Arial"/>
              </w:rPr>
              <w:t>/23</w:t>
            </w:r>
          </w:p>
        </w:tc>
      </w:tr>
    </w:tbl>
    <w:p w14:paraId="492A1145" w14:textId="77777777" w:rsidR="00FA6B9D" w:rsidRPr="00F561AD" w:rsidRDefault="00FA6B9D" w:rsidP="001767D2">
      <w:pPr>
        <w:keepNext/>
        <w:ind w:right="-216"/>
        <w:outlineLvl w:val="0"/>
        <w:rPr>
          <w:b/>
          <w:bCs/>
          <w:sz w:val="22"/>
          <w:szCs w:val="22"/>
        </w:rPr>
      </w:pPr>
    </w:p>
    <w:p w14:paraId="2C4F6036" w14:textId="71BBB560" w:rsidR="001D4D79" w:rsidRPr="00F561AD" w:rsidRDefault="001D4D79" w:rsidP="00C67563">
      <w:pPr>
        <w:keepNext/>
        <w:ind w:right="-216"/>
        <w:outlineLvl w:val="0"/>
        <w:rPr>
          <w:b/>
          <w:bCs/>
          <w:sz w:val="22"/>
          <w:szCs w:val="22"/>
        </w:rPr>
      </w:pPr>
      <w:r w:rsidRPr="00F561AD">
        <w:rPr>
          <w:b/>
          <w:bCs/>
          <w:sz w:val="22"/>
          <w:szCs w:val="22"/>
        </w:rPr>
        <w:t>TPL Commercial Exception Criteria</w:t>
      </w:r>
    </w:p>
    <w:p w14:paraId="7C2AB91A" w14:textId="4BF63F3A" w:rsidR="001D4D79" w:rsidRPr="00F561AD" w:rsidRDefault="001D4D79" w:rsidP="0064058D">
      <w:pPr>
        <w:spacing w:before="120" w:after="120"/>
        <w:rPr>
          <w:sz w:val="22"/>
          <w:szCs w:val="22"/>
        </w:rPr>
      </w:pPr>
      <w:r w:rsidRPr="00F561AD">
        <w:rPr>
          <w:sz w:val="22"/>
          <w:szCs w:val="22"/>
        </w:rPr>
        <w:t>Claims for MassHealth members who have commercial insurance must be initially billed to the commercial insurer</w:t>
      </w:r>
      <w:r w:rsidR="001767D2" w:rsidRPr="00F561AD">
        <w:rPr>
          <w:sz w:val="22"/>
          <w:szCs w:val="22"/>
        </w:rPr>
        <w:t>. Providers must use the coverage determination process and follow guidelines established by the member’s plan for noncovered items</w:t>
      </w:r>
      <w:r w:rsidRPr="00F561AD">
        <w:rPr>
          <w:sz w:val="22"/>
          <w:szCs w:val="22"/>
        </w:rPr>
        <w:t xml:space="preserve">. </w:t>
      </w:r>
    </w:p>
    <w:p w14:paraId="0E0C1136" w14:textId="77777777" w:rsidR="001D4D79" w:rsidRPr="00F561AD" w:rsidRDefault="001D4D79" w:rsidP="00B5381C">
      <w:pPr>
        <w:rPr>
          <w:sz w:val="22"/>
          <w:szCs w:val="22"/>
        </w:rPr>
      </w:pPr>
      <w:r w:rsidRPr="00F561AD">
        <w:rPr>
          <w:sz w:val="22"/>
          <w:szCs w:val="22"/>
        </w:rPr>
        <w:t>There may be instances when the services provided are not covered by the other insurer, including if the MassHealth member does not:</w:t>
      </w:r>
    </w:p>
    <w:p w14:paraId="7FFCF458" w14:textId="77777777" w:rsidR="001D4D79" w:rsidRPr="00F561AD" w:rsidRDefault="001D4D79" w:rsidP="001D4D79">
      <w:pPr>
        <w:numPr>
          <w:ilvl w:val="0"/>
          <w:numId w:val="6"/>
        </w:numPr>
        <w:spacing w:before="120"/>
        <w:ind w:left="360"/>
        <w:rPr>
          <w:sz w:val="22"/>
          <w:szCs w:val="22"/>
        </w:rPr>
      </w:pPr>
      <w:r w:rsidRPr="00F561AD">
        <w:rPr>
          <w:sz w:val="22"/>
          <w:szCs w:val="22"/>
        </w:rPr>
        <w:t>have benefits available (benefits have been exhausted</w:t>
      </w:r>
      <w:proofErr w:type="gramStart"/>
      <w:r w:rsidRPr="00F561AD">
        <w:rPr>
          <w:sz w:val="22"/>
          <w:szCs w:val="22"/>
        </w:rPr>
        <w:t>);</w:t>
      </w:r>
      <w:proofErr w:type="gramEnd"/>
    </w:p>
    <w:p w14:paraId="2636C8DC" w14:textId="77777777" w:rsidR="001D4D79" w:rsidRPr="00F561AD" w:rsidRDefault="001D4D79" w:rsidP="001D4D79">
      <w:pPr>
        <w:numPr>
          <w:ilvl w:val="0"/>
          <w:numId w:val="6"/>
        </w:numPr>
        <w:ind w:left="360"/>
        <w:rPr>
          <w:sz w:val="22"/>
          <w:szCs w:val="22"/>
        </w:rPr>
      </w:pPr>
      <w:r w:rsidRPr="00F561AD">
        <w:rPr>
          <w:sz w:val="22"/>
          <w:szCs w:val="22"/>
        </w:rPr>
        <w:t>meet the insurer’s coverage criteria; or</w:t>
      </w:r>
    </w:p>
    <w:p w14:paraId="1EC46130" w14:textId="7FFBD20B" w:rsidR="002D281C" w:rsidRPr="00F561AD" w:rsidRDefault="001D4D79" w:rsidP="001D4D79">
      <w:pPr>
        <w:numPr>
          <w:ilvl w:val="0"/>
          <w:numId w:val="6"/>
        </w:numPr>
        <w:spacing w:after="60"/>
        <w:ind w:left="360"/>
        <w:rPr>
          <w:sz w:val="22"/>
          <w:szCs w:val="22"/>
        </w:rPr>
      </w:pPr>
      <w:r w:rsidRPr="00F561AD">
        <w:rPr>
          <w:sz w:val="22"/>
          <w:szCs w:val="22"/>
        </w:rPr>
        <w:t xml:space="preserve">qualify for a new benefit period. </w:t>
      </w:r>
    </w:p>
    <w:p w14:paraId="7AB5DAFE" w14:textId="65546EA8" w:rsidR="002D281C" w:rsidRPr="00F561AD" w:rsidRDefault="002D281C">
      <w:pPr>
        <w:rPr>
          <w:sz w:val="22"/>
          <w:szCs w:val="22"/>
        </w:rPr>
      </w:pPr>
    </w:p>
    <w:p w14:paraId="4378E35A" w14:textId="161A4BDC" w:rsidR="002D281C" w:rsidRPr="00F561AD" w:rsidRDefault="001D4D79" w:rsidP="002D281C">
      <w:pPr>
        <w:spacing w:before="120"/>
        <w:rPr>
          <w:sz w:val="22"/>
          <w:szCs w:val="22"/>
        </w:rPr>
      </w:pPr>
      <w:r w:rsidRPr="00F561AD">
        <w:rPr>
          <w:sz w:val="22"/>
          <w:szCs w:val="22"/>
        </w:rPr>
        <w:t xml:space="preserve">Follow the instructions outlined in this appendix for claim submissions when a TPL commercial exception </w:t>
      </w:r>
      <w:r w:rsidR="002D281C" w:rsidRPr="00F561AD">
        <w:rPr>
          <w:sz w:val="22"/>
          <w:szCs w:val="22"/>
        </w:rPr>
        <w:t xml:space="preserve">exists. </w:t>
      </w:r>
    </w:p>
    <w:p w14:paraId="70710F89" w14:textId="2D9F2ACD" w:rsidR="002D281C" w:rsidRPr="00F561AD" w:rsidRDefault="002D281C">
      <w:pPr>
        <w:rPr>
          <w:sz w:val="22"/>
          <w:szCs w:val="22"/>
        </w:rPr>
      </w:pPr>
    </w:p>
    <w:p w14:paraId="694271D7" w14:textId="632AC9A7" w:rsidR="001D4D79" w:rsidRPr="00F561AD" w:rsidRDefault="002D281C" w:rsidP="002D281C">
      <w:pPr>
        <w:spacing w:before="120"/>
        <w:rPr>
          <w:sz w:val="22"/>
          <w:szCs w:val="22"/>
        </w:rPr>
      </w:pPr>
      <w:r w:rsidRPr="00F561AD">
        <w:rPr>
          <w:sz w:val="22"/>
          <w:szCs w:val="22"/>
        </w:rPr>
        <w:t>Pr</w:t>
      </w:r>
      <w:r w:rsidR="001D4D79" w:rsidRPr="00F561AD">
        <w:rPr>
          <w:sz w:val="22"/>
          <w:szCs w:val="22"/>
        </w:rPr>
        <w:t>oviders are required to keep the following items on file for auditing purposes.</w:t>
      </w:r>
    </w:p>
    <w:p w14:paraId="351631FA" w14:textId="77777777" w:rsidR="001D4D79" w:rsidRPr="00F561AD" w:rsidRDefault="001D4D79" w:rsidP="001D4D79">
      <w:pPr>
        <w:numPr>
          <w:ilvl w:val="0"/>
          <w:numId w:val="7"/>
        </w:numPr>
        <w:tabs>
          <w:tab w:val="clear" w:pos="1260"/>
          <w:tab w:val="num" w:pos="360"/>
        </w:tabs>
        <w:spacing w:before="120" w:after="60"/>
        <w:ind w:hanging="1260"/>
        <w:rPr>
          <w:sz w:val="22"/>
          <w:szCs w:val="22"/>
        </w:rPr>
      </w:pPr>
      <w:r w:rsidRPr="00F561AD">
        <w:rPr>
          <w:sz w:val="22"/>
          <w:szCs w:val="22"/>
        </w:rPr>
        <w:t>the Medicare ABN; and</w:t>
      </w:r>
    </w:p>
    <w:p w14:paraId="2F881ABD" w14:textId="77777777" w:rsidR="001D4D79" w:rsidRPr="00F561AD" w:rsidRDefault="001D4D79" w:rsidP="001D4D79">
      <w:pPr>
        <w:numPr>
          <w:ilvl w:val="0"/>
          <w:numId w:val="7"/>
        </w:numPr>
        <w:tabs>
          <w:tab w:val="clear" w:pos="1260"/>
          <w:tab w:val="num" w:pos="360"/>
        </w:tabs>
        <w:spacing w:after="60"/>
        <w:ind w:left="360"/>
        <w:rPr>
          <w:sz w:val="22"/>
          <w:szCs w:val="22"/>
        </w:rPr>
      </w:pPr>
      <w:r w:rsidRPr="00F561AD">
        <w:rPr>
          <w:sz w:val="22"/>
          <w:szCs w:val="22"/>
        </w:rPr>
        <w:t xml:space="preserve">the commercial insurer’s original EOB, 835 </w:t>
      </w:r>
      <w:proofErr w:type="gramStart"/>
      <w:r w:rsidRPr="00F561AD">
        <w:rPr>
          <w:sz w:val="22"/>
          <w:szCs w:val="22"/>
        </w:rPr>
        <w:t>transaction</w:t>
      </w:r>
      <w:proofErr w:type="gramEnd"/>
      <w:r w:rsidRPr="00F561AD">
        <w:rPr>
          <w:sz w:val="22"/>
          <w:szCs w:val="22"/>
        </w:rPr>
        <w:t>, or response from the insurer.</w:t>
      </w:r>
    </w:p>
    <w:p w14:paraId="1376931D" w14:textId="77777777" w:rsidR="001D4D79" w:rsidRPr="00F561AD" w:rsidRDefault="001D4D79" w:rsidP="00100F09">
      <w:pPr>
        <w:spacing w:after="60"/>
        <w:ind w:left="360"/>
        <w:rPr>
          <w:sz w:val="22"/>
          <w:szCs w:val="22"/>
        </w:rPr>
      </w:pPr>
    </w:p>
    <w:p w14:paraId="46F679D4" w14:textId="77777777" w:rsidR="001D4D79" w:rsidRPr="00F561AD" w:rsidRDefault="001D4D79" w:rsidP="0064058D">
      <w:pPr>
        <w:spacing w:before="120" w:after="120"/>
        <w:ind w:right="-216"/>
        <w:outlineLvl w:val="0"/>
        <w:rPr>
          <w:b/>
          <w:sz w:val="22"/>
          <w:szCs w:val="22"/>
        </w:rPr>
      </w:pPr>
      <w:r w:rsidRPr="00F561AD">
        <w:rPr>
          <w:b/>
          <w:sz w:val="22"/>
          <w:szCs w:val="22"/>
        </w:rPr>
        <w:t>Billing Instructions for 837I Transactions</w:t>
      </w:r>
    </w:p>
    <w:p w14:paraId="78AC9FFD" w14:textId="77777777" w:rsidR="001D4D79" w:rsidRPr="00F561AD" w:rsidRDefault="001D4D79" w:rsidP="00B5381C">
      <w:pPr>
        <w:rPr>
          <w:sz w:val="22"/>
          <w:szCs w:val="22"/>
        </w:rPr>
      </w:pPr>
      <w:r w:rsidRPr="00F561AD">
        <w:rPr>
          <w:sz w:val="22"/>
          <w:szCs w:val="22"/>
        </w:rPr>
        <w:t>Providers must follow HIPAA 837I Implementation Guide and MassHealth 837I Companion Guide instructions. Complete the other payer loops in the 837I transactions as described in the following table when submitting claims to MassHealth that have been determined not covered by the other insurer, and that meet the TPL exception criteria.</w:t>
      </w:r>
    </w:p>
    <w:p w14:paraId="1182B548" w14:textId="77777777" w:rsidR="001D4D79" w:rsidRPr="00F561AD" w:rsidRDefault="001D4D79" w:rsidP="0064058D">
      <w:pPr>
        <w:spacing w:before="120" w:after="120"/>
        <w:rPr>
          <w:sz w:val="22"/>
          <w:szCs w:val="22"/>
        </w:rPr>
      </w:pPr>
      <w:r w:rsidRPr="00F561AD">
        <w:rPr>
          <w:sz w:val="22"/>
          <w:szCs w:val="22"/>
        </w:rPr>
        <w:t>The table below contains the critical loops and segments required for submitting claims to MassHealth that have been determined to be not covered by the other insurer, and that meet the TPL exception criteria listed in this section. Providers must complete the loops and segments as described in the table below and follow instructions described in the HIPAA 837I Implementation Guide and MassHealth 837I Companion Guide to complete other required COB and non-COB portions of the 837I claim submission.</w:t>
      </w:r>
    </w:p>
    <w:p w14:paraId="5E71551C" w14:textId="77777777" w:rsidR="001D4D79" w:rsidRPr="00F561AD" w:rsidRDefault="001D4D79" w:rsidP="00A31B3F">
      <w:pPr>
        <w:rPr>
          <w:sz w:val="22"/>
          <w:szCs w:val="22"/>
        </w:rPr>
      </w:pPr>
      <w:r w:rsidRPr="00F561AD">
        <w:rPr>
          <w:sz w:val="22"/>
          <w:szCs w:val="22"/>
        </w:rPr>
        <w:t>The Total Noncovered Amount segment is used to indicate that the insurer has determined the service to be not covered. Do not report HIPAA adjustment reason codes and amounts in the 2320 loop containing the total noncovered amount.</w:t>
      </w:r>
    </w:p>
    <w:p w14:paraId="3CDAF7BA" w14:textId="77777777" w:rsidR="001D4D79" w:rsidRPr="00F561AD" w:rsidRDefault="001D4D79" w:rsidP="00882011">
      <w:pPr>
        <w:ind w:right="-216"/>
        <w:rPr>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04"/>
        <w:gridCol w:w="4396"/>
      </w:tblGrid>
      <w:tr w:rsidR="001D4D79" w:rsidRPr="00F561AD" w14:paraId="022450EB" w14:textId="77777777" w:rsidTr="00B5381C">
        <w:trPr>
          <w:cantSplit/>
          <w:tblHeader/>
        </w:trPr>
        <w:tc>
          <w:tcPr>
            <w:tcW w:w="900" w:type="dxa"/>
          </w:tcPr>
          <w:p w14:paraId="375E6B45" w14:textId="77777777" w:rsidR="001D4D79" w:rsidRPr="00F561AD" w:rsidRDefault="001D4D79" w:rsidP="00C67563">
            <w:pPr>
              <w:spacing w:after="60"/>
              <w:jc w:val="center"/>
              <w:rPr>
                <w:b/>
              </w:rPr>
            </w:pPr>
            <w:r w:rsidRPr="00F561AD">
              <w:rPr>
                <w:sz w:val="22"/>
                <w:szCs w:val="22"/>
              </w:rPr>
              <w:br w:type="page"/>
            </w:r>
            <w:r w:rsidRPr="00F561AD">
              <w:rPr>
                <w:sz w:val="22"/>
                <w:szCs w:val="22"/>
              </w:rPr>
              <w:br w:type="page"/>
            </w:r>
            <w:r w:rsidRPr="00F561AD">
              <w:rPr>
                <w:sz w:val="22"/>
                <w:szCs w:val="22"/>
              </w:rPr>
              <w:br w:type="page"/>
            </w:r>
            <w:r w:rsidRPr="00F561AD">
              <w:rPr>
                <w:sz w:val="22"/>
                <w:szCs w:val="22"/>
              </w:rPr>
              <w:br w:type="page"/>
            </w:r>
            <w:r w:rsidRPr="00F561AD">
              <w:rPr>
                <w:b/>
              </w:rPr>
              <w:t>Loop</w:t>
            </w:r>
          </w:p>
        </w:tc>
        <w:tc>
          <w:tcPr>
            <w:tcW w:w="4304" w:type="dxa"/>
          </w:tcPr>
          <w:p w14:paraId="3C460198" w14:textId="77777777" w:rsidR="001D4D79" w:rsidRPr="00F561AD" w:rsidRDefault="001D4D79" w:rsidP="00C67563">
            <w:pPr>
              <w:spacing w:after="60"/>
              <w:jc w:val="center"/>
              <w:rPr>
                <w:b/>
              </w:rPr>
            </w:pPr>
            <w:r w:rsidRPr="00F561AD">
              <w:rPr>
                <w:b/>
              </w:rPr>
              <w:t>Segment</w:t>
            </w:r>
          </w:p>
        </w:tc>
        <w:tc>
          <w:tcPr>
            <w:tcW w:w="4396" w:type="dxa"/>
          </w:tcPr>
          <w:p w14:paraId="64B801A7" w14:textId="77777777" w:rsidR="001D4D79" w:rsidRPr="00F561AD" w:rsidRDefault="001D4D79" w:rsidP="00C67563">
            <w:pPr>
              <w:spacing w:after="60"/>
              <w:jc w:val="center"/>
              <w:rPr>
                <w:b/>
              </w:rPr>
            </w:pPr>
            <w:r w:rsidRPr="00F561AD">
              <w:rPr>
                <w:b/>
              </w:rPr>
              <w:t xml:space="preserve">Value </w:t>
            </w:r>
          </w:p>
        </w:tc>
      </w:tr>
      <w:tr w:rsidR="001D4D79" w:rsidRPr="00F561AD" w14:paraId="44570B8F" w14:textId="77777777" w:rsidTr="00B5381C">
        <w:trPr>
          <w:cantSplit/>
        </w:trPr>
        <w:tc>
          <w:tcPr>
            <w:tcW w:w="900" w:type="dxa"/>
          </w:tcPr>
          <w:p w14:paraId="4640F467" w14:textId="77777777" w:rsidR="001D4D79" w:rsidRPr="00F561AD" w:rsidRDefault="001D4D79" w:rsidP="00C67563">
            <w:pPr>
              <w:spacing w:after="60"/>
            </w:pPr>
            <w:r w:rsidRPr="00F561AD">
              <w:t>2320</w:t>
            </w:r>
          </w:p>
        </w:tc>
        <w:tc>
          <w:tcPr>
            <w:tcW w:w="4304" w:type="dxa"/>
          </w:tcPr>
          <w:p w14:paraId="44ECF3A1" w14:textId="77777777" w:rsidR="001D4D79" w:rsidRPr="00F561AD" w:rsidRDefault="001D4D79" w:rsidP="00C67563">
            <w:pPr>
              <w:spacing w:after="60"/>
            </w:pPr>
            <w:r w:rsidRPr="00F561AD">
              <w:t>SBR09 (Claim Filing Indicator)</w:t>
            </w:r>
          </w:p>
        </w:tc>
        <w:tc>
          <w:tcPr>
            <w:tcW w:w="4396" w:type="dxa"/>
          </w:tcPr>
          <w:p w14:paraId="514B3AA8" w14:textId="77777777" w:rsidR="001D4D79" w:rsidRPr="00F561AD" w:rsidRDefault="001D4D79" w:rsidP="00C67563">
            <w:pPr>
              <w:pStyle w:val="Default"/>
              <w:spacing w:after="60"/>
              <w:rPr>
                <w:sz w:val="20"/>
                <w:szCs w:val="20"/>
                <w:lang w:val="fr-FR"/>
              </w:rPr>
            </w:pPr>
            <w:r w:rsidRPr="00F561AD">
              <w:rPr>
                <w:sz w:val="20"/>
                <w:szCs w:val="20"/>
                <w:lang w:val="fr-FR"/>
              </w:rPr>
              <w:t>Medicare = MA</w:t>
            </w:r>
          </w:p>
          <w:p w14:paraId="4E1630B2" w14:textId="77777777" w:rsidR="001D4D79" w:rsidRPr="00F561AD" w:rsidRDefault="001D4D79" w:rsidP="00C67563">
            <w:pPr>
              <w:spacing w:after="60"/>
              <w:rPr>
                <w:lang w:val="fr-FR"/>
              </w:rPr>
            </w:pPr>
            <w:r w:rsidRPr="00F561AD">
              <w:rPr>
                <w:lang w:val="fr-FR"/>
              </w:rPr>
              <w:t>837</w:t>
            </w:r>
            <w:proofErr w:type="gramStart"/>
            <w:r w:rsidRPr="00F561AD">
              <w:rPr>
                <w:lang w:val="fr-FR"/>
              </w:rPr>
              <w:t>I:</w:t>
            </w:r>
            <w:proofErr w:type="gramEnd"/>
            <w:r w:rsidRPr="00F561AD">
              <w:rPr>
                <w:lang w:val="fr-FR"/>
              </w:rPr>
              <w:t xml:space="preserve"> Commercial </w:t>
            </w:r>
            <w:proofErr w:type="spellStart"/>
            <w:r w:rsidRPr="00F561AD">
              <w:rPr>
                <w:lang w:val="fr-FR"/>
              </w:rPr>
              <w:t>insurer</w:t>
            </w:r>
            <w:proofErr w:type="spellEnd"/>
            <w:r w:rsidRPr="00F561AD">
              <w:rPr>
                <w:lang w:val="fr-FR"/>
              </w:rPr>
              <w:t xml:space="preserve"> = CI</w:t>
            </w:r>
          </w:p>
        </w:tc>
      </w:tr>
      <w:tr w:rsidR="001D4D79" w:rsidRPr="00F561AD" w14:paraId="57ADDBB3" w14:textId="77777777" w:rsidTr="00B5381C">
        <w:trPr>
          <w:cantSplit/>
        </w:trPr>
        <w:tc>
          <w:tcPr>
            <w:tcW w:w="900" w:type="dxa"/>
          </w:tcPr>
          <w:p w14:paraId="5A634031" w14:textId="77777777" w:rsidR="001D4D79" w:rsidRPr="00F561AD" w:rsidRDefault="001D4D79" w:rsidP="00C67563">
            <w:pPr>
              <w:spacing w:after="60"/>
            </w:pPr>
            <w:r w:rsidRPr="00F561AD">
              <w:t>2320</w:t>
            </w:r>
          </w:p>
        </w:tc>
        <w:tc>
          <w:tcPr>
            <w:tcW w:w="4304" w:type="dxa"/>
          </w:tcPr>
          <w:p w14:paraId="2CA29070" w14:textId="77777777" w:rsidR="001D4D79" w:rsidRPr="00F561AD" w:rsidRDefault="001D4D79" w:rsidP="00C67563">
            <w:pPr>
              <w:spacing w:after="60"/>
            </w:pPr>
            <w:r w:rsidRPr="00F561AD">
              <w:t xml:space="preserve">AMT01 (Total Noncovered Amount </w:t>
            </w:r>
            <w:proofErr w:type="gramStart"/>
            <w:r w:rsidRPr="00F561AD">
              <w:t>Qualifier )</w:t>
            </w:r>
            <w:proofErr w:type="gramEnd"/>
          </w:p>
        </w:tc>
        <w:tc>
          <w:tcPr>
            <w:tcW w:w="4396" w:type="dxa"/>
          </w:tcPr>
          <w:p w14:paraId="738BDD18" w14:textId="77777777" w:rsidR="001D4D79" w:rsidRPr="00F561AD" w:rsidRDefault="001D4D79" w:rsidP="00C67563">
            <w:pPr>
              <w:spacing w:after="60"/>
            </w:pPr>
            <w:r w:rsidRPr="00F561AD">
              <w:t>A8</w:t>
            </w:r>
          </w:p>
        </w:tc>
      </w:tr>
      <w:tr w:rsidR="001D4D79" w:rsidRPr="00F561AD" w14:paraId="5889E0D1" w14:textId="77777777" w:rsidTr="00B5381C">
        <w:trPr>
          <w:cantSplit/>
        </w:trPr>
        <w:tc>
          <w:tcPr>
            <w:tcW w:w="900" w:type="dxa"/>
          </w:tcPr>
          <w:p w14:paraId="43D25724" w14:textId="77777777" w:rsidR="001D4D79" w:rsidRPr="00F561AD" w:rsidRDefault="001D4D79" w:rsidP="00C67563">
            <w:pPr>
              <w:spacing w:after="60"/>
            </w:pPr>
            <w:r w:rsidRPr="00F561AD">
              <w:t>2320</w:t>
            </w:r>
          </w:p>
        </w:tc>
        <w:tc>
          <w:tcPr>
            <w:tcW w:w="4304" w:type="dxa"/>
          </w:tcPr>
          <w:p w14:paraId="7765D63E" w14:textId="77777777" w:rsidR="001D4D79" w:rsidRPr="00F561AD" w:rsidRDefault="001D4D79" w:rsidP="00C67563">
            <w:pPr>
              <w:spacing w:after="60"/>
            </w:pPr>
            <w:r w:rsidRPr="00F561AD">
              <w:t>AMT02 (Total Noncovered Amount)</w:t>
            </w:r>
          </w:p>
        </w:tc>
        <w:tc>
          <w:tcPr>
            <w:tcW w:w="4396" w:type="dxa"/>
          </w:tcPr>
          <w:p w14:paraId="18D90462" w14:textId="77777777" w:rsidR="001D4D79" w:rsidRPr="00F561AD" w:rsidRDefault="001D4D79" w:rsidP="00C67563">
            <w:pPr>
              <w:spacing w:after="60"/>
            </w:pPr>
            <w:r w:rsidRPr="00F561AD">
              <w:t>The total noncovered amount must equal the total billed amount.</w:t>
            </w:r>
          </w:p>
        </w:tc>
      </w:tr>
      <w:tr w:rsidR="001D4D79" w:rsidRPr="00F561AD" w14:paraId="16767C1A" w14:textId="77777777" w:rsidTr="00B5381C">
        <w:trPr>
          <w:cantSplit/>
        </w:trPr>
        <w:tc>
          <w:tcPr>
            <w:tcW w:w="900" w:type="dxa"/>
            <w:tcBorders>
              <w:top w:val="single" w:sz="4" w:space="0" w:color="auto"/>
              <w:left w:val="single" w:sz="4" w:space="0" w:color="auto"/>
              <w:bottom w:val="single" w:sz="4" w:space="0" w:color="auto"/>
              <w:right w:val="single" w:sz="4" w:space="0" w:color="auto"/>
            </w:tcBorders>
          </w:tcPr>
          <w:p w14:paraId="3C829B20" w14:textId="77777777" w:rsidR="001D4D79" w:rsidRPr="00F561AD" w:rsidRDefault="001D4D79" w:rsidP="00C67563">
            <w:pPr>
              <w:spacing w:after="60"/>
            </w:pPr>
            <w:r w:rsidRPr="00F561AD">
              <w:t>2330B</w:t>
            </w:r>
          </w:p>
        </w:tc>
        <w:tc>
          <w:tcPr>
            <w:tcW w:w="4304" w:type="dxa"/>
            <w:tcBorders>
              <w:top w:val="single" w:sz="4" w:space="0" w:color="auto"/>
              <w:left w:val="single" w:sz="4" w:space="0" w:color="auto"/>
              <w:bottom w:val="single" w:sz="4" w:space="0" w:color="auto"/>
              <w:right w:val="single" w:sz="4" w:space="0" w:color="auto"/>
            </w:tcBorders>
          </w:tcPr>
          <w:p w14:paraId="7985F55C" w14:textId="77777777" w:rsidR="001D4D79" w:rsidRPr="00F561AD" w:rsidRDefault="001D4D79" w:rsidP="00C67563">
            <w:pPr>
              <w:spacing w:after="60"/>
            </w:pPr>
            <w:r w:rsidRPr="00F561AD">
              <w:t>NM109 (Other Payer Name)</w:t>
            </w:r>
          </w:p>
        </w:tc>
        <w:tc>
          <w:tcPr>
            <w:tcW w:w="4396" w:type="dxa"/>
            <w:tcBorders>
              <w:top w:val="single" w:sz="4" w:space="0" w:color="auto"/>
              <w:left w:val="single" w:sz="4" w:space="0" w:color="auto"/>
              <w:bottom w:val="single" w:sz="4" w:space="0" w:color="auto"/>
              <w:right w:val="single" w:sz="4" w:space="0" w:color="auto"/>
            </w:tcBorders>
          </w:tcPr>
          <w:p w14:paraId="2322C95A" w14:textId="77777777" w:rsidR="001D4D79" w:rsidRPr="00F561AD" w:rsidRDefault="001D4D79" w:rsidP="00C67563">
            <w:pPr>
              <w:spacing w:after="60"/>
            </w:pPr>
            <w:r w:rsidRPr="00F561AD">
              <w:t xml:space="preserve">MassHealth-assigned carrier code for the other </w:t>
            </w:r>
            <w:proofErr w:type="gramStart"/>
            <w:r w:rsidRPr="00F561AD">
              <w:t>payer</w:t>
            </w:r>
            <w:proofErr w:type="gramEnd"/>
          </w:p>
          <w:p w14:paraId="08935026" w14:textId="6240FB54" w:rsidR="001D4D79" w:rsidRPr="00F561AD" w:rsidRDefault="001D4D79" w:rsidP="00C67563">
            <w:pPr>
              <w:spacing w:after="60"/>
            </w:pPr>
            <w:r w:rsidRPr="00F561AD">
              <w:rPr>
                <w:b/>
              </w:rPr>
              <w:t>Please Note:</w:t>
            </w:r>
            <w:r w:rsidRPr="00F561AD">
              <w:t xml:space="preserve"> MassHealth-assigned carrier codes </w:t>
            </w:r>
            <w:r w:rsidR="00271C31" w:rsidRPr="00F561AD">
              <w:t>are</w:t>
            </w:r>
            <w:r w:rsidRPr="00F561AD">
              <w:t xml:space="preserve"> in </w:t>
            </w:r>
            <w:hyperlink r:id="rId10" w:history="1">
              <w:r w:rsidRPr="00F561AD">
                <w:rPr>
                  <w:rStyle w:val="Hyperlink"/>
                </w:rPr>
                <w:t>Appendix C (Third-Party-Liability</w:t>
              </w:r>
              <w:r w:rsidR="00237D11" w:rsidRPr="00F561AD">
                <w:rPr>
                  <w:rStyle w:val="Hyperlink"/>
                </w:rPr>
                <w:t xml:space="preserve"> Carrier</w:t>
              </w:r>
              <w:r w:rsidRPr="00F561AD">
                <w:rPr>
                  <w:rStyle w:val="Hyperlink"/>
                </w:rPr>
                <w:t xml:space="preserve"> Codes)</w:t>
              </w:r>
            </w:hyperlink>
            <w:r w:rsidRPr="00F561AD">
              <w:t xml:space="preserve"> of your MassHealth provider manual.</w:t>
            </w:r>
          </w:p>
        </w:tc>
      </w:tr>
    </w:tbl>
    <w:p w14:paraId="321741F8" w14:textId="77777777" w:rsidR="00FA6B9D" w:rsidRPr="00F561AD" w:rsidRDefault="00FA6B9D" w:rsidP="00C67563">
      <w:pPr>
        <w:ind w:right="-216"/>
        <w:outlineLvl w:val="0"/>
        <w:rPr>
          <w:b/>
          <w:sz w:val="2"/>
          <w:szCs w:val="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FA6B9D" w:rsidRPr="00F561AD" w14:paraId="57AEB7A4"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62196905"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lastRenderedPageBreak/>
              <w:t>Commonwealth of Massachusetts</w:t>
            </w:r>
          </w:p>
          <w:p w14:paraId="03DEC6E7" w14:textId="77777777" w:rsidR="00FA6B9D" w:rsidRPr="00F561AD" w:rsidRDefault="00FA6B9D"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MassHealth</w:t>
            </w:r>
          </w:p>
          <w:p w14:paraId="1481367B" w14:textId="77777777" w:rsidR="00FA6B9D" w:rsidRPr="00F561AD" w:rsidRDefault="00FA6B9D" w:rsidP="000A0E27">
            <w:pPr>
              <w:widowControl w:val="0"/>
              <w:tabs>
                <w:tab w:val="left" w:pos="936"/>
                <w:tab w:val="left" w:pos="1314"/>
                <w:tab w:val="left" w:pos="1692"/>
                <w:tab w:val="left" w:pos="2070"/>
              </w:tabs>
              <w:jc w:val="center"/>
              <w:rPr>
                <w:rFonts w:ascii="Arial" w:hAnsi="Arial" w:cs="Arial"/>
                <w:b/>
              </w:rPr>
            </w:pPr>
            <w:r w:rsidRPr="00F561AD">
              <w:rPr>
                <w:rFonts w:ascii="Arial" w:hAnsi="Arial" w:cs="Arial"/>
                <w:b/>
              </w:rPr>
              <w:t>Provider Manual Series</w:t>
            </w:r>
          </w:p>
        </w:tc>
        <w:tc>
          <w:tcPr>
            <w:tcW w:w="3750" w:type="dxa"/>
            <w:tcBorders>
              <w:left w:val="single" w:sz="4" w:space="0" w:color="auto"/>
            </w:tcBorders>
          </w:tcPr>
          <w:p w14:paraId="3C13C6C1"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Subchapter Number and Title</w:t>
            </w:r>
          </w:p>
          <w:p w14:paraId="5DBCAB2F" w14:textId="77777777" w:rsidR="00FA6B9D" w:rsidRPr="00F561AD" w:rsidRDefault="00FA6B9D"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Appendix D: Supplemental Instructions for TPL Exceptions</w:t>
            </w:r>
          </w:p>
        </w:tc>
        <w:tc>
          <w:tcPr>
            <w:tcW w:w="1890" w:type="dxa"/>
          </w:tcPr>
          <w:p w14:paraId="2A001872"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Page</w:t>
            </w:r>
          </w:p>
          <w:p w14:paraId="60B6963E"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D-4</w:t>
            </w:r>
          </w:p>
        </w:tc>
      </w:tr>
      <w:tr w:rsidR="00FA6B9D" w:rsidRPr="00F561AD" w14:paraId="21229F32"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64C7F6BA" w14:textId="77777777" w:rsidR="00FA6B9D" w:rsidRPr="00F561AD" w:rsidRDefault="00FA6B9D" w:rsidP="000A0E27">
            <w:pPr>
              <w:widowControl w:val="0"/>
              <w:tabs>
                <w:tab w:val="left" w:pos="936"/>
                <w:tab w:val="left" w:pos="1314"/>
                <w:tab w:val="left" w:pos="1692"/>
                <w:tab w:val="left" w:pos="2070"/>
              </w:tabs>
              <w:jc w:val="center"/>
              <w:rPr>
                <w:rFonts w:ascii="Arial" w:hAnsi="Arial" w:cs="Arial"/>
              </w:rPr>
            </w:pPr>
            <w:r w:rsidRPr="00F561AD">
              <w:rPr>
                <w:rFonts w:ascii="Arial" w:hAnsi="Arial" w:cs="Arial"/>
              </w:rPr>
              <w:t>Home Health Agency Manual</w:t>
            </w:r>
          </w:p>
        </w:tc>
        <w:tc>
          <w:tcPr>
            <w:tcW w:w="3750" w:type="dxa"/>
            <w:tcBorders>
              <w:left w:val="single" w:sz="4" w:space="0" w:color="auto"/>
            </w:tcBorders>
          </w:tcPr>
          <w:p w14:paraId="665129D7"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Transmittal Letter</w:t>
            </w:r>
          </w:p>
          <w:p w14:paraId="52BF0900" w14:textId="6A24D32E"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HHA-</w:t>
            </w:r>
            <w:r w:rsidR="00F561AD" w:rsidRPr="00F561AD">
              <w:rPr>
                <w:rFonts w:ascii="Arial" w:hAnsi="Arial" w:cs="Arial"/>
              </w:rPr>
              <w:t>58</w:t>
            </w:r>
          </w:p>
        </w:tc>
        <w:tc>
          <w:tcPr>
            <w:tcW w:w="1890" w:type="dxa"/>
          </w:tcPr>
          <w:p w14:paraId="05C9346C" w14:textId="77777777" w:rsidR="00FA6B9D" w:rsidRPr="00F561AD" w:rsidRDefault="00FA6B9D" w:rsidP="000A0E27">
            <w:pPr>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Date</w:t>
            </w:r>
          </w:p>
          <w:p w14:paraId="12ECCA89" w14:textId="5D6D4353" w:rsidR="00FA6B9D" w:rsidRPr="00F561AD" w:rsidRDefault="00F561AD" w:rsidP="000A0E27">
            <w:pPr>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10/</w:t>
            </w:r>
            <w:r w:rsidR="007C7FFE" w:rsidRPr="007C7FFE">
              <w:rPr>
                <w:rFonts w:ascii="Arial" w:hAnsi="Arial" w:cs="Arial"/>
              </w:rPr>
              <w:t>18</w:t>
            </w:r>
            <w:r w:rsidRPr="00F561AD">
              <w:rPr>
                <w:rFonts w:ascii="Arial" w:hAnsi="Arial" w:cs="Arial"/>
              </w:rPr>
              <w:t>/23</w:t>
            </w:r>
          </w:p>
        </w:tc>
      </w:tr>
    </w:tbl>
    <w:p w14:paraId="5A83B10F" w14:textId="0039524F" w:rsidR="001D4D79" w:rsidRPr="00F561AD" w:rsidRDefault="001D4D79" w:rsidP="0064058D">
      <w:pPr>
        <w:spacing w:before="120" w:after="120"/>
        <w:ind w:right="-216"/>
        <w:outlineLvl w:val="0"/>
        <w:rPr>
          <w:b/>
          <w:sz w:val="22"/>
          <w:szCs w:val="22"/>
        </w:rPr>
      </w:pPr>
      <w:r w:rsidRPr="00F561AD">
        <w:rPr>
          <w:b/>
          <w:sz w:val="22"/>
          <w:szCs w:val="22"/>
        </w:rPr>
        <w:t>Billing Instructions for Direct Data Entry (DDE)</w:t>
      </w:r>
    </w:p>
    <w:p w14:paraId="092C6E76" w14:textId="77777777" w:rsidR="001D4D79" w:rsidRPr="00F561AD" w:rsidRDefault="001D4D79" w:rsidP="00327514">
      <w:pPr>
        <w:rPr>
          <w:sz w:val="22"/>
          <w:szCs w:val="22"/>
        </w:rPr>
      </w:pPr>
      <w:r w:rsidRPr="00F561AD">
        <w:rPr>
          <w:sz w:val="22"/>
          <w:szCs w:val="22"/>
        </w:rPr>
        <w:t xml:space="preserve">Providers must enter the COB information as described in the following table when submitting claims to MassHealth that have been determined to be not covered by the other insurer, and that meet the TPL exception criteria described in this section. Providers must follow instructions in the MassHealth billing guides to complete other required COB and non-COB data fields of the DDE claim submission that are not specified in the following table. </w:t>
      </w:r>
    </w:p>
    <w:p w14:paraId="0DD688A1" w14:textId="77777777" w:rsidR="00327514" w:rsidRPr="00F561AD" w:rsidRDefault="00327514" w:rsidP="00327514">
      <w:pPr>
        <w:rPr>
          <w:sz w:val="22"/>
          <w:szCs w:val="22"/>
        </w:rPr>
      </w:pPr>
    </w:p>
    <w:p w14:paraId="6EE42558" w14:textId="77777777" w:rsidR="0049487F" w:rsidRPr="00F561AD" w:rsidRDefault="001D4D79" w:rsidP="00327514">
      <w:pPr>
        <w:rPr>
          <w:sz w:val="22"/>
          <w:szCs w:val="22"/>
        </w:rPr>
      </w:pPr>
      <w:r w:rsidRPr="00F561AD">
        <w:rPr>
          <w:sz w:val="22"/>
          <w:szCs w:val="22"/>
        </w:rPr>
        <w:t>The Total Noncovered Amount field is used to indicate that the insurer has determined the service to be not covered. Do not enter HIPAA adjustment reason codes and amounts on the List of COB Reasons panel when reporting a total noncovered amount.</w:t>
      </w:r>
    </w:p>
    <w:p w14:paraId="413F8952" w14:textId="77777777" w:rsidR="00327514" w:rsidRPr="00F561AD" w:rsidRDefault="00327514" w:rsidP="00C67563">
      <w:pPr>
        <w:rPr>
          <w:sz w:val="22"/>
          <w:szCs w:val="22"/>
        </w:rPr>
      </w:pPr>
    </w:p>
    <w:p w14:paraId="08669510" w14:textId="54FC520A" w:rsidR="001D4D79" w:rsidRPr="00F561AD" w:rsidRDefault="001D4D79" w:rsidP="00C67563">
      <w:pPr>
        <w:rPr>
          <w:sz w:val="22"/>
          <w:szCs w:val="22"/>
        </w:rPr>
      </w:pPr>
      <w:r w:rsidRPr="00F561AD">
        <w:rPr>
          <w:sz w:val="22"/>
          <w:szCs w:val="22"/>
        </w:rPr>
        <w:t>On the Coordination of Benefits tab, click “New Item” and complete the fields as described below.</w:t>
      </w:r>
    </w:p>
    <w:p w14:paraId="62713125" w14:textId="77777777" w:rsidR="001D4D79" w:rsidRPr="00F561AD" w:rsidRDefault="001D4D79" w:rsidP="003F0BEE">
      <w:pPr>
        <w:tabs>
          <w:tab w:val="left" w:pos="2880"/>
          <w:tab w:val="left" w:pos="10080"/>
        </w:tabs>
        <w:suppressAutoHyphens/>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1D4D79" w:rsidRPr="00F561AD" w14:paraId="1A6B7C51" w14:textId="77777777" w:rsidTr="00162E2F">
        <w:trPr>
          <w:cantSplit/>
          <w:jc w:val="center"/>
        </w:trPr>
        <w:tc>
          <w:tcPr>
            <w:tcW w:w="9720" w:type="dxa"/>
            <w:gridSpan w:val="2"/>
          </w:tcPr>
          <w:p w14:paraId="2B774A56" w14:textId="77777777" w:rsidR="001D4D79" w:rsidRPr="00F561AD" w:rsidRDefault="001D4D79" w:rsidP="00B5381C">
            <w:pPr>
              <w:spacing w:before="120" w:after="120"/>
              <w:ind w:right="-216"/>
              <w:jc w:val="center"/>
              <w:rPr>
                <w:b/>
                <w:color w:val="000000"/>
              </w:rPr>
            </w:pPr>
            <w:r w:rsidRPr="00F561AD">
              <w:rPr>
                <w:b/>
                <w:sz w:val="22"/>
                <w:szCs w:val="22"/>
              </w:rPr>
              <w:br w:type="page"/>
            </w:r>
            <w:r w:rsidRPr="00F561AD">
              <w:rPr>
                <w:b/>
                <w:sz w:val="22"/>
                <w:szCs w:val="22"/>
              </w:rPr>
              <w:br w:type="page"/>
            </w:r>
            <w:r w:rsidRPr="00F561AD">
              <w:rPr>
                <w:sz w:val="22"/>
                <w:szCs w:val="22"/>
              </w:rPr>
              <w:br w:type="page"/>
            </w:r>
            <w:r w:rsidRPr="00F561AD">
              <w:rPr>
                <w:sz w:val="22"/>
                <w:szCs w:val="22"/>
              </w:rPr>
              <w:br w:type="page"/>
            </w:r>
            <w:r w:rsidRPr="00F561AD">
              <w:rPr>
                <w:b/>
              </w:rPr>
              <w:t>COB Detail Panel</w:t>
            </w:r>
          </w:p>
        </w:tc>
      </w:tr>
      <w:tr w:rsidR="001D4D79" w:rsidRPr="00F561AD" w14:paraId="0E8D60EE" w14:textId="77777777" w:rsidTr="00162E2F">
        <w:trPr>
          <w:cantSplit/>
          <w:jc w:val="center"/>
        </w:trPr>
        <w:tc>
          <w:tcPr>
            <w:tcW w:w="2628" w:type="dxa"/>
          </w:tcPr>
          <w:p w14:paraId="288CF64F" w14:textId="77777777" w:rsidR="001D4D79" w:rsidRPr="00F561AD" w:rsidRDefault="001D4D79" w:rsidP="00B5381C">
            <w:pPr>
              <w:spacing w:before="120" w:after="120"/>
              <w:ind w:right="-216"/>
              <w:jc w:val="center"/>
              <w:rPr>
                <w:b/>
                <w:color w:val="000000"/>
              </w:rPr>
            </w:pPr>
            <w:r w:rsidRPr="00F561AD">
              <w:rPr>
                <w:b/>
                <w:color w:val="000000"/>
              </w:rPr>
              <w:t>Field Name</w:t>
            </w:r>
          </w:p>
        </w:tc>
        <w:tc>
          <w:tcPr>
            <w:tcW w:w="7092" w:type="dxa"/>
          </w:tcPr>
          <w:p w14:paraId="42D20818" w14:textId="77777777" w:rsidR="001D4D79" w:rsidRPr="00F561AD" w:rsidRDefault="001D4D79" w:rsidP="00B5381C">
            <w:pPr>
              <w:spacing w:before="120" w:after="120"/>
              <w:ind w:right="-216"/>
              <w:jc w:val="center"/>
              <w:rPr>
                <w:b/>
                <w:color w:val="000000"/>
              </w:rPr>
            </w:pPr>
            <w:r w:rsidRPr="00F561AD">
              <w:rPr>
                <w:b/>
                <w:color w:val="000000"/>
              </w:rPr>
              <w:t>Instructions</w:t>
            </w:r>
          </w:p>
        </w:tc>
      </w:tr>
      <w:tr w:rsidR="001D4D79" w:rsidRPr="00F561AD" w14:paraId="15F248D0" w14:textId="77777777" w:rsidTr="00162E2F">
        <w:trPr>
          <w:cantSplit/>
          <w:jc w:val="center"/>
        </w:trPr>
        <w:tc>
          <w:tcPr>
            <w:tcW w:w="2628" w:type="dxa"/>
          </w:tcPr>
          <w:p w14:paraId="60CC46A0" w14:textId="77777777" w:rsidR="001D4D79" w:rsidRPr="00F561AD" w:rsidRDefault="001D4D79" w:rsidP="00B5381C">
            <w:pPr>
              <w:spacing w:before="120" w:after="120"/>
              <w:rPr>
                <w:color w:val="000000"/>
              </w:rPr>
            </w:pPr>
            <w:r w:rsidRPr="00F561AD">
              <w:rPr>
                <w:color w:val="000000"/>
              </w:rPr>
              <w:t>Carrier Code</w:t>
            </w:r>
          </w:p>
        </w:tc>
        <w:tc>
          <w:tcPr>
            <w:tcW w:w="7092" w:type="dxa"/>
          </w:tcPr>
          <w:p w14:paraId="17BE62DC" w14:textId="77777777" w:rsidR="001D4D79" w:rsidRPr="00F561AD" w:rsidRDefault="001D4D79" w:rsidP="00B5381C">
            <w:pPr>
              <w:spacing w:before="120" w:after="120"/>
            </w:pPr>
            <w:r w:rsidRPr="00F561AD">
              <w:t>Enter the MassHealth-assigned carrier code for the other payer.</w:t>
            </w:r>
          </w:p>
          <w:p w14:paraId="7DE359A0" w14:textId="1F56E06E" w:rsidR="001D4D79" w:rsidRPr="00F561AD" w:rsidRDefault="001D4D79" w:rsidP="00B5381C">
            <w:pPr>
              <w:spacing w:before="120" w:after="120"/>
              <w:ind w:right="-108"/>
              <w:rPr>
                <w:color w:val="000000"/>
              </w:rPr>
            </w:pPr>
            <w:r w:rsidRPr="00F561AD">
              <w:rPr>
                <w:b/>
              </w:rPr>
              <w:t>Please Note:</w:t>
            </w:r>
            <w:r w:rsidRPr="00F561AD">
              <w:t xml:space="preserve"> MassHealth-assigned carrier codes may be found in </w:t>
            </w:r>
            <w:hyperlink r:id="rId11" w:history="1">
              <w:r w:rsidR="005A32FD" w:rsidRPr="00F561AD">
                <w:rPr>
                  <w:rStyle w:val="Hyperlink"/>
                </w:rPr>
                <w:t>Appendix C</w:t>
              </w:r>
            </w:hyperlink>
            <w:r w:rsidRPr="00F561AD">
              <w:t xml:space="preserve"> of your MassHealth provider manual. </w:t>
            </w:r>
          </w:p>
        </w:tc>
      </w:tr>
      <w:tr w:rsidR="001D4D79" w:rsidRPr="00F561AD" w14:paraId="452F269A" w14:textId="77777777" w:rsidTr="00162E2F">
        <w:trPr>
          <w:cantSplit/>
          <w:jc w:val="center"/>
        </w:trPr>
        <w:tc>
          <w:tcPr>
            <w:tcW w:w="2628" w:type="dxa"/>
          </w:tcPr>
          <w:p w14:paraId="0AE00671" w14:textId="77777777" w:rsidR="001D4D79" w:rsidRPr="00F561AD" w:rsidRDefault="001D4D79" w:rsidP="00B5381C">
            <w:pPr>
              <w:spacing w:before="120" w:after="120"/>
              <w:rPr>
                <w:color w:val="000000"/>
              </w:rPr>
            </w:pPr>
            <w:r w:rsidRPr="00F561AD">
              <w:rPr>
                <w:color w:val="000000"/>
              </w:rPr>
              <w:t>Carrier Name</w:t>
            </w:r>
          </w:p>
        </w:tc>
        <w:tc>
          <w:tcPr>
            <w:tcW w:w="7092" w:type="dxa"/>
          </w:tcPr>
          <w:p w14:paraId="4F63DD57" w14:textId="37E498BE" w:rsidR="001D4D79" w:rsidRPr="00F561AD" w:rsidRDefault="001D4D79" w:rsidP="00B5381C">
            <w:pPr>
              <w:spacing w:before="120" w:after="120"/>
              <w:ind w:right="-108"/>
              <w:rPr>
                <w:color w:val="000000"/>
              </w:rPr>
            </w:pPr>
            <w:r w:rsidRPr="00F561AD">
              <w:t xml:space="preserve">Enter the appropriate </w:t>
            </w:r>
            <w:proofErr w:type="gramStart"/>
            <w:r w:rsidRPr="00F561AD">
              <w:t>carrier</w:t>
            </w:r>
            <w:proofErr w:type="gramEnd"/>
            <w:r w:rsidRPr="00F561AD">
              <w:t xml:space="preserve"> name. Refer to </w:t>
            </w:r>
            <w:hyperlink r:id="rId12" w:history="1">
              <w:r w:rsidRPr="00F561AD">
                <w:rPr>
                  <w:rStyle w:val="Hyperlink"/>
                </w:rPr>
                <w:t>Appendix C</w:t>
              </w:r>
            </w:hyperlink>
            <w:r w:rsidRPr="00F561AD">
              <w:t xml:space="preserve"> of your MassHealth provider manual.</w:t>
            </w:r>
          </w:p>
        </w:tc>
      </w:tr>
      <w:tr w:rsidR="001D4D79" w:rsidRPr="00F561AD" w14:paraId="0387BA04" w14:textId="77777777" w:rsidTr="00162E2F">
        <w:trPr>
          <w:cantSplit/>
          <w:jc w:val="center"/>
        </w:trPr>
        <w:tc>
          <w:tcPr>
            <w:tcW w:w="2628" w:type="dxa"/>
            <w:tcBorders>
              <w:top w:val="single" w:sz="4" w:space="0" w:color="auto"/>
              <w:left w:val="single" w:sz="4" w:space="0" w:color="auto"/>
              <w:bottom w:val="single" w:sz="4" w:space="0" w:color="auto"/>
              <w:right w:val="single" w:sz="4" w:space="0" w:color="auto"/>
            </w:tcBorders>
          </w:tcPr>
          <w:p w14:paraId="3CE8AD2D" w14:textId="77777777" w:rsidR="001D4D79" w:rsidRPr="00F561AD" w:rsidRDefault="001D4D79" w:rsidP="00E04000">
            <w:pPr>
              <w:spacing w:before="120" w:after="120"/>
              <w:rPr>
                <w:color w:val="000000"/>
              </w:rPr>
            </w:pPr>
            <w:r w:rsidRPr="00F561AD">
              <w:rPr>
                <w:color w:val="000000"/>
              </w:rPr>
              <w:t xml:space="preserve">Remittance Date </w:t>
            </w:r>
          </w:p>
        </w:tc>
        <w:tc>
          <w:tcPr>
            <w:tcW w:w="7092" w:type="dxa"/>
            <w:tcBorders>
              <w:top w:val="single" w:sz="4" w:space="0" w:color="auto"/>
              <w:left w:val="single" w:sz="4" w:space="0" w:color="auto"/>
              <w:bottom w:val="single" w:sz="4" w:space="0" w:color="auto"/>
              <w:right w:val="single" w:sz="4" w:space="0" w:color="auto"/>
            </w:tcBorders>
          </w:tcPr>
          <w:p w14:paraId="454858E9" w14:textId="77777777" w:rsidR="001D4D79" w:rsidRPr="00F561AD" w:rsidRDefault="001D4D79" w:rsidP="00E76B01">
            <w:pPr>
              <w:spacing w:before="120" w:after="120"/>
              <w:ind w:right="-108"/>
            </w:pPr>
            <w:r w:rsidRPr="00F561AD">
              <w:t xml:space="preserve">Do not enter a remittance date. </w:t>
            </w:r>
          </w:p>
        </w:tc>
      </w:tr>
      <w:tr w:rsidR="001D4D79" w:rsidRPr="00F561AD" w14:paraId="30727355" w14:textId="77777777" w:rsidTr="00162E2F">
        <w:trPr>
          <w:cantSplit/>
          <w:jc w:val="center"/>
        </w:trPr>
        <w:tc>
          <w:tcPr>
            <w:tcW w:w="2628" w:type="dxa"/>
          </w:tcPr>
          <w:p w14:paraId="08F7D6FD" w14:textId="77777777" w:rsidR="001D4D79" w:rsidRPr="00F561AD" w:rsidRDefault="001D4D79" w:rsidP="00B5381C">
            <w:pPr>
              <w:spacing w:before="120" w:after="120"/>
              <w:rPr>
                <w:color w:val="000000"/>
              </w:rPr>
            </w:pPr>
            <w:r w:rsidRPr="00F561AD">
              <w:rPr>
                <w:color w:val="000000"/>
              </w:rPr>
              <w:t>Payer Claim Number</w:t>
            </w:r>
          </w:p>
        </w:tc>
        <w:tc>
          <w:tcPr>
            <w:tcW w:w="7092" w:type="dxa"/>
          </w:tcPr>
          <w:p w14:paraId="26FF6FD8" w14:textId="77777777" w:rsidR="001D4D79" w:rsidRPr="00F561AD" w:rsidRDefault="001D4D79" w:rsidP="00B5381C">
            <w:pPr>
              <w:spacing w:before="120" w:after="120"/>
              <w:ind w:right="-108"/>
              <w:rPr>
                <w:color w:val="000000"/>
              </w:rPr>
            </w:pPr>
            <w:r w:rsidRPr="00F561AD">
              <w:t>Enter 99.</w:t>
            </w:r>
          </w:p>
        </w:tc>
      </w:tr>
      <w:tr w:rsidR="001D4D79" w:rsidRPr="00F561AD" w14:paraId="2BF86B42" w14:textId="77777777" w:rsidTr="00162E2F">
        <w:trPr>
          <w:cantSplit/>
          <w:jc w:val="center"/>
        </w:trPr>
        <w:tc>
          <w:tcPr>
            <w:tcW w:w="2628" w:type="dxa"/>
          </w:tcPr>
          <w:p w14:paraId="31BF50C2" w14:textId="77777777" w:rsidR="001D4D79" w:rsidRPr="00F561AD" w:rsidRDefault="001D4D79" w:rsidP="00B5381C">
            <w:pPr>
              <w:spacing w:before="120" w:after="120"/>
              <w:rPr>
                <w:color w:val="000000"/>
              </w:rPr>
            </w:pPr>
            <w:r w:rsidRPr="00F561AD">
              <w:rPr>
                <w:color w:val="000000"/>
              </w:rPr>
              <w:t>Payer Responsibility</w:t>
            </w:r>
          </w:p>
        </w:tc>
        <w:tc>
          <w:tcPr>
            <w:tcW w:w="7092" w:type="dxa"/>
          </w:tcPr>
          <w:p w14:paraId="1389E3E4" w14:textId="77777777" w:rsidR="001D4D79" w:rsidRPr="00F561AD" w:rsidRDefault="001D4D79" w:rsidP="00B5381C">
            <w:pPr>
              <w:spacing w:before="120" w:after="120"/>
              <w:ind w:right="-108"/>
              <w:rPr>
                <w:color w:val="000000"/>
              </w:rPr>
            </w:pPr>
            <w:r w:rsidRPr="00F561AD">
              <w:rPr>
                <w:color w:val="000000"/>
              </w:rPr>
              <w:t>Select the appropriate code from the drop-down list.</w:t>
            </w:r>
          </w:p>
        </w:tc>
      </w:tr>
      <w:tr w:rsidR="001D4D79" w:rsidRPr="00F561AD" w14:paraId="724DA1AE" w14:textId="77777777" w:rsidTr="00162E2F">
        <w:trPr>
          <w:cantSplit/>
          <w:jc w:val="center"/>
        </w:trPr>
        <w:tc>
          <w:tcPr>
            <w:tcW w:w="2628" w:type="dxa"/>
            <w:tcBorders>
              <w:top w:val="single" w:sz="4" w:space="0" w:color="auto"/>
              <w:left w:val="single" w:sz="4" w:space="0" w:color="auto"/>
              <w:bottom w:val="single" w:sz="4" w:space="0" w:color="auto"/>
              <w:right w:val="single" w:sz="4" w:space="0" w:color="auto"/>
            </w:tcBorders>
          </w:tcPr>
          <w:p w14:paraId="74379D1D" w14:textId="77777777" w:rsidR="001D4D79" w:rsidRPr="00F561AD" w:rsidRDefault="001D4D79" w:rsidP="000A220C">
            <w:pPr>
              <w:spacing w:before="120" w:after="120"/>
              <w:rPr>
                <w:color w:val="000000"/>
              </w:rPr>
            </w:pPr>
            <w:r w:rsidRPr="00F561AD">
              <w:rPr>
                <w:color w:val="000000"/>
              </w:rPr>
              <w:t>COB Payer Paid Amount</w:t>
            </w:r>
          </w:p>
        </w:tc>
        <w:tc>
          <w:tcPr>
            <w:tcW w:w="7092" w:type="dxa"/>
            <w:tcBorders>
              <w:top w:val="single" w:sz="4" w:space="0" w:color="auto"/>
              <w:left w:val="single" w:sz="4" w:space="0" w:color="auto"/>
              <w:bottom w:val="single" w:sz="4" w:space="0" w:color="auto"/>
              <w:right w:val="single" w:sz="4" w:space="0" w:color="auto"/>
            </w:tcBorders>
          </w:tcPr>
          <w:p w14:paraId="14934F15" w14:textId="77777777" w:rsidR="001D4D79" w:rsidRPr="00F561AD" w:rsidRDefault="001D4D79" w:rsidP="000A220C">
            <w:pPr>
              <w:spacing w:before="120" w:after="120"/>
              <w:ind w:right="-108"/>
              <w:rPr>
                <w:color w:val="000000"/>
              </w:rPr>
            </w:pPr>
            <w:r w:rsidRPr="00F561AD">
              <w:rPr>
                <w:color w:val="000000"/>
              </w:rPr>
              <w:t>Do not enter a COB payer paid amount.</w:t>
            </w:r>
          </w:p>
        </w:tc>
      </w:tr>
      <w:tr w:rsidR="001D4D79" w:rsidRPr="00F561AD" w14:paraId="1B470A45" w14:textId="77777777" w:rsidTr="00162E2F">
        <w:trPr>
          <w:cantSplit/>
          <w:jc w:val="center"/>
        </w:trPr>
        <w:tc>
          <w:tcPr>
            <w:tcW w:w="2628" w:type="dxa"/>
          </w:tcPr>
          <w:p w14:paraId="2740943D" w14:textId="77777777" w:rsidR="001D4D79" w:rsidRPr="00F561AD" w:rsidRDefault="001D4D79" w:rsidP="00B5381C">
            <w:pPr>
              <w:spacing w:before="120" w:after="120"/>
              <w:rPr>
                <w:color w:val="000000"/>
              </w:rPr>
            </w:pPr>
            <w:r w:rsidRPr="00F561AD">
              <w:rPr>
                <w:color w:val="000000"/>
              </w:rPr>
              <w:t>Total Noncovered Amount</w:t>
            </w:r>
          </w:p>
        </w:tc>
        <w:tc>
          <w:tcPr>
            <w:tcW w:w="7092" w:type="dxa"/>
          </w:tcPr>
          <w:p w14:paraId="73839DBB" w14:textId="77777777" w:rsidR="001D4D79" w:rsidRPr="00F561AD" w:rsidRDefault="001D4D79" w:rsidP="00E76B01">
            <w:pPr>
              <w:spacing w:before="120" w:after="120"/>
              <w:ind w:right="-108"/>
            </w:pPr>
            <w:r w:rsidRPr="00F561AD">
              <w:t>The total noncovered amount must equal the total billed amount.</w:t>
            </w:r>
          </w:p>
        </w:tc>
      </w:tr>
      <w:tr w:rsidR="001D4D79" w:rsidRPr="00F561AD" w14:paraId="066955E4" w14:textId="77777777" w:rsidTr="00162E2F">
        <w:trPr>
          <w:cantSplit/>
          <w:jc w:val="center"/>
        </w:trPr>
        <w:tc>
          <w:tcPr>
            <w:tcW w:w="2628" w:type="dxa"/>
            <w:tcBorders>
              <w:top w:val="single" w:sz="4" w:space="0" w:color="auto"/>
              <w:left w:val="single" w:sz="4" w:space="0" w:color="auto"/>
              <w:bottom w:val="single" w:sz="4" w:space="0" w:color="auto"/>
              <w:right w:val="single" w:sz="4" w:space="0" w:color="auto"/>
            </w:tcBorders>
          </w:tcPr>
          <w:p w14:paraId="0F61ABF2" w14:textId="77777777" w:rsidR="001D4D79" w:rsidRPr="00F561AD" w:rsidRDefault="001D4D79" w:rsidP="000A220C">
            <w:pPr>
              <w:spacing w:before="120" w:after="120"/>
              <w:rPr>
                <w:color w:val="000000"/>
              </w:rPr>
            </w:pPr>
            <w:r w:rsidRPr="00F561AD">
              <w:rPr>
                <w:color w:val="000000"/>
              </w:rPr>
              <w:t xml:space="preserve">Remaining Patient Liability </w:t>
            </w:r>
          </w:p>
        </w:tc>
        <w:tc>
          <w:tcPr>
            <w:tcW w:w="7092" w:type="dxa"/>
            <w:tcBorders>
              <w:top w:val="single" w:sz="4" w:space="0" w:color="auto"/>
              <w:left w:val="single" w:sz="4" w:space="0" w:color="auto"/>
              <w:bottom w:val="single" w:sz="4" w:space="0" w:color="auto"/>
              <w:right w:val="single" w:sz="4" w:space="0" w:color="auto"/>
            </w:tcBorders>
          </w:tcPr>
          <w:p w14:paraId="310E2334" w14:textId="77777777" w:rsidR="001D4D79" w:rsidRPr="00F561AD" w:rsidRDefault="001D4D79" w:rsidP="000A220C">
            <w:pPr>
              <w:spacing w:before="120" w:after="120"/>
              <w:ind w:right="-108"/>
            </w:pPr>
            <w:r w:rsidRPr="00F561AD">
              <w:t xml:space="preserve">Do not enter any values. </w:t>
            </w:r>
          </w:p>
        </w:tc>
      </w:tr>
      <w:tr w:rsidR="001D4D79" w:rsidRPr="00F561AD" w14:paraId="181ED096" w14:textId="77777777" w:rsidTr="00162E2F">
        <w:trPr>
          <w:cantSplit/>
          <w:jc w:val="center"/>
        </w:trPr>
        <w:tc>
          <w:tcPr>
            <w:tcW w:w="2628" w:type="dxa"/>
          </w:tcPr>
          <w:p w14:paraId="1210B0B2" w14:textId="77777777" w:rsidR="001D4D79" w:rsidRPr="00F561AD" w:rsidRDefault="001D4D79" w:rsidP="00B5381C">
            <w:pPr>
              <w:spacing w:before="120" w:after="120"/>
              <w:rPr>
                <w:color w:val="000000"/>
              </w:rPr>
            </w:pPr>
            <w:r w:rsidRPr="00F561AD">
              <w:rPr>
                <w:color w:val="000000"/>
              </w:rPr>
              <w:t>Claim Filing Indicator</w:t>
            </w:r>
          </w:p>
        </w:tc>
        <w:tc>
          <w:tcPr>
            <w:tcW w:w="7092" w:type="dxa"/>
          </w:tcPr>
          <w:p w14:paraId="25575E3A" w14:textId="77777777" w:rsidR="001D4D79" w:rsidRPr="00F561AD" w:rsidRDefault="001D4D79" w:rsidP="00B5381C">
            <w:pPr>
              <w:pStyle w:val="Default"/>
              <w:spacing w:before="120" w:after="120"/>
              <w:rPr>
                <w:sz w:val="20"/>
                <w:szCs w:val="20"/>
                <w:lang w:val="fr-FR"/>
              </w:rPr>
            </w:pPr>
            <w:r w:rsidRPr="00F561AD">
              <w:rPr>
                <w:sz w:val="20"/>
                <w:szCs w:val="20"/>
                <w:lang w:val="fr-FR"/>
              </w:rPr>
              <w:t>Medicare = MA</w:t>
            </w:r>
          </w:p>
          <w:p w14:paraId="23C6AE70" w14:textId="77777777" w:rsidR="001D4D79" w:rsidRPr="00F561AD" w:rsidRDefault="001D4D79" w:rsidP="00B5381C">
            <w:pPr>
              <w:spacing w:before="120" w:after="120"/>
              <w:ind w:right="-108"/>
              <w:rPr>
                <w:color w:val="000000"/>
                <w:lang w:val="fr-FR"/>
              </w:rPr>
            </w:pPr>
            <w:r w:rsidRPr="00F561AD">
              <w:rPr>
                <w:lang w:val="fr-FR"/>
              </w:rPr>
              <w:t xml:space="preserve">Commercial </w:t>
            </w:r>
            <w:proofErr w:type="spellStart"/>
            <w:r w:rsidRPr="00F561AD">
              <w:rPr>
                <w:lang w:val="fr-FR"/>
              </w:rPr>
              <w:t>insurer</w:t>
            </w:r>
            <w:proofErr w:type="spellEnd"/>
            <w:r w:rsidRPr="00F561AD">
              <w:rPr>
                <w:lang w:val="fr-FR"/>
              </w:rPr>
              <w:t xml:space="preserve"> = CI</w:t>
            </w:r>
          </w:p>
        </w:tc>
      </w:tr>
      <w:tr w:rsidR="001D4D79" w:rsidRPr="00F561AD" w14:paraId="559CB8D1" w14:textId="77777777" w:rsidTr="00162E2F">
        <w:trPr>
          <w:cantSplit/>
          <w:jc w:val="center"/>
        </w:trPr>
        <w:tc>
          <w:tcPr>
            <w:tcW w:w="2628" w:type="dxa"/>
          </w:tcPr>
          <w:p w14:paraId="7134D26C" w14:textId="77777777" w:rsidR="001D4D79" w:rsidRPr="00F561AD" w:rsidRDefault="001D4D79" w:rsidP="00B5381C">
            <w:pPr>
              <w:spacing w:before="120" w:after="120"/>
              <w:rPr>
                <w:color w:val="000000"/>
              </w:rPr>
            </w:pPr>
            <w:r w:rsidRPr="00F561AD">
              <w:rPr>
                <w:color w:val="000000"/>
              </w:rPr>
              <w:t>Release of Information</w:t>
            </w:r>
          </w:p>
        </w:tc>
        <w:tc>
          <w:tcPr>
            <w:tcW w:w="7092" w:type="dxa"/>
          </w:tcPr>
          <w:p w14:paraId="12796176" w14:textId="77777777" w:rsidR="001D4D79" w:rsidRPr="00F561AD" w:rsidRDefault="001D4D79" w:rsidP="00B5381C">
            <w:pPr>
              <w:spacing w:before="120" w:after="120"/>
              <w:ind w:right="-108"/>
              <w:rPr>
                <w:color w:val="000000"/>
              </w:rPr>
            </w:pPr>
            <w:r w:rsidRPr="00F561AD">
              <w:rPr>
                <w:color w:val="000000"/>
              </w:rPr>
              <w:t>Select the appropriate code from the drop-down list.</w:t>
            </w:r>
          </w:p>
        </w:tc>
      </w:tr>
      <w:tr w:rsidR="001D4D79" w:rsidRPr="00F561AD" w14:paraId="359B9D56" w14:textId="77777777" w:rsidTr="00162E2F">
        <w:trPr>
          <w:cantSplit/>
          <w:jc w:val="center"/>
        </w:trPr>
        <w:tc>
          <w:tcPr>
            <w:tcW w:w="2628" w:type="dxa"/>
            <w:tcBorders>
              <w:bottom w:val="single" w:sz="4" w:space="0" w:color="auto"/>
            </w:tcBorders>
          </w:tcPr>
          <w:p w14:paraId="786B18AB" w14:textId="77777777" w:rsidR="001D4D79" w:rsidRPr="00F561AD" w:rsidRDefault="001D4D79" w:rsidP="00B5381C">
            <w:pPr>
              <w:spacing w:before="120" w:after="120"/>
              <w:rPr>
                <w:color w:val="000000"/>
              </w:rPr>
            </w:pPr>
            <w:r w:rsidRPr="00F561AD">
              <w:rPr>
                <w:color w:val="000000"/>
              </w:rPr>
              <w:t>Assignment of Benefits</w:t>
            </w:r>
          </w:p>
        </w:tc>
        <w:tc>
          <w:tcPr>
            <w:tcW w:w="7092" w:type="dxa"/>
            <w:tcBorders>
              <w:bottom w:val="single" w:sz="4" w:space="0" w:color="auto"/>
            </w:tcBorders>
          </w:tcPr>
          <w:p w14:paraId="3F9E43CB" w14:textId="77777777" w:rsidR="001D4D79" w:rsidRPr="00F561AD" w:rsidRDefault="001D4D79" w:rsidP="00B5381C">
            <w:pPr>
              <w:spacing w:before="120" w:after="120"/>
              <w:ind w:right="-108"/>
              <w:rPr>
                <w:color w:val="000000"/>
              </w:rPr>
            </w:pPr>
            <w:r w:rsidRPr="00F561AD">
              <w:rPr>
                <w:color w:val="000000"/>
              </w:rPr>
              <w:t>Select the appropriate code from the drop-down list.</w:t>
            </w:r>
          </w:p>
        </w:tc>
      </w:tr>
      <w:tr w:rsidR="001D4D79" w:rsidRPr="00F561AD" w14:paraId="2D299C8F" w14:textId="77777777" w:rsidTr="00162E2F">
        <w:trPr>
          <w:cantSplit/>
          <w:jc w:val="center"/>
        </w:trPr>
        <w:tc>
          <w:tcPr>
            <w:tcW w:w="2628" w:type="dxa"/>
            <w:tcBorders>
              <w:bottom w:val="single" w:sz="4" w:space="0" w:color="auto"/>
            </w:tcBorders>
          </w:tcPr>
          <w:p w14:paraId="2DEFB6DF" w14:textId="77777777" w:rsidR="001D4D79" w:rsidRPr="00F561AD" w:rsidRDefault="001D4D79" w:rsidP="00B5381C">
            <w:pPr>
              <w:spacing w:before="120" w:after="120"/>
              <w:rPr>
                <w:color w:val="000000"/>
              </w:rPr>
            </w:pPr>
            <w:r w:rsidRPr="00F561AD">
              <w:rPr>
                <w:color w:val="000000"/>
              </w:rPr>
              <w:t xml:space="preserve">Relationship to Subscriber </w:t>
            </w:r>
          </w:p>
        </w:tc>
        <w:tc>
          <w:tcPr>
            <w:tcW w:w="7092" w:type="dxa"/>
            <w:tcBorders>
              <w:bottom w:val="single" w:sz="4" w:space="0" w:color="auto"/>
            </w:tcBorders>
          </w:tcPr>
          <w:p w14:paraId="60475F8D" w14:textId="77777777" w:rsidR="001D4D79" w:rsidRPr="00F561AD" w:rsidRDefault="001D4D79" w:rsidP="00E04000">
            <w:pPr>
              <w:spacing w:before="120" w:after="120"/>
              <w:ind w:right="-108"/>
              <w:rPr>
                <w:color w:val="000000"/>
              </w:rPr>
            </w:pPr>
            <w:r w:rsidRPr="00F561AD">
              <w:rPr>
                <w:color w:val="000000"/>
              </w:rPr>
              <w:t>Select the appropriate code from the drop-down list.</w:t>
            </w:r>
          </w:p>
        </w:tc>
      </w:tr>
    </w:tbl>
    <w:p w14:paraId="1D5CB0F0" w14:textId="77777777" w:rsidR="001D4D79" w:rsidRPr="00F561AD" w:rsidRDefault="001D4D79"/>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162E2F" w:rsidRPr="00F561AD" w14:paraId="43022269"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381C61EC" w14:textId="77777777"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lastRenderedPageBreak/>
              <w:t>Commonwealth of Massachusetts</w:t>
            </w:r>
          </w:p>
          <w:p w14:paraId="33E55A33" w14:textId="77777777" w:rsidR="00162E2F" w:rsidRPr="00F561AD" w:rsidRDefault="00162E2F" w:rsidP="00162E2F">
            <w:pPr>
              <w:keepNext/>
              <w:widowControl w:val="0"/>
              <w:tabs>
                <w:tab w:val="left" w:pos="936"/>
                <w:tab w:val="left" w:pos="1314"/>
                <w:tab w:val="left" w:pos="1692"/>
                <w:tab w:val="left" w:pos="2070"/>
              </w:tabs>
              <w:jc w:val="center"/>
              <w:rPr>
                <w:rFonts w:ascii="Arial" w:hAnsi="Arial" w:cs="Arial"/>
                <w:b/>
              </w:rPr>
            </w:pPr>
            <w:r w:rsidRPr="00F561AD">
              <w:rPr>
                <w:rFonts w:ascii="Arial" w:hAnsi="Arial" w:cs="Arial"/>
                <w:b/>
              </w:rPr>
              <w:t>MassHealth</w:t>
            </w:r>
          </w:p>
          <w:p w14:paraId="00C22A9A" w14:textId="77777777" w:rsidR="00162E2F" w:rsidRPr="00F561AD" w:rsidRDefault="00162E2F" w:rsidP="00162E2F">
            <w:pPr>
              <w:keepNext/>
              <w:widowControl w:val="0"/>
              <w:tabs>
                <w:tab w:val="left" w:pos="936"/>
                <w:tab w:val="left" w:pos="1314"/>
                <w:tab w:val="left" w:pos="1692"/>
                <w:tab w:val="left" w:pos="2070"/>
              </w:tabs>
              <w:jc w:val="center"/>
              <w:rPr>
                <w:rFonts w:ascii="Arial" w:hAnsi="Arial" w:cs="Arial"/>
                <w:b/>
              </w:rPr>
            </w:pPr>
            <w:r w:rsidRPr="00F561AD">
              <w:rPr>
                <w:rFonts w:ascii="Arial" w:hAnsi="Arial" w:cs="Arial"/>
                <w:b/>
              </w:rPr>
              <w:t>Provider Manual Series</w:t>
            </w:r>
          </w:p>
        </w:tc>
        <w:tc>
          <w:tcPr>
            <w:tcW w:w="3750" w:type="dxa"/>
            <w:tcBorders>
              <w:left w:val="single" w:sz="4" w:space="0" w:color="auto"/>
            </w:tcBorders>
          </w:tcPr>
          <w:p w14:paraId="33E901C8" w14:textId="77777777"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Subchapter Number and Title</w:t>
            </w:r>
          </w:p>
          <w:p w14:paraId="0CF6131A" w14:textId="77777777" w:rsidR="00162E2F" w:rsidRPr="00F561AD" w:rsidRDefault="00162E2F" w:rsidP="00162E2F">
            <w:pPr>
              <w:keepNext/>
              <w:widowControl w:val="0"/>
              <w:tabs>
                <w:tab w:val="left" w:pos="936"/>
                <w:tab w:val="left" w:pos="1314"/>
                <w:tab w:val="left" w:pos="1692"/>
                <w:tab w:val="left" w:pos="2070"/>
              </w:tabs>
              <w:jc w:val="center"/>
              <w:rPr>
                <w:rFonts w:ascii="Arial" w:hAnsi="Arial" w:cs="Arial"/>
              </w:rPr>
            </w:pPr>
            <w:r w:rsidRPr="00F561AD">
              <w:rPr>
                <w:rFonts w:ascii="Arial" w:hAnsi="Arial" w:cs="Arial"/>
              </w:rPr>
              <w:t>Appendix D: Supplemental Instructions for TPL Exceptions</w:t>
            </w:r>
          </w:p>
        </w:tc>
        <w:tc>
          <w:tcPr>
            <w:tcW w:w="1890" w:type="dxa"/>
          </w:tcPr>
          <w:p w14:paraId="57478953" w14:textId="77777777"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b/>
              </w:rPr>
              <w:t>Page</w:t>
            </w:r>
          </w:p>
          <w:p w14:paraId="6E6C122C" w14:textId="2102526C"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D-5</w:t>
            </w:r>
          </w:p>
        </w:tc>
      </w:tr>
      <w:tr w:rsidR="00162E2F" w:rsidRPr="00F561AD" w14:paraId="77CA2535"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43EEFCDF" w14:textId="77777777" w:rsidR="00162E2F" w:rsidRPr="00F561AD" w:rsidRDefault="00162E2F" w:rsidP="00162E2F">
            <w:pPr>
              <w:keepNext/>
              <w:widowControl w:val="0"/>
              <w:tabs>
                <w:tab w:val="left" w:pos="936"/>
                <w:tab w:val="left" w:pos="1314"/>
                <w:tab w:val="left" w:pos="1692"/>
                <w:tab w:val="left" w:pos="2070"/>
              </w:tabs>
              <w:jc w:val="center"/>
              <w:rPr>
                <w:rFonts w:ascii="Arial" w:hAnsi="Arial" w:cs="Arial"/>
              </w:rPr>
            </w:pPr>
            <w:r w:rsidRPr="00F561AD">
              <w:rPr>
                <w:rFonts w:ascii="Arial" w:hAnsi="Arial" w:cs="Arial"/>
              </w:rPr>
              <w:t>Home Health Agency Manual</w:t>
            </w:r>
          </w:p>
        </w:tc>
        <w:tc>
          <w:tcPr>
            <w:tcW w:w="3750" w:type="dxa"/>
            <w:tcBorders>
              <w:left w:val="single" w:sz="4" w:space="0" w:color="auto"/>
            </w:tcBorders>
          </w:tcPr>
          <w:p w14:paraId="4267D1FA" w14:textId="77777777"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Transmittal Letter</w:t>
            </w:r>
          </w:p>
          <w:p w14:paraId="23EF2AEE" w14:textId="406D09DD"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HHA-</w:t>
            </w:r>
            <w:r w:rsidR="00F561AD" w:rsidRPr="00F561AD">
              <w:rPr>
                <w:rFonts w:ascii="Arial" w:hAnsi="Arial" w:cs="Arial"/>
              </w:rPr>
              <w:t>58</w:t>
            </w:r>
          </w:p>
        </w:tc>
        <w:tc>
          <w:tcPr>
            <w:tcW w:w="1890" w:type="dxa"/>
          </w:tcPr>
          <w:p w14:paraId="294EAE66" w14:textId="77777777" w:rsidR="00162E2F" w:rsidRPr="00F561AD" w:rsidRDefault="00162E2F" w:rsidP="00162E2F">
            <w:pPr>
              <w:keepNext/>
              <w:widowControl w:val="0"/>
              <w:tabs>
                <w:tab w:val="left" w:pos="936"/>
                <w:tab w:val="left" w:pos="1314"/>
                <w:tab w:val="left" w:pos="1692"/>
                <w:tab w:val="left" w:pos="2070"/>
              </w:tabs>
              <w:spacing w:before="120"/>
              <w:jc w:val="center"/>
              <w:rPr>
                <w:rFonts w:ascii="Arial" w:hAnsi="Arial" w:cs="Arial"/>
                <w:b/>
              </w:rPr>
            </w:pPr>
            <w:r w:rsidRPr="00F561AD">
              <w:rPr>
                <w:rFonts w:ascii="Arial" w:hAnsi="Arial" w:cs="Arial"/>
                <w:b/>
              </w:rPr>
              <w:t>Date</w:t>
            </w:r>
          </w:p>
          <w:p w14:paraId="4A8552E6" w14:textId="2825F569" w:rsidR="00162E2F" w:rsidRPr="00F561AD" w:rsidRDefault="00F561AD" w:rsidP="00162E2F">
            <w:pPr>
              <w:keepNext/>
              <w:widowControl w:val="0"/>
              <w:tabs>
                <w:tab w:val="left" w:pos="936"/>
                <w:tab w:val="left" w:pos="1314"/>
                <w:tab w:val="left" w:pos="1692"/>
                <w:tab w:val="left" w:pos="2070"/>
              </w:tabs>
              <w:spacing w:before="120"/>
              <w:jc w:val="center"/>
              <w:rPr>
                <w:rFonts w:ascii="Arial" w:hAnsi="Arial" w:cs="Arial"/>
              </w:rPr>
            </w:pPr>
            <w:r w:rsidRPr="00F561AD">
              <w:rPr>
                <w:rFonts w:ascii="Arial" w:hAnsi="Arial" w:cs="Arial"/>
              </w:rPr>
              <w:t>10/</w:t>
            </w:r>
            <w:r w:rsidR="007C7FFE" w:rsidRPr="007C7FFE">
              <w:rPr>
                <w:rFonts w:ascii="Arial" w:hAnsi="Arial" w:cs="Arial"/>
              </w:rPr>
              <w:t>18</w:t>
            </w:r>
            <w:r w:rsidRPr="00F561AD">
              <w:rPr>
                <w:rFonts w:ascii="Arial" w:hAnsi="Arial" w:cs="Arial"/>
              </w:rPr>
              <w:t>/23</w:t>
            </w:r>
          </w:p>
        </w:tc>
      </w:tr>
    </w:tbl>
    <w:p w14:paraId="7AA8C862" w14:textId="77777777" w:rsidR="00162E2F" w:rsidRPr="00F561AD" w:rsidRDefault="00162E2F" w:rsidP="00162E2F">
      <w:pPr>
        <w:keepNext/>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1D4D79" w:rsidRPr="00F561AD" w14:paraId="04A310F2" w14:textId="77777777" w:rsidTr="00162E2F">
        <w:trPr>
          <w:cantSplit/>
          <w:jc w:val="center"/>
        </w:trPr>
        <w:tc>
          <w:tcPr>
            <w:tcW w:w="9720" w:type="dxa"/>
            <w:gridSpan w:val="2"/>
            <w:tcBorders>
              <w:top w:val="single" w:sz="4" w:space="0" w:color="auto"/>
            </w:tcBorders>
          </w:tcPr>
          <w:p w14:paraId="07FCB471" w14:textId="77777777" w:rsidR="001D4D79" w:rsidRPr="00F561AD" w:rsidRDefault="001D4D79" w:rsidP="00162E2F">
            <w:pPr>
              <w:keepNext/>
              <w:spacing w:before="120" w:after="120"/>
              <w:ind w:right="-216"/>
              <w:jc w:val="center"/>
              <w:rPr>
                <w:b/>
                <w:color w:val="000000"/>
              </w:rPr>
            </w:pPr>
            <w:r w:rsidRPr="00F561AD">
              <w:rPr>
                <w:b/>
                <w:sz w:val="22"/>
                <w:szCs w:val="22"/>
              </w:rPr>
              <w:br w:type="page"/>
            </w:r>
            <w:r w:rsidRPr="00F561AD">
              <w:rPr>
                <w:sz w:val="22"/>
                <w:szCs w:val="22"/>
              </w:rPr>
              <w:br w:type="page"/>
            </w:r>
            <w:r w:rsidRPr="00F561AD">
              <w:rPr>
                <w:sz w:val="22"/>
                <w:szCs w:val="22"/>
              </w:rPr>
              <w:br w:type="page"/>
            </w:r>
            <w:r w:rsidRPr="00F561AD">
              <w:rPr>
                <w:b/>
              </w:rPr>
              <w:t xml:space="preserve">COB Detail Panel </w:t>
            </w:r>
            <w:r w:rsidRPr="00F561AD">
              <w:t>(cont.)</w:t>
            </w:r>
          </w:p>
        </w:tc>
      </w:tr>
      <w:tr w:rsidR="001D4D79" w:rsidRPr="00F561AD" w14:paraId="4A2A606C" w14:textId="77777777" w:rsidTr="00162E2F">
        <w:trPr>
          <w:cantSplit/>
          <w:jc w:val="center"/>
        </w:trPr>
        <w:tc>
          <w:tcPr>
            <w:tcW w:w="2628" w:type="dxa"/>
          </w:tcPr>
          <w:p w14:paraId="7ECDC8BC" w14:textId="77777777" w:rsidR="001D4D79" w:rsidRPr="00F561AD" w:rsidRDefault="001D4D79" w:rsidP="0049487F">
            <w:pPr>
              <w:keepNext/>
              <w:spacing w:before="120" w:after="120"/>
              <w:ind w:right="-216"/>
              <w:jc w:val="center"/>
              <w:rPr>
                <w:b/>
                <w:color w:val="000000"/>
              </w:rPr>
            </w:pPr>
            <w:r w:rsidRPr="00F561AD">
              <w:rPr>
                <w:b/>
                <w:color w:val="000000"/>
              </w:rPr>
              <w:t>Field Name</w:t>
            </w:r>
          </w:p>
        </w:tc>
        <w:tc>
          <w:tcPr>
            <w:tcW w:w="7092" w:type="dxa"/>
          </w:tcPr>
          <w:p w14:paraId="379AD6AC" w14:textId="77777777" w:rsidR="001D4D79" w:rsidRPr="00F561AD" w:rsidRDefault="001D4D79" w:rsidP="0049487F">
            <w:pPr>
              <w:keepNext/>
              <w:spacing w:before="120" w:after="120"/>
              <w:ind w:right="-216"/>
              <w:jc w:val="center"/>
              <w:rPr>
                <w:b/>
                <w:color w:val="000000"/>
              </w:rPr>
            </w:pPr>
            <w:r w:rsidRPr="00F561AD">
              <w:rPr>
                <w:b/>
                <w:color w:val="000000"/>
              </w:rPr>
              <w:t>Instructions</w:t>
            </w:r>
          </w:p>
        </w:tc>
      </w:tr>
      <w:tr w:rsidR="001D4D79" w:rsidRPr="00F561AD" w14:paraId="5C30D679" w14:textId="77777777" w:rsidTr="00162E2F">
        <w:trPr>
          <w:cantSplit/>
          <w:jc w:val="center"/>
        </w:trPr>
        <w:tc>
          <w:tcPr>
            <w:tcW w:w="2628" w:type="dxa"/>
            <w:tcBorders>
              <w:top w:val="nil"/>
            </w:tcBorders>
          </w:tcPr>
          <w:p w14:paraId="56C1E434" w14:textId="77777777" w:rsidR="001D4D79" w:rsidRPr="00F561AD" w:rsidRDefault="001D4D79" w:rsidP="00B5381C">
            <w:pPr>
              <w:spacing w:before="120" w:after="120"/>
              <w:rPr>
                <w:color w:val="000000"/>
              </w:rPr>
            </w:pPr>
            <w:r w:rsidRPr="00F561AD">
              <w:rPr>
                <w:color w:val="000000"/>
              </w:rPr>
              <w:t>Subscriber Information Panel</w:t>
            </w:r>
          </w:p>
        </w:tc>
        <w:tc>
          <w:tcPr>
            <w:tcW w:w="7092" w:type="dxa"/>
            <w:tcBorders>
              <w:top w:val="nil"/>
            </w:tcBorders>
          </w:tcPr>
          <w:p w14:paraId="675C77FA" w14:textId="77777777" w:rsidR="001D4D79" w:rsidRPr="00F561AD" w:rsidRDefault="001D4D79" w:rsidP="00FD30F2">
            <w:pPr>
              <w:spacing w:before="120" w:after="120"/>
            </w:pPr>
            <w:r w:rsidRPr="00F561AD">
              <w:t>If you select “Relationship to Subscriber,” and it is “18 –Self,” then click “Populate Subscriber.” The panel will fill the following data fields that have already been entered on the “Billing and Service” tab.</w:t>
            </w:r>
          </w:p>
          <w:p w14:paraId="6173B0E6" w14:textId="77777777" w:rsidR="001D4D79" w:rsidRPr="00F561AD" w:rsidRDefault="001D4D79" w:rsidP="001D4D79">
            <w:pPr>
              <w:numPr>
                <w:ilvl w:val="0"/>
                <w:numId w:val="8"/>
              </w:numPr>
              <w:spacing w:before="120" w:after="120"/>
              <w:rPr>
                <w:color w:val="000000"/>
              </w:rPr>
            </w:pPr>
            <w:r w:rsidRPr="00F561AD">
              <w:rPr>
                <w:color w:val="000000"/>
              </w:rPr>
              <w:t>Subscriber Last Name</w:t>
            </w:r>
          </w:p>
          <w:p w14:paraId="2E5643CB" w14:textId="77777777" w:rsidR="001D4D79" w:rsidRPr="00F561AD" w:rsidRDefault="001D4D79" w:rsidP="001D4D79">
            <w:pPr>
              <w:numPr>
                <w:ilvl w:val="0"/>
                <w:numId w:val="8"/>
              </w:numPr>
              <w:spacing w:before="120" w:after="120"/>
              <w:rPr>
                <w:color w:val="000000"/>
              </w:rPr>
            </w:pPr>
            <w:r w:rsidRPr="00F561AD">
              <w:rPr>
                <w:color w:val="000000"/>
              </w:rPr>
              <w:t>Subscriber First Name</w:t>
            </w:r>
          </w:p>
          <w:p w14:paraId="3E738D3A" w14:textId="77777777" w:rsidR="001D4D79" w:rsidRPr="00F561AD" w:rsidRDefault="001D4D79" w:rsidP="001D4D79">
            <w:pPr>
              <w:numPr>
                <w:ilvl w:val="0"/>
                <w:numId w:val="8"/>
              </w:numPr>
              <w:spacing w:before="120" w:after="120"/>
              <w:rPr>
                <w:color w:val="000000"/>
              </w:rPr>
            </w:pPr>
            <w:r w:rsidRPr="00F561AD">
              <w:rPr>
                <w:color w:val="000000"/>
              </w:rPr>
              <w:t xml:space="preserve">Subscriber Address </w:t>
            </w:r>
          </w:p>
          <w:p w14:paraId="71FDB2AC" w14:textId="77777777" w:rsidR="001D4D79" w:rsidRPr="00F561AD" w:rsidRDefault="001D4D79" w:rsidP="001D4D79">
            <w:pPr>
              <w:numPr>
                <w:ilvl w:val="0"/>
                <w:numId w:val="8"/>
              </w:numPr>
              <w:spacing w:before="120" w:after="120"/>
              <w:rPr>
                <w:color w:val="000000"/>
              </w:rPr>
            </w:pPr>
            <w:r w:rsidRPr="00F561AD">
              <w:rPr>
                <w:color w:val="000000"/>
              </w:rPr>
              <w:t>Subscriber City</w:t>
            </w:r>
          </w:p>
          <w:p w14:paraId="2CBC7110" w14:textId="77777777" w:rsidR="001D4D79" w:rsidRPr="00F561AD" w:rsidRDefault="001D4D79" w:rsidP="001D4D79">
            <w:pPr>
              <w:numPr>
                <w:ilvl w:val="0"/>
                <w:numId w:val="8"/>
              </w:numPr>
              <w:spacing w:before="120" w:after="120"/>
              <w:rPr>
                <w:color w:val="000000"/>
              </w:rPr>
            </w:pPr>
            <w:r w:rsidRPr="00F561AD">
              <w:rPr>
                <w:color w:val="000000"/>
              </w:rPr>
              <w:t>Subscriber State</w:t>
            </w:r>
          </w:p>
          <w:p w14:paraId="544A40F6" w14:textId="77777777" w:rsidR="001D4D79" w:rsidRPr="00F561AD" w:rsidRDefault="001D4D79" w:rsidP="001D4D79">
            <w:pPr>
              <w:numPr>
                <w:ilvl w:val="0"/>
                <w:numId w:val="8"/>
              </w:numPr>
              <w:spacing w:before="120" w:after="120"/>
              <w:rPr>
                <w:color w:val="000000"/>
              </w:rPr>
            </w:pPr>
            <w:r w:rsidRPr="00F561AD">
              <w:rPr>
                <w:color w:val="000000"/>
              </w:rPr>
              <w:t>Subscriber Zip Code</w:t>
            </w:r>
          </w:p>
          <w:p w14:paraId="3FAB0884" w14:textId="77777777" w:rsidR="001D4D79" w:rsidRPr="00F561AD" w:rsidRDefault="001D4D79" w:rsidP="001D4D79">
            <w:pPr>
              <w:numPr>
                <w:ilvl w:val="0"/>
                <w:numId w:val="8"/>
              </w:numPr>
              <w:spacing w:before="120" w:after="120"/>
              <w:rPr>
                <w:color w:val="000000"/>
              </w:rPr>
            </w:pPr>
            <w:r w:rsidRPr="00F561AD">
              <w:rPr>
                <w:color w:val="000000"/>
              </w:rPr>
              <w:t>If you select any other relationship-to-subscriber code, you must enter the following required fields.</w:t>
            </w:r>
          </w:p>
          <w:p w14:paraId="1F72800E" w14:textId="77777777" w:rsidR="001D4D79" w:rsidRPr="00F561AD" w:rsidRDefault="001D4D79" w:rsidP="001D4D79">
            <w:pPr>
              <w:numPr>
                <w:ilvl w:val="0"/>
                <w:numId w:val="8"/>
              </w:numPr>
              <w:spacing w:before="120" w:after="120"/>
              <w:rPr>
                <w:color w:val="000000"/>
              </w:rPr>
            </w:pPr>
            <w:r w:rsidRPr="00F561AD">
              <w:rPr>
                <w:color w:val="000000"/>
              </w:rPr>
              <w:t>Subscriber Last Name</w:t>
            </w:r>
          </w:p>
          <w:p w14:paraId="06A7533C" w14:textId="77777777" w:rsidR="001D4D79" w:rsidRPr="00F561AD" w:rsidRDefault="001D4D79" w:rsidP="001D4D79">
            <w:pPr>
              <w:numPr>
                <w:ilvl w:val="0"/>
                <w:numId w:val="8"/>
              </w:numPr>
              <w:spacing w:before="120" w:after="120"/>
              <w:rPr>
                <w:color w:val="000000"/>
              </w:rPr>
            </w:pPr>
            <w:r w:rsidRPr="00F561AD">
              <w:rPr>
                <w:color w:val="000000"/>
              </w:rPr>
              <w:t>Subscriber First Name</w:t>
            </w:r>
          </w:p>
        </w:tc>
      </w:tr>
      <w:tr w:rsidR="001D4D79" w:rsidRPr="00F561AD" w14:paraId="06A2A01B" w14:textId="77777777" w:rsidTr="00162E2F">
        <w:trPr>
          <w:cantSplit/>
          <w:jc w:val="center"/>
        </w:trPr>
        <w:tc>
          <w:tcPr>
            <w:tcW w:w="2628" w:type="dxa"/>
            <w:tcBorders>
              <w:top w:val="single" w:sz="4" w:space="0" w:color="auto"/>
              <w:left w:val="single" w:sz="4" w:space="0" w:color="auto"/>
              <w:bottom w:val="single" w:sz="4" w:space="0" w:color="auto"/>
              <w:right w:val="single" w:sz="4" w:space="0" w:color="auto"/>
            </w:tcBorders>
          </w:tcPr>
          <w:p w14:paraId="58A0CA34" w14:textId="77777777" w:rsidR="001D4D79" w:rsidRPr="00F561AD" w:rsidRDefault="001D4D79" w:rsidP="000A220C">
            <w:pPr>
              <w:spacing w:before="120" w:after="120"/>
              <w:rPr>
                <w:color w:val="000000"/>
              </w:rPr>
            </w:pPr>
            <w:r w:rsidRPr="00F561AD">
              <w:rPr>
                <w:color w:val="000000"/>
              </w:rPr>
              <w:t xml:space="preserve">Subscriber ID </w:t>
            </w:r>
          </w:p>
        </w:tc>
        <w:tc>
          <w:tcPr>
            <w:tcW w:w="7092" w:type="dxa"/>
            <w:tcBorders>
              <w:top w:val="single" w:sz="4" w:space="0" w:color="auto"/>
              <w:left w:val="single" w:sz="4" w:space="0" w:color="auto"/>
              <w:bottom w:val="single" w:sz="4" w:space="0" w:color="auto"/>
              <w:right w:val="single" w:sz="4" w:space="0" w:color="auto"/>
            </w:tcBorders>
          </w:tcPr>
          <w:p w14:paraId="2B7A1C76" w14:textId="77777777" w:rsidR="001D4D79" w:rsidRPr="00F561AD" w:rsidRDefault="001D4D79" w:rsidP="00C140AC">
            <w:pPr>
              <w:spacing w:before="120" w:after="120"/>
              <w:rPr>
                <w:color w:val="000000"/>
              </w:rPr>
            </w:pPr>
            <w:r w:rsidRPr="00F561AD">
              <w:rPr>
                <w:color w:val="000000"/>
              </w:rPr>
              <w:t xml:space="preserve">Enter the Other Insurance Subscriber ID number. </w:t>
            </w:r>
          </w:p>
        </w:tc>
      </w:tr>
    </w:tbl>
    <w:p w14:paraId="27E4D8FE" w14:textId="77777777" w:rsidR="001D4D79" w:rsidRPr="00F561AD" w:rsidRDefault="001D4D79" w:rsidP="00C67563">
      <w:pPr>
        <w:spacing w:before="120" w:after="120"/>
        <w:ind w:right="-216"/>
        <w:outlineLvl w:val="0"/>
        <w:rPr>
          <w:b/>
          <w:sz w:val="22"/>
          <w:szCs w:val="22"/>
        </w:rPr>
      </w:pPr>
      <w:r w:rsidRPr="00F561AD">
        <w:rPr>
          <w:b/>
          <w:sz w:val="22"/>
          <w:szCs w:val="22"/>
        </w:rPr>
        <w:t>Please Note: Click “Add” to save the COB panel.</w:t>
      </w:r>
    </w:p>
    <w:p w14:paraId="1165500F" w14:textId="77777777" w:rsidR="001D4D79" w:rsidRPr="00F561AD" w:rsidRDefault="001D4D79" w:rsidP="00C67563">
      <w:pPr>
        <w:spacing w:before="120" w:after="120"/>
        <w:ind w:right="-216"/>
        <w:outlineLvl w:val="0"/>
        <w:rPr>
          <w:b/>
          <w:sz w:val="22"/>
          <w:szCs w:val="22"/>
        </w:rPr>
      </w:pPr>
      <w:r w:rsidRPr="00F561AD">
        <w:rPr>
          <w:b/>
          <w:sz w:val="22"/>
          <w:szCs w:val="22"/>
        </w:rPr>
        <w:t>MassHealth’s Right to Appeal</w:t>
      </w:r>
    </w:p>
    <w:p w14:paraId="76BD035F" w14:textId="77777777" w:rsidR="001D4D79" w:rsidRPr="00F561AD" w:rsidRDefault="001D4D79" w:rsidP="00C67563">
      <w:pPr>
        <w:ind w:right="-216"/>
        <w:rPr>
          <w:sz w:val="22"/>
          <w:szCs w:val="22"/>
        </w:rPr>
      </w:pPr>
      <w:r w:rsidRPr="00F561AD">
        <w:rPr>
          <w:sz w:val="22"/>
          <w:szCs w:val="22"/>
        </w:rPr>
        <w:t xml:space="preserve">MassHealth reserves the right to </w:t>
      </w:r>
      <w:proofErr w:type="gramStart"/>
      <w:r w:rsidRPr="00F561AD">
        <w:rPr>
          <w:sz w:val="22"/>
          <w:szCs w:val="22"/>
        </w:rPr>
        <w:t>appeal</w:t>
      </w:r>
      <w:proofErr w:type="gramEnd"/>
      <w:r w:rsidRPr="00F561AD">
        <w:rPr>
          <w:sz w:val="22"/>
          <w:szCs w:val="22"/>
        </w:rPr>
        <w:t xml:space="preserve">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w:t>
      </w:r>
      <w:proofErr w:type="gramStart"/>
      <w:r w:rsidRPr="00F561AD">
        <w:rPr>
          <w:sz w:val="22"/>
          <w:szCs w:val="22"/>
        </w:rPr>
        <w:t>in order for</w:t>
      </w:r>
      <w:proofErr w:type="gramEnd"/>
      <w:r w:rsidRPr="00F561AD">
        <w:rPr>
          <w:sz w:val="22"/>
          <w:szCs w:val="22"/>
        </w:rPr>
        <w:t xml:space="preserve"> MassHealth to exercise its right to appeal.</w:t>
      </w:r>
    </w:p>
    <w:p w14:paraId="4C374EFE" w14:textId="77777777" w:rsidR="001D4D79" w:rsidRPr="00F561AD" w:rsidRDefault="001D4D79" w:rsidP="00C67563">
      <w:pPr>
        <w:spacing w:before="120" w:after="120"/>
        <w:ind w:right="-216"/>
        <w:outlineLvl w:val="0"/>
        <w:rPr>
          <w:b/>
          <w:sz w:val="22"/>
          <w:szCs w:val="22"/>
        </w:rPr>
      </w:pPr>
      <w:r w:rsidRPr="00F561AD">
        <w:rPr>
          <w:b/>
          <w:sz w:val="22"/>
          <w:szCs w:val="22"/>
        </w:rPr>
        <w:t>Questions</w:t>
      </w:r>
    </w:p>
    <w:p w14:paraId="46C9DCB0" w14:textId="77777777" w:rsidR="0028073E" w:rsidRDefault="001D4D79" w:rsidP="0028073E">
      <w:pPr>
        <w:ind w:right="-216"/>
        <w:rPr>
          <w:sz w:val="22"/>
          <w:szCs w:val="22"/>
        </w:rPr>
      </w:pPr>
      <w:r w:rsidRPr="00F561AD">
        <w:rPr>
          <w:sz w:val="22"/>
          <w:szCs w:val="22"/>
        </w:rPr>
        <w:t xml:space="preserve">If you have any questions about the information in this appendix, please refer to </w:t>
      </w:r>
      <w:hyperlink r:id="rId13" w:history="1">
        <w:r w:rsidR="000E4718" w:rsidRPr="00F561AD">
          <w:rPr>
            <w:rStyle w:val="Hyperlink"/>
            <w:sz w:val="22"/>
            <w:szCs w:val="22"/>
          </w:rPr>
          <w:t>https://www.mass.gov/info-details/contact-masshealth-information-for-providers</w:t>
        </w:r>
      </w:hyperlink>
      <w:r w:rsidRPr="00F561AD">
        <w:rPr>
          <w:sz w:val="22"/>
          <w:szCs w:val="22"/>
        </w:rPr>
        <w:t xml:space="preserve"> for the appropriate contact information.</w:t>
      </w:r>
    </w:p>
    <w:p w14:paraId="49243164" w14:textId="77777777" w:rsidR="0028073E" w:rsidRDefault="0028073E" w:rsidP="0028073E">
      <w: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28073E" w:rsidRPr="002B61E2" w14:paraId="6FAD31A5" w14:textId="77777777" w:rsidTr="007D1778">
        <w:trPr>
          <w:trHeight w:hRule="exact" w:val="864"/>
          <w:jc w:val="center"/>
        </w:trPr>
        <w:tc>
          <w:tcPr>
            <w:tcW w:w="4080" w:type="dxa"/>
            <w:tcBorders>
              <w:top w:val="single" w:sz="4" w:space="0" w:color="auto"/>
              <w:left w:val="single" w:sz="4" w:space="0" w:color="auto"/>
              <w:bottom w:val="nil"/>
              <w:right w:val="single" w:sz="4" w:space="0" w:color="auto"/>
            </w:tcBorders>
          </w:tcPr>
          <w:p w14:paraId="0C87A0EC" w14:textId="77777777" w:rsidR="0028073E" w:rsidRPr="002B61E2" w:rsidRDefault="0028073E" w:rsidP="007D1778">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A353E2C" w14:textId="77777777" w:rsidR="0028073E" w:rsidRPr="002B61E2" w:rsidRDefault="0028073E" w:rsidP="007D1778">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9EFFEA" w14:textId="77777777" w:rsidR="0028073E" w:rsidRPr="002B61E2" w:rsidRDefault="0028073E" w:rsidP="007D1778">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29CC9D5C" w14:textId="77777777" w:rsidR="0028073E" w:rsidRPr="003E4283" w:rsidRDefault="0028073E" w:rsidP="007D1778">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9BD94E3" w14:textId="77777777" w:rsidR="0028073E" w:rsidRPr="00D349C6" w:rsidRDefault="0028073E" w:rsidP="007D1778">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6905805C" w14:textId="77777777" w:rsidR="0028073E" w:rsidRPr="002B61E2" w:rsidRDefault="0028073E" w:rsidP="007D1778">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31A3698" w14:textId="77777777" w:rsidR="0028073E" w:rsidRPr="002B61E2" w:rsidRDefault="0028073E" w:rsidP="007D1778">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D-6</w:t>
            </w:r>
          </w:p>
        </w:tc>
      </w:tr>
      <w:tr w:rsidR="0028073E" w:rsidRPr="002B61E2" w14:paraId="04E3DC6F" w14:textId="77777777" w:rsidTr="007D1778">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62566B45" w14:textId="77777777" w:rsidR="0028073E" w:rsidRPr="001E6870" w:rsidRDefault="0028073E" w:rsidP="007D1778">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285E184D" w14:textId="77777777" w:rsidR="0028073E" w:rsidRPr="0002305C" w:rsidRDefault="0028073E" w:rsidP="007D1778">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3CD6FA78" w14:textId="77777777" w:rsidR="0028073E" w:rsidRPr="003F6F4E" w:rsidRDefault="0028073E" w:rsidP="007D1778">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1E53A5C9" w14:textId="77777777" w:rsidR="0028073E" w:rsidRPr="0002305C" w:rsidRDefault="0028073E" w:rsidP="007D1778">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0A0BE1D8" w14:textId="0D00C826" w:rsidR="0028073E" w:rsidRPr="002B61E2" w:rsidRDefault="0028073E" w:rsidP="007D1778">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7C7FFE" w:rsidRPr="007C7FFE">
              <w:rPr>
                <w:rFonts w:ascii="Arial" w:hAnsi="Arial" w:cs="Arial"/>
              </w:rPr>
              <w:t>18</w:t>
            </w:r>
            <w:r w:rsidRPr="0002305C">
              <w:rPr>
                <w:rFonts w:ascii="Arial" w:hAnsi="Arial" w:cs="Arial"/>
              </w:rPr>
              <w:t>/23</w:t>
            </w:r>
          </w:p>
        </w:tc>
      </w:tr>
    </w:tbl>
    <w:p w14:paraId="348C544F" w14:textId="77777777" w:rsidR="0028073E" w:rsidRDefault="0028073E" w:rsidP="0028073E"/>
    <w:p w14:paraId="068B2734" w14:textId="77777777" w:rsidR="0028073E" w:rsidRPr="008F1E53" w:rsidRDefault="0028073E" w:rsidP="0028073E">
      <w:pPr>
        <w:widowControl w:val="0"/>
        <w:tabs>
          <w:tab w:val="right" w:pos="720"/>
          <w:tab w:val="left" w:pos="1080"/>
          <w:tab w:val="left" w:pos="5400"/>
        </w:tabs>
        <w:spacing w:before="5040"/>
        <w:ind w:left="1080" w:hanging="1080"/>
        <w:jc w:val="center"/>
        <w:rPr>
          <w:sz w:val="22"/>
          <w:szCs w:val="22"/>
        </w:rPr>
      </w:pPr>
      <w:r w:rsidRPr="008F1E53">
        <w:rPr>
          <w:sz w:val="22"/>
          <w:szCs w:val="22"/>
        </w:rPr>
        <w:t>This page is reserved.</w:t>
      </w:r>
    </w:p>
    <w:p w14:paraId="00DE4D4E" w14:textId="236BBAD4" w:rsidR="001D4D79" w:rsidRDefault="001D4D79" w:rsidP="00C67563">
      <w:pPr>
        <w:ind w:right="-216"/>
        <w:rPr>
          <w:sz w:val="22"/>
          <w:szCs w:val="22"/>
        </w:rPr>
      </w:pPr>
    </w:p>
    <w:sectPr w:rsidR="001D4D79" w:rsidSect="00171BA7">
      <w:headerReference w:type="default" r:id="rId14"/>
      <w:pgSz w:w="12240" w:h="15840" w:code="1"/>
      <w:pgMar w:top="108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48FF" w14:textId="77777777" w:rsidR="00F777A9" w:rsidRDefault="00F777A9">
      <w:r>
        <w:separator/>
      </w:r>
    </w:p>
  </w:endnote>
  <w:endnote w:type="continuationSeparator" w:id="0">
    <w:p w14:paraId="6FB919EF" w14:textId="77777777" w:rsidR="00F777A9" w:rsidRDefault="00F7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C0F4" w14:textId="77777777" w:rsidR="00F777A9" w:rsidRDefault="00F777A9">
      <w:r>
        <w:separator/>
      </w:r>
    </w:p>
  </w:footnote>
  <w:footnote w:type="continuationSeparator" w:id="0">
    <w:p w14:paraId="502FED25" w14:textId="77777777" w:rsidR="00F777A9" w:rsidRDefault="00F7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D12E" w14:textId="77777777" w:rsidR="0027500B" w:rsidRDefault="0027500B"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1E26"/>
    <w:multiLevelType w:val="hybridMultilevel"/>
    <w:tmpl w:val="259EA496"/>
    <w:lvl w:ilvl="0" w:tplc="A67C81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11A4C"/>
    <w:multiLevelType w:val="hybridMultilevel"/>
    <w:tmpl w:val="62F26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40C0B"/>
    <w:multiLevelType w:val="hybridMultilevel"/>
    <w:tmpl w:val="8DB2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C7E96"/>
    <w:multiLevelType w:val="hybridMultilevel"/>
    <w:tmpl w:val="7C80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C5263"/>
    <w:multiLevelType w:val="hybridMultilevel"/>
    <w:tmpl w:val="D7348ED2"/>
    <w:lvl w:ilvl="0" w:tplc="514657E6">
      <w:start w:val="1"/>
      <w:numFmt w:val="bullet"/>
      <w:lvlText w:val=""/>
      <w:lvlJc w:val="left"/>
      <w:pPr>
        <w:tabs>
          <w:tab w:val="num" w:pos="1260"/>
        </w:tabs>
        <w:ind w:left="1260" w:hanging="360"/>
      </w:pPr>
      <w:rPr>
        <w:rFonts w:ascii="Symbol" w:hAnsi="Symbol"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907225">
    <w:abstractNumId w:val="5"/>
  </w:num>
  <w:num w:numId="2" w16cid:durableId="951404905">
    <w:abstractNumId w:val="2"/>
  </w:num>
  <w:num w:numId="3" w16cid:durableId="2047678368">
    <w:abstractNumId w:val="6"/>
  </w:num>
  <w:num w:numId="4" w16cid:durableId="194346359">
    <w:abstractNumId w:val="4"/>
  </w:num>
  <w:num w:numId="5" w16cid:durableId="451751056">
    <w:abstractNumId w:val="0"/>
  </w:num>
  <w:num w:numId="6" w16cid:durableId="1389304891">
    <w:abstractNumId w:val="1"/>
  </w:num>
  <w:num w:numId="7" w16cid:durableId="761417004">
    <w:abstractNumId w:val="8"/>
  </w:num>
  <w:num w:numId="8" w16cid:durableId="1172332000">
    <w:abstractNumId w:val="3"/>
  </w:num>
  <w:num w:numId="9" w16cid:durableId="45953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85BEF"/>
    <w:rsid w:val="000B17B0"/>
    <w:rsid w:val="000B2575"/>
    <w:rsid w:val="000D250E"/>
    <w:rsid w:val="000D4E3B"/>
    <w:rsid w:val="000D6535"/>
    <w:rsid w:val="000E4718"/>
    <w:rsid w:val="000E7FBC"/>
    <w:rsid w:val="00117C47"/>
    <w:rsid w:val="0013717B"/>
    <w:rsid w:val="00153B4E"/>
    <w:rsid w:val="00162E2F"/>
    <w:rsid w:val="00171BA7"/>
    <w:rsid w:val="001767D2"/>
    <w:rsid w:val="00182255"/>
    <w:rsid w:val="00184812"/>
    <w:rsid w:val="00186D47"/>
    <w:rsid w:val="001A17DC"/>
    <w:rsid w:val="001C0EA7"/>
    <w:rsid w:val="001D4D79"/>
    <w:rsid w:val="001F6186"/>
    <w:rsid w:val="002004B8"/>
    <w:rsid w:val="00237D11"/>
    <w:rsid w:val="00271C31"/>
    <w:rsid w:val="0027500B"/>
    <w:rsid w:val="0028073E"/>
    <w:rsid w:val="002A2379"/>
    <w:rsid w:val="002B2F13"/>
    <w:rsid w:val="002B6E95"/>
    <w:rsid w:val="002D281C"/>
    <w:rsid w:val="002E63AD"/>
    <w:rsid w:val="002F1666"/>
    <w:rsid w:val="002F201E"/>
    <w:rsid w:val="003031C0"/>
    <w:rsid w:val="00327514"/>
    <w:rsid w:val="00334CF9"/>
    <w:rsid w:val="00355633"/>
    <w:rsid w:val="003642E2"/>
    <w:rsid w:val="0037107D"/>
    <w:rsid w:val="003C4A8F"/>
    <w:rsid w:val="00406081"/>
    <w:rsid w:val="00413684"/>
    <w:rsid w:val="00445CA9"/>
    <w:rsid w:val="00450385"/>
    <w:rsid w:val="00455276"/>
    <w:rsid w:val="00486000"/>
    <w:rsid w:val="0049487F"/>
    <w:rsid w:val="004A0D97"/>
    <w:rsid w:val="004A248F"/>
    <w:rsid w:val="004C5316"/>
    <w:rsid w:val="004D0654"/>
    <w:rsid w:val="004E467D"/>
    <w:rsid w:val="004F0F3A"/>
    <w:rsid w:val="004F68C5"/>
    <w:rsid w:val="00525AFF"/>
    <w:rsid w:val="00531751"/>
    <w:rsid w:val="00566B2C"/>
    <w:rsid w:val="00583782"/>
    <w:rsid w:val="005839DB"/>
    <w:rsid w:val="00587E91"/>
    <w:rsid w:val="00591DF9"/>
    <w:rsid w:val="00592E32"/>
    <w:rsid w:val="00594C4B"/>
    <w:rsid w:val="005A0740"/>
    <w:rsid w:val="005A32FD"/>
    <w:rsid w:val="005C3E29"/>
    <w:rsid w:val="005D5562"/>
    <w:rsid w:val="005E5542"/>
    <w:rsid w:val="005F496D"/>
    <w:rsid w:val="006151BF"/>
    <w:rsid w:val="00615AF4"/>
    <w:rsid w:val="00671602"/>
    <w:rsid w:val="00676ED1"/>
    <w:rsid w:val="00683D2E"/>
    <w:rsid w:val="00687DB6"/>
    <w:rsid w:val="006947E4"/>
    <w:rsid w:val="006961DC"/>
    <w:rsid w:val="006E1C74"/>
    <w:rsid w:val="006E7E9B"/>
    <w:rsid w:val="006F2F9E"/>
    <w:rsid w:val="00712925"/>
    <w:rsid w:val="007302DC"/>
    <w:rsid w:val="007303DB"/>
    <w:rsid w:val="00730994"/>
    <w:rsid w:val="007418F4"/>
    <w:rsid w:val="007543BB"/>
    <w:rsid w:val="00793650"/>
    <w:rsid w:val="007C2362"/>
    <w:rsid w:val="007C3D2E"/>
    <w:rsid w:val="007C6D6A"/>
    <w:rsid w:val="007C7A2A"/>
    <w:rsid w:val="007C7FFE"/>
    <w:rsid w:val="00837E50"/>
    <w:rsid w:val="00865DEE"/>
    <w:rsid w:val="008843EC"/>
    <w:rsid w:val="00893684"/>
    <w:rsid w:val="008974DE"/>
    <w:rsid w:val="008C70A6"/>
    <w:rsid w:val="008E0FF7"/>
    <w:rsid w:val="008F0772"/>
    <w:rsid w:val="008F6655"/>
    <w:rsid w:val="00906EFC"/>
    <w:rsid w:val="00911A2F"/>
    <w:rsid w:val="00914AA5"/>
    <w:rsid w:val="00931E7B"/>
    <w:rsid w:val="00943304"/>
    <w:rsid w:val="00973470"/>
    <w:rsid w:val="009751D4"/>
    <w:rsid w:val="009B08C0"/>
    <w:rsid w:val="009D4009"/>
    <w:rsid w:val="009E00AD"/>
    <w:rsid w:val="009E5B61"/>
    <w:rsid w:val="00A10B2F"/>
    <w:rsid w:val="00A3078E"/>
    <w:rsid w:val="00A36CFC"/>
    <w:rsid w:val="00A56596"/>
    <w:rsid w:val="00A65821"/>
    <w:rsid w:val="00A85AF5"/>
    <w:rsid w:val="00AA3309"/>
    <w:rsid w:val="00AA535C"/>
    <w:rsid w:val="00AA549D"/>
    <w:rsid w:val="00AA56BA"/>
    <w:rsid w:val="00AD337E"/>
    <w:rsid w:val="00B17FD7"/>
    <w:rsid w:val="00B20419"/>
    <w:rsid w:val="00B266CB"/>
    <w:rsid w:val="00B7225D"/>
    <w:rsid w:val="00B849B6"/>
    <w:rsid w:val="00B877DD"/>
    <w:rsid w:val="00B87D15"/>
    <w:rsid w:val="00B910DC"/>
    <w:rsid w:val="00BB55FE"/>
    <w:rsid w:val="00C1164A"/>
    <w:rsid w:val="00C273D4"/>
    <w:rsid w:val="00C31515"/>
    <w:rsid w:val="00C57262"/>
    <w:rsid w:val="00C63F69"/>
    <w:rsid w:val="00C67563"/>
    <w:rsid w:val="00C812DC"/>
    <w:rsid w:val="00CA3C5E"/>
    <w:rsid w:val="00CA792D"/>
    <w:rsid w:val="00CB2598"/>
    <w:rsid w:val="00CF1593"/>
    <w:rsid w:val="00CF79FC"/>
    <w:rsid w:val="00D0210B"/>
    <w:rsid w:val="00D02B72"/>
    <w:rsid w:val="00D059BB"/>
    <w:rsid w:val="00D07DC9"/>
    <w:rsid w:val="00D219D4"/>
    <w:rsid w:val="00D220A9"/>
    <w:rsid w:val="00D23C24"/>
    <w:rsid w:val="00D24E48"/>
    <w:rsid w:val="00D66A39"/>
    <w:rsid w:val="00DA2C0D"/>
    <w:rsid w:val="00DB4430"/>
    <w:rsid w:val="00DD4C29"/>
    <w:rsid w:val="00DF2A27"/>
    <w:rsid w:val="00E249E7"/>
    <w:rsid w:val="00E251B6"/>
    <w:rsid w:val="00E33B33"/>
    <w:rsid w:val="00E5079A"/>
    <w:rsid w:val="00E60DC3"/>
    <w:rsid w:val="00EC5EFA"/>
    <w:rsid w:val="00EC695A"/>
    <w:rsid w:val="00EE5E31"/>
    <w:rsid w:val="00F408B5"/>
    <w:rsid w:val="00F561AD"/>
    <w:rsid w:val="00F72F61"/>
    <w:rsid w:val="00F76CBF"/>
    <w:rsid w:val="00F777A9"/>
    <w:rsid w:val="00F87613"/>
    <w:rsid w:val="00F96029"/>
    <w:rsid w:val="00FA2CED"/>
    <w:rsid w:val="00FA6B9D"/>
    <w:rsid w:val="00FB26EF"/>
    <w:rsid w:val="00FC1BD1"/>
    <w:rsid w:val="00FC4365"/>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B72"/>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paragraph" w:styleId="ListParagraph">
    <w:name w:val="List Paragraph"/>
    <w:basedOn w:val="Normal"/>
    <w:uiPriority w:val="1"/>
    <w:qFormat/>
    <w:rsid w:val="00525AFF"/>
    <w:pPr>
      <w:ind w:left="720"/>
      <w:contextualSpacing/>
    </w:pPr>
  </w:style>
  <w:style w:type="paragraph" w:customStyle="1" w:styleId="Default">
    <w:name w:val="Default"/>
    <w:rsid w:val="001D4D79"/>
    <w:pPr>
      <w:widowControl w:val="0"/>
      <w:autoSpaceDE w:val="0"/>
      <w:autoSpaceDN w:val="0"/>
      <w:adjustRightInd w:val="0"/>
    </w:pPr>
    <w:rPr>
      <w:color w:val="000000"/>
      <w:sz w:val="24"/>
      <w:szCs w:val="24"/>
    </w:rPr>
  </w:style>
  <w:style w:type="character" w:styleId="CommentReference">
    <w:name w:val="annotation reference"/>
    <w:basedOn w:val="DefaultParagraphFont"/>
    <w:semiHidden/>
    <w:unhideWhenUsed/>
    <w:rsid w:val="000D250E"/>
    <w:rPr>
      <w:sz w:val="16"/>
      <w:szCs w:val="16"/>
    </w:rPr>
  </w:style>
  <w:style w:type="paragraph" w:styleId="CommentText">
    <w:name w:val="annotation text"/>
    <w:basedOn w:val="Normal"/>
    <w:link w:val="CommentTextChar"/>
    <w:semiHidden/>
    <w:unhideWhenUsed/>
    <w:rsid w:val="000D250E"/>
  </w:style>
  <w:style w:type="character" w:customStyle="1" w:styleId="CommentTextChar">
    <w:name w:val="Comment Text Char"/>
    <w:basedOn w:val="DefaultParagraphFont"/>
    <w:link w:val="CommentText"/>
    <w:semiHidden/>
    <w:rsid w:val="000D250E"/>
  </w:style>
  <w:style w:type="paragraph" w:styleId="CommentSubject">
    <w:name w:val="annotation subject"/>
    <w:basedOn w:val="CommentText"/>
    <w:next w:val="CommentText"/>
    <w:link w:val="CommentSubjectChar"/>
    <w:semiHidden/>
    <w:unhideWhenUsed/>
    <w:rsid w:val="000D250E"/>
    <w:rPr>
      <w:b/>
      <w:bCs/>
    </w:rPr>
  </w:style>
  <w:style w:type="character" w:customStyle="1" w:styleId="CommentSubjectChar">
    <w:name w:val="Comment Subject Char"/>
    <w:basedOn w:val="CommentTextChar"/>
    <w:link w:val="CommentSubject"/>
    <w:semiHidden/>
    <w:rsid w:val="000D250E"/>
    <w:rPr>
      <w:b/>
      <w:bCs/>
    </w:rPr>
  </w:style>
  <w:style w:type="character" w:styleId="UnresolvedMention">
    <w:name w:val="Unresolved Mention"/>
    <w:basedOn w:val="DefaultParagraphFont"/>
    <w:uiPriority w:val="99"/>
    <w:semiHidden/>
    <w:unhideWhenUsed/>
    <w:rsid w:val="00C5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l-provider-bulletin-217-waiver-policy-for-claim-submissions-0/download" TargetMode="External"/><Relationship Id="rId13" Type="http://schemas.openxmlformats.org/officeDocument/2006/relationships/hyperlink" Target="https://www.mass.gov/info-details/contact-masshealth-information-for-provi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appendix-c-third-party-liability-codes-2/downl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ppendix-c-third-party-liability-codes-2/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doc/appendix-c-third-party-liability-codes-2/download"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93113-645F-46C4-A2CD-D7A87F36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10807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12549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2023-10-18T15:03:00Z</dcterms:created>
  <dcterms:modified xsi:type="dcterms:W3CDTF">2023-10-18T15:03:00Z</dcterms:modified>
</cp:coreProperties>
</file>