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B950" w14:textId="77777777" w:rsidR="00B724B8" w:rsidRPr="00B724B8" w:rsidRDefault="00B724B8" w:rsidP="00B724B8">
      <w:pPr>
        <w:spacing w:before="120" w:after="120"/>
        <w:jc w:val="center"/>
        <w:rPr>
          <w:b/>
          <w:sz w:val="28"/>
          <w:szCs w:val="28"/>
        </w:rPr>
      </w:pPr>
      <w:r w:rsidRPr="00B724B8">
        <w:rPr>
          <w:b/>
          <w:sz w:val="28"/>
          <w:szCs w:val="28"/>
        </w:rPr>
        <w:t>Invalid Advanced Beneficiary Notice (ABN) Conditions</w:t>
      </w:r>
    </w:p>
    <w:p w14:paraId="57370083" w14:textId="77777777" w:rsidR="00AA7FD6" w:rsidRPr="00AA7FD6" w:rsidRDefault="00AA7FD6" w:rsidP="00AA7FD6">
      <w:pPr>
        <w:ind w:right="-216"/>
        <w:rPr>
          <w:sz w:val="22"/>
          <w:szCs w:val="22"/>
        </w:rPr>
      </w:pPr>
      <w:r w:rsidRPr="00AA7FD6">
        <w:rPr>
          <w:sz w:val="22"/>
          <w:szCs w:val="22"/>
        </w:rPr>
        <w:t xml:space="preserve">MassHealth will recover Medicaid payments from home health agencies (HHAs) for services delivered to dual-eligible members when a Medicare contractor and/or the Office of Medicare Hearing and Appeals determine </w:t>
      </w:r>
      <w:proofErr w:type="gramStart"/>
      <w:r w:rsidRPr="00AA7FD6">
        <w:rPr>
          <w:sz w:val="22"/>
          <w:szCs w:val="22"/>
        </w:rPr>
        <w:t>that</w:t>
      </w:r>
      <w:proofErr w:type="gramEnd"/>
      <w:r w:rsidRPr="00AA7FD6">
        <w:rPr>
          <w:sz w:val="22"/>
          <w:szCs w:val="22"/>
        </w:rPr>
        <w:t xml:space="preserve"> </w:t>
      </w:r>
    </w:p>
    <w:p w14:paraId="741B823F" w14:textId="77777777" w:rsidR="00AA7FD6" w:rsidRPr="00AA7FD6" w:rsidRDefault="00AA7FD6" w:rsidP="00AA7FD6">
      <w:pPr>
        <w:ind w:right="-216"/>
        <w:rPr>
          <w:sz w:val="22"/>
          <w:szCs w:val="22"/>
        </w:rPr>
      </w:pPr>
    </w:p>
    <w:p w14:paraId="5E6090DD" w14:textId="77777777" w:rsidR="00AA7FD6" w:rsidRPr="00AA7FD6" w:rsidRDefault="00AA7FD6" w:rsidP="00AA7FD6">
      <w:pPr>
        <w:ind w:right="-216" w:firstLine="720"/>
        <w:rPr>
          <w:sz w:val="22"/>
          <w:szCs w:val="22"/>
        </w:rPr>
      </w:pPr>
      <w:r w:rsidRPr="00AA7FD6">
        <w:rPr>
          <w:sz w:val="22"/>
          <w:szCs w:val="22"/>
        </w:rPr>
        <w:t xml:space="preserve">(1) Medicare coverage criteria have not been met and the claim has been denied; and </w:t>
      </w:r>
    </w:p>
    <w:p w14:paraId="39A2505E" w14:textId="77777777" w:rsidR="00AA7FD6" w:rsidRDefault="00AA7FD6" w:rsidP="00AA7FD6">
      <w:pPr>
        <w:ind w:left="720" w:right="-216"/>
        <w:rPr>
          <w:sz w:val="22"/>
          <w:szCs w:val="22"/>
        </w:rPr>
      </w:pPr>
      <w:r w:rsidRPr="00AA7FD6">
        <w:rPr>
          <w:sz w:val="22"/>
          <w:szCs w:val="22"/>
        </w:rPr>
        <w:t xml:space="preserve">(2) the dual-eligible member is not liable for the costs of the services claimed due to an invalid Advanced Beneficiary Notice (ABN). </w:t>
      </w:r>
    </w:p>
    <w:p w14:paraId="22F1F713" w14:textId="77777777" w:rsidR="00AA7FD6" w:rsidRPr="00AA7FD6" w:rsidRDefault="00AA7FD6" w:rsidP="00AA7FD6">
      <w:pPr>
        <w:ind w:left="720" w:right="-216"/>
        <w:rPr>
          <w:sz w:val="22"/>
          <w:szCs w:val="22"/>
        </w:rPr>
      </w:pPr>
    </w:p>
    <w:p w14:paraId="37A04DF9" w14:textId="77777777" w:rsidR="00AA7FD6" w:rsidRPr="00AA7FD6" w:rsidRDefault="00AA7FD6" w:rsidP="00AA7FD6">
      <w:pPr>
        <w:ind w:right="-216"/>
        <w:rPr>
          <w:sz w:val="22"/>
          <w:szCs w:val="22"/>
        </w:rPr>
      </w:pPr>
      <w:proofErr w:type="gramStart"/>
      <w:r w:rsidRPr="00AA7FD6">
        <w:rPr>
          <w:sz w:val="22"/>
          <w:szCs w:val="22"/>
        </w:rPr>
        <w:t>All of</w:t>
      </w:r>
      <w:proofErr w:type="gramEnd"/>
      <w:r w:rsidRPr="00AA7FD6">
        <w:rPr>
          <w:sz w:val="22"/>
          <w:szCs w:val="22"/>
        </w:rPr>
        <w:t xml:space="preserve"> the criteria used to conclude the validity of an HHABN is in accordance with 42 USC 1879 </w:t>
      </w:r>
      <w:proofErr w:type="spellStart"/>
      <w:r w:rsidRPr="00AA7FD6">
        <w:rPr>
          <w:sz w:val="22"/>
          <w:szCs w:val="22"/>
        </w:rPr>
        <w:t>et.seq</w:t>
      </w:r>
      <w:proofErr w:type="spellEnd"/>
      <w:r w:rsidRPr="00AA7FD6">
        <w:rPr>
          <w:sz w:val="22"/>
          <w:szCs w:val="22"/>
        </w:rPr>
        <w:t xml:space="preserve">; 42 USC 1891(a)(1)(E); 42 USC 1395bbb(a)(1); 42 CFR, sec. 411.406; 42 CFR 405.1200; and CMS Policy Manual Financial Liability for Providers, Ch 30, Sec. 50. An ABN is considered invalid when issued by an </w:t>
      </w:r>
    </w:p>
    <w:p w14:paraId="1BDC1A88" w14:textId="77777777" w:rsidR="00AA7FD6" w:rsidRPr="00AA7FD6" w:rsidRDefault="00AA7FD6" w:rsidP="00AA7FD6">
      <w:pPr>
        <w:ind w:right="-216"/>
        <w:rPr>
          <w:sz w:val="22"/>
          <w:szCs w:val="22"/>
        </w:rPr>
      </w:pPr>
      <w:r w:rsidRPr="00AA7FD6">
        <w:rPr>
          <w:sz w:val="22"/>
          <w:szCs w:val="22"/>
        </w:rPr>
        <w:t>HHA if the ABN meets one of the following conditions</w:t>
      </w:r>
      <w:r>
        <w:rPr>
          <w:sz w:val="22"/>
          <w:szCs w:val="22"/>
        </w:rPr>
        <w:t>:</w:t>
      </w:r>
      <w:r w:rsidRPr="00AA7FD6">
        <w:rPr>
          <w:sz w:val="22"/>
          <w:szCs w:val="22"/>
        </w:rPr>
        <w:t xml:space="preserve"> </w:t>
      </w:r>
    </w:p>
    <w:p w14:paraId="65F29B69" w14:textId="77777777" w:rsidR="00AA7FD6" w:rsidRPr="00AA7FD6" w:rsidRDefault="00AA7FD6" w:rsidP="00AA7FD6">
      <w:pPr>
        <w:ind w:right="-216"/>
        <w:rPr>
          <w:sz w:val="22"/>
          <w:szCs w:val="22"/>
        </w:rPr>
      </w:pPr>
    </w:p>
    <w:p w14:paraId="2740FA57" w14:textId="77777777" w:rsidR="00AA7FD6" w:rsidRPr="00AA7FD6" w:rsidRDefault="00AA7FD6" w:rsidP="00AA7FD6">
      <w:pPr>
        <w:ind w:right="-216" w:firstLine="720"/>
        <w:rPr>
          <w:sz w:val="22"/>
          <w:szCs w:val="22"/>
        </w:rPr>
      </w:pPr>
      <w:r w:rsidRPr="00AA7FD6">
        <w:rPr>
          <w:sz w:val="22"/>
          <w:szCs w:val="22"/>
        </w:rPr>
        <w:t xml:space="preserve">(1) The ABN is not delivered to the dual-eligible member in accordance with </w:t>
      </w:r>
    </w:p>
    <w:p w14:paraId="02D0A45D" w14:textId="77777777" w:rsidR="00AA7FD6" w:rsidRPr="00AA7FD6" w:rsidRDefault="00AA7FD6" w:rsidP="00AA7FD6">
      <w:pPr>
        <w:ind w:left="720" w:right="-216"/>
        <w:rPr>
          <w:sz w:val="22"/>
          <w:szCs w:val="22"/>
        </w:rPr>
      </w:pPr>
      <w:r w:rsidRPr="00AA7FD6">
        <w:rPr>
          <w:sz w:val="22"/>
          <w:szCs w:val="22"/>
        </w:rPr>
        <w:t xml:space="preserve">federal statute, federal regulations, and CMS Policy Manual guidelines required and stated in the Medicare rules, regulations, policies, and statutes cited above. </w:t>
      </w:r>
    </w:p>
    <w:p w14:paraId="193E4593" w14:textId="77777777" w:rsidR="00AA7FD6" w:rsidRPr="00AA7FD6" w:rsidRDefault="00AA7FD6" w:rsidP="00AA7FD6">
      <w:pPr>
        <w:ind w:right="-216" w:firstLine="720"/>
        <w:rPr>
          <w:sz w:val="22"/>
          <w:szCs w:val="22"/>
        </w:rPr>
      </w:pPr>
      <w:r w:rsidRPr="00AA7FD6">
        <w:rPr>
          <w:sz w:val="22"/>
          <w:szCs w:val="22"/>
        </w:rPr>
        <w:t xml:space="preserve">(2) The ABN does not clearly state </w:t>
      </w:r>
    </w:p>
    <w:p w14:paraId="04FFDE51" w14:textId="77777777" w:rsidR="00AA7FD6" w:rsidRPr="00AA7FD6" w:rsidRDefault="00AA7FD6" w:rsidP="004D0BA1">
      <w:pPr>
        <w:ind w:left="1440" w:right="-216"/>
        <w:rPr>
          <w:sz w:val="22"/>
          <w:szCs w:val="22"/>
        </w:rPr>
      </w:pPr>
      <w:r w:rsidRPr="00AA7FD6">
        <w:rPr>
          <w:sz w:val="22"/>
          <w:szCs w:val="22"/>
        </w:rPr>
        <w:t xml:space="preserve">(a) the reason that the HHA expects that Medicare may not pay for each listed item or </w:t>
      </w:r>
      <w:proofErr w:type="gramStart"/>
      <w:r w:rsidRPr="00AA7FD6">
        <w:rPr>
          <w:sz w:val="22"/>
          <w:szCs w:val="22"/>
        </w:rPr>
        <w:t>service;</w:t>
      </w:r>
      <w:proofErr w:type="gramEnd"/>
      <w:r w:rsidRPr="00AA7FD6">
        <w:rPr>
          <w:sz w:val="22"/>
          <w:szCs w:val="22"/>
        </w:rPr>
        <w:t xml:space="preserve"> </w:t>
      </w:r>
    </w:p>
    <w:p w14:paraId="67007F99" w14:textId="77777777" w:rsidR="00AA7FD6" w:rsidRPr="00AA7FD6" w:rsidRDefault="00AA7FD6" w:rsidP="00AA7FD6">
      <w:pPr>
        <w:ind w:left="720" w:right="-216" w:firstLine="720"/>
        <w:rPr>
          <w:sz w:val="22"/>
          <w:szCs w:val="22"/>
        </w:rPr>
      </w:pPr>
      <w:r w:rsidRPr="00AA7FD6">
        <w:rPr>
          <w:sz w:val="22"/>
          <w:szCs w:val="22"/>
        </w:rPr>
        <w:t xml:space="preserve">(b) the estimated cost for each item and/or service; and </w:t>
      </w:r>
    </w:p>
    <w:p w14:paraId="192BF6F0" w14:textId="77777777" w:rsidR="00AA7FD6" w:rsidRPr="00AA7FD6" w:rsidRDefault="00AA7FD6" w:rsidP="00AA7FD6">
      <w:pPr>
        <w:ind w:left="720" w:right="-216" w:firstLine="720"/>
        <w:rPr>
          <w:sz w:val="22"/>
          <w:szCs w:val="22"/>
        </w:rPr>
      </w:pPr>
      <w:r w:rsidRPr="00AA7FD6">
        <w:rPr>
          <w:sz w:val="22"/>
          <w:szCs w:val="22"/>
        </w:rPr>
        <w:t xml:space="preserve">(c) the beneficiary's options. </w:t>
      </w:r>
    </w:p>
    <w:p w14:paraId="46AD0D4F" w14:textId="77777777" w:rsidR="00AA7FD6" w:rsidRPr="00AA7FD6" w:rsidRDefault="00AA7FD6" w:rsidP="004D0BA1">
      <w:pPr>
        <w:ind w:left="720" w:right="-216"/>
        <w:rPr>
          <w:sz w:val="22"/>
          <w:szCs w:val="22"/>
        </w:rPr>
      </w:pPr>
      <w:r w:rsidRPr="00AA7FD6">
        <w:rPr>
          <w:sz w:val="22"/>
          <w:szCs w:val="22"/>
        </w:rPr>
        <w:t xml:space="preserve">(3) The ABN is illegible or incomprehensible, or it can be demonstrated that the HHA did not make every effort to ensure that the member understood the entire ABN before signing it. </w:t>
      </w:r>
    </w:p>
    <w:p w14:paraId="77E46B69" w14:textId="77777777" w:rsidR="00AA7FD6" w:rsidRPr="00AA7FD6" w:rsidRDefault="00AA7FD6" w:rsidP="004D0BA1">
      <w:pPr>
        <w:ind w:left="720" w:right="-216"/>
        <w:rPr>
          <w:sz w:val="22"/>
          <w:szCs w:val="22"/>
        </w:rPr>
      </w:pPr>
      <w:r w:rsidRPr="00AA7FD6">
        <w:rPr>
          <w:sz w:val="22"/>
          <w:szCs w:val="22"/>
        </w:rPr>
        <w:t xml:space="preserve">(4) The ABN is not signed by the dual-eligible member or their representative (unless appropriate documentation explaining the absence of signature is recorded on the ABN in accordance with Medicare rules, regulations, policies, and statutes). </w:t>
      </w:r>
    </w:p>
    <w:p w14:paraId="10F98193" w14:textId="77777777" w:rsidR="004D0BA1" w:rsidRDefault="004D0BA1" w:rsidP="00AA7FD6">
      <w:pPr>
        <w:ind w:right="-216"/>
        <w:rPr>
          <w:sz w:val="22"/>
          <w:szCs w:val="22"/>
        </w:rPr>
      </w:pPr>
    </w:p>
    <w:p w14:paraId="4EECA391" w14:textId="77777777" w:rsidR="00AA7FD6" w:rsidRPr="00AA7FD6" w:rsidRDefault="00AA7FD6" w:rsidP="004D0BA1">
      <w:pPr>
        <w:ind w:right="-216"/>
        <w:rPr>
          <w:sz w:val="22"/>
          <w:szCs w:val="22"/>
        </w:rPr>
      </w:pPr>
      <w:r w:rsidRPr="00AA7FD6">
        <w:rPr>
          <w:sz w:val="22"/>
          <w:szCs w:val="22"/>
        </w:rPr>
        <w:t xml:space="preserve">MassHealth uses these criteria after appeal efforts for Medicare coverage have been exhausted. </w:t>
      </w:r>
    </w:p>
    <w:p w14:paraId="674BD03C" w14:textId="77777777" w:rsidR="004D0BA1" w:rsidRDefault="004D0BA1" w:rsidP="00AA7FD6">
      <w:pPr>
        <w:ind w:right="-216"/>
        <w:rPr>
          <w:sz w:val="22"/>
          <w:szCs w:val="22"/>
        </w:rPr>
      </w:pPr>
    </w:p>
    <w:p w14:paraId="6280707A" w14:textId="77777777" w:rsidR="00AA7FD6" w:rsidRPr="00AA7FD6" w:rsidRDefault="00AA7FD6" w:rsidP="00AA7FD6">
      <w:pPr>
        <w:ind w:right="-216"/>
        <w:rPr>
          <w:sz w:val="22"/>
          <w:szCs w:val="22"/>
        </w:rPr>
      </w:pPr>
      <w:r w:rsidRPr="00AA7FD6">
        <w:rPr>
          <w:sz w:val="22"/>
          <w:szCs w:val="22"/>
        </w:rPr>
        <w:t xml:space="preserve">Note: The list of criteria invalidating an ABN is not exhaustive. MassHealth reserves the right to expand the list of criteria if Medicare rules, regulations, policies, or statutes change. In such instances, MassHealth will </w:t>
      </w:r>
    </w:p>
    <w:p w14:paraId="7467DAA0" w14:textId="77777777" w:rsidR="00B76638" w:rsidRDefault="00AA7FD6" w:rsidP="00AA7FD6">
      <w:pPr>
        <w:ind w:right="-216"/>
        <w:rPr>
          <w:sz w:val="22"/>
          <w:szCs w:val="22"/>
        </w:rPr>
      </w:pPr>
      <w:r w:rsidRPr="00AA7FD6">
        <w:rPr>
          <w:sz w:val="22"/>
          <w:szCs w:val="22"/>
        </w:rPr>
        <w:t xml:space="preserve">inform HHAs before changing its criteria. </w:t>
      </w:r>
      <w:r w:rsidR="00D241D6">
        <w:rPr>
          <w:sz w:val="22"/>
          <w:szCs w:val="22"/>
        </w:rPr>
        <w:br w:type="page"/>
      </w:r>
    </w:p>
    <w:p w14:paraId="4F3B11F4" w14:textId="77777777" w:rsidR="00D241D6" w:rsidRDefault="00D241D6" w:rsidP="0032558C">
      <w:pPr>
        <w:ind w:right="-216"/>
        <w:rPr>
          <w:sz w:val="22"/>
          <w:szCs w:val="22"/>
        </w:rPr>
      </w:pPr>
    </w:p>
    <w:p w14:paraId="282C91C9" w14:textId="77777777" w:rsidR="00D241D6" w:rsidRDefault="00D241D6" w:rsidP="0032558C">
      <w:pPr>
        <w:ind w:right="-216"/>
        <w:rPr>
          <w:sz w:val="22"/>
          <w:szCs w:val="22"/>
        </w:rPr>
      </w:pPr>
    </w:p>
    <w:p w14:paraId="50E1A52F" w14:textId="77777777" w:rsidR="00D241D6" w:rsidRDefault="00D241D6" w:rsidP="0032558C">
      <w:pPr>
        <w:ind w:right="-216"/>
        <w:rPr>
          <w:sz w:val="22"/>
          <w:szCs w:val="22"/>
        </w:rPr>
      </w:pPr>
    </w:p>
    <w:p w14:paraId="7B8ADBC1" w14:textId="77777777" w:rsidR="00D241D6" w:rsidRDefault="00D241D6" w:rsidP="0032558C">
      <w:pPr>
        <w:ind w:right="-216"/>
        <w:rPr>
          <w:sz w:val="22"/>
          <w:szCs w:val="22"/>
        </w:rPr>
      </w:pPr>
    </w:p>
    <w:p w14:paraId="191D7998" w14:textId="77777777" w:rsidR="00D241D6" w:rsidRDefault="00D241D6" w:rsidP="0032558C">
      <w:pPr>
        <w:ind w:right="-216"/>
        <w:rPr>
          <w:sz w:val="22"/>
          <w:szCs w:val="22"/>
        </w:rPr>
      </w:pPr>
    </w:p>
    <w:p w14:paraId="1ACE8713" w14:textId="77777777" w:rsidR="00D241D6" w:rsidRDefault="00D241D6" w:rsidP="0032558C">
      <w:pPr>
        <w:ind w:right="-216"/>
        <w:rPr>
          <w:sz w:val="22"/>
          <w:szCs w:val="22"/>
        </w:rPr>
      </w:pPr>
    </w:p>
    <w:p w14:paraId="0020A8FE" w14:textId="77777777" w:rsidR="00D241D6" w:rsidRDefault="00D241D6" w:rsidP="0032558C">
      <w:pPr>
        <w:ind w:right="-216"/>
        <w:rPr>
          <w:sz w:val="22"/>
          <w:szCs w:val="22"/>
        </w:rPr>
      </w:pPr>
    </w:p>
    <w:p w14:paraId="7FFFB784" w14:textId="77777777" w:rsidR="00D241D6" w:rsidRDefault="00D241D6" w:rsidP="0032558C">
      <w:pPr>
        <w:ind w:right="-216"/>
        <w:rPr>
          <w:sz w:val="22"/>
          <w:szCs w:val="22"/>
        </w:rPr>
      </w:pPr>
    </w:p>
    <w:p w14:paraId="10303958" w14:textId="77777777" w:rsidR="00D241D6" w:rsidRDefault="00D241D6" w:rsidP="0032558C">
      <w:pPr>
        <w:ind w:right="-216"/>
        <w:rPr>
          <w:sz w:val="22"/>
          <w:szCs w:val="22"/>
        </w:rPr>
      </w:pPr>
    </w:p>
    <w:p w14:paraId="2514A688" w14:textId="77777777" w:rsidR="00D241D6" w:rsidRDefault="00D241D6" w:rsidP="0032558C">
      <w:pPr>
        <w:ind w:right="-216"/>
        <w:rPr>
          <w:sz w:val="22"/>
          <w:szCs w:val="22"/>
        </w:rPr>
      </w:pPr>
    </w:p>
    <w:p w14:paraId="244586C6" w14:textId="77777777" w:rsidR="00D241D6" w:rsidRDefault="00D241D6" w:rsidP="0032558C">
      <w:pPr>
        <w:ind w:right="-216"/>
        <w:rPr>
          <w:sz w:val="22"/>
          <w:szCs w:val="22"/>
        </w:rPr>
      </w:pPr>
    </w:p>
    <w:p w14:paraId="1A502BD4" w14:textId="77777777" w:rsidR="00D241D6" w:rsidRDefault="00D241D6" w:rsidP="0032558C">
      <w:pPr>
        <w:ind w:right="-216"/>
        <w:rPr>
          <w:sz w:val="22"/>
          <w:szCs w:val="22"/>
        </w:rPr>
      </w:pPr>
    </w:p>
    <w:p w14:paraId="10AE2BF3" w14:textId="77777777" w:rsidR="00D241D6" w:rsidRDefault="00D241D6" w:rsidP="0032558C">
      <w:pPr>
        <w:ind w:right="-216"/>
        <w:rPr>
          <w:sz w:val="22"/>
          <w:szCs w:val="22"/>
        </w:rPr>
      </w:pPr>
    </w:p>
    <w:p w14:paraId="04D8CB25" w14:textId="77777777" w:rsidR="00D241D6" w:rsidRDefault="00D241D6" w:rsidP="0032558C">
      <w:pPr>
        <w:ind w:right="-216"/>
        <w:rPr>
          <w:sz w:val="22"/>
          <w:szCs w:val="22"/>
        </w:rPr>
      </w:pPr>
    </w:p>
    <w:p w14:paraId="0BF5F0F5" w14:textId="77777777" w:rsidR="00D241D6" w:rsidRDefault="00D241D6" w:rsidP="0032558C">
      <w:pPr>
        <w:ind w:right="-216"/>
        <w:rPr>
          <w:sz w:val="22"/>
          <w:szCs w:val="22"/>
        </w:rPr>
      </w:pPr>
    </w:p>
    <w:p w14:paraId="7529A86A" w14:textId="77777777" w:rsidR="00D241D6" w:rsidRDefault="00D241D6" w:rsidP="0032558C">
      <w:pPr>
        <w:ind w:right="-216"/>
        <w:rPr>
          <w:sz w:val="22"/>
          <w:szCs w:val="22"/>
        </w:rPr>
      </w:pPr>
    </w:p>
    <w:p w14:paraId="5A2EDA4D" w14:textId="77777777" w:rsidR="00D241D6" w:rsidRDefault="00D241D6" w:rsidP="0032558C">
      <w:pPr>
        <w:ind w:right="-216"/>
        <w:rPr>
          <w:sz w:val="22"/>
          <w:szCs w:val="22"/>
        </w:rPr>
      </w:pPr>
    </w:p>
    <w:p w14:paraId="5279961C" w14:textId="77777777" w:rsidR="00D241D6" w:rsidRDefault="00D241D6" w:rsidP="0032558C">
      <w:pPr>
        <w:ind w:right="-216"/>
        <w:rPr>
          <w:sz w:val="22"/>
          <w:szCs w:val="22"/>
        </w:rPr>
      </w:pPr>
    </w:p>
    <w:p w14:paraId="1D809DB8" w14:textId="77777777" w:rsidR="00D241D6" w:rsidRDefault="00D241D6" w:rsidP="0032558C">
      <w:pPr>
        <w:ind w:right="-216"/>
        <w:rPr>
          <w:sz w:val="22"/>
          <w:szCs w:val="22"/>
        </w:rPr>
      </w:pPr>
    </w:p>
    <w:p w14:paraId="6A2F64BF" w14:textId="77777777" w:rsidR="002B1A9D" w:rsidRDefault="002B1A9D" w:rsidP="00100F09">
      <w:pPr>
        <w:ind w:right="-216"/>
        <w:rPr>
          <w:sz w:val="22"/>
          <w:szCs w:val="22"/>
        </w:rPr>
      </w:pPr>
    </w:p>
    <w:p w14:paraId="3738E979" w14:textId="77777777" w:rsidR="002B1A9D" w:rsidRDefault="002B1A9D" w:rsidP="00100F09">
      <w:pPr>
        <w:ind w:right="-216"/>
        <w:rPr>
          <w:sz w:val="22"/>
          <w:szCs w:val="22"/>
        </w:rPr>
      </w:pPr>
    </w:p>
    <w:p w14:paraId="1D61AAFD" w14:textId="77777777" w:rsidR="00D241D6" w:rsidRPr="00100F09" w:rsidRDefault="00D241D6" w:rsidP="006906F9">
      <w:pPr>
        <w:ind w:right="-216"/>
        <w:jc w:val="center"/>
        <w:rPr>
          <w:b/>
          <w:sz w:val="22"/>
          <w:szCs w:val="22"/>
        </w:rPr>
      </w:pPr>
      <w:r w:rsidRPr="00100F09">
        <w:rPr>
          <w:b/>
          <w:sz w:val="22"/>
          <w:szCs w:val="22"/>
        </w:rPr>
        <w:t xml:space="preserve">This page </w:t>
      </w:r>
      <w:r w:rsidR="00330C72" w:rsidRPr="00100F09">
        <w:rPr>
          <w:b/>
          <w:sz w:val="22"/>
          <w:szCs w:val="22"/>
        </w:rPr>
        <w:t xml:space="preserve">is </w:t>
      </w:r>
      <w:r w:rsidRPr="00100F09">
        <w:rPr>
          <w:b/>
          <w:sz w:val="22"/>
          <w:szCs w:val="22"/>
        </w:rPr>
        <w:t>reserved.</w:t>
      </w:r>
    </w:p>
    <w:sectPr w:rsidR="00D241D6" w:rsidRPr="00100F09" w:rsidSect="002A5F4F">
      <w:headerReference w:type="default" r:id="rId7"/>
      <w:pgSz w:w="12240" w:h="15840"/>
      <w:pgMar w:top="576" w:right="1440"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2D24" w14:textId="77777777" w:rsidR="007568CE" w:rsidRDefault="007568CE">
      <w:r>
        <w:separator/>
      </w:r>
    </w:p>
  </w:endnote>
  <w:endnote w:type="continuationSeparator" w:id="0">
    <w:p w14:paraId="55E52FAE" w14:textId="77777777" w:rsidR="007568CE" w:rsidRDefault="0075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7231" w14:textId="77777777" w:rsidR="007568CE" w:rsidRDefault="007568CE">
      <w:r>
        <w:separator/>
      </w:r>
    </w:p>
  </w:footnote>
  <w:footnote w:type="continuationSeparator" w:id="0">
    <w:p w14:paraId="07635B2A" w14:textId="77777777" w:rsidR="007568CE" w:rsidRDefault="0075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6D6780" w:rsidRPr="002B61E2" w14:paraId="01EA06DA" w14:textId="77777777">
      <w:trPr>
        <w:trHeight w:hRule="exact" w:val="864"/>
      </w:trPr>
      <w:tc>
        <w:tcPr>
          <w:tcW w:w="4080" w:type="dxa"/>
          <w:tcBorders>
            <w:top w:val="single" w:sz="4" w:space="0" w:color="auto"/>
            <w:left w:val="single" w:sz="4" w:space="0" w:color="auto"/>
            <w:bottom w:val="nil"/>
            <w:right w:val="single" w:sz="4" w:space="0" w:color="auto"/>
          </w:tcBorders>
        </w:tcPr>
        <w:p w14:paraId="78CB98F0" w14:textId="77777777" w:rsidR="006D6780" w:rsidRPr="002B61E2" w:rsidRDefault="006D6780" w:rsidP="001A1CE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35B72B58" w14:textId="77777777" w:rsidR="006D6780" w:rsidRPr="002B61E2" w:rsidRDefault="006D6780"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F06A80F" w14:textId="77777777" w:rsidR="006D6780" w:rsidRPr="002B61E2" w:rsidRDefault="006D6780"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4D6A202A" w14:textId="77777777" w:rsidR="006D6780" w:rsidRPr="003E4283" w:rsidRDefault="006D6780"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7B60C77E" w14:textId="77777777" w:rsidR="00B724B8" w:rsidRPr="00B724B8" w:rsidRDefault="006D6780" w:rsidP="00B724B8">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w:t>
          </w:r>
          <w:r w:rsidR="00B724B8">
            <w:rPr>
              <w:rFonts w:ascii="Arial" w:hAnsi="Arial" w:cs="Arial"/>
            </w:rPr>
            <w:t>E</w:t>
          </w:r>
          <w:r>
            <w:rPr>
              <w:rFonts w:ascii="Arial" w:hAnsi="Arial" w:cs="Arial"/>
            </w:rPr>
            <w:t xml:space="preserve">: </w:t>
          </w:r>
          <w:r w:rsidR="00B724B8" w:rsidRPr="00B724B8">
            <w:rPr>
              <w:rFonts w:ascii="Arial" w:hAnsi="Arial" w:cs="Arial"/>
            </w:rPr>
            <w:t xml:space="preserve">Criteria for Provider </w:t>
          </w:r>
        </w:p>
        <w:p w14:paraId="4AD21D9D" w14:textId="77777777" w:rsidR="006D6780" w:rsidRPr="00D349C6" w:rsidRDefault="00B724B8" w:rsidP="00B724B8">
          <w:pPr>
            <w:widowControl w:val="0"/>
            <w:tabs>
              <w:tab w:val="left" w:pos="936"/>
              <w:tab w:val="left" w:pos="1314"/>
              <w:tab w:val="left" w:pos="1692"/>
              <w:tab w:val="left" w:pos="2070"/>
            </w:tabs>
            <w:jc w:val="center"/>
            <w:rPr>
              <w:rFonts w:ascii="Arial" w:hAnsi="Arial" w:cs="Arial"/>
            </w:rPr>
          </w:pPr>
          <w:r w:rsidRPr="00B724B8">
            <w:rPr>
              <w:rFonts w:ascii="Arial" w:hAnsi="Arial" w:cs="Arial"/>
            </w:rPr>
            <w:t>Liability</w:t>
          </w:r>
        </w:p>
      </w:tc>
      <w:tc>
        <w:tcPr>
          <w:tcW w:w="1890" w:type="dxa"/>
        </w:tcPr>
        <w:p w14:paraId="79C6FF27" w14:textId="77777777" w:rsidR="006D6780" w:rsidRPr="002B61E2" w:rsidRDefault="006D6780"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2376351" w14:textId="77777777" w:rsidR="006D6780" w:rsidRPr="002B61E2" w:rsidRDefault="00B724B8"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E</w:t>
          </w:r>
          <w:r w:rsidR="006D6780">
            <w:rPr>
              <w:rFonts w:ascii="Arial" w:hAnsi="Arial" w:cs="Arial"/>
            </w:rPr>
            <w:t>-</w:t>
          </w:r>
          <w:r w:rsidR="006D6780" w:rsidRPr="00067C10">
            <w:rPr>
              <w:rStyle w:val="PageNumber"/>
              <w:rFonts w:ascii="Arial" w:hAnsi="Arial" w:cs="Arial"/>
            </w:rPr>
            <w:fldChar w:fldCharType="begin"/>
          </w:r>
          <w:r w:rsidR="006D6780" w:rsidRPr="00067C10">
            <w:rPr>
              <w:rStyle w:val="PageNumber"/>
              <w:rFonts w:ascii="Arial" w:hAnsi="Arial" w:cs="Arial"/>
            </w:rPr>
            <w:instrText xml:space="preserve"> PAGE </w:instrText>
          </w:r>
          <w:r w:rsidR="006D6780" w:rsidRPr="00067C10">
            <w:rPr>
              <w:rStyle w:val="PageNumber"/>
              <w:rFonts w:ascii="Arial" w:hAnsi="Arial" w:cs="Arial"/>
            </w:rPr>
            <w:fldChar w:fldCharType="separate"/>
          </w:r>
          <w:r w:rsidR="006906F9">
            <w:rPr>
              <w:rStyle w:val="PageNumber"/>
              <w:rFonts w:ascii="Arial" w:hAnsi="Arial" w:cs="Arial"/>
              <w:noProof/>
            </w:rPr>
            <w:t>1</w:t>
          </w:r>
          <w:r w:rsidR="006D6780" w:rsidRPr="00067C10">
            <w:rPr>
              <w:rStyle w:val="PageNumber"/>
              <w:rFonts w:ascii="Arial" w:hAnsi="Arial" w:cs="Arial"/>
            </w:rPr>
            <w:fldChar w:fldCharType="end"/>
          </w:r>
        </w:p>
      </w:tc>
    </w:tr>
    <w:tr w:rsidR="006D6780" w:rsidRPr="002B61E2" w14:paraId="2E97EF99" w14:textId="77777777">
      <w:trPr>
        <w:trHeight w:hRule="exact" w:val="864"/>
      </w:trPr>
      <w:tc>
        <w:tcPr>
          <w:tcW w:w="4080" w:type="dxa"/>
          <w:tcBorders>
            <w:top w:val="nil"/>
            <w:left w:val="single" w:sz="4" w:space="0" w:color="auto"/>
            <w:bottom w:val="single" w:sz="4" w:space="0" w:color="auto"/>
            <w:right w:val="single" w:sz="4" w:space="0" w:color="auto"/>
          </w:tcBorders>
          <w:vAlign w:val="center"/>
        </w:tcPr>
        <w:p w14:paraId="0A15864E" w14:textId="77777777" w:rsidR="006D6780" w:rsidRPr="001E6870" w:rsidRDefault="006D6780" w:rsidP="001A1CEF">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76CE1F26" w14:textId="77777777" w:rsidR="006D6780" w:rsidRPr="003F6F4E" w:rsidRDefault="006D6780"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C8DEA35" w14:textId="77777777" w:rsidR="006D6780" w:rsidRPr="003F6F4E" w:rsidRDefault="00E348E5" w:rsidP="00C90224">
          <w:pPr>
            <w:widowControl w:val="0"/>
            <w:tabs>
              <w:tab w:val="left" w:pos="936"/>
              <w:tab w:val="left" w:pos="1314"/>
              <w:tab w:val="left" w:pos="1692"/>
              <w:tab w:val="left" w:pos="2070"/>
            </w:tabs>
            <w:spacing w:before="120"/>
            <w:jc w:val="center"/>
            <w:rPr>
              <w:rFonts w:ascii="Arial" w:hAnsi="Arial" w:cs="Arial"/>
            </w:rPr>
          </w:pPr>
          <w:r>
            <w:rPr>
              <w:rFonts w:ascii="Arial" w:hAnsi="Arial" w:cs="Arial"/>
            </w:rPr>
            <w:t>HHA-</w:t>
          </w:r>
          <w:r w:rsidR="00894348">
            <w:rPr>
              <w:rFonts w:ascii="Arial" w:hAnsi="Arial" w:cs="Arial"/>
            </w:rPr>
            <w:t>57</w:t>
          </w:r>
        </w:p>
      </w:tc>
      <w:tc>
        <w:tcPr>
          <w:tcW w:w="1890" w:type="dxa"/>
        </w:tcPr>
        <w:p w14:paraId="4B5ED615" w14:textId="77777777" w:rsidR="006D6780" w:rsidRPr="003F6F4E" w:rsidRDefault="006D6780"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047D3E0" w14:textId="77777777" w:rsidR="006D6780" w:rsidRPr="002B61E2" w:rsidRDefault="003760E8" w:rsidP="0060468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07/01/23</w:t>
          </w:r>
        </w:p>
      </w:tc>
    </w:tr>
  </w:tbl>
  <w:p w14:paraId="15CF9567" w14:textId="77777777" w:rsidR="006D6780" w:rsidRDefault="006D6780" w:rsidP="0096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16A3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A80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8C68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DA468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9472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B213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AA5A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E07E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8E2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22C7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EB8"/>
    <w:multiLevelType w:val="hybridMultilevel"/>
    <w:tmpl w:val="7FD2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B17590"/>
    <w:multiLevelType w:val="hybridMultilevel"/>
    <w:tmpl w:val="E16A4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D192C31"/>
    <w:multiLevelType w:val="hybridMultilevel"/>
    <w:tmpl w:val="1ADCC4A0"/>
    <w:lvl w:ilvl="0" w:tplc="42AE6778">
      <w:start w:val="1"/>
      <w:numFmt w:val="bullet"/>
      <w:lvlText w:val=""/>
      <w:lvlJc w:val="left"/>
      <w:pPr>
        <w:tabs>
          <w:tab w:val="num" w:pos="790"/>
        </w:tabs>
        <w:ind w:left="790" w:hanging="360"/>
      </w:pPr>
      <w:rPr>
        <w:rFonts w:ascii="Symbol" w:hAnsi="Symbol"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8A6EE4"/>
    <w:multiLevelType w:val="hybridMultilevel"/>
    <w:tmpl w:val="D81E7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C0347A"/>
    <w:multiLevelType w:val="hybridMultilevel"/>
    <w:tmpl w:val="7ABAB1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5461A8"/>
    <w:multiLevelType w:val="hybridMultilevel"/>
    <w:tmpl w:val="5558817C"/>
    <w:lvl w:ilvl="0" w:tplc="42AE6778">
      <w:start w:val="1"/>
      <w:numFmt w:val="bullet"/>
      <w:lvlText w:val=""/>
      <w:lvlJc w:val="left"/>
      <w:pPr>
        <w:tabs>
          <w:tab w:val="num" w:pos="790"/>
        </w:tabs>
        <w:ind w:left="790" w:hanging="360"/>
      </w:pPr>
      <w:rPr>
        <w:rFonts w:ascii="Symbol" w:hAnsi="Symbol" w:hint="default"/>
        <w:b w:val="0"/>
        <w:i w:val="0"/>
        <w:sz w:val="22"/>
        <w:szCs w:val="22"/>
      </w:rPr>
    </w:lvl>
    <w:lvl w:ilvl="1" w:tplc="88CC65B0">
      <w:start w:val="1"/>
      <w:numFmt w:val="bullet"/>
      <w:pStyle w:val="Sub-bullet"/>
      <w:lvlText w:val=""/>
      <w:lvlJc w:val="left"/>
      <w:pPr>
        <w:tabs>
          <w:tab w:val="num" w:pos="1512"/>
        </w:tabs>
        <w:ind w:left="1080" w:firstLine="0"/>
      </w:pPr>
      <w:rPr>
        <w:rFonts w:ascii="Wingdings" w:hAnsi="Wingdings"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F25D1B"/>
    <w:multiLevelType w:val="hybridMultilevel"/>
    <w:tmpl w:val="5890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066A1"/>
    <w:multiLevelType w:val="hybridMultilevel"/>
    <w:tmpl w:val="17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C07D0"/>
    <w:multiLevelType w:val="hybridMultilevel"/>
    <w:tmpl w:val="B7C47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37ACB"/>
    <w:multiLevelType w:val="hybridMultilevel"/>
    <w:tmpl w:val="3C6EC3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1801590"/>
    <w:multiLevelType w:val="hybridMultilevel"/>
    <w:tmpl w:val="F054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11A4C"/>
    <w:multiLevelType w:val="hybridMultilevel"/>
    <w:tmpl w:val="62F26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8F34C2D"/>
    <w:multiLevelType w:val="hybridMultilevel"/>
    <w:tmpl w:val="4B042C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3" w15:restartNumberingAfterBreak="0">
    <w:nsid w:val="4F912A26"/>
    <w:multiLevelType w:val="hybridMultilevel"/>
    <w:tmpl w:val="837A8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61D6270"/>
    <w:multiLevelType w:val="multilevel"/>
    <w:tmpl w:val="1ADCC4A0"/>
    <w:lvl w:ilvl="0">
      <w:start w:val="1"/>
      <w:numFmt w:val="bullet"/>
      <w:lvlText w:val=""/>
      <w:lvlJc w:val="left"/>
      <w:pPr>
        <w:tabs>
          <w:tab w:val="num" w:pos="790"/>
        </w:tabs>
        <w:ind w:left="790" w:hanging="360"/>
      </w:pPr>
      <w:rPr>
        <w:rFonts w:ascii="Symbol" w:hAnsi="Symbo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2E27F2"/>
    <w:multiLevelType w:val="hybridMultilevel"/>
    <w:tmpl w:val="57F8327C"/>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6" w15:restartNumberingAfterBreak="0">
    <w:nsid w:val="6F6C5263"/>
    <w:multiLevelType w:val="hybridMultilevel"/>
    <w:tmpl w:val="D7348ED2"/>
    <w:lvl w:ilvl="0" w:tplc="514657E6">
      <w:start w:val="1"/>
      <w:numFmt w:val="bullet"/>
      <w:lvlText w:val=""/>
      <w:lvlJc w:val="left"/>
      <w:rPr>
        <w:rFonts w:ascii="Symbol" w:hAnsi="Symbol"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7754531">
    <w:abstractNumId w:val="12"/>
  </w:num>
  <w:num w:numId="2" w16cid:durableId="899095255">
    <w:abstractNumId w:val="24"/>
  </w:num>
  <w:num w:numId="3" w16cid:durableId="1760756982">
    <w:abstractNumId w:val="15"/>
  </w:num>
  <w:num w:numId="4" w16cid:durableId="1941060406">
    <w:abstractNumId w:val="9"/>
  </w:num>
  <w:num w:numId="5" w16cid:durableId="1341349239">
    <w:abstractNumId w:val="7"/>
  </w:num>
  <w:num w:numId="6" w16cid:durableId="1668553877">
    <w:abstractNumId w:val="6"/>
  </w:num>
  <w:num w:numId="7" w16cid:durableId="745691474">
    <w:abstractNumId w:val="5"/>
  </w:num>
  <w:num w:numId="8" w16cid:durableId="1578784390">
    <w:abstractNumId w:val="4"/>
  </w:num>
  <w:num w:numId="9" w16cid:durableId="361169905">
    <w:abstractNumId w:val="8"/>
  </w:num>
  <w:num w:numId="10" w16cid:durableId="1557163977">
    <w:abstractNumId w:val="3"/>
  </w:num>
  <w:num w:numId="11" w16cid:durableId="891426037">
    <w:abstractNumId w:val="2"/>
  </w:num>
  <w:num w:numId="12" w16cid:durableId="750007019">
    <w:abstractNumId w:val="1"/>
  </w:num>
  <w:num w:numId="13" w16cid:durableId="658073075">
    <w:abstractNumId w:val="0"/>
  </w:num>
  <w:num w:numId="14" w16cid:durableId="1589539935">
    <w:abstractNumId w:val="18"/>
  </w:num>
  <w:num w:numId="15" w16cid:durableId="1030762257">
    <w:abstractNumId w:val="23"/>
  </w:num>
  <w:num w:numId="16" w16cid:durableId="1304387839">
    <w:abstractNumId w:val="13"/>
  </w:num>
  <w:num w:numId="17" w16cid:durableId="1406028019">
    <w:abstractNumId w:val="21"/>
  </w:num>
  <w:num w:numId="18" w16cid:durableId="1302466237">
    <w:abstractNumId w:val="14"/>
  </w:num>
  <w:num w:numId="19" w16cid:durableId="657151675">
    <w:abstractNumId w:val="11"/>
  </w:num>
  <w:num w:numId="20" w16cid:durableId="2063942137">
    <w:abstractNumId w:val="16"/>
  </w:num>
  <w:num w:numId="21" w16cid:durableId="622274777">
    <w:abstractNumId w:val="26"/>
  </w:num>
  <w:num w:numId="22" w16cid:durableId="891572857">
    <w:abstractNumId w:val="20"/>
  </w:num>
  <w:num w:numId="23" w16cid:durableId="956987554">
    <w:abstractNumId w:val="22"/>
  </w:num>
  <w:num w:numId="24" w16cid:durableId="845218204">
    <w:abstractNumId w:val="19"/>
  </w:num>
  <w:num w:numId="25" w16cid:durableId="2044402427">
    <w:abstractNumId w:val="10"/>
  </w:num>
  <w:num w:numId="26" w16cid:durableId="878739207">
    <w:abstractNumId w:val="25"/>
  </w:num>
  <w:num w:numId="27" w16cid:durableId="19720084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5D"/>
    <w:rsid w:val="000024A9"/>
    <w:rsid w:val="00007D06"/>
    <w:rsid w:val="0001369B"/>
    <w:rsid w:val="00017193"/>
    <w:rsid w:val="00017415"/>
    <w:rsid w:val="0002010C"/>
    <w:rsid w:val="00023030"/>
    <w:rsid w:val="00042CCF"/>
    <w:rsid w:val="0004409F"/>
    <w:rsid w:val="000479A6"/>
    <w:rsid w:val="0005609D"/>
    <w:rsid w:val="000609F9"/>
    <w:rsid w:val="00062F0D"/>
    <w:rsid w:val="000654F2"/>
    <w:rsid w:val="00065D92"/>
    <w:rsid w:val="000679A3"/>
    <w:rsid w:val="00067C10"/>
    <w:rsid w:val="000A220C"/>
    <w:rsid w:val="000A27E3"/>
    <w:rsid w:val="000B0CBD"/>
    <w:rsid w:val="000B0FD6"/>
    <w:rsid w:val="000B4227"/>
    <w:rsid w:val="000B6B30"/>
    <w:rsid w:val="000C1EAC"/>
    <w:rsid w:val="000C3728"/>
    <w:rsid w:val="000C41CE"/>
    <w:rsid w:val="000C493B"/>
    <w:rsid w:val="000C5432"/>
    <w:rsid w:val="000C6E3E"/>
    <w:rsid w:val="000E7FE2"/>
    <w:rsid w:val="000F2068"/>
    <w:rsid w:val="000F35BE"/>
    <w:rsid w:val="000F45F8"/>
    <w:rsid w:val="000F544C"/>
    <w:rsid w:val="00100F09"/>
    <w:rsid w:val="001019F1"/>
    <w:rsid w:val="00106FE5"/>
    <w:rsid w:val="001136A5"/>
    <w:rsid w:val="001212EE"/>
    <w:rsid w:val="00124CF1"/>
    <w:rsid w:val="00125976"/>
    <w:rsid w:val="001315D6"/>
    <w:rsid w:val="00131FED"/>
    <w:rsid w:val="00132124"/>
    <w:rsid w:val="0013702A"/>
    <w:rsid w:val="00137F60"/>
    <w:rsid w:val="001410E4"/>
    <w:rsid w:val="001416E0"/>
    <w:rsid w:val="00143C40"/>
    <w:rsid w:val="00146734"/>
    <w:rsid w:val="00147C59"/>
    <w:rsid w:val="00150332"/>
    <w:rsid w:val="00160CD5"/>
    <w:rsid w:val="00162082"/>
    <w:rsid w:val="00162D9F"/>
    <w:rsid w:val="00165015"/>
    <w:rsid w:val="00171676"/>
    <w:rsid w:val="00173A7B"/>
    <w:rsid w:val="00180429"/>
    <w:rsid w:val="0018222B"/>
    <w:rsid w:val="001836A6"/>
    <w:rsid w:val="00196984"/>
    <w:rsid w:val="001A0FCF"/>
    <w:rsid w:val="001A1810"/>
    <w:rsid w:val="001A1A7E"/>
    <w:rsid w:val="001A1CEF"/>
    <w:rsid w:val="001A1E08"/>
    <w:rsid w:val="001A7BDD"/>
    <w:rsid w:val="001B4A78"/>
    <w:rsid w:val="001B6F66"/>
    <w:rsid w:val="001B72BA"/>
    <w:rsid w:val="001B7B9C"/>
    <w:rsid w:val="001C3DFA"/>
    <w:rsid w:val="001C49C5"/>
    <w:rsid w:val="001D27FB"/>
    <w:rsid w:val="001D4553"/>
    <w:rsid w:val="001D5129"/>
    <w:rsid w:val="001E1130"/>
    <w:rsid w:val="001E60FD"/>
    <w:rsid w:val="001E6870"/>
    <w:rsid w:val="001F18B5"/>
    <w:rsid w:val="001F2075"/>
    <w:rsid w:val="00203E23"/>
    <w:rsid w:val="00207847"/>
    <w:rsid w:val="002103AD"/>
    <w:rsid w:val="00222E2D"/>
    <w:rsid w:val="002232C4"/>
    <w:rsid w:val="00223C69"/>
    <w:rsid w:val="00225453"/>
    <w:rsid w:val="002273A3"/>
    <w:rsid w:val="00231DE0"/>
    <w:rsid w:val="00232924"/>
    <w:rsid w:val="00235085"/>
    <w:rsid w:val="00236FAA"/>
    <w:rsid w:val="00237703"/>
    <w:rsid w:val="00245629"/>
    <w:rsid w:val="0024564A"/>
    <w:rsid w:val="00247DEC"/>
    <w:rsid w:val="00253366"/>
    <w:rsid w:val="00257C97"/>
    <w:rsid w:val="002642E6"/>
    <w:rsid w:val="00265B52"/>
    <w:rsid w:val="00272C1E"/>
    <w:rsid w:val="0027502E"/>
    <w:rsid w:val="00276D6D"/>
    <w:rsid w:val="00277360"/>
    <w:rsid w:val="0028577D"/>
    <w:rsid w:val="00285D51"/>
    <w:rsid w:val="002904ED"/>
    <w:rsid w:val="00293C91"/>
    <w:rsid w:val="002955BD"/>
    <w:rsid w:val="002A3ED9"/>
    <w:rsid w:val="002A4FB5"/>
    <w:rsid w:val="002A5F4F"/>
    <w:rsid w:val="002B1A9D"/>
    <w:rsid w:val="002B433D"/>
    <w:rsid w:val="002B4AB7"/>
    <w:rsid w:val="002B4EB9"/>
    <w:rsid w:val="002C7E8F"/>
    <w:rsid w:val="002D5AA8"/>
    <w:rsid w:val="002E299A"/>
    <w:rsid w:val="002E5924"/>
    <w:rsid w:val="002E6F03"/>
    <w:rsid w:val="002F0B4B"/>
    <w:rsid w:val="002F28F4"/>
    <w:rsid w:val="002F3C2F"/>
    <w:rsid w:val="003002E2"/>
    <w:rsid w:val="00300538"/>
    <w:rsid w:val="00301079"/>
    <w:rsid w:val="00301D3A"/>
    <w:rsid w:val="00306357"/>
    <w:rsid w:val="0031545E"/>
    <w:rsid w:val="00324C3B"/>
    <w:rsid w:val="0032558C"/>
    <w:rsid w:val="00327DB4"/>
    <w:rsid w:val="00330C72"/>
    <w:rsid w:val="00331B4D"/>
    <w:rsid w:val="003406DF"/>
    <w:rsid w:val="003412C8"/>
    <w:rsid w:val="003441B0"/>
    <w:rsid w:val="00346B9D"/>
    <w:rsid w:val="0035098A"/>
    <w:rsid w:val="00352B50"/>
    <w:rsid w:val="003572DA"/>
    <w:rsid w:val="003574A1"/>
    <w:rsid w:val="00363CD5"/>
    <w:rsid w:val="00371F2A"/>
    <w:rsid w:val="0037353F"/>
    <w:rsid w:val="003760E8"/>
    <w:rsid w:val="00380BD4"/>
    <w:rsid w:val="00382233"/>
    <w:rsid w:val="003826FD"/>
    <w:rsid w:val="003831F8"/>
    <w:rsid w:val="00383AAD"/>
    <w:rsid w:val="00394F20"/>
    <w:rsid w:val="00395BF6"/>
    <w:rsid w:val="00397856"/>
    <w:rsid w:val="003A08D1"/>
    <w:rsid w:val="003A27A5"/>
    <w:rsid w:val="003A4160"/>
    <w:rsid w:val="003A544C"/>
    <w:rsid w:val="003B0364"/>
    <w:rsid w:val="003B3ECC"/>
    <w:rsid w:val="003B40C7"/>
    <w:rsid w:val="003B78E7"/>
    <w:rsid w:val="003C0611"/>
    <w:rsid w:val="003C20E8"/>
    <w:rsid w:val="003C2FF6"/>
    <w:rsid w:val="003C5287"/>
    <w:rsid w:val="003C5AEF"/>
    <w:rsid w:val="003D09D9"/>
    <w:rsid w:val="003D2D96"/>
    <w:rsid w:val="003E2AC3"/>
    <w:rsid w:val="003E4283"/>
    <w:rsid w:val="003E7358"/>
    <w:rsid w:val="003F0BEE"/>
    <w:rsid w:val="003F2498"/>
    <w:rsid w:val="003F5D35"/>
    <w:rsid w:val="004011CF"/>
    <w:rsid w:val="0040591C"/>
    <w:rsid w:val="004066EA"/>
    <w:rsid w:val="00411347"/>
    <w:rsid w:val="004116FB"/>
    <w:rsid w:val="00411AB9"/>
    <w:rsid w:val="00411BA6"/>
    <w:rsid w:val="00412056"/>
    <w:rsid w:val="00413033"/>
    <w:rsid w:val="0041733C"/>
    <w:rsid w:val="004174D8"/>
    <w:rsid w:val="0042127F"/>
    <w:rsid w:val="0042206D"/>
    <w:rsid w:val="004260E2"/>
    <w:rsid w:val="004306EB"/>
    <w:rsid w:val="00432459"/>
    <w:rsid w:val="00436FD5"/>
    <w:rsid w:val="0044248A"/>
    <w:rsid w:val="00443491"/>
    <w:rsid w:val="004509F4"/>
    <w:rsid w:val="00457B8E"/>
    <w:rsid w:val="00460A69"/>
    <w:rsid w:val="0046337B"/>
    <w:rsid w:val="00466128"/>
    <w:rsid w:val="00466F99"/>
    <w:rsid w:val="004715CE"/>
    <w:rsid w:val="00471BBA"/>
    <w:rsid w:val="00473D34"/>
    <w:rsid w:val="00475E7E"/>
    <w:rsid w:val="00477446"/>
    <w:rsid w:val="0048010D"/>
    <w:rsid w:val="00482047"/>
    <w:rsid w:val="0048524B"/>
    <w:rsid w:val="004853EC"/>
    <w:rsid w:val="00486D60"/>
    <w:rsid w:val="004870F1"/>
    <w:rsid w:val="00487E10"/>
    <w:rsid w:val="00487EB0"/>
    <w:rsid w:val="004943E1"/>
    <w:rsid w:val="00497AB3"/>
    <w:rsid w:val="004A1ACD"/>
    <w:rsid w:val="004A7979"/>
    <w:rsid w:val="004B4765"/>
    <w:rsid w:val="004D0BA1"/>
    <w:rsid w:val="004D5B2B"/>
    <w:rsid w:val="004E0249"/>
    <w:rsid w:val="004E0885"/>
    <w:rsid w:val="004E0E06"/>
    <w:rsid w:val="004E12FB"/>
    <w:rsid w:val="004F36D2"/>
    <w:rsid w:val="004F4BF5"/>
    <w:rsid w:val="004F642D"/>
    <w:rsid w:val="00500AD8"/>
    <w:rsid w:val="00503199"/>
    <w:rsid w:val="0051215F"/>
    <w:rsid w:val="0052352B"/>
    <w:rsid w:val="00525C2F"/>
    <w:rsid w:val="0053172D"/>
    <w:rsid w:val="00533B27"/>
    <w:rsid w:val="00537F95"/>
    <w:rsid w:val="00541503"/>
    <w:rsid w:val="005437B1"/>
    <w:rsid w:val="00551B78"/>
    <w:rsid w:val="00560A3D"/>
    <w:rsid w:val="00561297"/>
    <w:rsid w:val="00562EB2"/>
    <w:rsid w:val="00566798"/>
    <w:rsid w:val="00566B1C"/>
    <w:rsid w:val="00566C6F"/>
    <w:rsid w:val="00570DD3"/>
    <w:rsid w:val="00576548"/>
    <w:rsid w:val="005770DC"/>
    <w:rsid w:val="00586F6D"/>
    <w:rsid w:val="005923DB"/>
    <w:rsid w:val="005941C3"/>
    <w:rsid w:val="005969DB"/>
    <w:rsid w:val="005A4921"/>
    <w:rsid w:val="005A7040"/>
    <w:rsid w:val="005A717E"/>
    <w:rsid w:val="005B7602"/>
    <w:rsid w:val="005C2C0A"/>
    <w:rsid w:val="005C7478"/>
    <w:rsid w:val="005D3678"/>
    <w:rsid w:val="005E356C"/>
    <w:rsid w:val="005F41F7"/>
    <w:rsid w:val="005F6279"/>
    <w:rsid w:val="00601EC6"/>
    <w:rsid w:val="0060326A"/>
    <w:rsid w:val="00603F6B"/>
    <w:rsid w:val="00604683"/>
    <w:rsid w:val="00606EB0"/>
    <w:rsid w:val="00607016"/>
    <w:rsid w:val="00615222"/>
    <w:rsid w:val="0062038A"/>
    <w:rsid w:val="0062056F"/>
    <w:rsid w:val="00621E9F"/>
    <w:rsid w:val="0062648B"/>
    <w:rsid w:val="0062782C"/>
    <w:rsid w:val="00632158"/>
    <w:rsid w:val="00635ABB"/>
    <w:rsid w:val="00636E37"/>
    <w:rsid w:val="0063787E"/>
    <w:rsid w:val="0064058D"/>
    <w:rsid w:val="00641C38"/>
    <w:rsid w:val="006465BD"/>
    <w:rsid w:val="006474C2"/>
    <w:rsid w:val="00647ADD"/>
    <w:rsid w:val="00650058"/>
    <w:rsid w:val="0065302A"/>
    <w:rsid w:val="006549B1"/>
    <w:rsid w:val="00655110"/>
    <w:rsid w:val="00657E8D"/>
    <w:rsid w:val="00661F29"/>
    <w:rsid w:val="00662728"/>
    <w:rsid w:val="006638D5"/>
    <w:rsid w:val="00666E46"/>
    <w:rsid w:val="0067732B"/>
    <w:rsid w:val="0068321B"/>
    <w:rsid w:val="00684AC3"/>
    <w:rsid w:val="00687220"/>
    <w:rsid w:val="00687238"/>
    <w:rsid w:val="006906F9"/>
    <w:rsid w:val="0069099D"/>
    <w:rsid w:val="00691055"/>
    <w:rsid w:val="006968EC"/>
    <w:rsid w:val="006B439E"/>
    <w:rsid w:val="006C076B"/>
    <w:rsid w:val="006C2737"/>
    <w:rsid w:val="006C5536"/>
    <w:rsid w:val="006D0F60"/>
    <w:rsid w:val="006D6747"/>
    <w:rsid w:val="006D6780"/>
    <w:rsid w:val="006D697D"/>
    <w:rsid w:val="006E2526"/>
    <w:rsid w:val="006E53AE"/>
    <w:rsid w:val="006F0CE4"/>
    <w:rsid w:val="006F3776"/>
    <w:rsid w:val="006F4D4B"/>
    <w:rsid w:val="006F58B5"/>
    <w:rsid w:val="006F61CA"/>
    <w:rsid w:val="00705ABC"/>
    <w:rsid w:val="00715959"/>
    <w:rsid w:val="007260E0"/>
    <w:rsid w:val="00731E6F"/>
    <w:rsid w:val="00733127"/>
    <w:rsid w:val="0073397D"/>
    <w:rsid w:val="0073571D"/>
    <w:rsid w:val="00740A4A"/>
    <w:rsid w:val="0074404D"/>
    <w:rsid w:val="007532C6"/>
    <w:rsid w:val="007568CE"/>
    <w:rsid w:val="00757F47"/>
    <w:rsid w:val="00763E58"/>
    <w:rsid w:val="0076765F"/>
    <w:rsid w:val="00772B2B"/>
    <w:rsid w:val="007741BF"/>
    <w:rsid w:val="00774943"/>
    <w:rsid w:val="00775F97"/>
    <w:rsid w:val="00795724"/>
    <w:rsid w:val="00795D24"/>
    <w:rsid w:val="00796DF7"/>
    <w:rsid w:val="007A36B0"/>
    <w:rsid w:val="007A3CD5"/>
    <w:rsid w:val="007A4AD9"/>
    <w:rsid w:val="007B23EE"/>
    <w:rsid w:val="007B2928"/>
    <w:rsid w:val="007B49B8"/>
    <w:rsid w:val="007B5856"/>
    <w:rsid w:val="007B60A6"/>
    <w:rsid w:val="007B687E"/>
    <w:rsid w:val="007C0392"/>
    <w:rsid w:val="007D071E"/>
    <w:rsid w:val="007D2607"/>
    <w:rsid w:val="007D3835"/>
    <w:rsid w:val="007D4704"/>
    <w:rsid w:val="00802247"/>
    <w:rsid w:val="008040B4"/>
    <w:rsid w:val="00807589"/>
    <w:rsid w:val="008103BD"/>
    <w:rsid w:val="00820BB0"/>
    <w:rsid w:val="00821473"/>
    <w:rsid w:val="0082161D"/>
    <w:rsid w:val="00833BC7"/>
    <w:rsid w:val="008501AA"/>
    <w:rsid w:val="008556DD"/>
    <w:rsid w:val="00856AF1"/>
    <w:rsid w:val="00856B00"/>
    <w:rsid w:val="00857B2B"/>
    <w:rsid w:val="00862BCB"/>
    <w:rsid w:val="008705F6"/>
    <w:rsid w:val="00870794"/>
    <w:rsid w:val="00875F18"/>
    <w:rsid w:val="00876D9C"/>
    <w:rsid w:val="00882011"/>
    <w:rsid w:val="0089093C"/>
    <w:rsid w:val="008912D2"/>
    <w:rsid w:val="00892E75"/>
    <w:rsid w:val="00893F61"/>
    <w:rsid w:val="00894348"/>
    <w:rsid w:val="00896BFA"/>
    <w:rsid w:val="008A1173"/>
    <w:rsid w:val="008A281B"/>
    <w:rsid w:val="008A6617"/>
    <w:rsid w:val="008A7BD1"/>
    <w:rsid w:val="008B01BD"/>
    <w:rsid w:val="008B4B9D"/>
    <w:rsid w:val="008B64E3"/>
    <w:rsid w:val="008B7E02"/>
    <w:rsid w:val="008C0E28"/>
    <w:rsid w:val="008C107D"/>
    <w:rsid w:val="008C4C08"/>
    <w:rsid w:val="008C545C"/>
    <w:rsid w:val="008C7C6C"/>
    <w:rsid w:val="008D0303"/>
    <w:rsid w:val="008D1A49"/>
    <w:rsid w:val="008D41B4"/>
    <w:rsid w:val="008D6AF4"/>
    <w:rsid w:val="008D7AEE"/>
    <w:rsid w:val="008E171E"/>
    <w:rsid w:val="008E3A9A"/>
    <w:rsid w:val="008E3BD4"/>
    <w:rsid w:val="008E5874"/>
    <w:rsid w:val="008E6667"/>
    <w:rsid w:val="008E6ED4"/>
    <w:rsid w:val="008F0933"/>
    <w:rsid w:val="008F2DAF"/>
    <w:rsid w:val="008F61B0"/>
    <w:rsid w:val="008F719B"/>
    <w:rsid w:val="009019B5"/>
    <w:rsid w:val="00904AE5"/>
    <w:rsid w:val="00913259"/>
    <w:rsid w:val="0091455B"/>
    <w:rsid w:val="009165E8"/>
    <w:rsid w:val="0092268C"/>
    <w:rsid w:val="009249E8"/>
    <w:rsid w:val="0093699A"/>
    <w:rsid w:val="00940322"/>
    <w:rsid w:val="0094364E"/>
    <w:rsid w:val="00946A98"/>
    <w:rsid w:val="00946AAE"/>
    <w:rsid w:val="00952674"/>
    <w:rsid w:val="009560A6"/>
    <w:rsid w:val="0096052D"/>
    <w:rsid w:val="0096078C"/>
    <w:rsid w:val="00961C04"/>
    <w:rsid w:val="00962F13"/>
    <w:rsid w:val="00970B4C"/>
    <w:rsid w:val="00971377"/>
    <w:rsid w:val="00973009"/>
    <w:rsid w:val="0097326D"/>
    <w:rsid w:val="00974F57"/>
    <w:rsid w:val="00977D8F"/>
    <w:rsid w:val="00982049"/>
    <w:rsid w:val="0098447E"/>
    <w:rsid w:val="0098627A"/>
    <w:rsid w:val="009939DC"/>
    <w:rsid w:val="00994F29"/>
    <w:rsid w:val="00997BC6"/>
    <w:rsid w:val="009A0D41"/>
    <w:rsid w:val="009A1D92"/>
    <w:rsid w:val="009A3EAB"/>
    <w:rsid w:val="009A6E47"/>
    <w:rsid w:val="009A7EA7"/>
    <w:rsid w:val="009B4AC8"/>
    <w:rsid w:val="009C31D5"/>
    <w:rsid w:val="009C383D"/>
    <w:rsid w:val="009C5FAA"/>
    <w:rsid w:val="009C6D7B"/>
    <w:rsid w:val="009D2957"/>
    <w:rsid w:val="009D4168"/>
    <w:rsid w:val="009D43B6"/>
    <w:rsid w:val="009E3B0F"/>
    <w:rsid w:val="009E4193"/>
    <w:rsid w:val="009E5047"/>
    <w:rsid w:val="009F0B36"/>
    <w:rsid w:val="009F0B70"/>
    <w:rsid w:val="009F35DF"/>
    <w:rsid w:val="009F38E4"/>
    <w:rsid w:val="00A02D86"/>
    <w:rsid w:val="00A04DD4"/>
    <w:rsid w:val="00A05BED"/>
    <w:rsid w:val="00A10EEB"/>
    <w:rsid w:val="00A1368C"/>
    <w:rsid w:val="00A14889"/>
    <w:rsid w:val="00A16159"/>
    <w:rsid w:val="00A23361"/>
    <w:rsid w:val="00A3076A"/>
    <w:rsid w:val="00A31B3F"/>
    <w:rsid w:val="00A3220E"/>
    <w:rsid w:val="00A3298C"/>
    <w:rsid w:val="00A35881"/>
    <w:rsid w:val="00A4515D"/>
    <w:rsid w:val="00A46FA2"/>
    <w:rsid w:val="00A5262F"/>
    <w:rsid w:val="00A549AF"/>
    <w:rsid w:val="00A571DB"/>
    <w:rsid w:val="00A57735"/>
    <w:rsid w:val="00A6370D"/>
    <w:rsid w:val="00A648BB"/>
    <w:rsid w:val="00A76D9A"/>
    <w:rsid w:val="00A8029C"/>
    <w:rsid w:val="00A87221"/>
    <w:rsid w:val="00AA0BA1"/>
    <w:rsid w:val="00AA4D09"/>
    <w:rsid w:val="00AA6736"/>
    <w:rsid w:val="00AA7FD6"/>
    <w:rsid w:val="00AB37E5"/>
    <w:rsid w:val="00AB5E01"/>
    <w:rsid w:val="00AB6137"/>
    <w:rsid w:val="00AC6576"/>
    <w:rsid w:val="00AD5AB9"/>
    <w:rsid w:val="00AE07B4"/>
    <w:rsid w:val="00AF6DE7"/>
    <w:rsid w:val="00AF72E6"/>
    <w:rsid w:val="00B052F3"/>
    <w:rsid w:val="00B05EB1"/>
    <w:rsid w:val="00B05F8F"/>
    <w:rsid w:val="00B07D8B"/>
    <w:rsid w:val="00B13365"/>
    <w:rsid w:val="00B177E3"/>
    <w:rsid w:val="00B22072"/>
    <w:rsid w:val="00B22972"/>
    <w:rsid w:val="00B30632"/>
    <w:rsid w:val="00B35787"/>
    <w:rsid w:val="00B37EDE"/>
    <w:rsid w:val="00B46A22"/>
    <w:rsid w:val="00B46B5A"/>
    <w:rsid w:val="00B47338"/>
    <w:rsid w:val="00B47D82"/>
    <w:rsid w:val="00B50143"/>
    <w:rsid w:val="00B502DF"/>
    <w:rsid w:val="00B5381C"/>
    <w:rsid w:val="00B547AF"/>
    <w:rsid w:val="00B557EF"/>
    <w:rsid w:val="00B56DF0"/>
    <w:rsid w:val="00B5757B"/>
    <w:rsid w:val="00B57723"/>
    <w:rsid w:val="00B62C37"/>
    <w:rsid w:val="00B670EB"/>
    <w:rsid w:val="00B724B8"/>
    <w:rsid w:val="00B72FAF"/>
    <w:rsid w:val="00B74DAB"/>
    <w:rsid w:val="00B76638"/>
    <w:rsid w:val="00B90DBB"/>
    <w:rsid w:val="00B91B22"/>
    <w:rsid w:val="00BA04F3"/>
    <w:rsid w:val="00BA1C7D"/>
    <w:rsid w:val="00BA1E6E"/>
    <w:rsid w:val="00BB72AB"/>
    <w:rsid w:val="00BB7776"/>
    <w:rsid w:val="00BC4990"/>
    <w:rsid w:val="00BD13B1"/>
    <w:rsid w:val="00BD40F5"/>
    <w:rsid w:val="00BD6CB1"/>
    <w:rsid w:val="00BE1643"/>
    <w:rsid w:val="00BE38E6"/>
    <w:rsid w:val="00BE7F4E"/>
    <w:rsid w:val="00BF444B"/>
    <w:rsid w:val="00C0461E"/>
    <w:rsid w:val="00C04EA6"/>
    <w:rsid w:val="00C111B5"/>
    <w:rsid w:val="00C11D02"/>
    <w:rsid w:val="00C1349E"/>
    <w:rsid w:val="00C140AC"/>
    <w:rsid w:val="00C161FD"/>
    <w:rsid w:val="00C21C7E"/>
    <w:rsid w:val="00C25FC4"/>
    <w:rsid w:val="00C33472"/>
    <w:rsid w:val="00C3516C"/>
    <w:rsid w:val="00C4369B"/>
    <w:rsid w:val="00C44126"/>
    <w:rsid w:val="00C44CAB"/>
    <w:rsid w:val="00C51512"/>
    <w:rsid w:val="00C51B95"/>
    <w:rsid w:val="00C62420"/>
    <w:rsid w:val="00C642D1"/>
    <w:rsid w:val="00C65464"/>
    <w:rsid w:val="00C71720"/>
    <w:rsid w:val="00C74320"/>
    <w:rsid w:val="00C83FC3"/>
    <w:rsid w:val="00C840F2"/>
    <w:rsid w:val="00C90224"/>
    <w:rsid w:val="00C907CA"/>
    <w:rsid w:val="00CA6AE0"/>
    <w:rsid w:val="00CB1CF0"/>
    <w:rsid w:val="00CB2788"/>
    <w:rsid w:val="00CB66AB"/>
    <w:rsid w:val="00CC6331"/>
    <w:rsid w:val="00CD0873"/>
    <w:rsid w:val="00CD1367"/>
    <w:rsid w:val="00CD1BFF"/>
    <w:rsid w:val="00CD31A8"/>
    <w:rsid w:val="00CD4293"/>
    <w:rsid w:val="00CD69A6"/>
    <w:rsid w:val="00CE5BFB"/>
    <w:rsid w:val="00CE6B30"/>
    <w:rsid w:val="00CF0AF1"/>
    <w:rsid w:val="00CF0BD4"/>
    <w:rsid w:val="00CF2168"/>
    <w:rsid w:val="00CF40A5"/>
    <w:rsid w:val="00CF7F23"/>
    <w:rsid w:val="00D03298"/>
    <w:rsid w:val="00D111D2"/>
    <w:rsid w:val="00D11559"/>
    <w:rsid w:val="00D14818"/>
    <w:rsid w:val="00D219A5"/>
    <w:rsid w:val="00D241D6"/>
    <w:rsid w:val="00D27117"/>
    <w:rsid w:val="00D32ECA"/>
    <w:rsid w:val="00D349C6"/>
    <w:rsid w:val="00D369FD"/>
    <w:rsid w:val="00D407B5"/>
    <w:rsid w:val="00D43F63"/>
    <w:rsid w:val="00D508AF"/>
    <w:rsid w:val="00D51884"/>
    <w:rsid w:val="00D520D7"/>
    <w:rsid w:val="00D55AA9"/>
    <w:rsid w:val="00D62322"/>
    <w:rsid w:val="00D63D11"/>
    <w:rsid w:val="00D6451D"/>
    <w:rsid w:val="00D71DB2"/>
    <w:rsid w:val="00D84386"/>
    <w:rsid w:val="00D878A2"/>
    <w:rsid w:val="00D91433"/>
    <w:rsid w:val="00D97877"/>
    <w:rsid w:val="00DA24F9"/>
    <w:rsid w:val="00DA2BB5"/>
    <w:rsid w:val="00DA2FA2"/>
    <w:rsid w:val="00DA59AD"/>
    <w:rsid w:val="00DA7C4B"/>
    <w:rsid w:val="00DB19FA"/>
    <w:rsid w:val="00DB49BB"/>
    <w:rsid w:val="00DC52CB"/>
    <w:rsid w:val="00DC69B0"/>
    <w:rsid w:val="00DC7455"/>
    <w:rsid w:val="00DC7ABF"/>
    <w:rsid w:val="00DD052E"/>
    <w:rsid w:val="00DD2E88"/>
    <w:rsid w:val="00DF1B07"/>
    <w:rsid w:val="00E00BBC"/>
    <w:rsid w:val="00E02742"/>
    <w:rsid w:val="00E04000"/>
    <w:rsid w:val="00E07ED7"/>
    <w:rsid w:val="00E13408"/>
    <w:rsid w:val="00E171AC"/>
    <w:rsid w:val="00E178BA"/>
    <w:rsid w:val="00E209DC"/>
    <w:rsid w:val="00E2140B"/>
    <w:rsid w:val="00E22E6D"/>
    <w:rsid w:val="00E23A2C"/>
    <w:rsid w:val="00E25B95"/>
    <w:rsid w:val="00E2677F"/>
    <w:rsid w:val="00E32AEE"/>
    <w:rsid w:val="00E33CE3"/>
    <w:rsid w:val="00E348E5"/>
    <w:rsid w:val="00E34FC2"/>
    <w:rsid w:val="00E37094"/>
    <w:rsid w:val="00E46A4C"/>
    <w:rsid w:val="00E46B77"/>
    <w:rsid w:val="00E47605"/>
    <w:rsid w:val="00E50DAD"/>
    <w:rsid w:val="00E62786"/>
    <w:rsid w:val="00E63234"/>
    <w:rsid w:val="00E7035B"/>
    <w:rsid w:val="00E72740"/>
    <w:rsid w:val="00E76B01"/>
    <w:rsid w:val="00E76BDE"/>
    <w:rsid w:val="00E83BBD"/>
    <w:rsid w:val="00E84CC2"/>
    <w:rsid w:val="00E90CBB"/>
    <w:rsid w:val="00E934F3"/>
    <w:rsid w:val="00EA1FEF"/>
    <w:rsid w:val="00EA51EB"/>
    <w:rsid w:val="00EA623F"/>
    <w:rsid w:val="00EA6283"/>
    <w:rsid w:val="00EB282A"/>
    <w:rsid w:val="00EB39B7"/>
    <w:rsid w:val="00EB645E"/>
    <w:rsid w:val="00EC219F"/>
    <w:rsid w:val="00EC4F1C"/>
    <w:rsid w:val="00EC6071"/>
    <w:rsid w:val="00ED012C"/>
    <w:rsid w:val="00ED1F64"/>
    <w:rsid w:val="00ED29CD"/>
    <w:rsid w:val="00EE46BA"/>
    <w:rsid w:val="00EE497E"/>
    <w:rsid w:val="00EE64D8"/>
    <w:rsid w:val="00EF4F1D"/>
    <w:rsid w:val="00F054A0"/>
    <w:rsid w:val="00F12346"/>
    <w:rsid w:val="00F14183"/>
    <w:rsid w:val="00F2070D"/>
    <w:rsid w:val="00F216D0"/>
    <w:rsid w:val="00F26264"/>
    <w:rsid w:val="00F26974"/>
    <w:rsid w:val="00F27319"/>
    <w:rsid w:val="00F400AD"/>
    <w:rsid w:val="00F402FB"/>
    <w:rsid w:val="00F47D04"/>
    <w:rsid w:val="00F50BC4"/>
    <w:rsid w:val="00F53361"/>
    <w:rsid w:val="00F568F4"/>
    <w:rsid w:val="00F56B65"/>
    <w:rsid w:val="00F61F21"/>
    <w:rsid w:val="00F63CBE"/>
    <w:rsid w:val="00F63E3F"/>
    <w:rsid w:val="00F669D9"/>
    <w:rsid w:val="00F678EB"/>
    <w:rsid w:val="00F73940"/>
    <w:rsid w:val="00F74CC3"/>
    <w:rsid w:val="00F769A5"/>
    <w:rsid w:val="00F80059"/>
    <w:rsid w:val="00F80A45"/>
    <w:rsid w:val="00F819C0"/>
    <w:rsid w:val="00F850AF"/>
    <w:rsid w:val="00F87CC8"/>
    <w:rsid w:val="00F90207"/>
    <w:rsid w:val="00F96DA6"/>
    <w:rsid w:val="00FA0607"/>
    <w:rsid w:val="00FA69F1"/>
    <w:rsid w:val="00FA714C"/>
    <w:rsid w:val="00FA7830"/>
    <w:rsid w:val="00FB1876"/>
    <w:rsid w:val="00FB2003"/>
    <w:rsid w:val="00FB2C03"/>
    <w:rsid w:val="00FB450E"/>
    <w:rsid w:val="00FB537E"/>
    <w:rsid w:val="00FC56DE"/>
    <w:rsid w:val="00FD23D0"/>
    <w:rsid w:val="00FD2E66"/>
    <w:rsid w:val="00FD2F4D"/>
    <w:rsid w:val="00FD30F2"/>
    <w:rsid w:val="00FD34F8"/>
    <w:rsid w:val="00FD6D39"/>
    <w:rsid w:val="00FE1C98"/>
    <w:rsid w:val="00FE4698"/>
    <w:rsid w:val="00FF1540"/>
    <w:rsid w:val="00FF5229"/>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D5A7725"/>
  <w15:chartTrackingRefBased/>
  <w15:docId w15:val="{B378D386-DBE1-4D14-BA54-57352D3F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AB3"/>
  </w:style>
  <w:style w:type="paragraph" w:styleId="Heading2">
    <w:name w:val="heading 2"/>
    <w:basedOn w:val="Normal"/>
    <w:autoRedefine/>
    <w:qFormat/>
    <w:rsid w:val="00833BC7"/>
    <w:pPr>
      <w:keepNext/>
      <w:pBdr>
        <w:bottom w:val="single" w:sz="4" w:space="1" w:color="auto"/>
      </w:pBdr>
      <w:spacing w:after="60"/>
      <w:outlineLvl w:val="1"/>
    </w:pPr>
    <w:rPr>
      <w:rFonts w:ascii="Arial Black" w:hAnsi="Arial Black"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semiHidden/>
    <w:rsid w:val="00B50143"/>
  </w:style>
  <w:style w:type="paragraph" w:styleId="TOC2">
    <w:name w:val="toc 2"/>
    <w:basedOn w:val="Normal"/>
    <w:next w:val="Normal"/>
    <w:autoRedefine/>
    <w:semiHidden/>
    <w:rsid w:val="00833BC7"/>
    <w:pPr>
      <w:tabs>
        <w:tab w:val="left" w:pos="7920"/>
      </w:tabs>
      <w:spacing w:before="120" w:after="120"/>
      <w:ind w:left="720"/>
    </w:pPr>
    <w:rPr>
      <w:rFonts w:ascii="Arial" w:hAnsi="Arial" w:cs="Arial"/>
      <w:b/>
      <w:bCs/>
      <w:noProof/>
      <w:sz w:val="22"/>
      <w:szCs w:val="22"/>
    </w:rPr>
  </w:style>
  <w:style w:type="paragraph" w:customStyle="1" w:styleId="Sub-bullet">
    <w:name w:val="Sub-bullet"/>
    <w:basedOn w:val="Normal"/>
    <w:rsid w:val="00AF6DE7"/>
    <w:pPr>
      <w:numPr>
        <w:ilvl w:val="1"/>
        <w:numId w:val="3"/>
      </w:numPr>
    </w:pPr>
  </w:style>
  <w:style w:type="character" w:styleId="Hyperlink">
    <w:name w:val="Hyperlink"/>
    <w:rsid w:val="00AB5E01"/>
    <w:rPr>
      <w:color w:val="0000FF"/>
      <w:u w:val="single"/>
    </w:rPr>
  </w:style>
  <w:style w:type="table" w:styleId="TableGrid">
    <w:name w:val="Table Grid"/>
    <w:basedOn w:val="TableNormal"/>
    <w:rsid w:val="00AB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3571D"/>
    <w:rPr>
      <w:color w:val="800080"/>
      <w:u w:val="single"/>
    </w:rPr>
  </w:style>
  <w:style w:type="character" w:styleId="CommentReference">
    <w:name w:val="annotation reference"/>
    <w:semiHidden/>
    <w:rsid w:val="0028577D"/>
    <w:rPr>
      <w:sz w:val="16"/>
      <w:szCs w:val="16"/>
    </w:rPr>
  </w:style>
  <w:style w:type="paragraph" w:styleId="CommentText">
    <w:name w:val="annotation text"/>
    <w:basedOn w:val="Normal"/>
    <w:link w:val="CommentTextChar"/>
    <w:semiHidden/>
    <w:rsid w:val="0028577D"/>
  </w:style>
  <w:style w:type="paragraph" w:styleId="CommentSubject">
    <w:name w:val="annotation subject"/>
    <w:basedOn w:val="CommentText"/>
    <w:next w:val="CommentText"/>
    <w:semiHidden/>
    <w:rsid w:val="0028577D"/>
    <w:rPr>
      <w:b/>
      <w:bCs/>
    </w:rPr>
  </w:style>
  <w:style w:type="paragraph" w:styleId="BalloonText">
    <w:name w:val="Balloon Text"/>
    <w:basedOn w:val="Normal"/>
    <w:semiHidden/>
    <w:rsid w:val="0028577D"/>
    <w:rPr>
      <w:rFonts w:ascii="Tahoma" w:hAnsi="Tahoma" w:cs="Tahoma"/>
      <w:sz w:val="16"/>
      <w:szCs w:val="16"/>
    </w:rPr>
  </w:style>
  <w:style w:type="paragraph" w:styleId="Header">
    <w:name w:val="header"/>
    <w:basedOn w:val="Normal"/>
    <w:rsid w:val="004174D8"/>
    <w:pPr>
      <w:tabs>
        <w:tab w:val="center" w:pos="4320"/>
        <w:tab w:val="right" w:pos="8640"/>
      </w:tabs>
    </w:pPr>
  </w:style>
  <w:style w:type="paragraph" w:styleId="Footer">
    <w:name w:val="footer"/>
    <w:basedOn w:val="Normal"/>
    <w:rsid w:val="004174D8"/>
    <w:pPr>
      <w:tabs>
        <w:tab w:val="center" w:pos="4320"/>
        <w:tab w:val="right" w:pos="8640"/>
      </w:tabs>
    </w:pPr>
  </w:style>
  <w:style w:type="character" w:styleId="PageNumber">
    <w:name w:val="page number"/>
    <w:basedOn w:val="DefaultParagraphFont"/>
    <w:rsid w:val="003E4283"/>
  </w:style>
  <w:style w:type="paragraph" w:customStyle="1" w:styleId="Default">
    <w:name w:val="Default"/>
    <w:rsid w:val="008D0303"/>
    <w:pPr>
      <w:widowControl w:val="0"/>
      <w:autoSpaceDE w:val="0"/>
      <w:autoSpaceDN w:val="0"/>
      <w:adjustRightInd w:val="0"/>
    </w:pPr>
    <w:rPr>
      <w:color w:val="000000"/>
      <w:sz w:val="24"/>
      <w:szCs w:val="24"/>
    </w:rPr>
  </w:style>
  <w:style w:type="paragraph" w:styleId="ListParagraph">
    <w:name w:val="List Paragraph"/>
    <w:basedOn w:val="Normal"/>
    <w:qFormat/>
    <w:rsid w:val="00DA24F9"/>
    <w:pPr>
      <w:ind w:left="720"/>
    </w:pPr>
  </w:style>
  <w:style w:type="paragraph" w:styleId="DocumentMap">
    <w:name w:val="Document Map"/>
    <w:basedOn w:val="Normal"/>
    <w:semiHidden/>
    <w:rsid w:val="005E356C"/>
    <w:pPr>
      <w:shd w:val="clear" w:color="auto" w:fill="000080"/>
    </w:pPr>
    <w:rPr>
      <w:rFonts w:ascii="Tahoma" w:hAnsi="Tahoma" w:cs="Tahoma"/>
    </w:rPr>
  </w:style>
  <w:style w:type="paragraph" w:styleId="Revision">
    <w:name w:val="Revision"/>
    <w:hidden/>
    <w:uiPriority w:val="99"/>
    <w:semiHidden/>
    <w:rsid w:val="00AB6137"/>
  </w:style>
  <w:style w:type="character" w:customStyle="1" w:styleId="CommentTextChar">
    <w:name w:val="Comment Text Char"/>
    <w:link w:val="CommentText"/>
    <w:semiHidden/>
    <w:rsid w:val="00432459"/>
    <w:rPr>
      <w:lang w:val="en-US" w:eastAsia="en-US" w:bidi="ar-SA"/>
    </w:rPr>
  </w:style>
  <w:style w:type="paragraph" w:styleId="BodyText">
    <w:name w:val="Body Text"/>
    <w:basedOn w:val="Normal"/>
    <w:link w:val="BodyTextChar"/>
    <w:uiPriority w:val="1"/>
    <w:qFormat/>
    <w:rsid w:val="00C1349E"/>
    <w:pPr>
      <w:widowControl w:val="0"/>
      <w:autoSpaceDE w:val="0"/>
      <w:autoSpaceDN w:val="0"/>
      <w:adjustRightInd w:val="0"/>
      <w:ind w:left="115"/>
    </w:pPr>
    <w:rPr>
      <w:sz w:val="22"/>
      <w:szCs w:val="22"/>
    </w:rPr>
  </w:style>
  <w:style w:type="character" w:customStyle="1" w:styleId="BodyTextChar">
    <w:name w:val="Body Text Char"/>
    <w:link w:val="BodyText"/>
    <w:uiPriority w:val="1"/>
    <w:rsid w:val="00C134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6610">
      <w:bodyDiv w:val="1"/>
      <w:marLeft w:val="0"/>
      <w:marRight w:val="0"/>
      <w:marTop w:val="0"/>
      <w:marBottom w:val="0"/>
      <w:divBdr>
        <w:top w:val="none" w:sz="0" w:space="0" w:color="auto"/>
        <w:left w:val="none" w:sz="0" w:space="0" w:color="auto"/>
        <w:bottom w:val="none" w:sz="0" w:space="0" w:color="auto"/>
        <w:right w:val="none" w:sz="0" w:space="0" w:color="auto"/>
      </w:divBdr>
    </w:div>
    <w:div w:id="951597210">
      <w:bodyDiv w:val="1"/>
      <w:marLeft w:val="0"/>
      <w:marRight w:val="0"/>
      <w:marTop w:val="0"/>
      <w:marBottom w:val="0"/>
      <w:divBdr>
        <w:top w:val="none" w:sz="0" w:space="0" w:color="auto"/>
        <w:left w:val="none" w:sz="0" w:space="0" w:color="auto"/>
        <w:bottom w:val="none" w:sz="0" w:space="0" w:color="auto"/>
        <w:right w:val="none" w:sz="0" w:space="0" w:color="auto"/>
      </w:divBdr>
    </w:div>
    <w:div w:id="975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Debby Briggs</dc:creator>
  <cp:keywords/>
  <cp:lastModifiedBy>Sousa, Pam (EHS)</cp:lastModifiedBy>
  <cp:revision>2</cp:revision>
  <cp:lastPrinted>2011-12-20T15:37:00Z</cp:lastPrinted>
  <dcterms:created xsi:type="dcterms:W3CDTF">2023-06-26T12:41:00Z</dcterms:created>
  <dcterms:modified xsi:type="dcterms:W3CDTF">2023-06-26T12:41:00Z</dcterms:modified>
</cp:coreProperties>
</file>