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F2B0C" w14:textId="77777777" w:rsidR="00CC621C" w:rsidRPr="00CC621C" w:rsidRDefault="00CC621C" w:rsidP="00CC621C">
      <w:pPr>
        <w:pStyle w:val="ListParagraph"/>
        <w:ind w:left="0"/>
        <w:rPr>
          <w:rFonts w:asciiTheme="minorHAnsi" w:hAnsiTheme="minorHAnsi" w:cstheme="minorHAnsi"/>
          <w:b/>
          <w:u w:val="single"/>
        </w:rPr>
      </w:pPr>
      <w:r w:rsidRPr="00CC621C">
        <w:rPr>
          <w:rFonts w:asciiTheme="minorHAnsi" w:hAnsiTheme="minorHAnsi" w:cstheme="minorHAnsi"/>
          <w:b/>
          <w:u w:val="single"/>
        </w:rPr>
        <w:t>Landscape Resiliency Project – Apple Tree – Savoy Mountain State Forest</w:t>
      </w:r>
    </w:p>
    <w:p w14:paraId="7F1352FB" w14:textId="77777777" w:rsidR="00CC621C" w:rsidRDefault="00CC621C" w:rsidP="00CC621C">
      <w:pPr>
        <w:pStyle w:val="ListParagraph"/>
        <w:ind w:left="0"/>
        <w:rPr>
          <w:rFonts w:asciiTheme="minorHAnsi" w:hAnsiTheme="minorHAnsi" w:cstheme="minorHAnsi"/>
          <w:b/>
          <w:sz w:val="28"/>
          <w:szCs w:val="28"/>
        </w:rPr>
      </w:pPr>
    </w:p>
    <w:p w14:paraId="23636F7B" w14:textId="77777777" w:rsidR="00CC621C" w:rsidRDefault="00CC621C" w:rsidP="00CC621C">
      <w:pPr>
        <w:spacing w:after="160" w:line="259" w:lineRule="auto"/>
        <w:contextualSpacing/>
        <w:rPr>
          <w:rFonts w:asciiTheme="minorHAnsi" w:hAnsiTheme="minorHAnsi" w:cstheme="minorBidi"/>
          <w:kern w:val="2"/>
        </w:rPr>
      </w:pPr>
      <w:r w:rsidRPr="00D80822">
        <w:rPr>
          <w:rFonts w:asciiTheme="minorHAnsi" w:hAnsiTheme="minorHAnsi" w:cstheme="minorBidi"/>
          <w:kern w:val="2"/>
        </w:rPr>
        <w:t xml:space="preserve">This is the first in a series of projects that are intended to compliment, and in many cases such as species diversity, amplify the gains from previously conducted projects.  </w:t>
      </w:r>
    </w:p>
    <w:p w14:paraId="38B884BF" w14:textId="77777777" w:rsidR="00CC621C" w:rsidRDefault="00CC621C" w:rsidP="00CC621C">
      <w:pPr>
        <w:spacing w:after="160" w:line="259" w:lineRule="auto"/>
        <w:contextualSpacing/>
        <w:rPr>
          <w:rFonts w:asciiTheme="minorHAnsi" w:hAnsiTheme="minorHAnsi" w:cstheme="minorBidi"/>
          <w:kern w:val="2"/>
        </w:rPr>
      </w:pPr>
    </w:p>
    <w:p w14:paraId="19C95CAB" w14:textId="77777777" w:rsidR="00CC621C" w:rsidRPr="00813ADF" w:rsidRDefault="00CC621C" w:rsidP="00CC621C">
      <w:pPr>
        <w:rPr>
          <w:rFonts w:asciiTheme="minorHAnsi" w:hAnsiTheme="minorHAnsi" w:cstheme="minorHAnsi"/>
        </w:rPr>
      </w:pPr>
      <w:r w:rsidRPr="00813ADF">
        <w:rPr>
          <w:rFonts w:asciiTheme="minorHAnsi" w:hAnsiTheme="minorHAnsi" w:cstheme="minorHAnsi"/>
        </w:rPr>
        <w:t xml:space="preserve">The project is featured on the Demonstration page for the Northern Institute of Applied Climate Science (NIACS).  This was not only vetted by the program, but closely reviewed by Dr. Luke Nave, PhD in Soil Science.  </w:t>
      </w:r>
      <w:hyperlink r:id="rId5" w:history="1">
        <w:r w:rsidRPr="00813ADF">
          <w:rPr>
            <w:rStyle w:val="Hyperlink"/>
            <w:rFonts w:asciiTheme="minorHAnsi" w:hAnsiTheme="minorHAnsi" w:cstheme="minorHAnsi"/>
          </w:rPr>
          <w:t>https://forestadaptation.org/adapt/demonstration-projects/massachusetts-department-conservation-and-recreation-savoy-mountain</w:t>
        </w:r>
      </w:hyperlink>
    </w:p>
    <w:p w14:paraId="5CF4D852" w14:textId="77777777" w:rsidR="00CC621C" w:rsidRPr="00813ADF" w:rsidRDefault="00CC621C" w:rsidP="00CC621C">
      <w:pPr>
        <w:rPr>
          <w:rFonts w:asciiTheme="minorHAnsi" w:hAnsiTheme="minorHAnsi" w:cstheme="minorHAnsi"/>
        </w:rPr>
      </w:pPr>
      <w:r w:rsidRPr="00813ADF">
        <w:rPr>
          <w:rFonts w:asciiTheme="minorHAnsi" w:hAnsiTheme="minorHAnsi" w:cstheme="minorHAnsi"/>
        </w:rPr>
        <w:t xml:space="preserve">This project also builds on the gains of another NIACS Project in very close proximity, the Tannery Road Timber Sale: </w:t>
      </w:r>
      <w:hyperlink r:id="rId6" w:history="1">
        <w:r w:rsidRPr="00813ADF">
          <w:rPr>
            <w:rStyle w:val="Hyperlink"/>
            <w:rFonts w:asciiTheme="minorHAnsi" w:hAnsiTheme="minorHAnsi" w:cstheme="minorHAnsi"/>
          </w:rPr>
          <w:t>https://forestadaptation.org/adapt/demonstration-projects/massachusetts-dept-conservation-recreation-tannery-road-timber-sale</w:t>
        </w:r>
      </w:hyperlink>
    </w:p>
    <w:p w14:paraId="381BB794" w14:textId="77777777" w:rsidR="00CC621C" w:rsidRDefault="00CC621C" w:rsidP="00CC621C">
      <w:pPr>
        <w:spacing w:after="160" w:line="259" w:lineRule="auto"/>
        <w:contextualSpacing/>
        <w:rPr>
          <w:rFonts w:asciiTheme="minorHAnsi" w:hAnsiTheme="minorHAnsi" w:cstheme="minorBidi"/>
          <w:kern w:val="2"/>
        </w:rPr>
      </w:pPr>
    </w:p>
    <w:p w14:paraId="1A5E70ED" w14:textId="77777777" w:rsidR="00CC621C" w:rsidRDefault="00CC621C" w:rsidP="00CC621C">
      <w:pPr>
        <w:spacing w:after="160" w:line="259" w:lineRule="auto"/>
        <w:contextualSpacing/>
        <w:rPr>
          <w:rFonts w:asciiTheme="minorHAnsi" w:hAnsiTheme="minorHAnsi" w:cstheme="minorBidi"/>
          <w:kern w:val="2"/>
        </w:rPr>
      </w:pPr>
      <w:r w:rsidRPr="00D80822">
        <w:rPr>
          <w:rFonts w:asciiTheme="minorHAnsi" w:hAnsiTheme="minorHAnsi" w:cstheme="minorBidi"/>
          <w:kern w:val="2"/>
        </w:rPr>
        <w:t>The project will work to</w:t>
      </w:r>
      <w:r>
        <w:rPr>
          <w:rFonts w:asciiTheme="minorHAnsi" w:hAnsiTheme="minorHAnsi" w:cstheme="minorBidi"/>
          <w:kern w:val="2"/>
        </w:rPr>
        <w:t>:</w:t>
      </w:r>
    </w:p>
    <w:p w14:paraId="341EE481" w14:textId="77777777" w:rsidR="00CC621C" w:rsidRPr="00D80822" w:rsidRDefault="00CC621C" w:rsidP="00CC621C">
      <w:pPr>
        <w:numPr>
          <w:ilvl w:val="1"/>
          <w:numId w:val="6"/>
        </w:numPr>
        <w:spacing w:after="160" w:line="259" w:lineRule="auto"/>
        <w:contextualSpacing/>
        <w:rPr>
          <w:rFonts w:asciiTheme="minorHAnsi" w:hAnsiTheme="minorHAnsi" w:cstheme="minorBidi"/>
          <w:kern w:val="2"/>
        </w:rPr>
      </w:pPr>
      <w:r w:rsidRPr="00D80822">
        <w:rPr>
          <w:rFonts w:asciiTheme="minorHAnsi" w:hAnsiTheme="minorHAnsi" w:cstheme="minorBidi"/>
          <w:kern w:val="2"/>
        </w:rPr>
        <w:t xml:space="preserve"> </w:t>
      </w:r>
      <w:r>
        <w:rPr>
          <w:rFonts w:asciiTheme="minorHAnsi" w:hAnsiTheme="minorHAnsi" w:cstheme="minorBidi"/>
          <w:kern w:val="2"/>
        </w:rPr>
        <w:t>S</w:t>
      </w:r>
      <w:r w:rsidRPr="00D80822">
        <w:rPr>
          <w:rFonts w:asciiTheme="minorHAnsi" w:hAnsiTheme="minorHAnsi" w:cstheme="minorBidi"/>
          <w:kern w:val="2"/>
        </w:rPr>
        <w:t xml:space="preserve">tabilize carbon stocks and </w:t>
      </w:r>
      <w:r>
        <w:rPr>
          <w:rFonts w:asciiTheme="minorHAnsi" w:hAnsiTheme="minorHAnsi" w:cstheme="minorBidi"/>
          <w:kern w:val="2"/>
        </w:rPr>
        <w:t xml:space="preserve">begin the process of carbon stewardship to </w:t>
      </w:r>
      <w:r w:rsidRPr="00D80822">
        <w:rPr>
          <w:rFonts w:asciiTheme="minorHAnsi" w:hAnsiTheme="minorHAnsi" w:cstheme="minorBidi"/>
          <w:kern w:val="2"/>
        </w:rPr>
        <w:t xml:space="preserve">improve sequestration and storage over time.  </w:t>
      </w:r>
    </w:p>
    <w:p w14:paraId="2030E961" w14:textId="77777777" w:rsidR="00CC621C" w:rsidRDefault="00CC621C" w:rsidP="00CC621C">
      <w:pPr>
        <w:numPr>
          <w:ilvl w:val="2"/>
          <w:numId w:val="6"/>
        </w:numPr>
        <w:spacing w:after="160" w:line="259" w:lineRule="auto"/>
        <w:contextualSpacing/>
        <w:rPr>
          <w:rFonts w:asciiTheme="minorHAnsi" w:hAnsiTheme="minorHAnsi" w:cstheme="minorBidi"/>
          <w:kern w:val="2"/>
        </w:rPr>
      </w:pPr>
      <w:r w:rsidRPr="00D80822">
        <w:rPr>
          <w:rFonts w:asciiTheme="minorHAnsi" w:hAnsiTheme="minorHAnsi" w:cstheme="minorBidi"/>
          <w:kern w:val="2"/>
        </w:rPr>
        <w:t xml:space="preserve">The average amount of net carbon sequestration (all carbon sequestered minus all carbon emitted) on a per unit area is the same as most front lawns.  Also, the net sequestration is decreasing at an increasing rate.  Savoy Mountain State Forest is on track to be a net carbon emitter. </w:t>
      </w:r>
    </w:p>
    <w:p w14:paraId="0F75F0C7" w14:textId="77777777" w:rsidR="00CC621C" w:rsidRPr="00D80822" w:rsidRDefault="00CC621C" w:rsidP="00CC621C">
      <w:pPr>
        <w:spacing w:after="160" w:line="259" w:lineRule="auto"/>
        <w:ind w:left="2160"/>
        <w:contextualSpacing/>
        <w:rPr>
          <w:rFonts w:asciiTheme="minorHAnsi" w:hAnsiTheme="minorHAnsi" w:cstheme="minorBidi"/>
          <w:kern w:val="2"/>
        </w:rPr>
      </w:pPr>
    </w:p>
    <w:p w14:paraId="3AA2C129" w14:textId="77777777" w:rsidR="00CC621C" w:rsidRPr="00D80822" w:rsidRDefault="00CC621C" w:rsidP="00CC621C">
      <w:pPr>
        <w:numPr>
          <w:ilvl w:val="1"/>
          <w:numId w:val="6"/>
        </w:numPr>
        <w:spacing w:after="160" w:line="259" w:lineRule="auto"/>
        <w:contextualSpacing/>
        <w:rPr>
          <w:rFonts w:asciiTheme="minorHAnsi" w:hAnsiTheme="minorHAnsi" w:cstheme="minorBidi"/>
          <w:kern w:val="2"/>
        </w:rPr>
      </w:pPr>
      <w:r w:rsidRPr="00D80822">
        <w:rPr>
          <w:rFonts w:asciiTheme="minorHAnsi" w:hAnsiTheme="minorHAnsi" w:cstheme="minorBidi"/>
          <w:kern w:val="2"/>
        </w:rPr>
        <w:t>Create Conditions for Appropriate Species to Establish on Appropriate Sites</w:t>
      </w:r>
    </w:p>
    <w:p w14:paraId="10D90495" w14:textId="77777777" w:rsidR="00CC621C" w:rsidRDefault="00CC621C" w:rsidP="00CC621C">
      <w:pPr>
        <w:numPr>
          <w:ilvl w:val="2"/>
          <w:numId w:val="6"/>
        </w:numPr>
        <w:spacing w:after="160" w:line="259" w:lineRule="auto"/>
        <w:contextualSpacing/>
        <w:rPr>
          <w:rFonts w:asciiTheme="minorHAnsi" w:hAnsiTheme="minorHAnsi" w:cstheme="minorBidi"/>
          <w:kern w:val="2"/>
        </w:rPr>
      </w:pPr>
      <w:r w:rsidRPr="00D80822">
        <w:rPr>
          <w:rFonts w:asciiTheme="minorHAnsi" w:hAnsiTheme="minorHAnsi" w:cstheme="minorBidi"/>
          <w:kern w:val="2"/>
        </w:rPr>
        <w:t>Norway spruce and red pine are not only inappropriate for the sites, but they are also occupying space for native site-adapted species.  In this case inappropriate is referring to degraded ecological function associated with these species on this site.</w:t>
      </w:r>
    </w:p>
    <w:p w14:paraId="709194EE" w14:textId="77777777" w:rsidR="00CC621C" w:rsidRPr="00D80822" w:rsidRDefault="00CC621C" w:rsidP="00CC621C">
      <w:pPr>
        <w:spacing w:after="160" w:line="259" w:lineRule="auto"/>
        <w:ind w:left="2160"/>
        <w:contextualSpacing/>
        <w:rPr>
          <w:rFonts w:asciiTheme="minorHAnsi" w:hAnsiTheme="minorHAnsi" w:cstheme="minorBidi"/>
          <w:kern w:val="2"/>
        </w:rPr>
      </w:pPr>
    </w:p>
    <w:p w14:paraId="1C0B4F45" w14:textId="77777777" w:rsidR="00CC621C" w:rsidRDefault="00CC621C" w:rsidP="00CC621C">
      <w:pPr>
        <w:numPr>
          <w:ilvl w:val="1"/>
          <w:numId w:val="6"/>
        </w:numPr>
        <w:spacing w:after="160" w:line="259" w:lineRule="auto"/>
        <w:contextualSpacing/>
        <w:rPr>
          <w:rFonts w:asciiTheme="minorHAnsi" w:hAnsiTheme="minorHAnsi" w:cstheme="minorBidi"/>
          <w:kern w:val="2"/>
        </w:rPr>
      </w:pPr>
      <w:r w:rsidRPr="00D80822">
        <w:rPr>
          <w:rFonts w:asciiTheme="minorHAnsi" w:hAnsiTheme="minorHAnsi" w:cstheme="minorBidi"/>
          <w:kern w:val="2"/>
        </w:rPr>
        <w:t>Create more complexity and redundancy within the landscape by introducing additional age classes, a larger suite of tree and plant species, varying tree heights, varying densities (areas along a spectrum of very dense trees to no trees at all), varying tree sizes, etc. In juxtapositions that promote the movement and establishment of numerous species that have recolonized within previous management projects.</w:t>
      </w:r>
    </w:p>
    <w:p w14:paraId="78ECD79D" w14:textId="77777777" w:rsidR="00CC621C" w:rsidRPr="00D80822" w:rsidRDefault="00CC621C" w:rsidP="00CC621C">
      <w:pPr>
        <w:spacing w:after="160" w:line="259" w:lineRule="auto"/>
        <w:ind w:left="1440"/>
        <w:contextualSpacing/>
        <w:rPr>
          <w:rFonts w:asciiTheme="minorHAnsi" w:hAnsiTheme="minorHAnsi" w:cstheme="minorBidi"/>
          <w:kern w:val="2"/>
        </w:rPr>
      </w:pPr>
    </w:p>
    <w:p w14:paraId="3118A22A" w14:textId="77777777" w:rsidR="00CC621C" w:rsidRDefault="00CC621C" w:rsidP="00CC621C">
      <w:pPr>
        <w:numPr>
          <w:ilvl w:val="1"/>
          <w:numId w:val="6"/>
        </w:numPr>
        <w:spacing w:after="160" w:line="259" w:lineRule="auto"/>
        <w:contextualSpacing/>
        <w:rPr>
          <w:rFonts w:asciiTheme="minorHAnsi" w:hAnsiTheme="minorHAnsi" w:cstheme="minorBidi"/>
          <w:kern w:val="2"/>
        </w:rPr>
      </w:pPr>
      <w:r w:rsidRPr="00D80822">
        <w:rPr>
          <w:rFonts w:asciiTheme="minorHAnsi" w:hAnsiTheme="minorHAnsi" w:cstheme="minorBidi"/>
          <w:kern w:val="2"/>
        </w:rPr>
        <w:t>Improve conditions for a larger suite of native insects that rely on pollen and nectar such as bees, wasps, flies, beneficial predatory beetles, etc. which also act as pollinators.</w:t>
      </w:r>
    </w:p>
    <w:p w14:paraId="1911F01D" w14:textId="77777777" w:rsidR="00CC621C" w:rsidRDefault="00CC621C" w:rsidP="00CC621C">
      <w:pPr>
        <w:pStyle w:val="ListParagraph"/>
        <w:rPr>
          <w:rFonts w:asciiTheme="minorHAnsi" w:hAnsiTheme="minorHAnsi" w:cstheme="minorBidi"/>
          <w:kern w:val="2"/>
        </w:rPr>
      </w:pPr>
    </w:p>
    <w:p w14:paraId="60354D9E" w14:textId="77777777" w:rsidR="00CC621C" w:rsidRPr="00D80822" w:rsidRDefault="00CC621C" w:rsidP="00CC621C">
      <w:pPr>
        <w:spacing w:after="160" w:line="259" w:lineRule="auto"/>
        <w:ind w:left="1440"/>
        <w:contextualSpacing/>
        <w:rPr>
          <w:rFonts w:asciiTheme="minorHAnsi" w:hAnsiTheme="minorHAnsi" w:cstheme="minorBidi"/>
          <w:kern w:val="2"/>
        </w:rPr>
      </w:pPr>
    </w:p>
    <w:p w14:paraId="248E53E8" w14:textId="77777777" w:rsidR="00A3303E" w:rsidRDefault="00A3303E" w:rsidP="00CC621C">
      <w:pPr>
        <w:rPr>
          <w:rFonts w:asciiTheme="minorHAnsi" w:hAnsiTheme="minorHAnsi" w:cstheme="minorHAnsi"/>
          <w:b/>
          <w:bCs/>
          <w:sz w:val="24"/>
          <w:szCs w:val="24"/>
          <w:u w:val="single"/>
        </w:rPr>
      </w:pPr>
      <w:bookmarkStart w:id="0" w:name="_Hlk162611622"/>
    </w:p>
    <w:p w14:paraId="3D4BB0CD" w14:textId="77777777" w:rsidR="00A3303E" w:rsidRDefault="00A3303E" w:rsidP="00CC621C">
      <w:pPr>
        <w:rPr>
          <w:rFonts w:asciiTheme="minorHAnsi" w:hAnsiTheme="minorHAnsi" w:cstheme="minorHAnsi"/>
          <w:b/>
          <w:bCs/>
          <w:sz w:val="24"/>
          <w:szCs w:val="24"/>
          <w:u w:val="single"/>
        </w:rPr>
      </w:pPr>
    </w:p>
    <w:bookmarkEnd w:id="0"/>
    <w:p w14:paraId="16B0FE30" w14:textId="77777777" w:rsidR="00CC621C" w:rsidRDefault="00CC621C" w:rsidP="00CC621C"/>
    <w:p w14:paraId="1F143747" w14:textId="77777777" w:rsidR="00CC621C" w:rsidRPr="00AE35BD" w:rsidRDefault="00CC621C" w:rsidP="00CC621C"/>
    <w:p w14:paraId="4790BFF0" w14:textId="77777777" w:rsidR="001764F9" w:rsidRDefault="001764F9"/>
    <w:sectPr w:rsidR="00176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01EBE"/>
    <w:multiLevelType w:val="hybridMultilevel"/>
    <w:tmpl w:val="4B84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527F5"/>
    <w:multiLevelType w:val="hybridMultilevel"/>
    <w:tmpl w:val="FC7C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9780D"/>
    <w:multiLevelType w:val="hybridMultilevel"/>
    <w:tmpl w:val="B136D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A1434"/>
    <w:multiLevelType w:val="hybridMultilevel"/>
    <w:tmpl w:val="8244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22CD0"/>
    <w:multiLevelType w:val="hybridMultilevel"/>
    <w:tmpl w:val="B9961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B1302"/>
    <w:multiLevelType w:val="hybridMultilevel"/>
    <w:tmpl w:val="D15C62FC"/>
    <w:lvl w:ilvl="0" w:tplc="BBF0944E">
      <w:start w:val="1"/>
      <w:numFmt w:val="bullet"/>
      <w:lvlText w:val="·"/>
      <w:lvlJc w:val="left"/>
      <w:pPr>
        <w:ind w:left="720" w:hanging="360"/>
      </w:pPr>
      <w:rPr>
        <w:rFonts w:ascii="Symbol" w:hAnsi="Symbol" w:hint="default"/>
      </w:rPr>
    </w:lvl>
    <w:lvl w:ilvl="1" w:tplc="06E4C22C">
      <w:start w:val="1"/>
      <w:numFmt w:val="bullet"/>
      <w:lvlText w:val="o"/>
      <w:lvlJc w:val="left"/>
      <w:pPr>
        <w:ind w:left="1440" w:hanging="360"/>
      </w:pPr>
      <w:rPr>
        <w:rFonts w:ascii="Courier New" w:hAnsi="Courier New" w:hint="default"/>
      </w:rPr>
    </w:lvl>
    <w:lvl w:ilvl="2" w:tplc="9738A7A4">
      <w:start w:val="1"/>
      <w:numFmt w:val="bullet"/>
      <w:lvlText w:val=""/>
      <w:lvlJc w:val="left"/>
      <w:pPr>
        <w:ind w:left="2160" w:hanging="360"/>
      </w:pPr>
      <w:rPr>
        <w:rFonts w:ascii="Wingdings" w:hAnsi="Wingdings" w:hint="default"/>
      </w:rPr>
    </w:lvl>
    <w:lvl w:ilvl="3" w:tplc="F17E243C">
      <w:start w:val="1"/>
      <w:numFmt w:val="bullet"/>
      <w:lvlText w:val=""/>
      <w:lvlJc w:val="left"/>
      <w:pPr>
        <w:ind w:left="2880" w:hanging="360"/>
      </w:pPr>
      <w:rPr>
        <w:rFonts w:ascii="Symbol" w:hAnsi="Symbol" w:hint="default"/>
      </w:rPr>
    </w:lvl>
    <w:lvl w:ilvl="4" w:tplc="812C0CDA">
      <w:start w:val="1"/>
      <w:numFmt w:val="bullet"/>
      <w:lvlText w:val="o"/>
      <w:lvlJc w:val="left"/>
      <w:pPr>
        <w:ind w:left="3600" w:hanging="360"/>
      </w:pPr>
      <w:rPr>
        <w:rFonts w:ascii="Courier New" w:hAnsi="Courier New" w:hint="default"/>
      </w:rPr>
    </w:lvl>
    <w:lvl w:ilvl="5" w:tplc="482E86E6">
      <w:start w:val="1"/>
      <w:numFmt w:val="bullet"/>
      <w:lvlText w:val=""/>
      <w:lvlJc w:val="left"/>
      <w:pPr>
        <w:ind w:left="4320" w:hanging="360"/>
      </w:pPr>
      <w:rPr>
        <w:rFonts w:ascii="Wingdings" w:hAnsi="Wingdings" w:hint="default"/>
      </w:rPr>
    </w:lvl>
    <w:lvl w:ilvl="6" w:tplc="D03C28DE">
      <w:start w:val="1"/>
      <w:numFmt w:val="bullet"/>
      <w:lvlText w:val=""/>
      <w:lvlJc w:val="left"/>
      <w:pPr>
        <w:ind w:left="5040" w:hanging="360"/>
      </w:pPr>
      <w:rPr>
        <w:rFonts w:ascii="Symbol" w:hAnsi="Symbol" w:hint="default"/>
      </w:rPr>
    </w:lvl>
    <w:lvl w:ilvl="7" w:tplc="2C204DC8">
      <w:start w:val="1"/>
      <w:numFmt w:val="bullet"/>
      <w:lvlText w:val="o"/>
      <w:lvlJc w:val="left"/>
      <w:pPr>
        <w:ind w:left="5760" w:hanging="360"/>
      </w:pPr>
      <w:rPr>
        <w:rFonts w:ascii="Courier New" w:hAnsi="Courier New" w:hint="default"/>
      </w:rPr>
    </w:lvl>
    <w:lvl w:ilvl="8" w:tplc="831A0B76">
      <w:start w:val="1"/>
      <w:numFmt w:val="bullet"/>
      <w:lvlText w:val=""/>
      <w:lvlJc w:val="left"/>
      <w:pPr>
        <w:ind w:left="6480" w:hanging="360"/>
      </w:pPr>
      <w:rPr>
        <w:rFonts w:ascii="Wingdings" w:hAnsi="Wingdings" w:hint="default"/>
      </w:rPr>
    </w:lvl>
  </w:abstractNum>
  <w:num w:numId="1" w16cid:durableId="1224557474">
    <w:abstractNumId w:val="4"/>
  </w:num>
  <w:num w:numId="2" w16cid:durableId="1235580819">
    <w:abstractNumId w:val="2"/>
  </w:num>
  <w:num w:numId="3" w16cid:durableId="227302481">
    <w:abstractNumId w:val="3"/>
  </w:num>
  <w:num w:numId="4" w16cid:durableId="571164583">
    <w:abstractNumId w:val="0"/>
  </w:num>
  <w:num w:numId="5" w16cid:durableId="558323557">
    <w:abstractNumId w:val="5"/>
  </w:num>
  <w:num w:numId="6" w16cid:durableId="92727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1C"/>
    <w:rsid w:val="001764F9"/>
    <w:rsid w:val="00212078"/>
    <w:rsid w:val="006C5528"/>
    <w:rsid w:val="00A3303E"/>
    <w:rsid w:val="00CC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3A0D"/>
  <w15:chartTrackingRefBased/>
  <w15:docId w15:val="{7818232D-0EA1-440A-A21A-FB12225F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1C"/>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CC6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1C"/>
    <w:rPr>
      <w:rFonts w:eastAsiaTheme="majorEastAsia" w:cstheme="majorBidi"/>
      <w:color w:val="272727" w:themeColor="text1" w:themeTint="D8"/>
    </w:rPr>
  </w:style>
  <w:style w:type="paragraph" w:styleId="Title">
    <w:name w:val="Title"/>
    <w:basedOn w:val="Normal"/>
    <w:next w:val="Normal"/>
    <w:link w:val="TitleChar"/>
    <w:uiPriority w:val="10"/>
    <w:qFormat/>
    <w:rsid w:val="00CC62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1C"/>
    <w:pPr>
      <w:spacing w:before="160"/>
      <w:jc w:val="center"/>
    </w:pPr>
    <w:rPr>
      <w:i/>
      <w:iCs/>
      <w:color w:val="404040" w:themeColor="text1" w:themeTint="BF"/>
    </w:rPr>
  </w:style>
  <w:style w:type="character" w:customStyle="1" w:styleId="QuoteChar">
    <w:name w:val="Quote Char"/>
    <w:basedOn w:val="DefaultParagraphFont"/>
    <w:link w:val="Quote"/>
    <w:uiPriority w:val="29"/>
    <w:rsid w:val="00CC621C"/>
    <w:rPr>
      <w:i/>
      <w:iCs/>
      <w:color w:val="404040" w:themeColor="text1" w:themeTint="BF"/>
    </w:rPr>
  </w:style>
  <w:style w:type="paragraph" w:styleId="ListParagraph">
    <w:name w:val="List Paragraph"/>
    <w:basedOn w:val="Normal"/>
    <w:uiPriority w:val="1"/>
    <w:qFormat/>
    <w:rsid w:val="00CC621C"/>
    <w:pPr>
      <w:ind w:left="720"/>
      <w:contextualSpacing/>
    </w:pPr>
  </w:style>
  <w:style w:type="character" w:styleId="IntenseEmphasis">
    <w:name w:val="Intense Emphasis"/>
    <w:basedOn w:val="DefaultParagraphFont"/>
    <w:uiPriority w:val="21"/>
    <w:qFormat/>
    <w:rsid w:val="00CC621C"/>
    <w:rPr>
      <w:i/>
      <w:iCs/>
      <w:color w:val="0F4761" w:themeColor="accent1" w:themeShade="BF"/>
    </w:rPr>
  </w:style>
  <w:style w:type="paragraph" w:styleId="IntenseQuote">
    <w:name w:val="Intense Quote"/>
    <w:basedOn w:val="Normal"/>
    <w:next w:val="Normal"/>
    <w:link w:val="IntenseQuoteChar"/>
    <w:uiPriority w:val="30"/>
    <w:qFormat/>
    <w:rsid w:val="00CC6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1C"/>
    <w:rPr>
      <w:i/>
      <w:iCs/>
      <w:color w:val="0F4761" w:themeColor="accent1" w:themeShade="BF"/>
    </w:rPr>
  </w:style>
  <w:style w:type="character" w:styleId="IntenseReference">
    <w:name w:val="Intense Reference"/>
    <w:basedOn w:val="DefaultParagraphFont"/>
    <w:uiPriority w:val="32"/>
    <w:qFormat/>
    <w:rsid w:val="00CC621C"/>
    <w:rPr>
      <w:b/>
      <w:bCs/>
      <w:smallCaps/>
      <w:color w:val="0F4761" w:themeColor="accent1" w:themeShade="BF"/>
      <w:spacing w:val="5"/>
    </w:rPr>
  </w:style>
  <w:style w:type="character" w:styleId="Hyperlink">
    <w:name w:val="Hyperlink"/>
    <w:basedOn w:val="DefaultParagraphFont"/>
    <w:uiPriority w:val="99"/>
    <w:unhideWhenUsed/>
    <w:rsid w:val="00CC621C"/>
    <w:rPr>
      <w:color w:val="467886" w:themeColor="hyperlink"/>
      <w:u w:val="single"/>
    </w:rPr>
  </w:style>
  <w:style w:type="character" w:customStyle="1" w:styleId="normaltextrun">
    <w:name w:val="normaltextrun"/>
    <w:basedOn w:val="DefaultParagraphFont"/>
    <w:rsid w:val="00CC621C"/>
  </w:style>
  <w:style w:type="character" w:customStyle="1" w:styleId="eop">
    <w:name w:val="eop"/>
    <w:basedOn w:val="DefaultParagraphFont"/>
    <w:rsid w:val="00CC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estadaptation.org/adapt/demonstration-projects/massachusetts-dept-conservation-recreation-tannery-road-timber-sale" TargetMode="External"/><Relationship Id="rId11" Type="http://schemas.openxmlformats.org/officeDocument/2006/relationships/customXml" Target="../customXml/item3.xml"/><Relationship Id="rId5" Type="http://schemas.openxmlformats.org/officeDocument/2006/relationships/hyperlink" Target="https://forestadaptation.org/adapt/demonstration-projects/massachusetts-department-conservation-and-recreation-savoy-mountai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905381BFDDA4D80F7F23FAE50E991" ma:contentTypeVersion="16" ma:contentTypeDescription="Create a new document." ma:contentTypeScope="" ma:versionID="11d7943d805fa5e4312ff09a65f756f4">
  <xsd:schema xmlns:xsd="http://www.w3.org/2001/XMLSchema" xmlns:xs="http://www.w3.org/2001/XMLSchema" xmlns:p="http://schemas.microsoft.com/office/2006/metadata/properties" xmlns:ns2="3b360f7a-d5d3-4986-91c7-01203dc4bc3b" xmlns:ns3="974ea58c-40de-4ff0-acbb-cffe06d1eb3f" targetNamespace="http://schemas.microsoft.com/office/2006/metadata/properties" ma:root="true" ma:fieldsID="f9386fd0bfa873684c546cc244332567" ns2:_="" ns3:_="">
    <xsd:import namespace="3b360f7a-d5d3-4986-91c7-01203dc4bc3b"/>
    <xsd:import namespace="974ea58c-40de-4ff0-acbb-cffe06d1e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0f7a-d5d3-4986-91c7-01203dc4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ea58c-40de-4ff0-acbb-cffe06d1eb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5df79f-99df-42c5-bbb2-88ac566e2064}" ma:internalName="TaxCatchAll" ma:showField="CatchAllData" ma:web="974ea58c-40de-4ff0-acbb-cffe06d1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360f7a-d5d3-4986-91c7-01203dc4bc3b">
      <Terms xmlns="http://schemas.microsoft.com/office/infopath/2007/PartnerControls"/>
    </lcf76f155ced4ddcb4097134ff3c332f>
    <TaxCatchAll xmlns="974ea58c-40de-4ff0-acbb-cffe06d1eb3f" xsi:nil="true"/>
  </documentManagement>
</p:properties>
</file>

<file path=customXml/itemProps1.xml><?xml version="1.0" encoding="utf-8"?>
<ds:datastoreItem xmlns:ds="http://schemas.openxmlformats.org/officeDocument/2006/customXml" ds:itemID="{831CCC4E-E8C2-4B6D-A619-5CADCF605A11}"/>
</file>

<file path=customXml/itemProps2.xml><?xml version="1.0" encoding="utf-8"?>
<ds:datastoreItem xmlns:ds="http://schemas.openxmlformats.org/officeDocument/2006/customXml" ds:itemID="{5A518970-2147-4E4C-90A4-44B0A615AC99}"/>
</file>

<file path=customXml/itemProps3.xml><?xml version="1.0" encoding="utf-8"?>
<ds:datastoreItem xmlns:ds="http://schemas.openxmlformats.org/officeDocument/2006/customXml" ds:itemID="{6370EFD6-C24A-4294-AAED-596DA089C90A}"/>
</file>

<file path=docProps/app.xml><?xml version="1.0" encoding="utf-8"?>
<Properties xmlns="http://schemas.openxmlformats.org/officeDocument/2006/extended-properties" xmlns:vt="http://schemas.openxmlformats.org/officeDocument/2006/docPropsVTypes">
  <Template>Normal</Template>
  <TotalTime>18</TotalTime>
  <Pages>1</Pages>
  <Words>370</Words>
  <Characters>2110</Characters>
  <Application>Microsoft Office Word</Application>
  <DocSecurity>0</DocSecurity>
  <Lines>17</Lines>
  <Paragraphs>4</Paragraphs>
  <ScaleCrop>false</ScaleCrop>
  <Company>Executive Office of Energy and Environmental Affairs</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Podkowka, Kevin (DCR)</dc:creator>
  <cp:keywords/>
  <dc:description/>
  <cp:lastModifiedBy>Podkowka, Kevin (DCR)</cp:lastModifiedBy>
  <cp:revision>3</cp:revision>
  <dcterms:created xsi:type="dcterms:W3CDTF">2024-06-17T12:20:00Z</dcterms:created>
  <dcterms:modified xsi:type="dcterms:W3CDTF">2024-06-17T14:21:00Z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0x010100763905381BFDDA4D80F7F23FAE50E991</vt:lpwstr>
  </property>
</Properties>
</file>