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ED973" w14:textId="59C8E18C" w:rsidR="0066604A" w:rsidRDefault="0066604A"/>
    <w:p w14:paraId="26D9C4F2" w14:textId="77777777" w:rsidR="00D45CF3" w:rsidRPr="00054FF4" w:rsidRDefault="00D45CF3" w:rsidP="00D45CF3">
      <w:pPr>
        <w:jc w:val="center"/>
        <w:rPr>
          <w:rFonts w:cstheme="minorHAnsi"/>
          <w:b/>
          <w:bCs/>
        </w:rPr>
      </w:pPr>
      <w:r w:rsidRPr="00054FF4">
        <w:rPr>
          <w:rFonts w:cstheme="minorHAnsi"/>
          <w:b/>
          <w:bCs/>
        </w:rPr>
        <w:t>APPLICANT QUESTIONS</w:t>
      </w:r>
    </w:p>
    <w:p w14:paraId="0B653DC0" w14:textId="77777777" w:rsidR="00D45CF3" w:rsidRPr="00054FF4" w:rsidRDefault="00D45CF3" w:rsidP="00D45CF3">
      <w:pPr>
        <w:jc w:val="center"/>
        <w:rPr>
          <w:rFonts w:cstheme="minorHAnsi"/>
        </w:rPr>
      </w:pPr>
      <w:r w:rsidRPr="00054FF4">
        <w:rPr>
          <w:rFonts w:cstheme="minorHAnsi"/>
          <w:i/>
          <w:iCs/>
        </w:rPr>
        <w:t xml:space="preserve">Responses should be sent to </w:t>
      </w:r>
      <w:proofErr w:type="spellStart"/>
      <w:r w:rsidRPr="00054FF4">
        <w:rPr>
          <w:rFonts w:cstheme="minorHAnsi"/>
          <w:i/>
          <w:iCs/>
        </w:rPr>
        <w:t>DoN</w:t>
      </w:r>
      <w:proofErr w:type="spellEnd"/>
      <w:r w:rsidRPr="00054FF4">
        <w:rPr>
          <w:rFonts w:cstheme="minorHAnsi"/>
          <w:i/>
          <w:iCs/>
        </w:rPr>
        <w:t xml:space="preserve"> staff at </w:t>
      </w:r>
      <w:hyperlink r:id="rId11"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054FF4" w14:paraId="0DA3F6A5" w14:textId="77777777" w:rsidTr="007B31AA">
        <w:trPr>
          <w:jc w:val="center"/>
        </w:trPr>
        <w:tc>
          <w:tcPr>
            <w:tcW w:w="9350" w:type="dxa"/>
          </w:tcPr>
          <w:p w14:paraId="45FEAD51" w14:textId="77777777" w:rsidR="00D45CF3" w:rsidRPr="00054FF4" w:rsidRDefault="00D45CF3" w:rsidP="007B31AA">
            <w:pPr>
              <w:rPr>
                <w:rFonts w:cstheme="minorHAnsi"/>
                <w:bCs/>
              </w:rPr>
            </w:pPr>
            <w:r w:rsidRPr="00054FF4">
              <w:rPr>
                <w:rFonts w:cstheme="minorHAnsi"/>
                <w:bCs/>
              </w:rPr>
              <w:t xml:space="preserve">While you may submit each answer as available, please </w:t>
            </w:r>
          </w:p>
          <w:p w14:paraId="564BC99A"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List question number and question for each answer you provide </w:t>
            </w:r>
          </w:p>
          <w:p w14:paraId="3481F63B"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78D014BD"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When providing the answer to the final question, submit all questions and answers in one final document </w:t>
            </w:r>
          </w:p>
          <w:p w14:paraId="61B898A9" w14:textId="77777777" w:rsidR="00D45CF3" w:rsidRPr="00054FF4" w:rsidRDefault="00D45CF3" w:rsidP="00D45CF3">
            <w:pPr>
              <w:pStyle w:val="ListParagraph"/>
              <w:numPr>
                <w:ilvl w:val="0"/>
                <w:numId w:val="2"/>
              </w:numPr>
              <w:rPr>
                <w:rFonts w:cstheme="minorHAnsi"/>
                <w:b/>
              </w:rPr>
            </w:pPr>
            <w:r w:rsidRPr="00054FF4">
              <w:rPr>
                <w:rFonts w:cstheme="minorHAnsi"/>
                <w:bCs/>
              </w:rPr>
              <w:t xml:space="preserve">Submit responses in WORD or EXCEL; only use PDF’s if </w:t>
            </w:r>
            <w:proofErr w:type="gramStart"/>
            <w:r w:rsidRPr="00054FF4">
              <w:rPr>
                <w:rFonts w:cstheme="minorHAnsi"/>
                <w:bCs/>
              </w:rPr>
              <w:t>absolutely necessary</w:t>
            </w:r>
            <w:proofErr w:type="gramEnd"/>
            <w:r w:rsidRPr="00054FF4">
              <w:rPr>
                <w:rFonts w:cstheme="minorHAnsi"/>
                <w:bCs/>
              </w:rPr>
              <w:t>. If “cutting and pasting” charts, provide them in a PDF so they can be clearly seen</w:t>
            </w:r>
          </w:p>
          <w:p w14:paraId="01C56AEF" w14:textId="77777777" w:rsidR="00D45CF3" w:rsidRPr="00054FF4" w:rsidRDefault="00D45CF3" w:rsidP="00D45CF3">
            <w:pPr>
              <w:pStyle w:val="ListParagraph"/>
              <w:numPr>
                <w:ilvl w:val="0"/>
                <w:numId w:val="2"/>
              </w:numPr>
              <w:rPr>
                <w:rFonts w:cstheme="minorHAnsi"/>
                <w:b/>
              </w:rPr>
            </w:pPr>
            <w:r w:rsidRPr="00054FF4">
              <w:rPr>
                <w:rFonts w:cstheme="minorHAnsi"/>
                <w:b/>
              </w:rPr>
              <w:t>Whenever possible, include a table with the response</w:t>
            </w:r>
          </w:p>
        </w:tc>
      </w:tr>
    </w:tbl>
    <w:p w14:paraId="0A81B0B9" w14:textId="2C655C29" w:rsidR="0066604A" w:rsidRDefault="0066604A"/>
    <w:p w14:paraId="66ACB8DD" w14:textId="77777777" w:rsidR="005756F8" w:rsidRPr="0070429A" w:rsidRDefault="005756F8" w:rsidP="005756F8">
      <w:pPr>
        <w:tabs>
          <w:tab w:val="left" w:pos="4455"/>
        </w:tabs>
        <w:rPr>
          <w:b/>
          <w:bCs/>
        </w:rPr>
      </w:pPr>
      <w:r w:rsidRPr="0070429A">
        <w:rPr>
          <w:b/>
          <w:bCs/>
        </w:rPr>
        <w:t>FACTOR 1</w:t>
      </w:r>
    </w:p>
    <w:p w14:paraId="370CAB6A" w14:textId="23DD6DB6" w:rsidR="007D4FB8" w:rsidRPr="008C259A" w:rsidRDefault="0066604A" w:rsidP="007D4FB8">
      <w:pPr>
        <w:pStyle w:val="ListParagraph"/>
        <w:numPr>
          <w:ilvl w:val="0"/>
          <w:numId w:val="1"/>
        </w:numPr>
      </w:pPr>
      <w:r>
        <w:t xml:space="preserve">The </w:t>
      </w:r>
      <w:r w:rsidR="00075B8D">
        <w:t>a</w:t>
      </w:r>
      <w:r>
        <w:t>pplication provided payer mix for Marlborough Hospital. Please provide payer mix for UMMHC.</w:t>
      </w:r>
      <w:r w:rsidR="00A35E0F">
        <w:t xml:space="preserve"> </w:t>
      </w:r>
    </w:p>
    <w:p w14:paraId="00C6A4A8" w14:textId="5FA77AB9" w:rsidR="008C259A" w:rsidRDefault="008C259A" w:rsidP="008C259A">
      <w:pPr>
        <w:pStyle w:val="ListParagraph"/>
        <w:rPr>
          <w:color w:val="FF0000"/>
        </w:rPr>
      </w:pPr>
    </w:p>
    <w:tbl>
      <w:tblPr>
        <w:tblStyle w:val="TableGrid"/>
        <w:tblW w:w="0" w:type="auto"/>
        <w:tblInd w:w="720" w:type="dxa"/>
        <w:tblLook w:val="04A0" w:firstRow="1" w:lastRow="0" w:firstColumn="1" w:lastColumn="0" w:noHBand="0" w:noVBand="1"/>
      </w:tblPr>
      <w:tblGrid>
        <w:gridCol w:w="3505"/>
        <w:gridCol w:w="1710"/>
        <w:gridCol w:w="1710"/>
        <w:gridCol w:w="1705"/>
      </w:tblGrid>
      <w:tr w:rsidR="008C259A" w14:paraId="413CE860" w14:textId="77777777" w:rsidTr="008A1081">
        <w:trPr>
          <w:cantSplit/>
          <w:tblHeader/>
        </w:trPr>
        <w:tc>
          <w:tcPr>
            <w:tcW w:w="3505" w:type="dxa"/>
            <w:shd w:val="clear" w:color="auto" w:fill="002060"/>
          </w:tcPr>
          <w:p w14:paraId="3B920A25" w14:textId="77777777" w:rsidR="008C259A" w:rsidRDefault="008C259A" w:rsidP="008C259A">
            <w:pPr>
              <w:pStyle w:val="ListParagraph"/>
              <w:ind w:left="0"/>
            </w:pPr>
          </w:p>
        </w:tc>
        <w:tc>
          <w:tcPr>
            <w:tcW w:w="1710" w:type="dxa"/>
            <w:shd w:val="clear" w:color="auto" w:fill="002060"/>
          </w:tcPr>
          <w:p w14:paraId="6C9C0481" w14:textId="412B15B3" w:rsidR="008C259A" w:rsidRDefault="008C259A" w:rsidP="008C259A">
            <w:pPr>
              <w:pStyle w:val="ListParagraph"/>
              <w:ind w:left="0"/>
              <w:jc w:val="center"/>
            </w:pPr>
            <w:r>
              <w:t>FY2019</w:t>
            </w:r>
          </w:p>
        </w:tc>
        <w:tc>
          <w:tcPr>
            <w:tcW w:w="1710" w:type="dxa"/>
            <w:shd w:val="clear" w:color="auto" w:fill="002060"/>
          </w:tcPr>
          <w:p w14:paraId="3865CB9D" w14:textId="7B958A33" w:rsidR="008C259A" w:rsidRDefault="008C259A" w:rsidP="008C259A">
            <w:pPr>
              <w:pStyle w:val="ListParagraph"/>
              <w:ind w:left="0"/>
              <w:jc w:val="center"/>
            </w:pPr>
            <w:r>
              <w:t>FY2020</w:t>
            </w:r>
          </w:p>
        </w:tc>
        <w:tc>
          <w:tcPr>
            <w:tcW w:w="1705" w:type="dxa"/>
            <w:shd w:val="clear" w:color="auto" w:fill="002060"/>
          </w:tcPr>
          <w:p w14:paraId="34411E87" w14:textId="441A95AF" w:rsidR="008C259A" w:rsidRDefault="008C259A" w:rsidP="008C259A">
            <w:pPr>
              <w:pStyle w:val="ListParagraph"/>
              <w:ind w:left="0"/>
              <w:jc w:val="center"/>
            </w:pPr>
            <w:r>
              <w:t>FY2021</w:t>
            </w:r>
          </w:p>
        </w:tc>
      </w:tr>
      <w:tr w:rsidR="008C259A" w14:paraId="17FFA258" w14:textId="77777777" w:rsidTr="008A1081">
        <w:trPr>
          <w:cantSplit/>
        </w:trPr>
        <w:tc>
          <w:tcPr>
            <w:tcW w:w="3505" w:type="dxa"/>
          </w:tcPr>
          <w:p w14:paraId="58AB81B7" w14:textId="5ADEC1A0" w:rsidR="008C259A" w:rsidRDefault="008C259A" w:rsidP="008C259A">
            <w:pPr>
              <w:pStyle w:val="ListParagraph"/>
              <w:ind w:left="0"/>
            </w:pPr>
            <w:r>
              <w:t>Commercial PPO/Indemnity</w:t>
            </w:r>
          </w:p>
        </w:tc>
        <w:tc>
          <w:tcPr>
            <w:tcW w:w="1710" w:type="dxa"/>
          </w:tcPr>
          <w:p w14:paraId="469C3753" w14:textId="29389169" w:rsidR="008C259A" w:rsidRDefault="006214BC" w:rsidP="008C259A">
            <w:pPr>
              <w:pStyle w:val="ListParagraph"/>
              <w:ind w:left="0"/>
              <w:jc w:val="center"/>
            </w:pPr>
            <w:r>
              <w:t>2.50%</w:t>
            </w:r>
          </w:p>
        </w:tc>
        <w:tc>
          <w:tcPr>
            <w:tcW w:w="1710" w:type="dxa"/>
          </w:tcPr>
          <w:p w14:paraId="72034FEE" w14:textId="792A91D5" w:rsidR="008C259A" w:rsidRDefault="006214BC" w:rsidP="008C259A">
            <w:pPr>
              <w:pStyle w:val="ListParagraph"/>
              <w:ind w:left="0"/>
              <w:jc w:val="center"/>
            </w:pPr>
            <w:r>
              <w:t>3.30%</w:t>
            </w:r>
          </w:p>
        </w:tc>
        <w:tc>
          <w:tcPr>
            <w:tcW w:w="1705" w:type="dxa"/>
          </w:tcPr>
          <w:p w14:paraId="041E4311" w14:textId="6D7E8B92" w:rsidR="008C259A" w:rsidRDefault="006214BC" w:rsidP="008C259A">
            <w:pPr>
              <w:pStyle w:val="ListParagraph"/>
              <w:ind w:left="0"/>
              <w:jc w:val="center"/>
            </w:pPr>
            <w:r>
              <w:t>3.00%</w:t>
            </w:r>
          </w:p>
        </w:tc>
      </w:tr>
      <w:tr w:rsidR="008C259A" w14:paraId="326FD717" w14:textId="77777777" w:rsidTr="008A1081">
        <w:trPr>
          <w:cantSplit/>
        </w:trPr>
        <w:tc>
          <w:tcPr>
            <w:tcW w:w="3505" w:type="dxa"/>
          </w:tcPr>
          <w:p w14:paraId="4503C22A" w14:textId="3F3D8E5D" w:rsidR="008C259A" w:rsidRDefault="008C259A" w:rsidP="008C259A">
            <w:pPr>
              <w:pStyle w:val="ListParagraph"/>
              <w:ind w:left="0"/>
            </w:pPr>
            <w:r>
              <w:t>Commercial HMO/POS</w:t>
            </w:r>
          </w:p>
        </w:tc>
        <w:tc>
          <w:tcPr>
            <w:tcW w:w="1710" w:type="dxa"/>
          </w:tcPr>
          <w:p w14:paraId="3C3CA7F0" w14:textId="4965806B" w:rsidR="008C259A" w:rsidRDefault="006214BC" w:rsidP="008C259A">
            <w:pPr>
              <w:pStyle w:val="ListParagraph"/>
              <w:ind w:left="0"/>
              <w:jc w:val="center"/>
            </w:pPr>
            <w:r>
              <w:t>28.70%</w:t>
            </w:r>
          </w:p>
        </w:tc>
        <w:tc>
          <w:tcPr>
            <w:tcW w:w="1710" w:type="dxa"/>
          </w:tcPr>
          <w:p w14:paraId="7E03847D" w14:textId="7AD0CB0E" w:rsidR="008C259A" w:rsidRDefault="006214BC" w:rsidP="008C259A">
            <w:pPr>
              <w:pStyle w:val="ListParagraph"/>
              <w:ind w:left="0"/>
              <w:jc w:val="center"/>
            </w:pPr>
            <w:r>
              <w:t>27.10%</w:t>
            </w:r>
          </w:p>
        </w:tc>
        <w:tc>
          <w:tcPr>
            <w:tcW w:w="1705" w:type="dxa"/>
          </w:tcPr>
          <w:p w14:paraId="67FEBB99" w14:textId="780776F5" w:rsidR="008C259A" w:rsidRDefault="006214BC" w:rsidP="008C259A">
            <w:pPr>
              <w:pStyle w:val="ListParagraph"/>
              <w:ind w:left="0"/>
              <w:jc w:val="center"/>
            </w:pPr>
            <w:r>
              <w:t>26.70%</w:t>
            </w:r>
          </w:p>
        </w:tc>
      </w:tr>
      <w:tr w:rsidR="008C259A" w14:paraId="50511A32" w14:textId="77777777" w:rsidTr="008A1081">
        <w:trPr>
          <w:cantSplit/>
        </w:trPr>
        <w:tc>
          <w:tcPr>
            <w:tcW w:w="3505" w:type="dxa"/>
          </w:tcPr>
          <w:p w14:paraId="079B6686" w14:textId="653A642F" w:rsidR="008C259A" w:rsidRDefault="008C259A" w:rsidP="008C259A">
            <w:pPr>
              <w:pStyle w:val="ListParagraph"/>
              <w:ind w:left="0"/>
            </w:pPr>
            <w:r>
              <w:t>MassHealth</w:t>
            </w:r>
          </w:p>
        </w:tc>
        <w:tc>
          <w:tcPr>
            <w:tcW w:w="1710" w:type="dxa"/>
          </w:tcPr>
          <w:p w14:paraId="6FB8DBFF" w14:textId="678CDD2F" w:rsidR="008C259A" w:rsidRDefault="006214BC" w:rsidP="008C259A">
            <w:pPr>
              <w:pStyle w:val="ListParagraph"/>
              <w:ind w:left="0"/>
              <w:jc w:val="center"/>
            </w:pPr>
            <w:r>
              <w:t>17.40%</w:t>
            </w:r>
          </w:p>
        </w:tc>
        <w:tc>
          <w:tcPr>
            <w:tcW w:w="1710" w:type="dxa"/>
          </w:tcPr>
          <w:p w14:paraId="21DCC41E" w14:textId="09B8B7F7" w:rsidR="008C259A" w:rsidRDefault="006214BC" w:rsidP="008C259A">
            <w:pPr>
              <w:pStyle w:val="ListParagraph"/>
              <w:ind w:left="0"/>
              <w:jc w:val="center"/>
            </w:pPr>
            <w:r>
              <w:t>17.60%</w:t>
            </w:r>
          </w:p>
        </w:tc>
        <w:tc>
          <w:tcPr>
            <w:tcW w:w="1705" w:type="dxa"/>
          </w:tcPr>
          <w:p w14:paraId="2D5C7DC1" w14:textId="2D2C1299" w:rsidR="008C259A" w:rsidRDefault="006214BC" w:rsidP="008C259A">
            <w:pPr>
              <w:pStyle w:val="ListParagraph"/>
              <w:ind w:left="0"/>
              <w:jc w:val="center"/>
            </w:pPr>
            <w:r>
              <w:t>17.50%</w:t>
            </w:r>
          </w:p>
        </w:tc>
      </w:tr>
      <w:tr w:rsidR="008C259A" w14:paraId="5E3137CF" w14:textId="77777777" w:rsidTr="008A1081">
        <w:trPr>
          <w:cantSplit/>
        </w:trPr>
        <w:tc>
          <w:tcPr>
            <w:tcW w:w="3505" w:type="dxa"/>
          </w:tcPr>
          <w:p w14:paraId="5266DC23" w14:textId="257C3CB6" w:rsidR="008C259A" w:rsidRDefault="008C259A" w:rsidP="008C259A">
            <w:pPr>
              <w:pStyle w:val="ListParagraph"/>
              <w:ind w:left="0"/>
            </w:pPr>
            <w:r>
              <w:t>Managed Medicaid</w:t>
            </w:r>
          </w:p>
        </w:tc>
        <w:tc>
          <w:tcPr>
            <w:tcW w:w="1710" w:type="dxa"/>
          </w:tcPr>
          <w:p w14:paraId="4F17FABD" w14:textId="1C4237C3" w:rsidR="008C259A" w:rsidRDefault="006214BC" w:rsidP="008C259A">
            <w:pPr>
              <w:pStyle w:val="ListParagraph"/>
              <w:ind w:left="0"/>
              <w:jc w:val="center"/>
            </w:pPr>
            <w:r>
              <w:t>5.40%</w:t>
            </w:r>
          </w:p>
        </w:tc>
        <w:tc>
          <w:tcPr>
            <w:tcW w:w="1710" w:type="dxa"/>
          </w:tcPr>
          <w:p w14:paraId="65FAFE33" w14:textId="78EA0C66" w:rsidR="008C259A" w:rsidRDefault="006214BC" w:rsidP="008C259A">
            <w:pPr>
              <w:pStyle w:val="ListParagraph"/>
              <w:ind w:left="0"/>
              <w:jc w:val="center"/>
            </w:pPr>
            <w:r>
              <w:t>6.50%</w:t>
            </w:r>
          </w:p>
        </w:tc>
        <w:tc>
          <w:tcPr>
            <w:tcW w:w="1705" w:type="dxa"/>
          </w:tcPr>
          <w:p w14:paraId="68F6C6B0" w14:textId="64147754" w:rsidR="008C259A" w:rsidRDefault="006214BC" w:rsidP="008C259A">
            <w:pPr>
              <w:pStyle w:val="ListParagraph"/>
              <w:ind w:left="0"/>
              <w:jc w:val="center"/>
            </w:pPr>
            <w:r>
              <w:t>6.4%</w:t>
            </w:r>
          </w:p>
        </w:tc>
      </w:tr>
      <w:tr w:rsidR="008C259A" w14:paraId="3FD1DA4A" w14:textId="77777777" w:rsidTr="008A1081">
        <w:trPr>
          <w:cantSplit/>
        </w:trPr>
        <w:tc>
          <w:tcPr>
            <w:tcW w:w="3505" w:type="dxa"/>
          </w:tcPr>
          <w:p w14:paraId="2136F34B" w14:textId="72AC032D" w:rsidR="008C259A" w:rsidRDefault="008C259A" w:rsidP="008C259A">
            <w:pPr>
              <w:pStyle w:val="ListParagraph"/>
              <w:ind w:left="0"/>
            </w:pPr>
            <w:r>
              <w:t>Commercial Medicare</w:t>
            </w:r>
          </w:p>
        </w:tc>
        <w:tc>
          <w:tcPr>
            <w:tcW w:w="1710" w:type="dxa"/>
          </w:tcPr>
          <w:p w14:paraId="542037B9" w14:textId="4675B0DC" w:rsidR="008C259A" w:rsidRDefault="006214BC" w:rsidP="008C259A">
            <w:pPr>
              <w:pStyle w:val="ListParagraph"/>
              <w:ind w:left="0"/>
              <w:jc w:val="center"/>
            </w:pPr>
            <w:r>
              <w:t>12.70%</w:t>
            </w:r>
          </w:p>
        </w:tc>
        <w:tc>
          <w:tcPr>
            <w:tcW w:w="1710" w:type="dxa"/>
          </w:tcPr>
          <w:p w14:paraId="730685E0" w14:textId="3611B7BE" w:rsidR="008C259A" w:rsidRDefault="006214BC" w:rsidP="008C259A">
            <w:pPr>
              <w:pStyle w:val="ListParagraph"/>
              <w:ind w:left="0"/>
              <w:jc w:val="center"/>
            </w:pPr>
            <w:r>
              <w:t>13.40%</w:t>
            </w:r>
          </w:p>
        </w:tc>
        <w:tc>
          <w:tcPr>
            <w:tcW w:w="1705" w:type="dxa"/>
          </w:tcPr>
          <w:p w14:paraId="5C4AE220" w14:textId="5765058F" w:rsidR="008C259A" w:rsidRPr="008A1081" w:rsidRDefault="006214BC" w:rsidP="008C259A">
            <w:pPr>
              <w:pStyle w:val="ListParagraph"/>
              <w:ind w:left="0"/>
              <w:jc w:val="center"/>
            </w:pPr>
            <w:r w:rsidRPr="008A1081">
              <w:t>14.80%</w:t>
            </w:r>
          </w:p>
        </w:tc>
      </w:tr>
      <w:tr w:rsidR="008C259A" w14:paraId="024F94B9" w14:textId="77777777" w:rsidTr="008A1081">
        <w:trPr>
          <w:cantSplit/>
        </w:trPr>
        <w:tc>
          <w:tcPr>
            <w:tcW w:w="3505" w:type="dxa"/>
          </w:tcPr>
          <w:p w14:paraId="70B01B9A" w14:textId="4F9B812F" w:rsidR="008C259A" w:rsidRDefault="008C259A" w:rsidP="008C259A">
            <w:pPr>
              <w:pStyle w:val="ListParagraph"/>
              <w:ind w:left="0"/>
            </w:pPr>
            <w:r>
              <w:t>Medicare FFS</w:t>
            </w:r>
          </w:p>
        </w:tc>
        <w:tc>
          <w:tcPr>
            <w:tcW w:w="1710" w:type="dxa"/>
          </w:tcPr>
          <w:p w14:paraId="2F1FD12B" w14:textId="59A7C1D0" w:rsidR="008C259A" w:rsidRDefault="006214BC" w:rsidP="008C259A">
            <w:pPr>
              <w:pStyle w:val="ListParagraph"/>
              <w:ind w:left="0"/>
              <w:jc w:val="center"/>
            </w:pPr>
            <w:r>
              <w:t>29.20%</w:t>
            </w:r>
          </w:p>
        </w:tc>
        <w:tc>
          <w:tcPr>
            <w:tcW w:w="1710" w:type="dxa"/>
          </w:tcPr>
          <w:p w14:paraId="72A81996" w14:textId="1A2979D5" w:rsidR="008C259A" w:rsidRDefault="006214BC" w:rsidP="008C259A">
            <w:pPr>
              <w:pStyle w:val="ListParagraph"/>
              <w:ind w:left="0"/>
              <w:jc w:val="center"/>
            </w:pPr>
            <w:r>
              <w:t>28.70%</w:t>
            </w:r>
          </w:p>
        </w:tc>
        <w:tc>
          <w:tcPr>
            <w:tcW w:w="1705" w:type="dxa"/>
          </w:tcPr>
          <w:p w14:paraId="35EA8DD2" w14:textId="22F65D86" w:rsidR="008C259A" w:rsidRDefault="006214BC" w:rsidP="008C259A">
            <w:pPr>
              <w:pStyle w:val="ListParagraph"/>
              <w:ind w:left="0"/>
              <w:jc w:val="center"/>
            </w:pPr>
            <w:r>
              <w:t>28.40%</w:t>
            </w:r>
          </w:p>
        </w:tc>
      </w:tr>
      <w:tr w:rsidR="008C259A" w14:paraId="4E2F4EE2" w14:textId="77777777" w:rsidTr="008A1081">
        <w:trPr>
          <w:cantSplit/>
        </w:trPr>
        <w:tc>
          <w:tcPr>
            <w:tcW w:w="3505" w:type="dxa"/>
          </w:tcPr>
          <w:p w14:paraId="4209321B" w14:textId="06567ACC" w:rsidR="008C259A" w:rsidRDefault="008C259A" w:rsidP="008C259A">
            <w:pPr>
              <w:pStyle w:val="ListParagraph"/>
              <w:ind w:left="0"/>
            </w:pPr>
            <w:r>
              <w:t>All Other (</w:t>
            </w:r>
            <w:proofErr w:type="spellStart"/>
            <w:r>
              <w:t>eg.</w:t>
            </w:r>
            <w:proofErr w:type="spellEnd"/>
            <w:r>
              <w:t xml:space="preserve"> HSN</w:t>
            </w:r>
            <w:r w:rsidR="006214BC">
              <w:t xml:space="preserve">, Self-pay, </w:t>
            </w:r>
            <w:proofErr w:type="spellStart"/>
            <w:r w:rsidR="006214BC">
              <w:t>TriCare</w:t>
            </w:r>
            <w:proofErr w:type="spellEnd"/>
          </w:p>
        </w:tc>
        <w:tc>
          <w:tcPr>
            <w:tcW w:w="1710" w:type="dxa"/>
          </w:tcPr>
          <w:p w14:paraId="75D418CA" w14:textId="6BCAD1CC" w:rsidR="008C259A" w:rsidRDefault="006214BC" w:rsidP="008C259A">
            <w:pPr>
              <w:pStyle w:val="ListParagraph"/>
              <w:ind w:left="0"/>
              <w:jc w:val="center"/>
            </w:pPr>
            <w:r>
              <w:t>4.10%</w:t>
            </w:r>
          </w:p>
        </w:tc>
        <w:tc>
          <w:tcPr>
            <w:tcW w:w="1710" w:type="dxa"/>
          </w:tcPr>
          <w:p w14:paraId="64C7EC33" w14:textId="4C18C8BE" w:rsidR="008C259A" w:rsidRDefault="006214BC" w:rsidP="008C259A">
            <w:pPr>
              <w:pStyle w:val="ListParagraph"/>
              <w:ind w:left="0"/>
              <w:jc w:val="center"/>
            </w:pPr>
            <w:r>
              <w:t>3.50%</w:t>
            </w:r>
          </w:p>
        </w:tc>
        <w:tc>
          <w:tcPr>
            <w:tcW w:w="1705" w:type="dxa"/>
          </w:tcPr>
          <w:p w14:paraId="64BD533E" w14:textId="520FEC58" w:rsidR="008C259A" w:rsidRDefault="006214BC" w:rsidP="008C259A">
            <w:pPr>
              <w:pStyle w:val="ListParagraph"/>
              <w:ind w:left="0"/>
              <w:jc w:val="center"/>
            </w:pPr>
            <w:r>
              <w:t>3.20%</w:t>
            </w:r>
          </w:p>
        </w:tc>
      </w:tr>
      <w:tr w:rsidR="008C259A" w14:paraId="45752656" w14:textId="77777777" w:rsidTr="008A1081">
        <w:trPr>
          <w:cantSplit/>
        </w:trPr>
        <w:tc>
          <w:tcPr>
            <w:tcW w:w="3505" w:type="dxa"/>
          </w:tcPr>
          <w:p w14:paraId="1B7C2E94" w14:textId="072F669C" w:rsidR="008C259A" w:rsidRPr="006214BC" w:rsidRDefault="006214BC" w:rsidP="008C259A">
            <w:pPr>
              <w:pStyle w:val="ListParagraph"/>
              <w:ind w:left="0"/>
              <w:rPr>
                <w:b/>
                <w:bCs/>
              </w:rPr>
            </w:pPr>
            <w:r w:rsidRPr="006214BC">
              <w:rPr>
                <w:b/>
                <w:bCs/>
              </w:rPr>
              <w:t xml:space="preserve">Total </w:t>
            </w:r>
          </w:p>
        </w:tc>
        <w:tc>
          <w:tcPr>
            <w:tcW w:w="1710" w:type="dxa"/>
          </w:tcPr>
          <w:p w14:paraId="0613A57B" w14:textId="34D27710" w:rsidR="008C259A" w:rsidRPr="006214BC" w:rsidRDefault="006214BC" w:rsidP="008C259A">
            <w:pPr>
              <w:pStyle w:val="ListParagraph"/>
              <w:ind w:left="0"/>
              <w:jc w:val="center"/>
              <w:rPr>
                <w:b/>
                <w:bCs/>
              </w:rPr>
            </w:pPr>
            <w:r w:rsidRPr="006214BC">
              <w:rPr>
                <w:b/>
                <w:bCs/>
              </w:rPr>
              <w:t>100.00%</w:t>
            </w:r>
          </w:p>
        </w:tc>
        <w:tc>
          <w:tcPr>
            <w:tcW w:w="1710" w:type="dxa"/>
          </w:tcPr>
          <w:p w14:paraId="3AC01EA0" w14:textId="443DD50A" w:rsidR="008C259A" w:rsidRPr="006214BC" w:rsidRDefault="006214BC" w:rsidP="008C259A">
            <w:pPr>
              <w:pStyle w:val="ListParagraph"/>
              <w:ind w:left="0"/>
              <w:jc w:val="center"/>
              <w:rPr>
                <w:b/>
                <w:bCs/>
              </w:rPr>
            </w:pPr>
            <w:r>
              <w:rPr>
                <w:b/>
                <w:bCs/>
              </w:rPr>
              <w:t>100.00%</w:t>
            </w:r>
          </w:p>
        </w:tc>
        <w:tc>
          <w:tcPr>
            <w:tcW w:w="1705" w:type="dxa"/>
          </w:tcPr>
          <w:p w14:paraId="7763A9C7" w14:textId="34877D1B" w:rsidR="008C259A" w:rsidRPr="006214BC" w:rsidRDefault="006214BC" w:rsidP="008C259A">
            <w:pPr>
              <w:pStyle w:val="ListParagraph"/>
              <w:ind w:left="0"/>
              <w:jc w:val="center"/>
              <w:rPr>
                <w:b/>
                <w:bCs/>
              </w:rPr>
            </w:pPr>
            <w:r>
              <w:rPr>
                <w:b/>
                <w:bCs/>
              </w:rPr>
              <w:t>100.00%</w:t>
            </w:r>
          </w:p>
        </w:tc>
      </w:tr>
    </w:tbl>
    <w:p w14:paraId="371C062B" w14:textId="77777777" w:rsidR="008C259A" w:rsidRDefault="008C259A" w:rsidP="008C259A">
      <w:pPr>
        <w:pStyle w:val="ListParagraph"/>
      </w:pPr>
    </w:p>
    <w:p w14:paraId="389DD0A6" w14:textId="6BF21798" w:rsidR="007D4FB8" w:rsidRPr="00A66D5B" w:rsidRDefault="00F1598A" w:rsidP="007D4FB8">
      <w:pPr>
        <w:pStyle w:val="ListParagraph"/>
        <w:numPr>
          <w:ilvl w:val="0"/>
          <w:numId w:val="1"/>
        </w:numPr>
      </w:pPr>
      <w:r>
        <w:t xml:space="preserve">The application provided projections </w:t>
      </w:r>
      <w:r w:rsidR="00460A29">
        <w:t>for Year 1 through Year 6 of project implementation</w:t>
      </w:r>
      <w:r w:rsidR="00CE38D9">
        <w:t xml:space="preserve"> (pg.</w:t>
      </w:r>
      <w:r w:rsidR="00336A73">
        <w:t xml:space="preserve"> 9-</w:t>
      </w:r>
      <w:r w:rsidR="00CE38D9">
        <w:t>10)</w:t>
      </w:r>
      <w:r w:rsidR="00460A29">
        <w:t>. Does the Applicant anticipate any changes in the hours/</w:t>
      </w:r>
      <w:proofErr w:type="gramStart"/>
      <w:r w:rsidR="00460A29">
        <w:t>days</w:t>
      </w:r>
      <w:proofErr w:type="gramEnd"/>
      <w:r w:rsidR="00460A29">
        <w:t xml:space="preserve"> operation of the PET-CT unit during project implementation?</w:t>
      </w:r>
      <w:r w:rsidR="00A35E0F" w:rsidRPr="00892672">
        <w:rPr>
          <w:color w:val="00B050"/>
        </w:rPr>
        <w:t xml:space="preserve"> </w:t>
      </w:r>
    </w:p>
    <w:p w14:paraId="0252886A" w14:textId="78474854" w:rsidR="00A66D5B" w:rsidRDefault="00A66D5B" w:rsidP="00A66D5B">
      <w:pPr>
        <w:pStyle w:val="ListParagraph"/>
      </w:pPr>
    </w:p>
    <w:p w14:paraId="61AEB26E" w14:textId="4896F5B4" w:rsidR="00DE6FDE" w:rsidRPr="00D149D9" w:rsidRDefault="003E520E" w:rsidP="00A66D5B">
      <w:pPr>
        <w:pStyle w:val="ListParagraph"/>
        <w:rPr>
          <w:color w:val="0070C0"/>
        </w:rPr>
      </w:pPr>
      <w:r w:rsidRPr="00D149D9">
        <w:rPr>
          <w:color w:val="0070C0"/>
        </w:rPr>
        <w:t xml:space="preserve">The Applicant does not anticipate </w:t>
      </w:r>
      <w:r w:rsidR="002E76F2" w:rsidRPr="00D149D9">
        <w:rPr>
          <w:color w:val="0070C0"/>
        </w:rPr>
        <w:t xml:space="preserve">any changes in the hours/days of operation of the PET-CT unit during project implementation. </w:t>
      </w:r>
      <w:r w:rsidR="00EF4477" w:rsidRPr="00D149D9">
        <w:rPr>
          <w:color w:val="0070C0"/>
        </w:rPr>
        <w:t xml:space="preserve">The Applicant further anticipates that the total volumes for each fiscal year will continue to reflect </w:t>
      </w:r>
      <w:r w:rsidR="00B13ED8" w:rsidRPr="00D149D9">
        <w:rPr>
          <w:color w:val="0070C0"/>
        </w:rPr>
        <w:t>what was</w:t>
      </w:r>
      <w:r w:rsidR="00EF4477" w:rsidRPr="00D149D9">
        <w:rPr>
          <w:color w:val="0070C0"/>
        </w:rPr>
        <w:t xml:space="preserve"> originally outlined</w:t>
      </w:r>
      <w:r w:rsidR="00B13ED8" w:rsidRPr="00D149D9">
        <w:rPr>
          <w:color w:val="0070C0"/>
        </w:rPr>
        <w:t xml:space="preserve"> in the application</w:t>
      </w:r>
      <w:r w:rsidR="000F06A2">
        <w:rPr>
          <w:color w:val="0070C0"/>
        </w:rPr>
        <w:t xml:space="preserve">. </w:t>
      </w:r>
    </w:p>
    <w:p w14:paraId="73530919" w14:textId="5390FC1E" w:rsidR="00337DEA" w:rsidRPr="00D149D9" w:rsidRDefault="00337DEA" w:rsidP="00A66D5B">
      <w:pPr>
        <w:pStyle w:val="ListParagraph"/>
        <w:rPr>
          <w:color w:val="0070C0"/>
        </w:rPr>
      </w:pPr>
    </w:p>
    <w:tbl>
      <w:tblPr>
        <w:tblStyle w:val="TableGrid"/>
        <w:tblW w:w="0" w:type="auto"/>
        <w:tblInd w:w="720" w:type="dxa"/>
        <w:tblLook w:val="04A0" w:firstRow="1" w:lastRow="0" w:firstColumn="1" w:lastColumn="0" w:noHBand="0" w:noVBand="1"/>
      </w:tblPr>
      <w:tblGrid>
        <w:gridCol w:w="1435"/>
        <w:gridCol w:w="1199"/>
        <w:gridCol w:w="1199"/>
        <w:gridCol w:w="1199"/>
        <w:gridCol w:w="1199"/>
        <w:gridCol w:w="1199"/>
        <w:gridCol w:w="1200"/>
      </w:tblGrid>
      <w:tr w:rsidR="00D149D9" w:rsidRPr="00D149D9" w14:paraId="686AE3E2" w14:textId="77777777" w:rsidTr="00A931DD">
        <w:tc>
          <w:tcPr>
            <w:tcW w:w="1435" w:type="dxa"/>
          </w:tcPr>
          <w:p w14:paraId="13D412D4" w14:textId="77777777" w:rsidR="00A931DD" w:rsidRPr="00D149D9" w:rsidRDefault="00A931DD" w:rsidP="00A66D5B">
            <w:pPr>
              <w:pStyle w:val="ListParagraph"/>
              <w:ind w:left="0"/>
              <w:rPr>
                <w:color w:val="0070C0"/>
              </w:rPr>
            </w:pPr>
          </w:p>
        </w:tc>
        <w:tc>
          <w:tcPr>
            <w:tcW w:w="1199" w:type="dxa"/>
          </w:tcPr>
          <w:p w14:paraId="49E31D51" w14:textId="1DA98DE1" w:rsidR="00A931DD" w:rsidRPr="00D149D9" w:rsidRDefault="00A931DD" w:rsidP="00794805">
            <w:pPr>
              <w:pStyle w:val="ListParagraph"/>
              <w:ind w:left="0"/>
              <w:jc w:val="center"/>
              <w:rPr>
                <w:color w:val="0070C0"/>
              </w:rPr>
            </w:pPr>
            <w:r w:rsidRPr="00D149D9">
              <w:rPr>
                <w:color w:val="0070C0"/>
              </w:rPr>
              <w:t>Year 1</w:t>
            </w:r>
            <w:r w:rsidR="00EF1E10" w:rsidRPr="00D149D9">
              <w:rPr>
                <w:rStyle w:val="FootnoteReference"/>
                <w:color w:val="0070C0"/>
              </w:rPr>
              <w:footnoteReference w:id="1"/>
            </w:r>
          </w:p>
        </w:tc>
        <w:tc>
          <w:tcPr>
            <w:tcW w:w="1199" w:type="dxa"/>
          </w:tcPr>
          <w:p w14:paraId="28E89627" w14:textId="6EFB7B0F" w:rsidR="00A931DD" w:rsidRPr="00D149D9" w:rsidRDefault="00794805" w:rsidP="00794805">
            <w:pPr>
              <w:pStyle w:val="ListParagraph"/>
              <w:ind w:left="0"/>
              <w:jc w:val="center"/>
              <w:rPr>
                <w:color w:val="0070C0"/>
              </w:rPr>
            </w:pPr>
            <w:r w:rsidRPr="00D149D9">
              <w:rPr>
                <w:color w:val="0070C0"/>
              </w:rPr>
              <w:t>Year 2</w:t>
            </w:r>
          </w:p>
        </w:tc>
        <w:tc>
          <w:tcPr>
            <w:tcW w:w="1199" w:type="dxa"/>
          </w:tcPr>
          <w:p w14:paraId="7DD514F4" w14:textId="27F8E190" w:rsidR="00A931DD" w:rsidRPr="00D149D9" w:rsidRDefault="00794805" w:rsidP="00794805">
            <w:pPr>
              <w:pStyle w:val="ListParagraph"/>
              <w:ind w:left="0"/>
              <w:jc w:val="center"/>
              <w:rPr>
                <w:color w:val="0070C0"/>
              </w:rPr>
            </w:pPr>
            <w:r w:rsidRPr="00D149D9">
              <w:rPr>
                <w:color w:val="0070C0"/>
              </w:rPr>
              <w:t>Year 3</w:t>
            </w:r>
          </w:p>
        </w:tc>
        <w:tc>
          <w:tcPr>
            <w:tcW w:w="1199" w:type="dxa"/>
          </w:tcPr>
          <w:p w14:paraId="7291DD15" w14:textId="029EA761" w:rsidR="00A931DD" w:rsidRPr="00D149D9" w:rsidRDefault="00794805" w:rsidP="00794805">
            <w:pPr>
              <w:pStyle w:val="ListParagraph"/>
              <w:ind w:left="0"/>
              <w:jc w:val="center"/>
              <w:rPr>
                <w:color w:val="0070C0"/>
              </w:rPr>
            </w:pPr>
            <w:r w:rsidRPr="00D149D9">
              <w:rPr>
                <w:color w:val="0070C0"/>
              </w:rPr>
              <w:t>Year 3</w:t>
            </w:r>
          </w:p>
        </w:tc>
        <w:tc>
          <w:tcPr>
            <w:tcW w:w="1199" w:type="dxa"/>
          </w:tcPr>
          <w:p w14:paraId="60DB65FD" w14:textId="2062C978" w:rsidR="00A931DD" w:rsidRPr="00D149D9" w:rsidRDefault="00794805" w:rsidP="00794805">
            <w:pPr>
              <w:pStyle w:val="ListParagraph"/>
              <w:ind w:left="0"/>
              <w:jc w:val="center"/>
              <w:rPr>
                <w:color w:val="0070C0"/>
              </w:rPr>
            </w:pPr>
            <w:r w:rsidRPr="00D149D9">
              <w:rPr>
                <w:color w:val="0070C0"/>
              </w:rPr>
              <w:t>Year 4</w:t>
            </w:r>
          </w:p>
        </w:tc>
        <w:tc>
          <w:tcPr>
            <w:tcW w:w="1200" w:type="dxa"/>
          </w:tcPr>
          <w:p w14:paraId="5BE48262" w14:textId="784F3EAC" w:rsidR="00A931DD" w:rsidRPr="00D149D9" w:rsidRDefault="00794805" w:rsidP="00794805">
            <w:pPr>
              <w:pStyle w:val="ListParagraph"/>
              <w:ind w:left="0"/>
              <w:jc w:val="center"/>
              <w:rPr>
                <w:color w:val="0070C0"/>
              </w:rPr>
            </w:pPr>
            <w:r w:rsidRPr="00D149D9">
              <w:rPr>
                <w:color w:val="0070C0"/>
              </w:rPr>
              <w:t>Year 5</w:t>
            </w:r>
          </w:p>
        </w:tc>
      </w:tr>
      <w:tr w:rsidR="00D149D9" w:rsidRPr="00D149D9" w14:paraId="048674B2" w14:textId="77777777" w:rsidTr="00A931DD">
        <w:tc>
          <w:tcPr>
            <w:tcW w:w="1435" w:type="dxa"/>
          </w:tcPr>
          <w:p w14:paraId="67B53FB9" w14:textId="1A4844F5" w:rsidR="00A931DD" w:rsidRPr="00D149D9" w:rsidRDefault="00A931DD" w:rsidP="00A66D5B">
            <w:pPr>
              <w:pStyle w:val="ListParagraph"/>
              <w:ind w:left="0"/>
              <w:rPr>
                <w:color w:val="0070C0"/>
              </w:rPr>
            </w:pPr>
            <w:r w:rsidRPr="00D149D9">
              <w:rPr>
                <w:color w:val="0070C0"/>
              </w:rPr>
              <w:t>Total Volume</w:t>
            </w:r>
          </w:p>
        </w:tc>
        <w:tc>
          <w:tcPr>
            <w:tcW w:w="1199" w:type="dxa"/>
          </w:tcPr>
          <w:p w14:paraId="2F5A8841" w14:textId="5183CD25" w:rsidR="00A931DD" w:rsidRPr="00D149D9" w:rsidRDefault="00794805" w:rsidP="00794805">
            <w:pPr>
              <w:pStyle w:val="ListParagraph"/>
              <w:ind w:left="0"/>
              <w:jc w:val="center"/>
              <w:rPr>
                <w:color w:val="0070C0"/>
              </w:rPr>
            </w:pPr>
            <w:r w:rsidRPr="00D149D9">
              <w:rPr>
                <w:color w:val="0070C0"/>
              </w:rPr>
              <w:t>165</w:t>
            </w:r>
          </w:p>
        </w:tc>
        <w:tc>
          <w:tcPr>
            <w:tcW w:w="1199" w:type="dxa"/>
          </w:tcPr>
          <w:p w14:paraId="3F29FC9B" w14:textId="509B1179" w:rsidR="00A931DD" w:rsidRPr="00D149D9" w:rsidRDefault="00794805" w:rsidP="00794805">
            <w:pPr>
              <w:pStyle w:val="ListParagraph"/>
              <w:ind w:left="0"/>
              <w:jc w:val="center"/>
              <w:rPr>
                <w:color w:val="0070C0"/>
              </w:rPr>
            </w:pPr>
            <w:r w:rsidRPr="00D149D9">
              <w:rPr>
                <w:color w:val="0070C0"/>
              </w:rPr>
              <w:t>185</w:t>
            </w:r>
          </w:p>
        </w:tc>
        <w:tc>
          <w:tcPr>
            <w:tcW w:w="1199" w:type="dxa"/>
          </w:tcPr>
          <w:p w14:paraId="48CC9BBA" w14:textId="6BECE435" w:rsidR="00A931DD" w:rsidRPr="00D149D9" w:rsidRDefault="00794805" w:rsidP="00794805">
            <w:pPr>
              <w:pStyle w:val="ListParagraph"/>
              <w:ind w:left="0"/>
              <w:jc w:val="center"/>
              <w:rPr>
                <w:color w:val="0070C0"/>
              </w:rPr>
            </w:pPr>
            <w:r w:rsidRPr="00D149D9">
              <w:rPr>
                <w:color w:val="0070C0"/>
              </w:rPr>
              <w:t>207</w:t>
            </w:r>
          </w:p>
        </w:tc>
        <w:tc>
          <w:tcPr>
            <w:tcW w:w="1199" w:type="dxa"/>
          </w:tcPr>
          <w:p w14:paraId="6C7F0B1B" w14:textId="6A1B8945" w:rsidR="00A931DD" w:rsidRPr="00D149D9" w:rsidRDefault="00794805" w:rsidP="00794805">
            <w:pPr>
              <w:pStyle w:val="ListParagraph"/>
              <w:ind w:left="0"/>
              <w:jc w:val="center"/>
              <w:rPr>
                <w:color w:val="0070C0"/>
              </w:rPr>
            </w:pPr>
            <w:r w:rsidRPr="00D149D9">
              <w:rPr>
                <w:color w:val="0070C0"/>
              </w:rPr>
              <w:t>228</w:t>
            </w:r>
          </w:p>
        </w:tc>
        <w:tc>
          <w:tcPr>
            <w:tcW w:w="1199" w:type="dxa"/>
          </w:tcPr>
          <w:p w14:paraId="60D9F129" w14:textId="0026C888" w:rsidR="00A931DD" w:rsidRPr="00D149D9" w:rsidRDefault="00794805" w:rsidP="00794805">
            <w:pPr>
              <w:pStyle w:val="ListParagraph"/>
              <w:ind w:left="0"/>
              <w:jc w:val="center"/>
              <w:rPr>
                <w:color w:val="0070C0"/>
              </w:rPr>
            </w:pPr>
            <w:r w:rsidRPr="00D149D9">
              <w:rPr>
                <w:color w:val="0070C0"/>
              </w:rPr>
              <w:t>251</w:t>
            </w:r>
          </w:p>
        </w:tc>
        <w:tc>
          <w:tcPr>
            <w:tcW w:w="1200" w:type="dxa"/>
          </w:tcPr>
          <w:p w14:paraId="24059088" w14:textId="0972B016" w:rsidR="00A931DD" w:rsidRPr="00D149D9" w:rsidRDefault="00794805" w:rsidP="00794805">
            <w:pPr>
              <w:pStyle w:val="ListParagraph"/>
              <w:ind w:left="0"/>
              <w:jc w:val="center"/>
              <w:rPr>
                <w:color w:val="0070C0"/>
              </w:rPr>
            </w:pPr>
            <w:r w:rsidRPr="00D149D9">
              <w:rPr>
                <w:color w:val="0070C0"/>
              </w:rPr>
              <w:t>264</w:t>
            </w:r>
          </w:p>
        </w:tc>
      </w:tr>
    </w:tbl>
    <w:p w14:paraId="7C24E46F" w14:textId="671CDAA3" w:rsidR="00337DEA" w:rsidRPr="00D149D9" w:rsidRDefault="00F523FE" w:rsidP="00F523FE">
      <w:pPr>
        <w:rPr>
          <w:color w:val="0070C0"/>
          <w:sz w:val="18"/>
          <w:szCs w:val="18"/>
        </w:rPr>
      </w:pPr>
      <w:r w:rsidRPr="00D149D9">
        <w:rPr>
          <w:color w:val="0070C0"/>
        </w:rPr>
        <w:tab/>
        <w:t>*</w:t>
      </w:r>
      <w:r w:rsidRPr="00D149D9">
        <w:rPr>
          <w:color w:val="0070C0"/>
          <w:sz w:val="18"/>
          <w:szCs w:val="18"/>
        </w:rPr>
        <w:t xml:space="preserve">Recited in the narrative on page 9 and in </w:t>
      </w:r>
      <w:proofErr w:type="spellStart"/>
      <w:r w:rsidRPr="00D149D9">
        <w:rPr>
          <w:color w:val="0070C0"/>
          <w:sz w:val="18"/>
          <w:szCs w:val="18"/>
        </w:rPr>
        <w:t>Veralon’s</w:t>
      </w:r>
      <w:proofErr w:type="spellEnd"/>
      <w:r w:rsidRPr="00D149D9">
        <w:rPr>
          <w:color w:val="0070C0"/>
          <w:sz w:val="18"/>
          <w:szCs w:val="18"/>
        </w:rPr>
        <w:t xml:space="preserve"> </w:t>
      </w:r>
      <w:r w:rsidR="00A303CD" w:rsidRPr="00D149D9">
        <w:rPr>
          <w:color w:val="0070C0"/>
          <w:sz w:val="18"/>
          <w:szCs w:val="18"/>
        </w:rPr>
        <w:t>financial pro</w:t>
      </w:r>
      <w:r w:rsidR="002811C2" w:rsidRPr="00D149D9">
        <w:rPr>
          <w:color w:val="0070C0"/>
          <w:sz w:val="18"/>
          <w:szCs w:val="18"/>
        </w:rPr>
        <w:t xml:space="preserve"> </w:t>
      </w:r>
      <w:r w:rsidR="00A303CD" w:rsidRPr="00D149D9">
        <w:rPr>
          <w:color w:val="0070C0"/>
          <w:sz w:val="18"/>
          <w:szCs w:val="18"/>
        </w:rPr>
        <w:t xml:space="preserve">forma </w:t>
      </w:r>
    </w:p>
    <w:p w14:paraId="42026B31" w14:textId="77777777" w:rsidR="006D5FA5" w:rsidRDefault="006D5FA5" w:rsidP="006D5FA5">
      <w:pPr>
        <w:pStyle w:val="ListParagraph"/>
      </w:pPr>
    </w:p>
    <w:p w14:paraId="6C153D52" w14:textId="4979FA16" w:rsidR="006D5FA5" w:rsidRDefault="00D609DF" w:rsidP="00E45D1C">
      <w:pPr>
        <w:pStyle w:val="ListParagraph"/>
        <w:numPr>
          <w:ilvl w:val="0"/>
          <w:numId w:val="1"/>
        </w:numPr>
      </w:pPr>
      <w:r>
        <w:lastRenderedPageBreak/>
        <w:t xml:space="preserve">The </w:t>
      </w:r>
      <w:r w:rsidR="00075B8D">
        <w:t>a</w:t>
      </w:r>
      <w:r>
        <w:t xml:space="preserve">pplication states that currently, the Applicant provides PET-CT imaging services in Worcester and Fitchburg – consequently, Marlborough Hospital patients must travel to attain these services (pg.1). </w:t>
      </w:r>
    </w:p>
    <w:p w14:paraId="1B84A5A8" w14:textId="29E8942B" w:rsidR="006C44F3" w:rsidRDefault="00D609DF" w:rsidP="006D5FA5">
      <w:pPr>
        <w:pStyle w:val="ListParagraph"/>
        <w:numPr>
          <w:ilvl w:val="1"/>
          <w:numId w:val="1"/>
        </w:numPr>
      </w:pPr>
      <w:r>
        <w:t xml:space="preserve">How many Marlborough Hospital patients received PET-CT services in </w:t>
      </w:r>
      <w:r w:rsidR="007204F8">
        <w:t xml:space="preserve">Worcester and Fitchburg in </w:t>
      </w:r>
      <w:r>
        <w:t xml:space="preserve">the past </w:t>
      </w:r>
      <w:r w:rsidR="00A12D89">
        <w:t>y</w:t>
      </w:r>
      <w:r>
        <w:t>ear?</w:t>
      </w:r>
      <w:r w:rsidR="00A12D89">
        <w:t xml:space="preserve"> </w:t>
      </w:r>
      <w:r w:rsidR="006A15F2">
        <w:t>You may use</w:t>
      </w:r>
      <w:r w:rsidR="0042381E">
        <w:t xml:space="preserve"> </w:t>
      </w:r>
      <w:r w:rsidR="00A12D89">
        <w:t xml:space="preserve">Calendar Year of Fiscal Year, whichever is more appropriate. </w:t>
      </w:r>
      <w:r w:rsidR="00A005EA">
        <w:t xml:space="preserve"> </w:t>
      </w:r>
    </w:p>
    <w:p w14:paraId="5A890DBC" w14:textId="166BC9B7" w:rsidR="00D149D9" w:rsidRPr="00B86079" w:rsidRDefault="00671937" w:rsidP="00D149D9">
      <w:pPr>
        <w:ind w:left="1080"/>
        <w:rPr>
          <w:color w:val="0070C0"/>
        </w:rPr>
      </w:pPr>
      <w:r w:rsidRPr="00B86079">
        <w:rPr>
          <w:color w:val="0070C0"/>
        </w:rPr>
        <w:t>Eighty-eight</w:t>
      </w:r>
      <w:r w:rsidR="0020227F" w:rsidRPr="00B86079">
        <w:rPr>
          <w:color w:val="0070C0"/>
        </w:rPr>
        <w:t xml:space="preserve"> (88) patients received </w:t>
      </w:r>
      <w:r w:rsidR="007347B8" w:rsidRPr="00B86079">
        <w:rPr>
          <w:color w:val="0070C0"/>
        </w:rPr>
        <w:t xml:space="preserve">PET-CT services in Worcester </w:t>
      </w:r>
      <w:r w:rsidRPr="00B86079">
        <w:rPr>
          <w:color w:val="0070C0"/>
        </w:rPr>
        <w:t>in the last calendar year.</w:t>
      </w:r>
    </w:p>
    <w:p w14:paraId="3FE8E522" w14:textId="49A2C411" w:rsidR="00671937" w:rsidRPr="00B86079" w:rsidRDefault="00671937" w:rsidP="00D149D9">
      <w:pPr>
        <w:ind w:left="1080"/>
        <w:rPr>
          <w:color w:val="0070C0"/>
        </w:rPr>
      </w:pPr>
      <w:r w:rsidRPr="00B86079">
        <w:rPr>
          <w:color w:val="0070C0"/>
        </w:rPr>
        <w:t xml:space="preserve">Nine (9) patients received PET-CT services in </w:t>
      </w:r>
      <w:r w:rsidR="00177D76" w:rsidRPr="00B86079">
        <w:rPr>
          <w:color w:val="0070C0"/>
        </w:rPr>
        <w:t xml:space="preserve">Fitchburg in the last calendar year. </w:t>
      </w:r>
    </w:p>
    <w:p w14:paraId="5355B070" w14:textId="3A8D2EFC" w:rsidR="00DD30DE" w:rsidRPr="00B86079" w:rsidRDefault="00177D76" w:rsidP="00B86079">
      <w:pPr>
        <w:ind w:left="1080"/>
        <w:rPr>
          <w:color w:val="0070C0"/>
        </w:rPr>
      </w:pPr>
      <w:r w:rsidRPr="00B86079">
        <w:rPr>
          <w:color w:val="0070C0"/>
        </w:rPr>
        <w:t>The</w:t>
      </w:r>
      <w:r w:rsidR="00B86079" w:rsidRPr="00B86079">
        <w:rPr>
          <w:color w:val="0070C0"/>
        </w:rPr>
        <w:t xml:space="preserve"> above-referenced</w:t>
      </w:r>
      <w:r w:rsidRPr="00B86079">
        <w:rPr>
          <w:color w:val="0070C0"/>
        </w:rPr>
        <w:t xml:space="preserve"> figures are based on referral</w:t>
      </w:r>
      <w:r w:rsidR="00B86079" w:rsidRPr="00B86079">
        <w:rPr>
          <w:color w:val="0070C0"/>
        </w:rPr>
        <w:t xml:space="preserve"> volume</w:t>
      </w:r>
      <w:r w:rsidRPr="00B86079">
        <w:rPr>
          <w:color w:val="0070C0"/>
        </w:rPr>
        <w:t xml:space="preserve"> from the top </w:t>
      </w:r>
      <w:r w:rsidR="009D1398" w:rsidRPr="00B86079">
        <w:rPr>
          <w:color w:val="0070C0"/>
        </w:rPr>
        <w:t>ten primary zip codes for Marlborough Hospital, multiplie</w:t>
      </w:r>
      <w:r w:rsidR="000F06A2">
        <w:rPr>
          <w:color w:val="0070C0"/>
        </w:rPr>
        <w:t>d</w:t>
      </w:r>
      <w:r w:rsidR="009D1398" w:rsidRPr="00B86079">
        <w:rPr>
          <w:color w:val="0070C0"/>
        </w:rPr>
        <w:t xml:space="preserve"> by the market share per zip code as provided by AHD.com</w:t>
      </w:r>
      <w:r w:rsidR="005B02AE" w:rsidRPr="00B86079">
        <w:rPr>
          <w:color w:val="0070C0"/>
        </w:rPr>
        <w:t xml:space="preserve"> (the American Hospital Directory).</w:t>
      </w:r>
    </w:p>
    <w:p w14:paraId="0477119A" w14:textId="77777777" w:rsidR="006D5FA5" w:rsidRDefault="006D5FA5" w:rsidP="006D5FA5">
      <w:pPr>
        <w:pStyle w:val="ListParagraph"/>
        <w:numPr>
          <w:ilvl w:val="1"/>
          <w:numId w:val="1"/>
        </w:numPr>
      </w:pPr>
      <w:r>
        <w:t xml:space="preserve">What is the current wait time for a PET-CT scan at Worcester and at Fitchburg? </w:t>
      </w:r>
    </w:p>
    <w:p w14:paraId="45065B22" w14:textId="7361EDDE" w:rsidR="00D5509A" w:rsidRPr="00591B0A" w:rsidRDefault="00B86079" w:rsidP="00D5509A">
      <w:pPr>
        <w:ind w:left="1080"/>
        <w:rPr>
          <w:color w:val="0070C0"/>
        </w:rPr>
      </w:pPr>
      <w:r w:rsidRPr="00591B0A">
        <w:rPr>
          <w:color w:val="0070C0"/>
        </w:rPr>
        <w:t xml:space="preserve">The current wait </w:t>
      </w:r>
      <w:r w:rsidR="00591B0A" w:rsidRPr="00591B0A">
        <w:rPr>
          <w:color w:val="0070C0"/>
        </w:rPr>
        <w:t xml:space="preserve">for a PET-CT scan at the Worcester and at Fitchburg sites is seven to fourteen (7-14) days. </w:t>
      </w:r>
    </w:p>
    <w:p w14:paraId="66EAEF2D" w14:textId="77777777" w:rsidR="006D5FA5" w:rsidRDefault="006D5FA5" w:rsidP="006D5FA5">
      <w:pPr>
        <w:pStyle w:val="ListParagraph"/>
        <w:numPr>
          <w:ilvl w:val="1"/>
          <w:numId w:val="1"/>
        </w:numPr>
      </w:pPr>
      <w:r>
        <w:t>What is the projected wait time for a PET-CT scan at Marlborough Hospital?</w:t>
      </w:r>
    </w:p>
    <w:p w14:paraId="14D01445" w14:textId="629FAA7F" w:rsidR="00D5509A" w:rsidRPr="007D0B5A" w:rsidRDefault="00591B0A" w:rsidP="00D5509A">
      <w:pPr>
        <w:ind w:left="1080"/>
        <w:rPr>
          <w:color w:val="0070C0"/>
        </w:rPr>
      </w:pPr>
      <w:r w:rsidRPr="007D0B5A">
        <w:rPr>
          <w:color w:val="0070C0"/>
        </w:rPr>
        <w:t xml:space="preserve">The projected </w:t>
      </w:r>
      <w:r w:rsidR="007D0B5A" w:rsidRPr="007D0B5A">
        <w:rPr>
          <w:color w:val="0070C0"/>
        </w:rPr>
        <w:t xml:space="preserve">wait time for a PET-CT scan at Marlborough is seven to ten (7-10) days. </w:t>
      </w:r>
    </w:p>
    <w:p w14:paraId="16603491" w14:textId="192FC62E" w:rsidR="00C22980" w:rsidRDefault="006D7B04" w:rsidP="007227E7">
      <w:pPr>
        <w:pStyle w:val="ListParagraph"/>
        <w:numPr>
          <w:ilvl w:val="0"/>
          <w:numId w:val="1"/>
        </w:numPr>
      </w:pPr>
      <w:r>
        <w:t xml:space="preserve">The tables below are data provided by the Applicant. </w:t>
      </w:r>
      <w:r w:rsidR="00A13A35">
        <w:t xml:space="preserve">To better understand </w:t>
      </w:r>
      <w:r w:rsidR="00C675A0">
        <w:t>disease burden and need for PE</w:t>
      </w:r>
      <w:r w:rsidR="00C03143">
        <w:t>T</w:t>
      </w:r>
      <w:r w:rsidR="00C675A0">
        <w:t xml:space="preserve">-CT services, please </w:t>
      </w:r>
      <w:r>
        <w:t>provide the following information</w:t>
      </w:r>
      <w:r w:rsidR="00C22980">
        <w:t>:</w:t>
      </w:r>
    </w:p>
    <w:p w14:paraId="0B71D185" w14:textId="77777777" w:rsidR="00CA4044" w:rsidRDefault="00826C1D" w:rsidP="00C22980">
      <w:pPr>
        <w:pStyle w:val="ListParagraph"/>
        <w:numPr>
          <w:ilvl w:val="0"/>
          <w:numId w:val="3"/>
        </w:numPr>
      </w:pPr>
      <w:r>
        <w:t xml:space="preserve">Table 1: </w:t>
      </w:r>
      <w:r w:rsidR="000F4352">
        <w:t xml:space="preserve">What </w:t>
      </w:r>
      <w:r w:rsidR="00800525">
        <w:t xml:space="preserve">conditions </w:t>
      </w:r>
      <w:r w:rsidR="003A1DF2">
        <w:t xml:space="preserve">comprise </w:t>
      </w:r>
      <w:r w:rsidR="000F4352">
        <w:t>the</w:t>
      </w:r>
      <w:r w:rsidR="00DC02B9">
        <w:t xml:space="preserve"> percentage of </w:t>
      </w:r>
      <w:r w:rsidR="00671A4C">
        <w:t xml:space="preserve">non-oncologic related </w:t>
      </w:r>
      <w:r w:rsidR="00DC02B9">
        <w:t>Visit Volume</w:t>
      </w:r>
      <w:r w:rsidR="000F4352">
        <w:t>?</w:t>
      </w:r>
      <w:r w:rsidR="00A35E0F">
        <w:t xml:space="preserve"> </w:t>
      </w:r>
    </w:p>
    <w:p w14:paraId="73A4BA37" w14:textId="60AD89B7" w:rsidR="00C22980" w:rsidRPr="00CA4044" w:rsidRDefault="001E3225" w:rsidP="00CA4044">
      <w:pPr>
        <w:pStyle w:val="ListParagraph"/>
        <w:ind w:left="1440"/>
        <w:rPr>
          <w:color w:val="0070C0"/>
        </w:rPr>
      </w:pPr>
      <w:r w:rsidRPr="00CA4044">
        <w:rPr>
          <w:color w:val="0070C0"/>
        </w:rPr>
        <w:t xml:space="preserve">Only oncologic conditions are captured in Table 1. The difference in the numbers, </w:t>
      </w:r>
      <w:r w:rsidR="00967287" w:rsidRPr="00CA4044">
        <w:rPr>
          <w:color w:val="0070C0"/>
        </w:rPr>
        <w:t xml:space="preserve">reflects the total visit volume </w:t>
      </w:r>
      <w:r w:rsidR="00CA4044" w:rsidRPr="00CA4044">
        <w:rPr>
          <w:color w:val="0070C0"/>
        </w:rPr>
        <w:t>as compared to the unique visit volume.</w:t>
      </w:r>
      <w:r w:rsidR="00531B76">
        <w:rPr>
          <w:color w:val="0070C0"/>
        </w:rPr>
        <w:t xml:space="preserve">  Visit volume percenta</w:t>
      </w:r>
      <w:r w:rsidR="005D10AF">
        <w:rPr>
          <w:color w:val="0070C0"/>
        </w:rPr>
        <w:t xml:space="preserve">ge is therefore </w:t>
      </w:r>
      <w:r w:rsidR="005A4FDC">
        <w:rPr>
          <w:color w:val="0070C0"/>
        </w:rPr>
        <w:t>just the percentage of unique visits compared to the total visit volume.</w:t>
      </w:r>
    </w:p>
    <w:p w14:paraId="774903EC" w14:textId="7C890BC4" w:rsidR="00826C1D" w:rsidRDefault="00826C1D" w:rsidP="00C22980">
      <w:pPr>
        <w:pStyle w:val="ListParagraph"/>
        <w:numPr>
          <w:ilvl w:val="0"/>
          <w:numId w:val="3"/>
        </w:numPr>
      </w:pPr>
      <w:r>
        <w:t xml:space="preserve">Table 2: </w:t>
      </w:r>
      <w:r w:rsidR="00671A4C">
        <w:t>Complete the table—provide t</w:t>
      </w:r>
      <w:r w:rsidR="00C5137E">
        <w:t xml:space="preserve">he total </w:t>
      </w:r>
      <w:r w:rsidR="000F4352">
        <w:t xml:space="preserve"># of </w:t>
      </w:r>
      <w:r w:rsidR="00C5137E">
        <w:t>patients from which unique cardiac patients were drawn (</w:t>
      </w:r>
      <w:r w:rsidR="00306967">
        <w:t xml:space="preserve">the Marlborough Hospital patient population was </w:t>
      </w:r>
      <w:r w:rsidR="00DD7C1A">
        <w:t xml:space="preserve">37,326 in </w:t>
      </w:r>
      <w:r w:rsidR="000F4352">
        <w:t>FY</w:t>
      </w:r>
      <w:r w:rsidR="00DD7C1A">
        <w:t xml:space="preserve">2019, 38,209 in </w:t>
      </w:r>
      <w:r w:rsidR="000F4352">
        <w:t>FY</w:t>
      </w:r>
      <w:r w:rsidR="00DD7C1A">
        <w:t xml:space="preserve">2020, and </w:t>
      </w:r>
      <w:r w:rsidR="003D78E0">
        <w:t>48,292 in FY21</w:t>
      </w:r>
      <w:r w:rsidR="000F4352">
        <w:t>)</w:t>
      </w:r>
      <w:r w:rsidR="003D78E0">
        <w:t xml:space="preserve">. </w:t>
      </w:r>
    </w:p>
    <w:p w14:paraId="309559B0" w14:textId="03C6FA72" w:rsidR="005A4FDC" w:rsidRPr="00B67BAC" w:rsidRDefault="00B67BAC" w:rsidP="005A4FDC">
      <w:pPr>
        <w:pStyle w:val="ListParagraph"/>
        <w:ind w:left="1440"/>
        <w:rPr>
          <w:color w:val="0070C0"/>
        </w:rPr>
      </w:pPr>
      <w:r w:rsidRPr="00B67BAC">
        <w:rPr>
          <w:color w:val="0070C0"/>
        </w:rPr>
        <w:t xml:space="preserve">Please see table data inserted in blue </w:t>
      </w:r>
      <w:r w:rsidR="008A1081" w:rsidRPr="008A1081">
        <w:rPr>
          <w:b/>
          <w:bCs/>
          <w:color w:val="0070C0"/>
        </w:rPr>
        <w:t xml:space="preserve">[and bold] </w:t>
      </w:r>
      <w:r w:rsidRPr="00B67BAC">
        <w:rPr>
          <w:color w:val="0070C0"/>
        </w:rPr>
        <w:t xml:space="preserve">below. </w:t>
      </w:r>
    </w:p>
    <w:p w14:paraId="4F11A0A0" w14:textId="281649C2" w:rsidR="006638C6" w:rsidRDefault="00C5137E" w:rsidP="00AF2B76">
      <w:pPr>
        <w:pStyle w:val="ListParagraph"/>
        <w:numPr>
          <w:ilvl w:val="0"/>
          <w:numId w:val="3"/>
        </w:numPr>
      </w:pPr>
      <w:r>
        <w:t xml:space="preserve">Table 3: </w:t>
      </w:r>
      <w:r w:rsidR="00E320DD">
        <w:t>Data s</w:t>
      </w:r>
      <w:r w:rsidR="00084492">
        <w:t>ource for patients treated for oncological/cardiological-related conditions</w:t>
      </w:r>
      <w:r w:rsidR="003054CD">
        <w:t xml:space="preserve">. Do these patients differ from those in Tables 1 and 2, and if </w:t>
      </w:r>
      <w:r w:rsidR="00D55E02">
        <w:t>so,</w:t>
      </w:r>
      <w:r w:rsidR="003054CD">
        <w:t xml:space="preserve"> explain how</w:t>
      </w:r>
      <w:r w:rsidR="00671A4C">
        <w:t>?</w:t>
      </w:r>
      <w:r w:rsidR="003054CD">
        <w:t xml:space="preserve"> </w:t>
      </w:r>
    </w:p>
    <w:p w14:paraId="2C212831" w14:textId="1839FF6E" w:rsidR="001D65BD" w:rsidRDefault="002C43F4" w:rsidP="00E47257">
      <w:pPr>
        <w:pStyle w:val="ListParagraph"/>
        <w:ind w:left="1440"/>
        <w:rPr>
          <w:color w:val="0070C0"/>
        </w:rPr>
      </w:pPr>
      <w:r w:rsidRPr="00EE1159">
        <w:rPr>
          <w:color w:val="0070C0"/>
        </w:rPr>
        <w:t>T</w:t>
      </w:r>
      <w:r w:rsidR="00C60B02" w:rsidRPr="00EE1159">
        <w:rPr>
          <w:color w:val="0070C0"/>
        </w:rPr>
        <w:t xml:space="preserve">able 3 data </w:t>
      </w:r>
      <w:r w:rsidR="00482F14">
        <w:rPr>
          <w:color w:val="0070C0"/>
        </w:rPr>
        <w:t>reflects the total number of patients</w:t>
      </w:r>
      <w:r w:rsidR="004A5B84">
        <w:rPr>
          <w:color w:val="0070C0"/>
        </w:rPr>
        <w:t xml:space="preserve"> treated for oncologic-related conditions</w:t>
      </w:r>
      <w:r w:rsidR="00482F14">
        <w:rPr>
          <w:color w:val="0070C0"/>
        </w:rPr>
        <w:t xml:space="preserve"> </w:t>
      </w:r>
      <w:r w:rsidR="004A5B84">
        <w:rPr>
          <w:color w:val="0070C0"/>
        </w:rPr>
        <w:t xml:space="preserve">at the </w:t>
      </w:r>
      <w:r w:rsidR="004A5B84" w:rsidRPr="004A5B84">
        <w:rPr>
          <w:color w:val="0070C0"/>
        </w:rPr>
        <w:t>Marlborough Hospital Cancer Clinic &amp; Marlborough Hospital Radiology Oncology department</w:t>
      </w:r>
      <w:r w:rsidR="00497A5A">
        <w:rPr>
          <w:color w:val="0070C0"/>
        </w:rPr>
        <w:t xml:space="preserve"> (FY2019; FY2020; and FY2021) </w:t>
      </w:r>
      <w:r w:rsidR="00924087">
        <w:rPr>
          <w:color w:val="0070C0"/>
        </w:rPr>
        <w:t>plus the total number of patients</w:t>
      </w:r>
      <w:r w:rsidR="00054712">
        <w:rPr>
          <w:color w:val="0070C0"/>
        </w:rPr>
        <w:t xml:space="preserve"> treated for cardiac-related conditions</w:t>
      </w:r>
      <w:r w:rsidR="00B25A1B">
        <w:rPr>
          <w:color w:val="0070C0"/>
        </w:rPr>
        <w:t xml:space="preserve"> (FY2019; FY2020; and FY2021). </w:t>
      </w:r>
    </w:p>
    <w:p w14:paraId="0408DAFC" w14:textId="67E6F74D" w:rsidR="00B25A1B" w:rsidRDefault="00B25A1B" w:rsidP="00E47257">
      <w:pPr>
        <w:pStyle w:val="ListParagraph"/>
        <w:ind w:left="1440"/>
        <w:rPr>
          <w:color w:val="0070C0"/>
        </w:rPr>
      </w:pPr>
      <w:r>
        <w:rPr>
          <w:color w:val="0070C0"/>
        </w:rPr>
        <w:t xml:space="preserve">FY2019: 1,665 </w:t>
      </w:r>
      <w:bookmarkStart w:id="0" w:name="_Hlk121916556"/>
      <w:r w:rsidR="005335E4">
        <w:rPr>
          <w:color w:val="0070C0"/>
        </w:rPr>
        <w:t>(oncologic)</w:t>
      </w:r>
      <w:bookmarkEnd w:id="0"/>
      <w:r w:rsidR="005335E4">
        <w:rPr>
          <w:color w:val="0070C0"/>
        </w:rPr>
        <w:t xml:space="preserve"> </w:t>
      </w:r>
      <w:r>
        <w:rPr>
          <w:color w:val="0070C0"/>
        </w:rPr>
        <w:t>+ 2,071</w:t>
      </w:r>
      <w:r w:rsidR="005335E4">
        <w:rPr>
          <w:color w:val="0070C0"/>
        </w:rPr>
        <w:t xml:space="preserve"> (cardiac)</w:t>
      </w:r>
      <w:r>
        <w:rPr>
          <w:color w:val="0070C0"/>
        </w:rPr>
        <w:t xml:space="preserve"> = 3,736</w:t>
      </w:r>
    </w:p>
    <w:p w14:paraId="54E876CA" w14:textId="0951ADCC" w:rsidR="00B25A1B" w:rsidRDefault="00B25A1B" w:rsidP="00E47257">
      <w:pPr>
        <w:pStyle w:val="ListParagraph"/>
        <w:ind w:left="1440"/>
        <w:rPr>
          <w:color w:val="0070C0"/>
        </w:rPr>
      </w:pPr>
      <w:r>
        <w:rPr>
          <w:color w:val="0070C0"/>
        </w:rPr>
        <w:t>FY2020: 1,702</w:t>
      </w:r>
      <w:r w:rsidR="005335E4">
        <w:rPr>
          <w:color w:val="0070C0"/>
        </w:rPr>
        <w:t xml:space="preserve"> </w:t>
      </w:r>
      <w:r w:rsidR="005335E4" w:rsidRPr="005335E4">
        <w:rPr>
          <w:color w:val="0070C0"/>
        </w:rPr>
        <w:t>(oncologic)</w:t>
      </w:r>
      <w:r w:rsidR="005335E4">
        <w:rPr>
          <w:color w:val="0070C0"/>
        </w:rPr>
        <w:t xml:space="preserve"> </w:t>
      </w:r>
      <w:r>
        <w:rPr>
          <w:color w:val="0070C0"/>
        </w:rPr>
        <w:t xml:space="preserve">+ 1,583 </w:t>
      </w:r>
      <w:r w:rsidR="005335E4">
        <w:rPr>
          <w:color w:val="0070C0"/>
        </w:rPr>
        <w:t xml:space="preserve">(cardiac) </w:t>
      </w:r>
      <w:r>
        <w:rPr>
          <w:color w:val="0070C0"/>
        </w:rPr>
        <w:t>= 3,285</w:t>
      </w:r>
    </w:p>
    <w:p w14:paraId="5731E0B8" w14:textId="31A1E113" w:rsidR="00B25A1B" w:rsidRPr="00EE1159" w:rsidRDefault="00B25A1B" w:rsidP="00E47257">
      <w:pPr>
        <w:pStyle w:val="ListParagraph"/>
        <w:ind w:left="1440"/>
        <w:rPr>
          <w:color w:val="0070C0"/>
        </w:rPr>
      </w:pPr>
      <w:r>
        <w:rPr>
          <w:color w:val="0070C0"/>
        </w:rPr>
        <w:t xml:space="preserve">FY2021: </w:t>
      </w:r>
      <w:r w:rsidR="005335E4">
        <w:rPr>
          <w:color w:val="0070C0"/>
        </w:rPr>
        <w:t>2,465 (oncologic) + 1,602</w:t>
      </w:r>
      <w:r w:rsidR="003249DB">
        <w:rPr>
          <w:color w:val="0070C0"/>
        </w:rPr>
        <w:t xml:space="preserve"> (cardiac)</w:t>
      </w:r>
      <w:r w:rsidR="005335E4">
        <w:rPr>
          <w:color w:val="0070C0"/>
        </w:rPr>
        <w:t xml:space="preserve"> = 4,067</w:t>
      </w:r>
    </w:p>
    <w:p w14:paraId="02B2F91A" w14:textId="1DC70215" w:rsidR="005A4FDC" w:rsidRDefault="005A4FDC" w:rsidP="007D0B5A">
      <w:pPr>
        <w:pStyle w:val="ListParagraph"/>
        <w:ind w:left="1440"/>
      </w:pPr>
    </w:p>
    <w:p w14:paraId="527A715F" w14:textId="77777777" w:rsidR="003249DB" w:rsidRDefault="003249DB" w:rsidP="00C22980">
      <w:pPr>
        <w:pStyle w:val="ListParagraph"/>
      </w:pPr>
    </w:p>
    <w:p w14:paraId="352F1406" w14:textId="77777777" w:rsidR="008019CA" w:rsidRDefault="008019CA" w:rsidP="00C22980">
      <w:pPr>
        <w:pStyle w:val="ListParagraph"/>
      </w:pPr>
    </w:p>
    <w:p w14:paraId="67FC745C" w14:textId="77777777" w:rsidR="008019CA" w:rsidRDefault="008019CA" w:rsidP="00C22980">
      <w:pPr>
        <w:pStyle w:val="ListParagraph"/>
      </w:pPr>
    </w:p>
    <w:p w14:paraId="70E223D1" w14:textId="6A1FFB66" w:rsidR="0066604A" w:rsidRDefault="004D5803" w:rsidP="00C22980">
      <w:pPr>
        <w:pStyle w:val="ListParagraph"/>
      </w:pPr>
      <w:r>
        <w:t xml:space="preserve">Feel free to modify the tables as needed. </w:t>
      </w:r>
      <w:r>
        <w:cr/>
      </w:r>
      <w:r w:rsidR="003054CD">
        <w:t xml:space="preserve">       </w:t>
      </w:r>
      <w:r w:rsidR="00826C1D" w:rsidRPr="003054CD">
        <w:rPr>
          <w:b/>
          <w:bCs/>
        </w:rPr>
        <w:t>Table 1</w:t>
      </w:r>
    </w:p>
    <w:tbl>
      <w:tblPr>
        <w:tblW w:w="0" w:type="auto"/>
        <w:jc w:val="center"/>
        <w:tblLook w:val="04A0" w:firstRow="1" w:lastRow="0" w:firstColumn="1" w:lastColumn="0" w:noHBand="0" w:noVBand="1"/>
      </w:tblPr>
      <w:tblGrid>
        <w:gridCol w:w="1176"/>
        <w:gridCol w:w="2944"/>
        <w:gridCol w:w="1450"/>
        <w:gridCol w:w="1589"/>
      </w:tblGrid>
      <w:tr w:rsidR="00F10AA4" w:rsidRPr="00FE5DAA" w14:paraId="29F9CACA" w14:textId="77777777" w:rsidTr="008A1081">
        <w:trPr>
          <w:cantSplit/>
          <w:trHeight w:val="602"/>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E7E6E6"/>
            <w:noWrap/>
            <w:hideMark/>
          </w:tcPr>
          <w:p w14:paraId="1F2B3F98" w14:textId="77777777" w:rsidR="00F10AA4" w:rsidRPr="00FE5DAA" w:rsidRDefault="00F10AA4" w:rsidP="003C241A">
            <w:pPr>
              <w:spacing w:after="0" w:line="240" w:lineRule="auto"/>
              <w:jc w:val="center"/>
              <w:rPr>
                <w:rFonts w:ascii="Calibri" w:eastAsia="Times New Roman" w:hAnsi="Calibri" w:cs="Calibri"/>
                <w:b/>
                <w:bCs/>
                <w:color w:val="000000"/>
              </w:rPr>
            </w:pPr>
            <w:r w:rsidRPr="00FE5DAA">
              <w:rPr>
                <w:rFonts w:ascii="Calibri" w:eastAsia="Times New Roman" w:hAnsi="Calibri" w:cs="Calibri"/>
                <w:b/>
                <w:bCs/>
                <w:color w:val="000000"/>
              </w:rPr>
              <w:t>Fiscal Year</w:t>
            </w:r>
          </w:p>
        </w:tc>
        <w:tc>
          <w:tcPr>
            <w:tcW w:w="0" w:type="auto"/>
            <w:tcBorders>
              <w:top w:val="single" w:sz="4" w:space="0" w:color="auto"/>
              <w:left w:val="nil"/>
              <w:bottom w:val="single" w:sz="4" w:space="0" w:color="auto"/>
              <w:right w:val="single" w:sz="4" w:space="0" w:color="auto"/>
            </w:tcBorders>
            <w:shd w:val="clear" w:color="000000" w:fill="E7E6E6"/>
            <w:hideMark/>
          </w:tcPr>
          <w:p w14:paraId="59337AD7" w14:textId="5FDBC359" w:rsidR="00F10AA4" w:rsidRDefault="00F10AA4" w:rsidP="003C241A">
            <w:pPr>
              <w:spacing w:after="0" w:line="240" w:lineRule="auto"/>
              <w:jc w:val="center"/>
              <w:rPr>
                <w:rFonts w:ascii="Calibri" w:eastAsia="Times New Roman" w:hAnsi="Calibri" w:cs="Calibri"/>
                <w:b/>
                <w:bCs/>
                <w:color w:val="000000"/>
              </w:rPr>
            </w:pPr>
            <w:r w:rsidRPr="00D159C3">
              <w:rPr>
                <w:rFonts w:ascii="Calibri" w:eastAsia="Times New Roman" w:hAnsi="Calibri" w:cs="Calibri"/>
                <w:b/>
                <w:bCs/>
                <w:color w:val="000000"/>
              </w:rPr>
              <w:t xml:space="preserve">Unique Patients </w:t>
            </w:r>
            <w:r w:rsidR="00BF1098">
              <w:rPr>
                <w:rFonts w:ascii="Calibri" w:eastAsia="Times New Roman" w:hAnsi="Calibri" w:cs="Calibri"/>
                <w:b/>
                <w:bCs/>
                <w:color w:val="000000"/>
              </w:rPr>
              <w:t>treated for</w:t>
            </w:r>
          </w:p>
          <w:p w14:paraId="3E226F1A" w14:textId="5FB88002" w:rsidR="00F10AA4" w:rsidRPr="00FE5DAA" w:rsidRDefault="00BF1098" w:rsidP="003C241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Oncological-related </w:t>
            </w:r>
            <w:r w:rsidR="003250DC">
              <w:rPr>
                <w:rFonts w:ascii="Calibri" w:eastAsia="Times New Roman" w:hAnsi="Calibri" w:cs="Calibri"/>
                <w:b/>
                <w:bCs/>
                <w:color w:val="000000"/>
              </w:rPr>
              <w:t>Condition</w:t>
            </w:r>
          </w:p>
        </w:tc>
        <w:tc>
          <w:tcPr>
            <w:tcW w:w="0" w:type="auto"/>
            <w:tcBorders>
              <w:top w:val="single" w:sz="4" w:space="0" w:color="auto"/>
              <w:left w:val="nil"/>
              <w:bottom w:val="single" w:sz="4" w:space="0" w:color="auto"/>
              <w:right w:val="single" w:sz="4" w:space="0" w:color="auto"/>
            </w:tcBorders>
            <w:shd w:val="clear" w:color="000000" w:fill="E7E6E6"/>
            <w:noWrap/>
            <w:hideMark/>
          </w:tcPr>
          <w:p w14:paraId="4A0CFEF4" w14:textId="77777777" w:rsidR="00F10AA4" w:rsidRPr="00D159C3" w:rsidRDefault="00F10AA4" w:rsidP="003C241A">
            <w:pPr>
              <w:spacing w:after="0" w:line="240" w:lineRule="auto"/>
              <w:jc w:val="center"/>
              <w:rPr>
                <w:rFonts w:ascii="Calibri" w:eastAsia="Times New Roman" w:hAnsi="Calibri" w:cs="Calibri"/>
                <w:b/>
                <w:bCs/>
                <w:color w:val="000000"/>
              </w:rPr>
            </w:pPr>
            <w:r w:rsidRPr="00D159C3">
              <w:rPr>
                <w:rFonts w:ascii="Calibri" w:eastAsia="Times New Roman" w:hAnsi="Calibri" w:cs="Calibri"/>
                <w:b/>
                <w:bCs/>
                <w:color w:val="000000"/>
              </w:rPr>
              <w:t>Total</w:t>
            </w:r>
          </w:p>
          <w:p w14:paraId="6F9DAD8E" w14:textId="7746BADA" w:rsidR="00F10AA4" w:rsidRPr="00FE5DAA" w:rsidRDefault="00F10AA4" w:rsidP="003C241A">
            <w:pPr>
              <w:spacing w:after="0" w:line="240" w:lineRule="auto"/>
              <w:jc w:val="center"/>
              <w:rPr>
                <w:rFonts w:ascii="Calibri" w:eastAsia="Times New Roman" w:hAnsi="Calibri" w:cs="Calibri"/>
                <w:b/>
                <w:bCs/>
                <w:color w:val="000000"/>
              </w:rPr>
            </w:pPr>
            <w:r w:rsidRPr="00D159C3">
              <w:rPr>
                <w:rFonts w:ascii="Calibri" w:eastAsia="Times New Roman" w:hAnsi="Calibri" w:cs="Calibri"/>
                <w:b/>
                <w:bCs/>
                <w:color w:val="000000"/>
              </w:rPr>
              <w:t>Visit Volume</w:t>
            </w:r>
            <w:r w:rsidR="007227E7">
              <w:rPr>
                <w:rStyle w:val="FootnoteReference"/>
                <w:rFonts w:ascii="Calibri" w:eastAsia="Times New Roman" w:hAnsi="Calibri" w:cs="Calibri"/>
                <w:b/>
                <w:bCs/>
                <w:color w:val="000000"/>
              </w:rPr>
              <w:footnoteReference w:id="2"/>
            </w:r>
          </w:p>
        </w:tc>
        <w:tc>
          <w:tcPr>
            <w:tcW w:w="0" w:type="auto"/>
            <w:tcBorders>
              <w:top w:val="single" w:sz="4" w:space="0" w:color="auto"/>
              <w:left w:val="nil"/>
              <w:bottom w:val="single" w:sz="4" w:space="0" w:color="auto"/>
              <w:right w:val="single" w:sz="4" w:space="0" w:color="auto"/>
            </w:tcBorders>
            <w:shd w:val="clear" w:color="000000" w:fill="E7E6E6"/>
            <w:noWrap/>
            <w:hideMark/>
          </w:tcPr>
          <w:p w14:paraId="0F181567" w14:textId="77777777" w:rsidR="00F10AA4" w:rsidRPr="00FE5DAA" w:rsidRDefault="00F10AA4" w:rsidP="003C241A">
            <w:pPr>
              <w:spacing w:after="0" w:line="240" w:lineRule="auto"/>
              <w:jc w:val="center"/>
              <w:rPr>
                <w:rFonts w:ascii="Calibri" w:eastAsia="Times New Roman" w:hAnsi="Calibri" w:cs="Calibri"/>
                <w:b/>
                <w:bCs/>
                <w:color w:val="000000"/>
              </w:rPr>
            </w:pPr>
            <w:r w:rsidRPr="00FE5DAA">
              <w:rPr>
                <w:rFonts w:ascii="Calibri" w:eastAsia="Times New Roman" w:hAnsi="Calibri" w:cs="Calibri"/>
                <w:b/>
                <w:bCs/>
                <w:color w:val="000000"/>
              </w:rPr>
              <w:t>% Visit Volume</w:t>
            </w:r>
          </w:p>
        </w:tc>
      </w:tr>
      <w:tr w:rsidR="00F10AA4" w:rsidRPr="00FE5DAA" w14:paraId="6321D129" w14:textId="77777777" w:rsidTr="008A1081">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E56DF6" w14:textId="77777777" w:rsidR="00F10AA4" w:rsidRPr="00FE5DAA" w:rsidRDefault="00F10AA4" w:rsidP="003C241A">
            <w:pPr>
              <w:spacing w:after="0" w:line="240" w:lineRule="auto"/>
              <w:rPr>
                <w:rFonts w:ascii="Calibri" w:eastAsia="Times New Roman" w:hAnsi="Calibri" w:cs="Calibri"/>
                <w:color w:val="000000"/>
              </w:rPr>
            </w:pPr>
            <w:r w:rsidRPr="00FE5DAA">
              <w:rPr>
                <w:rFonts w:ascii="Calibri" w:eastAsia="Times New Roman" w:hAnsi="Calibri" w:cs="Calibri"/>
                <w:color w:val="000000"/>
              </w:rPr>
              <w:t>FY19</w:t>
            </w:r>
          </w:p>
        </w:tc>
        <w:tc>
          <w:tcPr>
            <w:tcW w:w="0" w:type="auto"/>
            <w:tcBorders>
              <w:top w:val="nil"/>
              <w:left w:val="nil"/>
              <w:bottom w:val="single" w:sz="4" w:space="0" w:color="auto"/>
              <w:right w:val="single" w:sz="4" w:space="0" w:color="auto"/>
            </w:tcBorders>
            <w:shd w:val="clear" w:color="auto" w:fill="auto"/>
            <w:noWrap/>
            <w:vAlign w:val="bottom"/>
          </w:tcPr>
          <w:p w14:paraId="72B87A9D" w14:textId="08A7D3D4" w:rsidR="00F10AA4" w:rsidRPr="00FE5DAA" w:rsidRDefault="00AD4C61" w:rsidP="003C241A">
            <w:pPr>
              <w:spacing w:after="0" w:line="240" w:lineRule="auto"/>
              <w:jc w:val="center"/>
              <w:rPr>
                <w:rFonts w:ascii="Calibri" w:eastAsia="Times New Roman" w:hAnsi="Calibri" w:cs="Calibri"/>
                <w:color w:val="000000"/>
              </w:rPr>
            </w:pPr>
            <w:r>
              <w:rPr>
                <w:rFonts w:ascii="Calibri" w:eastAsia="Times New Roman" w:hAnsi="Calibri" w:cs="Calibri"/>
                <w:color w:val="000000"/>
              </w:rPr>
              <w:t>740</w:t>
            </w:r>
          </w:p>
        </w:tc>
        <w:tc>
          <w:tcPr>
            <w:tcW w:w="0" w:type="auto"/>
            <w:tcBorders>
              <w:top w:val="nil"/>
              <w:left w:val="nil"/>
              <w:bottom w:val="single" w:sz="4" w:space="0" w:color="auto"/>
              <w:right w:val="single" w:sz="4" w:space="0" w:color="auto"/>
            </w:tcBorders>
            <w:shd w:val="clear" w:color="auto" w:fill="auto"/>
            <w:noWrap/>
            <w:vAlign w:val="bottom"/>
          </w:tcPr>
          <w:p w14:paraId="2A44C9CE" w14:textId="7896E557" w:rsidR="00F10AA4" w:rsidRPr="00FE5DAA" w:rsidRDefault="009C6AC2" w:rsidP="003C241A">
            <w:pPr>
              <w:spacing w:after="0" w:line="240" w:lineRule="auto"/>
              <w:jc w:val="center"/>
              <w:rPr>
                <w:rFonts w:ascii="Calibri" w:eastAsia="Times New Roman" w:hAnsi="Calibri" w:cs="Calibri"/>
                <w:color w:val="000000"/>
              </w:rPr>
            </w:pPr>
            <w:r>
              <w:rPr>
                <w:rFonts w:ascii="Calibri" w:eastAsia="Times New Roman" w:hAnsi="Calibri" w:cs="Calibri"/>
                <w:color w:val="000000"/>
              </w:rPr>
              <w:t>1,665</w:t>
            </w:r>
          </w:p>
        </w:tc>
        <w:tc>
          <w:tcPr>
            <w:tcW w:w="0" w:type="auto"/>
            <w:tcBorders>
              <w:top w:val="nil"/>
              <w:left w:val="nil"/>
              <w:bottom w:val="single" w:sz="4" w:space="0" w:color="auto"/>
              <w:right w:val="single" w:sz="4" w:space="0" w:color="auto"/>
            </w:tcBorders>
            <w:shd w:val="clear" w:color="auto" w:fill="auto"/>
            <w:noWrap/>
            <w:vAlign w:val="bottom"/>
          </w:tcPr>
          <w:p w14:paraId="2BFEA58D" w14:textId="6179280F" w:rsidR="00F10AA4" w:rsidRPr="00FE5DAA" w:rsidRDefault="00791931" w:rsidP="003C241A">
            <w:pPr>
              <w:spacing w:after="0" w:line="240" w:lineRule="auto"/>
              <w:jc w:val="center"/>
              <w:rPr>
                <w:rFonts w:ascii="Calibri" w:eastAsia="Times New Roman" w:hAnsi="Calibri" w:cs="Calibri"/>
                <w:color w:val="000000"/>
              </w:rPr>
            </w:pPr>
            <w:r>
              <w:rPr>
                <w:rFonts w:ascii="Calibri" w:eastAsia="Times New Roman" w:hAnsi="Calibri" w:cs="Calibri"/>
                <w:color w:val="000000"/>
              </w:rPr>
              <w:t>44</w:t>
            </w:r>
          </w:p>
        </w:tc>
      </w:tr>
      <w:tr w:rsidR="00F10AA4" w:rsidRPr="00FE5DAA" w14:paraId="0897837D" w14:textId="77777777" w:rsidTr="008A1081">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6201EA" w14:textId="77777777" w:rsidR="00F10AA4" w:rsidRPr="00FE5DAA" w:rsidRDefault="00F10AA4" w:rsidP="003C241A">
            <w:pPr>
              <w:spacing w:after="0" w:line="240" w:lineRule="auto"/>
              <w:rPr>
                <w:rFonts w:ascii="Calibri" w:eastAsia="Times New Roman" w:hAnsi="Calibri" w:cs="Calibri"/>
                <w:color w:val="000000"/>
              </w:rPr>
            </w:pPr>
            <w:r w:rsidRPr="00FE5DAA">
              <w:rPr>
                <w:rFonts w:ascii="Calibri" w:eastAsia="Times New Roman" w:hAnsi="Calibri" w:cs="Calibri"/>
                <w:color w:val="000000"/>
              </w:rPr>
              <w:t>FY20</w:t>
            </w:r>
          </w:p>
        </w:tc>
        <w:tc>
          <w:tcPr>
            <w:tcW w:w="0" w:type="auto"/>
            <w:tcBorders>
              <w:top w:val="nil"/>
              <w:left w:val="nil"/>
              <w:bottom w:val="single" w:sz="4" w:space="0" w:color="auto"/>
              <w:right w:val="single" w:sz="4" w:space="0" w:color="auto"/>
            </w:tcBorders>
            <w:shd w:val="clear" w:color="auto" w:fill="auto"/>
            <w:noWrap/>
            <w:vAlign w:val="bottom"/>
          </w:tcPr>
          <w:p w14:paraId="01F036B1" w14:textId="1BC11ACA" w:rsidR="00F10AA4" w:rsidRPr="00FE5DAA" w:rsidRDefault="00AD4C61" w:rsidP="003C241A">
            <w:pPr>
              <w:spacing w:after="0" w:line="240" w:lineRule="auto"/>
              <w:jc w:val="center"/>
              <w:rPr>
                <w:rFonts w:ascii="Calibri" w:eastAsia="Times New Roman" w:hAnsi="Calibri" w:cs="Calibri"/>
                <w:color w:val="000000"/>
              </w:rPr>
            </w:pPr>
            <w:r>
              <w:rPr>
                <w:rFonts w:ascii="Calibri" w:eastAsia="Times New Roman" w:hAnsi="Calibri" w:cs="Calibri"/>
                <w:color w:val="000000"/>
              </w:rPr>
              <w:t>735</w:t>
            </w:r>
          </w:p>
        </w:tc>
        <w:tc>
          <w:tcPr>
            <w:tcW w:w="0" w:type="auto"/>
            <w:tcBorders>
              <w:top w:val="nil"/>
              <w:left w:val="nil"/>
              <w:bottom w:val="single" w:sz="4" w:space="0" w:color="auto"/>
              <w:right w:val="single" w:sz="4" w:space="0" w:color="auto"/>
            </w:tcBorders>
            <w:shd w:val="clear" w:color="auto" w:fill="auto"/>
            <w:noWrap/>
            <w:vAlign w:val="bottom"/>
          </w:tcPr>
          <w:p w14:paraId="776EDF1E" w14:textId="09654B75" w:rsidR="00F10AA4" w:rsidRPr="00FE5DAA" w:rsidRDefault="005E2DD7" w:rsidP="003C241A">
            <w:pPr>
              <w:spacing w:after="0" w:line="240" w:lineRule="auto"/>
              <w:jc w:val="center"/>
              <w:rPr>
                <w:rFonts w:ascii="Calibri" w:eastAsia="Times New Roman" w:hAnsi="Calibri" w:cs="Calibri"/>
                <w:color w:val="000000"/>
              </w:rPr>
            </w:pPr>
            <w:r>
              <w:rPr>
                <w:rFonts w:ascii="Calibri" w:eastAsia="Times New Roman" w:hAnsi="Calibri" w:cs="Calibri"/>
                <w:color w:val="000000"/>
              </w:rPr>
              <w:t>1,702</w:t>
            </w:r>
          </w:p>
        </w:tc>
        <w:tc>
          <w:tcPr>
            <w:tcW w:w="0" w:type="auto"/>
            <w:tcBorders>
              <w:top w:val="nil"/>
              <w:left w:val="nil"/>
              <w:bottom w:val="single" w:sz="4" w:space="0" w:color="auto"/>
              <w:right w:val="single" w:sz="4" w:space="0" w:color="auto"/>
            </w:tcBorders>
            <w:shd w:val="clear" w:color="auto" w:fill="auto"/>
            <w:noWrap/>
            <w:vAlign w:val="bottom"/>
          </w:tcPr>
          <w:p w14:paraId="7372724A" w14:textId="5223F6FC" w:rsidR="00F10AA4" w:rsidRPr="00FE5DAA" w:rsidRDefault="00752C1B" w:rsidP="003C241A">
            <w:pPr>
              <w:spacing w:after="0" w:line="240" w:lineRule="auto"/>
              <w:jc w:val="center"/>
              <w:rPr>
                <w:rFonts w:ascii="Calibri" w:eastAsia="Times New Roman" w:hAnsi="Calibri" w:cs="Calibri"/>
                <w:color w:val="000000"/>
              </w:rPr>
            </w:pPr>
            <w:r>
              <w:rPr>
                <w:rFonts w:ascii="Calibri" w:eastAsia="Times New Roman" w:hAnsi="Calibri" w:cs="Calibri"/>
                <w:color w:val="000000"/>
              </w:rPr>
              <w:t>43</w:t>
            </w:r>
          </w:p>
        </w:tc>
      </w:tr>
      <w:tr w:rsidR="00F10AA4" w:rsidRPr="00FE5DAA" w14:paraId="7ACAB29D" w14:textId="77777777" w:rsidTr="008A1081">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9BF69A" w14:textId="77777777" w:rsidR="00F10AA4" w:rsidRPr="00FE5DAA" w:rsidRDefault="00F10AA4" w:rsidP="003C241A">
            <w:pPr>
              <w:spacing w:after="0" w:line="240" w:lineRule="auto"/>
              <w:rPr>
                <w:rFonts w:ascii="Calibri" w:eastAsia="Times New Roman" w:hAnsi="Calibri" w:cs="Calibri"/>
                <w:color w:val="000000"/>
              </w:rPr>
            </w:pPr>
            <w:r w:rsidRPr="00FE5DAA">
              <w:rPr>
                <w:rFonts w:ascii="Calibri" w:eastAsia="Times New Roman" w:hAnsi="Calibri" w:cs="Calibri"/>
                <w:color w:val="000000"/>
              </w:rPr>
              <w:t>FY21</w:t>
            </w:r>
          </w:p>
        </w:tc>
        <w:tc>
          <w:tcPr>
            <w:tcW w:w="0" w:type="auto"/>
            <w:tcBorders>
              <w:top w:val="nil"/>
              <w:left w:val="nil"/>
              <w:bottom w:val="single" w:sz="4" w:space="0" w:color="auto"/>
              <w:right w:val="single" w:sz="4" w:space="0" w:color="auto"/>
            </w:tcBorders>
            <w:shd w:val="clear" w:color="auto" w:fill="auto"/>
            <w:noWrap/>
            <w:vAlign w:val="bottom"/>
          </w:tcPr>
          <w:p w14:paraId="75504184" w14:textId="317789A7" w:rsidR="00F10AA4" w:rsidRPr="00FE5DAA" w:rsidRDefault="00791931" w:rsidP="003C241A">
            <w:pPr>
              <w:spacing w:after="0" w:line="240" w:lineRule="auto"/>
              <w:jc w:val="center"/>
              <w:rPr>
                <w:rFonts w:ascii="Calibri" w:eastAsia="Times New Roman" w:hAnsi="Calibri" w:cs="Calibri"/>
                <w:color w:val="000000"/>
              </w:rPr>
            </w:pPr>
            <w:r>
              <w:rPr>
                <w:rFonts w:ascii="Calibri" w:eastAsia="Times New Roman" w:hAnsi="Calibri" w:cs="Calibri"/>
                <w:color w:val="000000"/>
              </w:rPr>
              <w:t>966</w:t>
            </w:r>
          </w:p>
        </w:tc>
        <w:tc>
          <w:tcPr>
            <w:tcW w:w="0" w:type="auto"/>
            <w:tcBorders>
              <w:top w:val="nil"/>
              <w:left w:val="nil"/>
              <w:bottom w:val="single" w:sz="4" w:space="0" w:color="auto"/>
              <w:right w:val="single" w:sz="4" w:space="0" w:color="auto"/>
            </w:tcBorders>
            <w:shd w:val="clear" w:color="auto" w:fill="auto"/>
            <w:noWrap/>
            <w:vAlign w:val="bottom"/>
          </w:tcPr>
          <w:p w14:paraId="22EE6169" w14:textId="13F492F4" w:rsidR="00F10AA4" w:rsidRPr="00FE5DAA" w:rsidRDefault="005E2DD7" w:rsidP="003C241A">
            <w:pPr>
              <w:spacing w:after="0" w:line="240" w:lineRule="auto"/>
              <w:jc w:val="center"/>
              <w:rPr>
                <w:rFonts w:ascii="Calibri" w:eastAsia="Times New Roman" w:hAnsi="Calibri" w:cs="Calibri"/>
                <w:color w:val="000000"/>
              </w:rPr>
            </w:pPr>
            <w:r>
              <w:rPr>
                <w:rFonts w:ascii="Calibri" w:eastAsia="Times New Roman" w:hAnsi="Calibri" w:cs="Calibri"/>
                <w:color w:val="000000"/>
              </w:rPr>
              <w:t>2,465</w:t>
            </w:r>
          </w:p>
        </w:tc>
        <w:tc>
          <w:tcPr>
            <w:tcW w:w="0" w:type="auto"/>
            <w:tcBorders>
              <w:top w:val="nil"/>
              <w:left w:val="nil"/>
              <w:bottom w:val="single" w:sz="4" w:space="0" w:color="auto"/>
              <w:right w:val="single" w:sz="4" w:space="0" w:color="auto"/>
            </w:tcBorders>
            <w:shd w:val="clear" w:color="auto" w:fill="auto"/>
            <w:noWrap/>
            <w:vAlign w:val="bottom"/>
          </w:tcPr>
          <w:p w14:paraId="2E1BC7BF" w14:textId="596B80B8" w:rsidR="00F10AA4" w:rsidRPr="00FE5DAA" w:rsidRDefault="00791931" w:rsidP="003C241A">
            <w:pPr>
              <w:spacing w:after="0" w:line="240" w:lineRule="auto"/>
              <w:jc w:val="center"/>
              <w:rPr>
                <w:rFonts w:ascii="Calibri" w:eastAsia="Times New Roman" w:hAnsi="Calibri" w:cs="Calibri"/>
                <w:color w:val="000000"/>
              </w:rPr>
            </w:pPr>
            <w:r>
              <w:rPr>
                <w:rFonts w:ascii="Calibri" w:eastAsia="Times New Roman" w:hAnsi="Calibri" w:cs="Calibri"/>
                <w:color w:val="000000"/>
              </w:rPr>
              <w:t>39</w:t>
            </w:r>
          </w:p>
        </w:tc>
      </w:tr>
    </w:tbl>
    <w:p w14:paraId="7366CE14" w14:textId="3608B1B9" w:rsidR="00BD5574" w:rsidRDefault="003054CD" w:rsidP="00F359E2">
      <w:r>
        <w:t xml:space="preserve"> </w:t>
      </w:r>
    </w:p>
    <w:p w14:paraId="161214C0" w14:textId="07DC1E91" w:rsidR="00826C1D" w:rsidRPr="003054CD" w:rsidRDefault="00826C1D" w:rsidP="00F359E2">
      <w:pPr>
        <w:rPr>
          <w:b/>
          <w:bCs/>
        </w:rPr>
      </w:pPr>
      <w:r>
        <w:tab/>
      </w:r>
      <w:r w:rsidRPr="003054CD">
        <w:rPr>
          <w:b/>
          <w:bCs/>
        </w:rPr>
        <w:t xml:space="preserve">      </w:t>
      </w:r>
      <w:r w:rsidR="003054CD">
        <w:rPr>
          <w:b/>
          <w:bCs/>
        </w:rPr>
        <w:t xml:space="preserve">   </w:t>
      </w:r>
      <w:r w:rsidRPr="003054CD">
        <w:rPr>
          <w:b/>
          <w:bCs/>
        </w:rPr>
        <w:t xml:space="preserve"> Table 2</w:t>
      </w:r>
    </w:p>
    <w:tbl>
      <w:tblPr>
        <w:tblW w:w="0" w:type="auto"/>
        <w:jc w:val="center"/>
        <w:tblLook w:val="04A0" w:firstRow="1" w:lastRow="0" w:firstColumn="1" w:lastColumn="0" w:noHBand="0" w:noVBand="1"/>
      </w:tblPr>
      <w:tblGrid>
        <w:gridCol w:w="1176"/>
        <w:gridCol w:w="2722"/>
        <w:gridCol w:w="1379"/>
        <w:gridCol w:w="1589"/>
      </w:tblGrid>
      <w:tr w:rsidR="00504EE4" w:rsidRPr="00FE5DAA" w14:paraId="064D95A1" w14:textId="77777777" w:rsidTr="008A1081">
        <w:trPr>
          <w:cantSplit/>
          <w:trHeight w:val="521"/>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E7E6E6"/>
            <w:noWrap/>
            <w:hideMark/>
          </w:tcPr>
          <w:p w14:paraId="0B95214E" w14:textId="77777777" w:rsidR="00504EE4" w:rsidRPr="00FE5DAA" w:rsidRDefault="00504EE4" w:rsidP="003C241A">
            <w:pPr>
              <w:spacing w:after="0" w:line="240" w:lineRule="auto"/>
              <w:jc w:val="center"/>
              <w:rPr>
                <w:rFonts w:ascii="Calibri" w:eastAsia="Times New Roman" w:hAnsi="Calibri" w:cs="Calibri"/>
                <w:b/>
                <w:bCs/>
                <w:color w:val="000000"/>
              </w:rPr>
            </w:pPr>
            <w:r w:rsidRPr="00FE5DAA">
              <w:rPr>
                <w:rFonts w:ascii="Calibri" w:eastAsia="Times New Roman" w:hAnsi="Calibri" w:cs="Calibri"/>
                <w:b/>
                <w:bCs/>
                <w:color w:val="000000"/>
              </w:rPr>
              <w:t>Fiscal Year</w:t>
            </w:r>
          </w:p>
        </w:tc>
        <w:tc>
          <w:tcPr>
            <w:tcW w:w="0" w:type="auto"/>
            <w:tcBorders>
              <w:top w:val="single" w:sz="4" w:space="0" w:color="auto"/>
              <w:left w:val="nil"/>
              <w:bottom w:val="single" w:sz="4" w:space="0" w:color="auto"/>
              <w:right w:val="single" w:sz="4" w:space="0" w:color="auto"/>
            </w:tcBorders>
            <w:shd w:val="clear" w:color="000000" w:fill="E7E6E6"/>
            <w:hideMark/>
          </w:tcPr>
          <w:p w14:paraId="624D7BCF" w14:textId="4F8CC3AC" w:rsidR="00504EE4" w:rsidRDefault="00504EE4" w:rsidP="005462CF">
            <w:pPr>
              <w:spacing w:after="0" w:line="240" w:lineRule="auto"/>
              <w:jc w:val="center"/>
              <w:rPr>
                <w:rFonts w:ascii="Calibri" w:eastAsia="Times New Roman" w:hAnsi="Calibri" w:cs="Calibri"/>
                <w:b/>
                <w:bCs/>
                <w:color w:val="000000"/>
              </w:rPr>
            </w:pPr>
            <w:r w:rsidRPr="00D159C3">
              <w:rPr>
                <w:rFonts w:ascii="Calibri" w:eastAsia="Times New Roman" w:hAnsi="Calibri" w:cs="Calibri"/>
                <w:b/>
                <w:bCs/>
                <w:color w:val="000000"/>
              </w:rPr>
              <w:t xml:space="preserve">Unique Patients </w:t>
            </w:r>
            <w:r w:rsidR="005462CF">
              <w:rPr>
                <w:rFonts w:ascii="Calibri" w:eastAsia="Times New Roman" w:hAnsi="Calibri" w:cs="Calibri"/>
                <w:b/>
                <w:bCs/>
                <w:color w:val="000000"/>
              </w:rPr>
              <w:t xml:space="preserve">treated for </w:t>
            </w:r>
          </w:p>
          <w:p w14:paraId="5193AD0F" w14:textId="6ABACB62" w:rsidR="00504EE4" w:rsidRPr="00FE5DAA" w:rsidRDefault="005462CF" w:rsidP="003C241A">
            <w:pPr>
              <w:spacing w:after="0" w:line="240" w:lineRule="auto"/>
              <w:jc w:val="center"/>
              <w:rPr>
                <w:rFonts w:ascii="Calibri" w:eastAsia="Times New Roman" w:hAnsi="Calibri" w:cs="Calibri"/>
                <w:b/>
                <w:bCs/>
                <w:color w:val="000000"/>
              </w:rPr>
            </w:pPr>
            <w:r w:rsidRPr="00D159C3">
              <w:rPr>
                <w:rFonts w:ascii="Calibri" w:eastAsia="Times New Roman" w:hAnsi="Calibri" w:cs="Calibri"/>
                <w:b/>
                <w:bCs/>
                <w:color w:val="000000"/>
              </w:rPr>
              <w:t>C</w:t>
            </w:r>
            <w:r w:rsidR="00504EE4" w:rsidRPr="00D159C3">
              <w:rPr>
                <w:rFonts w:ascii="Calibri" w:eastAsia="Times New Roman" w:hAnsi="Calibri" w:cs="Calibri"/>
                <w:b/>
                <w:bCs/>
                <w:color w:val="000000"/>
              </w:rPr>
              <w:t>a</w:t>
            </w:r>
            <w:r w:rsidR="00504EE4">
              <w:rPr>
                <w:rFonts w:ascii="Calibri" w:eastAsia="Times New Roman" w:hAnsi="Calibri" w:cs="Calibri"/>
                <w:b/>
                <w:bCs/>
                <w:color w:val="000000"/>
              </w:rPr>
              <w:t>rdiac</w:t>
            </w:r>
            <w:r>
              <w:rPr>
                <w:rFonts w:ascii="Calibri" w:eastAsia="Times New Roman" w:hAnsi="Calibri" w:cs="Calibri"/>
                <w:b/>
                <w:bCs/>
                <w:color w:val="000000"/>
              </w:rPr>
              <w:t>-related</w:t>
            </w:r>
            <w:r w:rsidR="00504EE4" w:rsidRPr="00D159C3">
              <w:rPr>
                <w:rFonts w:ascii="Calibri" w:eastAsia="Times New Roman" w:hAnsi="Calibri" w:cs="Calibri"/>
                <w:b/>
                <w:bCs/>
                <w:color w:val="000000"/>
              </w:rPr>
              <w:t xml:space="preserve"> diagnosis</w:t>
            </w:r>
          </w:p>
        </w:tc>
        <w:tc>
          <w:tcPr>
            <w:tcW w:w="0" w:type="auto"/>
            <w:tcBorders>
              <w:top w:val="single" w:sz="4" w:space="0" w:color="auto"/>
              <w:left w:val="nil"/>
              <w:bottom w:val="single" w:sz="4" w:space="0" w:color="auto"/>
              <w:right w:val="single" w:sz="4" w:space="0" w:color="auto"/>
            </w:tcBorders>
            <w:shd w:val="clear" w:color="000000" w:fill="E7E6E6"/>
            <w:noWrap/>
            <w:hideMark/>
          </w:tcPr>
          <w:p w14:paraId="2962F1C4" w14:textId="77777777" w:rsidR="00504EE4" w:rsidRPr="00D159C3" w:rsidRDefault="00504EE4" w:rsidP="003C241A">
            <w:pPr>
              <w:spacing w:after="0" w:line="240" w:lineRule="auto"/>
              <w:jc w:val="center"/>
              <w:rPr>
                <w:rFonts w:ascii="Calibri" w:eastAsia="Times New Roman" w:hAnsi="Calibri" w:cs="Calibri"/>
                <w:b/>
                <w:bCs/>
                <w:color w:val="000000"/>
              </w:rPr>
            </w:pPr>
            <w:r w:rsidRPr="00D159C3">
              <w:rPr>
                <w:rFonts w:ascii="Calibri" w:eastAsia="Times New Roman" w:hAnsi="Calibri" w:cs="Calibri"/>
                <w:b/>
                <w:bCs/>
                <w:color w:val="000000"/>
              </w:rPr>
              <w:t>Total</w:t>
            </w:r>
          </w:p>
          <w:p w14:paraId="53E1B376" w14:textId="77777777" w:rsidR="00504EE4" w:rsidRPr="00FE5DAA" w:rsidRDefault="00504EE4" w:rsidP="003C241A">
            <w:pPr>
              <w:spacing w:after="0" w:line="240" w:lineRule="auto"/>
              <w:jc w:val="center"/>
              <w:rPr>
                <w:rFonts w:ascii="Calibri" w:eastAsia="Times New Roman" w:hAnsi="Calibri" w:cs="Calibri"/>
                <w:b/>
                <w:bCs/>
                <w:color w:val="000000"/>
              </w:rPr>
            </w:pPr>
            <w:r w:rsidRPr="00D159C3">
              <w:rPr>
                <w:rFonts w:ascii="Calibri" w:eastAsia="Times New Roman" w:hAnsi="Calibri" w:cs="Calibri"/>
                <w:b/>
                <w:bCs/>
                <w:color w:val="000000"/>
              </w:rPr>
              <w:t>Visit Volume</w:t>
            </w:r>
          </w:p>
        </w:tc>
        <w:tc>
          <w:tcPr>
            <w:tcW w:w="0" w:type="auto"/>
            <w:tcBorders>
              <w:top w:val="single" w:sz="4" w:space="0" w:color="auto"/>
              <w:left w:val="nil"/>
              <w:bottom w:val="single" w:sz="4" w:space="0" w:color="auto"/>
              <w:right w:val="single" w:sz="4" w:space="0" w:color="auto"/>
            </w:tcBorders>
            <w:shd w:val="clear" w:color="000000" w:fill="E7E6E6"/>
            <w:noWrap/>
            <w:hideMark/>
          </w:tcPr>
          <w:p w14:paraId="14AE85BE" w14:textId="77777777" w:rsidR="00504EE4" w:rsidRPr="00FE5DAA" w:rsidRDefault="00504EE4" w:rsidP="003C241A">
            <w:pPr>
              <w:spacing w:after="0" w:line="240" w:lineRule="auto"/>
              <w:jc w:val="center"/>
              <w:rPr>
                <w:rFonts w:ascii="Calibri" w:eastAsia="Times New Roman" w:hAnsi="Calibri" w:cs="Calibri"/>
                <w:b/>
                <w:bCs/>
                <w:color w:val="000000"/>
              </w:rPr>
            </w:pPr>
            <w:r w:rsidRPr="00FE5DAA">
              <w:rPr>
                <w:rFonts w:ascii="Calibri" w:eastAsia="Times New Roman" w:hAnsi="Calibri" w:cs="Calibri"/>
                <w:b/>
                <w:bCs/>
                <w:color w:val="000000"/>
              </w:rPr>
              <w:t>% Visit Volume</w:t>
            </w:r>
          </w:p>
        </w:tc>
      </w:tr>
      <w:tr w:rsidR="007B757F" w:rsidRPr="00FE5DAA" w14:paraId="78E34C60" w14:textId="77777777" w:rsidTr="008A1081">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71FF87" w14:textId="77777777" w:rsidR="007B757F" w:rsidRPr="00B67BAC" w:rsidRDefault="007B757F" w:rsidP="007B757F">
            <w:pPr>
              <w:spacing w:after="0" w:line="240" w:lineRule="auto"/>
              <w:rPr>
                <w:rFonts w:ascii="Calibri" w:eastAsia="Times New Roman" w:hAnsi="Calibri" w:cs="Calibri"/>
              </w:rPr>
            </w:pPr>
            <w:r w:rsidRPr="00B67BAC">
              <w:rPr>
                <w:rFonts w:ascii="Calibri" w:eastAsia="Times New Roman" w:hAnsi="Calibri" w:cs="Calibri"/>
              </w:rPr>
              <w:t>FY19</w:t>
            </w:r>
          </w:p>
        </w:tc>
        <w:tc>
          <w:tcPr>
            <w:tcW w:w="0" w:type="auto"/>
            <w:tcBorders>
              <w:top w:val="nil"/>
              <w:left w:val="nil"/>
              <w:bottom w:val="single" w:sz="4" w:space="0" w:color="auto"/>
              <w:right w:val="single" w:sz="4" w:space="0" w:color="auto"/>
            </w:tcBorders>
            <w:shd w:val="clear" w:color="auto" w:fill="auto"/>
            <w:noWrap/>
            <w:vAlign w:val="bottom"/>
          </w:tcPr>
          <w:p w14:paraId="5564C72B" w14:textId="3DEFC8CD" w:rsidR="007B757F" w:rsidRPr="00B67BAC" w:rsidRDefault="007B757F" w:rsidP="007B757F">
            <w:pPr>
              <w:spacing w:after="0" w:line="240" w:lineRule="auto"/>
              <w:jc w:val="center"/>
              <w:rPr>
                <w:rFonts w:ascii="Calibri" w:eastAsia="Times New Roman" w:hAnsi="Calibri" w:cs="Calibri"/>
              </w:rPr>
            </w:pPr>
            <w:r w:rsidRPr="00B67BAC">
              <w:rPr>
                <w:rFonts w:ascii="Calibri" w:eastAsia="Times New Roman" w:hAnsi="Calibri" w:cs="Calibri"/>
              </w:rPr>
              <w:t>2,071</w:t>
            </w:r>
          </w:p>
        </w:tc>
        <w:tc>
          <w:tcPr>
            <w:tcW w:w="0" w:type="auto"/>
            <w:tcBorders>
              <w:top w:val="nil"/>
              <w:left w:val="nil"/>
              <w:bottom w:val="single" w:sz="8" w:space="0" w:color="auto"/>
              <w:right w:val="single" w:sz="8" w:space="0" w:color="auto"/>
            </w:tcBorders>
            <w:noWrap/>
            <w:vAlign w:val="bottom"/>
          </w:tcPr>
          <w:p w14:paraId="16399065" w14:textId="5BFB880A" w:rsidR="007B757F" w:rsidRPr="008A1081" w:rsidRDefault="007B757F" w:rsidP="007B757F">
            <w:pPr>
              <w:spacing w:after="0" w:line="240" w:lineRule="auto"/>
              <w:jc w:val="center"/>
              <w:rPr>
                <w:rFonts w:ascii="Calibri" w:eastAsia="Times New Roman" w:hAnsi="Calibri" w:cs="Calibri"/>
                <w:b/>
                <w:bCs/>
                <w:color w:val="0070C0"/>
              </w:rPr>
            </w:pPr>
            <w:r w:rsidRPr="008A1081">
              <w:rPr>
                <w:b/>
                <w:bCs/>
                <w:color w:val="0070C0"/>
              </w:rPr>
              <w:t>37,326</w:t>
            </w:r>
          </w:p>
        </w:tc>
        <w:tc>
          <w:tcPr>
            <w:tcW w:w="0" w:type="auto"/>
            <w:tcBorders>
              <w:top w:val="nil"/>
              <w:left w:val="nil"/>
              <w:bottom w:val="single" w:sz="8" w:space="0" w:color="auto"/>
              <w:right w:val="single" w:sz="8" w:space="0" w:color="auto"/>
            </w:tcBorders>
            <w:noWrap/>
            <w:vAlign w:val="bottom"/>
          </w:tcPr>
          <w:p w14:paraId="39652904" w14:textId="5B9ED88C" w:rsidR="007B757F" w:rsidRPr="008A1081" w:rsidRDefault="007B757F" w:rsidP="007B757F">
            <w:pPr>
              <w:spacing w:after="0" w:line="240" w:lineRule="auto"/>
              <w:jc w:val="center"/>
              <w:rPr>
                <w:rFonts w:ascii="Calibri" w:eastAsia="Times New Roman" w:hAnsi="Calibri" w:cs="Calibri"/>
                <w:b/>
                <w:bCs/>
                <w:color w:val="0070C0"/>
              </w:rPr>
            </w:pPr>
            <w:r w:rsidRPr="008A1081">
              <w:rPr>
                <w:b/>
                <w:bCs/>
                <w:color w:val="0070C0"/>
              </w:rPr>
              <w:t>.06%</w:t>
            </w:r>
          </w:p>
        </w:tc>
      </w:tr>
      <w:tr w:rsidR="007B757F" w:rsidRPr="00FE5DAA" w14:paraId="56744842" w14:textId="77777777" w:rsidTr="008A1081">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F5FB7B" w14:textId="77777777" w:rsidR="007B757F" w:rsidRPr="00B67BAC" w:rsidRDefault="007B757F" w:rsidP="007B757F">
            <w:pPr>
              <w:spacing w:after="0" w:line="240" w:lineRule="auto"/>
              <w:rPr>
                <w:rFonts w:ascii="Calibri" w:eastAsia="Times New Roman" w:hAnsi="Calibri" w:cs="Calibri"/>
              </w:rPr>
            </w:pPr>
            <w:r w:rsidRPr="00B67BAC">
              <w:rPr>
                <w:rFonts w:ascii="Calibri" w:eastAsia="Times New Roman" w:hAnsi="Calibri" w:cs="Calibri"/>
              </w:rPr>
              <w:t>FY20</w:t>
            </w:r>
          </w:p>
        </w:tc>
        <w:tc>
          <w:tcPr>
            <w:tcW w:w="0" w:type="auto"/>
            <w:tcBorders>
              <w:top w:val="nil"/>
              <w:left w:val="nil"/>
              <w:bottom w:val="single" w:sz="4" w:space="0" w:color="auto"/>
              <w:right w:val="single" w:sz="4" w:space="0" w:color="auto"/>
            </w:tcBorders>
            <w:shd w:val="clear" w:color="auto" w:fill="auto"/>
            <w:noWrap/>
            <w:vAlign w:val="bottom"/>
          </w:tcPr>
          <w:p w14:paraId="71BD7A38" w14:textId="43ECF38B" w:rsidR="007B757F" w:rsidRPr="00B67BAC" w:rsidRDefault="007B757F" w:rsidP="007B757F">
            <w:pPr>
              <w:spacing w:after="0" w:line="240" w:lineRule="auto"/>
              <w:jc w:val="center"/>
              <w:rPr>
                <w:rFonts w:ascii="Calibri" w:eastAsia="Times New Roman" w:hAnsi="Calibri" w:cs="Calibri"/>
              </w:rPr>
            </w:pPr>
            <w:r w:rsidRPr="00B67BAC">
              <w:rPr>
                <w:rFonts w:ascii="Calibri" w:eastAsia="Times New Roman" w:hAnsi="Calibri" w:cs="Calibri"/>
              </w:rPr>
              <w:t>1,583</w:t>
            </w:r>
          </w:p>
        </w:tc>
        <w:tc>
          <w:tcPr>
            <w:tcW w:w="0" w:type="auto"/>
            <w:tcBorders>
              <w:top w:val="nil"/>
              <w:left w:val="nil"/>
              <w:bottom w:val="single" w:sz="8" w:space="0" w:color="auto"/>
              <w:right w:val="single" w:sz="8" w:space="0" w:color="auto"/>
            </w:tcBorders>
            <w:noWrap/>
            <w:vAlign w:val="bottom"/>
          </w:tcPr>
          <w:p w14:paraId="0D069CB3" w14:textId="77E668CB" w:rsidR="007B757F" w:rsidRPr="008A1081" w:rsidRDefault="007B757F" w:rsidP="007B757F">
            <w:pPr>
              <w:spacing w:after="0" w:line="240" w:lineRule="auto"/>
              <w:jc w:val="center"/>
              <w:rPr>
                <w:rFonts w:ascii="Calibri" w:eastAsia="Times New Roman" w:hAnsi="Calibri" w:cs="Calibri"/>
                <w:b/>
                <w:bCs/>
                <w:color w:val="0070C0"/>
              </w:rPr>
            </w:pPr>
            <w:r w:rsidRPr="008A1081">
              <w:rPr>
                <w:b/>
                <w:bCs/>
                <w:color w:val="0070C0"/>
              </w:rPr>
              <w:t>38,209</w:t>
            </w:r>
          </w:p>
        </w:tc>
        <w:tc>
          <w:tcPr>
            <w:tcW w:w="0" w:type="auto"/>
            <w:tcBorders>
              <w:top w:val="nil"/>
              <w:left w:val="nil"/>
              <w:bottom w:val="single" w:sz="8" w:space="0" w:color="auto"/>
              <w:right w:val="single" w:sz="8" w:space="0" w:color="auto"/>
            </w:tcBorders>
            <w:noWrap/>
            <w:vAlign w:val="bottom"/>
          </w:tcPr>
          <w:p w14:paraId="51B6374C" w14:textId="5D4F3033" w:rsidR="007B757F" w:rsidRPr="008A1081" w:rsidRDefault="007B757F" w:rsidP="007B757F">
            <w:pPr>
              <w:spacing w:after="0" w:line="240" w:lineRule="auto"/>
              <w:jc w:val="center"/>
              <w:rPr>
                <w:rFonts w:ascii="Calibri" w:eastAsia="Times New Roman" w:hAnsi="Calibri" w:cs="Calibri"/>
                <w:b/>
                <w:bCs/>
                <w:color w:val="0070C0"/>
              </w:rPr>
            </w:pPr>
            <w:r w:rsidRPr="008A1081">
              <w:rPr>
                <w:b/>
                <w:bCs/>
                <w:color w:val="0070C0"/>
              </w:rPr>
              <w:t>.04%</w:t>
            </w:r>
          </w:p>
        </w:tc>
      </w:tr>
      <w:tr w:rsidR="007B757F" w:rsidRPr="00FE5DAA" w14:paraId="7DDBD0E0" w14:textId="77777777" w:rsidTr="008A1081">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04EA29" w14:textId="77777777" w:rsidR="007B757F" w:rsidRPr="00B67BAC" w:rsidRDefault="007B757F" w:rsidP="007B757F">
            <w:pPr>
              <w:spacing w:after="0" w:line="240" w:lineRule="auto"/>
              <w:rPr>
                <w:rFonts w:ascii="Calibri" w:eastAsia="Times New Roman" w:hAnsi="Calibri" w:cs="Calibri"/>
              </w:rPr>
            </w:pPr>
            <w:r w:rsidRPr="00B67BAC">
              <w:rPr>
                <w:rFonts w:ascii="Calibri" w:eastAsia="Times New Roman" w:hAnsi="Calibri" w:cs="Calibri"/>
              </w:rPr>
              <w:t>FY21</w:t>
            </w:r>
          </w:p>
        </w:tc>
        <w:tc>
          <w:tcPr>
            <w:tcW w:w="0" w:type="auto"/>
            <w:tcBorders>
              <w:top w:val="nil"/>
              <w:left w:val="nil"/>
              <w:bottom w:val="single" w:sz="4" w:space="0" w:color="auto"/>
              <w:right w:val="single" w:sz="4" w:space="0" w:color="auto"/>
            </w:tcBorders>
            <w:shd w:val="clear" w:color="auto" w:fill="auto"/>
            <w:noWrap/>
            <w:vAlign w:val="bottom"/>
          </w:tcPr>
          <w:p w14:paraId="45980D19" w14:textId="7D663CD3" w:rsidR="007B757F" w:rsidRPr="00B67BAC" w:rsidRDefault="007B757F" w:rsidP="007B757F">
            <w:pPr>
              <w:spacing w:after="0" w:line="240" w:lineRule="auto"/>
              <w:jc w:val="center"/>
              <w:rPr>
                <w:rFonts w:ascii="Calibri" w:eastAsia="Times New Roman" w:hAnsi="Calibri" w:cs="Calibri"/>
              </w:rPr>
            </w:pPr>
            <w:r w:rsidRPr="00B67BAC">
              <w:rPr>
                <w:rFonts w:ascii="Calibri" w:eastAsia="Times New Roman" w:hAnsi="Calibri" w:cs="Calibri"/>
              </w:rPr>
              <w:t>1,602</w:t>
            </w:r>
          </w:p>
        </w:tc>
        <w:tc>
          <w:tcPr>
            <w:tcW w:w="0" w:type="auto"/>
            <w:tcBorders>
              <w:top w:val="nil"/>
              <w:left w:val="nil"/>
              <w:bottom w:val="single" w:sz="8" w:space="0" w:color="auto"/>
              <w:right w:val="single" w:sz="8" w:space="0" w:color="auto"/>
            </w:tcBorders>
            <w:noWrap/>
            <w:vAlign w:val="bottom"/>
          </w:tcPr>
          <w:p w14:paraId="753B48A1" w14:textId="41F9097E" w:rsidR="007B757F" w:rsidRPr="008A1081" w:rsidRDefault="007B757F" w:rsidP="007B757F">
            <w:pPr>
              <w:spacing w:after="0" w:line="240" w:lineRule="auto"/>
              <w:jc w:val="center"/>
              <w:rPr>
                <w:rFonts w:ascii="Calibri" w:eastAsia="Times New Roman" w:hAnsi="Calibri" w:cs="Calibri"/>
                <w:b/>
                <w:bCs/>
                <w:color w:val="0070C0"/>
              </w:rPr>
            </w:pPr>
            <w:r w:rsidRPr="008A1081">
              <w:rPr>
                <w:b/>
                <w:bCs/>
                <w:color w:val="0070C0"/>
              </w:rPr>
              <w:t>48,292</w:t>
            </w:r>
          </w:p>
        </w:tc>
        <w:tc>
          <w:tcPr>
            <w:tcW w:w="0" w:type="auto"/>
            <w:tcBorders>
              <w:top w:val="nil"/>
              <w:left w:val="nil"/>
              <w:bottom w:val="single" w:sz="8" w:space="0" w:color="auto"/>
              <w:right w:val="single" w:sz="8" w:space="0" w:color="auto"/>
            </w:tcBorders>
            <w:noWrap/>
            <w:vAlign w:val="bottom"/>
          </w:tcPr>
          <w:p w14:paraId="7E5E2C70" w14:textId="09EDEF02" w:rsidR="007B757F" w:rsidRPr="008A1081" w:rsidRDefault="007B757F" w:rsidP="007B757F">
            <w:pPr>
              <w:spacing w:after="0" w:line="240" w:lineRule="auto"/>
              <w:jc w:val="center"/>
              <w:rPr>
                <w:rFonts w:ascii="Calibri" w:eastAsia="Times New Roman" w:hAnsi="Calibri" w:cs="Calibri"/>
                <w:b/>
                <w:bCs/>
                <w:color w:val="0070C0"/>
              </w:rPr>
            </w:pPr>
            <w:r w:rsidRPr="008A1081">
              <w:rPr>
                <w:b/>
                <w:bCs/>
                <w:color w:val="0070C0"/>
              </w:rPr>
              <w:t>.03%</w:t>
            </w:r>
          </w:p>
        </w:tc>
      </w:tr>
    </w:tbl>
    <w:p w14:paraId="647C31F3" w14:textId="56A54CDD" w:rsidR="00504EE4" w:rsidRDefault="00504EE4" w:rsidP="00F359E2"/>
    <w:p w14:paraId="1E82A3B6" w14:textId="00D63DAC" w:rsidR="00826C1D" w:rsidRPr="003054CD" w:rsidRDefault="00826C1D" w:rsidP="00F359E2">
      <w:pPr>
        <w:rPr>
          <w:b/>
          <w:bCs/>
        </w:rPr>
      </w:pPr>
      <w:r>
        <w:tab/>
      </w:r>
      <w:r w:rsidRPr="003054CD">
        <w:rPr>
          <w:b/>
          <w:bCs/>
        </w:rPr>
        <w:t xml:space="preserve">      </w:t>
      </w:r>
      <w:r w:rsidR="003054CD">
        <w:rPr>
          <w:b/>
          <w:bCs/>
        </w:rPr>
        <w:t xml:space="preserve">   </w:t>
      </w:r>
      <w:r w:rsidRPr="003054CD">
        <w:rPr>
          <w:b/>
          <w:bCs/>
        </w:rPr>
        <w:t xml:space="preserve">  Table 3 </w:t>
      </w:r>
    </w:p>
    <w:tbl>
      <w:tblPr>
        <w:tblW w:w="0" w:type="auto"/>
        <w:jc w:val="center"/>
        <w:tblLook w:val="04A0" w:firstRow="1" w:lastRow="0" w:firstColumn="1" w:lastColumn="0" w:noHBand="0" w:noVBand="1"/>
      </w:tblPr>
      <w:tblGrid>
        <w:gridCol w:w="1996"/>
        <w:gridCol w:w="4748"/>
      </w:tblGrid>
      <w:tr w:rsidR="00E951A6" w:rsidRPr="00FE5DAA" w14:paraId="0501AA28" w14:textId="77777777" w:rsidTr="008A1081">
        <w:trPr>
          <w:cantSplit/>
          <w:trHeight w:val="566"/>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E7E6E6"/>
            <w:noWrap/>
            <w:hideMark/>
          </w:tcPr>
          <w:p w14:paraId="5CC8EF2F" w14:textId="09BD2819" w:rsidR="00E951A6" w:rsidRPr="00FE5DAA" w:rsidRDefault="00E951A6" w:rsidP="00791931">
            <w:pPr>
              <w:spacing w:after="0" w:line="240" w:lineRule="auto"/>
              <w:jc w:val="both"/>
              <w:rPr>
                <w:rFonts w:ascii="Calibri" w:eastAsia="Times New Roman" w:hAnsi="Calibri" w:cs="Calibri"/>
                <w:b/>
                <w:bCs/>
                <w:color w:val="000000"/>
              </w:rPr>
            </w:pPr>
            <w:r w:rsidRPr="00FE5DAA">
              <w:rPr>
                <w:rFonts w:ascii="Calibri" w:eastAsia="Times New Roman" w:hAnsi="Calibri" w:cs="Calibri"/>
                <w:b/>
                <w:bCs/>
                <w:color w:val="000000"/>
              </w:rPr>
              <w:t>Fiscal Year</w:t>
            </w:r>
          </w:p>
        </w:tc>
        <w:tc>
          <w:tcPr>
            <w:tcW w:w="0" w:type="auto"/>
            <w:tcBorders>
              <w:top w:val="single" w:sz="4" w:space="0" w:color="auto"/>
              <w:left w:val="nil"/>
              <w:bottom w:val="single" w:sz="4" w:space="0" w:color="auto"/>
              <w:right w:val="single" w:sz="4" w:space="0" w:color="auto"/>
            </w:tcBorders>
            <w:shd w:val="clear" w:color="000000" w:fill="E7E6E6"/>
            <w:hideMark/>
          </w:tcPr>
          <w:p w14:paraId="314D89CC" w14:textId="74B07E4F" w:rsidR="00E951A6" w:rsidRDefault="00E951A6" w:rsidP="001440B1">
            <w:pPr>
              <w:spacing w:after="0" w:line="240" w:lineRule="auto"/>
              <w:jc w:val="center"/>
              <w:rPr>
                <w:rFonts w:ascii="Calibri" w:eastAsia="Times New Roman" w:hAnsi="Calibri" w:cs="Calibri"/>
                <w:b/>
                <w:bCs/>
                <w:color w:val="000000"/>
              </w:rPr>
            </w:pPr>
            <w:r w:rsidRPr="00E951A6">
              <w:rPr>
                <w:rFonts w:ascii="Calibri" w:eastAsia="Times New Roman" w:hAnsi="Calibri" w:cs="Calibri"/>
                <w:b/>
                <w:bCs/>
                <w:color w:val="000000"/>
              </w:rPr>
              <w:t xml:space="preserve"># Total </w:t>
            </w:r>
            <w:r w:rsidR="00472621">
              <w:rPr>
                <w:rFonts w:ascii="Calibri" w:eastAsia="Times New Roman" w:hAnsi="Calibri" w:cs="Calibri"/>
                <w:b/>
                <w:bCs/>
                <w:color w:val="000000"/>
              </w:rPr>
              <w:t xml:space="preserve">Marlborough Hospital </w:t>
            </w:r>
            <w:bookmarkStart w:id="1" w:name="_Hlk119571574"/>
            <w:r w:rsidRPr="00E951A6">
              <w:rPr>
                <w:rFonts w:ascii="Calibri" w:eastAsia="Times New Roman" w:hAnsi="Calibri" w:cs="Calibri"/>
                <w:b/>
                <w:bCs/>
                <w:color w:val="000000"/>
              </w:rPr>
              <w:t xml:space="preserve">patients treated for </w:t>
            </w:r>
          </w:p>
          <w:p w14:paraId="6B49DD37" w14:textId="7C0ECC97" w:rsidR="00E951A6" w:rsidRPr="00FE5DAA" w:rsidRDefault="00E951A6" w:rsidP="001440B1">
            <w:pPr>
              <w:spacing w:after="0" w:line="240" w:lineRule="auto"/>
              <w:jc w:val="center"/>
              <w:rPr>
                <w:rFonts w:ascii="Calibri" w:eastAsia="Times New Roman" w:hAnsi="Calibri" w:cs="Calibri"/>
                <w:b/>
                <w:bCs/>
                <w:color w:val="000000"/>
              </w:rPr>
            </w:pPr>
            <w:r w:rsidRPr="00E951A6">
              <w:rPr>
                <w:rFonts w:ascii="Calibri" w:eastAsia="Times New Roman" w:hAnsi="Calibri" w:cs="Calibri"/>
                <w:b/>
                <w:bCs/>
                <w:color w:val="000000"/>
              </w:rPr>
              <w:t xml:space="preserve">oncological/cardiological-related </w:t>
            </w:r>
            <w:r w:rsidR="00154DFC">
              <w:rPr>
                <w:rFonts w:ascii="Calibri" w:eastAsia="Times New Roman" w:hAnsi="Calibri" w:cs="Calibri"/>
                <w:b/>
                <w:bCs/>
                <w:color w:val="000000"/>
              </w:rPr>
              <w:t>conditions</w:t>
            </w:r>
            <w:bookmarkEnd w:id="1"/>
          </w:p>
        </w:tc>
      </w:tr>
      <w:tr w:rsidR="00E951A6" w:rsidRPr="00FE5DAA" w14:paraId="6C361C5A" w14:textId="77777777" w:rsidTr="008A1081">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E984DE" w14:textId="77777777" w:rsidR="00E951A6" w:rsidRPr="00FE5DAA" w:rsidRDefault="00E951A6" w:rsidP="001440B1">
            <w:pPr>
              <w:spacing w:after="0" w:line="240" w:lineRule="auto"/>
              <w:rPr>
                <w:rFonts w:ascii="Calibri" w:eastAsia="Times New Roman" w:hAnsi="Calibri" w:cs="Calibri"/>
                <w:color w:val="000000"/>
              </w:rPr>
            </w:pPr>
            <w:r w:rsidRPr="00FE5DAA">
              <w:rPr>
                <w:rFonts w:ascii="Calibri" w:eastAsia="Times New Roman" w:hAnsi="Calibri" w:cs="Calibri"/>
                <w:color w:val="000000"/>
              </w:rPr>
              <w:t>FY19</w:t>
            </w:r>
          </w:p>
        </w:tc>
        <w:tc>
          <w:tcPr>
            <w:tcW w:w="0" w:type="auto"/>
            <w:tcBorders>
              <w:top w:val="nil"/>
              <w:left w:val="nil"/>
              <w:bottom w:val="single" w:sz="4" w:space="0" w:color="auto"/>
              <w:right w:val="single" w:sz="4" w:space="0" w:color="auto"/>
            </w:tcBorders>
            <w:shd w:val="clear" w:color="auto" w:fill="auto"/>
            <w:noWrap/>
            <w:vAlign w:val="bottom"/>
          </w:tcPr>
          <w:p w14:paraId="389B054D" w14:textId="2B046257" w:rsidR="00E951A6" w:rsidRPr="00FE5DAA" w:rsidRDefault="00E951A6" w:rsidP="001440B1">
            <w:pPr>
              <w:spacing w:after="0" w:line="240" w:lineRule="auto"/>
              <w:jc w:val="center"/>
              <w:rPr>
                <w:rFonts w:ascii="Calibri" w:eastAsia="Times New Roman" w:hAnsi="Calibri" w:cs="Calibri"/>
                <w:color w:val="000000"/>
              </w:rPr>
            </w:pPr>
            <w:r>
              <w:rPr>
                <w:rFonts w:ascii="Calibri" w:eastAsia="Times New Roman" w:hAnsi="Calibri" w:cs="Calibri"/>
                <w:color w:val="000000"/>
              </w:rPr>
              <w:t>3,736</w:t>
            </w:r>
          </w:p>
        </w:tc>
      </w:tr>
      <w:tr w:rsidR="00E951A6" w:rsidRPr="00FE5DAA" w14:paraId="21549AB7" w14:textId="77777777" w:rsidTr="008A1081">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EAA0CD" w14:textId="77777777" w:rsidR="00E951A6" w:rsidRPr="00FE5DAA" w:rsidRDefault="00E951A6" w:rsidP="001440B1">
            <w:pPr>
              <w:spacing w:after="0" w:line="240" w:lineRule="auto"/>
              <w:rPr>
                <w:rFonts w:ascii="Calibri" w:eastAsia="Times New Roman" w:hAnsi="Calibri" w:cs="Calibri"/>
                <w:color w:val="000000"/>
              </w:rPr>
            </w:pPr>
            <w:r w:rsidRPr="00FE5DAA">
              <w:rPr>
                <w:rFonts w:ascii="Calibri" w:eastAsia="Times New Roman" w:hAnsi="Calibri" w:cs="Calibri"/>
                <w:color w:val="000000"/>
              </w:rPr>
              <w:t>FY20</w:t>
            </w:r>
          </w:p>
        </w:tc>
        <w:tc>
          <w:tcPr>
            <w:tcW w:w="0" w:type="auto"/>
            <w:tcBorders>
              <w:top w:val="nil"/>
              <w:left w:val="nil"/>
              <w:bottom w:val="single" w:sz="4" w:space="0" w:color="auto"/>
              <w:right w:val="single" w:sz="4" w:space="0" w:color="auto"/>
            </w:tcBorders>
            <w:shd w:val="clear" w:color="auto" w:fill="auto"/>
            <w:noWrap/>
            <w:vAlign w:val="bottom"/>
          </w:tcPr>
          <w:p w14:paraId="2E27DF45" w14:textId="18F73697" w:rsidR="00E951A6" w:rsidRPr="00FE5DAA" w:rsidRDefault="001F1181" w:rsidP="001440B1">
            <w:pPr>
              <w:spacing w:after="0" w:line="240" w:lineRule="auto"/>
              <w:jc w:val="center"/>
              <w:rPr>
                <w:rFonts w:ascii="Calibri" w:eastAsia="Times New Roman" w:hAnsi="Calibri" w:cs="Calibri"/>
                <w:color w:val="000000"/>
              </w:rPr>
            </w:pPr>
            <w:r>
              <w:rPr>
                <w:rFonts w:ascii="Calibri" w:eastAsia="Times New Roman" w:hAnsi="Calibri" w:cs="Calibri"/>
                <w:color w:val="000000"/>
              </w:rPr>
              <w:t>3,285</w:t>
            </w:r>
          </w:p>
        </w:tc>
      </w:tr>
      <w:tr w:rsidR="00E951A6" w:rsidRPr="00FE5DAA" w14:paraId="0CB3639A" w14:textId="77777777" w:rsidTr="008A1081">
        <w:trPr>
          <w:cantSplit/>
          <w:trHeight w:val="290"/>
          <w:jc w:val="center"/>
        </w:trPr>
        <w:tc>
          <w:tcPr>
            <w:tcW w:w="0" w:type="auto"/>
            <w:tcBorders>
              <w:top w:val="nil"/>
              <w:left w:val="single" w:sz="4" w:space="0" w:color="auto"/>
              <w:bottom w:val="nil"/>
              <w:right w:val="single" w:sz="4" w:space="0" w:color="auto"/>
            </w:tcBorders>
            <w:shd w:val="clear" w:color="auto" w:fill="auto"/>
            <w:noWrap/>
            <w:vAlign w:val="bottom"/>
            <w:hideMark/>
          </w:tcPr>
          <w:p w14:paraId="45C027AF" w14:textId="77777777" w:rsidR="00E951A6" w:rsidRPr="00FE5DAA" w:rsidRDefault="00E951A6" w:rsidP="001440B1">
            <w:pPr>
              <w:spacing w:after="0" w:line="240" w:lineRule="auto"/>
              <w:rPr>
                <w:rFonts w:ascii="Calibri" w:eastAsia="Times New Roman" w:hAnsi="Calibri" w:cs="Calibri"/>
                <w:color w:val="000000"/>
              </w:rPr>
            </w:pPr>
            <w:r w:rsidRPr="00FE5DAA">
              <w:rPr>
                <w:rFonts w:ascii="Calibri" w:eastAsia="Times New Roman" w:hAnsi="Calibri" w:cs="Calibri"/>
                <w:color w:val="000000"/>
              </w:rPr>
              <w:t>FY21</w:t>
            </w:r>
          </w:p>
        </w:tc>
        <w:tc>
          <w:tcPr>
            <w:tcW w:w="0" w:type="auto"/>
            <w:tcBorders>
              <w:top w:val="nil"/>
              <w:left w:val="nil"/>
              <w:bottom w:val="nil"/>
              <w:right w:val="single" w:sz="4" w:space="0" w:color="auto"/>
            </w:tcBorders>
            <w:shd w:val="clear" w:color="auto" w:fill="auto"/>
            <w:noWrap/>
            <w:vAlign w:val="bottom"/>
          </w:tcPr>
          <w:p w14:paraId="77BF502B" w14:textId="640FDCB0" w:rsidR="00E951A6" w:rsidRPr="00FE5DAA" w:rsidRDefault="001F1181" w:rsidP="001440B1">
            <w:pPr>
              <w:spacing w:after="0" w:line="240" w:lineRule="auto"/>
              <w:jc w:val="center"/>
              <w:rPr>
                <w:rFonts w:ascii="Calibri" w:eastAsia="Times New Roman" w:hAnsi="Calibri" w:cs="Calibri"/>
                <w:color w:val="000000"/>
              </w:rPr>
            </w:pPr>
            <w:r>
              <w:rPr>
                <w:rFonts w:ascii="Calibri" w:eastAsia="Times New Roman" w:hAnsi="Calibri" w:cs="Calibri"/>
                <w:color w:val="000000"/>
              </w:rPr>
              <w:t>4,067</w:t>
            </w:r>
          </w:p>
        </w:tc>
      </w:tr>
      <w:tr w:rsidR="003A2DC1" w:rsidRPr="00FE5DAA" w14:paraId="78833001" w14:textId="77777777" w:rsidTr="008A1081">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3A1FB51" w14:textId="28080885" w:rsidR="003A2DC1" w:rsidRPr="00FE5DAA" w:rsidRDefault="003A2DC1" w:rsidP="001440B1">
            <w:pPr>
              <w:spacing w:after="0" w:line="240" w:lineRule="auto"/>
              <w:rPr>
                <w:rFonts w:ascii="Calibri" w:eastAsia="Times New Roman" w:hAnsi="Calibri" w:cs="Calibri"/>
                <w:color w:val="000000"/>
              </w:rPr>
            </w:pPr>
            <w:r>
              <w:rPr>
                <w:rFonts w:ascii="Calibri" w:eastAsia="Times New Roman" w:hAnsi="Calibri" w:cs="Calibri"/>
                <w:color w:val="000000"/>
              </w:rPr>
              <w:t>Change (FY19-FY21)</w:t>
            </w:r>
          </w:p>
        </w:tc>
        <w:tc>
          <w:tcPr>
            <w:tcW w:w="0" w:type="auto"/>
            <w:tcBorders>
              <w:top w:val="nil"/>
              <w:left w:val="nil"/>
              <w:bottom w:val="single" w:sz="4" w:space="0" w:color="auto"/>
              <w:right w:val="single" w:sz="4" w:space="0" w:color="auto"/>
            </w:tcBorders>
            <w:shd w:val="clear" w:color="auto" w:fill="auto"/>
            <w:noWrap/>
            <w:vAlign w:val="bottom"/>
          </w:tcPr>
          <w:p w14:paraId="1833063E" w14:textId="64109BC7" w:rsidR="003A2DC1" w:rsidRDefault="00472621" w:rsidP="001440B1">
            <w:pPr>
              <w:spacing w:after="0" w:line="240" w:lineRule="auto"/>
              <w:jc w:val="center"/>
              <w:rPr>
                <w:rFonts w:ascii="Calibri" w:eastAsia="Times New Roman" w:hAnsi="Calibri" w:cs="Calibri"/>
                <w:color w:val="000000"/>
              </w:rPr>
            </w:pPr>
            <w:r>
              <w:rPr>
                <w:rFonts w:ascii="Calibri" w:eastAsia="Times New Roman" w:hAnsi="Calibri" w:cs="Calibri"/>
                <w:color w:val="000000"/>
              </w:rPr>
              <w:t>8.1%</w:t>
            </w:r>
          </w:p>
        </w:tc>
      </w:tr>
    </w:tbl>
    <w:p w14:paraId="1A1A4E76" w14:textId="77777777" w:rsidR="0008545A" w:rsidRDefault="0008545A" w:rsidP="00F359E2"/>
    <w:p w14:paraId="5568B806" w14:textId="5A625E33" w:rsidR="00F359E2" w:rsidRDefault="00F359E2" w:rsidP="00F359E2">
      <w:pPr>
        <w:pStyle w:val="ListParagraph"/>
        <w:numPr>
          <w:ilvl w:val="0"/>
          <w:numId w:val="1"/>
        </w:numPr>
      </w:pPr>
      <w:r>
        <w:t>Proposed Measures (pg.</w:t>
      </w:r>
      <w:r w:rsidR="00255A84">
        <w:t xml:space="preserve"> 20-21</w:t>
      </w:r>
      <w:r>
        <w:t>)</w:t>
      </w:r>
      <w:r w:rsidR="00A35E0F">
        <w:t xml:space="preserve"> </w:t>
      </w:r>
    </w:p>
    <w:p w14:paraId="4E099F4B" w14:textId="35BE93A3" w:rsidR="00633A36" w:rsidRDefault="005E5080" w:rsidP="008019CA">
      <w:pPr>
        <w:pStyle w:val="ListParagraph"/>
        <w:numPr>
          <w:ilvl w:val="1"/>
          <w:numId w:val="1"/>
        </w:numPr>
        <w:spacing w:line="240" w:lineRule="auto"/>
      </w:pPr>
      <w:r w:rsidRPr="005E5080">
        <w:t>Provide a description of numerators and denominators where applicable.</w:t>
      </w:r>
    </w:p>
    <w:p w14:paraId="06A435BF" w14:textId="6C839632" w:rsidR="00633A36" w:rsidRDefault="0020312F" w:rsidP="007A66C8">
      <w:pPr>
        <w:pStyle w:val="ListParagraph"/>
        <w:numPr>
          <w:ilvl w:val="0"/>
          <w:numId w:val="4"/>
        </w:numPr>
        <w:spacing w:line="240" w:lineRule="auto"/>
        <w:rPr>
          <w:color w:val="0070C0"/>
        </w:rPr>
      </w:pPr>
      <w:r>
        <w:rPr>
          <w:color w:val="0070C0"/>
        </w:rPr>
        <w:t xml:space="preserve">Patient Satisfaction </w:t>
      </w:r>
    </w:p>
    <w:p w14:paraId="36A489D3" w14:textId="434017BF" w:rsidR="00F440EB" w:rsidRPr="007B5221" w:rsidRDefault="00F440EB" w:rsidP="007146FB">
      <w:pPr>
        <w:pStyle w:val="ListParagraph"/>
        <w:numPr>
          <w:ilvl w:val="1"/>
          <w:numId w:val="4"/>
        </w:numPr>
        <w:spacing w:line="240" w:lineRule="auto"/>
        <w:jc w:val="both"/>
        <w:rPr>
          <w:color w:val="0070C0"/>
        </w:rPr>
      </w:pPr>
      <w:r w:rsidRPr="00F440EB">
        <w:rPr>
          <w:color w:val="0070C0"/>
        </w:rPr>
        <w:t xml:space="preserve">Shields </w:t>
      </w:r>
      <w:r w:rsidR="00BB6640" w:rsidRPr="00F440EB">
        <w:rPr>
          <w:color w:val="0070C0"/>
        </w:rPr>
        <w:t>employs</w:t>
      </w:r>
      <w:r w:rsidRPr="00F440EB">
        <w:rPr>
          <w:color w:val="0070C0"/>
        </w:rPr>
        <w:t xml:space="preserve"> a digital platform called Podium</w:t>
      </w:r>
      <w:r w:rsidR="008E7161">
        <w:rPr>
          <w:rStyle w:val="FootnoteReference"/>
          <w:color w:val="0070C0"/>
        </w:rPr>
        <w:footnoteReference w:id="3"/>
      </w:r>
      <w:r w:rsidRPr="00F440EB">
        <w:rPr>
          <w:color w:val="0070C0"/>
        </w:rPr>
        <w:t xml:space="preserve"> to evaluate patient satisfaction</w:t>
      </w:r>
      <w:r w:rsidR="00BB6640">
        <w:rPr>
          <w:color w:val="0070C0"/>
        </w:rPr>
        <w:t xml:space="preserve">. </w:t>
      </w:r>
      <w:r w:rsidRPr="00F440EB">
        <w:rPr>
          <w:color w:val="0070C0"/>
        </w:rPr>
        <w:t xml:space="preserve"> Shields became a subscriber to Podium in February of 2022. </w:t>
      </w:r>
      <w:r w:rsidR="005105CB">
        <w:rPr>
          <w:color w:val="0070C0"/>
        </w:rPr>
        <w:t>P</w:t>
      </w:r>
      <w:r w:rsidR="005105CB" w:rsidRPr="005105CB">
        <w:rPr>
          <w:color w:val="0070C0"/>
        </w:rPr>
        <w:t xml:space="preserve">atients </w:t>
      </w:r>
      <w:r w:rsidR="00CC2271">
        <w:rPr>
          <w:color w:val="0070C0"/>
        </w:rPr>
        <w:t>who</w:t>
      </w:r>
      <w:r w:rsidR="005105CB" w:rsidRPr="005105CB">
        <w:rPr>
          <w:color w:val="0070C0"/>
        </w:rPr>
        <w:t xml:space="preserve"> supplied a cellular phone number receive a </w:t>
      </w:r>
      <w:r w:rsidR="00CC2271">
        <w:rPr>
          <w:color w:val="0070C0"/>
        </w:rPr>
        <w:t xml:space="preserve">text </w:t>
      </w:r>
      <w:r w:rsidR="005105CB" w:rsidRPr="005105CB">
        <w:rPr>
          <w:color w:val="0070C0"/>
        </w:rPr>
        <w:t>request to participate in a survey to share their experience</w:t>
      </w:r>
      <w:r w:rsidR="00CC2271">
        <w:rPr>
          <w:color w:val="0070C0"/>
        </w:rPr>
        <w:t>.</w:t>
      </w:r>
      <w:r w:rsidR="005105CB" w:rsidRPr="005105CB">
        <w:rPr>
          <w:color w:val="0070C0"/>
        </w:rPr>
        <w:t xml:space="preserve"> </w:t>
      </w:r>
      <w:r w:rsidR="007C652E">
        <w:rPr>
          <w:color w:val="0070C0"/>
        </w:rPr>
        <w:t xml:space="preserve">Patient </w:t>
      </w:r>
      <w:r w:rsidRPr="00F440EB">
        <w:rPr>
          <w:color w:val="0070C0"/>
        </w:rPr>
        <w:t>response</w:t>
      </w:r>
      <w:r w:rsidR="007C652E">
        <w:rPr>
          <w:color w:val="0070C0"/>
        </w:rPr>
        <w:t xml:space="preserve">s </w:t>
      </w:r>
      <w:r w:rsidR="00C34BC4">
        <w:rPr>
          <w:color w:val="0070C0"/>
        </w:rPr>
        <w:t>indicate</w:t>
      </w:r>
      <w:r w:rsidRPr="00F440EB">
        <w:rPr>
          <w:color w:val="0070C0"/>
        </w:rPr>
        <w:t xml:space="preserve"> overall satisfaction </w:t>
      </w:r>
      <w:r w:rsidR="00C34BC4">
        <w:rPr>
          <w:color w:val="0070C0"/>
        </w:rPr>
        <w:t>with</w:t>
      </w:r>
      <w:r w:rsidRPr="00F440EB">
        <w:rPr>
          <w:color w:val="0070C0"/>
        </w:rPr>
        <w:t xml:space="preserve"> the patient experience. </w:t>
      </w:r>
      <w:r w:rsidR="00325641">
        <w:rPr>
          <w:color w:val="0070C0"/>
        </w:rPr>
        <w:t xml:space="preserve">The patient </w:t>
      </w:r>
      <w:r w:rsidR="00A71934">
        <w:rPr>
          <w:color w:val="0070C0"/>
        </w:rPr>
        <w:t>can</w:t>
      </w:r>
      <w:r w:rsidR="00C34BC4">
        <w:rPr>
          <w:color w:val="0070C0"/>
        </w:rPr>
        <w:t xml:space="preserve"> also</w:t>
      </w:r>
      <w:r w:rsidR="00325641">
        <w:rPr>
          <w:color w:val="0070C0"/>
        </w:rPr>
        <w:t xml:space="preserve"> send an </w:t>
      </w:r>
      <w:r w:rsidR="007146FB" w:rsidRPr="00F440EB">
        <w:rPr>
          <w:color w:val="0070C0"/>
        </w:rPr>
        <w:t>open text response</w:t>
      </w:r>
      <w:r w:rsidRPr="00F440EB">
        <w:rPr>
          <w:color w:val="0070C0"/>
        </w:rPr>
        <w:t xml:space="preserve"> </w:t>
      </w:r>
      <w:r w:rsidR="00325641">
        <w:rPr>
          <w:color w:val="0070C0"/>
        </w:rPr>
        <w:t>related to his/her</w:t>
      </w:r>
      <w:r w:rsidR="004A27B7">
        <w:rPr>
          <w:color w:val="0070C0"/>
        </w:rPr>
        <w:t xml:space="preserve"> satisfaction</w:t>
      </w:r>
      <w:r w:rsidRPr="00F440EB">
        <w:rPr>
          <w:color w:val="0070C0"/>
        </w:rPr>
        <w:t>. Shields</w:t>
      </w:r>
      <w:r w:rsidR="004A27B7">
        <w:rPr>
          <w:color w:val="0070C0"/>
        </w:rPr>
        <w:t xml:space="preserve"> leverages the responses from this tool </w:t>
      </w:r>
      <w:r w:rsidR="00D8641A">
        <w:rPr>
          <w:color w:val="0070C0"/>
        </w:rPr>
        <w:t xml:space="preserve">to evaluate the </w:t>
      </w:r>
      <w:r w:rsidR="007B5221">
        <w:rPr>
          <w:color w:val="0070C0"/>
        </w:rPr>
        <w:t>effectiveness</w:t>
      </w:r>
      <w:r w:rsidR="00D8641A">
        <w:rPr>
          <w:color w:val="0070C0"/>
        </w:rPr>
        <w:t xml:space="preserve"> of </w:t>
      </w:r>
      <w:r w:rsidR="007B5221">
        <w:rPr>
          <w:color w:val="0070C0"/>
        </w:rPr>
        <w:t>site operations.</w:t>
      </w:r>
    </w:p>
    <w:p w14:paraId="5E09EB5C" w14:textId="77777777" w:rsidR="007B5221" w:rsidRDefault="00F440EB" w:rsidP="007B5221">
      <w:pPr>
        <w:pStyle w:val="ListParagraph"/>
        <w:numPr>
          <w:ilvl w:val="1"/>
          <w:numId w:val="4"/>
        </w:numPr>
        <w:spacing w:line="240" w:lineRule="auto"/>
        <w:rPr>
          <w:color w:val="0070C0"/>
        </w:rPr>
      </w:pPr>
      <w:r w:rsidRPr="00F440EB">
        <w:rPr>
          <w:color w:val="0070C0"/>
        </w:rPr>
        <w:t>Response rate:</w:t>
      </w:r>
    </w:p>
    <w:p w14:paraId="10FF549F" w14:textId="69B98B21" w:rsidR="007B5221" w:rsidRDefault="00F440EB" w:rsidP="007B5221">
      <w:pPr>
        <w:pStyle w:val="ListParagraph"/>
        <w:numPr>
          <w:ilvl w:val="2"/>
          <w:numId w:val="4"/>
        </w:numPr>
        <w:spacing w:line="240" w:lineRule="auto"/>
        <w:rPr>
          <w:color w:val="0070C0"/>
        </w:rPr>
      </w:pPr>
      <w:r w:rsidRPr="007B5221">
        <w:rPr>
          <w:color w:val="0070C0"/>
        </w:rPr>
        <w:t>The numerator is the number of surveys returned</w:t>
      </w:r>
      <w:r w:rsidR="007B5221">
        <w:rPr>
          <w:color w:val="0070C0"/>
        </w:rPr>
        <w:t>.</w:t>
      </w:r>
    </w:p>
    <w:p w14:paraId="4B7F1339" w14:textId="77777777" w:rsidR="007B5221" w:rsidRDefault="00F440EB" w:rsidP="007B5221">
      <w:pPr>
        <w:pStyle w:val="ListParagraph"/>
        <w:numPr>
          <w:ilvl w:val="2"/>
          <w:numId w:val="4"/>
        </w:numPr>
        <w:spacing w:line="240" w:lineRule="auto"/>
        <w:rPr>
          <w:color w:val="0070C0"/>
        </w:rPr>
      </w:pPr>
      <w:r w:rsidRPr="007B5221">
        <w:rPr>
          <w:color w:val="0070C0"/>
        </w:rPr>
        <w:t>The denominator is the total number of surveys sent</w:t>
      </w:r>
      <w:r w:rsidR="007B5221">
        <w:rPr>
          <w:color w:val="0070C0"/>
        </w:rPr>
        <w:t>.</w:t>
      </w:r>
    </w:p>
    <w:p w14:paraId="23C02CDA" w14:textId="7CAC0426" w:rsidR="00F440EB" w:rsidRDefault="00F440EB" w:rsidP="007B5221">
      <w:pPr>
        <w:pStyle w:val="ListParagraph"/>
        <w:numPr>
          <w:ilvl w:val="2"/>
          <w:numId w:val="4"/>
        </w:numPr>
        <w:spacing w:line="240" w:lineRule="auto"/>
        <w:rPr>
          <w:color w:val="0070C0"/>
        </w:rPr>
      </w:pPr>
      <w:r w:rsidRPr="007B5221">
        <w:rPr>
          <w:color w:val="0070C0"/>
        </w:rPr>
        <w:t>Net result is a percentage of responses compared to total sent surveys</w:t>
      </w:r>
    </w:p>
    <w:p w14:paraId="67A25B2B" w14:textId="77777777" w:rsidR="00F440EB" w:rsidRPr="00F440EB" w:rsidRDefault="00F440EB" w:rsidP="00882928">
      <w:pPr>
        <w:pStyle w:val="ListParagraph"/>
        <w:spacing w:line="240" w:lineRule="auto"/>
        <w:ind w:left="2160"/>
        <w:rPr>
          <w:color w:val="0070C0"/>
        </w:rPr>
      </w:pPr>
    </w:p>
    <w:p w14:paraId="5A906373" w14:textId="3CD3EFFC" w:rsidR="00F440EB" w:rsidRPr="00F440EB" w:rsidRDefault="00882928" w:rsidP="00F440EB">
      <w:pPr>
        <w:pStyle w:val="ListParagraph"/>
        <w:numPr>
          <w:ilvl w:val="1"/>
          <w:numId w:val="4"/>
        </w:numPr>
        <w:spacing w:line="240" w:lineRule="auto"/>
        <w:rPr>
          <w:color w:val="0070C0"/>
        </w:rPr>
      </w:pPr>
      <w:r>
        <w:rPr>
          <w:color w:val="0070C0"/>
        </w:rPr>
        <w:t xml:space="preserve">Podium provides </w:t>
      </w:r>
      <w:r w:rsidR="00F440EB" w:rsidRPr="00F440EB">
        <w:rPr>
          <w:color w:val="0070C0"/>
        </w:rPr>
        <w:t>Shields</w:t>
      </w:r>
      <w:r>
        <w:rPr>
          <w:color w:val="0070C0"/>
        </w:rPr>
        <w:t xml:space="preserve"> with a </w:t>
      </w:r>
      <w:r w:rsidR="00F440EB" w:rsidRPr="00F440EB">
        <w:rPr>
          <w:color w:val="0070C0"/>
        </w:rPr>
        <w:t xml:space="preserve">Net Promoter Score </w:t>
      </w:r>
      <w:r>
        <w:rPr>
          <w:color w:val="0070C0"/>
        </w:rPr>
        <w:t xml:space="preserve">(“NPS”) </w:t>
      </w:r>
      <w:r w:rsidR="00F440EB" w:rsidRPr="00F440EB">
        <w:rPr>
          <w:color w:val="0070C0"/>
        </w:rPr>
        <w:t>that is translated as a patient satisfaction score.</w:t>
      </w:r>
    </w:p>
    <w:p w14:paraId="270C8710" w14:textId="77777777" w:rsidR="00997C3B" w:rsidRDefault="00F440EB" w:rsidP="00325EC6">
      <w:pPr>
        <w:pStyle w:val="ListParagraph"/>
        <w:numPr>
          <w:ilvl w:val="2"/>
          <w:numId w:val="4"/>
        </w:numPr>
        <w:spacing w:line="240" w:lineRule="auto"/>
        <w:rPr>
          <w:color w:val="0070C0"/>
        </w:rPr>
      </w:pPr>
      <w:r w:rsidRPr="00F440EB">
        <w:rPr>
          <w:color w:val="0070C0"/>
        </w:rPr>
        <w:t xml:space="preserve">The calculation of a Net Promoter Score is a simple subtraction of the percent of detractors from the percent of promoters. </w:t>
      </w:r>
    </w:p>
    <w:p w14:paraId="0F25F913" w14:textId="77777777" w:rsidR="00293D62" w:rsidRDefault="00293D62" w:rsidP="00325EC6">
      <w:pPr>
        <w:pStyle w:val="ListParagraph"/>
        <w:spacing w:line="240" w:lineRule="auto"/>
        <w:ind w:left="2880"/>
        <w:rPr>
          <w:color w:val="0070C0"/>
        </w:rPr>
      </w:pPr>
    </w:p>
    <w:p w14:paraId="14EA27C7" w14:textId="0A1553CE" w:rsidR="0020312F" w:rsidRDefault="000103E1" w:rsidP="007A66C8">
      <w:pPr>
        <w:pStyle w:val="ListParagraph"/>
        <w:numPr>
          <w:ilvl w:val="0"/>
          <w:numId w:val="4"/>
        </w:numPr>
        <w:spacing w:line="240" w:lineRule="auto"/>
        <w:rPr>
          <w:color w:val="0070C0"/>
        </w:rPr>
      </w:pPr>
      <w:r w:rsidRPr="000103E1">
        <w:rPr>
          <w:color w:val="0070C0"/>
        </w:rPr>
        <w:t>Quality of Care – Critical Value Reporting</w:t>
      </w:r>
    </w:p>
    <w:p w14:paraId="19BD52D9" w14:textId="77777777" w:rsidR="004B507A" w:rsidRDefault="00193215" w:rsidP="004B507A">
      <w:pPr>
        <w:pStyle w:val="ListParagraph"/>
        <w:numPr>
          <w:ilvl w:val="1"/>
          <w:numId w:val="4"/>
        </w:numPr>
        <w:spacing w:line="240" w:lineRule="auto"/>
        <w:rPr>
          <w:color w:val="0070C0"/>
        </w:rPr>
      </w:pPr>
      <w:r w:rsidRPr="00193215">
        <w:rPr>
          <w:color w:val="0070C0"/>
        </w:rPr>
        <w:t>No numerator or denominator calculation</w:t>
      </w:r>
      <w:r w:rsidR="004B507A">
        <w:rPr>
          <w:color w:val="0070C0"/>
        </w:rPr>
        <w:t>.</w:t>
      </w:r>
    </w:p>
    <w:p w14:paraId="6F3CC765" w14:textId="23980324" w:rsidR="00193215" w:rsidRDefault="00193215" w:rsidP="004B507A">
      <w:pPr>
        <w:pStyle w:val="ListParagraph"/>
        <w:spacing w:line="240" w:lineRule="auto"/>
        <w:ind w:left="2160"/>
        <w:rPr>
          <w:color w:val="0070C0"/>
        </w:rPr>
      </w:pPr>
      <w:r w:rsidRPr="00193215">
        <w:rPr>
          <w:color w:val="0070C0"/>
        </w:rPr>
        <w:t xml:space="preserve"> </w:t>
      </w:r>
    </w:p>
    <w:p w14:paraId="08BA7915" w14:textId="0F200F59" w:rsidR="000103E1" w:rsidRDefault="008A74C9" w:rsidP="007A66C8">
      <w:pPr>
        <w:pStyle w:val="ListParagraph"/>
        <w:numPr>
          <w:ilvl w:val="0"/>
          <w:numId w:val="4"/>
        </w:numPr>
        <w:spacing w:line="240" w:lineRule="auto"/>
        <w:rPr>
          <w:color w:val="0070C0"/>
        </w:rPr>
      </w:pPr>
      <w:r w:rsidRPr="008A74C9">
        <w:rPr>
          <w:color w:val="0070C0"/>
        </w:rPr>
        <w:t>Quality of Care – Quality of PET-CT scan</w:t>
      </w:r>
    </w:p>
    <w:p w14:paraId="3EF2041A" w14:textId="206B2209" w:rsidR="008C5E75" w:rsidRPr="008C5E75" w:rsidRDefault="008C5E75" w:rsidP="008C5E75">
      <w:pPr>
        <w:pStyle w:val="ListParagraph"/>
        <w:numPr>
          <w:ilvl w:val="1"/>
          <w:numId w:val="4"/>
        </w:numPr>
        <w:spacing w:line="240" w:lineRule="auto"/>
        <w:jc w:val="both"/>
        <w:rPr>
          <w:color w:val="0070C0"/>
        </w:rPr>
      </w:pPr>
      <w:r w:rsidRPr="008C5E75">
        <w:rPr>
          <w:color w:val="0070C0"/>
        </w:rPr>
        <w:t>Repeat scanning is monitored through radiology feedback and reported in our patient scheduling system</w:t>
      </w:r>
      <w:r w:rsidR="00900FAB">
        <w:rPr>
          <w:color w:val="0070C0"/>
        </w:rPr>
        <w:t>,</w:t>
      </w:r>
      <w:r w:rsidRPr="008C5E75">
        <w:rPr>
          <w:color w:val="0070C0"/>
        </w:rPr>
        <w:t xml:space="preserve"> </w:t>
      </w:r>
      <w:proofErr w:type="spellStart"/>
      <w:r w:rsidRPr="008C5E75">
        <w:rPr>
          <w:color w:val="0070C0"/>
        </w:rPr>
        <w:t>eRAD</w:t>
      </w:r>
      <w:proofErr w:type="spellEnd"/>
      <w:r w:rsidRPr="008C5E75">
        <w:rPr>
          <w:color w:val="0070C0"/>
        </w:rPr>
        <w:t>.</w:t>
      </w:r>
      <w:r w:rsidR="00051885">
        <w:rPr>
          <w:rStyle w:val="FootnoteReference"/>
          <w:color w:val="0070C0"/>
        </w:rPr>
        <w:footnoteReference w:id="4"/>
      </w:r>
      <w:r w:rsidRPr="008C5E75">
        <w:rPr>
          <w:color w:val="0070C0"/>
        </w:rPr>
        <w:t xml:space="preserve"> </w:t>
      </w:r>
    </w:p>
    <w:p w14:paraId="659434B5" w14:textId="77777777" w:rsidR="008C5E75" w:rsidRPr="008C5E75" w:rsidRDefault="008C5E75" w:rsidP="008C5E75">
      <w:pPr>
        <w:pStyle w:val="ListParagraph"/>
        <w:numPr>
          <w:ilvl w:val="2"/>
          <w:numId w:val="4"/>
        </w:numPr>
        <w:spacing w:line="240" w:lineRule="auto"/>
        <w:rPr>
          <w:color w:val="0070C0"/>
        </w:rPr>
      </w:pPr>
      <w:r w:rsidRPr="008C5E75">
        <w:rPr>
          <w:color w:val="0070C0"/>
        </w:rPr>
        <w:t>Numerator: number of scans repeated per given period</w:t>
      </w:r>
    </w:p>
    <w:p w14:paraId="01B6E6BD" w14:textId="77777777" w:rsidR="008C5E75" w:rsidRPr="008C5E75" w:rsidRDefault="008C5E75" w:rsidP="008C5E75">
      <w:pPr>
        <w:pStyle w:val="ListParagraph"/>
        <w:numPr>
          <w:ilvl w:val="2"/>
          <w:numId w:val="4"/>
        </w:numPr>
        <w:spacing w:line="240" w:lineRule="auto"/>
        <w:rPr>
          <w:color w:val="0070C0"/>
        </w:rPr>
      </w:pPr>
      <w:r w:rsidRPr="008C5E75">
        <w:rPr>
          <w:color w:val="0070C0"/>
        </w:rPr>
        <w:t>Denominator: total patient scans</w:t>
      </w:r>
    </w:p>
    <w:p w14:paraId="5BF98BDE" w14:textId="09F837E2" w:rsidR="004B507A" w:rsidRDefault="008C5E75" w:rsidP="008C5E75">
      <w:pPr>
        <w:pStyle w:val="ListParagraph"/>
        <w:numPr>
          <w:ilvl w:val="2"/>
          <w:numId w:val="4"/>
        </w:numPr>
        <w:spacing w:line="240" w:lineRule="auto"/>
        <w:rPr>
          <w:color w:val="0070C0"/>
        </w:rPr>
      </w:pPr>
      <w:r w:rsidRPr="008C5E75">
        <w:rPr>
          <w:color w:val="0070C0"/>
        </w:rPr>
        <w:t>Percent repeat = Numerator/Denominator x 100</w:t>
      </w:r>
    </w:p>
    <w:p w14:paraId="12849F50" w14:textId="77777777" w:rsidR="008C5E75" w:rsidRDefault="008C5E75" w:rsidP="008C5E75">
      <w:pPr>
        <w:pStyle w:val="ListParagraph"/>
        <w:spacing w:line="240" w:lineRule="auto"/>
        <w:ind w:left="2880"/>
        <w:rPr>
          <w:color w:val="0070C0"/>
        </w:rPr>
      </w:pPr>
    </w:p>
    <w:p w14:paraId="5B63E50C" w14:textId="04E07B1C" w:rsidR="008A74C9" w:rsidRDefault="00D102CC" w:rsidP="007A66C8">
      <w:pPr>
        <w:pStyle w:val="ListParagraph"/>
        <w:numPr>
          <w:ilvl w:val="0"/>
          <w:numId w:val="4"/>
        </w:numPr>
        <w:spacing w:line="240" w:lineRule="auto"/>
        <w:rPr>
          <w:color w:val="0070C0"/>
        </w:rPr>
      </w:pPr>
      <w:r w:rsidRPr="00D102CC">
        <w:rPr>
          <w:color w:val="0070C0"/>
        </w:rPr>
        <w:t>Quality of Care – Peer Review Over Read Correlation</w:t>
      </w:r>
    </w:p>
    <w:p w14:paraId="2FFAA662" w14:textId="57FFC603" w:rsidR="003D68C2" w:rsidRPr="003D68C2" w:rsidRDefault="003D68C2" w:rsidP="00050D1D">
      <w:pPr>
        <w:pStyle w:val="ListParagraph"/>
        <w:numPr>
          <w:ilvl w:val="1"/>
          <w:numId w:val="4"/>
        </w:numPr>
        <w:spacing w:line="240" w:lineRule="auto"/>
        <w:jc w:val="both"/>
        <w:rPr>
          <w:color w:val="0070C0"/>
        </w:rPr>
      </w:pPr>
      <w:r>
        <w:rPr>
          <w:color w:val="0070C0"/>
        </w:rPr>
        <w:t xml:space="preserve">At least one </w:t>
      </w:r>
      <w:r w:rsidR="00336F1D">
        <w:rPr>
          <w:color w:val="0070C0"/>
        </w:rPr>
        <w:t>scan a day is used for Peer Review.</w:t>
      </w:r>
      <w:r w:rsidR="003652EF">
        <w:rPr>
          <w:rStyle w:val="FootnoteReference"/>
          <w:color w:val="0070C0"/>
        </w:rPr>
        <w:footnoteReference w:id="5"/>
      </w:r>
      <w:r w:rsidR="00336F1D">
        <w:rPr>
          <w:color w:val="0070C0"/>
        </w:rPr>
        <w:t xml:space="preserve"> </w:t>
      </w:r>
      <w:r w:rsidRPr="003D68C2">
        <w:rPr>
          <w:color w:val="0070C0"/>
        </w:rPr>
        <w:t>This application is for 1 day per week of service:</w:t>
      </w:r>
    </w:p>
    <w:p w14:paraId="3DCDCE73" w14:textId="10232FD9" w:rsidR="003D68C2" w:rsidRPr="003D68C2" w:rsidRDefault="003D68C2" w:rsidP="00336F1D">
      <w:pPr>
        <w:pStyle w:val="ListParagraph"/>
        <w:numPr>
          <w:ilvl w:val="2"/>
          <w:numId w:val="4"/>
        </w:numPr>
        <w:spacing w:line="240" w:lineRule="auto"/>
        <w:rPr>
          <w:color w:val="0070C0"/>
        </w:rPr>
      </w:pPr>
      <w:r w:rsidRPr="003D68C2">
        <w:rPr>
          <w:color w:val="0070C0"/>
        </w:rPr>
        <w:t xml:space="preserve">Numerator: reporting of 1 scan per service day </w:t>
      </w:r>
      <w:r w:rsidR="002A58CE">
        <w:rPr>
          <w:color w:val="0070C0"/>
        </w:rPr>
        <w:t>+</w:t>
      </w:r>
      <w:r w:rsidRPr="003D68C2">
        <w:rPr>
          <w:color w:val="0070C0"/>
        </w:rPr>
        <w:t xml:space="preserve"> peer review</w:t>
      </w:r>
    </w:p>
    <w:p w14:paraId="1B75EB3F" w14:textId="099C88FD" w:rsidR="003D68C2" w:rsidRPr="003D68C2" w:rsidRDefault="003D68C2" w:rsidP="00336F1D">
      <w:pPr>
        <w:pStyle w:val="ListParagraph"/>
        <w:numPr>
          <w:ilvl w:val="2"/>
          <w:numId w:val="4"/>
        </w:numPr>
        <w:spacing w:line="240" w:lineRule="auto"/>
        <w:rPr>
          <w:color w:val="0070C0"/>
        </w:rPr>
      </w:pPr>
      <w:r w:rsidRPr="003D68C2">
        <w:rPr>
          <w:color w:val="0070C0"/>
        </w:rPr>
        <w:t xml:space="preserve">Denominator: total number of days of service </w:t>
      </w:r>
      <w:r w:rsidR="002A58CE">
        <w:rPr>
          <w:color w:val="0070C0"/>
        </w:rPr>
        <w:t xml:space="preserve">in the </w:t>
      </w:r>
      <w:r w:rsidRPr="003D68C2">
        <w:rPr>
          <w:color w:val="0070C0"/>
        </w:rPr>
        <w:t xml:space="preserve">given </w:t>
      </w:r>
      <w:r w:rsidR="00336F1D" w:rsidRPr="003D68C2">
        <w:rPr>
          <w:color w:val="0070C0"/>
        </w:rPr>
        <w:t>period</w:t>
      </w:r>
    </w:p>
    <w:p w14:paraId="0E83BB33" w14:textId="2AFCDDE7" w:rsidR="00336F1D" w:rsidRDefault="003D68C2" w:rsidP="00325EC6">
      <w:pPr>
        <w:pStyle w:val="ListParagraph"/>
        <w:numPr>
          <w:ilvl w:val="2"/>
          <w:numId w:val="4"/>
        </w:numPr>
        <w:spacing w:line="240" w:lineRule="auto"/>
        <w:rPr>
          <w:color w:val="0070C0"/>
        </w:rPr>
      </w:pPr>
      <w:r w:rsidRPr="003D68C2">
        <w:rPr>
          <w:color w:val="0070C0"/>
        </w:rPr>
        <w:t xml:space="preserve">Result: Percent completion of </w:t>
      </w:r>
      <w:proofErr w:type="gramStart"/>
      <w:r w:rsidRPr="003D68C2">
        <w:rPr>
          <w:color w:val="0070C0"/>
        </w:rPr>
        <w:t>Peer to Peer</w:t>
      </w:r>
      <w:proofErr w:type="gramEnd"/>
      <w:r w:rsidRPr="003D68C2">
        <w:rPr>
          <w:color w:val="0070C0"/>
        </w:rPr>
        <w:t xml:space="preserve"> reporting</w:t>
      </w:r>
    </w:p>
    <w:p w14:paraId="41D9C09B" w14:textId="77777777" w:rsidR="00325EC6" w:rsidRPr="00325EC6" w:rsidRDefault="00325EC6" w:rsidP="00325EC6">
      <w:pPr>
        <w:pStyle w:val="ListParagraph"/>
        <w:spacing w:line="240" w:lineRule="auto"/>
        <w:ind w:left="2880"/>
        <w:rPr>
          <w:color w:val="0070C0"/>
        </w:rPr>
      </w:pPr>
    </w:p>
    <w:p w14:paraId="7184E11B" w14:textId="3816B8A5" w:rsidR="00293D62" w:rsidRDefault="00293D62" w:rsidP="007A66C8">
      <w:pPr>
        <w:pStyle w:val="ListParagraph"/>
        <w:numPr>
          <w:ilvl w:val="0"/>
          <w:numId w:val="4"/>
        </w:numPr>
        <w:spacing w:line="240" w:lineRule="auto"/>
        <w:rPr>
          <w:color w:val="0070C0"/>
        </w:rPr>
      </w:pPr>
      <w:r w:rsidRPr="00293D62">
        <w:rPr>
          <w:color w:val="0070C0"/>
        </w:rPr>
        <w:t>Provider Satisfaction – Value Assessment</w:t>
      </w:r>
    </w:p>
    <w:p w14:paraId="39B8D0BF" w14:textId="23272A8A" w:rsidR="00A71934" w:rsidRPr="00BB027B" w:rsidRDefault="00261994" w:rsidP="00BB027B">
      <w:pPr>
        <w:pStyle w:val="ListParagraph"/>
        <w:numPr>
          <w:ilvl w:val="1"/>
          <w:numId w:val="4"/>
        </w:numPr>
        <w:spacing w:line="240" w:lineRule="auto"/>
        <w:jc w:val="both"/>
        <w:rPr>
          <w:color w:val="0070C0"/>
        </w:rPr>
      </w:pPr>
      <w:r w:rsidRPr="00261994">
        <w:rPr>
          <w:color w:val="0070C0"/>
        </w:rPr>
        <w:t>Provider satisfaction follows the methodology used in the Podium platform</w:t>
      </w:r>
      <w:r w:rsidR="00191E7C">
        <w:rPr>
          <w:color w:val="0070C0"/>
        </w:rPr>
        <w:t xml:space="preserve"> (cited above)</w:t>
      </w:r>
      <w:r w:rsidRPr="00261994">
        <w:rPr>
          <w:color w:val="0070C0"/>
        </w:rPr>
        <w:t>.</w:t>
      </w:r>
      <w:r w:rsidR="00BB027B">
        <w:rPr>
          <w:color w:val="0070C0"/>
        </w:rPr>
        <w:t xml:space="preserve"> </w:t>
      </w:r>
      <w:r w:rsidR="00A71934" w:rsidRPr="00BB027B">
        <w:rPr>
          <w:color w:val="0070C0"/>
        </w:rPr>
        <w:t xml:space="preserve">The provider response </w:t>
      </w:r>
      <w:r w:rsidR="00C34BC4">
        <w:rPr>
          <w:color w:val="0070C0"/>
        </w:rPr>
        <w:t>indicate</w:t>
      </w:r>
      <w:r w:rsidR="00191E7C">
        <w:rPr>
          <w:color w:val="0070C0"/>
        </w:rPr>
        <w:t>s</w:t>
      </w:r>
      <w:r w:rsidR="00A71934" w:rsidRPr="00BB027B">
        <w:rPr>
          <w:color w:val="0070C0"/>
        </w:rPr>
        <w:t xml:space="preserve"> overall satisfaction with the referring physician’s experience. The provider can send an open text response related to his/her satisfaction. Shields leverages the responses from this tool to evaluate the effectiveness of </w:t>
      </w:r>
      <w:r w:rsidR="00354B23" w:rsidRPr="00BB027B">
        <w:rPr>
          <w:color w:val="0070C0"/>
        </w:rPr>
        <w:t>the provider’s experience</w:t>
      </w:r>
      <w:r w:rsidR="00A71934" w:rsidRPr="00BB027B">
        <w:rPr>
          <w:color w:val="0070C0"/>
        </w:rPr>
        <w:t>.</w:t>
      </w:r>
    </w:p>
    <w:p w14:paraId="4F445ECC" w14:textId="77777777" w:rsidR="00A71934" w:rsidRDefault="00A71934" w:rsidP="00A71934">
      <w:pPr>
        <w:pStyle w:val="ListParagraph"/>
        <w:numPr>
          <w:ilvl w:val="1"/>
          <w:numId w:val="4"/>
        </w:numPr>
        <w:spacing w:line="240" w:lineRule="auto"/>
        <w:rPr>
          <w:color w:val="0070C0"/>
        </w:rPr>
      </w:pPr>
      <w:r w:rsidRPr="00A71934">
        <w:rPr>
          <w:color w:val="0070C0"/>
        </w:rPr>
        <w:t>Response rate:</w:t>
      </w:r>
    </w:p>
    <w:p w14:paraId="5774BFBF" w14:textId="77777777" w:rsidR="00A71934" w:rsidRDefault="00A71934" w:rsidP="00A71934">
      <w:pPr>
        <w:pStyle w:val="ListParagraph"/>
        <w:numPr>
          <w:ilvl w:val="2"/>
          <w:numId w:val="4"/>
        </w:numPr>
        <w:spacing w:line="240" w:lineRule="auto"/>
        <w:rPr>
          <w:color w:val="0070C0"/>
        </w:rPr>
      </w:pPr>
      <w:r w:rsidRPr="00A71934">
        <w:rPr>
          <w:color w:val="0070C0"/>
        </w:rPr>
        <w:t>The numerator is the number of surveys returned</w:t>
      </w:r>
    </w:p>
    <w:p w14:paraId="2749D158" w14:textId="77777777" w:rsidR="00A71934" w:rsidRDefault="00A71934" w:rsidP="00A71934">
      <w:pPr>
        <w:pStyle w:val="ListParagraph"/>
        <w:numPr>
          <w:ilvl w:val="2"/>
          <w:numId w:val="4"/>
        </w:numPr>
        <w:spacing w:line="240" w:lineRule="auto"/>
        <w:rPr>
          <w:color w:val="0070C0"/>
        </w:rPr>
      </w:pPr>
      <w:r w:rsidRPr="00A71934">
        <w:rPr>
          <w:color w:val="0070C0"/>
        </w:rPr>
        <w:t>The denominator is the total number of surveys sent</w:t>
      </w:r>
    </w:p>
    <w:p w14:paraId="2A5CC106" w14:textId="711F424F" w:rsidR="00A71934" w:rsidRPr="00A71934" w:rsidRDefault="00A71934" w:rsidP="00A71934">
      <w:pPr>
        <w:pStyle w:val="ListParagraph"/>
        <w:numPr>
          <w:ilvl w:val="2"/>
          <w:numId w:val="4"/>
        </w:numPr>
        <w:spacing w:line="240" w:lineRule="auto"/>
        <w:rPr>
          <w:color w:val="0070C0"/>
        </w:rPr>
      </w:pPr>
      <w:r w:rsidRPr="00A71934">
        <w:rPr>
          <w:color w:val="0070C0"/>
        </w:rPr>
        <w:t>Net result is a percentage of responses compared to total sent</w:t>
      </w:r>
    </w:p>
    <w:p w14:paraId="0FEEE2D5" w14:textId="5F601D8F" w:rsidR="00A71934" w:rsidRPr="007A66C8" w:rsidRDefault="00A71934" w:rsidP="00354B23">
      <w:pPr>
        <w:pStyle w:val="ListParagraph"/>
        <w:numPr>
          <w:ilvl w:val="1"/>
          <w:numId w:val="4"/>
        </w:numPr>
        <w:spacing w:line="240" w:lineRule="auto"/>
        <w:jc w:val="both"/>
        <w:rPr>
          <w:color w:val="0070C0"/>
        </w:rPr>
      </w:pPr>
      <w:r w:rsidRPr="00A71934">
        <w:rPr>
          <w:color w:val="0070C0"/>
        </w:rPr>
        <w:t>Shields calculates a Net Promoter Score that is translated as a provider satisfaction score.</w:t>
      </w:r>
    </w:p>
    <w:p w14:paraId="18A1F481" w14:textId="77777777" w:rsidR="00633A36" w:rsidRDefault="00633A36" w:rsidP="00633A36">
      <w:pPr>
        <w:pStyle w:val="ListParagraph"/>
        <w:spacing w:line="240" w:lineRule="auto"/>
        <w:ind w:left="1440"/>
      </w:pPr>
    </w:p>
    <w:p w14:paraId="6F876B9C" w14:textId="6DF049CE" w:rsidR="00F359E2" w:rsidRDefault="00F359E2" w:rsidP="00020571">
      <w:pPr>
        <w:pStyle w:val="ListParagraph"/>
        <w:numPr>
          <w:ilvl w:val="1"/>
          <w:numId w:val="1"/>
        </w:numPr>
        <w:spacing w:line="240" w:lineRule="auto"/>
      </w:pPr>
      <w:r>
        <w:t xml:space="preserve">Please explain the Projections for measure 3. Quality of Care – Quality of PET-CT scan. </w:t>
      </w:r>
      <w:r w:rsidR="00B917E5">
        <w:t xml:space="preserve">In particular, the increase from Year 1 to Year </w:t>
      </w:r>
      <w:r w:rsidR="006D7B04">
        <w:t xml:space="preserve">2? </w:t>
      </w:r>
      <w:r w:rsidR="00B917E5">
        <w:t xml:space="preserve">to followed by a decrease between Year 2 and Year 3. </w:t>
      </w:r>
    </w:p>
    <w:p w14:paraId="364C598D" w14:textId="340CC228" w:rsidR="00633A36" w:rsidRPr="00633A36" w:rsidRDefault="00633A36" w:rsidP="00633A36">
      <w:pPr>
        <w:spacing w:line="240" w:lineRule="auto"/>
        <w:ind w:left="1080"/>
        <w:rPr>
          <w:color w:val="0070C0"/>
        </w:rPr>
      </w:pPr>
      <w:r w:rsidRPr="00633A36">
        <w:rPr>
          <w:color w:val="0070C0"/>
        </w:rPr>
        <w:t>Please see below in blue</w:t>
      </w:r>
      <w:r w:rsidR="000B6E09">
        <w:rPr>
          <w:color w:val="0070C0"/>
        </w:rPr>
        <w:t xml:space="preserve"> </w:t>
      </w:r>
      <w:r w:rsidR="000B6E09" w:rsidRPr="000B6E09">
        <w:rPr>
          <w:i/>
          <w:iCs/>
          <w:color w:val="0070C0"/>
        </w:rPr>
        <w:t xml:space="preserve">[and </w:t>
      </w:r>
      <w:r w:rsidR="000B6E09">
        <w:rPr>
          <w:i/>
          <w:iCs/>
          <w:color w:val="0070C0"/>
        </w:rPr>
        <w:t>italics</w:t>
      </w:r>
      <w:r w:rsidR="000B6E09" w:rsidRPr="000B6E09">
        <w:rPr>
          <w:i/>
          <w:iCs/>
          <w:color w:val="0070C0"/>
        </w:rPr>
        <w:t>]</w:t>
      </w:r>
      <w:r w:rsidRPr="000B6E09">
        <w:rPr>
          <w:i/>
          <w:iCs/>
          <w:color w:val="0070C0"/>
        </w:rPr>
        <w:t xml:space="preserve">. </w:t>
      </w:r>
    </w:p>
    <w:p w14:paraId="798E35C9" w14:textId="77777777" w:rsidR="00325EC6" w:rsidRDefault="00325EC6" w:rsidP="00020571">
      <w:pPr>
        <w:spacing w:line="240" w:lineRule="auto"/>
        <w:ind w:left="360"/>
        <w:jc w:val="both"/>
        <w:rPr>
          <w:b/>
        </w:rPr>
      </w:pPr>
    </w:p>
    <w:p w14:paraId="358EEE28" w14:textId="77777777" w:rsidR="00325EC6" w:rsidRDefault="00325EC6" w:rsidP="00020571">
      <w:pPr>
        <w:spacing w:line="240" w:lineRule="auto"/>
        <w:ind w:left="360"/>
        <w:jc w:val="both"/>
        <w:rPr>
          <w:b/>
        </w:rPr>
      </w:pPr>
    </w:p>
    <w:p w14:paraId="4A06E3D0" w14:textId="77777777" w:rsidR="00325EC6" w:rsidRDefault="00325EC6" w:rsidP="00020571">
      <w:pPr>
        <w:spacing w:line="240" w:lineRule="auto"/>
        <w:ind w:left="360"/>
        <w:jc w:val="both"/>
        <w:rPr>
          <w:b/>
        </w:rPr>
      </w:pPr>
    </w:p>
    <w:p w14:paraId="6C2CFF61" w14:textId="2489802C" w:rsidR="00547298" w:rsidRPr="00DA4914" w:rsidRDefault="00547298" w:rsidP="00020571">
      <w:pPr>
        <w:spacing w:line="240" w:lineRule="auto"/>
        <w:ind w:left="360"/>
        <w:jc w:val="both"/>
        <w:rPr>
          <w:bCs/>
        </w:rPr>
      </w:pPr>
      <w:r w:rsidRPr="00DA4914">
        <w:rPr>
          <w:b/>
        </w:rPr>
        <w:t>Quality of Care</w:t>
      </w:r>
      <w:r>
        <w:rPr>
          <w:b/>
        </w:rPr>
        <w:t xml:space="preserve"> – </w:t>
      </w:r>
      <w:r w:rsidRPr="00EA592C">
        <w:rPr>
          <w:b/>
        </w:rPr>
        <w:t>Quality of PET-CT scan:</w:t>
      </w:r>
      <w:r w:rsidRPr="00DA4914">
        <w:rPr>
          <w:bCs/>
        </w:rPr>
        <w:t xml:space="preserve"> The quality of a PET-CT scan is imperative to its</w:t>
      </w:r>
      <w:r>
        <w:rPr>
          <w:bCs/>
        </w:rPr>
        <w:t xml:space="preserve"> </w:t>
      </w:r>
      <w:r w:rsidRPr="00DA4914">
        <w:rPr>
          <w:bCs/>
        </w:rPr>
        <w:t>interpretation. Accordingly, the Applicant will evaluate the number of scans that need to be repeated</w:t>
      </w:r>
      <w:r>
        <w:rPr>
          <w:bCs/>
        </w:rPr>
        <w:t xml:space="preserve"> </w:t>
      </w:r>
      <w:r w:rsidRPr="00DA4914">
        <w:rPr>
          <w:bCs/>
        </w:rPr>
        <w:t xml:space="preserve">over the course of a week to </w:t>
      </w:r>
      <w:r w:rsidRPr="004E5CE4">
        <w:rPr>
          <w:bCs/>
        </w:rPr>
        <w:t>ensure radiology technicians are performing appropriate scans. Given that the PET-CT equipment will only be available one-day per week, the next opportunity for a scan would be seven days later.</w:t>
      </w:r>
    </w:p>
    <w:p w14:paraId="0C6CFE8C" w14:textId="7EDEDC3B" w:rsidR="0032367C" w:rsidRPr="00DA4914" w:rsidRDefault="00547298" w:rsidP="00547298">
      <w:pPr>
        <w:ind w:left="720"/>
        <w:jc w:val="both"/>
        <w:rPr>
          <w:bCs/>
        </w:rPr>
      </w:pPr>
      <w:r w:rsidRPr="00DA4914">
        <w:rPr>
          <w:b/>
        </w:rPr>
        <w:t xml:space="preserve">Measure: </w:t>
      </w:r>
      <w:r w:rsidRPr="00DA4914">
        <w:rPr>
          <w:bCs/>
        </w:rPr>
        <w:t>The number of repeat PET-CT scans performed on patients within a seven-day period</w:t>
      </w:r>
      <w:r>
        <w:rPr>
          <w:bCs/>
        </w:rPr>
        <w:t xml:space="preserve"> </w:t>
      </w:r>
      <w:r w:rsidRPr="00DA4914">
        <w:rPr>
          <w:bCs/>
        </w:rPr>
        <w:t>(day of scan to next day of scan)</w:t>
      </w:r>
    </w:p>
    <w:p w14:paraId="70C436F9" w14:textId="77777777" w:rsidR="00547298" w:rsidRDefault="00547298" w:rsidP="00547298">
      <w:pPr>
        <w:ind w:left="720"/>
        <w:jc w:val="both"/>
        <w:rPr>
          <w:bCs/>
        </w:rPr>
      </w:pPr>
      <w:r w:rsidRPr="000404B4">
        <w:rPr>
          <w:b/>
        </w:rPr>
        <w:t xml:space="preserve">Projections: </w:t>
      </w:r>
      <w:r w:rsidRPr="000404B4">
        <w:rPr>
          <w:bCs/>
        </w:rPr>
        <w:t>Baseline: 0% Year 1: 1% Year 2: 8% Year 3: 5%</w:t>
      </w:r>
    </w:p>
    <w:p w14:paraId="20A90775" w14:textId="7B1D2370" w:rsidR="00FA3C7C" w:rsidRPr="00462202" w:rsidRDefault="00C04D70" w:rsidP="00547298">
      <w:pPr>
        <w:ind w:left="720"/>
        <w:jc w:val="both"/>
        <w:rPr>
          <w:bCs/>
          <w:color w:val="0070C0"/>
        </w:rPr>
      </w:pPr>
      <w:r>
        <w:rPr>
          <w:bCs/>
          <w:color w:val="0070C0"/>
        </w:rPr>
        <w:t>T</w:t>
      </w:r>
      <w:r w:rsidR="00FA3C7C" w:rsidRPr="00462202">
        <w:rPr>
          <w:bCs/>
          <w:color w:val="0070C0"/>
        </w:rPr>
        <w:t>h</w:t>
      </w:r>
      <w:r w:rsidR="00027D81">
        <w:rPr>
          <w:bCs/>
          <w:color w:val="0070C0"/>
        </w:rPr>
        <w:t xml:space="preserve">e </w:t>
      </w:r>
      <w:r w:rsidR="00287C9E">
        <w:rPr>
          <w:bCs/>
          <w:color w:val="0070C0"/>
        </w:rPr>
        <w:t>baseline</w:t>
      </w:r>
      <w:r w:rsidR="003329CC">
        <w:rPr>
          <w:bCs/>
          <w:color w:val="0070C0"/>
        </w:rPr>
        <w:t xml:space="preserve">, </w:t>
      </w:r>
      <w:r w:rsidR="00287C9E">
        <w:rPr>
          <w:bCs/>
          <w:color w:val="0070C0"/>
        </w:rPr>
        <w:t>year 2</w:t>
      </w:r>
      <w:r w:rsidR="003329CC">
        <w:rPr>
          <w:bCs/>
          <w:color w:val="0070C0"/>
        </w:rPr>
        <w:t xml:space="preserve">, and year </w:t>
      </w:r>
      <w:r w:rsidR="00287C9E">
        <w:rPr>
          <w:bCs/>
          <w:color w:val="0070C0"/>
        </w:rPr>
        <w:t xml:space="preserve">3 </w:t>
      </w:r>
      <w:r w:rsidR="00027D81">
        <w:rPr>
          <w:bCs/>
          <w:color w:val="0070C0"/>
        </w:rPr>
        <w:t xml:space="preserve">figures outlined above were </w:t>
      </w:r>
      <w:r w:rsidR="005A260B">
        <w:rPr>
          <w:bCs/>
          <w:color w:val="0070C0"/>
        </w:rPr>
        <w:t>recited in error in the</w:t>
      </w:r>
      <w:r>
        <w:rPr>
          <w:bCs/>
          <w:color w:val="0070C0"/>
        </w:rPr>
        <w:t xml:space="preserve"> </w:t>
      </w:r>
      <w:r w:rsidR="005A260B">
        <w:rPr>
          <w:bCs/>
          <w:color w:val="0070C0"/>
        </w:rPr>
        <w:t>narrative</w:t>
      </w:r>
      <w:r>
        <w:rPr>
          <w:bCs/>
          <w:color w:val="0070C0"/>
        </w:rPr>
        <w:t>. Below,</w:t>
      </w:r>
      <w:r w:rsidR="005A09D0" w:rsidRPr="00462202">
        <w:rPr>
          <w:bCs/>
          <w:color w:val="0070C0"/>
        </w:rPr>
        <w:t xml:space="preserve"> please find the correct projections. </w:t>
      </w:r>
    </w:p>
    <w:p w14:paraId="551A800A" w14:textId="3D7EFEA6" w:rsidR="00FA3C7C" w:rsidRPr="000B6E09" w:rsidRDefault="0015400E" w:rsidP="00FA3C7C">
      <w:pPr>
        <w:ind w:left="720"/>
        <w:jc w:val="both"/>
        <w:rPr>
          <w:i/>
          <w:iCs/>
          <w:color w:val="0070C0"/>
        </w:rPr>
      </w:pPr>
      <w:r>
        <w:rPr>
          <w:b/>
          <w:bCs/>
          <w:color w:val="0070C0"/>
        </w:rPr>
        <w:t xml:space="preserve">Correct </w:t>
      </w:r>
      <w:r w:rsidR="00FA3C7C" w:rsidRPr="00462202">
        <w:rPr>
          <w:b/>
          <w:bCs/>
          <w:color w:val="0070C0"/>
        </w:rPr>
        <w:t xml:space="preserve">Projections: </w:t>
      </w:r>
      <w:r w:rsidR="00FA3C7C" w:rsidRPr="000B6E09">
        <w:rPr>
          <w:i/>
          <w:iCs/>
          <w:color w:val="0070C0"/>
        </w:rPr>
        <w:t>Baseline: 1.5% Year 1: 1% Year 2: 1% Year 3: .08%</w:t>
      </w:r>
    </w:p>
    <w:p w14:paraId="327DE6CB" w14:textId="02B0E00C" w:rsidR="00547298" w:rsidRDefault="00547298" w:rsidP="00020571">
      <w:pPr>
        <w:spacing w:line="240" w:lineRule="auto"/>
        <w:ind w:left="720"/>
        <w:jc w:val="both"/>
        <w:rPr>
          <w:bCs/>
        </w:rPr>
      </w:pPr>
      <w:r w:rsidRPr="00DA4914">
        <w:rPr>
          <w:b/>
        </w:rPr>
        <w:t xml:space="preserve">Monitoring: </w:t>
      </w:r>
      <w:r w:rsidRPr="00DA4914">
        <w:rPr>
          <w:bCs/>
        </w:rPr>
        <w:t>PET-CT technologists will track the number of scans that are repeated and</w:t>
      </w:r>
      <w:r>
        <w:rPr>
          <w:bCs/>
        </w:rPr>
        <w:t xml:space="preserve"> </w:t>
      </w:r>
      <w:r w:rsidRPr="00DA4914">
        <w:rPr>
          <w:bCs/>
        </w:rPr>
        <w:t>scheduled for the next scan day. Technologists will document each case and conduct a monthly</w:t>
      </w:r>
      <w:r>
        <w:rPr>
          <w:bCs/>
        </w:rPr>
        <w:t xml:space="preserve"> </w:t>
      </w:r>
      <w:r w:rsidRPr="00DA4914">
        <w:rPr>
          <w:bCs/>
        </w:rPr>
        <w:t>comparison to total volume to meet or exceed the metric.</w:t>
      </w:r>
    </w:p>
    <w:p w14:paraId="5748AA3A" w14:textId="457052EE" w:rsidR="003A5DE9" w:rsidRDefault="003A5DE9" w:rsidP="003A5DE9">
      <w:pPr>
        <w:pStyle w:val="ListParagraph"/>
        <w:numPr>
          <w:ilvl w:val="0"/>
          <w:numId w:val="1"/>
        </w:numPr>
        <w:jc w:val="both"/>
        <w:rPr>
          <w:bCs/>
        </w:rPr>
      </w:pPr>
      <w:r w:rsidRPr="003A5DE9">
        <w:rPr>
          <w:bCs/>
        </w:rPr>
        <w:t>Describe existing Clinical Decision Support Tools for curbing overuse of imaging.</w:t>
      </w:r>
    </w:p>
    <w:p w14:paraId="6788A939" w14:textId="323CC9A8" w:rsidR="003054CD" w:rsidRPr="009311C2" w:rsidRDefault="009311C2" w:rsidP="008019CA">
      <w:pPr>
        <w:ind w:left="360"/>
        <w:jc w:val="both"/>
        <w:rPr>
          <w:color w:val="0070C0"/>
        </w:rPr>
      </w:pPr>
      <w:r w:rsidRPr="009311C2">
        <w:rPr>
          <w:color w:val="0070C0"/>
        </w:rPr>
        <w:t xml:space="preserve">The Centers for Medicare &amp; Medicaid Services (CMS) announced it has delayed the mandate for referring providers to use appropriate use criteria (AUC) and clinical decision support (CDS) tools. Once the mandate for referring providers to use AUC goes into effect, Shields will have the capability of reporting: a.) The percent of ordering physicians using the mechanism b.) Data showing yearly changes in “low utility” or “marginal utility” c.) Percent of ordering providers’ response to alerts provider by CDS tools d.) Analysis of data and policy changes instituted </w:t>
      </w:r>
      <w:proofErr w:type="gramStart"/>
      <w:r w:rsidRPr="009311C2">
        <w:rPr>
          <w:color w:val="0070C0"/>
        </w:rPr>
        <w:t>as a result of</w:t>
      </w:r>
      <w:proofErr w:type="gramEnd"/>
      <w:r w:rsidRPr="009311C2">
        <w:rPr>
          <w:color w:val="0070C0"/>
        </w:rPr>
        <w:t xml:space="preserve"> these data.</w:t>
      </w:r>
    </w:p>
    <w:p w14:paraId="256F7C63" w14:textId="77777777" w:rsidR="008019CA" w:rsidRDefault="008019CA" w:rsidP="0070429A">
      <w:pPr>
        <w:rPr>
          <w:b/>
          <w:bCs/>
        </w:rPr>
      </w:pPr>
    </w:p>
    <w:p w14:paraId="5757193E" w14:textId="187D9951" w:rsidR="0070429A" w:rsidRPr="0070429A" w:rsidRDefault="0070429A" w:rsidP="0070429A">
      <w:pPr>
        <w:rPr>
          <w:b/>
          <w:bCs/>
        </w:rPr>
      </w:pPr>
      <w:r w:rsidRPr="0070429A">
        <w:rPr>
          <w:b/>
          <w:bCs/>
        </w:rPr>
        <w:t>F</w:t>
      </w:r>
      <w:r>
        <w:rPr>
          <w:b/>
          <w:bCs/>
        </w:rPr>
        <w:t>ACTOR</w:t>
      </w:r>
      <w:r w:rsidRPr="0070429A">
        <w:rPr>
          <w:b/>
          <w:bCs/>
        </w:rPr>
        <w:t xml:space="preserve"> 2 Delivery System Transformation</w:t>
      </w:r>
    </w:p>
    <w:p w14:paraId="38CB3061" w14:textId="517C069D" w:rsidR="00BE44A0" w:rsidRDefault="00D06A2B" w:rsidP="0070429A">
      <w:pPr>
        <w:pStyle w:val="ListParagraph"/>
        <w:numPr>
          <w:ilvl w:val="0"/>
          <w:numId w:val="1"/>
        </w:numPr>
      </w:pPr>
      <w:r>
        <w:t xml:space="preserve">The Application states that the Applicant plans to implement numerous amenities, including patient access tools including but not limited </w:t>
      </w:r>
      <w:r w:rsidR="003B0E66">
        <w:t xml:space="preserve">to </w:t>
      </w:r>
      <w:r>
        <w:t>a preregistration functionality</w:t>
      </w:r>
      <w:r w:rsidR="00137228">
        <w:t xml:space="preserve"> and </w:t>
      </w:r>
      <w:r>
        <w:t>a cost transparency application</w:t>
      </w:r>
      <w:r w:rsidR="00137228">
        <w:t xml:space="preserve"> (pg.2</w:t>
      </w:r>
      <w:r w:rsidR="00685813">
        <w:t>3</w:t>
      </w:r>
      <w:r w:rsidR="00137228">
        <w:t xml:space="preserve">). </w:t>
      </w:r>
      <w:r>
        <w:t xml:space="preserve"> </w:t>
      </w:r>
    </w:p>
    <w:p w14:paraId="221851DC" w14:textId="7BED53F8" w:rsidR="009311C2" w:rsidRPr="009311C2" w:rsidRDefault="00BE44A0" w:rsidP="00C3576C">
      <w:pPr>
        <w:pStyle w:val="ListParagraph"/>
        <w:numPr>
          <w:ilvl w:val="1"/>
          <w:numId w:val="1"/>
        </w:numPr>
        <w:ind w:left="1080"/>
        <w:rPr>
          <w:color w:val="7030A0"/>
        </w:rPr>
      </w:pPr>
      <w:r w:rsidRPr="00BE44A0">
        <w:t xml:space="preserve">Given that technology may not be accessible to all patients (e.g., due to tech literacy, limited internet access), </w:t>
      </w:r>
      <w:r w:rsidR="00220874">
        <w:t>h</w:t>
      </w:r>
      <w:r w:rsidRPr="00BE44A0">
        <w:t xml:space="preserve">ow is </w:t>
      </w:r>
      <w:r>
        <w:t xml:space="preserve">the Applicant </w:t>
      </w:r>
      <w:r w:rsidRPr="00BE44A0">
        <w:t>working to ensure equitable access to th</w:t>
      </w:r>
      <w:r w:rsidR="0070429A">
        <w:t>ese</w:t>
      </w:r>
      <w:r w:rsidRPr="00BE44A0">
        <w:t xml:space="preserve"> </w:t>
      </w:r>
      <w:r w:rsidR="0070429A">
        <w:t>amenities</w:t>
      </w:r>
      <w:r w:rsidRPr="00BE44A0">
        <w:t xml:space="preserve"> (and/or alternative option for those experiencing barriers</w:t>
      </w:r>
      <w:r w:rsidRPr="00892672">
        <w:t>)</w:t>
      </w:r>
      <w:r w:rsidR="005A6C29">
        <w:t>?</w:t>
      </w:r>
    </w:p>
    <w:p w14:paraId="623BDCF9" w14:textId="1D5BDD2C" w:rsidR="00C23B7B" w:rsidRDefault="004A57D2" w:rsidP="00027D81">
      <w:pPr>
        <w:ind w:left="720"/>
        <w:jc w:val="both"/>
        <w:rPr>
          <w:color w:val="0070C0"/>
        </w:rPr>
      </w:pPr>
      <w:r>
        <w:rPr>
          <w:color w:val="0070C0"/>
        </w:rPr>
        <w:t>Shields</w:t>
      </w:r>
      <w:r w:rsidR="00780244">
        <w:rPr>
          <w:color w:val="0070C0"/>
        </w:rPr>
        <w:t xml:space="preserve"> offers Language Line Solutions, which is a phone </w:t>
      </w:r>
      <w:r w:rsidR="00A9632A" w:rsidRPr="00C21B89">
        <w:rPr>
          <w:i/>
          <w:iCs/>
          <w:color w:val="0070C0"/>
        </w:rPr>
        <w:t>or</w:t>
      </w:r>
      <w:r w:rsidR="00D34DCB">
        <w:rPr>
          <w:color w:val="0070C0"/>
        </w:rPr>
        <w:t xml:space="preserve"> video</w:t>
      </w:r>
      <w:r w:rsidR="00CF60B8">
        <w:rPr>
          <w:color w:val="0070C0"/>
        </w:rPr>
        <w:t>-based</w:t>
      </w:r>
      <w:r w:rsidR="00D34DCB">
        <w:rPr>
          <w:color w:val="0070C0"/>
        </w:rPr>
        <w:t xml:space="preserve"> </w:t>
      </w:r>
      <w:r w:rsidR="00F656DA">
        <w:rPr>
          <w:color w:val="0070C0"/>
        </w:rPr>
        <w:t>interpreting service</w:t>
      </w:r>
      <w:r w:rsidR="00CF60B8">
        <w:rPr>
          <w:color w:val="0070C0"/>
        </w:rPr>
        <w:t xml:space="preserve">, offering </w:t>
      </w:r>
      <w:r w:rsidR="00A9632A">
        <w:rPr>
          <w:color w:val="0070C0"/>
        </w:rPr>
        <w:t xml:space="preserve">linguists in </w:t>
      </w:r>
      <w:r w:rsidR="0007412C">
        <w:rPr>
          <w:color w:val="0070C0"/>
        </w:rPr>
        <w:t>two-hundred and forty (</w:t>
      </w:r>
      <w:r w:rsidR="00A9632A">
        <w:rPr>
          <w:color w:val="0070C0"/>
        </w:rPr>
        <w:t>240</w:t>
      </w:r>
      <w:r w:rsidR="0007412C">
        <w:rPr>
          <w:color w:val="0070C0"/>
        </w:rPr>
        <w:t>)</w:t>
      </w:r>
      <w:r w:rsidR="00A9632A">
        <w:rPr>
          <w:color w:val="0070C0"/>
        </w:rPr>
        <w:t xml:space="preserve"> languages, </w:t>
      </w:r>
      <w:r w:rsidR="0007412C">
        <w:rPr>
          <w:color w:val="0070C0"/>
        </w:rPr>
        <w:t>twenty-four (</w:t>
      </w:r>
      <w:r w:rsidR="00A9632A">
        <w:rPr>
          <w:color w:val="0070C0"/>
        </w:rPr>
        <w:t>24</w:t>
      </w:r>
      <w:r w:rsidR="0007412C">
        <w:rPr>
          <w:color w:val="0070C0"/>
        </w:rPr>
        <w:t>)</w:t>
      </w:r>
      <w:r w:rsidR="00A9632A">
        <w:rPr>
          <w:color w:val="0070C0"/>
        </w:rPr>
        <w:t xml:space="preserve"> hours </w:t>
      </w:r>
      <w:r w:rsidR="0007412C">
        <w:rPr>
          <w:color w:val="0070C0"/>
        </w:rPr>
        <w:t>a day and seven (7) days a week</w:t>
      </w:r>
      <w:r w:rsidR="0094132F">
        <w:rPr>
          <w:color w:val="0070C0"/>
        </w:rPr>
        <w:t>.  This is</w:t>
      </w:r>
      <w:r w:rsidR="00F656DA">
        <w:rPr>
          <w:color w:val="0070C0"/>
        </w:rPr>
        <w:t xml:space="preserve"> in addition to the In Demand tool. </w:t>
      </w:r>
      <w:r w:rsidR="00C23B7B">
        <w:rPr>
          <w:color w:val="0070C0"/>
        </w:rPr>
        <w:t xml:space="preserve">The onsite staff are trained to </w:t>
      </w:r>
      <w:r w:rsidR="00473C10">
        <w:rPr>
          <w:color w:val="0070C0"/>
        </w:rPr>
        <w:t>provide operation</w:t>
      </w:r>
      <w:r w:rsidR="0077101D">
        <w:rPr>
          <w:color w:val="0070C0"/>
        </w:rPr>
        <w:t>al</w:t>
      </w:r>
      <w:r w:rsidR="00473C10">
        <w:rPr>
          <w:color w:val="0070C0"/>
        </w:rPr>
        <w:t xml:space="preserve"> </w:t>
      </w:r>
      <w:r w:rsidR="00C23B7B">
        <w:rPr>
          <w:color w:val="0070C0"/>
        </w:rPr>
        <w:t>assist</w:t>
      </w:r>
      <w:r w:rsidR="00473C10">
        <w:rPr>
          <w:color w:val="0070C0"/>
        </w:rPr>
        <w:t>ance to</w:t>
      </w:r>
      <w:r w:rsidR="00C23B7B">
        <w:rPr>
          <w:color w:val="0070C0"/>
        </w:rPr>
        <w:t xml:space="preserve"> patients</w:t>
      </w:r>
      <w:r w:rsidR="0077101D">
        <w:rPr>
          <w:color w:val="0070C0"/>
        </w:rPr>
        <w:t>.</w:t>
      </w:r>
      <w:r w:rsidR="00C23B7B">
        <w:rPr>
          <w:color w:val="0070C0"/>
        </w:rPr>
        <w:t xml:space="preserve"> </w:t>
      </w:r>
    </w:p>
    <w:p w14:paraId="402FECA4" w14:textId="77265EDF" w:rsidR="000F06A2" w:rsidRDefault="0077101D" w:rsidP="00027D81">
      <w:pPr>
        <w:ind w:left="720"/>
        <w:jc w:val="both"/>
        <w:rPr>
          <w:color w:val="0070C0"/>
        </w:rPr>
      </w:pPr>
      <w:r>
        <w:rPr>
          <w:color w:val="0070C0"/>
        </w:rPr>
        <w:t xml:space="preserve">At the referral stage of the scheduling process, </w:t>
      </w:r>
      <w:r w:rsidR="00D5509A" w:rsidRPr="000C73ED">
        <w:rPr>
          <w:color w:val="0070C0"/>
        </w:rPr>
        <w:t xml:space="preserve">Shields works directly with the referring office to coordinate care and </w:t>
      </w:r>
      <w:r>
        <w:rPr>
          <w:color w:val="0070C0"/>
        </w:rPr>
        <w:t xml:space="preserve">ensure that proper </w:t>
      </w:r>
      <w:r w:rsidR="00D5509A" w:rsidRPr="000C73ED">
        <w:rPr>
          <w:color w:val="0070C0"/>
        </w:rPr>
        <w:t>communicat</w:t>
      </w:r>
      <w:r w:rsidR="0098595E">
        <w:rPr>
          <w:color w:val="0070C0"/>
        </w:rPr>
        <w:t xml:space="preserve">ion channels are coordinated for </w:t>
      </w:r>
      <w:r w:rsidR="00D5509A" w:rsidRPr="000C73ED">
        <w:rPr>
          <w:color w:val="0070C0"/>
        </w:rPr>
        <w:t xml:space="preserve">patients that have identified </w:t>
      </w:r>
      <w:r w:rsidR="0098595E">
        <w:rPr>
          <w:color w:val="0070C0"/>
        </w:rPr>
        <w:t>a need for translatio</w:t>
      </w:r>
      <w:r w:rsidR="00C21B89">
        <w:rPr>
          <w:color w:val="0070C0"/>
        </w:rPr>
        <w:t xml:space="preserve">n </w:t>
      </w:r>
      <w:r w:rsidR="0094132F">
        <w:rPr>
          <w:color w:val="0070C0"/>
        </w:rPr>
        <w:t xml:space="preserve">or other </w:t>
      </w:r>
      <w:r w:rsidR="00C21B89">
        <w:rPr>
          <w:color w:val="0070C0"/>
        </w:rPr>
        <w:t xml:space="preserve">services. </w:t>
      </w:r>
      <w:r w:rsidR="00D5509A" w:rsidRPr="000C73ED">
        <w:rPr>
          <w:color w:val="0070C0"/>
        </w:rPr>
        <w:t xml:space="preserve"> </w:t>
      </w:r>
    </w:p>
    <w:p w14:paraId="16128C0D" w14:textId="77777777" w:rsidR="00325EC6" w:rsidRDefault="00325EC6" w:rsidP="00027D81">
      <w:pPr>
        <w:ind w:left="720"/>
        <w:jc w:val="both"/>
        <w:rPr>
          <w:color w:val="0070C0"/>
        </w:rPr>
      </w:pPr>
    </w:p>
    <w:p w14:paraId="0671CE7E" w14:textId="2E76007F" w:rsidR="007245D3" w:rsidRDefault="003B0E66" w:rsidP="009311C2">
      <w:pPr>
        <w:pStyle w:val="ListParagraph"/>
        <w:numPr>
          <w:ilvl w:val="1"/>
          <w:numId w:val="1"/>
        </w:numPr>
        <w:ind w:left="1080"/>
      </w:pPr>
      <w:r>
        <w:t xml:space="preserve">Describe </w:t>
      </w:r>
      <w:r w:rsidR="001665EA">
        <w:t xml:space="preserve">support services available </w:t>
      </w:r>
      <w:r>
        <w:t>to</w:t>
      </w:r>
      <w:r w:rsidR="001665EA">
        <w:t xml:space="preserve"> patients who may not be comfortable or able to use this technology</w:t>
      </w:r>
      <w:r>
        <w:t>, if any</w:t>
      </w:r>
      <w:r w:rsidR="001665EA">
        <w:t>?</w:t>
      </w:r>
      <w:r w:rsidR="00A35E0F">
        <w:t xml:space="preserve"> </w:t>
      </w:r>
    </w:p>
    <w:p w14:paraId="55FB1B4B" w14:textId="178817E1" w:rsidR="0070429A" w:rsidRPr="008936BD" w:rsidRDefault="008936BD" w:rsidP="008936BD">
      <w:pPr>
        <w:ind w:left="720"/>
        <w:rPr>
          <w:color w:val="0070C0"/>
        </w:rPr>
      </w:pPr>
      <w:r w:rsidRPr="008936BD">
        <w:rPr>
          <w:color w:val="0070C0"/>
        </w:rPr>
        <w:t>Shields has an individualized model of care.  Should a patient be unable or uncomfortable using technology we are able to work with them through our customer care department to help them understand the out-of-pocket costs or arrange necessary transportation.</w:t>
      </w:r>
    </w:p>
    <w:sectPr w:rsidR="0070429A" w:rsidRPr="008936BD">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96664" w14:textId="77777777" w:rsidR="00C62CF4" w:rsidRDefault="00C62CF4" w:rsidP="00E45D1C">
      <w:pPr>
        <w:spacing w:after="0" w:line="240" w:lineRule="auto"/>
      </w:pPr>
      <w:r>
        <w:separator/>
      </w:r>
    </w:p>
  </w:endnote>
  <w:endnote w:type="continuationSeparator" w:id="0">
    <w:p w14:paraId="6AC68A3F" w14:textId="77777777" w:rsidR="00C62CF4" w:rsidRDefault="00C62CF4" w:rsidP="00E4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sidR="00997C3B">
          <w:rPr>
            <w:noProof/>
          </w:rPr>
          <w:t>6</w:t>
        </w:r>
        <w:r>
          <w:rPr>
            <w:noProof/>
          </w:rPr>
          <w:fldChar w:fldCharType="end"/>
        </w:r>
      </w:p>
    </w:sdtContent>
  </w:sdt>
  <w:p w14:paraId="38584798" w14:textId="77777777" w:rsidR="005E5080" w:rsidRDefault="005E5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1AF3D" w14:textId="77777777" w:rsidR="00C62CF4" w:rsidRDefault="00C62CF4" w:rsidP="00E45D1C">
      <w:pPr>
        <w:spacing w:after="0" w:line="240" w:lineRule="auto"/>
      </w:pPr>
      <w:r>
        <w:separator/>
      </w:r>
    </w:p>
  </w:footnote>
  <w:footnote w:type="continuationSeparator" w:id="0">
    <w:p w14:paraId="5C876E01" w14:textId="77777777" w:rsidR="00C62CF4" w:rsidRDefault="00C62CF4" w:rsidP="00E45D1C">
      <w:pPr>
        <w:spacing w:after="0" w:line="240" w:lineRule="auto"/>
      </w:pPr>
      <w:r>
        <w:continuationSeparator/>
      </w:r>
    </w:p>
  </w:footnote>
  <w:footnote w:id="1">
    <w:p w14:paraId="0CB4B5AD" w14:textId="18FF9FBE" w:rsidR="00EF1E10" w:rsidRDefault="00EF1E10">
      <w:pPr>
        <w:pStyle w:val="FootnoteText"/>
      </w:pPr>
      <w:r w:rsidRPr="00D143F7">
        <w:rPr>
          <w:rStyle w:val="FootnoteReference"/>
          <w:sz w:val="16"/>
          <w:szCs w:val="16"/>
        </w:rPr>
        <w:footnoteRef/>
      </w:r>
      <w:r w:rsidRPr="00D143F7">
        <w:rPr>
          <w:sz w:val="16"/>
          <w:szCs w:val="16"/>
        </w:rPr>
        <w:t xml:space="preserve"> The Applicant anticipates Year 1 to be 2023.</w:t>
      </w:r>
    </w:p>
  </w:footnote>
  <w:footnote w:id="2">
    <w:p w14:paraId="6F7B269F" w14:textId="24972F13" w:rsidR="007227E7" w:rsidRPr="00D143F7" w:rsidRDefault="007227E7" w:rsidP="007227E7">
      <w:pPr>
        <w:pStyle w:val="FootnoteText"/>
        <w:rPr>
          <w:sz w:val="16"/>
          <w:szCs w:val="16"/>
        </w:rPr>
      </w:pPr>
      <w:r w:rsidRPr="00D143F7">
        <w:rPr>
          <w:rStyle w:val="FootnoteReference"/>
          <w:sz w:val="18"/>
          <w:szCs w:val="18"/>
        </w:rPr>
        <w:footnoteRef/>
      </w:r>
      <w:r w:rsidRPr="0019409A">
        <w:t xml:space="preserve"> </w:t>
      </w:r>
      <w:r w:rsidRPr="00D143F7">
        <w:rPr>
          <w:sz w:val="16"/>
          <w:szCs w:val="16"/>
        </w:rPr>
        <w:t>The number of patients treated at the Marlborough Hospital Cancer Clinic &amp; Marlborough Hospital Radiology Oncology department, not all patients treated across Marlborough Hospital.</w:t>
      </w:r>
    </w:p>
  </w:footnote>
  <w:footnote w:id="3">
    <w:p w14:paraId="3EA4DB60" w14:textId="037CD6DC" w:rsidR="008E7161" w:rsidRPr="00D143F7" w:rsidRDefault="008E7161">
      <w:pPr>
        <w:pStyle w:val="FootnoteText"/>
        <w:rPr>
          <w:sz w:val="16"/>
          <w:szCs w:val="16"/>
        </w:rPr>
      </w:pPr>
      <w:r w:rsidRPr="00D143F7">
        <w:rPr>
          <w:rStyle w:val="FootnoteReference"/>
          <w:sz w:val="16"/>
          <w:szCs w:val="16"/>
        </w:rPr>
        <w:footnoteRef/>
      </w:r>
      <w:r w:rsidRPr="00D143F7">
        <w:rPr>
          <w:sz w:val="16"/>
          <w:szCs w:val="16"/>
        </w:rPr>
        <w:t xml:space="preserve"> </w:t>
      </w:r>
      <w:hyperlink r:id="rId1" w:history="1">
        <w:r w:rsidRPr="00D143F7">
          <w:rPr>
            <w:rStyle w:val="Hyperlink"/>
            <w:sz w:val="16"/>
            <w:szCs w:val="16"/>
          </w:rPr>
          <w:t>https://www.podium.com/article/5-important-patient-experience-strategies-for-health-systems/</w:t>
        </w:r>
      </w:hyperlink>
      <w:r w:rsidRPr="00D143F7">
        <w:rPr>
          <w:sz w:val="16"/>
          <w:szCs w:val="16"/>
        </w:rPr>
        <w:t xml:space="preserve"> </w:t>
      </w:r>
    </w:p>
  </w:footnote>
  <w:footnote w:id="4">
    <w:p w14:paraId="3895A406" w14:textId="66570CB9" w:rsidR="00051885" w:rsidRPr="00325EC6" w:rsidRDefault="00051885">
      <w:pPr>
        <w:pStyle w:val="FootnoteText"/>
        <w:rPr>
          <w:sz w:val="16"/>
          <w:szCs w:val="16"/>
        </w:rPr>
      </w:pPr>
      <w:r w:rsidRPr="00D143F7">
        <w:rPr>
          <w:rStyle w:val="FootnoteReference"/>
          <w:sz w:val="16"/>
          <w:szCs w:val="16"/>
        </w:rPr>
        <w:footnoteRef/>
      </w:r>
      <w:r w:rsidRPr="00325EC6">
        <w:rPr>
          <w:sz w:val="16"/>
          <w:szCs w:val="16"/>
        </w:rPr>
        <w:t xml:space="preserve"> </w:t>
      </w:r>
      <w:hyperlink r:id="rId2" w:history="1">
        <w:r w:rsidRPr="00325EC6">
          <w:rPr>
            <w:rStyle w:val="Hyperlink"/>
            <w:sz w:val="16"/>
            <w:szCs w:val="16"/>
          </w:rPr>
          <w:t>https://erad.com/</w:t>
        </w:r>
      </w:hyperlink>
      <w:r w:rsidRPr="00325EC6">
        <w:rPr>
          <w:sz w:val="16"/>
          <w:szCs w:val="16"/>
        </w:rPr>
        <w:t xml:space="preserve"> </w:t>
      </w:r>
    </w:p>
  </w:footnote>
  <w:footnote w:id="5">
    <w:p w14:paraId="0A5C3576" w14:textId="209C36B7" w:rsidR="003652EF" w:rsidRPr="00D143F7" w:rsidRDefault="003652EF">
      <w:pPr>
        <w:pStyle w:val="FootnoteText"/>
        <w:rPr>
          <w:sz w:val="16"/>
          <w:szCs w:val="16"/>
        </w:rPr>
      </w:pPr>
      <w:r w:rsidRPr="00D143F7">
        <w:rPr>
          <w:rStyle w:val="FootnoteReference"/>
          <w:sz w:val="16"/>
          <w:szCs w:val="16"/>
        </w:rPr>
        <w:footnoteRef/>
      </w:r>
      <w:r w:rsidRPr="00D143F7">
        <w:rPr>
          <w:sz w:val="16"/>
          <w:szCs w:val="16"/>
        </w:rPr>
        <w:t xml:space="preserve"> </w:t>
      </w:r>
      <w:r w:rsidR="00DC1A5E" w:rsidRPr="00D143F7">
        <w:rPr>
          <w:sz w:val="16"/>
          <w:szCs w:val="16"/>
        </w:rPr>
        <w:t xml:space="preserve">The number of scans per day is not relevant.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7F1E" w14:textId="0BF5C2F8" w:rsidR="00C10FE9" w:rsidRDefault="00C10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1BC3" w14:textId="6E454B47" w:rsidR="00E45D1C" w:rsidRPr="00872E44" w:rsidRDefault="002C0F9E" w:rsidP="00872E44">
    <w:pPr>
      <w:pStyle w:val="Header"/>
      <w:jc w:val="center"/>
      <w:rPr>
        <w:b/>
        <w:bCs/>
        <w:sz w:val="28"/>
        <w:szCs w:val="28"/>
      </w:rPr>
    </w:pPr>
    <w:r w:rsidRPr="00872E44">
      <w:rPr>
        <w:b/>
        <w:bCs/>
        <w:sz w:val="28"/>
        <w:szCs w:val="28"/>
      </w:rPr>
      <w:t>UMass MRI and Imaging Center, LLC</w:t>
    </w:r>
  </w:p>
  <w:p w14:paraId="07945C70" w14:textId="5395EAD1" w:rsidR="002C0F9E" w:rsidRPr="00872E44" w:rsidRDefault="00872E44" w:rsidP="00872E44">
    <w:pPr>
      <w:pStyle w:val="Header"/>
      <w:jc w:val="center"/>
      <w:rPr>
        <w:b/>
        <w:bCs/>
        <w:sz w:val="28"/>
        <w:szCs w:val="28"/>
      </w:rPr>
    </w:pPr>
    <w:r w:rsidRPr="00872E44">
      <w:rPr>
        <w:b/>
        <w:bCs/>
        <w:sz w:val="28"/>
        <w:szCs w:val="28"/>
      </w:rPr>
      <w:t>UMM</w:t>
    </w:r>
    <w:r w:rsidR="003065B2">
      <w:rPr>
        <w:b/>
        <w:bCs/>
        <w:sz w:val="28"/>
        <w:szCs w:val="28"/>
      </w:rPr>
      <w:t>I</w:t>
    </w:r>
    <w:r w:rsidRPr="00872E44">
      <w:rPr>
        <w:b/>
        <w:bCs/>
        <w:sz w:val="28"/>
        <w:szCs w:val="28"/>
      </w:rPr>
      <w:t>C-22062409-RE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B547" w14:textId="5744F848" w:rsidR="00C10FE9" w:rsidRDefault="00C10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66756A"/>
    <w:multiLevelType w:val="hybridMultilevel"/>
    <w:tmpl w:val="37E01F16"/>
    <w:lvl w:ilvl="0" w:tplc="5A144A00">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F8E752A"/>
    <w:multiLevelType w:val="hybridMultilevel"/>
    <w:tmpl w:val="A5543B80"/>
    <w:lvl w:ilvl="0" w:tplc="0409000F">
      <w:start w:val="1"/>
      <w:numFmt w:val="decimal"/>
      <w:lvlText w:val="%1."/>
      <w:lvlJc w:val="left"/>
      <w:pPr>
        <w:ind w:left="720" w:hanging="360"/>
      </w:pPr>
      <w:rPr>
        <w:rFonts w:hint="default"/>
      </w:rPr>
    </w:lvl>
    <w:lvl w:ilvl="1" w:tplc="0FD6C7E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220542">
    <w:abstractNumId w:val="3"/>
  </w:num>
  <w:num w:numId="2" w16cid:durableId="399796283">
    <w:abstractNumId w:val="0"/>
  </w:num>
  <w:num w:numId="3" w16cid:durableId="741759656">
    <w:abstractNumId w:val="2"/>
  </w:num>
  <w:num w:numId="4" w16cid:durableId="1892375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C7D"/>
    <w:rsid w:val="000103E1"/>
    <w:rsid w:val="00020571"/>
    <w:rsid w:val="00027D81"/>
    <w:rsid w:val="000404B4"/>
    <w:rsid w:val="00050D1D"/>
    <w:rsid w:val="00051885"/>
    <w:rsid w:val="00054712"/>
    <w:rsid w:val="0007412C"/>
    <w:rsid w:val="00075B8D"/>
    <w:rsid w:val="00077704"/>
    <w:rsid w:val="00084492"/>
    <w:rsid w:val="0008545A"/>
    <w:rsid w:val="000B3755"/>
    <w:rsid w:val="000B402E"/>
    <w:rsid w:val="000B5827"/>
    <w:rsid w:val="000B6E09"/>
    <w:rsid w:val="000C0289"/>
    <w:rsid w:val="000C4F63"/>
    <w:rsid w:val="000C73ED"/>
    <w:rsid w:val="000F06A2"/>
    <w:rsid w:val="000F4352"/>
    <w:rsid w:val="00137228"/>
    <w:rsid w:val="00150334"/>
    <w:rsid w:val="0015400E"/>
    <w:rsid w:val="00154DFC"/>
    <w:rsid w:val="00157D38"/>
    <w:rsid w:val="00163C19"/>
    <w:rsid w:val="001649EA"/>
    <w:rsid w:val="001665EA"/>
    <w:rsid w:val="00177D76"/>
    <w:rsid w:val="00191E7C"/>
    <w:rsid w:val="00193038"/>
    <w:rsid w:val="00193215"/>
    <w:rsid w:val="0019409A"/>
    <w:rsid w:val="001B5A3A"/>
    <w:rsid w:val="001D65BD"/>
    <w:rsid w:val="001E3225"/>
    <w:rsid w:val="001F1181"/>
    <w:rsid w:val="0020227F"/>
    <w:rsid w:val="0020312F"/>
    <w:rsid w:val="002059BD"/>
    <w:rsid w:val="00220874"/>
    <w:rsid w:val="0023173B"/>
    <w:rsid w:val="0024723F"/>
    <w:rsid w:val="00253396"/>
    <w:rsid w:val="00255A84"/>
    <w:rsid w:val="00261994"/>
    <w:rsid w:val="00264904"/>
    <w:rsid w:val="002811C2"/>
    <w:rsid w:val="00287C9E"/>
    <w:rsid w:val="00293D62"/>
    <w:rsid w:val="0029547F"/>
    <w:rsid w:val="002A5802"/>
    <w:rsid w:val="002A58CE"/>
    <w:rsid w:val="002C0F9E"/>
    <w:rsid w:val="002C43F4"/>
    <w:rsid w:val="002E068B"/>
    <w:rsid w:val="002E76F2"/>
    <w:rsid w:val="003054CD"/>
    <w:rsid w:val="003065B2"/>
    <w:rsid w:val="00306967"/>
    <w:rsid w:val="0032367C"/>
    <w:rsid w:val="003249DB"/>
    <w:rsid w:val="003250DC"/>
    <w:rsid w:val="00325641"/>
    <w:rsid w:val="00325EC6"/>
    <w:rsid w:val="003329CC"/>
    <w:rsid w:val="00336A73"/>
    <w:rsid w:val="00336F1D"/>
    <w:rsid w:val="00337DEA"/>
    <w:rsid w:val="00346551"/>
    <w:rsid w:val="00354B23"/>
    <w:rsid w:val="003579EC"/>
    <w:rsid w:val="003652EF"/>
    <w:rsid w:val="003A1DF2"/>
    <w:rsid w:val="003A2DC1"/>
    <w:rsid w:val="003A5DE9"/>
    <w:rsid w:val="003B0E66"/>
    <w:rsid w:val="003D68C2"/>
    <w:rsid w:val="003D78E0"/>
    <w:rsid w:val="003E520E"/>
    <w:rsid w:val="004070D7"/>
    <w:rsid w:val="00422B3E"/>
    <w:rsid w:val="0042381E"/>
    <w:rsid w:val="00442E58"/>
    <w:rsid w:val="00452A64"/>
    <w:rsid w:val="00460A29"/>
    <w:rsid w:val="00462202"/>
    <w:rsid w:val="0047061C"/>
    <w:rsid w:val="00472621"/>
    <w:rsid w:val="00473C10"/>
    <w:rsid w:val="00482F14"/>
    <w:rsid w:val="00497A5A"/>
    <w:rsid w:val="004A27B7"/>
    <w:rsid w:val="004A57D2"/>
    <w:rsid w:val="004A5B84"/>
    <w:rsid w:val="004B507A"/>
    <w:rsid w:val="004C40EF"/>
    <w:rsid w:val="004D5803"/>
    <w:rsid w:val="004F5BF9"/>
    <w:rsid w:val="00504EE4"/>
    <w:rsid w:val="005105CB"/>
    <w:rsid w:val="00531B76"/>
    <w:rsid w:val="005335E4"/>
    <w:rsid w:val="005462CF"/>
    <w:rsid w:val="00547298"/>
    <w:rsid w:val="005756F8"/>
    <w:rsid w:val="00591B0A"/>
    <w:rsid w:val="005A09D0"/>
    <w:rsid w:val="005A2195"/>
    <w:rsid w:val="005A260B"/>
    <w:rsid w:val="005A4FDC"/>
    <w:rsid w:val="005A6C29"/>
    <w:rsid w:val="005B02AE"/>
    <w:rsid w:val="005B2002"/>
    <w:rsid w:val="005C6635"/>
    <w:rsid w:val="005D10AF"/>
    <w:rsid w:val="005D1437"/>
    <w:rsid w:val="005E2DD7"/>
    <w:rsid w:val="005E5080"/>
    <w:rsid w:val="005E5577"/>
    <w:rsid w:val="006214BC"/>
    <w:rsid w:val="00633A36"/>
    <w:rsid w:val="006445C9"/>
    <w:rsid w:val="006638C6"/>
    <w:rsid w:val="0066604A"/>
    <w:rsid w:val="0066746F"/>
    <w:rsid w:val="00671937"/>
    <w:rsid w:val="00671A4C"/>
    <w:rsid w:val="00672F90"/>
    <w:rsid w:val="00682421"/>
    <w:rsid w:val="00685813"/>
    <w:rsid w:val="006A0E12"/>
    <w:rsid w:val="006A15F2"/>
    <w:rsid w:val="006B58FE"/>
    <w:rsid w:val="006C44F3"/>
    <w:rsid w:val="006D5FA5"/>
    <w:rsid w:val="006D7B04"/>
    <w:rsid w:val="0070429A"/>
    <w:rsid w:val="007111FF"/>
    <w:rsid w:val="007146FB"/>
    <w:rsid w:val="007204F8"/>
    <w:rsid w:val="007227E7"/>
    <w:rsid w:val="007231BB"/>
    <w:rsid w:val="007245D3"/>
    <w:rsid w:val="007347B8"/>
    <w:rsid w:val="00752C1B"/>
    <w:rsid w:val="0077101D"/>
    <w:rsid w:val="00780244"/>
    <w:rsid w:val="00791931"/>
    <w:rsid w:val="00794805"/>
    <w:rsid w:val="007A66C8"/>
    <w:rsid w:val="007B5221"/>
    <w:rsid w:val="007B757F"/>
    <w:rsid w:val="007C1CAE"/>
    <w:rsid w:val="007C652E"/>
    <w:rsid w:val="007D0B5A"/>
    <w:rsid w:val="007D4FB8"/>
    <w:rsid w:val="007E25BE"/>
    <w:rsid w:val="00800525"/>
    <w:rsid w:val="008007BF"/>
    <w:rsid w:val="008019CA"/>
    <w:rsid w:val="00804131"/>
    <w:rsid w:val="00820E1A"/>
    <w:rsid w:val="00826C1D"/>
    <w:rsid w:val="0083322E"/>
    <w:rsid w:val="00872E44"/>
    <w:rsid w:val="00882928"/>
    <w:rsid w:val="00892672"/>
    <w:rsid w:val="008936BD"/>
    <w:rsid w:val="008A1081"/>
    <w:rsid w:val="008A74C9"/>
    <w:rsid w:val="008C259A"/>
    <w:rsid w:val="008C5E75"/>
    <w:rsid w:val="008D4DCA"/>
    <w:rsid w:val="008E4B38"/>
    <w:rsid w:val="008E7161"/>
    <w:rsid w:val="008F5195"/>
    <w:rsid w:val="00900FAB"/>
    <w:rsid w:val="0090431E"/>
    <w:rsid w:val="00924087"/>
    <w:rsid w:val="009311C2"/>
    <w:rsid w:val="0094132F"/>
    <w:rsid w:val="009648F0"/>
    <w:rsid w:val="00967287"/>
    <w:rsid w:val="0098595E"/>
    <w:rsid w:val="00994418"/>
    <w:rsid w:val="00997C3B"/>
    <w:rsid w:val="009C6AC2"/>
    <w:rsid w:val="009D1398"/>
    <w:rsid w:val="009D5819"/>
    <w:rsid w:val="009E7B07"/>
    <w:rsid w:val="00A005EA"/>
    <w:rsid w:val="00A12D89"/>
    <w:rsid w:val="00A13A35"/>
    <w:rsid w:val="00A15D95"/>
    <w:rsid w:val="00A303CD"/>
    <w:rsid w:val="00A35E0F"/>
    <w:rsid w:val="00A43625"/>
    <w:rsid w:val="00A56887"/>
    <w:rsid w:val="00A66D5B"/>
    <w:rsid w:val="00A71934"/>
    <w:rsid w:val="00A83D76"/>
    <w:rsid w:val="00A931DD"/>
    <w:rsid w:val="00A9632A"/>
    <w:rsid w:val="00AC4C17"/>
    <w:rsid w:val="00AD4C61"/>
    <w:rsid w:val="00B06C7D"/>
    <w:rsid w:val="00B13ED8"/>
    <w:rsid w:val="00B25A1B"/>
    <w:rsid w:val="00B45044"/>
    <w:rsid w:val="00B6046B"/>
    <w:rsid w:val="00B67BAC"/>
    <w:rsid w:val="00B702F5"/>
    <w:rsid w:val="00B86079"/>
    <w:rsid w:val="00B917E5"/>
    <w:rsid w:val="00B93C0A"/>
    <w:rsid w:val="00BB027B"/>
    <w:rsid w:val="00BB6640"/>
    <w:rsid w:val="00BC6BB6"/>
    <w:rsid w:val="00BD5574"/>
    <w:rsid w:val="00BE44A0"/>
    <w:rsid w:val="00BF1098"/>
    <w:rsid w:val="00BF6977"/>
    <w:rsid w:val="00C02728"/>
    <w:rsid w:val="00C03143"/>
    <w:rsid w:val="00C04D70"/>
    <w:rsid w:val="00C06DBD"/>
    <w:rsid w:val="00C10FE9"/>
    <w:rsid w:val="00C1425D"/>
    <w:rsid w:val="00C21B89"/>
    <w:rsid w:val="00C22980"/>
    <w:rsid w:val="00C23B7B"/>
    <w:rsid w:val="00C34BC4"/>
    <w:rsid w:val="00C4185F"/>
    <w:rsid w:val="00C5137E"/>
    <w:rsid w:val="00C60B02"/>
    <w:rsid w:val="00C62CF4"/>
    <w:rsid w:val="00C675A0"/>
    <w:rsid w:val="00CA4044"/>
    <w:rsid w:val="00CC2271"/>
    <w:rsid w:val="00CE38D9"/>
    <w:rsid w:val="00CF60B8"/>
    <w:rsid w:val="00CF7D4A"/>
    <w:rsid w:val="00D06A2B"/>
    <w:rsid w:val="00D06E7A"/>
    <w:rsid w:val="00D102CC"/>
    <w:rsid w:val="00D143F7"/>
    <w:rsid w:val="00D149D9"/>
    <w:rsid w:val="00D308A3"/>
    <w:rsid w:val="00D34DCB"/>
    <w:rsid w:val="00D43AAA"/>
    <w:rsid w:val="00D45CF3"/>
    <w:rsid w:val="00D5509A"/>
    <w:rsid w:val="00D55E02"/>
    <w:rsid w:val="00D609DF"/>
    <w:rsid w:val="00D8641A"/>
    <w:rsid w:val="00DB1027"/>
    <w:rsid w:val="00DC02B9"/>
    <w:rsid w:val="00DC1A5E"/>
    <w:rsid w:val="00DD30DE"/>
    <w:rsid w:val="00DD7C1A"/>
    <w:rsid w:val="00DE6FDE"/>
    <w:rsid w:val="00E14513"/>
    <w:rsid w:val="00E207C9"/>
    <w:rsid w:val="00E320DD"/>
    <w:rsid w:val="00E45D1C"/>
    <w:rsid w:val="00E47257"/>
    <w:rsid w:val="00E478E0"/>
    <w:rsid w:val="00E64CA8"/>
    <w:rsid w:val="00E66CB8"/>
    <w:rsid w:val="00E80F78"/>
    <w:rsid w:val="00E951A6"/>
    <w:rsid w:val="00ED7726"/>
    <w:rsid w:val="00EE1159"/>
    <w:rsid w:val="00EF1E10"/>
    <w:rsid w:val="00EF4477"/>
    <w:rsid w:val="00F10AA4"/>
    <w:rsid w:val="00F1598A"/>
    <w:rsid w:val="00F359E2"/>
    <w:rsid w:val="00F420C0"/>
    <w:rsid w:val="00F440EB"/>
    <w:rsid w:val="00F523FE"/>
    <w:rsid w:val="00F55003"/>
    <w:rsid w:val="00F57E75"/>
    <w:rsid w:val="00F656DA"/>
    <w:rsid w:val="00F7158B"/>
    <w:rsid w:val="00F801D9"/>
    <w:rsid w:val="00F8520C"/>
    <w:rsid w:val="00FA3C7C"/>
    <w:rsid w:val="00FA40A9"/>
    <w:rsid w:val="00FE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E78C5BD8-E1E7-49FA-BD20-02C8EB72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3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customStyle="1" w:styleId="UnresolvedMention1">
    <w:name w:val="Unresolved Mention1"/>
    <w:basedOn w:val="DefaultParagraphFont"/>
    <w:uiPriority w:val="99"/>
    <w:semiHidden/>
    <w:unhideWhenUsed/>
    <w:rsid w:val="008E7161"/>
    <w:rPr>
      <w:color w:val="605E5C"/>
      <w:shd w:val="clear" w:color="auto" w:fill="E1DFDD"/>
    </w:rPr>
  </w:style>
  <w:style w:type="paragraph" w:styleId="Revision">
    <w:name w:val="Revision"/>
    <w:hidden/>
    <w:uiPriority w:val="99"/>
    <w:semiHidden/>
    <w:rsid w:val="00325E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4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DON@State.MA.U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rad.com/" TargetMode="External"/><Relationship Id="rId1" Type="http://schemas.openxmlformats.org/officeDocument/2006/relationships/hyperlink" Target="https://www.podium.com/article/5-important-patient-experience-strategies-for-health-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ACC2FF7B408F4689910F3773D29BA5" ma:contentTypeVersion="9" ma:contentTypeDescription="Create a new document." ma:contentTypeScope="" ma:versionID="6d47f9fdbf8fc2740bbecc83bbb978bd">
  <xsd:schema xmlns:xsd="http://www.w3.org/2001/XMLSchema" xmlns:xs="http://www.w3.org/2001/XMLSchema" xmlns:p="http://schemas.microsoft.com/office/2006/metadata/properties" xmlns:ns3="9faf9ec9-1e89-427d-9aba-0982a7c55c29" targetNamespace="http://schemas.microsoft.com/office/2006/metadata/properties" ma:root="true" ma:fieldsID="ee0fdb27a6b4660be2ead8b327c271d9" ns3:_="">
    <xsd:import namespace="9faf9ec9-1e89-427d-9aba-0982a7c55c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f9ec9-1e89-427d-9aba-0982a7c55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13AAA5-D9D9-4A2E-A2EC-27A4C0DC29D0}">
  <ds:schemaRefs>
    <ds:schemaRef ds:uri="http://schemas.openxmlformats.org/officeDocument/2006/bibliography"/>
  </ds:schemaRefs>
</ds:datastoreItem>
</file>

<file path=customXml/itemProps2.xml><?xml version="1.0" encoding="utf-8"?>
<ds:datastoreItem xmlns:ds="http://schemas.openxmlformats.org/officeDocument/2006/customXml" ds:itemID="{9D6A372D-FF8F-448E-91C7-C95549B69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f9ec9-1e89-427d-9aba-0982a7c55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F729E-03B0-4A7A-9A18-C0B205CA1F1C}">
  <ds:schemaRefs>
    <ds:schemaRef ds:uri="http://schemas.microsoft.com/sharepoint/v3/contenttype/forms"/>
  </ds:schemaRefs>
</ds:datastoreItem>
</file>

<file path=customXml/itemProps4.xml><?xml version="1.0" encoding="utf-8"?>
<ds:datastoreItem xmlns:ds="http://schemas.openxmlformats.org/officeDocument/2006/customXml" ds:itemID="{69DD2B33-502B-43BF-9768-AFB365D0A8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Marks, Brett (DPH)</cp:lastModifiedBy>
  <cp:revision>6</cp:revision>
  <cp:lastPrinted>2022-11-17T15:08:00Z</cp:lastPrinted>
  <dcterms:created xsi:type="dcterms:W3CDTF">2022-12-19T18:54:00Z</dcterms:created>
  <dcterms:modified xsi:type="dcterms:W3CDTF">2022-12-23T18:35:00Z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0x010100ACACC2FF7B408F4689910F3773D29BA5</vt:lpwstr>
  </property>
</Properties>
</file>