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F0CD" w14:textId="356AB195" w:rsidR="007F0BCD" w:rsidRPr="00D50112" w:rsidRDefault="00D50112" w:rsidP="00D50112">
      <w:pPr>
        <w:pStyle w:val="HBtb2"/>
        <w:keepNext w:val="0"/>
        <w:spacing w:after="0"/>
        <w:outlineLvl w:val="9"/>
        <w:rPr>
          <w:bCs/>
        </w:rPr>
      </w:pPr>
      <w:r w:rsidRPr="00D50112">
        <w:rPr>
          <w:bCs/>
        </w:rPr>
        <w:t>Applicant’s Responses</w:t>
      </w:r>
    </w:p>
    <w:p w14:paraId="60D7F45A" w14:textId="57C5F883" w:rsidR="00D50112" w:rsidRDefault="00D50112" w:rsidP="00D50112">
      <w:pPr>
        <w:jc w:val="center"/>
        <w:rPr>
          <w:b/>
          <w:bCs/>
        </w:rPr>
      </w:pPr>
    </w:p>
    <w:p w14:paraId="60DB8EEE" w14:textId="4D370FFB" w:rsidR="00D50112" w:rsidRDefault="00D50112" w:rsidP="00D50112">
      <w:pPr>
        <w:rPr>
          <w:b/>
          <w:bCs/>
        </w:rPr>
      </w:pPr>
    </w:p>
    <w:p w14:paraId="1F89BF2D" w14:textId="22D2E031" w:rsidR="00E12584" w:rsidRPr="005024CE" w:rsidRDefault="00D50112" w:rsidP="005024CE">
      <w:pPr>
        <w:pStyle w:val="HBslb"/>
        <w:suppressAutoHyphens/>
        <w:spacing w:after="0"/>
        <w:rPr>
          <w:rFonts w:cstheme="minorHAnsi"/>
          <w:bCs/>
        </w:rPr>
      </w:pPr>
      <w:r w:rsidRPr="005024CE">
        <w:rPr>
          <w:rFonts w:cstheme="minorHAnsi"/>
          <w:bCs/>
        </w:rPr>
        <w:t>Factor 1a - Patient Panel</w:t>
      </w:r>
    </w:p>
    <w:p w14:paraId="0EEF74B9" w14:textId="135D842C" w:rsidR="00E12584" w:rsidRDefault="00E12584" w:rsidP="00E12584">
      <w:pPr>
        <w:rPr>
          <w:rFonts w:cstheme="minorHAnsi"/>
          <w:b/>
          <w:bCs/>
        </w:rPr>
      </w:pPr>
    </w:p>
    <w:p w14:paraId="05A450D9" w14:textId="0CC2AF97" w:rsidR="00E12584" w:rsidRPr="005024CE" w:rsidRDefault="00E12584" w:rsidP="00E12584">
      <w:pPr>
        <w:rPr>
          <w:rFonts w:cstheme="minorHAnsi"/>
          <w:b/>
          <w:bCs/>
        </w:rPr>
      </w:pPr>
      <w:r w:rsidRPr="005024CE">
        <w:rPr>
          <w:rFonts w:cstheme="minorHAnsi"/>
          <w:b/>
          <w:bCs/>
        </w:rPr>
        <w:t>Question:</w:t>
      </w:r>
    </w:p>
    <w:p w14:paraId="2675C47E" w14:textId="0B782873" w:rsidR="00E12584" w:rsidRPr="00E12584" w:rsidRDefault="00E12584" w:rsidP="00E044E2">
      <w:pPr>
        <w:pStyle w:val="ListParagraph"/>
        <w:numPr>
          <w:ilvl w:val="0"/>
          <w:numId w:val="3"/>
        </w:numPr>
        <w:jc w:val="both"/>
        <w:rPr>
          <w:b/>
          <w:bCs/>
        </w:rPr>
      </w:pPr>
      <w:r w:rsidRPr="00E12584">
        <w:rPr>
          <w:rStyle w:val="cf01"/>
          <w:rFonts w:ascii="Times New Roman" w:hAnsi="Times New Roman" w:cs="Times New Roman"/>
          <w:sz w:val="24"/>
          <w:szCs w:val="24"/>
        </w:rPr>
        <w:t>The Narrative p. 5 notes that “</w:t>
      </w:r>
      <w:r w:rsidRPr="00E12584">
        <w:t xml:space="preserve">BNH’s primary service area includes Westfield, Southwick, West Springfield, Agawam, Springfield, Chicopee, Granville, </w:t>
      </w:r>
      <w:r w:rsidRPr="00E12584">
        <w:rPr>
          <w:spacing w:val="-2"/>
        </w:rPr>
        <w:t>Russell,</w:t>
      </w:r>
      <w:r w:rsidRPr="00E12584">
        <w:rPr>
          <w:spacing w:val="-4"/>
        </w:rPr>
        <w:t xml:space="preserve"> </w:t>
      </w:r>
      <w:r w:rsidRPr="00E12584">
        <w:rPr>
          <w:spacing w:val="-2"/>
        </w:rPr>
        <w:t>Holyoke,</w:t>
      </w:r>
      <w:r w:rsidRPr="00E12584">
        <w:rPr>
          <w:spacing w:val="-4"/>
        </w:rPr>
        <w:t xml:space="preserve"> </w:t>
      </w:r>
      <w:r w:rsidRPr="00E12584">
        <w:rPr>
          <w:spacing w:val="-2"/>
        </w:rPr>
        <w:t>Huntington,</w:t>
      </w:r>
      <w:r w:rsidRPr="00E12584">
        <w:rPr>
          <w:spacing w:val="-4"/>
        </w:rPr>
        <w:t xml:space="preserve"> </w:t>
      </w:r>
      <w:r w:rsidRPr="00E12584">
        <w:rPr>
          <w:spacing w:val="-2"/>
        </w:rPr>
        <w:t>Blandford,</w:t>
      </w:r>
      <w:r w:rsidRPr="00E12584">
        <w:rPr>
          <w:spacing w:val="-4"/>
        </w:rPr>
        <w:t xml:space="preserve"> </w:t>
      </w:r>
      <w:r w:rsidRPr="00E12584">
        <w:rPr>
          <w:spacing w:val="-2"/>
        </w:rPr>
        <w:t>Southampton, Longmeadow,</w:t>
      </w:r>
      <w:r w:rsidRPr="00E12584">
        <w:rPr>
          <w:spacing w:val="-4"/>
        </w:rPr>
        <w:t xml:space="preserve"> </w:t>
      </w:r>
      <w:r w:rsidRPr="00E12584">
        <w:rPr>
          <w:spacing w:val="-2"/>
        </w:rPr>
        <w:t>Chester,</w:t>
      </w:r>
      <w:r w:rsidRPr="00E12584">
        <w:rPr>
          <w:spacing w:val="-4"/>
        </w:rPr>
        <w:t xml:space="preserve"> </w:t>
      </w:r>
      <w:r w:rsidRPr="00E12584">
        <w:rPr>
          <w:spacing w:val="-2"/>
        </w:rPr>
        <w:t>Ludlow,</w:t>
      </w:r>
      <w:r w:rsidRPr="00E12584">
        <w:rPr>
          <w:spacing w:val="-4"/>
        </w:rPr>
        <w:t xml:space="preserve"> </w:t>
      </w:r>
      <w:r w:rsidRPr="00E12584">
        <w:rPr>
          <w:spacing w:val="-2"/>
        </w:rPr>
        <w:t>East</w:t>
      </w:r>
      <w:r w:rsidRPr="00E12584">
        <w:rPr>
          <w:spacing w:val="-4"/>
        </w:rPr>
        <w:t xml:space="preserve"> </w:t>
      </w:r>
      <w:r w:rsidRPr="00E12584">
        <w:rPr>
          <w:spacing w:val="-2"/>
        </w:rPr>
        <w:t xml:space="preserve">Longmeadow, </w:t>
      </w:r>
      <w:r w:rsidRPr="00E12584">
        <w:t>and</w:t>
      </w:r>
      <w:r w:rsidRPr="00E12584">
        <w:rPr>
          <w:spacing w:val="-8"/>
        </w:rPr>
        <w:t xml:space="preserve"> </w:t>
      </w:r>
      <w:r w:rsidRPr="00E12584">
        <w:t>Easthampton.”  To better understand the percentage of patient volume from each of these towns/ cities, could you please complete the table below for inpatient discharges by town in FY2</w:t>
      </w:r>
      <w:r w:rsidR="00130E10">
        <w:t>1</w:t>
      </w:r>
      <w:r w:rsidR="00E82F0A">
        <w:t xml:space="preserve"> and FY22</w:t>
      </w:r>
      <w:r w:rsidRPr="00E12584">
        <w:t xml:space="preserve"> (you may combine headings with significantly low percentages):</w:t>
      </w:r>
    </w:p>
    <w:p w14:paraId="613C9175" w14:textId="3815E77E" w:rsidR="00E12584" w:rsidRDefault="00E12584" w:rsidP="00E12584">
      <w:pPr>
        <w:rPr>
          <w:b/>
          <w:bCs/>
        </w:rPr>
      </w:pPr>
    </w:p>
    <w:tbl>
      <w:tblPr>
        <w:tblStyle w:val="TableGrid"/>
        <w:tblW w:w="0" w:type="auto"/>
        <w:jc w:val="center"/>
        <w:tblLook w:val="04A0" w:firstRow="1" w:lastRow="0" w:firstColumn="1" w:lastColumn="0" w:noHBand="0" w:noVBand="1"/>
      </w:tblPr>
      <w:tblGrid>
        <w:gridCol w:w="4225"/>
        <w:gridCol w:w="2430"/>
      </w:tblGrid>
      <w:tr w:rsidR="00AE527A" w:rsidRPr="00B4171C" w14:paraId="100C8122" w14:textId="77777777" w:rsidTr="00B20A4F">
        <w:trPr>
          <w:cantSplit/>
          <w:trHeight w:val="347"/>
          <w:jc w:val="center"/>
        </w:trPr>
        <w:tc>
          <w:tcPr>
            <w:tcW w:w="4225" w:type="dxa"/>
            <w:tcBorders>
              <w:bottom w:val="single" w:sz="4" w:space="0" w:color="FFFFFF" w:themeColor="background1"/>
            </w:tcBorders>
          </w:tcPr>
          <w:p w14:paraId="4AB857E1" w14:textId="77777777" w:rsidR="00AE527A" w:rsidRPr="00B4171C" w:rsidRDefault="00AE527A" w:rsidP="00B20A4F">
            <w:pPr>
              <w:contextualSpacing/>
              <w:rPr>
                <w:rFonts w:eastAsia="Calibri" w:cstheme="minorHAnsi"/>
                <w:b/>
                <w:highlight w:val="yellow"/>
              </w:rPr>
            </w:pPr>
            <w:r w:rsidRPr="00E701D0">
              <w:rPr>
                <w:rFonts w:eastAsia="Calibri" w:cstheme="minorHAnsi"/>
                <w:b/>
              </w:rPr>
              <w:t>Patient Origin</w:t>
            </w:r>
          </w:p>
        </w:tc>
        <w:tc>
          <w:tcPr>
            <w:tcW w:w="2430" w:type="dxa"/>
            <w:tcBorders>
              <w:bottom w:val="single" w:sz="4" w:space="0" w:color="FFFFFF" w:themeColor="background1"/>
            </w:tcBorders>
          </w:tcPr>
          <w:p w14:paraId="1D102948" w14:textId="77777777" w:rsidR="00AE527A" w:rsidRPr="00B4171C" w:rsidRDefault="00AE527A" w:rsidP="00B20A4F">
            <w:pPr>
              <w:contextualSpacing/>
              <w:rPr>
                <w:rFonts w:eastAsia="Calibri" w:cstheme="minorHAnsi"/>
                <w:bCs/>
                <w:highlight w:val="yellow"/>
              </w:rPr>
            </w:pPr>
          </w:p>
        </w:tc>
      </w:tr>
      <w:tr w:rsidR="00AE527A" w:rsidRPr="00B4171C" w14:paraId="71D7C98D" w14:textId="77777777" w:rsidTr="00B20A4F">
        <w:trPr>
          <w:cantSplit/>
          <w:trHeight w:val="342"/>
          <w:jc w:val="center"/>
        </w:trPr>
        <w:tc>
          <w:tcPr>
            <w:tcW w:w="4225" w:type="dxa"/>
            <w:tcBorders>
              <w:top w:val="single" w:sz="4" w:space="0" w:color="FFFFFF" w:themeColor="background1"/>
              <w:bottom w:val="single" w:sz="4" w:space="0" w:color="auto"/>
            </w:tcBorders>
          </w:tcPr>
          <w:p w14:paraId="4AC29DE3" w14:textId="77777777" w:rsidR="00AE527A" w:rsidRPr="00E701D0" w:rsidRDefault="00AE527A" w:rsidP="00B20A4F">
            <w:pPr>
              <w:ind w:left="720" w:hanging="557"/>
              <w:contextualSpacing/>
              <w:rPr>
                <w:rFonts w:cstheme="minorHAnsi"/>
                <w:bCs/>
                <w:spacing w:val="-2"/>
              </w:rPr>
            </w:pPr>
            <w:r w:rsidRPr="00E701D0">
              <w:rPr>
                <w:rFonts w:cstheme="minorHAnsi"/>
                <w:bCs/>
                <w:spacing w:val="-2"/>
              </w:rPr>
              <w:t>Westfield</w:t>
            </w:r>
          </w:p>
          <w:p w14:paraId="272FF192" w14:textId="77777777" w:rsidR="00AE527A" w:rsidRPr="00E701D0" w:rsidRDefault="00AE527A" w:rsidP="00B20A4F">
            <w:pPr>
              <w:ind w:left="720" w:hanging="557"/>
              <w:contextualSpacing/>
              <w:rPr>
                <w:rFonts w:cstheme="minorHAnsi"/>
                <w:bCs/>
                <w:spacing w:val="-2"/>
              </w:rPr>
            </w:pPr>
            <w:r w:rsidRPr="00E701D0">
              <w:rPr>
                <w:rFonts w:cstheme="minorHAnsi"/>
                <w:bCs/>
                <w:spacing w:val="-2"/>
              </w:rPr>
              <w:t>Southwick</w:t>
            </w:r>
          </w:p>
          <w:p w14:paraId="75533B4A" w14:textId="77777777" w:rsidR="00AE527A" w:rsidRPr="00E701D0" w:rsidRDefault="00AE527A" w:rsidP="00B20A4F">
            <w:pPr>
              <w:ind w:left="720" w:hanging="557"/>
              <w:contextualSpacing/>
              <w:rPr>
                <w:rFonts w:cstheme="minorHAnsi"/>
                <w:bCs/>
                <w:spacing w:val="-2"/>
              </w:rPr>
            </w:pPr>
            <w:r w:rsidRPr="00E701D0">
              <w:rPr>
                <w:rFonts w:cstheme="minorHAnsi"/>
                <w:bCs/>
                <w:spacing w:val="-2"/>
              </w:rPr>
              <w:t>West Springfield</w:t>
            </w:r>
          </w:p>
          <w:p w14:paraId="15166A24" w14:textId="77777777" w:rsidR="00AE527A" w:rsidRPr="00E701D0" w:rsidRDefault="00AE527A" w:rsidP="00B20A4F">
            <w:pPr>
              <w:ind w:left="720" w:hanging="557"/>
              <w:contextualSpacing/>
              <w:rPr>
                <w:rFonts w:cstheme="minorHAnsi"/>
                <w:bCs/>
                <w:spacing w:val="-2"/>
              </w:rPr>
            </w:pPr>
            <w:r w:rsidRPr="00E701D0">
              <w:rPr>
                <w:rFonts w:cstheme="minorHAnsi"/>
                <w:bCs/>
                <w:spacing w:val="-2"/>
              </w:rPr>
              <w:t>Agawam</w:t>
            </w:r>
          </w:p>
          <w:p w14:paraId="17F29C0E" w14:textId="77777777" w:rsidR="00AE527A" w:rsidRPr="00E701D0" w:rsidRDefault="00AE527A" w:rsidP="00B20A4F">
            <w:pPr>
              <w:ind w:left="720" w:hanging="557"/>
              <w:contextualSpacing/>
              <w:rPr>
                <w:rFonts w:cstheme="minorHAnsi"/>
                <w:bCs/>
                <w:spacing w:val="-2"/>
              </w:rPr>
            </w:pPr>
            <w:r w:rsidRPr="00E701D0">
              <w:rPr>
                <w:rFonts w:cstheme="minorHAnsi"/>
                <w:bCs/>
                <w:spacing w:val="-2"/>
              </w:rPr>
              <w:t>Springfield</w:t>
            </w:r>
          </w:p>
          <w:p w14:paraId="515988AC" w14:textId="77777777" w:rsidR="00AE527A" w:rsidRPr="00E701D0" w:rsidRDefault="00AE527A" w:rsidP="00B20A4F">
            <w:pPr>
              <w:ind w:left="720" w:hanging="557"/>
              <w:contextualSpacing/>
              <w:rPr>
                <w:rFonts w:cstheme="minorHAnsi"/>
                <w:bCs/>
                <w:spacing w:val="-2"/>
              </w:rPr>
            </w:pPr>
            <w:r w:rsidRPr="00E701D0">
              <w:rPr>
                <w:rFonts w:cstheme="minorHAnsi"/>
                <w:bCs/>
                <w:spacing w:val="-2"/>
              </w:rPr>
              <w:t>Chicopee</w:t>
            </w:r>
          </w:p>
          <w:p w14:paraId="72DD022D" w14:textId="77777777" w:rsidR="00AE527A" w:rsidRPr="00E701D0" w:rsidRDefault="00AE527A" w:rsidP="00B20A4F">
            <w:pPr>
              <w:ind w:left="720" w:hanging="557"/>
              <w:contextualSpacing/>
              <w:rPr>
                <w:rFonts w:cstheme="minorHAnsi"/>
                <w:bCs/>
                <w:spacing w:val="-2"/>
              </w:rPr>
            </w:pPr>
            <w:r w:rsidRPr="00E701D0">
              <w:rPr>
                <w:rFonts w:cstheme="minorHAnsi"/>
                <w:bCs/>
                <w:spacing w:val="-2"/>
              </w:rPr>
              <w:t>Granville</w:t>
            </w:r>
          </w:p>
          <w:p w14:paraId="23A9746E" w14:textId="77777777" w:rsidR="00AE527A" w:rsidRPr="00E701D0" w:rsidRDefault="00AE527A" w:rsidP="00B20A4F">
            <w:pPr>
              <w:ind w:left="720" w:hanging="557"/>
              <w:contextualSpacing/>
              <w:rPr>
                <w:rFonts w:cstheme="minorHAnsi"/>
                <w:bCs/>
                <w:spacing w:val="-2"/>
              </w:rPr>
            </w:pPr>
            <w:r w:rsidRPr="00E701D0">
              <w:rPr>
                <w:rFonts w:cstheme="minorHAnsi"/>
                <w:bCs/>
                <w:spacing w:val="-2"/>
              </w:rPr>
              <w:t>Russell</w:t>
            </w:r>
          </w:p>
          <w:p w14:paraId="36E47202" w14:textId="77777777" w:rsidR="00AE527A" w:rsidRPr="00E701D0" w:rsidRDefault="00AE527A" w:rsidP="00B20A4F">
            <w:pPr>
              <w:ind w:left="720" w:hanging="557"/>
              <w:contextualSpacing/>
              <w:rPr>
                <w:rFonts w:cstheme="minorHAnsi"/>
                <w:bCs/>
                <w:spacing w:val="-2"/>
              </w:rPr>
            </w:pPr>
            <w:r w:rsidRPr="00E701D0">
              <w:rPr>
                <w:rFonts w:cstheme="minorHAnsi"/>
                <w:bCs/>
                <w:spacing w:val="-2"/>
              </w:rPr>
              <w:t>Holyoke</w:t>
            </w:r>
          </w:p>
          <w:p w14:paraId="74F68C97" w14:textId="77777777" w:rsidR="00AE527A" w:rsidRPr="00E701D0" w:rsidRDefault="00AE527A" w:rsidP="00B20A4F">
            <w:pPr>
              <w:ind w:left="720" w:hanging="557"/>
              <w:contextualSpacing/>
              <w:rPr>
                <w:rFonts w:cstheme="minorHAnsi"/>
                <w:bCs/>
                <w:spacing w:val="-2"/>
              </w:rPr>
            </w:pPr>
            <w:r w:rsidRPr="00E701D0">
              <w:rPr>
                <w:rFonts w:cstheme="minorHAnsi"/>
                <w:bCs/>
                <w:spacing w:val="-2"/>
              </w:rPr>
              <w:t>Huntington</w:t>
            </w:r>
          </w:p>
          <w:p w14:paraId="317C8334" w14:textId="77777777" w:rsidR="00AE527A" w:rsidRPr="00E701D0" w:rsidRDefault="00AE527A" w:rsidP="00B20A4F">
            <w:pPr>
              <w:ind w:left="720" w:hanging="557"/>
              <w:contextualSpacing/>
              <w:rPr>
                <w:rFonts w:cstheme="minorHAnsi"/>
                <w:bCs/>
                <w:spacing w:val="-2"/>
              </w:rPr>
            </w:pPr>
            <w:r w:rsidRPr="00E701D0">
              <w:rPr>
                <w:rFonts w:cstheme="minorHAnsi"/>
                <w:bCs/>
                <w:spacing w:val="-2"/>
              </w:rPr>
              <w:t>Blandford</w:t>
            </w:r>
          </w:p>
          <w:p w14:paraId="10C22F98" w14:textId="77777777" w:rsidR="00AE527A" w:rsidRPr="00E701D0" w:rsidRDefault="00AE527A" w:rsidP="00B20A4F">
            <w:pPr>
              <w:ind w:left="720" w:hanging="557"/>
              <w:contextualSpacing/>
              <w:rPr>
                <w:rFonts w:cstheme="minorHAnsi"/>
                <w:bCs/>
                <w:spacing w:val="-2"/>
              </w:rPr>
            </w:pPr>
            <w:r w:rsidRPr="00E701D0">
              <w:rPr>
                <w:rFonts w:cstheme="minorHAnsi"/>
                <w:bCs/>
                <w:spacing w:val="-2"/>
              </w:rPr>
              <w:t>Southampton</w:t>
            </w:r>
          </w:p>
          <w:p w14:paraId="04A89B8F" w14:textId="77777777" w:rsidR="00AE527A" w:rsidRPr="00E701D0" w:rsidRDefault="00AE527A" w:rsidP="00B20A4F">
            <w:pPr>
              <w:ind w:left="720" w:hanging="557"/>
              <w:contextualSpacing/>
              <w:rPr>
                <w:rFonts w:cstheme="minorHAnsi"/>
                <w:bCs/>
                <w:spacing w:val="-2"/>
              </w:rPr>
            </w:pPr>
            <w:r w:rsidRPr="00E701D0">
              <w:rPr>
                <w:rFonts w:cstheme="minorHAnsi"/>
                <w:bCs/>
                <w:spacing w:val="-2"/>
              </w:rPr>
              <w:t>Longmeadow</w:t>
            </w:r>
          </w:p>
          <w:p w14:paraId="53647F69" w14:textId="77777777" w:rsidR="00AE527A" w:rsidRPr="00E701D0" w:rsidRDefault="00AE527A" w:rsidP="00B20A4F">
            <w:pPr>
              <w:ind w:left="720" w:hanging="557"/>
              <w:contextualSpacing/>
              <w:rPr>
                <w:rFonts w:cstheme="minorHAnsi"/>
                <w:bCs/>
                <w:spacing w:val="-2"/>
              </w:rPr>
            </w:pPr>
            <w:r w:rsidRPr="00E701D0">
              <w:rPr>
                <w:rFonts w:cstheme="minorHAnsi"/>
                <w:bCs/>
                <w:spacing w:val="-2"/>
              </w:rPr>
              <w:t>Chest</w:t>
            </w:r>
            <w:r>
              <w:rPr>
                <w:rFonts w:cstheme="minorHAnsi"/>
                <w:bCs/>
                <w:spacing w:val="-2"/>
              </w:rPr>
              <w:t>e</w:t>
            </w:r>
            <w:r w:rsidRPr="00E701D0">
              <w:rPr>
                <w:rFonts w:cstheme="minorHAnsi"/>
                <w:bCs/>
                <w:spacing w:val="-2"/>
              </w:rPr>
              <w:t>r</w:t>
            </w:r>
          </w:p>
          <w:p w14:paraId="5178BD67" w14:textId="77777777" w:rsidR="00AE527A" w:rsidRPr="00E701D0" w:rsidRDefault="00AE527A" w:rsidP="00B20A4F">
            <w:pPr>
              <w:ind w:left="720" w:hanging="557"/>
              <w:contextualSpacing/>
              <w:rPr>
                <w:rFonts w:cstheme="minorHAnsi"/>
                <w:bCs/>
                <w:spacing w:val="-2"/>
              </w:rPr>
            </w:pPr>
            <w:r w:rsidRPr="00E701D0">
              <w:rPr>
                <w:rFonts w:cstheme="minorHAnsi"/>
                <w:bCs/>
                <w:spacing w:val="-2"/>
              </w:rPr>
              <w:t>Ludlow</w:t>
            </w:r>
          </w:p>
          <w:p w14:paraId="20070597" w14:textId="77777777" w:rsidR="00AE527A" w:rsidRPr="00E701D0" w:rsidRDefault="00AE527A" w:rsidP="00B20A4F">
            <w:pPr>
              <w:ind w:left="720" w:hanging="557"/>
              <w:contextualSpacing/>
              <w:rPr>
                <w:rFonts w:cstheme="minorHAnsi"/>
                <w:bCs/>
                <w:spacing w:val="-2"/>
              </w:rPr>
            </w:pPr>
            <w:r w:rsidRPr="00E701D0">
              <w:rPr>
                <w:rFonts w:cstheme="minorHAnsi"/>
                <w:bCs/>
                <w:spacing w:val="-2"/>
              </w:rPr>
              <w:t>East Longmeadow</w:t>
            </w:r>
          </w:p>
          <w:p w14:paraId="486E3E48" w14:textId="77777777" w:rsidR="00AE527A" w:rsidRPr="00E701D0" w:rsidRDefault="00AE527A" w:rsidP="00B20A4F">
            <w:pPr>
              <w:ind w:left="720" w:hanging="557"/>
              <w:contextualSpacing/>
              <w:rPr>
                <w:rFonts w:cstheme="minorHAnsi"/>
                <w:bCs/>
                <w:spacing w:val="-2"/>
              </w:rPr>
            </w:pPr>
            <w:r w:rsidRPr="00E701D0">
              <w:rPr>
                <w:rFonts w:cstheme="minorHAnsi"/>
                <w:bCs/>
                <w:spacing w:val="-2"/>
              </w:rPr>
              <w:t>Easthampton</w:t>
            </w:r>
          </w:p>
          <w:p w14:paraId="4858347C" w14:textId="77777777" w:rsidR="00AE527A" w:rsidRPr="00E701D0" w:rsidRDefault="00AE527A" w:rsidP="00B20A4F">
            <w:pPr>
              <w:ind w:left="720" w:hanging="557"/>
              <w:contextualSpacing/>
              <w:rPr>
                <w:rFonts w:cstheme="minorHAnsi"/>
                <w:bCs/>
                <w:spacing w:val="-2"/>
              </w:rPr>
            </w:pPr>
            <w:r w:rsidRPr="00E701D0">
              <w:rPr>
                <w:rFonts w:cstheme="minorHAnsi"/>
                <w:bCs/>
                <w:spacing w:val="-2"/>
              </w:rPr>
              <w:t>All Other</w:t>
            </w:r>
          </w:p>
          <w:p w14:paraId="7AE25B33" w14:textId="77777777" w:rsidR="00AE527A" w:rsidRPr="00E701D0" w:rsidRDefault="00AE527A" w:rsidP="00B20A4F">
            <w:pPr>
              <w:ind w:left="520" w:hanging="557"/>
              <w:contextualSpacing/>
              <w:rPr>
                <w:rFonts w:cstheme="minorHAnsi"/>
                <w:b/>
                <w:spacing w:val="-2"/>
              </w:rPr>
            </w:pPr>
            <w:r w:rsidRPr="00E701D0">
              <w:rPr>
                <w:rFonts w:cstheme="minorHAnsi"/>
                <w:b/>
                <w:spacing w:val="-2"/>
              </w:rPr>
              <w:t>Total</w:t>
            </w:r>
          </w:p>
        </w:tc>
        <w:tc>
          <w:tcPr>
            <w:tcW w:w="2430" w:type="dxa"/>
            <w:tcBorders>
              <w:top w:val="single" w:sz="4" w:space="0" w:color="FFFFFF" w:themeColor="background1"/>
              <w:bottom w:val="single" w:sz="4" w:space="0" w:color="auto"/>
            </w:tcBorders>
          </w:tcPr>
          <w:p w14:paraId="58D1B1C8" w14:textId="77777777" w:rsidR="00AE527A" w:rsidRPr="00E701D0" w:rsidRDefault="00AE527A" w:rsidP="00B20A4F">
            <w:pPr>
              <w:ind w:left="720" w:hanging="557"/>
              <w:contextualSpacing/>
              <w:jc w:val="right"/>
              <w:rPr>
                <w:rFonts w:cstheme="minorHAnsi"/>
                <w:spacing w:val="-5"/>
              </w:rPr>
            </w:pPr>
          </w:p>
          <w:p w14:paraId="7F9E220A" w14:textId="77777777" w:rsidR="00AE527A" w:rsidRPr="00E701D0" w:rsidRDefault="00AE527A" w:rsidP="00B20A4F">
            <w:pPr>
              <w:ind w:left="720" w:hanging="557"/>
              <w:contextualSpacing/>
              <w:jc w:val="right"/>
              <w:rPr>
                <w:rFonts w:eastAsia="Calibri" w:cstheme="minorHAnsi"/>
                <w:b/>
                <w:spacing w:val="-5"/>
              </w:rPr>
            </w:pPr>
          </w:p>
          <w:p w14:paraId="708CD869" w14:textId="77777777" w:rsidR="00AE527A" w:rsidRPr="00E701D0" w:rsidRDefault="00AE527A" w:rsidP="00B20A4F">
            <w:pPr>
              <w:ind w:left="720" w:hanging="557"/>
              <w:contextualSpacing/>
              <w:jc w:val="right"/>
              <w:rPr>
                <w:rFonts w:eastAsia="Calibri" w:cstheme="minorHAnsi"/>
                <w:b/>
                <w:spacing w:val="-5"/>
              </w:rPr>
            </w:pPr>
          </w:p>
          <w:p w14:paraId="66571ADF" w14:textId="77777777" w:rsidR="00AE527A" w:rsidRPr="00E701D0" w:rsidRDefault="00AE527A" w:rsidP="00B20A4F">
            <w:pPr>
              <w:ind w:left="720" w:hanging="557"/>
              <w:contextualSpacing/>
              <w:jc w:val="right"/>
              <w:rPr>
                <w:rFonts w:eastAsia="Calibri" w:cstheme="minorHAnsi"/>
                <w:b/>
                <w:spacing w:val="-5"/>
              </w:rPr>
            </w:pPr>
          </w:p>
          <w:p w14:paraId="36AEB80D" w14:textId="77777777" w:rsidR="00AE527A" w:rsidRPr="00E701D0" w:rsidRDefault="00AE527A" w:rsidP="00B20A4F">
            <w:pPr>
              <w:ind w:left="720" w:hanging="557"/>
              <w:contextualSpacing/>
              <w:jc w:val="right"/>
              <w:rPr>
                <w:rFonts w:eastAsia="Calibri" w:cstheme="minorHAnsi"/>
                <w:b/>
                <w:spacing w:val="-5"/>
              </w:rPr>
            </w:pPr>
          </w:p>
          <w:p w14:paraId="67D798CC" w14:textId="77777777" w:rsidR="00AE527A" w:rsidRPr="00E701D0" w:rsidRDefault="00AE527A" w:rsidP="00B20A4F">
            <w:pPr>
              <w:ind w:left="720" w:hanging="557"/>
              <w:contextualSpacing/>
              <w:jc w:val="right"/>
              <w:rPr>
                <w:rFonts w:eastAsia="Calibri" w:cstheme="minorHAnsi"/>
                <w:b/>
                <w:spacing w:val="-5"/>
              </w:rPr>
            </w:pPr>
          </w:p>
          <w:p w14:paraId="550DAE4A" w14:textId="77777777" w:rsidR="00AE527A" w:rsidRPr="00E701D0" w:rsidRDefault="00AE527A" w:rsidP="00B20A4F">
            <w:pPr>
              <w:ind w:left="720" w:hanging="557"/>
              <w:contextualSpacing/>
              <w:jc w:val="right"/>
              <w:rPr>
                <w:rFonts w:eastAsia="Calibri" w:cstheme="minorHAnsi"/>
                <w:b/>
                <w:spacing w:val="-5"/>
              </w:rPr>
            </w:pPr>
          </w:p>
          <w:p w14:paraId="08E4211B" w14:textId="77777777" w:rsidR="00AE527A" w:rsidRPr="00E701D0" w:rsidRDefault="00AE527A" w:rsidP="00B20A4F">
            <w:pPr>
              <w:ind w:left="720" w:hanging="557"/>
              <w:contextualSpacing/>
              <w:jc w:val="right"/>
              <w:rPr>
                <w:rFonts w:eastAsia="Calibri" w:cstheme="minorHAnsi"/>
                <w:b/>
                <w:spacing w:val="-5"/>
              </w:rPr>
            </w:pPr>
          </w:p>
          <w:p w14:paraId="32D6C294" w14:textId="77777777" w:rsidR="00AE527A" w:rsidRPr="00E701D0" w:rsidRDefault="00AE527A" w:rsidP="00B20A4F">
            <w:pPr>
              <w:ind w:left="720" w:hanging="557"/>
              <w:contextualSpacing/>
              <w:jc w:val="right"/>
              <w:rPr>
                <w:rFonts w:eastAsia="Calibri" w:cstheme="minorHAnsi"/>
                <w:b/>
                <w:spacing w:val="-5"/>
              </w:rPr>
            </w:pPr>
          </w:p>
          <w:p w14:paraId="73F38353" w14:textId="77777777" w:rsidR="00AE527A" w:rsidRPr="00E701D0" w:rsidRDefault="00AE527A" w:rsidP="00B20A4F">
            <w:pPr>
              <w:ind w:left="720" w:hanging="557"/>
              <w:contextualSpacing/>
              <w:jc w:val="right"/>
              <w:rPr>
                <w:rFonts w:eastAsia="Calibri" w:cstheme="minorHAnsi"/>
                <w:b/>
                <w:spacing w:val="-5"/>
              </w:rPr>
            </w:pPr>
          </w:p>
          <w:p w14:paraId="60020601" w14:textId="77777777" w:rsidR="00AE527A" w:rsidRPr="00E701D0" w:rsidRDefault="00AE527A" w:rsidP="00B20A4F">
            <w:pPr>
              <w:ind w:left="720" w:hanging="557"/>
              <w:contextualSpacing/>
              <w:jc w:val="right"/>
              <w:rPr>
                <w:rFonts w:eastAsia="Calibri" w:cstheme="minorHAnsi"/>
                <w:b/>
                <w:spacing w:val="-5"/>
              </w:rPr>
            </w:pPr>
          </w:p>
          <w:p w14:paraId="48AD4222" w14:textId="77777777" w:rsidR="00AE527A" w:rsidRPr="00E701D0" w:rsidRDefault="00AE527A" w:rsidP="00B20A4F">
            <w:pPr>
              <w:ind w:left="720" w:hanging="557"/>
              <w:contextualSpacing/>
              <w:jc w:val="right"/>
              <w:rPr>
                <w:rFonts w:eastAsia="Calibri" w:cstheme="minorHAnsi"/>
                <w:b/>
                <w:spacing w:val="-5"/>
              </w:rPr>
            </w:pPr>
          </w:p>
          <w:p w14:paraId="39CEF02A" w14:textId="77777777" w:rsidR="00AE527A" w:rsidRPr="00E701D0" w:rsidRDefault="00AE527A" w:rsidP="00B20A4F">
            <w:pPr>
              <w:ind w:left="720" w:hanging="557"/>
              <w:contextualSpacing/>
              <w:jc w:val="right"/>
              <w:rPr>
                <w:rFonts w:eastAsia="Calibri" w:cstheme="minorHAnsi"/>
                <w:b/>
                <w:spacing w:val="-5"/>
              </w:rPr>
            </w:pPr>
          </w:p>
          <w:p w14:paraId="52E03E9E" w14:textId="77777777" w:rsidR="00AE527A" w:rsidRPr="00E701D0" w:rsidRDefault="00AE527A" w:rsidP="00B20A4F">
            <w:pPr>
              <w:ind w:left="720" w:hanging="557"/>
              <w:contextualSpacing/>
              <w:jc w:val="right"/>
              <w:rPr>
                <w:rFonts w:eastAsia="Calibri" w:cstheme="minorHAnsi"/>
                <w:b/>
                <w:spacing w:val="-5"/>
              </w:rPr>
            </w:pPr>
          </w:p>
          <w:p w14:paraId="7FCF188C" w14:textId="77777777" w:rsidR="00AE527A" w:rsidRPr="00E701D0" w:rsidRDefault="00AE527A" w:rsidP="00B20A4F">
            <w:pPr>
              <w:ind w:left="720" w:hanging="557"/>
              <w:contextualSpacing/>
              <w:jc w:val="right"/>
              <w:rPr>
                <w:rFonts w:eastAsia="Calibri" w:cstheme="minorHAnsi"/>
                <w:b/>
                <w:spacing w:val="-5"/>
              </w:rPr>
            </w:pPr>
          </w:p>
          <w:p w14:paraId="46EDBB4E" w14:textId="77777777" w:rsidR="00AE527A" w:rsidRPr="00E701D0" w:rsidRDefault="00AE527A" w:rsidP="00B20A4F">
            <w:pPr>
              <w:ind w:left="720" w:hanging="557"/>
              <w:contextualSpacing/>
              <w:jc w:val="right"/>
              <w:rPr>
                <w:rFonts w:eastAsia="Calibri" w:cstheme="minorHAnsi"/>
                <w:b/>
                <w:spacing w:val="-5"/>
              </w:rPr>
            </w:pPr>
          </w:p>
          <w:p w14:paraId="29377056" w14:textId="77777777" w:rsidR="00AE527A" w:rsidRPr="00E701D0" w:rsidRDefault="00AE527A" w:rsidP="00B20A4F">
            <w:pPr>
              <w:ind w:left="720" w:hanging="557"/>
              <w:contextualSpacing/>
              <w:jc w:val="right"/>
              <w:rPr>
                <w:rFonts w:eastAsia="Calibri" w:cstheme="minorHAnsi"/>
                <w:b/>
                <w:spacing w:val="-5"/>
              </w:rPr>
            </w:pPr>
          </w:p>
          <w:p w14:paraId="4EDD5448" w14:textId="77777777" w:rsidR="00AE527A" w:rsidRPr="00E701D0" w:rsidRDefault="00AE527A" w:rsidP="00B20A4F">
            <w:pPr>
              <w:ind w:left="720" w:hanging="557"/>
              <w:contextualSpacing/>
              <w:jc w:val="right"/>
              <w:rPr>
                <w:rFonts w:eastAsia="Calibri" w:cstheme="minorHAnsi"/>
                <w:b/>
                <w:spacing w:val="-5"/>
              </w:rPr>
            </w:pPr>
          </w:p>
          <w:p w14:paraId="1BF71B1C" w14:textId="77777777" w:rsidR="00AE527A" w:rsidRPr="00E701D0" w:rsidRDefault="00AE527A" w:rsidP="00B20A4F">
            <w:pPr>
              <w:ind w:left="720" w:hanging="557"/>
              <w:contextualSpacing/>
              <w:jc w:val="right"/>
              <w:rPr>
                <w:rFonts w:eastAsia="Calibri" w:cstheme="minorHAnsi"/>
                <w:b/>
              </w:rPr>
            </w:pPr>
            <w:r w:rsidRPr="00E701D0">
              <w:rPr>
                <w:rFonts w:eastAsia="Calibri" w:cstheme="minorHAnsi"/>
                <w:b/>
                <w:spacing w:val="-5"/>
              </w:rPr>
              <w:t>100%</w:t>
            </w:r>
          </w:p>
        </w:tc>
      </w:tr>
    </w:tbl>
    <w:p w14:paraId="3B5E92FB" w14:textId="77777777" w:rsidR="00E15FB4" w:rsidRDefault="00E15FB4" w:rsidP="00AE527A">
      <w:pPr>
        <w:ind w:left="720"/>
        <w:rPr>
          <w:b/>
          <w:bCs/>
        </w:rPr>
      </w:pPr>
    </w:p>
    <w:p w14:paraId="48197133" w14:textId="4FBB5870" w:rsidR="00E12584" w:rsidRPr="005024CE" w:rsidRDefault="00E12584" w:rsidP="00E12584">
      <w:pPr>
        <w:rPr>
          <w:b/>
          <w:bCs/>
        </w:rPr>
      </w:pPr>
      <w:r w:rsidRPr="005024CE">
        <w:rPr>
          <w:b/>
          <w:bCs/>
        </w:rPr>
        <w:t>Response:</w:t>
      </w:r>
    </w:p>
    <w:p w14:paraId="6AA75DC2" w14:textId="31C4C98C" w:rsidR="00E12584" w:rsidRDefault="00E12584" w:rsidP="00E12584">
      <w:pPr>
        <w:rPr>
          <w:b/>
          <w:bCs/>
        </w:rPr>
      </w:pPr>
    </w:p>
    <w:p w14:paraId="4C6435EE" w14:textId="77777777" w:rsidR="00E82F0A" w:rsidRDefault="00E82F0A" w:rsidP="00E12584">
      <w:pPr>
        <w:rPr>
          <w:b/>
          <w:bCs/>
        </w:rPr>
      </w:pPr>
      <w:r>
        <w:rPr>
          <w:b/>
          <w:bCs/>
        </w:rPr>
        <w:t xml:space="preserve">FY22 was submitted in a prior response. </w:t>
      </w:r>
    </w:p>
    <w:p w14:paraId="313E5FB7" w14:textId="77777777" w:rsidR="00E82F0A" w:rsidRDefault="00E82F0A" w:rsidP="00E12584">
      <w:pPr>
        <w:rPr>
          <w:b/>
          <w:bCs/>
        </w:rPr>
      </w:pPr>
    </w:p>
    <w:p w14:paraId="7900B15D" w14:textId="3B75CCCB" w:rsidR="00E12584" w:rsidRDefault="00E82F0A" w:rsidP="00E12584">
      <w:pPr>
        <w:rPr>
          <w:b/>
          <w:bCs/>
        </w:rPr>
      </w:pPr>
      <w:r>
        <w:rPr>
          <w:b/>
          <w:bCs/>
        </w:rPr>
        <w:t>For FY21:</w:t>
      </w:r>
    </w:p>
    <w:p w14:paraId="643FDDAA" w14:textId="77777777" w:rsidR="00E82F0A" w:rsidRDefault="00E82F0A" w:rsidP="00E12584">
      <w:pPr>
        <w:rPr>
          <w:b/>
          <w:bCs/>
        </w:rPr>
      </w:pPr>
    </w:p>
    <w:tbl>
      <w:tblPr>
        <w:tblW w:w="5740" w:type="dxa"/>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320"/>
      </w:tblGrid>
      <w:tr w:rsidR="00E12584" w:rsidRPr="00E12584" w14:paraId="43011495" w14:textId="77777777" w:rsidTr="00E12584">
        <w:trPr>
          <w:trHeight w:val="300"/>
        </w:trPr>
        <w:tc>
          <w:tcPr>
            <w:tcW w:w="3420" w:type="dxa"/>
            <w:shd w:val="clear" w:color="auto" w:fill="auto"/>
            <w:noWrap/>
            <w:vAlign w:val="bottom"/>
            <w:hideMark/>
          </w:tcPr>
          <w:p w14:paraId="3BEC2E35" w14:textId="77777777" w:rsidR="00E12584" w:rsidRPr="00E12584" w:rsidRDefault="00E12584" w:rsidP="00E12584">
            <w:pPr>
              <w:suppressAutoHyphens w:val="0"/>
              <w:rPr>
                <w:rFonts w:ascii="Calibri" w:hAnsi="Calibri" w:cs="Calibri"/>
                <w:b/>
                <w:bCs/>
                <w:color w:val="000000"/>
                <w:sz w:val="22"/>
                <w:szCs w:val="22"/>
              </w:rPr>
            </w:pPr>
            <w:r w:rsidRPr="00E12584">
              <w:rPr>
                <w:rFonts w:ascii="Calibri" w:hAnsi="Calibri" w:cs="Calibri"/>
                <w:b/>
                <w:bCs/>
                <w:color w:val="000000"/>
                <w:sz w:val="22"/>
                <w:szCs w:val="22"/>
              </w:rPr>
              <w:t>Town/City</w:t>
            </w:r>
          </w:p>
        </w:tc>
        <w:tc>
          <w:tcPr>
            <w:tcW w:w="2320" w:type="dxa"/>
            <w:shd w:val="clear" w:color="auto" w:fill="auto"/>
            <w:noWrap/>
            <w:vAlign w:val="bottom"/>
            <w:hideMark/>
          </w:tcPr>
          <w:p w14:paraId="6EB57973" w14:textId="12CC1F3A" w:rsidR="00E12584" w:rsidRPr="00E12584" w:rsidRDefault="00E12584" w:rsidP="00E12584">
            <w:pPr>
              <w:suppressAutoHyphens w:val="0"/>
              <w:rPr>
                <w:rFonts w:ascii="Calibri" w:hAnsi="Calibri" w:cs="Calibri"/>
                <w:b/>
                <w:bCs/>
                <w:color w:val="000000"/>
                <w:sz w:val="22"/>
                <w:szCs w:val="22"/>
              </w:rPr>
            </w:pPr>
            <w:r w:rsidRPr="00E12584">
              <w:rPr>
                <w:rFonts w:ascii="Calibri" w:hAnsi="Calibri" w:cs="Calibri"/>
                <w:b/>
                <w:bCs/>
                <w:color w:val="000000"/>
                <w:sz w:val="22"/>
                <w:szCs w:val="22"/>
              </w:rPr>
              <w:t>FY</w:t>
            </w:r>
            <w:r w:rsidR="00C32393">
              <w:rPr>
                <w:rFonts w:ascii="Calibri" w:hAnsi="Calibri" w:cs="Calibri"/>
                <w:b/>
                <w:bCs/>
                <w:color w:val="000000"/>
                <w:sz w:val="22"/>
                <w:szCs w:val="22"/>
              </w:rPr>
              <w:t>2</w:t>
            </w:r>
            <w:r w:rsidR="00E82F0A">
              <w:rPr>
                <w:rFonts w:ascii="Calibri" w:hAnsi="Calibri" w:cs="Calibri"/>
                <w:b/>
                <w:bCs/>
                <w:color w:val="000000"/>
                <w:sz w:val="22"/>
                <w:szCs w:val="22"/>
              </w:rPr>
              <w:t>1</w:t>
            </w:r>
            <w:r w:rsidRPr="00E12584">
              <w:rPr>
                <w:rFonts w:ascii="Calibri" w:hAnsi="Calibri" w:cs="Calibri"/>
                <w:b/>
                <w:bCs/>
                <w:color w:val="000000"/>
                <w:sz w:val="22"/>
                <w:szCs w:val="22"/>
              </w:rPr>
              <w:t xml:space="preserve"> Inpatient Discharge</w:t>
            </w:r>
            <w:r w:rsidR="00C32393">
              <w:rPr>
                <w:rFonts w:ascii="Calibri" w:hAnsi="Calibri" w:cs="Calibri"/>
                <w:b/>
                <w:bCs/>
                <w:color w:val="000000"/>
                <w:sz w:val="22"/>
                <w:szCs w:val="22"/>
              </w:rPr>
              <w:t>s</w:t>
            </w:r>
          </w:p>
        </w:tc>
      </w:tr>
      <w:tr w:rsidR="00406527" w:rsidRPr="00E12584" w14:paraId="545D8BA7" w14:textId="77777777" w:rsidTr="00AC0B33">
        <w:trPr>
          <w:trHeight w:val="300"/>
        </w:trPr>
        <w:tc>
          <w:tcPr>
            <w:tcW w:w="3420" w:type="dxa"/>
            <w:shd w:val="clear" w:color="auto" w:fill="auto"/>
            <w:noWrap/>
            <w:vAlign w:val="bottom"/>
            <w:hideMark/>
          </w:tcPr>
          <w:p w14:paraId="1B7F6FDF" w14:textId="20F1A93B"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WESTFIELD</w:t>
            </w:r>
          </w:p>
        </w:tc>
        <w:tc>
          <w:tcPr>
            <w:tcW w:w="2320" w:type="dxa"/>
            <w:shd w:val="clear" w:color="auto" w:fill="auto"/>
            <w:noWrap/>
            <w:vAlign w:val="bottom"/>
            <w:hideMark/>
          </w:tcPr>
          <w:p w14:paraId="02F38C64" w14:textId="03B9870B"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47.66%</w:t>
            </w:r>
          </w:p>
        </w:tc>
      </w:tr>
      <w:tr w:rsidR="00406527" w:rsidRPr="00E12584" w14:paraId="70DDBE83" w14:textId="77777777" w:rsidTr="00AC0B33">
        <w:trPr>
          <w:trHeight w:val="300"/>
        </w:trPr>
        <w:tc>
          <w:tcPr>
            <w:tcW w:w="3420" w:type="dxa"/>
            <w:shd w:val="clear" w:color="auto" w:fill="auto"/>
            <w:noWrap/>
            <w:vAlign w:val="bottom"/>
            <w:hideMark/>
          </w:tcPr>
          <w:p w14:paraId="23C36FC5" w14:textId="2F8DBFDF"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SOUTHWICK</w:t>
            </w:r>
          </w:p>
        </w:tc>
        <w:tc>
          <w:tcPr>
            <w:tcW w:w="2320" w:type="dxa"/>
            <w:shd w:val="clear" w:color="auto" w:fill="auto"/>
            <w:noWrap/>
            <w:vAlign w:val="bottom"/>
            <w:hideMark/>
          </w:tcPr>
          <w:p w14:paraId="1BA3AAD7" w14:textId="53C745DF"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9.35%</w:t>
            </w:r>
          </w:p>
        </w:tc>
      </w:tr>
      <w:tr w:rsidR="00406527" w:rsidRPr="00E12584" w14:paraId="314BD556" w14:textId="77777777" w:rsidTr="00AC0B33">
        <w:trPr>
          <w:trHeight w:val="300"/>
        </w:trPr>
        <w:tc>
          <w:tcPr>
            <w:tcW w:w="3420" w:type="dxa"/>
            <w:shd w:val="clear" w:color="auto" w:fill="auto"/>
            <w:noWrap/>
            <w:vAlign w:val="bottom"/>
            <w:hideMark/>
          </w:tcPr>
          <w:p w14:paraId="05E2A194" w14:textId="38FBE38F"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SPRINGFIELD</w:t>
            </w:r>
          </w:p>
        </w:tc>
        <w:tc>
          <w:tcPr>
            <w:tcW w:w="2320" w:type="dxa"/>
            <w:shd w:val="clear" w:color="auto" w:fill="auto"/>
            <w:noWrap/>
            <w:vAlign w:val="bottom"/>
            <w:hideMark/>
          </w:tcPr>
          <w:p w14:paraId="625D5326" w14:textId="1CE16FF0"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8.75%</w:t>
            </w:r>
          </w:p>
        </w:tc>
      </w:tr>
      <w:tr w:rsidR="00406527" w:rsidRPr="00E12584" w14:paraId="613CAEB4" w14:textId="77777777" w:rsidTr="00AC0B33">
        <w:trPr>
          <w:trHeight w:val="300"/>
        </w:trPr>
        <w:tc>
          <w:tcPr>
            <w:tcW w:w="3420" w:type="dxa"/>
            <w:shd w:val="clear" w:color="auto" w:fill="auto"/>
            <w:noWrap/>
            <w:vAlign w:val="bottom"/>
            <w:hideMark/>
          </w:tcPr>
          <w:p w14:paraId="454419BC" w14:textId="25E007F2"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lastRenderedPageBreak/>
              <w:t>FEEDING HILLS</w:t>
            </w:r>
          </w:p>
        </w:tc>
        <w:tc>
          <w:tcPr>
            <w:tcW w:w="2320" w:type="dxa"/>
            <w:shd w:val="clear" w:color="auto" w:fill="auto"/>
            <w:noWrap/>
            <w:vAlign w:val="bottom"/>
            <w:hideMark/>
          </w:tcPr>
          <w:p w14:paraId="609C24CD" w14:textId="1BD3C5AD"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4.81%</w:t>
            </w:r>
          </w:p>
        </w:tc>
      </w:tr>
      <w:tr w:rsidR="00406527" w:rsidRPr="00E12584" w14:paraId="639E11F2" w14:textId="77777777" w:rsidTr="00AC0B33">
        <w:trPr>
          <w:trHeight w:val="300"/>
        </w:trPr>
        <w:tc>
          <w:tcPr>
            <w:tcW w:w="3420" w:type="dxa"/>
            <w:shd w:val="clear" w:color="auto" w:fill="auto"/>
            <w:noWrap/>
            <w:vAlign w:val="bottom"/>
            <w:hideMark/>
          </w:tcPr>
          <w:p w14:paraId="70070E3F" w14:textId="60E88B34"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WEST SPRINGFIELD</w:t>
            </w:r>
          </w:p>
        </w:tc>
        <w:tc>
          <w:tcPr>
            <w:tcW w:w="2320" w:type="dxa"/>
            <w:shd w:val="clear" w:color="auto" w:fill="auto"/>
            <w:noWrap/>
            <w:vAlign w:val="bottom"/>
            <w:hideMark/>
          </w:tcPr>
          <w:p w14:paraId="59BA8570" w14:textId="7C17CFE5"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4.64%</w:t>
            </w:r>
          </w:p>
        </w:tc>
      </w:tr>
      <w:tr w:rsidR="00406527" w:rsidRPr="00E12584" w14:paraId="75D0A78F" w14:textId="77777777" w:rsidTr="00AC0B33">
        <w:trPr>
          <w:trHeight w:val="300"/>
        </w:trPr>
        <w:tc>
          <w:tcPr>
            <w:tcW w:w="3420" w:type="dxa"/>
            <w:shd w:val="clear" w:color="auto" w:fill="auto"/>
            <w:noWrap/>
            <w:vAlign w:val="bottom"/>
            <w:hideMark/>
          </w:tcPr>
          <w:p w14:paraId="42235F35" w14:textId="7532E44C"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AGAWAM</w:t>
            </w:r>
          </w:p>
        </w:tc>
        <w:tc>
          <w:tcPr>
            <w:tcW w:w="2320" w:type="dxa"/>
            <w:shd w:val="clear" w:color="auto" w:fill="auto"/>
            <w:noWrap/>
            <w:vAlign w:val="bottom"/>
            <w:hideMark/>
          </w:tcPr>
          <w:p w14:paraId="62085C7A" w14:textId="43792A1A"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3.12%</w:t>
            </w:r>
          </w:p>
        </w:tc>
      </w:tr>
      <w:tr w:rsidR="00406527" w:rsidRPr="00E12584" w14:paraId="082C1F03" w14:textId="77777777" w:rsidTr="00AC0B33">
        <w:trPr>
          <w:trHeight w:val="300"/>
        </w:trPr>
        <w:tc>
          <w:tcPr>
            <w:tcW w:w="3420" w:type="dxa"/>
            <w:shd w:val="clear" w:color="auto" w:fill="auto"/>
            <w:noWrap/>
            <w:vAlign w:val="bottom"/>
            <w:hideMark/>
          </w:tcPr>
          <w:p w14:paraId="60B900B9" w14:textId="310FBAAB"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CHICOPEE</w:t>
            </w:r>
          </w:p>
        </w:tc>
        <w:tc>
          <w:tcPr>
            <w:tcW w:w="2320" w:type="dxa"/>
            <w:shd w:val="clear" w:color="auto" w:fill="auto"/>
            <w:noWrap/>
            <w:vAlign w:val="bottom"/>
            <w:hideMark/>
          </w:tcPr>
          <w:p w14:paraId="345DA913" w14:textId="115D4120"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2.52%</w:t>
            </w:r>
          </w:p>
        </w:tc>
      </w:tr>
      <w:tr w:rsidR="00406527" w:rsidRPr="00E12584" w14:paraId="2B1A85FB" w14:textId="77777777" w:rsidTr="00AC0B33">
        <w:trPr>
          <w:trHeight w:val="300"/>
        </w:trPr>
        <w:tc>
          <w:tcPr>
            <w:tcW w:w="3420" w:type="dxa"/>
            <w:shd w:val="clear" w:color="auto" w:fill="auto"/>
            <w:noWrap/>
            <w:vAlign w:val="bottom"/>
            <w:hideMark/>
          </w:tcPr>
          <w:p w14:paraId="1FAE7927" w14:textId="05E4E751"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HUNTINGTON</w:t>
            </w:r>
          </w:p>
        </w:tc>
        <w:tc>
          <w:tcPr>
            <w:tcW w:w="2320" w:type="dxa"/>
            <w:shd w:val="clear" w:color="auto" w:fill="auto"/>
            <w:noWrap/>
            <w:vAlign w:val="bottom"/>
            <w:hideMark/>
          </w:tcPr>
          <w:p w14:paraId="036A9674" w14:textId="1A9F73B5"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1.76%</w:t>
            </w:r>
          </w:p>
        </w:tc>
      </w:tr>
      <w:tr w:rsidR="00406527" w:rsidRPr="00E12584" w14:paraId="2BFE88C9" w14:textId="77777777" w:rsidTr="00AC0B33">
        <w:trPr>
          <w:trHeight w:val="300"/>
        </w:trPr>
        <w:tc>
          <w:tcPr>
            <w:tcW w:w="3420" w:type="dxa"/>
            <w:shd w:val="clear" w:color="auto" w:fill="auto"/>
            <w:noWrap/>
            <w:vAlign w:val="bottom"/>
            <w:hideMark/>
          </w:tcPr>
          <w:p w14:paraId="3392BD9C" w14:textId="4D5F41F6"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RUSSELL</w:t>
            </w:r>
          </w:p>
        </w:tc>
        <w:tc>
          <w:tcPr>
            <w:tcW w:w="2320" w:type="dxa"/>
            <w:shd w:val="clear" w:color="auto" w:fill="auto"/>
            <w:noWrap/>
            <w:vAlign w:val="bottom"/>
            <w:hideMark/>
          </w:tcPr>
          <w:p w14:paraId="1F80D1D5" w14:textId="6D439BE0"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1.49%</w:t>
            </w:r>
          </w:p>
        </w:tc>
      </w:tr>
      <w:tr w:rsidR="00406527" w:rsidRPr="00E12584" w14:paraId="11B13691" w14:textId="77777777" w:rsidTr="00AC0B33">
        <w:trPr>
          <w:trHeight w:val="300"/>
        </w:trPr>
        <w:tc>
          <w:tcPr>
            <w:tcW w:w="3420" w:type="dxa"/>
            <w:shd w:val="clear" w:color="auto" w:fill="auto"/>
            <w:noWrap/>
            <w:vAlign w:val="bottom"/>
            <w:hideMark/>
          </w:tcPr>
          <w:p w14:paraId="5ED24788" w14:textId="399687DD"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GRANVILLE</w:t>
            </w:r>
          </w:p>
        </w:tc>
        <w:tc>
          <w:tcPr>
            <w:tcW w:w="2320" w:type="dxa"/>
            <w:shd w:val="clear" w:color="auto" w:fill="auto"/>
            <w:noWrap/>
            <w:vAlign w:val="bottom"/>
            <w:hideMark/>
          </w:tcPr>
          <w:p w14:paraId="440F154E" w14:textId="5DA0E91E"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1.26%</w:t>
            </w:r>
          </w:p>
        </w:tc>
      </w:tr>
      <w:tr w:rsidR="00406527" w:rsidRPr="00E12584" w14:paraId="3FC4DA4D" w14:textId="77777777" w:rsidTr="00AC0B33">
        <w:trPr>
          <w:trHeight w:val="300"/>
        </w:trPr>
        <w:tc>
          <w:tcPr>
            <w:tcW w:w="3420" w:type="dxa"/>
            <w:shd w:val="clear" w:color="auto" w:fill="auto"/>
            <w:noWrap/>
            <w:vAlign w:val="bottom"/>
            <w:hideMark/>
          </w:tcPr>
          <w:p w14:paraId="56871B5C" w14:textId="2B82DA95"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HOLYOKE</w:t>
            </w:r>
          </w:p>
        </w:tc>
        <w:tc>
          <w:tcPr>
            <w:tcW w:w="2320" w:type="dxa"/>
            <w:shd w:val="clear" w:color="auto" w:fill="auto"/>
            <w:noWrap/>
            <w:vAlign w:val="bottom"/>
            <w:hideMark/>
          </w:tcPr>
          <w:p w14:paraId="18318B97" w14:textId="16F55132"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1.16%</w:t>
            </w:r>
          </w:p>
        </w:tc>
      </w:tr>
      <w:tr w:rsidR="00406527" w:rsidRPr="00E12584" w14:paraId="37E7E745" w14:textId="77777777" w:rsidTr="00AC0B33">
        <w:trPr>
          <w:trHeight w:val="300"/>
        </w:trPr>
        <w:tc>
          <w:tcPr>
            <w:tcW w:w="3420" w:type="dxa"/>
            <w:shd w:val="clear" w:color="auto" w:fill="auto"/>
            <w:noWrap/>
            <w:vAlign w:val="bottom"/>
            <w:hideMark/>
          </w:tcPr>
          <w:p w14:paraId="7DF78985" w14:textId="07387C91"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EASTHAMPTON</w:t>
            </w:r>
          </w:p>
        </w:tc>
        <w:tc>
          <w:tcPr>
            <w:tcW w:w="2320" w:type="dxa"/>
            <w:shd w:val="clear" w:color="auto" w:fill="auto"/>
            <w:noWrap/>
            <w:vAlign w:val="bottom"/>
            <w:hideMark/>
          </w:tcPr>
          <w:p w14:paraId="1C63B372" w14:textId="77018E00"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0.99%</w:t>
            </w:r>
          </w:p>
        </w:tc>
      </w:tr>
      <w:tr w:rsidR="00406527" w:rsidRPr="00E12584" w14:paraId="160C2A52" w14:textId="77777777" w:rsidTr="00AC0B33">
        <w:trPr>
          <w:trHeight w:val="300"/>
        </w:trPr>
        <w:tc>
          <w:tcPr>
            <w:tcW w:w="3420" w:type="dxa"/>
            <w:shd w:val="clear" w:color="auto" w:fill="auto"/>
            <w:noWrap/>
            <w:vAlign w:val="bottom"/>
            <w:hideMark/>
          </w:tcPr>
          <w:p w14:paraId="56A00726" w14:textId="61F39C0E"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CHESTER</w:t>
            </w:r>
          </w:p>
        </w:tc>
        <w:tc>
          <w:tcPr>
            <w:tcW w:w="2320" w:type="dxa"/>
            <w:shd w:val="clear" w:color="auto" w:fill="auto"/>
            <w:noWrap/>
            <w:vAlign w:val="bottom"/>
            <w:hideMark/>
          </w:tcPr>
          <w:p w14:paraId="543F28C7" w14:textId="52A4A619"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0.96%</w:t>
            </w:r>
          </w:p>
        </w:tc>
      </w:tr>
      <w:tr w:rsidR="00406527" w:rsidRPr="00E12584" w14:paraId="2D1DC5DA" w14:textId="77777777" w:rsidTr="00AC0B33">
        <w:trPr>
          <w:trHeight w:val="300"/>
        </w:trPr>
        <w:tc>
          <w:tcPr>
            <w:tcW w:w="3420" w:type="dxa"/>
            <w:shd w:val="clear" w:color="auto" w:fill="auto"/>
            <w:noWrap/>
            <w:vAlign w:val="bottom"/>
            <w:hideMark/>
          </w:tcPr>
          <w:p w14:paraId="6BC03EF6" w14:textId="34F48261"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BLANDFORD</w:t>
            </w:r>
          </w:p>
        </w:tc>
        <w:tc>
          <w:tcPr>
            <w:tcW w:w="2320" w:type="dxa"/>
            <w:shd w:val="clear" w:color="auto" w:fill="auto"/>
            <w:noWrap/>
            <w:vAlign w:val="bottom"/>
            <w:hideMark/>
          </w:tcPr>
          <w:p w14:paraId="493C65E4" w14:textId="17FF9897"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0.93%</w:t>
            </w:r>
          </w:p>
        </w:tc>
      </w:tr>
      <w:tr w:rsidR="00406527" w:rsidRPr="00E12584" w14:paraId="76040BBC" w14:textId="77777777" w:rsidTr="00AC0B33">
        <w:trPr>
          <w:trHeight w:val="300"/>
        </w:trPr>
        <w:tc>
          <w:tcPr>
            <w:tcW w:w="3420" w:type="dxa"/>
            <w:shd w:val="clear" w:color="auto" w:fill="auto"/>
            <w:noWrap/>
            <w:vAlign w:val="bottom"/>
            <w:hideMark/>
          </w:tcPr>
          <w:p w14:paraId="6A3C16DB" w14:textId="2ADFACF0"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EAST LONGMEADOW</w:t>
            </w:r>
          </w:p>
        </w:tc>
        <w:tc>
          <w:tcPr>
            <w:tcW w:w="2320" w:type="dxa"/>
            <w:shd w:val="clear" w:color="auto" w:fill="auto"/>
            <w:noWrap/>
            <w:vAlign w:val="bottom"/>
            <w:hideMark/>
          </w:tcPr>
          <w:p w14:paraId="1E45C785" w14:textId="56E61FB1"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0.60%</w:t>
            </w:r>
          </w:p>
        </w:tc>
      </w:tr>
      <w:tr w:rsidR="00406527" w:rsidRPr="00E12584" w14:paraId="36B0B72E" w14:textId="77777777" w:rsidTr="00AC0B33">
        <w:trPr>
          <w:trHeight w:val="300"/>
        </w:trPr>
        <w:tc>
          <w:tcPr>
            <w:tcW w:w="3420" w:type="dxa"/>
            <w:shd w:val="clear" w:color="auto" w:fill="auto"/>
            <w:noWrap/>
            <w:vAlign w:val="bottom"/>
            <w:hideMark/>
          </w:tcPr>
          <w:p w14:paraId="14432402" w14:textId="14B52546"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SOUTHAMPTON</w:t>
            </w:r>
          </w:p>
        </w:tc>
        <w:tc>
          <w:tcPr>
            <w:tcW w:w="2320" w:type="dxa"/>
            <w:shd w:val="clear" w:color="auto" w:fill="auto"/>
            <w:noWrap/>
            <w:vAlign w:val="bottom"/>
            <w:hideMark/>
          </w:tcPr>
          <w:p w14:paraId="6EC92C2D" w14:textId="7F609AC4"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0.60%</w:t>
            </w:r>
          </w:p>
        </w:tc>
      </w:tr>
      <w:tr w:rsidR="00406527" w:rsidRPr="00E12584" w14:paraId="1FB8C303" w14:textId="77777777" w:rsidTr="00AC0B33">
        <w:trPr>
          <w:trHeight w:val="300"/>
        </w:trPr>
        <w:tc>
          <w:tcPr>
            <w:tcW w:w="3420" w:type="dxa"/>
            <w:shd w:val="clear" w:color="auto" w:fill="auto"/>
            <w:noWrap/>
            <w:vAlign w:val="bottom"/>
            <w:hideMark/>
          </w:tcPr>
          <w:p w14:paraId="34702ADD" w14:textId="7D933B0C"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INDIAN ORCHARD</w:t>
            </w:r>
          </w:p>
        </w:tc>
        <w:tc>
          <w:tcPr>
            <w:tcW w:w="2320" w:type="dxa"/>
            <w:shd w:val="clear" w:color="auto" w:fill="auto"/>
            <w:noWrap/>
            <w:vAlign w:val="bottom"/>
            <w:hideMark/>
          </w:tcPr>
          <w:p w14:paraId="4E29413E" w14:textId="6EE21870"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0.53%</w:t>
            </w:r>
          </w:p>
        </w:tc>
      </w:tr>
      <w:tr w:rsidR="00406527" w:rsidRPr="00E12584" w14:paraId="500F8EE0" w14:textId="77777777" w:rsidTr="00AC0B33">
        <w:trPr>
          <w:trHeight w:val="315"/>
        </w:trPr>
        <w:tc>
          <w:tcPr>
            <w:tcW w:w="3420" w:type="dxa"/>
            <w:shd w:val="clear" w:color="auto" w:fill="auto"/>
            <w:noWrap/>
            <w:vAlign w:val="bottom"/>
            <w:hideMark/>
          </w:tcPr>
          <w:p w14:paraId="0E1E1B9D" w14:textId="421331FD" w:rsidR="00406527" w:rsidRPr="00E12584" w:rsidRDefault="00406527" w:rsidP="00406527">
            <w:pPr>
              <w:suppressAutoHyphens w:val="0"/>
              <w:ind w:firstLineChars="500" w:firstLine="1100"/>
              <w:rPr>
                <w:rFonts w:ascii="Calibri" w:hAnsi="Calibri" w:cs="Calibri"/>
                <w:color w:val="000000"/>
                <w:sz w:val="22"/>
                <w:szCs w:val="22"/>
              </w:rPr>
            </w:pPr>
            <w:r>
              <w:rPr>
                <w:rFonts w:ascii="Calibri" w:hAnsi="Calibri" w:cs="Calibri"/>
                <w:color w:val="000000"/>
                <w:sz w:val="22"/>
                <w:szCs w:val="22"/>
              </w:rPr>
              <w:t>All Other</w:t>
            </w:r>
          </w:p>
        </w:tc>
        <w:tc>
          <w:tcPr>
            <w:tcW w:w="2320" w:type="dxa"/>
            <w:shd w:val="clear" w:color="auto" w:fill="auto"/>
            <w:noWrap/>
            <w:vAlign w:val="bottom"/>
            <w:hideMark/>
          </w:tcPr>
          <w:p w14:paraId="3416217D" w14:textId="7810520A" w:rsidR="00406527" w:rsidRPr="00E12584" w:rsidRDefault="00406527" w:rsidP="00406527">
            <w:pPr>
              <w:suppressAutoHyphens w:val="0"/>
              <w:jc w:val="right"/>
              <w:rPr>
                <w:rFonts w:ascii="Calibri" w:hAnsi="Calibri" w:cs="Calibri"/>
                <w:color w:val="000000"/>
                <w:sz w:val="22"/>
                <w:szCs w:val="22"/>
              </w:rPr>
            </w:pPr>
            <w:r>
              <w:rPr>
                <w:rFonts w:ascii="Calibri" w:hAnsi="Calibri" w:cs="Calibri"/>
                <w:color w:val="000000"/>
                <w:sz w:val="22"/>
                <w:szCs w:val="22"/>
              </w:rPr>
              <w:t>8.87%</w:t>
            </w:r>
          </w:p>
        </w:tc>
      </w:tr>
      <w:tr w:rsidR="00406527" w:rsidRPr="00552916" w14:paraId="0712FDBB" w14:textId="77777777" w:rsidTr="00E12584">
        <w:trPr>
          <w:trHeight w:val="300"/>
        </w:trPr>
        <w:tc>
          <w:tcPr>
            <w:tcW w:w="3420" w:type="dxa"/>
            <w:shd w:val="clear" w:color="auto" w:fill="auto"/>
            <w:noWrap/>
            <w:vAlign w:val="bottom"/>
            <w:hideMark/>
          </w:tcPr>
          <w:p w14:paraId="7FE918BD" w14:textId="1B81B955" w:rsidR="00406527" w:rsidRPr="00E12584" w:rsidRDefault="00406527" w:rsidP="00406527">
            <w:pPr>
              <w:suppressAutoHyphens w:val="0"/>
              <w:rPr>
                <w:rFonts w:ascii="Calibri" w:hAnsi="Calibri" w:cs="Calibri"/>
                <w:b/>
                <w:bCs/>
                <w:color w:val="000000"/>
                <w:sz w:val="22"/>
                <w:szCs w:val="22"/>
              </w:rPr>
            </w:pPr>
            <w:r>
              <w:rPr>
                <w:rFonts w:ascii="Calibri" w:hAnsi="Calibri" w:cs="Calibri"/>
                <w:b/>
                <w:bCs/>
                <w:color w:val="000000"/>
                <w:sz w:val="22"/>
                <w:szCs w:val="22"/>
              </w:rPr>
              <w:t>TOTAL</w:t>
            </w:r>
          </w:p>
        </w:tc>
        <w:tc>
          <w:tcPr>
            <w:tcW w:w="2320" w:type="dxa"/>
            <w:shd w:val="clear" w:color="auto" w:fill="auto"/>
            <w:noWrap/>
            <w:vAlign w:val="bottom"/>
            <w:hideMark/>
          </w:tcPr>
          <w:p w14:paraId="2C67040C" w14:textId="10F735FE" w:rsidR="00406527" w:rsidRPr="00406527" w:rsidRDefault="00406527" w:rsidP="00406527">
            <w:pPr>
              <w:suppressAutoHyphens w:val="0"/>
              <w:jc w:val="right"/>
              <w:rPr>
                <w:rFonts w:ascii="Calibri" w:hAnsi="Calibri" w:cs="Calibri"/>
                <w:b/>
                <w:bCs/>
                <w:color w:val="000000"/>
                <w:sz w:val="22"/>
                <w:szCs w:val="22"/>
              </w:rPr>
            </w:pPr>
            <w:r w:rsidRPr="00406527">
              <w:rPr>
                <w:rFonts w:ascii="Calibri" w:hAnsi="Calibri" w:cs="Calibri"/>
                <w:b/>
                <w:bCs/>
                <w:color w:val="000000"/>
                <w:sz w:val="22"/>
                <w:szCs w:val="22"/>
              </w:rPr>
              <w:t>100.0%</w:t>
            </w:r>
          </w:p>
        </w:tc>
      </w:tr>
    </w:tbl>
    <w:p w14:paraId="05CD51C0" w14:textId="0F4CBC76" w:rsidR="00E12584" w:rsidRDefault="00E12584" w:rsidP="00E12584">
      <w:pPr>
        <w:rPr>
          <w:b/>
          <w:bCs/>
        </w:rPr>
      </w:pPr>
    </w:p>
    <w:p w14:paraId="0DE6C427" w14:textId="68FFB201" w:rsidR="00E12584" w:rsidRDefault="00E12584" w:rsidP="00E12584">
      <w:pPr>
        <w:rPr>
          <w:b/>
          <w:bCs/>
        </w:rPr>
      </w:pPr>
    </w:p>
    <w:p w14:paraId="05DAC436" w14:textId="0F195102" w:rsidR="00E12584" w:rsidRDefault="00E12584" w:rsidP="00E12584">
      <w:pPr>
        <w:rPr>
          <w:b/>
          <w:bCs/>
        </w:rPr>
      </w:pPr>
      <w:r>
        <w:rPr>
          <w:b/>
          <w:bCs/>
        </w:rPr>
        <w:t>Question:</w:t>
      </w:r>
    </w:p>
    <w:p w14:paraId="663B9BE1" w14:textId="17D7EAC5" w:rsidR="00D50112" w:rsidRDefault="00D50112" w:rsidP="00D50112">
      <w:pPr>
        <w:rPr>
          <w:b/>
          <w:bCs/>
        </w:rPr>
      </w:pPr>
    </w:p>
    <w:p w14:paraId="76F56634" w14:textId="2F9B7DC9" w:rsidR="00D50112" w:rsidRPr="005024CE" w:rsidRDefault="00D50112" w:rsidP="00D50112">
      <w:pPr>
        <w:spacing w:line="229" w:lineRule="exact"/>
        <w:jc w:val="both"/>
        <w:rPr>
          <w:b/>
          <w:bCs/>
          <w:u w:val="single"/>
        </w:rPr>
      </w:pPr>
      <w:r w:rsidRPr="005024CE">
        <w:rPr>
          <w:rFonts w:cstheme="minorHAnsi"/>
          <w:b/>
          <w:bCs/>
          <w:u w:val="single"/>
        </w:rPr>
        <w:t xml:space="preserve">Factor 1b – </w:t>
      </w:r>
      <w:r w:rsidRPr="005024CE">
        <w:rPr>
          <w:b/>
          <w:bCs/>
          <w:u w:val="single"/>
        </w:rPr>
        <w:t>Public Health Value/ Outcome Oriented</w:t>
      </w:r>
    </w:p>
    <w:p w14:paraId="7B354442" w14:textId="458899AD" w:rsidR="005024CE" w:rsidRDefault="005024CE" w:rsidP="00D50112">
      <w:pPr>
        <w:spacing w:line="229" w:lineRule="exact"/>
        <w:jc w:val="both"/>
        <w:rPr>
          <w:b/>
          <w:bCs/>
        </w:rPr>
      </w:pPr>
    </w:p>
    <w:p w14:paraId="544324AD" w14:textId="77777777" w:rsidR="005024CE" w:rsidRDefault="005024CE" w:rsidP="005024CE">
      <w:pPr>
        <w:rPr>
          <w:b/>
          <w:bCs/>
        </w:rPr>
      </w:pPr>
      <w:r>
        <w:rPr>
          <w:b/>
          <w:bCs/>
        </w:rPr>
        <w:t>Question:</w:t>
      </w:r>
    </w:p>
    <w:p w14:paraId="247C6BE0" w14:textId="77777777" w:rsidR="005024CE" w:rsidRPr="005024CE" w:rsidRDefault="005024CE" w:rsidP="00D50112">
      <w:pPr>
        <w:spacing w:line="229" w:lineRule="exact"/>
        <w:jc w:val="both"/>
        <w:rPr>
          <w:b/>
          <w:bCs/>
        </w:rPr>
      </w:pPr>
    </w:p>
    <w:p w14:paraId="4C3A5AAF" w14:textId="44AA1E82" w:rsidR="005024CE" w:rsidRPr="00406527" w:rsidRDefault="005024CE" w:rsidP="00406527">
      <w:pPr>
        <w:pStyle w:val="ListParagraph"/>
        <w:numPr>
          <w:ilvl w:val="0"/>
          <w:numId w:val="8"/>
        </w:numPr>
        <w:suppressAutoHyphens w:val="0"/>
        <w:spacing w:after="160" w:line="229" w:lineRule="exact"/>
        <w:jc w:val="both"/>
        <w:rPr>
          <w:rStyle w:val="cf01"/>
          <w:rFonts w:ascii="Times New Roman" w:hAnsi="Times New Roman" w:cs="Times New Roman"/>
          <w:sz w:val="24"/>
          <w:szCs w:val="24"/>
        </w:rPr>
      </w:pPr>
      <w:r w:rsidRPr="00406527">
        <w:rPr>
          <w:rStyle w:val="cf01"/>
          <w:rFonts w:ascii="Times New Roman" w:hAnsi="Times New Roman" w:cs="Times New Roman"/>
          <w:sz w:val="24"/>
          <w:szCs w:val="24"/>
        </w:rPr>
        <w:t>Narrative p.14 states “BNH has an appropriate use criteria program (“AUC”) using the clinical decision support mechanism (“CDSM”) ... CMS implemented this tool to ensure the most appropriate tests are ordered for Medicare patients, and to decrease the number of inappropriate and unnecessary orders for advanced diagnostic imaging.”   To clarify the current and anticipated outcomes of this tool with BNH’s CT service:</w:t>
      </w:r>
    </w:p>
    <w:p w14:paraId="75B5C2CA" w14:textId="77777777" w:rsidR="005024CE" w:rsidRPr="005024CE" w:rsidRDefault="005024CE" w:rsidP="00406527">
      <w:pPr>
        <w:pStyle w:val="ListParagraph"/>
        <w:numPr>
          <w:ilvl w:val="1"/>
          <w:numId w:val="8"/>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What is the baseline data on the percentage of CDSM adhering to AUC for the existing CT service?</w:t>
      </w:r>
    </w:p>
    <w:p w14:paraId="58FEA9B4" w14:textId="77777777" w:rsidR="005024CE" w:rsidRPr="005024CE" w:rsidRDefault="005024CE" w:rsidP="00406527">
      <w:pPr>
        <w:pStyle w:val="ListParagraph"/>
        <w:numPr>
          <w:ilvl w:val="1"/>
          <w:numId w:val="8"/>
        </w:numPr>
        <w:suppressAutoHyphens w:val="0"/>
        <w:spacing w:after="160" w:line="229" w:lineRule="exact"/>
        <w:jc w:val="both"/>
        <w:rPr>
          <w:rStyle w:val="cf01"/>
          <w:rFonts w:ascii="Times New Roman" w:hAnsi="Times New Roman" w:cs="Times New Roman"/>
          <w:sz w:val="24"/>
          <w:szCs w:val="24"/>
        </w:rPr>
      </w:pPr>
      <w:r w:rsidRPr="005024CE">
        <w:rPr>
          <w:rStyle w:val="cf01"/>
          <w:rFonts w:ascii="Times New Roman" w:hAnsi="Times New Roman" w:cs="Times New Roman"/>
          <w:sz w:val="24"/>
          <w:szCs w:val="24"/>
        </w:rPr>
        <w:t>Does the Applicant project any change in CDSM outcomes with the addition of a second unit?</w:t>
      </w:r>
    </w:p>
    <w:p w14:paraId="7D87F82A" w14:textId="31F1C24E" w:rsidR="00D50112" w:rsidRPr="005024CE" w:rsidRDefault="005024CE" w:rsidP="00406527">
      <w:pPr>
        <w:pStyle w:val="ListParagraph"/>
        <w:numPr>
          <w:ilvl w:val="1"/>
          <w:numId w:val="8"/>
        </w:numPr>
        <w:suppressAutoHyphens w:val="0"/>
        <w:spacing w:after="160" w:line="229" w:lineRule="exact"/>
        <w:jc w:val="both"/>
      </w:pPr>
      <w:r w:rsidRPr="005024CE">
        <w:rPr>
          <w:rStyle w:val="cf01"/>
          <w:rFonts w:ascii="Times New Roman" w:hAnsi="Times New Roman" w:cs="Times New Roman"/>
          <w:sz w:val="24"/>
          <w:szCs w:val="24"/>
        </w:rPr>
        <w:t>Does the Applicant have a procedure in place to monitor and address outliers to the Acceptable Use determination?</w:t>
      </w:r>
    </w:p>
    <w:p w14:paraId="6AFEAFDA" w14:textId="2EE2D272" w:rsidR="00D50112" w:rsidRDefault="00D50112" w:rsidP="00D50112">
      <w:pPr>
        <w:rPr>
          <w:b/>
          <w:bCs/>
        </w:rPr>
      </w:pPr>
    </w:p>
    <w:p w14:paraId="4EB031D6" w14:textId="24F206B3" w:rsidR="005024CE" w:rsidRDefault="005024CE" w:rsidP="00D50112">
      <w:pPr>
        <w:rPr>
          <w:b/>
          <w:bCs/>
        </w:rPr>
      </w:pPr>
      <w:r>
        <w:rPr>
          <w:b/>
          <w:bCs/>
        </w:rPr>
        <w:t>Response:</w:t>
      </w:r>
    </w:p>
    <w:p w14:paraId="73F7BDCB" w14:textId="0238FA81" w:rsidR="000E3EB3" w:rsidRDefault="000E3EB3" w:rsidP="00D50112">
      <w:pPr>
        <w:rPr>
          <w:b/>
          <w:bCs/>
        </w:rPr>
      </w:pPr>
    </w:p>
    <w:p w14:paraId="5839E7CA" w14:textId="11B00D4E" w:rsidR="00E15FB4" w:rsidRPr="00AA7F90" w:rsidRDefault="00AA7F90" w:rsidP="00AA7F90">
      <w:pPr>
        <w:autoSpaceDE w:val="0"/>
        <w:autoSpaceDN w:val="0"/>
        <w:rPr>
          <w:sz w:val="22"/>
          <w:szCs w:val="22"/>
        </w:rPr>
      </w:pPr>
      <w:r w:rsidRPr="00AA7F90">
        <w:t>The Centers for Medicare &amp; Medicaid Services (CMS) has delayed the mandate for referring providers to use appropriate use criteria (AUC) and clinical decision support (CDS) tools. Once the mandate goes into effect, BNH will have the capability to report: a) The percent of ordering physicians using the mechanism; b) Data showing yearly changes in “low utility” or “marginal utility”; c) Percent of ordering providers’ response to alerts provided by CDS tools; and d) Analysis of data and policy changes instituted as a result of these data.</w:t>
      </w:r>
    </w:p>
    <w:sectPr w:rsidR="00E15FB4" w:rsidRPr="00AA7F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A8796" w14:textId="77777777" w:rsidR="00EA0D4C" w:rsidRDefault="00EA0D4C" w:rsidP="00EA0D4C">
      <w:r>
        <w:separator/>
      </w:r>
    </w:p>
  </w:endnote>
  <w:endnote w:type="continuationSeparator" w:id="0">
    <w:p w14:paraId="3691540F" w14:textId="77777777" w:rsidR="00EA0D4C" w:rsidRDefault="00EA0D4C" w:rsidP="00EA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7B29" w14:textId="59B29E8E" w:rsidR="00EA0D4C" w:rsidRDefault="00EA0D4C">
    <w:pPr>
      <w:pStyle w:val="Footer"/>
    </w:pPr>
    <w:r>
      <w:fldChar w:fldCharType="begin"/>
    </w:r>
    <w:r w:rsidRPr="00EA0D4C">
      <w:rPr>
        <w:rStyle w:val="DocID"/>
      </w:rPr>
      <w:instrText xml:space="preserve"> DOCPROPERTY DOCXDOCID DMS=NetDocuments Format=HB: &lt;&lt;ID&gt;&gt;.&lt;&lt;VER&gt;&gt; PRESERVELOCATION \* MERGEFORMAT </w:instrText>
    </w:r>
    <w:r>
      <w:fldChar w:fldCharType="separate"/>
    </w:r>
    <w:r w:rsidR="00445CAB">
      <w:rPr>
        <w:rStyle w:val="DocID"/>
      </w:rPr>
      <w:t>HB: 4889-6063-2392.1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262239"/>
      <w:docPartObj>
        <w:docPartGallery w:val="Page Numbers (Bottom of Page)"/>
        <w:docPartUnique/>
      </w:docPartObj>
    </w:sdtPr>
    <w:sdtEndPr>
      <w:rPr>
        <w:noProof/>
      </w:rPr>
    </w:sdtEndPr>
    <w:sdtContent>
      <w:p w14:paraId="6C0901F2" w14:textId="0322F621" w:rsidR="00D50112" w:rsidRDefault="00D501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4F3E1" w14:textId="008BF87E" w:rsidR="00EA0D4C" w:rsidRDefault="00454635">
    <w:pPr>
      <w:pStyle w:val="Footer"/>
    </w:pPr>
    <w:r>
      <w:fldChar w:fldCharType="begin"/>
    </w:r>
    <w:r w:rsidRPr="00454635">
      <w:rPr>
        <w:rStyle w:val="DocID"/>
      </w:rPr>
      <w:instrText xml:space="preserve"> DOCPROPERTY DOCXDOCID DMS=NetDocuments Format=HB: &lt;&lt;ID&gt;&gt;.&lt;&lt;VER&gt;&gt; PRESERVELOCATION \* MERGEFORMAT </w:instrText>
    </w:r>
    <w:r>
      <w:fldChar w:fldCharType="separate"/>
    </w:r>
    <w:r w:rsidR="00445CAB">
      <w:rPr>
        <w:rStyle w:val="DocID"/>
      </w:rPr>
      <w:t>HB: 4889-6063-2392.1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5B42" w14:textId="7DDFFD93" w:rsidR="00EA0D4C" w:rsidRDefault="00EA0D4C">
    <w:pPr>
      <w:pStyle w:val="Footer"/>
    </w:pPr>
    <w:r>
      <w:fldChar w:fldCharType="begin"/>
    </w:r>
    <w:r w:rsidRPr="00EA0D4C">
      <w:rPr>
        <w:rStyle w:val="DocID"/>
      </w:rPr>
      <w:instrText xml:space="preserve"> DOCPROPERTY DOCXDOCID DMS=NetDocuments Format=HB: &lt;&lt;ID&gt;&gt;.&lt;&lt;VER&gt;&gt; PRESERVELOCATION \* MERGEFORMAT </w:instrText>
    </w:r>
    <w:r>
      <w:fldChar w:fldCharType="separate"/>
    </w:r>
    <w:r w:rsidR="00445CAB">
      <w:rPr>
        <w:rStyle w:val="DocID"/>
      </w:rPr>
      <w:t>HB: 4889-6063-2392.1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9F66F" w14:textId="77777777" w:rsidR="00EA0D4C" w:rsidRDefault="00EA0D4C" w:rsidP="00EA0D4C">
      <w:r>
        <w:separator/>
      </w:r>
    </w:p>
  </w:footnote>
  <w:footnote w:type="continuationSeparator" w:id="0">
    <w:p w14:paraId="49A9BC81" w14:textId="77777777" w:rsidR="00EA0D4C" w:rsidRDefault="00EA0D4C" w:rsidP="00EA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55A1" w14:textId="77777777" w:rsidR="00454635" w:rsidRDefault="00454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2B17" w14:textId="77777777" w:rsidR="00D50112" w:rsidRPr="00153D99" w:rsidRDefault="00D50112" w:rsidP="00D50112">
    <w:pPr>
      <w:pStyle w:val="Header"/>
      <w:pBdr>
        <w:bottom w:val="single" w:sz="4" w:space="1" w:color="auto"/>
      </w:pBdr>
      <w:jc w:val="center"/>
      <w:rPr>
        <w:rFonts w:cstheme="minorHAnsi"/>
        <w:b/>
        <w:bCs/>
        <w:sz w:val="36"/>
        <w:szCs w:val="36"/>
      </w:rPr>
    </w:pPr>
    <w:r w:rsidRPr="00153D99">
      <w:rPr>
        <w:rFonts w:cstheme="minorHAnsi"/>
        <w:b/>
        <w:bCs/>
        <w:sz w:val="36"/>
        <w:szCs w:val="36"/>
      </w:rPr>
      <w:t>Baystate Health, Inc.</w:t>
    </w:r>
  </w:p>
  <w:p w14:paraId="5CAFE5F3" w14:textId="77777777" w:rsidR="00D50112" w:rsidRPr="00D50112" w:rsidRDefault="00D50112" w:rsidP="00D50112">
    <w:pPr>
      <w:pStyle w:val="Header"/>
      <w:pBdr>
        <w:bottom w:val="single" w:sz="4" w:space="1" w:color="auto"/>
      </w:pBdr>
      <w:jc w:val="center"/>
      <w:rPr>
        <w:sz w:val="28"/>
        <w:szCs w:val="28"/>
        <w:u w:val="single"/>
      </w:rPr>
    </w:pPr>
    <w:r w:rsidRPr="00D223EB">
      <w:rPr>
        <w:sz w:val="28"/>
        <w:szCs w:val="28"/>
      </w:rPr>
      <w:t>DoN</w:t>
    </w:r>
    <w:r>
      <w:rPr>
        <w:sz w:val="28"/>
        <w:szCs w:val="28"/>
      </w:rPr>
      <w:t xml:space="preserve"> #</w:t>
    </w:r>
    <w:r w:rsidRPr="00D223EB">
      <w:rPr>
        <w:sz w:val="28"/>
        <w:szCs w:val="28"/>
      </w:rPr>
      <w:t xml:space="preserve"> </w:t>
    </w:r>
    <w:r>
      <w:rPr>
        <w:rFonts w:cstheme="minorHAnsi"/>
        <w:sz w:val="28"/>
        <w:szCs w:val="28"/>
      </w:rPr>
      <w:t>-20121611-</w:t>
    </w:r>
    <w:r w:rsidRPr="00C01EF9">
      <w:rPr>
        <w:rFonts w:ascii="Calibri" w:hAnsi="Calibri" w:cs="Calibri"/>
        <w:color w:val="000000"/>
        <w:sz w:val="18"/>
        <w:szCs w:val="18"/>
      </w:rPr>
      <w:t> </w:t>
    </w:r>
  </w:p>
  <w:p w14:paraId="19424E8F" w14:textId="77777777" w:rsidR="00EA0D4C" w:rsidRDefault="00EA0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8757" w14:textId="77777777" w:rsidR="00454635" w:rsidRDefault="00454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53CFF"/>
    <w:multiLevelType w:val="hybridMultilevel"/>
    <w:tmpl w:val="5DEE0D72"/>
    <w:lvl w:ilvl="0" w:tplc="293C3A6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D2B9D"/>
    <w:multiLevelType w:val="hybridMultilevel"/>
    <w:tmpl w:val="45066E30"/>
    <w:lvl w:ilvl="0" w:tplc="9620B14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84041"/>
    <w:multiLevelType w:val="hybridMultilevel"/>
    <w:tmpl w:val="AA142A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D602477"/>
    <w:multiLevelType w:val="hybridMultilevel"/>
    <w:tmpl w:val="24F6759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12E36"/>
    <w:multiLevelType w:val="hybridMultilevel"/>
    <w:tmpl w:val="397A8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79C42DB"/>
    <w:multiLevelType w:val="hybridMultilevel"/>
    <w:tmpl w:val="9078CB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80"/>
    <w:rsid w:val="000B7FF0"/>
    <w:rsid w:val="000E3EB3"/>
    <w:rsid w:val="00130E10"/>
    <w:rsid w:val="001F7BBE"/>
    <w:rsid w:val="00406527"/>
    <w:rsid w:val="00445CAB"/>
    <w:rsid w:val="00454635"/>
    <w:rsid w:val="004B3ABC"/>
    <w:rsid w:val="004B7130"/>
    <w:rsid w:val="00502180"/>
    <w:rsid w:val="005024CE"/>
    <w:rsid w:val="00552916"/>
    <w:rsid w:val="00675ECB"/>
    <w:rsid w:val="0070591B"/>
    <w:rsid w:val="00767595"/>
    <w:rsid w:val="007F0BCD"/>
    <w:rsid w:val="00912D08"/>
    <w:rsid w:val="00AA7F90"/>
    <w:rsid w:val="00AE527A"/>
    <w:rsid w:val="00C31B08"/>
    <w:rsid w:val="00C32393"/>
    <w:rsid w:val="00D03123"/>
    <w:rsid w:val="00D40E8A"/>
    <w:rsid w:val="00D50112"/>
    <w:rsid w:val="00DE0F7B"/>
    <w:rsid w:val="00E03BFE"/>
    <w:rsid w:val="00E044E2"/>
    <w:rsid w:val="00E12584"/>
    <w:rsid w:val="00E15FB4"/>
    <w:rsid w:val="00E36989"/>
    <w:rsid w:val="00E82F0A"/>
    <w:rsid w:val="00EA0D4C"/>
    <w:rsid w:val="00F5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66AE"/>
  <w15:chartTrackingRefBased/>
  <w15:docId w15:val="{C88E739D-CD4A-4E4D-85F5-4FE34044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Header">
    <w:name w:val="header"/>
    <w:basedOn w:val="Normal"/>
    <w:link w:val="HeaderChar"/>
    <w:uiPriority w:val="99"/>
    <w:unhideWhenUsed/>
    <w:rsid w:val="00EA0D4C"/>
    <w:pPr>
      <w:tabs>
        <w:tab w:val="center" w:pos="4680"/>
        <w:tab w:val="right" w:pos="9360"/>
      </w:tabs>
    </w:pPr>
  </w:style>
  <w:style w:type="character" w:customStyle="1" w:styleId="HeaderChar">
    <w:name w:val="Header Char"/>
    <w:basedOn w:val="DefaultParagraphFont"/>
    <w:link w:val="Header"/>
    <w:uiPriority w:val="99"/>
    <w:rsid w:val="00EA0D4C"/>
    <w:rPr>
      <w:rFonts w:ascii="Times New Roman" w:hAnsi="Times New Roman" w:cs="Times New Roman"/>
      <w:sz w:val="24"/>
      <w:szCs w:val="24"/>
    </w:rPr>
  </w:style>
  <w:style w:type="paragraph" w:styleId="Footer">
    <w:name w:val="footer"/>
    <w:basedOn w:val="Normal"/>
    <w:link w:val="FooterChar"/>
    <w:uiPriority w:val="99"/>
    <w:unhideWhenUsed/>
    <w:rsid w:val="00EA0D4C"/>
    <w:pPr>
      <w:tabs>
        <w:tab w:val="center" w:pos="4680"/>
        <w:tab w:val="right" w:pos="9360"/>
      </w:tabs>
    </w:pPr>
  </w:style>
  <w:style w:type="character" w:customStyle="1" w:styleId="FooterChar">
    <w:name w:val="Footer Char"/>
    <w:basedOn w:val="DefaultParagraphFont"/>
    <w:link w:val="Footer"/>
    <w:uiPriority w:val="99"/>
    <w:rsid w:val="00EA0D4C"/>
    <w:rPr>
      <w:rFonts w:ascii="Times New Roman" w:hAnsi="Times New Roman" w:cs="Times New Roman"/>
      <w:sz w:val="24"/>
      <w:szCs w:val="24"/>
    </w:rPr>
  </w:style>
  <w:style w:type="character" w:customStyle="1" w:styleId="DocID">
    <w:name w:val="DocID"/>
    <w:basedOn w:val="DefaultParagraphFont"/>
    <w:uiPriority w:val="1"/>
    <w:rsid w:val="00EA0D4C"/>
    <w:rPr>
      <w:rFonts w:ascii="Times New Roman" w:hAnsi="Times New Roman"/>
      <w:sz w:val="16"/>
      <w:szCs w:val="16"/>
    </w:rPr>
  </w:style>
  <w:style w:type="paragraph" w:styleId="ListParagraph">
    <w:name w:val="List Paragraph"/>
    <w:basedOn w:val="Normal"/>
    <w:link w:val="ListParagraphChar"/>
    <w:uiPriority w:val="34"/>
    <w:qFormat/>
    <w:rsid w:val="00D50112"/>
    <w:pPr>
      <w:ind w:left="720"/>
      <w:contextualSpacing/>
    </w:pPr>
  </w:style>
  <w:style w:type="table" w:styleId="TableGrid">
    <w:name w:val="Table Grid"/>
    <w:basedOn w:val="TableNormal"/>
    <w:uiPriority w:val="59"/>
    <w:rsid w:val="00E1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12584"/>
    <w:rPr>
      <w:rFonts w:ascii="Segoe UI" w:hAnsi="Segoe UI" w:cs="Segoe UI" w:hint="default"/>
      <w:sz w:val="18"/>
      <w:szCs w:val="18"/>
    </w:rPr>
  </w:style>
  <w:style w:type="character" w:customStyle="1" w:styleId="ListParagraphChar">
    <w:name w:val="List Paragraph Char"/>
    <w:basedOn w:val="DefaultParagraphFont"/>
    <w:link w:val="ListParagraph"/>
    <w:uiPriority w:val="34"/>
    <w:rsid w:val="00E1258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03123"/>
    <w:rPr>
      <w:sz w:val="16"/>
      <w:szCs w:val="16"/>
    </w:rPr>
  </w:style>
  <w:style w:type="paragraph" w:styleId="CommentText">
    <w:name w:val="annotation text"/>
    <w:basedOn w:val="Normal"/>
    <w:link w:val="CommentTextChar"/>
    <w:uiPriority w:val="99"/>
    <w:semiHidden/>
    <w:unhideWhenUsed/>
    <w:rsid w:val="00D03123"/>
    <w:rPr>
      <w:sz w:val="20"/>
      <w:szCs w:val="20"/>
    </w:rPr>
  </w:style>
  <w:style w:type="character" w:customStyle="1" w:styleId="CommentTextChar">
    <w:name w:val="Comment Text Char"/>
    <w:basedOn w:val="DefaultParagraphFont"/>
    <w:link w:val="CommentText"/>
    <w:uiPriority w:val="99"/>
    <w:semiHidden/>
    <w:rsid w:val="00D0312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123"/>
    <w:rPr>
      <w:b/>
      <w:bCs/>
    </w:rPr>
  </w:style>
  <w:style w:type="character" w:customStyle="1" w:styleId="CommentSubjectChar">
    <w:name w:val="Comment Subject Char"/>
    <w:basedOn w:val="CommentTextChar"/>
    <w:link w:val="CommentSubject"/>
    <w:uiPriority w:val="99"/>
    <w:semiHidden/>
    <w:rsid w:val="00D0312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317">
      <w:bodyDiv w:val="1"/>
      <w:marLeft w:val="0"/>
      <w:marRight w:val="0"/>
      <w:marTop w:val="0"/>
      <w:marBottom w:val="0"/>
      <w:divBdr>
        <w:top w:val="none" w:sz="0" w:space="0" w:color="auto"/>
        <w:left w:val="none" w:sz="0" w:space="0" w:color="auto"/>
        <w:bottom w:val="none" w:sz="0" w:space="0" w:color="auto"/>
        <w:right w:val="none" w:sz="0" w:space="0" w:color="auto"/>
      </w:divBdr>
    </w:div>
    <w:div w:id="240220618">
      <w:bodyDiv w:val="1"/>
      <w:marLeft w:val="0"/>
      <w:marRight w:val="0"/>
      <w:marTop w:val="0"/>
      <w:marBottom w:val="0"/>
      <w:divBdr>
        <w:top w:val="none" w:sz="0" w:space="0" w:color="auto"/>
        <w:left w:val="none" w:sz="0" w:space="0" w:color="auto"/>
        <w:bottom w:val="none" w:sz="0" w:space="0" w:color="auto"/>
        <w:right w:val="none" w:sz="0" w:space="0" w:color="auto"/>
      </w:divBdr>
    </w:div>
    <w:div w:id="779959921">
      <w:bodyDiv w:val="1"/>
      <w:marLeft w:val="0"/>
      <w:marRight w:val="0"/>
      <w:marTop w:val="0"/>
      <w:marBottom w:val="0"/>
      <w:divBdr>
        <w:top w:val="none" w:sz="0" w:space="0" w:color="auto"/>
        <w:left w:val="none" w:sz="0" w:space="0" w:color="auto"/>
        <w:bottom w:val="none" w:sz="0" w:space="0" w:color="auto"/>
        <w:right w:val="none" w:sz="0" w:space="0" w:color="auto"/>
      </w:divBdr>
    </w:div>
    <w:div w:id="976762094">
      <w:bodyDiv w:val="1"/>
      <w:marLeft w:val="0"/>
      <w:marRight w:val="0"/>
      <w:marTop w:val="0"/>
      <w:marBottom w:val="0"/>
      <w:divBdr>
        <w:top w:val="none" w:sz="0" w:space="0" w:color="auto"/>
        <w:left w:val="none" w:sz="0" w:space="0" w:color="auto"/>
        <w:bottom w:val="none" w:sz="0" w:space="0" w:color="auto"/>
        <w:right w:val="none" w:sz="0" w:space="0" w:color="auto"/>
      </w:divBdr>
    </w:div>
    <w:div w:id="1218737052">
      <w:bodyDiv w:val="1"/>
      <w:marLeft w:val="0"/>
      <w:marRight w:val="0"/>
      <w:marTop w:val="0"/>
      <w:marBottom w:val="0"/>
      <w:divBdr>
        <w:top w:val="none" w:sz="0" w:space="0" w:color="auto"/>
        <w:left w:val="none" w:sz="0" w:space="0" w:color="auto"/>
        <w:bottom w:val="none" w:sz="0" w:space="0" w:color="auto"/>
        <w:right w:val="none" w:sz="0" w:space="0" w:color="auto"/>
      </w:divBdr>
    </w:div>
    <w:div w:id="1739866547">
      <w:bodyDiv w:val="1"/>
      <w:marLeft w:val="0"/>
      <w:marRight w:val="0"/>
      <w:marTop w:val="0"/>
      <w:marBottom w:val="0"/>
      <w:divBdr>
        <w:top w:val="none" w:sz="0" w:space="0" w:color="auto"/>
        <w:left w:val="none" w:sz="0" w:space="0" w:color="auto"/>
        <w:bottom w:val="none" w:sz="0" w:space="0" w:color="auto"/>
        <w:right w:val="none" w:sz="0" w:space="0" w:color="auto"/>
      </w:divBdr>
    </w:div>
    <w:div w:id="20688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Revital</dc:creator>
  <cp:keywords/>
  <dc:description/>
  <cp:lastModifiedBy>Braun, Revital</cp:lastModifiedBy>
  <cp:revision>6</cp:revision>
  <dcterms:created xsi:type="dcterms:W3CDTF">2023-01-05T21:36:00Z</dcterms:created>
  <dcterms:modified xsi:type="dcterms:W3CDTF">2023-01-11T15:16:00Z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4889-6063-2392.1</vt:lpwstr>
  </property>
  <property fmtid="{D5CDD505-2E9C-101B-9397-08002B2CF9AE}" pid="3" name="DocXLocation">
    <vt:lpwstr>Every Page</vt:lpwstr>
  </property>
  <property fmtid="{D5CDD505-2E9C-101B-9397-08002B2CF9AE}" pid="4" name="DocXFormat">
    <vt:lpwstr>HB DocID w/ver w/HB Label</vt:lpwstr>
  </property>
  <property fmtid="{D5CDD505-2E9C-101B-9397-08002B2CF9AE}" pid="5" name="ndDocumentId">
    <vt:lpwstr>4890-2164-3589</vt:lpwstr>
  </property>
</Properties>
</file>