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E0195" w14:textId="77777777" w:rsidR="00D223EB" w:rsidRPr="00C577F7" w:rsidRDefault="00D223EB" w:rsidP="00D223EB">
      <w:pPr>
        <w:jc w:val="center"/>
        <w:rPr>
          <w:rFonts w:ascii="Garamond" w:hAnsi="Garamond"/>
          <w:b/>
          <w:bCs/>
        </w:rPr>
      </w:pPr>
    </w:p>
    <w:p w14:paraId="1E6A601F" w14:textId="455DC089" w:rsidR="00D223EB" w:rsidRPr="00C577F7" w:rsidRDefault="00D223EB" w:rsidP="00D223EB">
      <w:pPr>
        <w:jc w:val="center"/>
        <w:rPr>
          <w:rFonts w:cstheme="minorHAnsi"/>
          <w:b/>
          <w:bCs/>
        </w:rPr>
      </w:pPr>
      <w:r w:rsidRPr="00C577F7">
        <w:rPr>
          <w:rFonts w:cstheme="minorHAnsi"/>
          <w:b/>
          <w:bCs/>
        </w:rPr>
        <w:t xml:space="preserve">APPLICANT </w:t>
      </w:r>
      <w:r w:rsidR="0001469B">
        <w:rPr>
          <w:rFonts w:cstheme="minorHAnsi"/>
          <w:b/>
          <w:bCs/>
        </w:rPr>
        <w:t>RESPONSES #2</w:t>
      </w:r>
    </w:p>
    <w:p w14:paraId="71F6355D" w14:textId="77777777" w:rsidR="00D223EB" w:rsidRPr="00C577F7" w:rsidRDefault="00D223EB" w:rsidP="00D223EB">
      <w:pPr>
        <w:jc w:val="center"/>
        <w:rPr>
          <w:rFonts w:cstheme="minorHAnsi"/>
        </w:rPr>
      </w:pPr>
      <w:r w:rsidRPr="00C577F7">
        <w:rPr>
          <w:rFonts w:cstheme="minorHAnsi"/>
          <w:i/>
          <w:iCs/>
        </w:rPr>
        <w:t xml:space="preserve">Responses should be sent to </w:t>
      </w:r>
      <w:proofErr w:type="spellStart"/>
      <w:r w:rsidRPr="00C577F7">
        <w:rPr>
          <w:rFonts w:cstheme="minorHAnsi"/>
          <w:i/>
          <w:iCs/>
        </w:rPr>
        <w:t>DoN</w:t>
      </w:r>
      <w:proofErr w:type="spellEnd"/>
      <w:r w:rsidRPr="00C577F7">
        <w:rPr>
          <w:rFonts w:cstheme="minorHAnsi"/>
          <w:i/>
          <w:iCs/>
        </w:rPr>
        <w:t xml:space="preserve"> staff at </w:t>
      </w:r>
      <w:hyperlink r:id="rId8" w:history="1">
        <w:r w:rsidRPr="00C577F7">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223EB" w:rsidRPr="00C577F7" w14:paraId="57106F2B" w14:textId="77777777" w:rsidTr="008B5D5E">
        <w:trPr>
          <w:jc w:val="center"/>
        </w:trPr>
        <w:tc>
          <w:tcPr>
            <w:tcW w:w="9350" w:type="dxa"/>
          </w:tcPr>
          <w:p w14:paraId="0D6A2228" w14:textId="77777777" w:rsidR="00D223EB" w:rsidRPr="00C577F7" w:rsidRDefault="00D223EB" w:rsidP="008B5D5E">
            <w:pPr>
              <w:rPr>
                <w:rFonts w:cstheme="minorHAnsi"/>
                <w:bCs/>
              </w:rPr>
            </w:pPr>
            <w:r w:rsidRPr="00C577F7">
              <w:rPr>
                <w:rFonts w:cstheme="minorHAnsi"/>
                <w:bCs/>
              </w:rPr>
              <w:t xml:space="preserve">While you may submit each answer as available, please </w:t>
            </w:r>
          </w:p>
          <w:p w14:paraId="3BAD0544" w14:textId="77777777" w:rsidR="00D223EB" w:rsidRPr="00C577F7" w:rsidRDefault="00D223EB" w:rsidP="00D223EB">
            <w:pPr>
              <w:pStyle w:val="ListParagraph"/>
              <w:numPr>
                <w:ilvl w:val="0"/>
                <w:numId w:val="4"/>
              </w:numPr>
              <w:rPr>
                <w:rFonts w:cstheme="minorHAnsi"/>
                <w:bCs/>
              </w:rPr>
            </w:pPr>
            <w:r w:rsidRPr="00C577F7">
              <w:rPr>
                <w:rFonts w:cstheme="minorHAnsi"/>
                <w:bCs/>
              </w:rPr>
              <w:t xml:space="preserve">List question number and question for each answer you provide </w:t>
            </w:r>
          </w:p>
          <w:p w14:paraId="77AFC609" w14:textId="77777777" w:rsidR="00D223EB" w:rsidRPr="00C577F7" w:rsidRDefault="00D223EB" w:rsidP="00D223EB">
            <w:pPr>
              <w:pStyle w:val="ListParagraph"/>
              <w:numPr>
                <w:ilvl w:val="0"/>
                <w:numId w:val="4"/>
              </w:numPr>
              <w:rPr>
                <w:rFonts w:cstheme="minorHAnsi"/>
                <w:bCs/>
              </w:rPr>
            </w:pPr>
            <w:r w:rsidRPr="00C577F7">
              <w:rPr>
                <w:rFonts w:cstheme="minorHAnsi"/>
                <w:bCs/>
              </w:rPr>
              <w:t xml:space="preserve">Submit responses as a separate word document, using the above application title and number as a running header and page numbers in the footer </w:t>
            </w:r>
          </w:p>
          <w:p w14:paraId="2D4D3A49" w14:textId="77777777" w:rsidR="00D223EB" w:rsidRPr="00C577F7" w:rsidRDefault="00D223EB" w:rsidP="00D223EB">
            <w:pPr>
              <w:pStyle w:val="ListParagraph"/>
              <w:numPr>
                <w:ilvl w:val="0"/>
                <w:numId w:val="4"/>
              </w:numPr>
              <w:rPr>
                <w:rFonts w:cstheme="minorHAnsi"/>
                <w:bCs/>
              </w:rPr>
            </w:pPr>
            <w:r w:rsidRPr="00C577F7">
              <w:rPr>
                <w:rFonts w:cstheme="minorHAnsi"/>
                <w:bCs/>
              </w:rPr>
              <w:t xml:space="preserve">When providing the answer to the final question, submit all questions and answers in one final document </w:t>
            </w:r>
          </w:p>
          <w:p w14:paraId="06C1D578" w14:textId="77777777" w:rsidR="00D223EB" w:rsidRPr="00C577F7" w:rsidRDefault="00D223EB" w:rsidP="00D223EB">
            <w:pPr>
              <w:pStyle w:val="ListParagraph"/>
              <w:numPr>
                <w:ilvl w:val="0"/>
                <w:numId w:val="4"/>
              </w:numPr>
              <w:rPr>
                <w:rFonts w:cstheme="minorHAnsi"/>
                <w:b/>
              </w:rPr>
            </w:pPr>
            <w:r w:rsidRPr="00C577F7">
              <w:rPr>
                <w:rFonts w:cstheme="minorHAnsi"/>
                <w:bCs/>
              </w:rPr>
              <w:t xml:space="preserve">Submit responses in WORD or EXCEL; only use PDF’s if </w:t>
            </w:r>
            <w:proofErr w:type="gramStart"/>
            <w:r w:rsidRPr="00C577F7">
              <w:rPr>
                <w:rFonts w:cstheme="minorHAnsi"/>
                <w:bCs/>
              </w:rPr>
              <w:t>absolutely necessary</w:t>
            </w:r>
            <w:proofErr w:type="gramEnd"/>
            <w:r w:rsidRPr="00C577F7">
              <w:rPr>
                <w:rFonts w:cstheme="minorHAnsi"/>
                <w:bCs/>
              </w:rPr>
              <w:t>. If “cutting and pasting” charts, provide them in a PDF so they can be clearly seen</w:t>
            </w:r>
          </w:p>
          <w:p w14:paraId="552712FE" w14:textId="77777777" w:rsidR="00D223EB" w:rsidRPr="00C577F7" w:rsidRDefault="00D223EB" w:rsidP="00D223EB">
            <w:pPr>
              <w:pStyle w:val="ListParagraph"/>
              <w:numPr>
                <w:ilvl w:val="0"/>
                <w:numId w:val="4"/>
              </w:numPr>
              <w:rPr>
                <w:rFonts w:cstheme="minorHAnsi"/>
                <w:b/>
              </w:rPr>
            </w:pPr>
            <w:r w:rsidRPr="00C577F7">
              <w:rPr>
                <w:rFonts w:cstheme="minorHAnsi"/>
                <w:b/>
              </w:rPr>
              <w:t>Whenever possible, include a table with the response</w:t>
            </w:r>
          </w:p>
        </w:tc>
      </w:tr>
    </w:tbl>
    <w:p w14:paraId="2758094D" w14:textId="58005D3F" w:rsidR="00032FF5" w:rsidRPr="00C577F7" w:rsidRDefault="00032FF5"/>
    <w:p w14:paraId="57EB74AA" w14:textId="6F09F580" w:rsidR="00E0307B" w:rsidRPr="00C577F7" w:rsidRDefault="00911747" w:rsidP="007F6742">
      <w:pPr>
        <w:tabs>
          <w:tab w:val="left" w:pos="4455"/>
        </w:tabs>
        <w:rPr>
          <w:b/>
          <w:bCs/>
        </w:rPr>
      </w:pPr>
      <w:r w:rsidRPr="00C577F7">
        <w:rPr>
          <w:b/>
          <w:bCs/>
        </w:rPr>
        <w:t>FACTOR 1</w:t>
      </w:r>
    </w:p>
    <w:p w14:paraId="6247B1F7" w14:textId="7331BEC9" w:rsidR="00F77CB4" w:rsidRPr="004506DE" w:rsidRDefault="007D261F" w:rsidP="004506DE">
      <w:pPr>
        <w:pStyle w:val="ListParagraph"/>
        <w:numPr>
          <w:ilvl w:val="0"/>
          <w:numId w:val="22"/>
        </w:numPr>
        <w:tabs>
          <w:tab w:val="left" w:pos="4455"/>
        </w:tabs>
      </w:pPr>
      <w:r w:rsidRPr="00C577F7">
        <w:t>The application states that the Proposed Project includes</w:t>
      </w:r>
      <w:r w:rsidR="0000139D" w:rsidRPr="00C577F7">
        <w:t xml:space="preserve"> “Other renovation projects</w:t>
      </w:r>
      <w:r w:rsidR="009E3DE9" w:rsidRPr="00C577F7">
        <w:t xml:space="preserve"> to improve </w:t>
      </w:r>
      <w:r w:rsidR="00F52031" w:rsidRPr="00C577F7">
        <w:t>existing services and facilities at Memorial Campus</w:t>
      </w:r>
      <w:r w:rsidR="00413809" w:rsidRPr="00C577F7">
        <w:t>” and the notice of intent states that the renovations will occur at University and Memorial Campus</w:t>
      </w:r>
      <w:r w:rsidR="00D33E84">
        <w:t>es</w:t>
      </w:r>
      <w:r w:rsidR="00413809" w:rsidRPr="00C577F7">
        <w:t xml:space="preserve">. Please confirm where the renovations to </w:t>
      </w:r>
      <w:r w:rsidR="00561DCE" w:rsidRPr="00C577F7">
        <w:t>improve existing facilities and services will occur.</w:t>
      </w:r>
    </w:p>
    <w:p w14:paraId="6C1C2057" w14:textId="687822F7" w:rsidR="00C114D7" w:rsidRPr="004506DE" w:rsidRDefault="004506DE" w:rsidP="004506DE">
      <w:pPr>
        <w:tabs>
          <w:tab w:val="left" w:pos="4455"/>
        </w:tabs>
        <w:ind w:left="720"/>
        <w:jc w:val="both"/>
        <w:rPr>
          <w:b/>
          <w:bCs/>
        </w:rPr>
      </w:pPr>
      <w:r w:rsidRPr="004506DE">
        <w:rPr>
          <w:b/>
          <w:bCs/>
        </w:rPr>
        <w:t>The other renovation projects to improve existing services and facilities will occur at Memorial Campus only.  The two projects are the expansion of morgue services</w:t>
      </w:r>
      <w:r w:rsidR="00E03AB6">
        <w:rPr>
          <w:b/>
          <w:bCs/>
        </w:rPr>
        <w:t>,</w:t>
      </w:r>
      <w:r w:rsidRPr="004506DE">
        <w:rPr>
          <w:b/>
          <w:bCs/>
        </w:rPr>
        <w:t xml:space="preserve"> as well as the replacement of a Nuclear Medicine machine that requires renovations to </w:t>
      </w:r>
      <w:r w:rsidR="00E03AB6">
        <w:rPr>
          <w:b/>
          <w:bCs/>
        </w:rPr>
        <w:t xml:space="preserve">existing </w:t>
      </w:r>
      <w:r w:rsidRPr="004506DE">
        <w:rPr>
          <w:b/>
          <w:bCs/>
        </w:rPr>
        <w:t>space to allow for a larger machine than currently exists in the space.</w:t>
      </w:r>
    </w:p>
    <w:p w14:paraId="4BB6C403" w14:textId="3D233A2E" w:rsidR="004506DE" w:rsidRDefault="00D472F1" w:rsidP="004506DE">
      <w:pPr>
        <w:pStyle w:val="ListParagraph"/>
        <w:numPr>
          <w:ilvl w:val="0"/>
          <w:numId w:val="22"/>
        </w:numPr>
        <w:tabs>
          <w:tab w:val="left" w:pos="4455"/>
        </w:tabs>
      </w:pPr>
      <w:r w:rsidRPr="00C577F7">
        <w:t xml:space="preserve">Some of the historical discharge data that was provided in the application </w:t>
      </w:r>
      <w:r w:rsidR="00AC11E9" w:rsidRPr="00C577F7">
        <w:t xml:space="preserve">and responses </w:t>
      </w:r>
      <w:r w:rsidRPr="00C577F7">
        <w:t>differed</w:t>
      </w:r>
      <w:r w:rsidR="00AC11E9" w:rsidRPr="00C577F7">
        <w:t xml:space="preserve">. </w:t>
      </w:r>
      <w:r w:rsidR="00D24132" w:rsidRPr="00C577F7">
        <w:t xml:space="preserve">(Table 6: UMass Memorial Medical Center Historical Medical/Surgical Utilization by Age, </w:t>
      </w:r>
      <w:r w:rsidR="00433F12" w:rsidRPr="00C577F7">
        <w:t xml:space="preserve">Table 5: UMass Memorial Medical Center Historical Medical/Surgical Utilization, </w:t>
      </w:r>
      <w:r w:rsidR="00550E7B" w:rsidRPr="00C577F7">
        <w:t xml:space="preserve">and </w:t>
      </w:r>
      <w:r w:rsidR="00433F12" w:rsidRPr="00C577F7">
        <w:t xml:space="preserve">Response to </w:t>
      </w:r>
      <w:proofErr w:type="spellStart"/>
      <w:r w:rsidR="00433F12" w:rsidRPr="00C577F7">
        <w:t>DoN</w:t>
      </w:r>
      <w:proofErr w:type="spellEnd"/>
      <w:r w:rsidR="00433F12" w:rsidRPr="00C577F7">
        <w:t xml:space="preserve"> Question #5). </w:t>
      </w:r>
      <w:r w:rsidR="00AC11E9" w:rsidRPr="00C577F7">
        <w:t>Briefly explain the reason for the change, in general.</w:t>
      </w:r>
    </w:p>
    <w:p w14:paraId="32097A4B" w14:textId="253FF9E4" w:rsidR="00B94B00" w:rsidRPr="004506DE" w:rsidRDefault="004506DE" w:rsidP="001E3131">
      <w:pPr>
        <w:tabs>
          <w:tab w:val="left" w:pos="4455"/>
        </w:tabs>
        <w:ind w:left="720"/>
        <w:jc w:val="both"/>
        <w:rPr>
          <w:b/>
          <w:bCs/>
        </w:rPr>
      </w:pPr>
      <w:r w:rsidRPr="004506DE">
        <w:rPr>
          <w:b/>
          <w:bCs/>
        </w:rPr>
        <w:t>Days, Discharges, ALOS, and Occupancy information provided in Table 5</w:t>
      </w:r>
      <w:r w:rsidR="00E03AB6">
        <w:rPr>
          <w:b/>
          <w:bCs/>
        </w:rPr>
        <w:t xml:space="preserve"> of the application</w:t>
      </w:r>
      <w:r w:rsidRPr="004506DE">
        <w:rPr>
          <w:b/>
          <w:bCs/>
        </w:rPr>
        <w:t xml:space="preserve"> represents data from 403 Hospital Cost Report filings for FY19 through FY21.  In </w:t>
      </w:r>
      <w:r w:rsidR="00E03AB6">
        <w:rPr>
          <w:b/>
          <w:bCs/>
        </w:rPr>
        <w:t xml:space="preserve">response to the </w:t>
      </w:r>
      <w:proofErr w:type="spellStart"/>
      <w:r w:rsidR="00E03AB6">
        <w:rPr>
          <w:b/>
          <w:bCs/>
        </w:rPr>
        <w:t>DoN</w:t>
      </w:r>
      <w:proofErr w:type="spellEnd"/>
      <w:r w:rsidR="00E03AB6">
        <w:rPr>
          <w:b/>
          <w:bCs/>
        </w:rPr>
        <w:t xml:space="preserve"> Program’s request to </w:t>
      </w:r>
      <w:r w:rsidRPr="004506DE">
        <w:rPr>
          <w:b/>
          <w:bCs/>
        </w:rPr>
        <w:t>identify a</w:t>
      </w:r>
      <w:r w:rsidR="00E03AB6">
        <w:rPr>
          <w:b/>
          <w:bCs/>
        </w:rPr>
        <w:t>verage</w:t>
      </w:r>
      <w:r w:rsidRPr="004506DE">
        <w:rPr>
          <w:b/>
          <w:bCs/>
        </w:rPr>
        <w:t xml:space="preserve"> case mix and age information, UMMHC utilized the EPSI decision support tool</w:t>
      </w:r>
      <w:r w:rsidR="00E03AB6">
        <w:rPr>
          <w:b/>
          <w:bCs/>
        </w:rPr>
        <w:t xml:space="preserve"> as this information is not available in the 403 Cost Report</w:t>
      </w:r>
      <w:r w:rsidRPr="004506DE">
        <w:rPr>
          <w:b/>
          <w:bCs/>
        </w:rPr>
        <w:t xml:space="preserve">.  </w:t>
      </w:r>
      <w:r w:rsidR="00E03AB6">
        <w:rPr>
          <w:b/>
          <w:bCs/>
        </w:rPr>
        <w:t>Because</w:t>
      </w:r>
      <w:r w:rsidRPr="004506DE">
        <w:rPr>
          <w:b/>
          <w:bCs/>
        </w:rPr>
        <w:t xml:space="preserve"> the data</w:t>
      </w:r>
      <w:r w:rsidR="00E03AB6">
        <w:rPr>
          <w:b/>
          <w:bCs/>
        </w:rPr>
        <w:t xml:space="preserve"> used in each table is from </w:t>
      </w:r>
      <w:r w:rsidRPr="004506DE">
        <w:rPr>
          <w:b/>
          <w:bCs/>
        </w:rPr>
        <w:t xml:space="preserve">different sources it is difficult to fully align EPSI results with how Med/Surg patients are defined under the 403 cost reporting requirements.  Additionally, the data presented in the 403 Cost Report filing is a based on a static </w:t>
      </w:r>
      <w:proofErr w:type="gramStart"/>
      <w:r w:rsidRPr="004506DE">
        <w:rPr>
          <w:b/>
          <w:bCs/>
        </w:rPr>
        <w:t>period of time</w:t>
      </w:r>
      <w:proofErr w:type="gramEnd"/>
      <w:r w:rsidRPr="004506DE">
        <w:rPr>
          <w:b/>
          <w:bCs/>
        </w:rPr>
        <w:t>, whereas the data from EPSI is based on real time data that accounts for any changes in a patient’s billing record.</w:t>
      </w:r>
    </w:p>
    <w:p w14:paraId="5DC33676" w14:textId="73833090" w:rsidR="00F52031" w:rsidRDefault="00F52031" w:rsidP="00B94B00">
      <w:pPr>
        <w:pStyle w:val="ListParagraph"/>
        <w:numPr>
          <w:ilvl w:val="0"/>
          <w:numId w:val="22"/>
        </w:numPr>
        <w:tabs>
          <w:tab w:val="left" w:pos="4455"/>
        </w:tabs>
      </w:pPr>
      <w:bookmarkStart w:id="0" w:name="_Hlk113008919"/>
      <w:r w:rsidRPr="00C577F7">
        <w:t xml:space="preserve">The responses to </w:t>
      </w:r>
      <w:proofErr w:type="spellStart"/>
      <w:r w:rsidRPr="00C577F7">
        <w:t>DoN</w:t>
      </w:r>
      <w:proofErr w:type="spellEnd"/>
      <w:r w:rsidRPr="00C577F7">
        <w:t xml:space="preserve"> Question</w:t>
      </w:r>
      <w:r w:rsidR="008E614C" w:rsidRPr="00C577F7">
        <w:t xml:space="preserve"> #12</w:t>
      </w:r>
      <w:r w:rsidRPr="00C577F7">
        <w:t xml:space="preserve">, states that the Applicant </w:t>
      </w:r>
      <w:proofErr w:type="gramStart"/>
      <w:r w:rsidRPr="00C577F7">
        <w:t>actually needs</w:t>
      </w:r>
      <w:proofErr w:type="gramEnd"/>
      <w:r w:rsidRPr="00C577F7">
        <w:t xml:space="preserve"> 3</w:t>
      </w:r>
      <w:r w:rsidR="0071476D" w:rsidRPr="00C577F7">
        <w:t>18</w:t>
      </w:r>
      <w:r w:rsidRPr="00C577F7">
        <w:t xml:space="preserve"> M/S beds to address current capacity constraints. How did you determine that 3</w:t>
      </w:r>
      <w:r w:rsidR="008E614C" w:rsidRPr="00C577F7">
        <w:t>18</w:t>
      </w:r>
      <w:r w:rsidRPr="00C577F7">
        <w:t xml:space="preserve"> beds are needed? Explain the methodology</w:t>
      </w:r>
      <w:r w:rsidR="00A8178B" w:rsidRPr="00C577F7">
        <w:t>, and data sources</w:t>
      </w:r>
      <w:r w:rsidRPr="00C577F7">
        <w:t xml:space="preserve"> used.</w:t>
      </w:r>
    </w:p>
    <w:p w14:paraId="0AEAEA5E" w14:textId="04FE597C" w:rsidR="00F77CB4" w:rsidRPr="001837AC" w:rsidRDefault="001837AC" w:rsidP="001837AC">
      <w:pPr>
        <w:tabs>
          <w:tab w:val="left" w:pos="4455"/>
        </w:tabs>
        <w:ind w:left="720"/>
        <w:rPr>
          <w:b/>
          <w:bCs/>
        </w:rPr>
      </w:pPr>
      <w:r>
        <w:rPr>
          <w:b/>
          <w:bCs/>
        </w:rPr>
        <w:t xml:space="preserve">The Applicant reviewed UMass Donahue 2020 Population Estimates and CHIA 2020 Licensed Beds Data to determine the number of beds per 1,000 residents in each region of Massachusetts (Cape &amp; </w:t>
      </w:r>
      <w:r>
        <w:rPr>
          <w:b/>
          <w:bCs/>
        </w:rPr>
        <w:lastRenderedPageBreak/>
        <w:t>Islands, Eastern MA, Central MA, and Western MA). Based on its analysis of licensed beds for each region</w:t>
      </w:r>
      <w:r w:rsidR="00E03AB6">
        <w:rPr>
          <w:b/>
          <w:bCs/>
        </w:rPr>
        <w:t xml:space="preserve"> by population</w:t>
      </w:r>
      <w:r>
        <w:rPr>
          <w:b/>
          <w:bCs/>
        </w:rPr>
        <w:t xml:space="preserve">, UMMH determined that Central MA has 236 fewer beds than the State on average, and 318 fewer beds when compared to Eastern MA. </w:t>
      </w:r>
    </w:p>
    <w:bookmarkEnd w:id="0"/>
    <w:p w14:paraId="00CDE48E" w14:textId="77777777" w:rsidR="00B94B00" w:rsidRDefault="00B94B00" w:rsidP="00B94B00">
      <w:pPr>
        <w:pStyle w:val="ListParagraph"/>
      </w:pPr>
    </w:p>
    <w:p w14:paraId="2CF2B287" w14:textId="672BF2AE" w:rsidR="00BB6171" w:rsidRDefault="00BA5C9C" w:rsidP="00E431C4">
      <w:pPr>
        <w:pStyle w:val="ListParagraph"/>
        <w:numPr>
          <w:ilvl w:val="0"/>
          <w:numId w:val="22"/>
        </w:numPr>
        <w:tabs>
          <w:tab w:val="left" w:pos="4455"/>
        </w:tabs>
      </w:pPr>
      <w:r w:rsidRPr="00C577F7">
        <w:t>C</w:t>
      </w:r>
      <w:r w:rsidR="00BB6171" w:rsidRPr="00C577F7">
        <w:t xml:space="preserve">onfirm the existing number of M/S beds on University Campus and Memorial Campus. </w:t>
      </w:r>
    </w:p>
    <w:p w14:paraId="41271869" w14:textId="77777777" w:rsidR="00F77CB4" w:rsidRDefault="00F77CB4" w:rsidP="00F77CB4">
      <w:pPr>
        <w:pStyle w:val="ListParagraph"/>
      </w:pPr>
    </w:p>
    <w:p w14:paraId="1C09DB19" w14:textId="2A97F191" w:rsidR="00F77CB4" w:rsidRPr="00F77CB4" w:rsidRDefault="00F77CB4" w:rsidP="00F77CB4">
      <w:pPr>
        <w:pStyle w:val="ListParagraph"/>
        <w:tabs>
          <w:tab w:val="left" w:pos="4455"/>
        </w:tabs>
        <w:rPr>
          <w:b/>
          <w:bCs/>
        </w:rPr>
      </w:pPr>
      <w:r w:rsidRPr="00F77CB4">
        <w:rPr>
          <w:b/>
          <w:bCs/>
        </w:rPr>
        <w:t>187</w:t>
      </w:r>
      <w:r w:rsidR="00F0776C">
        <w:rPr>
          <w:b/>
          <w:bCs/>
        </w:rPr>
        <w:t xml:space="preserve"> licensed</w:t>
      </w:r>
      <w:r w:rsidRPr="00F77CB4">
        <w:rPr>
          <w:b/>
          <w:bCs/>
        </w:rPr>
        <w:t xml:space="preserve"> M/S beds at Memorial Campus</w:t>
      </w:r>
      <w:r w:rsidR="00E03AB6">
        <w:rPr>
          <w:b/>
          <w:bCs/>
        </w:rPr>
        <w:t xml:space="preserve"> </w:t>
      </w:r>
    </w:p>
    <w:p w14:paraId="7C77CA8C" w14:textId="6B03455F" w:rsidR="00F77CB4" w:rsidRPr="00F77CB4" w:rsidRDefault="00F77CB4" w:rsidP="00F77CB4">
      <w:pPr>
        <w:pStyle w:val="ListParagraph"/>
        <w:tabs>
          <w:tab w:val="left" w:pos="4455"/>
        </w:tabs>
        <w:rPr>
          <w:b/>
          <w:bCs/>
        </w:rPr>
      </w:pPr>
      <w:r w:rsidRPr="00F77CB4">
        <w:rPr>
          <w:b/>
          <w:bCs/>
        </w:rPr>
        <w:t>275</w:t>
      </w:r>
      <w:r w:rsidR="00F0776C">
        <w:rPr>
          <w:b/>
          <w:bCs/>
        </w:rPr>
        <w:t xml:space="preserve"> licensed</w:t>
      </w:r>
      <w:r w:rsidRPr="00F77CB4">
        <w:rPr>
          <w:b/>
          <w:bCs/>
        </w:rPr>
        <w:t xml:space="preserve"> M/S beds at University Campus </w:t>
      </w:r>
    </w:p>
    <w:p w14:paraId="1B470F00" w14:textId="77777777" w:rsidR="00B94B00" w:rsidRDefault="00B94B00" w:rsidP="00B94B00">
      <w:pPr>
        <w:pStyle w:val="ListParagraph"/>
      </w:pPr>
    </w:p>
    <w:p w14:paraId="3B9E3412" w14:textId="2860091B" w:rsidR="0016205E" w:rsidRDefault="00A8178B" w:rsidP="0016205E">
      <w:pPr>
        <w:pStyle w:val="ListParagraph"/>
        <w:numPr>
          <w:ilvl w:val="0"/>
          <w:numId w:val="22"/>
        </w:numPr>
        <w:tabs>
          <w:tab w:val="left" w:pos="4455"/>
        </w:tabs>
      </w:pPr>
      <w:r w:rsidRPr="00C577F7">
        <w:t>C</w:t>
      </w:r>
      <w:r w:rsidR="00C34501" w:rsidRPr="00C577F7">
        <w:t xml:space="preserve">onfirm the number of patients screened for </w:t>
      </w:r>
      <w:proofErr w:type="spellStart"/>
      <w:r w:rsidR="00C34501" w:rsidRPr="00C577F7">
        <w:t>SDoH</w:t>
      </w:r>
      <w:proofErr w:type="spellEnd"/>
      <w:r w:rsidR="00C34501" w:rsidRPr="00C577F7">
        <w:t xml:space="preserve">, provided in response to </w:t>
      </w:r>
      <w:proofErr w:type="spellStart"/>
      <w:r w:rsidR="00C34501" w:rsidRPr="00C577F7">
        <w:t>DoN</w:t>
      </w:r>
      <w:proofErr w:type="spellEnd"/>
      <w:r w:rsidR="00C34501" w:rsidRPr="00C577F7">
        <w:t xml:space="preserve"> Question </w:t>
      </w:r>
      <w:r w:rsidR="00BF2CDA" w:rsidRPr="00C577F7">
        <w:t xml:space="preserve">#19. </w:t>
      </w:r>
      <w:r w:rsidR="00BA5C9C" w:rsidRPr="00C577F7">
        <w:t>The response states, “</w:t>
      </w:r>
      <w:r w:rsidR="00935D0E" w:rsidRPr="00C577F7">
        <w:t>In addition, 45,</w:t>
      </w:r>
      <w:proofErr w:type="gramStart"/>
      <w:r w:rsidR="00935D0E" w:rsidRPr="00C577F7">
        <w:t>28  patients</w:t>
      </w:r>
      <w:proofErr w:type="gramEnd"/>
      <w:r w:rsidR="00935D0E" w:rsidRPr="00C577F7">
        <w:t xml:space="preserve"> have been screened for </w:t>
      </w:r>
      <w:proofErr w:type="spellStart"/>
      <w:r w:rsidR="00935D0E" w:rsidRPr="00C577F7">
        <w:t>SDoH</w:t>
      </w:r>
      <w:proofErr w:type="spellEnd"/>
      <w:r w:rsidR="00935D0E" w:rsidRPr="00C577F7">
        <w:t xml:space="preserve"> needs through July 31, 2022, representing 21.3% of all UMMMG patients.</w:t>
      </w:r>
      <w:r w:rsidR="00BA5C9C" w:rsidRPr="00C577F7">
        <w:t>”</w:t>
      </w:r>
      <w:r w:rsidR="00AC11E9" w:rsidRPr="00C577F7">
        <w:t xml:space="preserve"> </w:t>
      </w:r>
    </w:p>
    <w:p w14:paraId="40565661" w14:textId="77777777" w:rsidR="00476549" w:rsidRDefault="00476549" w:rsidP="00476549">
      <w:pPr>
        <w:pStyle w:val="ListParagraph"/>
      </w:pPr>
    </w:p>
    <w:p w14:paraId="074A16B8" w14:textId="46C8379B" w:rsidR="00476549" w:rsidRPr="00476549" w:rsidRDefault="00476549" w:rsidP="00476549">
      <w:pPr>
        <w:pStyle w:val="ListParagraph"/>
        <w:tabs>
          <w:tab w:val="left" w:pos="4455"/>
        </w:tabs>
        <w:rPr>
          <w:b/>
          <w:bCs/>
        </w:rPr>
      </w:pPr>
      <w:r w:rsidRPr="0001469B">
        <w:rPr>
          <w:b/>
          <w:bCs/>
          <w:u w:val="single"/>
        </w:rPr>
        <w:t>45,285</w:t>
      </w:r>
      <w:r>
        <w:rPr>
          <w:b/>
          <w:bCs/>
        </w:rPr>
        <w:t xml:space="preserve"> patients </w:t>
      </w:r>
      <w:r w:rsidR="00E03AB6">
        <w:rPr>
          <w:b/>
          <w:bCs/>
        </w:rPr>
        <w:t xml:space="preserve">were </w:t>
      </w:r>
      <w:r>
        <w:rPr>
          <w:b/>
          <w:bCs/>
        </w:rPr>
        <w:t xml:space="preserve">screened for </w:t>
      </w:r>
      <w:proofErr w:type="spellStart"/>
      <w:r>
        <w:rPr>
          <w:b/>
          <w:bCs/>
        </w:rPr>
        <w:t>SDoH</w:t>
      </w:r>
      <w:proofErr w:type="spellEnd"/>
      <w:r>
        <w:rPr>
          <w:b/>
          <w:bCs/>
        </w:rPr>
        <w:t xml:space="preserve"> need through July 31, 2022. </w:t>
      </w:r>
    </w:p>
    <w:p w14:paraId="3F4060CB" w14:textId="77777777" w:rsidR="0016205E" w:rsidRDefault="0016205E" w:rsidP="0016205E">
      <w:pPr>
        <w:pStyle w:val="ListParagraph"/>
      </w:pPr>
    </w:p>
    <w:p w14:paraId="2354EC51" w14:textId="7BA31D0B" w:rsidR="0016205E" w:rsidRDefault="00A20AE7" w:rsidP="0016205E">
      <w:pPr>
        <w:pStyle w:val="ListParagraph"/>
        <w:numPr>
          <w:ilvl w:val="0"/>
          <w:numId w:val="22"/>
        </w:numPr>
        <w:tabs>
          <w:tab w:val="left" w:pos="4455"/>
        </w:tabs>
      </w:pPr>
      <w:r>
        <w:t xml:space="preserve">The Application states that </w:t>
      </w:r>
      <w:r w:rsidRPr="00A20AE7">
        <w:t>as a tertiary</w:t>
      </w:r>
      <w:r w:rsidR="0016205E">
        <w:t xml:space="preserve"> </w:t>
      </w:r>
      <w:r w:rsidRPr="00A20AE7">
        <w:t>hospital offering specialized care not available elsewhere in Central Massachusetts, sufficient inpatient</w:t>
      </w:r>
      <w:r w:rsidR="0016205E">
        <w:t xml:space="preserve"> </w:t>
      </w:r>
      <w:r w:rsidRPr="00A20AE7">
        <w:t>capacity will ensure that the Hospital can accept transfers from area community hospitals</w:t>
      </w:r>
      <w:r w:rsidR="00FA2C9A">
        <w:t xml:space="preserve"> for patients who require more complex care</w:t>
      </w:r>
      <w:r>
        <w:t xml:space="preserve"> (pg.1)</w:t>
      </w:r>
      <w:r w:rsidRPr="00A20AE7">
        <w:t>.</w:t>
      </w:r>
      <w:r w:rsidR="006C7E0A">
        <w:t xml:space="preserve"> In addition, t</w:t>
      </w:r>
      <w:r w:rsidR="006C7E0A" w:rsidRPr="006C7E0A">
        <w:t>he Proposed Project seeks to ensure patients receive care in their community, in the right care setting,</w:t>
      </w:r>
      <w:r w:rsidR="006C7E0A">
        <w:t xml:space="preserve"> </w:t>
      </w:r>
      <w:r w:rsidR="006C7E0A" w:rsidRPr="006C7E0A">
        <w:t>and in a timely manner</w:t>
      </w:r>
      <w:r w:rsidR="006C7E0A">
        <w:t xml:space="preserve"> (pg.9)</w:t>
      </w:r>
      <w:r w:rsidR="006C7E0A" w:rsidRPr="006C7E0A">
        <w:t>.</w:t>
      </w:r>
    </w:p>
    <w:p w14:paraId="5769B4C7" w14:textId="2D61EBFE" w:rsidR="005400E1" w:rsidRDefault="006C7E0A" w:rsidP="001B19EC">
      <w:pPr>
        <w:pStyle w:val="ListParagraph"/>
        <w:numPr>
          <w:ilvl w:val="1"/>
          <w:numId w:val="22"/>
        </w:numPr>
      </w:pPr>
      <w:r>
        <w:t>How is UMMMC</w:t>
      </w:r>
      <w:r w:rsidR="005E26B1" w:rsidRPr="00C577F7">
        <w:t xml:space="preserve"> working with </w:t>
      </w:r>
      <w:r w:rsidR="008C0FFE">
        <w:t>its</w:t>
      </w:r>
      <w:r w:rsidR="005E26B1" w:rsidRPr="00C577F7">
        <w:t xml:space="preserve"> community hospitals to ensure that patients who can remain in the local hospitals are</w:t>
      </w:r>
      <w:r w:rsidR="006B6E2D">
        <w:t>?</w:t>
      </w:r>
      <w:r w:rsidR="005E26B1" w:rsidRPr="00C577F7">
        <w:t xml:space="preserve"> </w:t>
      </w:r>
    </w:p>
    <w:p w14:paraId="0AF3050A" w14:textId="3AF2E3C3" w:rsidR="005400E1" w:rsidRPr="001B19EC" w:rsidRDefault="005400E1" w:rsidP="001E3131">
      <w:pPr>
        <w:spacing w:line="256" w:lineRule="auto"/>
        <w:ind w:left="1440"/>
        <w:jc w:val="both"/>
        <w:rPr>
          <w:b/>
          <w:bCs/>
        </w:rPr>
      </w:pPr>
      <w:r w:rsidRPr="001B19EC">
        <w:rPr>
          <w:b/>
          <w:bCs/>
        </w:rPr>
        <w:t xml:space="preserve">The UMMMC Transfer and Access Center (TRAC) facilitates two daily inpatient access calls (7:45am and 5:30pm) with representatives from each UMMH community hospital. During the calls, representatives from each hospital, including UMMMC, provide updates on their hospital’s current capacity, available beds, and appropriate patients that may be able to be sent to the community hospitals from UMMMC.  </w:t>
      </w:r>
    </w:p>
    <w:p w14:paraId="2814F68C" w14:textId="34F86409" w:rsidR="005400E1" w:rsidRPr="001B19EC" w:rsidRDefault="005400E1" w:rsidP="001E3131">
      <w:pPr>
        <w:spacing w:line="256" w:lineRule="auto"/>
        <w:ind w:left="1440"/>
        <w:jc w:val="both"/>
        <w:rPr>
          <w:b/>
          <w:bCs/>
        </w:rPr>
      </w:pPr>
      <w:r w:rsidRPr="001B19EC">
        <w:rPr>
          <w:b/>
          <w:bCs/>
        </w:rPr>
        <w:t xml:space="preserve">In addition to this call, the Hospital Medicine Admission Team (“HMAT”) screens med/surg transfer requests to assess medical necessity prior to transfer to UMMMC.  Given the frequent and ongoing capacity constraints at UMMMC, HMAT provides this oversight to assure only patients who require the appropriate level of care are transferred to UMMMC.  </w:t>
      </w:r>
    </w:p>
    <w:p w14:paraId="56EC4058" w14:textId="30D03116" w:rsidR="004506DE" w:rsidRPr="004506DE" w:rsidRDefault="005400E1" w:rsidP="001E3131">
      <w:pPr>
        <w:ind w:left="1440"/>
        <w:jc w:val="both"/>
        <w:rPr>
          <w:b/>
          <w:bCs/>
        </w:rPr>
      </w:pPr>
      <w:r w:rsidRPr="004506DE">
        <w:rPr>
          <w:b/>
          <w:bCs/>
        </w:rPr>
        <w:t xml:space="preserve">Further, </w:t>
      </w:r>
      <w:r w:rsidR="004506DE" w:rsidRPr="004506DE">
        <w:rPr>
          <w:b/>
          <w:bCs/>
        </w:rPr>
        <w:t xml:space="preserve">the UMass Memorial Medical Group provides coverage at most UMMH community hospitals for emergency medicine, e-ICU, Hospital Medicine, and Anesthesia.  The same physician providers who provide coverage at UMMMC provide coverage at UMMH community entities.  This allows a deep and vast knowledge on the appropriate levels of care for the community hospitals further assuring the care remains in the community when appropriate. </w:t>
      </w:r>
      <w:r w:rsidR="00E03AB6">
        <w:rPr>
          <w:b/>
          <w:bCs/>
        </w:rPr>
        <w:t>Moreover</w:t>
      </w:r>
      <w:r w:rsidR="004506DE" w:rsidRPr="004506DE">
        <w:rPr>
          <w:b/>
          <w:bCs/>
        </w:rPr>
        <w:t xml:space="preserve">, when a specialty consult is required with a provider at UMMMC, community hospital patients may </w:t>
      </w:r>
      <w:r w:rsidRPr="004506DE">
        <w:rPr>
          <w:b/>
          <w:bCs/>
        </w:rPr>
        <w:t>be able to receive the service electronically allowing them to stay in the community.</w:t>
      </w:r>
      <w:r w:rsidR="001B19EC" w:rsidRPr="004506DE">
        <w:rPr>
          <w:b/>
          <w:bCs/>
        </w:rPr>
        <w:t xml:space="preserve"> </w:t>
      </w:r>
    </w:p>
    <w:p w14:paraId="648E0D04" w14:textId="5E886D4F" w:rsidR="005400E1" w:rsidRPr="004506DE" w:rsidRDefault="005400E1" w:rsidP="001E3131">
      <w:pPr>
        <w:ind w:left="1440"/>
        <w:jc w:val="both"/>
        <w:rPr>
          <w:color w:val="FF0000"/>
        </w:rPr>
      </w:pPr>
      <w:r w:rsidRPr="001B19EC">
        <w:rPr>
          <w:b/>
          <w:bCs/>
        </w:rPr>
        <w:t xml:space="preserve">Lastly, UMMMC and the UMMH community hospitals also have a “round trip” program </w:t>
      </w:r>
      <w:r w:rsidR="001B19EC" w:rsidRPr="001B19EC">
        <w:rPr>
          <w:b/>
          <w:bCs/>
        </w:rPr>
        <w:t>which allows</w:t>
      </w:r>
      <w:r w:rsidRPr="001B19EC">
        <w:rPr>
          <w:b/>
          <w:bCs/>
        </w:rPr>
        <w:t xml:space="preserve"> </w:t>
      </w:r>
      <w:r w:rsidR="00E03AB6">
        <w:rPr>
          <w:b/>
          <w:bCs/>
        </w:rPr>
        <w:t>community hospital in</w:t>
      </w:r>
      <w:r w:rsidRPr="001B19EC">
        <w:rPr>
          <w:b/>
          <w:bCs/>
        </w:rPr>
        <w:t xml:space="preserve">patients </w:t>
      </w:r>
      <w:r w:rsidR="001B19EC" w:rsidRPr="001B19EC">
        <w:rPr>
          <w:b/>
          <w:bCs/>
        </w:rPr>
        <w:t>requiring</w:t>
      </w:r>
      <w:r w:rsidRPr="001B19EC">
        <w:rPr>
          <w:b/>
          <w:bCs/>
        </w:rPr>
        <w:t xml:space="preserve"> specialty procedure</w:t>
      </w:r>
      <w:r w:rsidR="001B19EC" w:rsidRPr="001B19EC">
        <w:rPr>
          <w:b/>
          <w:bCs/>
        </w:rPr>
        <w:t>s</w:t>
      </w:r>
      <w:r w:rsidRPr="001B19EC">
        <w:rPr>
          <w:b/>
          <w:bCs/>
        </w:rPr>
        <w:t xml:space="preserve"> at UMMMC </w:t>
      </w:r>
      <w:r w:rsidR="001B19EC" w:rsidRPr="001B19EC">
        <w:rPr>
          <w:b/>
          <w:bCs/>
        </w:rPr>
        <w:t>to come</w:t>
      </w:r>
      <w:r w:rsidR="00E03AB6">
        <w:rPr>
          <w:b/>
          <w:bCs/>
        </w:rPr>
        <w:t xml:space="preserve"> to UMMMC</w:t>
      </w:r>
      <w:r w:rsidR="001B19EC" w:rsidRPr="001B19EC">
        <w:rPr>
          <w:b/>
          <w:bCs/>
        </w:rPr>
        <w:t xml:space="preserve"> for the procedure and </w:t>
      </w:r>
      <w:r w:rsidRPr="001B19EC">
        <w:rPr>
          <w:b/>
          <w:bCs/>
        </w:rPr>
        <w:t xml:space="preserve">then return to their inpatient bed at the community hospital.  </w:t>
      </w:r>
      <w:r w:rsidRPr="001B19EC">
        <w:rPr>
          <w:b/>
          <w:bCs/>
        </w:rPr>
        <w:lastRenderedPageBreak/>
        <w:t>Each of these examples are interventions and standard work that are in place to keep care in the community.</w:t>
      </w:r>
    </w:p>
    <w:p w14:paraId="12AC7AFF" w14:textId="77777777" w:rsidR="007C4757" w:rsidRPr="007C4757" w:rsidRDefault="00C577F7" w:rsidP="001B19EC">
      <w:pPr>
        <w:pStyle w:val="ListParagraph"/>
        <w:numPr>
          <w:ilvl w:val="1"/>
          <w:numId w:val="22"/>
        </w:numPr>
        <w:spacing w:line="256" w:lineRule="auto"/>
      </w:pPr>
      <w:r w:rsidRPr="00C577F7">
        <w:t>How does UM</w:t>
      </w:r>
      <w:r w:rsidR="00094C98">
        <w:t>MH</w:t>
      </w:r>
      <w:r w:rsidRPr="00C577F7">
        <w:t xml:space="preserve"> demonstrate its ability to keep care local</w:t>
      </w:r>
      <w:r w:rsidR="00AA5E4D">
        <w:t xml:space="preserve"> and in the appropriate setting</w:t>
      </w:r>
      <w:r w:rsidRPr="00C577F7">
        <w:t>?</w:t>
      </w:r>
      <w:r w:rsidR="001B19EC" w:rsidRPr="001B19EC">
        <w:rPr>
          <w:color w:val="FF0000"/>
        </w:rPr>
        <w:t xml:space="preserve"> </w:t>
      </w:r>
    </w:p>
    <w:p w14:paraId="22A0884E" w14:textId="77777777" w:rsidR="007C4757" w:rsidRDefault="007C4757" w:rsidP="007C4757">
      <w:pPr>
        <w:pStyle w:val="ListParagraph"/>
        <w:spacing w:line="256" w:lineRule="auto"/>
        <w:ind w:left="1440"/>
        <w:rPr>
          <w:color w:val="FF0000"/>
        </w:rPr>
      </w:pPr>
    </w:p>
    <w:p w14:paraId="3987C88B" w14:textId="66C11C28" w:rsidR="00391547" w:rsidRPr="00391547" w:rsidRDefault="001B19EC" w:rsidP="002F0FB1">
      <w:pPr>
        <w:pStyle w:val="ListParagraph"/>
        <w:spacing w:line="256" w:lineRule="auto"/>
        <w:ind w:left="1440"/>
        <w:jc w:val="both"/>
        <w:rPr>
          <w:b/>
          <w:bCs/>
        </w:rPr>
      </w:pPr>
      <w:r w:rsidRPr="00391547">
        <w:rPr>
          <w:b/>
          <w:bCs/>
        </w:rPr>
        <w:t>UMM</w:t>
      </w:r>
      <w:r w:rsidR="007D6861">
        <w:rPr>
          <w:b/>
          <w:bCs/>
        </w:rPr>
        <w:t>H</w:t>
      </w:r>
      <w:r w:rsidRPr="00391547">
        <w:rPr>
          <w:b/>
          <w:bCs/>
        </w:rPr>
        <w:t xml:space="preserve"> continue</w:t>
      </w:r>
      <w:r w:rsidR="007C4757" w:rsidRPr="00391547">
        <w:rPr>
          <w:b/>
          <w:bCs/>
        </w:rPr>
        <w:t>s</w:t>
      </w:r>
      <w:r w:rsidRPr="00391547">
        <w:rPr>
          <w:b/>
          <w:bCs/>
        </w:rPr>
        <w:t xml:space="preserve"> to focus on keeping care local </w:t>
      </w:r>
      <w:r w:rsidR="007D6861">
        <w:rPr>
          <w:b/>
          <w:bCs/>
        </w:rPr>
        <w:t xml:space="preserve">and in the appropriate setting </w:t>
      </w:r>
      <w:r w:rsidR="007C4757" w:rsidRPr="00391547">
        <w:rPr>
          <w:b/>
          <w:bCs/>
        </w:rPr>
        <w:t xml:space="preserve">through </w:t>
      </w:r>
      <w:r w:rsidR="00142FF5">
        <w:rPr>
          <w:b/>
          <w:bCs/>
        </w:rPr>
        <w:t>available</w:t>
      </w:r>
      <w:r w:rsidRPr="00391547">
        <w:rPr>
          <w:b/>
          <w:bCs/>
        </w:rPr>
        <w:t xml:space="preserve"> capacity at the UMMH community hospitals.  As was shared during </w:t>
      </w:r>
      <w:proofErr w:type="spellStart"/>
      <w:r w:rsidRPr="00391547">
        <w:rPr>
          <w:b/>
          <w:bCs/>
        </w:rPr>
        <w:t>D</w:t>
      </w:r>
      <w:r w:rsidR="00503DC3">
        <w:rPr>
          <w:b/>
          <w:bCs/>
        </w:rPr>
        <w:t>o</w:t>
      </w:r>
      <w:r w:rsidRPr="00391547">
        <w:rPr>
          <w:b/>
          <w:bCs/>
        </w:rPr>
        <w:t>N</w:t>
      </w:r>
      <w:proofErr w:type="spellEnd"/>
      <w:r w:rsidRPr="00391547">
        <w:rPr>
          <w:b/>
          <w:bCs/>
        </w:rPr>
        <w:t xml:space="preserve"> hearing, UMMH community hospitals have experienced </w:t>
      </w:r>
      <w:r w:rsidR="0059048E" w:rsidRPr="00391547">
        <w:rPr>
          <w:b/>
          <w:bCs/>
        </w:rPr>
        <w:t>significant</w:t>
      </w:r>
      <w:r w:rsidRPr="00391547">
        <w:rPr>
          <w:b/>
          <w:bCs/>
        </w:rPr>
        <w:t xml:space="preserve"> growth year over year, </w:t>
      </w:r>
      <w:r w:rsidR="00391547" w:rsidRPr="00391547">
        <w:rPr>
          <w:b/>
          <w:bCs/>
        </w:rPr>
        <w:t xml:space="preserve">demonstrating continued efforts to utilize available capacity within its community hospitals. </w:t>
      </w:r>
      <w:r w:rsidR="00503DC3">
        <w:rPr>
          <w:b/>
          <w:bCs/>
        </w:rPr>
        <w:t xml:space="preserve">In just the year since Harrington Hospital joined UMMH, strategies implemented to keep care in the appropriate setting have facilitated a 16% increase in med/surg occupancy at Harrington. Similarly, the other UMMH community hospitals have experienced significant growth in med/surg bed utilization since FY21, in part due to the efforts made by UMMH </w:t>
      </w:r>
      <w:r w:rsidR="00E03AB6">
        <w:rPr>
          <w:b/>
          <w:bCs/>
        </w:rPr>
        <w:t xml:space="preserve">keep care in its community hospitals when appropriate. </w:t>
      </w:r>
    </w:p>
    <w:p w14:paraId="513F60B9" w14:textId="5929F423" w:rsidR="0059048E" w:rsidRDefault="0059048E" w:rsidP="007C4757">
      <w:pPr>
        <w:pStyle w:val="ListParagraph"/>
        <w:spacing w:line="256" w:lineRule="auto"/>
        <w:ind w:left="1440"/>
        <w:rPr>
          <w:color w:val="FF0000"/>
        </w:rPr>
      </w:pPr>
      <w:r>
        <w:rPr>
          <w:color w:val="FF0000"/>
        </w:rPr>
        <w:t xml:space="preserve"> </w:t>
      </w:r>
      <w:r w:rsidR="001B19EC" w:rsidRPr="007C4757">
        <w:rPr>
          <w:color w:val="FF0000"/>
        </w:rPr>
        <w:t xml:space="preserve"> </w:t>
      </w:r>
    </w:p>
    <w:tbl>
      <w:tblPr>
        <w:tblStyle w:val="TableGrid"/>
        <w:tblW w:w="8635" w:type="dxa"/>
        <w:tblInd w:w="1440" w:type="dxa"/>
        <w:tblLook w:val="04A0" w:firstRow="1" w:lastRow="0" w:firstColumn="1" w:lastColumn="0" w:noHBand="0" w:noVBand="1"/>
      </w:tblPr>
      <w:tblGrid>
        <w:gridCol w:w="2965"/>
        <w:gridCol w:w="2160"/>
        <w:gridCol w:w="1980"/>
        <w:gridCol w:w="1530"/>
      </w:tblGrid>
      <w:tr w:rsidR="0059048E" w14:paraId="5FF4247F" w14:textId="77777777" w:rsidTr="00DE358D">
        <w:trPr>
          <w:cantSplit/>
          <w:tblHeader/>
        </w:trPr>
        <w:tc>
          <w:tcPr>
            <w:tcW w:w="2965" w:type="dxa"/>
          </w:tcPr>
          <w:p w14:paraId="0CD361D4" w14:textId="2F5083A5" w:rsidR="0059048E" w:rsidRPr="0059048E" w:rsidRDefault="0059048E" w:rsidP="007C4757">
            <w:pPr>
              <w:pStyle w:val="ListParagraph"/>
              <w:spacing w:line="256" w:lineRule="auto"/>
              <w:ind w:left="0"/>
            </w:pPr>
          </w:p>
        </w:tc>
        <w:tc>
          <w:tcPr>
            <w:tcW w:w="2160" w:type="dxa"/>
          </w:tcPr>
          <w:p w14:paraId="245CCC32" w14:textId="236B9840" w:rsidR="0059048E" w:rsidRPr="0059048E" w:rsidRDefault="0059048E" w:rsidP="007C4757">
            <w:pPr>
              <w:pStyle w:val="ListParagraph"/>
              <w:spacing w:line="256" w:lineRule="auto"/>
              <w:ind w:left="0"/>
              <w:rPr>
                <w:b/>
                <w:bCs/>
              </w:rPr>
            </w:pPr>
            <w:r w:rsidRPr="0059048E">
              <w:rPr>
                <w:b/>
                <w:bCs/>
              </w:rPr>
              <w:t>FY21 Occupancy</w:t>
            </w:r>
          </w:p>
        </w:tc>
        <w:tc>
          <w:tcPr>
            <w:tcW w:w="1980" w:type="dxa"/>
          </w:tcPr>
          <w:p w14:paraId="17126D43" w14:textId="1D7F5D96" w:rsidR="0059048E" w:rsidRPr="0059048E" w:rsidRDefault="0059048E" w:rsidP="007C4757">
            <w:pPr>
              <w:pStyle w:val="ListParagraph"/>
              <w:spacing w:line="256" w:lineRule="auto"/>
              <w:ind w:left="0"/>
              <w:rPr>
                <w:b/>
                <w:bCs/>
              </w:rPr>
            </w:pPr>
            <w:r w:rsidRPr="0059048E">
              <w:rPr>
                <w:b/>
                <w:bCs/>
              </w:rPr>
              <w:t>FY22 Occupancy</w:t>
            </w:r>
            <w:r w:rsidR="00270AE6">
              <w:rPr>
                <w:rStyle w:val="FootnoteReference"/>
                <w:b/>
                <w:bCs/>
              </w:rPr>
              <w:footnoteReference w:id="2"/>
            </w:r>
          </w:p>
        </w:tc>
        <w:tc>
          <w:tcPr>
            <w:tcW w:w="1530" w:type="dxa"/>
          </w:tcPr>
          <w:p w14:paraId="38F667AD" w14:textId="10B5EB0A" w:rsidR="0059048E" w:rsidRPr="0059048E" w:rsidRDefault="0059048E" w:rsidP="007C4757">
            <w:pPr>
              <w:pStyle w:val="ListParagraph"/>
              <w:spacing w:line="256" w:lineRule="auto"/>
              <w:ind w:left="0"/>
              <w:rPr>
                <w:b/>
                <w:bCs/>
              </w:rPr>
            </w:pPr>
            <w:r>
              <w:rPr>
                <w:b/>
                <w:bCs/>
              </w:rPr>
              <w:t>Growth</w:t>
            </w:r>
            <w:r w:rsidRPr="0059048E">
              <w:rPr>
                <w:b/>
                <w:bCs/>
              </w:rPr>
              <w:t xml:space="preserve"> </w:t>
            </w:r>
          </w:p>
        </w:tc>
      </w:tr>
      <w:tr w:rsidR="0059048E" w14:paraId="2F3321F2" w14:textId="77777777" w:rsidTr="00DE358D">
        <w:trPr>
          <w:cantSplit/>
        </w:trPr>
        <w:tc>
          <w:tcPr>
            <w:tcW w:w="2965" w:type="dxa"/>
          </w:tcPr>
          <w:p w14:paraId="07DED6ED" w14:textId="3ED72D41" w:rsidR="0059048E" w:rsidRPr="0059048E" w:rsidRDefault="0059048E" w:rsidP="007C4757">
            <w:pPr>
              <w:pStyle w:val="ListParagraph"/>
              <w:spacing w:line="256" w:lineRule="auto"/>
              <w:ind w:left="0"/>
            </w:pPr>
            <w:r w:rsidRPr="0059048E">
              <w:t>Harrington</w:t>
            </w:r>
          </w:p>
        </w:tc>
        <w:tc>
          <w:tcPr>
            <w:tcW w:w="2160" w:type="dxa"/>
          </w:tcPr>
          <w:p w14:paraId="0AE7EAA3" w14:textId="798A7E43" w:rsidR="0059048E" w:rsidRPr="0059048E" w:rsidRDefault="00391547" w:rsidP="007C4757">
            <w:pPr>
              <w:pStyle w:val="ListParagraph"/>
              <w:spacing w:line="256" w:lineRule="auto"/>
              <w:ind w:left="0"/>
            </w:pPr>
            <w:r>
              <w:t>56.6%</w:t>
            </w:r>
          </w:p>
        </w:tc>
        <w:tc>
          <w:tcPr>
            <w:tcW w:w="1980" w:type="dxa"/>
          </w:tcPr>
          <w:p w14:paraId="7E212CF4" w14:textId="77B83655" w:rsidR="0059048E" w:rsidRPr="0059048E" w:rsidRDefault="00391547" w:rsidP="007C4757">
            <w:pPr>
              <w:pStyle w:val="ListParagraph"/>
              <w:spacing w:line="256" w:lineRule="auto"/>
              <w:ind w:left="0"/>
            </w:pPr>
            <w:r>
              <w:t>65.6%</w:t>
            </w:r>
          </w:p>
        </w:tc>
        <w:tc>
          <w:tcPr>
            <w:tcW w:w="1530" w:type="dxa"/>
          </w:tcPr>
          <w:p w14:paraId="59C68041" w14:textId="0642819F" w:rsidR="0059048E" w:rsidRPr="0059048E" w:rsidRDefault="00391547" w:rsidP="007C4757">
            <w:pPr>
              <w:pStyle w:val="ListParagraph"/>
              <w:spacing w:line="256" w:lineRule="auto"/>
              <w:ind w:left="0"/>
            </w:pPr>
            <w:r>
              <w:t>16%</w:t>
            </w:r>
          </w:p>
        </w:tc>
      </w:tr>
      <w:tr w:rsidR="0059048E" w14:paraId="363D357C" w14:textId="77777777" w:rsidTr="00DE358D">
        <w:trPr>
          <w:cantSplit/>
        </w:trPr>
        <w:tc>
          <w:tcPr>
            <w:tcW w:w="2965" w:type="dxa"/>
          </w:tcPr>
          <w:p w14:paraId="3429155F" w14:textId="6395024C" w:rsidR="0059048E" w:rsidRPr="0059048E" w:rsidRDefault="0059048E" w:rsidP="007C4757">
            <w:pPr>
              <w:pStyle w:val="ListParagraph"/>
              <w:spacing w:line="256" w:lineRule="auto"/>
              <w:ind w:left="0"/>
            </w:pPr>
            <w:r w:rsidRPr="0059048E">
              <w:t xml:space="preserve">HealthAlliance </w:t>
            </w:r>
            <w:r>
              <w:t>Clinton</w:t>
            </w:r>
          </w:p>
        </w:tc>
        <w:tc>
          <w:tcPr>
            <w:tcW w:w="2160" w:type="dxa"/>
          </w:tcPr>
          <w:p w14:paraId="2725B34E" w14:textId="580CDA0C" w:rsidR="0059048E" w:rsidRPr="0059048E" w:rsidRDefault="00391547" w:rsidP="007C4757">
            <w:pPr>
              <w:pStyle w:val="ListParagraph"/>
              <w:spacing w:line="256" w:lineRule="auto"/>
              <w:ind w:left="0"/>
            </w:pPr>
            <w:r>
              <w:t>75.5%</w:t>
            </w:r>
          </w:p>
        </w:tc>
        <w:tc>
          <w:tcPr>
            <w:tcW w:w="1980" w:type="dxa"/>
          </w:tcPr>
          <w:p w14:paraId="6C5C9059" w14:textId="2254F611" w:rsidR="0059048E" w:rsidRPr="0059048E" w:rsidRDefault="00391547" w:rsidP="007C4757">
            <w:pPr>
              <w:pStyle w:val="ListParagraph"/>
              <w:spacing w:line="256" w:lineRule="auto"/>
              <w:ind w:left="0"/>
            </w:pPr>
            <w:r>
              <w:t>81.3%</w:t>
            </w:r>
          </w:p>
        </w:tc>
        <w:tc>
          <w:tcPr>
            <w:tcW w:w="1530" w:type="dxa"/>
          </w:tcPr>
          <w:p w14:paraId="361A9E71" w14:textId="4249917E" w:rsidR="0059048E" w:rsidRPr="0059048E" w:rsidRDefault="00391547" w:rsidP="007C4757">
            <w:pPr>
              <w:pStyle w:val="ListParagraph"/>
              <w:spacing w:line="256" w:lineRule="auto"/>
              <w:ind w:left="0"/>
            </w:pPr>
            <w:r>
              <w:t>7.7%</w:t>
            </w:r>
          </w:p>
        </w:tc>
      </w:tr>
      <w:tr w:rsidR="0059048E" w14:paraId="2819277C" w14:textId="77777777" w:rsidTr="00DE358D">
        <w:trPr>
          <w:cantSplit/>
        </w:trPr>
        <w:tc>
          <w:tcPr>
            <w:tcW w:w="2965" w:type="dxa"/>
          </w:tcPr>
          <w:p w14:paraId="37969D06" w14:textId="2CC8E24A" w:rsidR="0059048E" w:rsidRPr="0059048E" w:rsidRDefault="0059048E" w:rsidP="007C4757">
            <w:pPr>
              <w:pStyle w:val="ListParagraph"/>
              <w:spacing w:line="256" w:lineRule="auto"/>
              <w:ind w:left="0"/>
            </w:pPr>
            <w:r>
              <w:t>HealthAlliance Leominster</w:t>
            </w:r>
          </w:p>
        </w:tc>
        <w:tc>
          <w:tcPr>
            <w:tcW w:w="2160" w:type="dxa"/>
          </w:tcPr>
          <w:p w14:paraId="2812D16A" w14:textId="50EE10F1" w:rsidR="0059048E" w:rsidRPr="0059048E" w:rsidRDefault="00391547" w:rsidP="007C4757">
            <w:pPr>
              <w:pStyle w:val="ListParagraph"/>
              <w:spacing w:line="256" w:lineRule="auto"/>
              <w:ind w:left="0"/>
            </w:pPr>
            <w:r>
              <w:t>85.7%</w:t>
            </w:r>
          </w:p>
        </w:tc>
        <w:tc>
          <w:tcPr>
            <w:tcW w:w="1980" w:type="dxa"/>
          </w:tcPr>
          <w:p w14:paraId="74F88800" w14:textId="1FD71220" w:rsidR="0059048E" w:rsidRPr="0059048E" w:rsidRDefault="00391547" w:rsidP="007C4757">
            <w:pPr>
              <w:pStyle w:val="ListParagraph"/>
              <w:spacing w:line="256" w:lineRule="auto"/>
              <w:ind w:left="0"/>
            </w:pPr>
            <w:r>
              <w:t>92.5%</w:t>
            </w:r>
          </w:p>
        </w:tc>
        <w:tc>
          <w:tcPr>
            <w:tcW w:w="1530" w:type="dxa"/>
          </w:tcPr>
          <w:p w14:paraId="7D86668D" w14:textId="3A0A2757" w:rsidR="0059048E" w:rsidRPr="0059048E" w:rsidRDefault="00391547" w:rsidP="007C4757">
            <w:pPr>
              <w:pStyle w:val="ListParagraph"/>
              <w:spacing w:line="256" w:lineRule="auto"/>
              <w:ind w:left="0"/>
            </w:pPr>
            <w:r>
              <w:t>7.9%</w:t>
            </w:r>
          </w:p>
        </w:tc>
      </w:tr>
      <w:tr w:rsidR="00391547" w14:paraId="288ECDDA" w14:textId="77777777" w:rsidTr="00DE358D">
        <w:trPr>
          <w:cantSplit/>
        </w:trPr>
        <w:tc>
          <w:tcPr>
            <w:tcW w:w="2965" w:type="dxa"/>
          </w:tcPr>
          <w:p w14:paraId="6539A71E" w14:textId="5AA5504D" w:rsidR="00391547" w:rsidRPr="0059048E" w:rsidRDefault="00391547" w:rsidP="00391547">
            <w:pPr>
              <w:pStyle w:val="ListParagraph"/>
              <w:spacing w:line="256" w:lineRule="auto"/>
              <w:ind w:left="0"/>
            </w:pPr>
            <w:r w:rsidRPr="0059048E">
              <w:t>Marlborough</w:t>
            </w:r>
          </w:p>
        </w:tc>
        <w:tc>
          <w:tcPr>
            <w:tcW w:w="2160" w:type="dxa"/>
          </w:tcPr>
          <w:p w14:paraId="6FCD1844" w14:textId="76944EC4" w:rsidR="00391547" w:rsidRPr="0059048E" w:rsidRDefault="00391547" w:rsidP="00391547">
            <w:pPr>
              <w:pStyle w:val="ListParagraph"/>
              <w:spacing w:line="256" w:lineRule="auto"/>
              <w:ind w:left="0"/>
            </w:pPr>
            <w:r>
              <w:t>66.8%</w:t>
            </w:r>
          </w:p>
        </w:tc>
        <w:tc>
          <w:tcPr>
            <w:tcW w:w="1980" w:type="dxa"/>
          </w:tcPr>
          <w:p w14:paraId="2A28D7E6" w14:textId="329EA167" w:rsidR="00391547" w:rsidRPr="0059048E" w:rsidRDefault="00391547" w:rsidP="00391547">
            <w:pPr>
              <w:pStyle w:val="ListParagraph"/>
              <w:spacing w:line="256" w:lineRule="auto"/>
              <w:ind w:left="0"/>
            </w:pPr>
            <w:r>
              <w:t>75.5%</w:t>
            </w:r>
          </w:p>
        </w:tc>
        <w:tc>
          <w:tcPr>
            <w:tcW w:w="1530" w:type="dxa"/>
          </w:tcPr>
          <w:p w14:paraId="7BEF5B4F" w14:textId="470BA7A1" w:rsidR="00391547" w:rsidRPr="0059048E" w:rsidRDefault="00391547" w:rsidP="00391547">
            <w:pPr>
              <w:pStyle w:val="ListParagraph"/>
              <w:spacing w:line="256" w:lineRule="auto"/>
              <w:ind w:left="0"/>
            </w:pPr>
            <w:r>
              <w:t>13%</w:t>
            </w:r>
          </w:p>
        </w:tc>
      </w:tr>
    </w:tbl>
    <w:p w14:paraId="50F4335A" w14:textId="34E78FAE" w:rsidR="001B19EC" w:rsidRDefault="001B19EC" w:rsidP="007C4757">
      <w:pPr>
        <w:pStyle w:val="ListParagraph"/>
        <w:spacing w:line="256" w:lineRule="auto"/>
        <w:ind w:left="1440"/>
        <w:rPr>
          <w:color w:val="FF0000"/>
        </w:rPr>
      </w:pPr>
      <w:r w:rsidRPr="007C4757">
        <w:rPr>
          <w:color w:val="FF0000"/>
        </w:rPr>
        <w:t xml:space="preserve"> </w:t>
      </w:r>
    </w:p>
    <w:p w14:paraId="6BB54792" w14:textId="7F588CC6" w:rsidR="006805B4" w:rsidRPr="001E3131" w:rsidRDefault="006805B4" w:rsidP="006805B4">
      <w:pPr>
        <w:tabs>
          <w:tab w:val="left" w:pos="4455"/>
        </w:tabs>
        <w:ind w:left="1440"/>
        <w:jc w:val="both"/>
        <w:rPr>
          <w:b/>
          <w:bCs/>
        </w:rPr>
      </w:pPr>
      <w:r w:rsidRPr="001E3131">
        <w:rPr>
          <w:b/>
          <w:bCs/>
        </w:rPr>
        <w:t xml:space="preserve">Patients in Central MA have a choice of where they receive their care and as such patients are </w:t>
      </w:r>
      <w:r>
        <w:rPr>
          <w:b/>
          <w:bCs/>
        </w:rPr>
        <w:t xml:space="preserve">choosing to present to </w:t>
      </w:r>
      <w:r w:rsidRPr="001E3131">
        <w:rPr>
          <w:b/>
          <w:bCs/>
        </w:rPr>
        <w:t xml:space="preserve">the Medical Center’s emergency </w:t>
      </w:r>
      <w:r>
        <w:rPr>
          <w:b/>
          <w:bCs/>
        </w:rPr>
        <w:t>department</w:t>
      </w:r>
      <w:r w:rsidRPr="001E3131">
        <w:rPr>
          <w:b/>
          <w:bCs/>
        </w:rPr>
        <w:t>.</w:t>
      </w:r>
      <w:r>
        <w:rPr>
          <w:b/>
          <w:bCs/>
        </w:rPr>
        <w:t xml:space="preserve"> While UMMH has implemented strategies to utilize capacity at its community hospitals, it can only transfer patients who are willing to be transferred.  </w:t>
      </w:r>
      <w:r w:rsidRPr="001E3131">
        <w:rPr>
          <w:b/>
          <w:bCs/>
        </w:rPr>
        <w:t xml:space="preserve"> </w:t>
      </w:r>
      <w:r>
        <w:rPr>
          <w:b/>
          <w:bCs/>
        </w:rPr>
        <w:t>Accordingly, capacity at the community hospitals or elsewhere is not a reliable solution to patient demand.</w:t>
      </w:r>
      <w:r w:rsidRPr="001E3131">
        <w:rPr>
          <w:b/>
          <w:bCs/>
        </w:rPr>
        <w:t xml:space="preserve"> </w:t>
      </w:r>
    </w:p>
    <w:p w14:paraId="327FCBAC" w14:textId="77777777" w:rsidR="006805B4" w:rsidRDefault="006805B4" w:rsidP="007C4757">
      <w:pPr>
        <w:pStyle w:val="ListParagraph"/>
        <w:spacing w:line="256" w:lineRule="auto"/>
        <w:ind w:left="1440"/>
        <w:rPr>
          <w:color w:val="FF0000"/>
        </w:rPr>
      </w:pPr>
    </w:p>
    <w:p w14:paraId="07E9C330" w14:textId="779A8111" w:rsidR="00C02884" w:rsidRDefault="00C02884" w:rsidP="00C02884">
      <w:pPr>
        <w:pStyle w:val="ListParagraph"/>
        <w:numPr>
          <w:ilvl w:val="2"/>
          <w:numId w:val="22"/>
        </w:numPr>
      </w:pPr>
      <w:r>
        <w:t>Provide data to demonstrate h</w:t>
      </w:r>
      <w:r w:rsidRPr="00C577F7">
        <w:t xml:space="preserve">ow </w:t>
      </w:r>
      <w:r>
        <w:t>UMMH</w:t>
      </w:r>
      <w:r w:rsidRPr="00C577F7">
        <w:t xml:space="preserve"> </w:t>
      </w:r>
      <w:r w:rsidR="00063B27">
        <w:t xml:space="preserve">has </w:t>
      </w:r>
      <w:r>
        <w:t xml:space="preserve">prioritized the </w:t>
      </w:r>
      <w:r w:rsidRPr="00C577F7">
        <w:t>expan</w:t>
      </w:r>
      <w:r>
        <w:t>sion of</w:t>
      </w:r>
      <w:r w:rsidRPr="00C577F7">
        <w:t xml:space="preserve"> capacity </w:t>
      </w:r>
      <w:r>
        <w:t>in its community hospitals.</w:t>
      </w:r>
      <w:r w:rsidRPr="00C577F7">
        <w:t xml:space="preserve"> </w:t>
      </w:r>
    </w:p>
    <w:p w14:paraId="54BEACE4" w14:textId="48DE056D" w:rsidR="00B92856" w:rsidRPr="00A259AD" w:rsidRDefault="00B92856" w:rsidP="00A259AD">
      <w:pPr>
        <w:spacing w:line="256" w:lineRule="auto"/>
        <w:ind w:left="2160"/>
        <w:jc w:val="both"/>
        <w:rPr>
          <w:b/>
          <w:bCs/>
        </w:rPr>
      </w:pPr>
      <w:r w:rsidRPr="00AF164F">
        <w:rPr>
          <w:b/>
          <w:bCs/>
        </w:rPr>
        <w:t xml:space="preserve">Pending </w:t>
      </w:r>
      <w:r>
        <w:rPr>
          <w:b/>
          <w:bCs/>
        </w:rPr>
        <w:t xml:space="preserve">licensure </w:t>
      </w:r>
      <w:r w:rsidRPr="00AF164F">
        <w:rPr>
          <w:b/>
          <w:bCs/>
        </w:rPr>
        <w:t xml:space="preserve">approval from DPH, HealthAlliance Clinton – Leominster Campus will add 9 </w:t>
      </w:r>
      <w:r w:rsidR="00503DC3">
        <w:rPr>
          <w:b/>
          <w:bCs/>
        </w:rPr>
        <w:t xml:space="preserve">med/surg </w:t>
      </w:r>
      <w:r w:rsidRPr="00AF164F">
        <w:rPr>
          <w:b/>
          <w:bCs/>
        </w:rPr>
        <w:t xml:space="preserve">beds later this fall for patients </w:t>
      </w:r>
      <w:r>
        <w:rPr>
          <w:b/>
          <w:bCs/>
        </w:rPr>
        <w:t>that have a prolong</w:t>
      </w:r>
      <w:r w:rsidR="00503DC3">
        <w:rPr>
          <w:b/>
          <w:bCs/>
        </w:rPr>
        <w:t>ed</w:t>
      </w:r>
      <w:r>
        <w:rPr>
          <w:b/>
          <w:bCs/>
        </w:rPr>
        <w:t xml:space="preserve"> patient stay and </w:t>
      </w:r>
      <w:r w:rsidR="00503DC3">
        <w:rPr>
          <w:b/>
          <w:bCs/>
        </w:rPr>
        <w:t>require</w:t>
      </w:r>
      <w:r w:rsidRPr="00A259AD">
        <w:rPr>
          <w:b/>
          <w:bCs/>
        </w:rPr>
        <w:t xml:space="preserve"> acute level of care</w:t>
      </w:r>
      <w:r w:rsidR="00503DC3">
        <w:rPr>
          <w:b/>
          <w:bCs/>
        </w:rPr>
        <w:t>, particularly for respiratory conditions</w:t>
      </w:r>
      <w:r w:rsidRPr="00A259AD">
        <w:rPr>
          <w:b/>
          <w:bCs/>
        </w:rPr>
        <w:t xml:space="preserve">. </w:t>
      </w:r>
      <w:r w:rsidR="00503DC3">
        <w:rPr>
          <w:b/>
          <w:bCs/>
        </w:rPr>
        <w:t xml:space="preserve">The purpose of this unit is to facilitate transfers back to the community for patients who may have been admitted to UMMMC for ICU level care and subsequently require longer lengths of stay in a med/surg bed for continued care. </w:t>
      </w:r>
    </w:p>
    <w:p w14:paraId="21BA6908" w14:textId="76FC0008" w:rsidR="00AF164F" w:rsidRPr="00AF164F" w:rsidRDefault="00AF164F" w:rsidP="00A259AD">
      <w:pPr>
        <w:spacing w:line="256" w:lineRule="auto"/>
        <w:ind w:left="2160"/>
        <w:jc w:val="both"/>
        <w:rPr>
          <w:b/>
          <w:bCs/>
        </w:rPr>
      </w:pPr>
      <w:r w:rsidRPr="00A259AD">
        <w:rPr>
          <w:b/>
          <w:bCs/>
        </w:rPr>
        <w:t xml:space="preserve">Additionally, UMMMC has partnered with Health Alliance Clinton—Clinton campus to care for long term UMMMC patients. </w:t>
      </w:r>
      <w:r w:rsidR="000B1B8F">
        <w:rPr>
          <w:b/>
          <w:bCs/>
        </w:rPr>
        <w:t>Due to the physical constraints and infrastructure available at Clinton, UMMH has strategically focused on using the facility in the most appropriate manner to care for a specific subset of patients.</w:t>
      </w:r>
      <w:r w:rsidRPr="00A259AD">
        <w:rPr>
          <w:b/>
          <w:bCs/>
        </w:rPr>
        <w:t xml:space="preserve"> </w:t>
      </w:r>
      <w:r w:rsidR="000B1B8F">
        <w:rPr>
          <w:b/>
          <w:bCs/>
        </w:rPr>
        <w:t xml:space="preserve">The focus of the </w:t>
      </w:r>
      <w:r w:rsidRPr="00A259AD">
        <w:rPr>
          <w:b/>
          <w:bCs/>
        </w:rPr>
        <w:t xml:space="preserve">Clinton campus </w:t>
      </w:r>
      <w:r w:rsidR="000B1B8F">
        <w:rPr>
          <w:b/>
          <w:bCs/>
        </w:rPr>
        <w:t xml:space="preserve">is </w:t>
      </w:r>
      <w:r w:rsidRPr="00A259AD">
        <w:rPr>
          <w:b/>
          <w:bCs/>
        </w:rPr>
        <w:t>to care for</w:t>
      </w:r>
      <w:r w:rsidR="002F0FB1" w:rsidRPr="00A259AD">
        <w:rPr>
          <w:b/>
          <w:bCs/>
        </w:rPr>
        <w:t xml:space="preserve"> </w:t>
      </w:r>
      <w:r w:rsidRPr="00A259AD">
        <w:rPr>
          <w:b/>
          <w:bCs/>
        </w:rPr>
        <w:t>patients that no longer require tertiary care</w:t>
      </w:r>
      <w:r w:rsidR="00A259AD">
        <w:rPr>
          <w:b/>
          <w:bCs/>
        </w:rPr>
        <w:t xml:space="preserve"> </w:t>
      </w:r>
      <w:r w:rsidRPr="00A259AD">
        <w:rPr>
          <w:b/>
          <w:bCs/>
        </w:rPr>
        <w:t xml:space="preserve">but </w:t>
      </w:r>
      <w:r w:rsidR="009B166B">
        <w:rPr>
          <w:b/>
          <w:bCs/>
        </w:rPr>
        <w:t>who may not</w:t>
      </w:r>
      <w:r w:rsidRPr="00A259AD">
        <w:rPr>
          <w:b/>
          <w:bCs/>
        </w:rPr>
        <w:t xml:space="preserve"> have options available for post-acute care services.  </w:t>
      </w:r>
      <w:r w:rsidR="002F0FB1" w:rsidRPr="00A259AD">
        <w:rPr>
          <w:b/>
          <w:bCs/>
        </w:rPr>
        <w:t>Often</w:t>
      </w:r>
      <w:r w:rsidR="00503DC3">
        <w:rPr>
          <w:b/>
          <w:bCs/>
        </w:rPr>
        <w:t>,</w:t>
      </w:r>
      <w:r w:rsidR="002F0FB1" w:rsidRPr="00A259AD">
        <w:rPr>
          <w:b/>
          <w:bCs/>
        </w:rPr>
        <w:t xml:space="preserve"> these patients have either </w:t>
      </w:r>
      <w:r w:rsidR="002F0FB1" w:rsidRPr="00A259AD">
        <w:rPr>
          <w:b/>
          <w:bCs/>
        </w:rPr>
        <w:lastRenderedPageBreak/>
        <w:t xml:space="preserve">exhausted their health insurance benefits or don’t even have health insurance, which also makes it more difficult to find placement for them in a post-acute care setting. </w:t>
      </w:r>
      <w:r w:rsidR="000B1B8F">
        <w:rPr>
          <w:b/>
          <w:bCs/>
        </w:rPr>
        <w:t xml:space="preserve"> This utilization of the Clinton facility has been important most recently as all hospitals are facing difficulty in discharging patients to post-acute facilities due to the current staffing crisis. By utilizing Clinton for these patients, UMMH </w:t>
      </w:r>
      <w:proofErr w:type="gramStart"/>
      <w:r w:rsidR="000B1B8F">
        <w:rPr>
          <w:b/>
          <w:bCs/>
        </w:rPr>
        <w:t>is able to</w:t>
      </w:r>
      <w:proofErr w:type="gramEnd"/>
      <w:r w:rsidR="000B1B8F">
        <w:rPr>
          <w:b/>
          <w:bCs/>
        </w:rPr>
        <w:t xml:space="preserve"> effectively provide care for </w:t>
      </w:r>
      <w:r w:rsidR="00B92856" w:rsidRPr="00A259AD">
        <w:rPr>
          <w:b/>
          <w:bCs/>
        </w:rPr>
        <w:t>patients</w:t>
      </w:r>
      <w:r w:rsidR="00503DC3">
        <w:rPr>
          <w:b/>
          <w:bCs/>
        </w:rPr>
        <w:t xml:space="preserve"> in a more appropriate setting</w:t>
      </w:r>
      <w:r w:rsidRPr="00A259AD">
        <w:rPr>
          <w:b/>
          <w:bCs/>
        </w:rPr>
        <w:t>.</w:t>
      </w:r>
      <w:r w:rsidRPr="00AF164F">
        <w:rPr>
          <w:b/>
          <w:bCs/>
        </w:rPr>
        <w:t xml:space="preserve">  </w:t>
      </w:r>
    </w:p>
    <w:p w14:paraId="534B3980" w14:textId="77777777" w:rsidR="00C02884" w:rsidRPr="00C577F7" w:rsidRDefault="00C02884" w:rsidP="00C02884">
      <w:pPr>
        <w:pStyle w:val="ListParagraph"/>
        <w:ind w:left="2160"/>
      </w:pPr>
    </w:p>
    <w:p w14:paraId="64AE1110" w14:textId="77777777" w:rsidR="00CF289F" w:rsidRDefault="00AC3813" w:rsidP="00CF289F">
      <w:pPr>
        <w:pStyle w:val="ListParagraph"/>
        <w:numPr>
          <w:ilvl w:val="0"/>
          <w:numId w:val="22"/>
        </w:numPr>
        <w:tabs>
          <w:tab w:val="left" w:pos="4455"/>
        </w:tabs>
      </w:pPr>
      <w:r>
        <w:t>The application states that i</w:t>
      </w:r>
      <w:r w:rsidRPr="00AC3813">
        <w:t>n addition to the impact of high medical/surgical bed occupancy rates on ED boarding, the Hospital is also</w:t>
      </w:r>
      <w:r>
        <w:t xml:space="preserve"> </w:t>
      </w:r>
      <w:r w:rsidRPr="00AC3813">
        <w:t>forced to decline a significant number of transfer requests due to increased demand for inpatient service</w:t>
      </w:r>
      <w:r>
        <w:t xml:space="preserve">s </w:t>
      </w:r>
      <w:r w:rsidRPr="00AC3813">
        <w:t>and the corresponding lack of adequate medical/surgical capacity. In FY21, approximately 24.6% of eligible</w:t>
      </w:r>
      <w:r>
        <w:t xml:space="preserve"> </w:t>
      </w:r>
      <w:r w:rsidRPr="00AC3813">
        <w:t>transfer requests for admission at UMMMC were declined because a bed was not available. For the first</w:t>
      </w:r>
      <w:r>
        <w:t xml:space="preserve"> </w:t>
      </w:r>
      <w:r w:rsidRPr="00AC3813">
        <w:t>quarter of FY22, UMMMC declined an average of 43% of eligible transfers. This means that patients in</w:t>
      </w:r>
      <w:r>
        <w:t xml:space="preserve"> </w:t>
      </w:r>
      <w:r w:rsidRPr="00AC3813">
        <w:t>need of tertiary care are sent out of the region</w:t>
      </w:r>
      <w:r>
        <w:t xml:space="preserve"> (pg.8)</w:t>
      </w:r>
      <w:r w:rsidRPr="00AC3813">
        <w:t>.</w:t>
      </w:r>
    </w:p>
    <w:p w14:paraId="4B1BD6D3" w14:textId="77777777" w:rsidR="00F403D1" w:rsidRDefault="003346D8" w:rsidP="00F403D1">
      <w:pPr>
        <w:pStyle w:val="ListParagraph"/>
        <w:numPr>
          <w:ilvl w:val="1"/>
          <w:numId w:val="22"/>
        </w:numPr>
        <w:tabs>
          <w:tab w:val="left" w:pos="4455"/>
        </w:tabs>
      </w:pPr>
      <w:bookmarkStart w:id="1" w:name="_Hlk113530759"/>
      <w:r>
        <w:t>H</w:t>
      </w:r>
      <w:r w:rsidR="004213AF">
        <w:t xml:space="preserve">ow many transfer requests </w:t>
      </w:r>
      <w:r w:rsidR="00DB3D94">
        <w:t xml:space="preserve">to UMMMC </w:t>
      </w:r>
      <w:r w:rsidR="004213AF">
        <w:t>came from UMMH community hospitals</w:t>
      </w:r>
      <w:r w:rsidRPr="003346D8">
        <w:t xml:space="preserve"> </w:t>
      </w:r>
      <w:r>
        <w:t>i</w:t>
      </w:r>
      <w:r w:rsidRPr="003346D8">
        <w:t>n FY22</w:t>
      </w:r>
      <w:r w:rsidR="004213AF">
        <w:t>?</w:t>
      </w:r>
      <w:r w:rsidR="00967400">
        <w:t xml:space="preserve">  </w:t>
      </w:r>
      <w:r w:rsidR="00F838C0">
        <w:t>P</w:t>
      </w:r>
      <w:r w:rsidR="00967400">
        <w:t xml:space="preserve">rovide number of requests separately for each community hospital. </w:t>
      </w:r>
      <w:bookmarkEnd w:id="1"/>
    </w:p>
    <w:p w14:paraId="24741FE3" w14:textId="70ECE50B" w:rsidR="00F403D1" w:rsidRPr="00F403D1" w:rsidRDefault="00F403D1" w:rsidP="00F403D1">
      <w:pPr>
        <w:pStyle w:val="ListParagraph"/>
        <w:tabs>
          <w:tab w:val="left" w:pos="4455"/>
        </w:tabs>
        <w:ind w:left="1440"/>
      </w:pPr>
      <w:r w:rsidRPr="00F403D1">
        <w:rPr>
          <w:b/>
          <w:bCs/>
        </w:rPr>
        <w:t>1,684 transfer requests came from UMMH community hospitals in FY22.</w:t>
      </w:r>
      <w:r w:rsidRPr="00F403D1">
        <w:rPr>
          <w:rStyle w:val="FootnoteReference"/>
          <w:b/>
          <w:bCs/>
        </w:rPr>
        <w:footnoteReference w:customMarkFollows="1" w:id="3"/>
        <w:t>[1]</w:t>
      </w:r>
      <w:r w:rsidRPr="00F403D1">
        <w:rPr>
          <w:b/>
          <w:bCs/>
        </w:rPr>
        <w:t xml:space="preserve"> The following table details transfer request by UMMH hospital as well as transfer requests by non-UMMH hospitals in the Worcester area, as well as from facilities outside of the Worcester service area. </w:t>
      </w:r>
    </w:p>
    <w:tbl>
      <w:tblPr>
        <w:tblW w:w="9990" w:type="dxa"/>
        <w:jc w:val="center"/>
        <w:tblLook w:val="04A0" w:firstRow="1" w:lastRow="0" w:firstColumn="1" w:lastColumn="0" w:noHBand="0" w:noVBand="1"/>
      </w:tblPr>
      <w:tblGrid>
        <w:gridCol w:w="2238"/>
        <w:gridCol w:w="1064"/>
        <w:gridCol w:w="1013"/>
        <w:gridCol w:w="1191"/>
        <w:gridCol w:w="1064"/>
        <w:gridCol w:w="1013"/>
        <w:gridCol w:w="1191"/>
        <w:gridCol w:w="1216"/>
      </w:tblGrid>
      <w:tr w:rsidR="00F403D1" w:rsidRPr="00F403D1" w14:paraId="13732D16" w14:textId="77777777" w:rsidTr="00626C01">
        <w:trPr>
          <w:cantSplit/>
          <w:trHeight w:val="290"/>
          <w:tblHeader/>
          <w:jc w:val="center"/>
        </w:trPr>
        <w:tc>
          <w:tcPr>
            <w:tcW w:w="2520" w:type="dxa"/>
            <w:tcBorders>
              <w:top w:val="nil"/>
              <w:left w:val="nil"/>
              <w:bottom w:val="nil"/>
              <w:right w:val="nil"/>
            </w:tcBorders>
            <w:shd w:val="clear" w:color="auto" w:fill="auto"/>
            <w:vAlign w:val="bottom"/>
            <w:hideMark/>
          </w:tcPr>
          <w:p w14:paraId="2E3C1A79" w14:textId="77777777" w:rsidR="00F403D1" w:rsidRPr="00F403D1" w:rsidRDefault="00F403D1" w:rsidP="00F403D1">
            <w:pPr>
              <w:spacing w:after="0" w:line="240" w:lineRule="auto"/>
              <w:rPr>
                <w:rFonts w:ascii="Times New Roman" w:eastAsia="Times New Roman" w:hAnsi="Times New Roman" w:cs="Times New Roman"/>
                <w:sz w:val="24"/>
                <w:szCs w:val="24"/>
              </w:rPr>
            </w:pPr>
          </w:p>
        </w:tc>
        <w:tc>
          <w:tcPr>
            <w:tcW w:w="2908" w:type="dxa"/>
            <w:gridSpan w:val="3"/>
            <w:tcBorders>
              <w:top w:val="single" w:sz="4" w:space="0" w:color="auto"/>
              <w:left w:val="single" w:sz="4" w:space="0" w:color="auto"/>
              <w:bottom w:val="single" w:sz="4" w:space="0" w:color="auto"/>
              <w:right w:val="single" w:sz="4" w:space="0" w:color="auto"/>
            </w:tcBorders>
            <w:shd w:val="clear" w:color="000000" w:fill="4F81BD"/>
            <w:vAlign w:val="bottom"/>
            <w:hideMark/>
          </w:tcPr>
          <w:p w14:paraId="52D05AC3" w14:textId="77777777" w:rsidR="00F403D1" w:rsidRPr="00F403D1" w:rsidRDefault="00F403D1" w:rsidP="00F403D1">
            <w:pPr>
              <w:spacing w:after="0" w:line="240" w:lineRule="auto"/>
              <w:jc w:val="center"/>
              <w:rPr>
                <w:rFonts w:ascii="Calibri" w:eastAsia="Times New Roman" w:hAnsi="Calibri" w:cs="Calibri"/>
                <w:b/>
                <w:bCs/>
                <w:color w:val="FFFFFF"/>
              </w:rPr>
            </w:pPr>
            <w:r w:rsidRPr="00F403D1">
              <w:rPr>
                <w:rFonts w:ascii="Calibri" w:eastAsia="Times New Roman" w:hAnsi="Calibri" w:cs="Calibri"/>
                <w:b/>
                <w:bCs/>
                <w:color w:val="FFFFFF"/>
              </w:rPr>
              <w:t>Pt Count</w:t>
            </w:r>
          </w:p>
        </w:tc>
        <w:tc>
          <w:tcPr>
            <w:tcW w:w="3268" w:type="dxa"/>
            <w:gridSpan w:val="3"/>
            <w:tcBorders>
              <w:top w:val="single" w:sz="4" w:space="0" w:color="auto"/>
              <w:left w:val="nil"/>
              <w:bottom w:val="single" w:sz="4" w:space="0" w:color="auto"/>
              <w:right w:val="single" w:sz="4" w:space="0" w:color="auto"/>
            </w:tcBorders>
            <w:shd w:val="clear" w:color="000000" w:fill="244062"/>
            <w:vAlign w:val="bottom"/>
            <w:hideMark/>
          </w:tcPr>
          <w:p w14:paraId="1E36DDA2" w14:textId="77777777" w:rsidR="00F403D1" w:rsidRPr="00F403D1" w:rsidRDefault="00F403D1" w:rsidP="00F403D1">
            <w:pPr>
              <w:spacing w:after="0" w:line="240" w:lineRule="auto"/>
              <w:jc w:val="center"/>
              <w:rPr>
                <w:rFonts w:ascii="Calibri" w:eastAsia="Times New Roman" w:hAnsi="Calibri" w:cs="Calibri"/>
                <w:b/>
                <w:bCs/>
                <w:color w:val="FFFFFF"/>
              </w:rPr>
            </w:pPr>
            <w:r w:rsidRPr="00F403D1">
              <w:rPr>
                <w:rFonts w:ascii="Calibri" w:eastAsia="Times New Roman" w:hAnsi="Calibri" w:cs="Calibri"/>
                <w:b/>
                <w:bCs/>
                <w:color w:val="FFFFFF"/>
              </w:rPr>
              <w:t xml:space="preserve">% </w:t>
            </w:r>
            <w:proofErr w:type="gramStart"/>
            <w:r w:rsidRPr="00F403D1">
              <w:rPr>
                <w:rFonts w:ascii="Calibri" w:eastAsia="Times New Roman" w:hAnsi="Calibri" w:cs="Calibri"/>
                <w:b/>
                <w:bCs/>
                <w:color w:val="FFFFFF"/>
              </w:rPr>
              <w:t>of</w:t>
            </w:r>
            <w:proofErr w:type="gramEnd"/>
            <w:r w:rsidRPr="00F403D1">
              <w:rPr>
                <w:rFonts w:ascii="Calibri" w:eastAsia="Times New Roman" w:hAnsi="Calibri" w:cs="Calibri"/>
                <w:b/>
                <w:bCs/>
                <w:color w:val="FFFFFF"/>
              </w:rPr>
              <w:t xml:space="preserve"> Total</w:t>
            </w:r>
          </w:p>
        </w:tc>
        <w:tc>
          <w:tcPr>
            <w:tcW w:w="1294" w:type="dxa"/>
            <w:tcBorders>
              <w:top w:val="nil"/>
              <w:left w:val="nil"/>
              <w:bottom w:val="nil"/>
              <w:right w:val="nil"/>
            </w:tcBorders>
            <w:shd w:val="clear" w:color="auto" w:fill="auto"/>
            <w:vAlign w:val="bottom"/>
            <w:hideMark/>
          </w:tcPr>
          <w:p w14:paraId="39E14DD1" w14:textId="77777777" w:rsidR="00F403D1" w:rsidRPr="00F403D1" w:rsidRDefault="00F403D1" w:rsidP="00F403D1">
            <w:pPr>
              <w:spacing w:after="0" w:line="240" w:lineRule="auto"/>
              <w:jc w:val="center"/>
              <w:rPr>
                <w:rFonts w:ascii="Calibri" w:eastAsia="Times New Roman" w:hAnsi="Calibri" w:cs="Calibri"/>
                <w:b/>
                <w:bCs/>
                <w:color w:val="FFFFFF"/>
              </w:rPr>
            </w:pPr>
          </w:p>
        </w:tc>
      </w:tr>
      <w:tr w:rsidR="00F403D1" w:rsidRPr="00F403D1" w14:paraId="62E55126" w14:textId="77777777" w:rsidTr="00626C01">
        <w:trPr>
          <w:cantSplit/>
          <w:trHeight w:val="550"/>
          <w:tblHeader/>
          <w:jc w:val="center"/>
        </w:trPr>
        <w:tc>
          <w:tcPr>
            <w:tcW w:w="2520" w:type="dxa"/>
            <w:tcBorders>
              <w:top w:val="nil"/>
              <w:left w:val="nil"/>
              <w:bottom w:val="nil"/>
              <w:right w:val="nil"/>
            </w:tcBorders>
            <w:shd w:val="clear" w:color="auto" w:fill="auto"/>
            <w:vAlign w:val="bottom"/>
            <w:hideMark/>
          </w:tcPr>
          <w:p w14:paraId="44955685" w14:textId="77777777" w:rsidR="00F403D1" w:rsidRPr="00F403D1" w:rsidRDefault="00F403D1" w:rsidP="00F403D1">
            <w:pPr>
              <w:spacing w:after="0" w:line="240" w:lineRule="auto"/>
              <w:rPr>
                <w:rFonts w:ascii="Calibri" w:eastAsia="Times New Roman" w:hAnsi="Calibri" w:cs="Calibri"/>
                <w:b/>
                <w:bCs/>
                <w:color w:val="FF0000"/>
              </w:rPr>
            </w:pPr>
            <w:r w:rsidRPr="00F403D1">
              <w:rPr>
                <w:rFonts w:ascii="Calibri" w:eastAsia="Times New Roman" w:hAnsi="Calibri" w:cs="Calibri"/>
                <w:b/>
                <w:bCs/>
                <w:color w:val="FF0000"/>
              </w:rPr>
              <w:t>By Hospital:</w:t>
            </w:r>
          </w:p>
        </w:tc>
        <w:tc>
          <w:tcPr>
            <w:tcW w:w="704" w:type="dxa"/>
            <w:tcBorders>
              <w:top w:val="nil"/>
              <w:left w:val="single" w:sz="4" w:space="0" w:color="auto"/>
              <w:bottom w:val="single" w:sz="4" w:space="0" w:color="auto"/>
              <w:right w:val="single" w:sz="4" w:space="0" w:color="auto"/>
            </w:tcBorders>
            <w:shd w:val="clear" w:color="000000" w:fill="4F81BD"/>
            <w:vAlign w:val="bottom"/>
            <w:hideMark/>
          </w:tcPr>
          <w:p w14:paraId="302508A1" w14:textId="77777777" w:rsidR="00F403D1" w:rsidRPr="00F403D1" w:rsidRDefault="00F403D1" w:rsidP="00F403D1">
            <w:pPr>
              <w:spacing w:after="0" w:line="240" w:lineRule="auto"/>
              <w:jc w:val="center"/>
              <w:rPr>
                <w:rFonts w:ascii="Calibri" w:eastAsia="Times New Roman" w:hAnsi="Calibri" w:cs="Calibri"/>
                <w:b/>
                <w:bCs/>
                <w:color w:val="FFFFFF"/>
              </w:rPr>
            </w:pPr>
            <w:r w:rsidRPr="00F403D1">
              <w:rPr>
                <w:rFonts w:ascii="Calibri" w:eastAsia="Times New Roman" w:hAnsi="Calibri" w:cs="Calibri"/>
                <w:b/>
                <w:bCs/>
                <w:color w:val="FFFFFF"/>
              </w:rPr>
              <w:t>Transfers</w:t>
            </w:r>
          </w:p>
        </w:tc>
        <w:tc>
          <w:tcPr>
            <w:tcW w:w="1013" w:type="dxa"/>
            <w:tcBorders>
              <w:top w:val="nil"/>
              <w:left w:val="nil"/>
              <w:bottom w:val="single" w:sz="4" w:space="0" w:color="auto"/>
              <w:right w:val="single" w:sz="4" w:space="0" w:color="auto"/>
            </w:tcBorders>
            <w:shd w:val="clear" w:color="000000" w:fill="4F81BD"/>
            <w:vAlign w:val="bottom"/>
            <w:hideMark/>
          </w:tcPr>
          <w:p w14:paraId="17C8D9F0" w14:textId="77777777" w:rsidR="00F403D1" w:rsidRPr="00F403D1" w:rsidRDefault="00F403D1" w:rsidP="00F403D1">
            <w:pPr>
              <w:spacing w:after="0" w:line="240" w:lineRule="auto"/>
              <w:jc w:val="center"/>
              <w:rPr>
                <w:rFonts w:ascii="Calibri" w:eastAsia="Times New Roman" w:hAnsi="Calibri" w:cs="Calibri"/>
                <w:b/>
                <w:bCs/>
                <w:color w:val="FFFFFF"/>
              </w:rPr>
            </w:pPr>
            <w:r w:rsidRPr="00F403D1">
              <w:rPr>
                <w:rFonts w:ascii="Calibri" w:eastAsia="Times New Roman" w:hAnsi="Calibri" w:cs="Calibri"/>
                <w:b/>
                <w:bCs/>
                <w:color w:val="FFFFFF"/>
              </w:rPr>
              <w:t>Declined</w:t>
            </w:r>
          </w:p>
        </w:tc>
        <w:tc>
          <w:tcPr>
            <w:tcW w:w="1191" w:type="dxa"/>
            <w:tcBorders>
              <w:top w:val="nil"/>
              <w:left w:val="nil"/>
              <w:bottom w:val="single" w:sz="4" w:space="0" w:color="auto"/>
              <w:right w:val="single" w:sz="4" w:space="0" w:color="auto"/>
            </w:tcBorders>
            <w:shd w:val="clear" w:color="000000" w:fill="4F81BD"/>
            <w:vAlign w:val="bottom"/>
            <w:hideMark/>
          </w:tcPr>
          <w:p w14:paraId="0F5D90AD" w14:textId="77777777" w:rsidR="00F403D1" w:rsidRPr="00F403D1" w:rsidRDefault="00F403D1" w:rsidP="00F403D1">
            <w:pPr>
              <w:spacing w:after="0" w:line="240" w:lineRule="auto"/>
              <w:jc w:val="center"/>
              <w:rPr>
                <w:rFonts w:ascii="Calibri" w:eastAsia="Times New Roman" w:hAnsi="Calibri" w:cs="Calibri"/>
                <w:b/>
                <w:bCs/>
                <w:color w:val="FFFFFF"/>
              </w:rPr>
            </w:pPr>
            <w:r w:rsidRPr="00F403D1">
              <w:rPr>
                <w:rFonts w:ascii="Calibri" w:eastAsia="Times New Roman" w:hAnsi="Calibri" w:cs="Calibri"/>
                <w:b/>
                <w:bCs/>
                <w:color w:val="FFFFFF"/>
              </w:rPr>
              <w:t>Total Requested</w:t>
            </w:r>
          </w:p>
        </w:tc>
        <w:tc>
          <w:tcPr>
            <w:tcW w:w="1064" w:type="dxa"/>
            <w:tcBorders>
              <w:top w:val="nil"/>
              <w:left w:val="nil"/>
              <w:bottom w:val="single" w:sz="4" w:space="0" w:color="auto"/>
              <w:right w:val="single" w:sz="4" w:space="0" w:color="auto"/>
            </w:tcBorders>
            <w:shd w:val="clear" w:color="000000" w:fill="244062"/>
            <w:vAlign w:val="bottom"/>
            <w:hideMark/>
          </w:tcPr>
          <w:p w14:paraId="1383F113" w14:textId="77777777" w:rsidR="00F403D1" w:rsidRPr="00F403D1" w:rsidRDefault="00F403D1" w:rsidP="00F403D1">
            <w:pPr>
              <w:spacing w:after="0" w:line="240" w:lineRule="auto"/>
              <w:jc w:val="center"/>
              <w:rPr>
                <w:rFonts w:ascii="Calibri" w:eastAsia="Times New Roman" w:hAnsi="Calibri" w:cs="Calibri"/>
                <w:b/>
                <w:bCs/>
                <w:color w:val="FFFFFF"/>
              </w:rPr>
            </w:pPr>
            <w:r w:rsidRPr="00F403D1">
              <w:rPr>
                <w:rFonts w:ascii="Calibri" w:eastAsia="Times New Roman" w:hAnsi="Calibri" w:cs="Calibri"/>
                <w:b/>
                <w:bCs/>
                <w:color w:val="FFFFFF"/>
              </w:rPr>
              <w:t>Transfers</w:t>
            </w:r>
          </w:p>
        </w:tc>
        <w:tc>
          <w:tcPr>
            <w:tcW w:w="1013" w:type="dxa"/>
            <w:tcBorders>
              <w:top w:val="nil"/>
              <w:left w:val="nil"/>
              <w:bottom w:val="single" w:sz="4" w:space="0" w:color="auto"/>
              <w:right w:val="single" w:sz="4" w:space="0" w:color="auto"/>
            </w:tcBorders>
            <w:shd w:val="clear" w:color="000000" w:fill="244062"/>
            <w:vAlign w:val="bottom"/>
            <w:hideMark/>
          </w:tcPr>
          <w:p w14:paraId="47C43088" w14:textId="77777777" w:rsidR="00F403D1" w:rsidRPr="00F403D1" w:rsidRDefault="00F403D1" w:rsidP="00F403D1">
            <w:pPr>
              <w:spacing w:after="0" w:line="240" w:lineRule="auto"/>
              <w:jc w:val="center"/>
              <w:rPr>
                <w:rFonts w:ascii="Calibri" w:eastAsia="Times New Roman" w:hAnsi="Calibri" w:cs="Calibri"/>
                <w:b/>
                <w:bCs/>
                <w:color w:val="FFFFFF"/>
              </w:rPr>
            </w:pPr>
            <w:r w:rsidRPr="00F403D1">
              <w:rPr>
                <w:rFonts w:ascii="Calibri" w:eastAsia="Times New Roman" w:hAnsi="Calibri" w:cs="Calibri"/>
                <w:b/>
                <w:bCs/>
                <w:color w:val="FFFFFF"/>
              </w:rPr>
              <w:t>Declined</w:t>
            </w:r>
          </w:p>
        </w:tc>
        <w:tc>
          <w:tcPr>
            <w:tcW w:w="1191" w:type="dxa"/>
            <w:tcBorders>
              <w:top w:val="nil"/>
              <w:left w:val="nil"/>
              <w:bottom w:val="single" w:sz="4" w:space="0" w:color="auto"/>
              <w:right w:val="single" w:sz="4" w:space="0" w:color="auto"/>
            </w:tcBorders>
            <w:shd w:val="clear" w:color="000000" w:fill="244062"/>
            <w:vAlign w:val="bottom"/>
            <w:hideMark/>
          </w:tcPr>
          <w:p w14:paraId="4C86A7F3" w14:textId="77777777" w:rsidR="00F403D1" w:rsidRPr="00F403D1" w:rsidRDefault="00F403D1" w:rsidP="00F403D1">
            <w:pPr>
              <w:spacing w:after="0" w:line="240" w:lineRule="auto"/>
              <w:jc w:val="center"/>
              <w:rPr>
                <w:rFonts w:ascii="Calibri" w:eastAsia="Times New Roman" w:hAnsi="Calibri" w:cs="Calibri"/>
                <w:b/>
                <w:bCs/>
                <w:color w:val="FFFFFF"/>
              </w:rPr>
            </w:pPr>
            <w:r w:rsidRPr="00F403D1">
              <w:rPr>
                <w:rFonts w:ascii="Calibri" w:eastAsia="Times New Roman" w:hAnsi="Calibri" w:cs="Calibri"/>
                <w:b/>
                <w:bCs/>
                <w:color w:val="FFFFFF"/>
              </w:rPr>
              <w:t>Total Requested</w:t>
            </w:r>
          </w:p>
        </w:tc>
        <w:tc>
          <w:tcPr>
            <w:tcW w:w="1294" w:type="dxa"/>
            <w:tcBorders>
              <w:top w:val="single" w:sz="4" w:space="0" w:color="auto"/>
              <w:left w:val="nil"/>
              <w:bottom w:val="single" w:sz="4" w:space="0" w:color="auto"/>
              <w:right w:val="single" w:sz="4" w:space="0" w:color="auto"/>
            </w:tcBorders>
            <w:shd w:val="clear" w:color="000000" w:fill="DA9694"/>
            <w:vAlign w:val="bottom"/>
            <w:hideMark/>
          </w:tcPr>
          <w:p w14:paraId="64E5E73F" w14:textId="77777777" w:rsidR="00F403D1" w:rsidRPr="00F403D1" w:rsidRDefault="00F403D1" w:rsidP="00F403D1">
            <w:pPr>
              <w:spacing w:after="0" w:line="240" w:lineRule="auto"/>
              <w:jc w:val="center"/>
              <w:rPr>
                <w:rFonts w:ascii="Calibri" w:eastAsia="Times New Roman" w:hAnsi="Calibri" w:cs="Calibri"/>
                <w:b/>
                <w:bCs/>
                <w:color w:val="000000"/>
              </w:rPr>
            </w:pPr>
            <w:r w:rsidRPr="00F403D1">
              <w:rPr>
                <w:rFonts w:ascii="Calibri" w:eastAsia="Times New Roman" w:hAnsi="Calibri" w:cs="Calibri"/>
                <w:b/>
                <w:bCs/>
                <w:color w:val="000000"/>
              </w:rPr>
              <w:t>Declined Rate</w:t>
            </w:r>
          </w:p>
        </w:tc>
      </w:tr>
      <w:tr w:rsidR="00F403D1" w:rsidRPr="00F403D1" w14:paraId="46F2C063" w14:textId="77777777" w:rsidTr="00626C01">
        <w:trPr>
          <w:cantSplit/>
          <w:trHeight w:val="290"/>
          <w:jc w:val="center"/>
        </w:trPr>
        <w:tc>
          <w:tcPr>
            <w:tcW w:w="2520" w:type="dxa"/>
            <w:tcBorders>
              <w:top w:val="nil"/>
              <w:left w:val="nil"/>
              <w:bottom w:val="nil"/>
              <w:right w:val="nil"/>
            </w:tcBorders>
            <w:shd w:val="clear" w:color="auto" w:fill="auto"/>
            <w:vAlign w:val="bottom"/>
            <w:hideMark/>
          </w:tcPr>
          <w:p w14:paraId="126702E9" w14:textId="77777777" w:rsidR="00F403D1" w:rsidRPr="00F403D1" w:rsidRDefault="00F403D1" w:rsidP="00F403D1">
            <w:pPr>
              <w:spacing w:after="0" w:line="240" w:lineRule="auto"/>
              <w:rPr>
                <w:rFonts w:ascii="Calibri" w:eastAsia="Times New Roman" w:hAnsi="Calibri" w:cs="Calibri"/>
                <w:color w:val="000000"/>
              </w:rPr>
            </w:pPr>
            <w:r w:rsidRPr="00F403D1">
              <w:rPr>
                <w:rFonts w:ascii="Calibri" w:eastAsia="Times New Roman" w:hAnsi="Calibri" w:cs="Calibri"/>
                <w:color w:val="000000"/>
              </w:rPr>
              <w:t>Harrington</w:t>
            </w:r>
          </w:p>
        </w:tc>
        <w:tc>
          <w:tcPr>
            <w:tcW w:w="704" w:type="dxa"/>
            <w:tcBorders>
              <w:top w:val="nil"/>
              <w:left w:val="nil"/>
              <w:bottom w:val="nil"/>
              <w:right w:val="nil"/>
            </w:tcBorders>
            <w:shd w:val="clear" w:color="auto" w:fill="auto"/>
            <w:vAlign w:val="bottom"/>
            <w:hideMark/>
          </w:tcPr>
          <w:p w14:paraId="14E771E6"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223 </w:t>
            </w:r>
          </w:p>
        </w:tc>
        <w:tc>
          <w:tcPr>
            <w:tcW w:w="1013" w:type="dxa"/>
            <w:tcBorders>
              <w:top w:val="nil"/>
              <w:left w:val="nil"/>
              <w:bottom w:val="nil"/>
              <w:right w:val="nil"/>
            </w:tcBorders>
            <w:shd w:val="clear" w:color="auto" w:fill="auto"/>
            <w:vAlign w:val="bottom"/>
            <w:hideMark/>
          </w:tcPr>
          <w:p w14:paraId="0E094273"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209 </w:t>
            </w:r>
          </w:p>
        </w:tc>
        <w:tc>
          <w:tcPr>
            <w:tcW w:w="1191" w:type="dxa"/>
            <w:tcBorders>
              <w:top w:val="nil"/>
              <w:left w:val="nil"/>
              <w:bottom w:val="nil"/>
              <w:right w:val="nil"/>
            </w:tcBorders>
            <w:shd w:val="clear" w:color="auto" w:fill="auto"/>
            <w:vAlign w:val="bottom"/>
            <w:hideMark/>
          </w:tcPr>
          <w:p w14:paraId="1446EA9B"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432 </w:t>
            </w:r>
          </w:p>
        </w:tc>
        <w:tc>
          <w:tcPr>
            <w:tcW w:w="1064" w:type="dxa"/>
            <w:tcBorders>
              <w:top w:val="nil"/>
              <w:left w:val="nil"/>
              <w:bottom w:val="nil"/>
              <w:right w:val="nil"/>
            </w:tcBorders>
            <w:shd w:val="clear" w:color="auto" w:fill="auto"/>
            <w:vAlign w:val="bottom"/>
            <w:hideMark/>
          </w:tcPr>
          <w:p w14:paraId="7FA2F1F4"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13.8%</w:t>
            </w:r>
          </w:p>
        </w:tc>
        <w:tc>
          <w:tcPr>
            <w:tcW w:w="1013" w:type="dxa"/>
            <w:tcBorders>
              <w:top w:val="nil"/>
              <w:left w:val="nil"/>
              <w:bottom w:val="nil"/>
              <w:right w:val="nil"/>
            </w:tcBorders>
            <w:shd w:val="clear" w:color="auto" w:fill="auto"/>
            <w:vAlign w:val="bottom"/>
            <w:hideMark/>
          </w:tcPr>
          <w:p w14:paraId="29291FF1"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10.7%</w:t>
            </w:r>
          </w:p>
        </w:tc>
        <w:tc>
          <w:tcPr>
            <w:tcW w:w="1191" w:type="dxa"/>
            <w:tcBorders>
              <w:top w:val="nil"/>
              <w:left w:val="nil"/>
              <w:bottom w:val="nil"/>
              <w:right w:val="nil"/>
            </w:tcBorders>
            <w:shd w:val="clear" w:color="auto" w:fill="auto"/>
            <w:vAlign w:val="bottom"/>
            <w:hideMark/>
          </w:tcPr>
          <w:p w14:paraId="29BB3599"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12.1%</w:t>
            </w:r>
          </w:p>
        </w:tc>
        <w:tc>
          <w:tcPr>
            <w:tcW w:w="1294" w:type="dxa"/>
            <w:tcBorders>
              <w:top w:val="nil"/>
              <w:left w:val="nil"/>
              <w:bottom w:val="nil"/>
              <w:right w:val="nil"/>
            </w:tcBorders>
            <w:shd w:val="clear" w:color="auto" w:fill="auto"/>
            <w:vAlign w:val="bottom"/>
            <w:hideMark/>
          </w:tcPr>
          <w:p w14:paraId="0E03E848"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48.4%</w:t>
            </w:r>
          </w:p>
        </w:tc>
      </w:tr>
      <w:tr w:rsidR="00F403D1" w:rsidRPr="00F403D1" w14:paraId="7A00D2BC" w14:textId="77777777" w:rsidTr="00626C01">
        <w:trPr>
          <w:cantSplit/>
          <w:trHeight w:val="290"/>
          <w:jc w:val="center"/>
        </w:trPr>
        <w:tc>
          <w:tcPr>
            <w:tcW w:w="2520" w:type="dxa"/>
            <w:tcBorders>
              <w:top w:val="nil"/>
              <w:left w:val="nil"/>
              <w:bottom w:val="nil"/>
              <w:right w:val="nil"/>
            </w:tcBorders>
            <w:shd w:val="clear" w:color="auto" w:fill="auto"/>
            <w:vAlign w:val="bottom"/>
            <w:hideMark/>
          </w:tcPr>
          <w:p w14:paraId="69CB7293" w14:textId="77777777" w:rsidR="00F403D1" w:rsidRPr="00F403D1" w:rsidRDefault="00F403D1" w:rsidP="00F403D1">
            <w:pPr>
              <w:spacing w:after="0" w:line="240" w:lineRule="auto"/>
              <w:rPr>
                <w:rFonts w:ascii="Calibri" w:eastAsia="Times New Roman" w:hAnsi="Calibri" w:cs="Calibri"/>
                <w:color w:val="000000"/>
              </w:rPr>
            </w:pPr>
            <w:r w:rsidRPr="00F403D1">
              <w:rPr>
                <w:rFonts w:ascii="Calibri" w:eastAsia="Times New Roman" w:hAnsi="Calibri" w:cs="Calibri"/>
                <w:color w:val="000000"/>
              </w:rPr>
              <w:t>Marlborough</w:t>
            </w:r>
          </w:p>
        </w:tc>
        <w:tc>
          <w:tcPr>
            <w:tcW w:w="704" w:type="dxa"/>
            <w:tcBorders>
              <w:top w:val="nil"/>
              <w:left w:val="nil"/>
              <w:bottom w:val="nil"/>
              <w:right w:val="nil"/>
            </w:tcBorders>
            <w:shd w:val="clear" w:color="auto" w:fill="auto"/>
            <w:vAlign w:val="bottom"/>
            <w:hideMark/>
          </w:tcPr>
          <w:p w14:paraId="3CF75EB9"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257 </w:t>
            </w:r>
          </w:p>
        </w:tc>
        <w:tc>
          <w:tcPr>
            <w:tcW w:w="1013" w:type="dxa"/>
            <w:tcBorders>
              <w:top w:val="nil"/>
              <w:left w:val="nil"/>
              <w:bottom w:val="nil"/>
              <w:right w:val="nil"/>
            </w:tcBorders>
            <w:shd w:val="clear" w:color="auto" w:fill="auto"/>
            <w:vAlign w:val="bottom"/>
            <w:hideMark/>
          </w:tcPr>
          <w:p w14:paraId="78F9B991"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144 </w:t>
            </w:r>
          </w:p>
        </w:tc>
        <w:tc>
          <w:tcPr>
            <w:tcW w:w="1191" w:type="dxa"/>
            <w:tcBorders>
              <w:top w:val="nil"/>
              <w:left w:val="nil"/>
              <w:bottom w:val="nil"/>
              <w:right w:val="nil"/>
            </w:tcBorders>
            <w:shd w:val="clear" w:color="auto" w:fill="auto"/>
            <w:vAlign w:val="bottom"/>
            <w:hideMark/>
          </w:tcPr>
          <w:p w14:paraId="1F50F221"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401 </w:t>
            </w:r>
          </w:p>
        </w:tc>
        <w:tc>
          <w:tcPr>
            <w:tcW w:w="1064" w:type="dxa"/>
            <w:tcBorders>
              <w:top w:val="nil"/>
              <w:left w:val="nil"/>
              <w:bottom w:val="nil"/>
              <w:right w:val="nil"/>
            </w:tcBorders>
            <w:shd w:val="clear" w:color="auto" w:fill="auto"/>
            <w:vAlign w:val="bottom"/>
            <w:hideMark/>
          </w:tcPr>
          <w:p w14:paraId="7F65989A"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15.9%</w:t>
            </w:r>
          </w:p>
        </w:tc>
        <w:tc>
          <w:tcPr>
            <w:tcW w:w="1013" w:type="dxa"/>
            <w:tcBorders>
              <w:top w:val="nil"/>
              <w:left w:val="nil"/>
              <w:bottom w:val="nil"/>
              <w:right w:val="nil"/>
            </w:tcBorders>
            <w:shd w:val="clear" w:color="auto" w:fill="auto"/>
            <w:vAlign w:val="bottom"/>
            <w:hideMark/>
          </w:tcPr>
          <w:p w14:paraId="779C4A1F"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7.4%</w:t>
            </w:r>
          </w:p>
        </w:tc>
        <w:tc>
          <w:tcPr>
            <w:tcW w:w="1191" w:type="dxa"/>
            <w:tcBorders>
              <w:top w:val="nil"/>
              <w:left w:val="nil"/>
              <w:bottom w:val="nil"/>
              <w:right w:val="nil"/>
            </w:tcBorders>
            <w:shd w:val="clear" w:color="auto" w:fill="auto"/>
            <w:vAlign w:val="bottom"/>
            <w:hideMark/>
          </w:tcPr>
          <w:p w14:paraId="41D482F8"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11.2%</w:t>
            </w:r>
          </w:p>
        </w:tc>
        <w:tc>
          <w:tcPr>
            <w:tcW w:w="1294" w:type="dxa"/>
            <w:tcBorders>
              <w:top w:val="nil"/>
              <w:left w:val="nil"/>
              <w:bottom w:val="nil"/>
              <w:right w:val="nil"/>
            </w:tcBorders>
            <w:shd w:val="clear" w:color="auto" w:fill="auto"/>
            <w:vAlign w:val="bottom"/>
            <w:hideMark/>
          </w:tcPr>
          <w:p w14:paraId="10B139BD"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35.9%</w:t>
            </w:r>
          </w:p>
        </w:tc>
      </w:tr>
      <w:tr w:rsidR="00F403D1" w:rsidRPr="00F403D1" w14:paraId="49DBC371" w14:textId="77777777" w:rsidTr="00626C01">
        <w:trPr>
          <w:cantSplit/>
          <w:trHeight w:val="290"/>
          <w:jc w:val="center"/>
        </w:trPr>
        <w:tc>
          <w:tcPr>
            <w:tcW w:w="2520" w:type="dxa"/>
            <w:tcBorders>
              <w:top w:val="nil"/>
              <w:left w:val="nil"/>
              <w:bottom w:val="nil"/>
              <w:right w:val="nil"/>
            </w:tcBorders>
            <w:shd w:val="clear" w:color="auto" w:fill="auto"/>
            <w:vAlign w:val="bottom"/>
            <w:hideMark/>
          </w:tcPr>
          <w:p w14:paraId="0CA176A7" w14:textId="77777777" w:rsidR="00F403D1" w:rsidRPr="00F403D1" w:rsidRDefault="00F403D1" w:rsidP="00F403D1">
            <w:pPr>
              <w:spacing w:after="0" w:line="240" w:lineRule="auto"/>
              <w:rPr>
                <w:rFonts w:ascii="Calibri" w:eastAsia="Times New Roman" w:hAnsi="Calibri" w:cs="Calibri"/>
                <w:color w:val="000000"/>
              </w:rPr>
            </w:pPr>
            <w:r w:rsidRPr="00F403D1">
              <w:rPr>
                <w:rFonts w:ascii="Calibri" w:eastAsia="Times New Roman" w:hAnsi="Calibri" w:cs="Calibri"/>
                <w:color w:val="000000"/>
              </w:rPr>
              <w:t>HealthAlliance</w:t>
            </w:r>
          </w:p>
        </w:tc>
        <w:tc>
          <w:tcPr>
            <w:tcW w:w="704" w:type="dxa"/>
            <w:tcBorders>
              <w:top w:val="nil"/>
              <w:left w:val="nil"/>
              <w:bottom w:val="nil"/>
              <w:right w:val="nil"/>
            </w:tcBorders>
            <w:shd w:val="clear" w:color="auto" w:fill="auto"/>
            <w:vAlign w:val="bottom"/>
            <w:hideMark/>
          </w:tcPr>
          <w:p w14:paraId="29519DFD"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497 </w:t>
            </w:r>
          </w:p>
        </w:tc>
        <w:tc>
          <w:tcPr>
            <w:tcW w:w="1013" w:type="dxa"/>
            <w:tcBorders>
              <w:top w:val="nil"/>
              <w:left w:val="nil"/>
              <w:bottom w:val="nil"/>
              <w:right w:val="nil"/>
            </w:tcBorders>
            <w:shd w:val="clear" w:color="auto" w:fill="auto"/>
            <w:vAlign w:val="bottom"/>
            <w:hideMark/>
          </w:tcPr>
          <w:p w14:paraId="3B26CB07"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354 </w:t>
            </w:r>
          </w:p>
        </w:tc>
        <w:tc>
          <w:tcPr>
            <w:tcW w:w="1191" w:type="dxa"/>
            <w:tcBorders>
              <w:top w:val="nil"/>
              <w:left w:val="nil"/>
              <w:bottom w:val="nil"/>
              <w:right w:val="nil"/>
            </w:tcBorders>
            <w:shd w:val="clear" w:color="auto" w:fill="auto"/>
            <w:vAlign w:val="bottom"/>
            <w:hideMark/>
          </w:tcPr>
          <w:p w14:paraId="5A479665"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851 </w:t>
            </w:r>
          </w:p>
        </w:tc>
        <w:tc>
          <w:tcPr>
            <w:tcW w:w="1064" w:type="dxa"/>
            <w:tcBorders>
              <w:top w:val="nil"/>
              <w:left w:val="nil"/>
              <w:bottom w:val="nil"/>
              <w:right w:val="nil"/>
            </w:tcBorders>
            <w:shd w:val="clear" w:color="auto" w:fill="auto"/>
            <w:vAlign w:val="bottom"/>
            <w:hideMark/>
          </w:tcPr>
          <w:p w14:paraId="07618C24"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30.8%</w:t>
            </w:r>
          </w:p>
        </w:tc>
        <w:tc>
          <w:tcPr>
            <w:tcW w:w="1013" w:type="dxa"/>
            <w:tcBorders>
              <w:top w:val="nil"/>
              <w:left w:val="nil"/>
              <w:bottom w:val="nil"/>
              <w:right w:val="nil"/>
            </w:tcBorders>
            <w:shd w:val="clear" w:color="auto" w:fill="auto"/>
            <w:vAlign w:val="bottom"/>
            <w:hideMark/>
          </w:tcPr>
          <w:p w14:paraId="444A06B0"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18.1%</w:t>
            </w:r>
          </w:p>
        </w:tc>
        <w:tc>
          <w:tcPr>
            <w:tcW w:w="1191" w:type="dxa"/>
            <w:tcBorders>
              <w:top w:val="nil"/>
              <w:left w:val="nil"/>
              <w:bottom w:val="nil"/>
              <w:right w:val="nil"/>
            </w:tcBorders>
            <w:shd w:val="clear" w:color="auto" w:fill="auto"/>
            <w:vAlign w:val="bottom"/>
            <w:hideMark/>
          </w:tcPr>
          <w:p w14:paraId="66EF5DF5"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23.9%</w:t>
            </w:r>
          </w:p>
        </w:tc>
        <w:tc>
          <w:tcPr>
            <w:tcW w:w="1294" w:type="dxa"/>
            <w:tcBorders>
              <w:top w:val="nil"/>
              <w:left w:val="nil"/>
              <w:bottom w:val="nil"/>
              <w:right w:val="nil"/>
            </w:tcBorders>
            <w:shd w:val="clear" w:color="auto" w:fill="auto"/>
            <w:vAlign w:val="bottom"/>
            <w:hideMark/>
          </w:tcPr>
          <w:p w14:paraId="07F47FE9"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41.6%</w:t>
            </w:r>
          </w:p>
        </w:tc>
      </w:tr>
      <w:tr w:rsidR="00F403D1" w:rsidRPr="00F403D1" w14:paraId="288A7A4A" w14:textId="77777777" w:rsidTr="00626C01">
        <w:trPr>
          <w:cantSplit/>
          <w:trHeight w:val="650"/>
          <w:jc w:val="center"/>
        </w:trPr>
        <w:tc>
          <w:tcPr>
            <w:tcW w:w="2520" w:type="dxa"/>
            <w:tcBorders>
              <w:top w:val="single" w:sz="4" w:space="0" w:color="auto"/>
              <w:left w:val="nil"/>
              <w:bottom w:val="single" w:sz="4" w:space="0" w:color="auto"/>
              <w:right w:val="nil"/>
            </w:tcBorders>
            <w:shd w:val="clear" w:color="auto" w:fill="auto"/>
            <w:vAlign w:val="bottom"/>
            <w:hideMark/>
          </w:tcPr>
          <w:p w14:paraId="0EE5AFEE" w14:textId="77777777" w:rsidR="00F403D1" w:rsidRPr="00F403D1" w:rsidRDefault="00F403D1" w:rsidP="00F403D1">
            <w:pPr>
              <w:spacing w:after="0" w:line="240" w:lineRule="auto"/>
              <w:rPr>
                <w:rFonts w:ascii="Calibri" w:eastAsia="Times New Roman" w:hAnsi="Calibri" w:cs="Calibri"/>
                <w:b/>
                <w:bCs/>
                <w:color w:val="000000"/>
              </w:rPr>
            </w:pPr>
            <w:r w:rsidRPr="00F403D1">
              <w:rPr>
                <w:rFonts w:ascii="Calibri" w:eastAsia="Times New Roman" w:hAnsi="Calibri" w:cs="Calibri"/>
                <w:b/>
                <w:bCs/>
                <w:color w:val="000000"/>
              </w:rPr>
              <w:t>Subtotal UMMH Community Hospitals</w:t>
            </w:r>
          </w:p>
        </w:tc>
        <w:tc>
          <w:tcPr>
            <w:tcW w:w="704" w:type="dxa"/>
            <w:tcBorders>
              <w:top w:val="single" w:sz="4" w:space="0" w:color="auto"/>
              <w:left w:val="nil"/>
              <w:bottom w:val="single" w:sz="4" w:space="0" w:color="auto"/>
              <w:right w:val="nil"/>
            </w:tcBorders>
            <w:shd w:val="clear" w:color="auto" w:fill="auto"/>
            <w:vAlign w:val="bottom"/>
            <w:hideMark/>
          </w:tcPr>
          <w:p w14:paraId="1C9AE3D4" w14:textId="77777777" w:rsidR="00F403D1" w:rsidRPr="00F403D1" w:rsidRDefault="00F403D1" w:rsidP="00F403D1">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 xml:space="preserve">977 </w:t>
            </w:r>
          </w:p>
        </w:tc>
        <w:tc>
          <w:tcPr>
            <w:tcW w:w="1013" w:type="dxa"/>
            <w:tcBorders>
              <w:top w:val="single" w:sz="4" w:space="0" w:color="auto"/>
              <w:left w:val="nil"/>
              <w:bottom w:val="single" w:sz="4" w:space="0" w:color="auto"/>
              <w:right w:val="nil"/>
            </w:tcBorders>
            <w:shd w:val="clear" w:color="auto" w:fill="auto"/>
            <w:vAlign w:val="bottom"/>
            <w:hideMark/>
          </w:tcPr>
          <w:p w14:paraId="7D22EF7D" w14:textId="77777777" w:rsidR="00F403D1" w:rsidRPr="00F403D1" w:rsidRDefault="00F403D1" w:rsidP="00F403D1">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 xml:space="preserve">707 </w:t>
            </w:r>
          </w:p>
        </w:tc>
        <w:tc>
          <w:tcPr>
            <w:tcW w:w="1191" w:type="dxa"/>
            <w:tcBorders>
              <w:top w:val="single" w:sz="4" w:space="0" w:color="auto"/>
              <w:left w:val="nil"/>
              <w:bottom w:val="single" w:sz="4" w:space="0" w:color="auto"/>
              <w:right w:val="nil"/>
            </w:tcBorders>
            <w:shd w:val="clear" w:color="auto" w:fill="auto"/>
            <w:vAlign w:val="bottom"/>
            <w:hideMark/>
          </w:tcPr>
          <w:p w14:paraId="404A8672" w14:textId="77777777" w:rsidR="00F403D1" w:rsidRPr="00F403D1" w:rsidRDefault="00F403D1" w:rsidP="00F403D1">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 xml:space="preserve">1,684 </w:t>
            </w:r>
          </w:p>
        </w:tc>
        <w:tc>
          <w:tcPr>
            <w:tcW w:w="1064" w:type="dxa"/>
            <w:tcBorders>
              <w:top w:val="single" w:sz="4" w:space="0" w:color="auto"/>
              <w:left w:val="nil"/>
              <w:bottom w:val="single" w:sz="4" w:space="0" w:color="auto"/>
              <w:right w:val="nil"/>
            </w:tcBorders>
            <w:shd w:val="clear" w:color="auto" w:fill="auto"/>
            <w:vAlign w:val="bottom"/>
            <w:hideMark/>
          </w:tcPr>
          <w:p w14:paraId="06149CF5" w14:textId="77777777" w:rsidR="00F403D1" w:rsidRPr="00F403D1" w:rsidRDefault="00F403D1" w:rsidP="00F403D1">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60.5%</w:t>
            </w:r>
          </w:p>
        </w:tc>
        <w:tc>
          <w:tcPr>
            <w:tcW w:w="1013" w:type="dxa"/>
            <w:tcBorders>
              <w:top w:val="single" w:sz="4" w:space="0" w:color="auto"/>
              <w:left w:val="nil"/>
              <w:bottom w:val="single" w:sz="4" w:space="0" w:color="auto"/>
              <w:right w:val="nil"/>
            </w:tcBorders>
            <w:shd w:val="clear" w:color="auto" w:fill="auto"/>
            <w:vAlign w:val="bottom"/>
            <w:hideMark/>
          </w:tcPr>
          <w:p w14:paraId="5FD618CD" w14:textId="77777777" w:rsidR="00F403D1" w:rsidRPr="00F403D1" w:rsidRDefault="00F403D1" w:rsidP="00F403D1">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36.2%</w:t>
            </w:r>
          </w:p>
        </w:tc>
        <w:tc>
          <w:tcPr>
            <w:tcW w:w="1191" w:type="dxa"/>
            <w:tcBorders>
              <w:top w:val="single" w:sz="4" w:space="0" w:color="auto"/>
              <w:left w:val="nil"/>
              <w:bottom w:val="single" w:sz="4" w:space="0" w:color="auto"/>
              <w:right w:val="nil"/>
            </w:tcBorders>
            <w:shd w:val="clear" w:color="auto" w:fill="auto"/>
            <w:vAlign w:val="bottom"/>
            <w:hideMark/>
          </w:tcPr>
          <w:p w14:paraId="33825A59" w14:textId="77777777" w:rsidR="00F403D1" w:rsidRPr="00F403D1" w:rsidRDefault="00F403D1" w:rsidP="00F403D1">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47.2%</w:t>
            </w:r>
          </w:p>
        </w:tc>
        <w:tc>
          <w:tcPr>
            <w:tcW w:w="1294" w:type="dxa"/>
            <w:tcBorders>
              <w:top w:val="single" w:sz="4" w:space="0" w:color="auto"/>
              <w:left w:val="nil"/>
              <w:bottom w:val="single" w:sz="4" w:space="0" w:color="auto"/>
              <w:right w:val="nil"/>
            </w:tcBorders>
            <w:shd w:val="clear" w:color="auto" w:fill="auto"/>
            <w:vAlign w:val="bottom"/>
            <w:hideMark/>
          </w:tcPr>
          <w:p w14:paraId="2AD0D50F" w14:textId="77777777" w:rsidR="00F403D1" w:rsidRPr="00F403D1" w:rsidRDefault="00F403D1" w:rsidP="00F403D1">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42.0%</w:t>
            </w:r>
          </w:p>
        </w:tc>
      </w:tr>
      <w:tr w:rsidR="00F403D1" w:rsidRPr="00F403D1" w14:paraId="134C64B4" w14:textId="77777777" w:rsidTr="00626C01">
        <w:trPr>
          <w:cantSplit/>
          <w:trHeight w:val="290"/>
          <w:jc w:val="center"/>
        </w:trPr>
        <w:tc>
          <w:tcPr>
            <w:tcW w:w="2520" w:type="dxa"/>
            <w:tcBorders>
              <w:top w:val="nil"/>
              <w:left w:val="nil"/>
              <w:bottom w:val="nil"/>
              <w:right w:val="nil"/>
            </w:tcBorders>
            <w:shd w:val="clear" w:color="auto" w:fill="auto"/>
            <w:vAlign w:val="bottom"/>
            <w:hideMark/>
          </w:tcPr>
          <w:p w14:paraId="63823A8E" w14:textId="6B3DBF78" w:rsidR="00F403D1" w:rsidRPr="00F403D1" w:rsidRDefault="005E0686" w:rsidP="00F403D1">
            <w:pPr>
              <w:spacing w:after="0" w:line="240" w:lineRule="auto"/>
              <w:rPr>
                <w:rFonts w:ascii="Calibri" w:eastAsia="Times New Roman" w:hAnsi="Calibri" w:cs="Calibri"/>
                <w:color w:val="000000"/>
              </w:rPr>
            </w:pPr>
            <w:r>
              <w:rPr>
                <w:rFonts w:ascii="Calibri" w:eastAsia="Times New Roman" w:hAnsi="Calibri" w:cs="Calibri"/>
                <w:color w:val="000000"/>
              </w:rPr>
              <w:t>Other Hospitals in UMMH Service Area</w:t>
            </w:r>
          </w:p>
        </w:tc>
        <w:tc>
          <w:tcPr>
            <w:tcW w:w="704" w:type="dxa"/>
            <w:tcBorders>
              <w:top w:val="nil"/>
              <w:left w:val="nil"/>
              <w:bottom w:val="nil"/>
              <w:right w:val="nil"/>
            </w:tcBorders>
            <w:shd w:val="clear" w:color="auto" w:fill="auto"/>
            <w:vAlign w:val="bottom"/>
            <w:hideMark/>
          </w:tcPr>
          <w:p w14:paraId="160D32FA"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371 </w:t>
            </w:r>
          </w:p>
        </w:tc>
        <w:tc>
          <w:tcPr>
            <w:tcW w:w="1013" w:type="dxa"/>
            <w:tcBorders>
              <w:top w:val="nil"/>
              <w:left w:val="nil"/>
              <w:bottom w:val="nil"/>
              <w:right w:val="nil"/>
            </w:tcBorders>
            <w:shd w:val="clear" w:color="auto" w:fill="auto"/>
            <w:vAlign w:val="bottom"/>
            <w:hideMark/>
          </w:tcPr>
          <w:p w14:paraId="13696F0C"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547 </w:t>
            </w:r>
          </w:p>
        </w:tc>
        <w:tc>
          <w:tcPr>
            <w:tcW w:w="1191" w:type="dxa"/>
            <w:tcBorders>
              <w:top w:val="nil"/>
              <w:left w:val="nil"/>
              <w:bottom w:val="nil"/>
              <w:right w:val="nil"/>
            </w:tcBorders>
            <w:shd w:val="clear" w:color="auto" w:fill="auto"/>
            <w:vAlign w:val="bottom"/>
            <w:hideMark/>
          </w:tcPr>
          <w:p w14:paraId="4ED5EB1C"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918 </w:t>
            </w:r>
          </w:p>
        </w:tc>
        <w:tc>
          <w:tcPr>
            <w:tcW w:w="1064" w:type="dxa"/>
            <w:tcBorders>
              <w:top w:val="nil"/>
              <w:left w:val="nil"/>
              <w:bottom w:val="nil"/>
              <w:right w:val="nil"/>
            </w:tcBorders>
            <w:shd w:val="clear" w:color="auto" w:fill="auto"/>
            <w:vAlign w:val="bottom"/>
            <w:hideMark/>
          </w:tcPr>
          <w:p w14:paraId="7FA98382"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23.0%</w:t>
            </w:r>
          </w:p>
        </w:tc>
        <w:tc>
          <w:tcPr>
            <w:tcW w:w="1013" w:type="dxa"/>
            <w:tcBorders>
              <w:top w:val="nil"/>
              <w:left w:val="nil"/>
              <w:bottom w:val="nil"/>
              <w:right w:val="nil"/>
            </w:tcBorders>
            <w:shd w:val="clear" w:color="auto" w:fill="auto"/>
            <w:vAlign w:val="bottom"/>
            <w:hideMark/>
          </w:tcPr>
          <w:p w14:paraId="25271979"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28.0%</w:t>
            </w:r>
          </w:p>
        </w:tc>
        <w:tc>
          <w:tcPr>
            <w:tcW w:w="1191" w:type="dxa"/>
            <w:tcBorders>
              <w:top w:val="nil"/>
              <w:left w:val="nil"/>
              <w:bottom w:val="nil"/>
              <w:right w:val="nil"/>
            </w:tcBorders>
            <w:shd w:val="clear" w:color="auto" w:fill="auto"/>
            <w:vAlign w:val="bottom"/>
            <w:hideMark/>
          </w:tcPr>
          <w:p w14:paraId="68090B8D"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25.7%</w:t>
            </w:r>
          </w:p>
        </w:tc>
        <w:tc>
          <w:tcPr>
            <w:tcW w:w="1294" w:type="dxa"/>
            <w:tcBorders>
              <w:top w:val="nil"/>
              <w:left w:val="nil"/>
              <w:bottom w:val="nil"/>
              <w:right w:val="nil"/>
            </w:tcBorders>
            <w:shd w:val="clear" w:color="auto" w:fill="auto"/>
            <w:vAlign w:val="bottom"/>
            <w:hideMark/>
          </w:tcPr>
          <w:p w14:paraId="3E0CFCD6"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59.6%</w:t>
            </w:r>
          </w:p>
        </w:tc>
      </w:tr>
      <w:tr w:rsidR="00F403D1" w:rsidRPr="00F403D1" w14:paraId="3053A8C8" w14:textId="77777777" w:rsidTr="00626C01">
        <w:trPr>
          <w:cantSplit/>
          <w:trHeight w:val="675"/>
          <w:jc w:val="center"/>
        </w:trPr>
        <w:tc>
          <w:tcPr>
            <w:tcW w:w="2520" w:type="dxa"/>
            <w:tcBorders>
              <w:top w:val="nil"/>
              <w:left w:val="nil"/>
              <w:bottom w:val="nil"/>
              <w:right w:val="nil"/>
            </w:tcBorders>
            <w:shd w:val="clear" w:color="auto" w:fill="auto"/>
            <w:vAlign w:val="bottom"/>
            <w:hideMark/>
          </w:tcPr>
          <w:p w14:paraId="74C00163" w14:textId="6BA320A0" w:rsidR="00F403D1" w:rsidRPr="00F403D1" w:rsidRDefault="005E0686" w:rsidP="00F403D1">
            <w:pPr>
              <w:spacing w:after="0" w:line="240" w:lineRule="auto"/>
              <w:rPr>
                <w:rFonts w:ascii="Calibri" w:eastAsia="Times New Roman" w:hAnsi="Calibri" w:cs="Calibri"/>
                <w:color w:val="000000"/>
              </w:rPr>
            </w:pPr>
            <w:r>
              <w:rPr>
                <w:rFonts w:ascii="Calibri" w:eastAsia="Times New Roman" w:hAnsi="Calibri" w:cs="Calibri"/>
                <w:color w:val="000000"/>
              </w:rPr>
              <w:t>Hospitals Outside of UMMH Service Area</w:t>
            </w:r>
          </w:p>
        </w:tc>
        <w:tc>
          <w:tcPr>
            <w:tcW w:w="704" w:type="dxa"/>
            <w:tcBorders>
              <w:top w:val="nil"/>
              <w:left w:val="nil"/>
              <w:bottom w:val="nil"/>
              <w:right w:val="nil"/>
            </w:tcBorders>
            <w:shd w:val="clear" w:color="auto" w:fill="auto"/>
            <w:vAlign w:val="bottom"/>
            <w:hideMark/>
          </w:tcPr>
          <w:p w14:paraId="0502356B"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266 </w:t>
            </w:r>
          </w:p>
        </w:tc>
        <w:tc>
          <w:tcPr>
            <w:tcW w:w="1013" w:type="dxa"/>
            <w:tcBorders>
              <w:top w:val="nil"/>
              <w:left w:val="nil"/>
              <w:bottom w:val="nil"/>
              <w:right w:val="nil"/>
            </w:tcBorders>
            <w:shd w:val="clear" w:color="auto" w:fill="auto"/>
            <w:vAlign w:val="bottom"/>
            <w:hideMark/>
          </w:tcPr>
          <w:p w14:paraId="40C8067D"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698 </w:t>
            </w:r>
          </w:p>
        </w:tc>
        <w:tc>
          <w:tcPr>
            <w:tcW w:w="1191" w:type="dxa"/>
            <w:tcBorders>
              <w:top w:val="nil"/>
              <w:left w:val="nil"/>
              <w:bottom w:val="nil"/>
              <w:right w:val="nil"/>
            </w:tcBorders>
            <w:shd w:val="clear" w:color="auto" w:fill="auto"/>
            <w:vAlign w:val="bottom"/>
            <w:hideMark/>
          </w:tcPr>
          <w:p w14:paraId="54ADC13A"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964 </w:t>
            </w:r>
          </w:p>
        </w:tc>
        <w:tc>
          <w:tcPr>
            <w:tcW w:w="1064" w:type="dxa"/>
            <w:tcBorders>
              <w:top w:val="nil"/>
              <w:left w:val="nil"/>
              <w:bottom w:val="nil"/>
              <w:right w:val="nil"/>
            </w:tcBorders>
            <w:shd w:val="clear" w:color="auto" w:fill="auto"/>
            <w:vAlign w:val="bottom"/>
            <w:hideMark/>
          </w:tcPr>
          <w:p w14:paraId="28DAA36A"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16.5%</w:t>
            </w:r>
          </w:p>
        </w:tc>
        <w:tc>
          <w:tcPr>
            <w:tcW w:w="1013" w:type="dxa"/>
            <w:tcBorders>
              <w:top w:val="nil"/>
              <w:left w:val="nil"/>
              <w:bottom w:val="nil"/>
              <w:right w:val="nil"/>
            </w:tcBorders>
            <w:shd w:val="clear" w:color="auto" w:fill="auto"/>
            <w:vAlign w:val="bottom"/>
            <w:hideMark/>
          </w:tcPr>
          <w:p w14:paraId="66BBEF13"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35.8%</w:t>
            </w:r>
          </w:p>
        </w:tc>
        <w:tc>
          <w:tcPr>
            <w:tcW w:w="1191" w:type="dxa"/>
            <w:tcBorders>
              <w:top w:val="nil"/>
              <w:left w:val="nil"/>
              <w:bottom w:val="nil"/>
              <w:right w:val="nil"/>
            </w:tcBorders>
            <w:shd w:val="clear" w:color="auto" w:fill="auto"/>
            <w:vAlign w:val="bottom"/>
            <w:hideMark/>
          </w:tcPr>
          <w:p w14:paraId="52CF9660"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27.0%</w:t>
            </w:r>
          </w:p>
        </w:tc>
        <w:tc>
          <w:tcPr>
            <w:tcW w:w="1294" w:type="dxa"/>
            <w:tcBorders>
              <w:top w:val="nil"/>
              <w:left w:val="nil"/>
              <w:bottom w:val="nil"/>
              <w:right w:val="nil"/>
            </w:tcBorders>
            <w:shd w:val="clear" w:color="auto" w:fill="auto"/>
            <w:vAlign w:val="bottom"/>
            <w:hideMark/>
          </w:tcPr>
          <w:p w14:paraId="00C8BEFD" w14:textId="77777777" w:rsidR="00F403D1" w:rsidRPr="00F403D1" w:rsidRDefault="00F403D1" w:rsidP="00F403D1">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72.4%</w:t>
            </w:r>
          </w:p>
        </w:tc>
      </w:tr>
      <w:tr w:rsidR="00F403D1" w:rsidRPr="00F403D1" w14:paraId="3E00546F" w14:textId="77777777" w:rsidTr="00626C01">
        <w:trPr>
          <w:cantSplit/>
          <w:trHeight w:val="440"/>
          <w:jc w:val="center"/>
        </w:trPr>
        <w:tc>
          <w:tcPr>
            <w:tcW w:w="2520" w:type="dxa"/>
            <w:tcBorders>
              <w:top w:val="single" w:sz="4" w:space="0" w:color="auto"/>
              <w:left w:val="nil"/>
              <w:bottom w:val="double" w:sz="6" w:space="0" w:color="auto"/>
              <w:right w:val="nil"/>
            </w:tcBorders>
            <w:shd w:val="clear" w:color="auto" w:fill="auto"/>
            <w:vAlign w:val="bottom"/>
            <w:hideMark/>
          </w:tcPr>
          <w:p w14:paraId="147ED554" w14:textId="77777777" w:rsidR="00F403D1" w:rsidRPr="00F403D1" w:rsidRDefault="00F403D1" w:rsidP="00F403D1">
            <w:pPr>
              <w:spacing w:after="0" w:line="240" w:lineRule="auto"/>
              <w:rPr>
                <w:rFonts w:ascii="Calibri" w:eastAsia="Times New Roman" w:hAnsi="Calibri" w:cs="Calibri"/>
                <w:b/>
                <w:bCs/>
                <w:color w:val="000000"/>
              </w:rPr>
            </w:pPr>
            <w:r w:rsidRPr="00F403D1">
              <w:rPr>
                <w:rFonts w:ascii="Calibri" w:eastAsia="Times New Roman" w:hAnsi="Calibri" w:cs="Calibri"/>
                <w:b/>
                <w:bCs/>
                <w:color w:val="000000"/>
              </w:rPr>
              <w:t>Grand Total</w:t>
            </w:r>
          </w:p>
        </w:tc>
        <w:tc>
          <w:tcPr>
            <w:tcW w:w="704" w:type="dxa"/>
            <w:tcBorders>
              <w:top w:val="single" w:sz="4" w:space="0" w:color="auto"/>
              <w:left w:val="nil"/>
              <w:bottom w:val="double" w:sz="6" w:space="0" w:color="auto"/>
              <w:right w:val="nil"/>
            </w:tcBorders>
            <w:shd w:val="clear" w:color="auto" w:fill="auto"/>
            <w:vAlign w:val="bottom"/>
            <w:hideMark/>
          </w:tcPr>
          <w:p w14:paraId="60CAC03B" w14:textId="77777777" w:rsidR="00F403D1" w:rsidRPr="00F403D1" w:rsidRDefault="00F403D1" w:rsidP="00F403D1">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 xml:space="preserve">1,614 </w:t>
            </w:r>
          </w:p>
        </w:tc>
        <w:tc>
          <w:tcPr>
            <w:tcW w:w="1013" w:type="dxa"/>
            <w:tcBorders>
              <w:top w:val="single" w:sz="4" w:space="0" w:color="auto"/>
              <w:left w:val="nil"/>
              <w:bottom w:val="double" w:sz="6" w:space="0" w:color="auto"/>
              <w:right w:val="nil"/>
            </w:tcBorders>
            <w:shd w:val="clear" w:color="auto" w:fill="auto"/>
            <w:vAlign w:val="bottom"/>
            <w:hideMark/>
          </w:tcPr>
          <w:p w14:paraId="5D3D8F48" w14:textId="77777777" w:rsidR="00F403D1" w:rsidRPr="00F403D1" w:rsidRDefault="00F403D1" w:rsidP="00F403D1">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 xml:space="preserve">1,952 </w:t>
            </w:r>
          </w:p>
        </w:tc>
        <w:tc>
          <w:tcPr>
            <w:tcW w:w="1191" w:type="dxa"/>
            <w:tcBorders>
              <w:top w:val="single" w:sz="4" w:space="0" w:color="auto"/>
              <w:left w:val="nil"/>
              <w:bottom w:val="double" w:sz="6" w:space="0" w:color="auto"/>
              <w:right w:val="nil"/>
            </w:tcBorders>
            <w:shd w:val="clear" w:color="auto" w:fill="auto"/>
            <w:vAlign w:val="bottom"/>
            <w:hideMark/>
          </w:tcPr>
          <w:p w14:paraId="1DAE9845" w14:textId="77777777" w:rsidR="00F403D1" w:rsidRPr="00F403D1" w:rsidRDefault="00F403D1" w:rsidP="00F403D1">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 xml:space="preserve">3,566 </w:t>
            </w:r>
          </w:p>
        </w:tc>
        <w:tc>
          <w:tcPr>
            <w:tcW w:w="1064" w:type="dxa"/>
            <w:tcBorders>
              <w:top w:val="single" w:sz="4" w:space="0" w:color="auto"/>
              <w:left w:val="nil"/>
              <w:bottom w:val="double" w:sz="6" w:space="0" w:color="auto"/>
              <w:right w:val="nil"/>
            </w:tcBorders>
            <w:shd w:val="clear" w:color="auto" w:fill="auto"/>
            <w:vAlign w:val="bottom"/>
            <w:hideMark/>
          </w:tcPr>
          <w:p w14:paraId="4E14641C" w14:textId="77777777" w:rsidR="00F403D1" w:rsidRPr="00F403D1" w:rsidRDefault="00F403D1" w:rsidP="00F403D1">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100.0%</w:t>
            </w:r>
          </w:p>
        </w:tc>
        <w:tc>
          <w:tcPr>
            <w:tcW w:w="1013" w:type="dxa"/>
            <w:tcBorders>
              <w:top w:val="single" w:sz="4" w:space="0" w:color="auto"/>
              <w:left w:val="nil"/>
              <w:bottom w:val="double" w:sz="6" w:space="0" w:color="auto"/>
              <w:right w:val="nil"/>
            </w:tcBorders>
            <w:shd w:val="clear" w:color="auto" w:fill="auto"/>
            <w:vAlign w:val="bottom"/>
            <w:hideMark/>
          </w:tcPr>
          <w:p w14:paraId="7F51663A" w14:textId="77777777" w:rsidR="00F403D1" w:rsidRPr="00F403D1" w:rsidRDefault="00F403D1" w:rsidP="00F403D1">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100.0%</w:t>
            </w:r>
          </w:p>
        </w:tc>
        <w:tc>
          <w:tcPr>
            <w:tcW w:w="1191" w:type="dxa"/>
            <w:tcBorders>
              <w:top w:val="single" w:sz="4" w:space="0" w:color="auto"/>
              <w:left w:val="nil"/>
              <w:bottom w:val="double" w:sz="6" w:space="0" w:color="auto"/>
              <w:right w:val="nil"/>
            </w:tcBorders>
            <w:shd w:val="clear" w:color="auto" w:fill="auto"/>
            <w:vAlign w:val="bottom"/>
            <w:hideMark/>
          </w:tcPr>
          <w:p w14:paraId="70CBBA06" w14:textId="77777777" w:rsidR="00F403D1" w:rsidRPr="00F403D1" w:rsidRDefault="00F403D1" w:rsidP="00F403D1">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100.0%</w:t>
            </w:r>
          </w:p>
        </w:tc>
        <w:tc>
          <w:tcPr>
            <w:tcW w:w="1294" w:type="dxa"/>
            <w:tcBorders>
              <w:top w:val="single" w:sz="4" w:space="0" w:color="auto"/>
              <w:left w:val="nil"/>
              <w:bottom w:val="double" w:sz="6" w:space="0" w:color="auto"/>
              <w:right w:val="nil"/>
            </w:tcBorders>
            <w:shd w:val="clear" w:color="auto" w:fill="auto"/>
            <w:vAlign w:val="bottom"/>
            <w:hideMark/>
          </w:tcPr>
          <w:p w14:paraId="52AC7B3A" w14:textId="77777777" w:rsidR="00F403D1" w:rsidRPr="00F403D1" w:rsidRDefault="00F403D1" w:rsidP="00F403D1">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54.7%</w:t>
            </w:r>
          </w:p>
        </w:tc>
      </w:tr>
      <w:tr w:rsidR="00F403D1" w:rsidRPr="00F403D1" w14:paraId="10BE10ED" w14:textId="77777777" w:rsidTr="00626C01">
        <w:trPr>
          <w:cantSplit/>
          <w:trHeight w:val="190"/>
          <w:jc w:val="center"/>
        </w:trPr>
        <w:tc>
          <w:tcPr>
            <w:tcW w:w="2520" w:type="dxa"/>
            <w:tcBorders>
              <w:top w:val="nil"/>
              <w:left w:val="nil"/>
              <w:bottom w:val="nil"/>
              <w:right w:val="nil"/>
            </w:tcBorders>
            <w:shd w:val="clear" w:color="auto" w:fill="auto"/>
            <w:vAlign w:val="bottom"/>
            <w:hideMark/>
          </w:tcPr>
          <w:p w14:paraId="2DB40389" w14:textId="77777777" w:rsidR="00F403D1" w:rsidRPr="00F403D1" w:rsidRDefault="00F403D1" w:rsidP="00F403D1">
            <w:pPr>
              <w:spacing w:after="0" w:line="240" w:lineRule="auto"/>
              <w:jc w:val="right"/>
              <w:rPr>
                <w:rFonts w:ascii="Calibri" w:eastAsia="Times New Roman" w:hAnsi="Calibri" w:cs="Calibri"/>
                <w:b/>
                <w:bCs/>
                <w:color w:val="000000"/>
              </w:rPr>
            </w:pPr>
          </w:p>
        </w:tc>
        <w:tc>
          <w:tcPr>
            <w:tcW w:w="704" w:type="dxa"/>
            <w:tcBorders>
              <w:top w:val="nil"/>
              <w:left w:val="nil"/>
              <w:bottom w:val="nil"/>
              <w:right w:val="nil"/>
            </w:tcBorders>
            <w:shd w:val="clear" w:color="auto" w:fill="auto"/>
            <w:vAlign w:val="bottom"/>
            <w:hideMark/>
          </w:tcPr>
          <w:p w14:paraId="6DF8771C" w14:textId="77777777" w:rsidR="00F403D1" w:rsidRPr="00F403D1" w:rsidRDefault="00F403D1" w:rsidP="00F403D1">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vAlign w:val="bottom"/>
            <w:hideMark/>
          </w:tcPr>
          <w:p w14:paraId="6FFE4CED" w14:textId="77777777" w:rsidR="00F403D1" w:rsidRPr="00F403D1" w:rsidRDefault="00F403D1" w:rsidP="00F403D1">
            <w:pPr>
              <w:spacing w:after="0" w:line="240" w:lineRule="auto"/>
              <w:rPr>
                <w:rFonts w:ascii="Times New Roman" w:eastAsia="Times New Roman" w:hAnsi="Times New Roman" w:cs="Times New Roman"/>
                <w:sz w:val="20"/>
                <w:szCs w:val="20"/>
              </w:rPr>
            </w:pPr>
          </w:p>
        </w:tc>
        <w:tc>
          <w:tcPr>
            <w:tcW w:w="1191" w:type="dxa"/>
            <w:tcBorders>
              <w:top w:val="nil"/>
              <w:left w:val="nil"/>
              <w:bottom w:val="nil"/>
              <w:right w:val="nil"/>
            </w:tcBorders>
            <w:shd w:val="clear" w:color="auto" w:fill="auto"/>
            <w:vAlign w:val="bottom"/>
            <w:hideMark/>
          </w:tcPr>
          <w:p w14:paraId="09DA25B3" w14:textId="77777777" w:rsidR="00F403D1" w:rsidRPr="00F403D1" w:rsidRDefault="00F403D1" w:rsidP="00F403D1">
            <w:pPr>
              <w:spacing w:after="0" w:line="240" w:lineRule="auto"/>
              <w:rPr>
                <w:rFonts w:ascii="Times New Roman" w:eastAsia="Times New Roman" w:hAnsi="Times New Roman" w:cs="Times New Roman"/>
                <w:sz w:val="20"/>
                <w:szCs w:val="20"/>
              </w:rPr>
            </w:pPr>
          </w:p>
        </w:tc>
        <w:tc>
          <w:tcPr>
            <w:tcW w:w="1064" w:type="dxa"/>
            <w:tcBorders>
              <w:top w:val="nil"/>
              <w:left w:val="nil"/>
              <w:bottom w:val="nil"/>
              <w:right w:val="nil"/>
            </w:tcBorders>
            <w:shd w:val="clear" w:color="auto" w:fill="auto"/>
            <w:vAlign w:val="bottom"/>
            <w:hideMark/>
          </w:tcPr>
          <w:p w14:paraId="10E4F269" w14:textId="77777777" w:rsidR="00F403D1" w:rsidRPr="00F403D1" w:rsidRDefault="00F403D1" w:rsidP="00F403D1">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vAlign w:val="bottom"/>
            <w:hideMark/>
          </w:tcPr>
          <w:p w14:paraId="3A346A54" w14:textId="77777777" w:rsidR="00F403D1" w:rsidRPr="00F403D1" w:rsidRDefault="00F403D1" w:rsidP="00F403D1">
            <w:pPr>
              <w:spacing w:after="0" w:line="240" w:lineRule="auto"/>
              <w:rPr>
                <w:rFonts w:ascii="Times New Roman" w:eastAsia="Times New Roman" w:hAnsi="Times New Roman" w:cs="Times New Roman"/>
                <w:sz w:val="20"/>
                <w:szCs w:val="20"/>
              </w:rPr>
            </w:pPr>
          </w:p>
        </w:tc>
        <w:tc>
          <w:tcPr>
            <w:tcW w:w="1191" w:type="dxa"/>
            <w:tcBorders>
              <w:top w:val="nil"/>
              <w:left w:val="nil"/>
              <w:bottom w:val="nil"/>
              <w:right w:val="nil"/>
            </w:tcBorders>
            <w:shd w:val="clear" w:color="auto" w:fill="auto"/>
            <w:vAlign w:val="bottom"/>
            <w:hideMark/>
          </w:tcPr>
          <w:p w14:paraId="07DFFD99" w14:textId="77777777" w:rsidR="00F403D1" w:rsidRPr="00F403D1" w:rsidRDefault="00F403D1" w:rsidP="00F403D1">
            <w:pPr>
              <w:spacing w:after="0" w:line="240" w:lineRule="auto"/>
              <w:rPr>
                <w:rFonts w:ascii="Times New Roman" w:eastAsia="Times New Roman" w:hAnsi="Times New Roman" w:cs="Times New Roman"/>
                <w:sz w:val="20"/>
                <w:szCs w:val="20"/>
              </w:rPr>
            </w:pPr>
          </w:p>
        </w:tc>
        <w:tc>
          <w:tcPr>
            <w:tcW w:w="1294" w:type="dxa"/>
            <w:tcBorders>
              <w:top w:val="nil"/>
              <w:left w:val="nil"/>
              <w:bottom w:val="nil"/>
              <w:right w:val="nil"/>
            </w:tcBorders>
            <w:shd w:val="clear" w:color="auto" w:fill="auto"/>
            <w:vAlign w:val="bottom"/>
            <w:hideMark/>
          </w:tcPr>
          <w:p w14:paraId="37108B55" w14:textId="77777777" w:rsidR="00F403D1" w:rsidRPr="00F403D1" w:rsidRDefault="00F403D1" w:rsidP="00F403D1">
            <w:pPr>
              <w:spacing w:after="0" w:line="240" w:lineRule="auto"/>
              <w:rPr>
                <w:rFonts w:ascii="Times New Roman" w:eastAsia="Times New Roman" w:hAnsi="Times New Roman" w:cs="Times New Roman"/>
                <w:sz w:val="20"/>
                <w:szCs w:val="20"/>
              </w:rPr>
            </w:pPr>
          </w:p>
        </w:tc>
      </w:tr>
      <w:tr w:rsidR="00F403D1" w:rsidRPr="00F403D1" w14:paraId="7861B192" w14:textId="77777777" w:rsidTr="00626C01">
        <w:trPr>
          <w:cantSplit/>
          <w:trHeight w:val="290"/>
          <w:jc w:val="center"/>
        </w:trPr>
        <w:tc>
          <w:tcPr>
            <w:tcW w:w="2520" w:type="dxa"/>
            <w:tcBorders>
              <w:top w:val="nil"/>
              <w:left w:val="nil"/>
              <w:bottom w:val="nil"/>
              <w:right w:val="nil"/>
            </w:tcBorders>
            <w:shd w:val="clear" w:color="000000" w:fill="F2F2F2"/>
            <w:vAlign w:val="bottom"/>
            <w:hideMark/>
          </w:tcPr>
          <w:p w14:paraId="669C0DCA" w14:textId="77777777" w:rsidR="00F403D1" w:rsidRPr="00F403D1" w:rsidRDefault="00F403D1" w:rsidP="00F403D1">
            <w:pPr>
              <w:spacing w:after="0" w:line="240" w:lineRule="auto"/>
              <w:rPr>
                <w:rFonts w:ascii="Calibri" w:eastAsia="Times New Roman" w:hAnsi="Calibri" w:cs="Calibri"/>
                <w:b/>
                <w:bCs/>
                <w:i/>
                <w:iCs/>
                <w:color w:val="000000"/>
              </w:rPr>
            </w:pPr>
            <w:r w:rsidRPr="00F403D1">
              <w:rPr>
                <w:rFonts w:ascii="Calibri" w:eastAsia="Times New Roman" w:hAnsi="Calibri" w:cs="Calibri"/>
                <w:b/>
                <w:bCs/>
                <w:i/>
                <w:iCs/>
                <w:color w:val="000000"/>
              </w:rPr>
              <w:t>Annualized</w:t>
            </w:r>
          </w:p>
        </w:tc>
        <w:tc>
          <w:tcPr>
            <w:tcW w:w="704" w:type="dxa"/>
            <w:tcBorders>
              <w:top w:val="nil"/>
              <w:left w:val="nil"/>
              <w:bottom w:val="nil"/>
              <w:right w:val="nil"/>
            </w:tcBorders>
            <w:shd w:val="clear" w:color="000000" w:fill="F2F2F2"/>
            <w:vAlign w:val="bottom"/>
            <w:hideMark/>
          </w:tcPr>
          <w:p w14:paraId="0BC9F958" w14:textId="77777777" w:rsidR="00F403D1" w:rsidRPr="00F403D1" w:rsidRDefault="00F403D1" w:rsidP="00F403D1">
            <w:pPr>
              <w:spacing w:after="0" w:line="240" w:lineRule="auto"/>
              <w:jc w:val="right"/>
              <w:rPr>
                <w:rFonts w:ascii="Calibri" w:eastAsia="Times New Roman" w:hAnsi="Calibri" w:cs="Calibri"/>
                <w:b/>
                <w:bCs/>
                <w:i/>
                <w:iCs/>
                <w:color w:val="000000"/>
              </w:rPr>
            </w:pPr>
            <w:r w:rsidRPr="00F403D1">
              <w:rPr>
                <w:rFonts w:ascii="Calibri" w:eastAsia="Times New Roman" w:hAnsi="Calibri" w:cs="Calibri"/>
                <w:b/>
                <w:bCs/>
                <w:i/>
                <w:iCs/>
                <w:color w:val="000000"/>
              </w:rPr>
              <w:t xml:space="preserve">3,228 </w:t>
            </w:r>
          </w:p>
        </w:tc>
        <w:tc>
          <w:tcPr>
            <w:tcW w:w="1013" w:type="dxa"/>
            <w:tcBorders>
              <w:top w:val="nil"/>
              <w:left w:val="nil"/>
              <w:bottom w:val="nil"/>
              <w:right w:val="nil"/>
            </w:tcBorders>
            <w:shd w:val="clear" w:color="000000" w:fill="F2F2F2"/>
            <w:vAlign w:val="bottom"/>
            <w:hideMark/>
          </w:tcPr>
          <w:p w14:paraId="5E6F5B37" w14:textId="77777777" w:rsidR="00F403D1" w:rsidRPr="00F403D1" w:rsidRDefault="00F403D1" w:rsidP="00F403D1">
            <w:pPr>
              <w:spacing w:after="0" w:line="240" w:lineRule="auto"/>
              <w:jc w:val="right"/>
              <w:rPr>
                <w:rFonts w:ascii="Calibri" w:eastAsia="Times New Roman" w:hAnsi="Calibri" w:cs="Calibri"/>
                <w:b/>
                <w:bCs/>
                <w:i/>
                <w:iCs/>
                <w:color w:val="000000"/>
              </w:rPr>
            </w:pPr>
            <w:r w:rsidRPr="00F403D1">
              <w:rPr>
                <w:rFonts w:ascii="Calibri" w:eastAsia="Times New Roman" w:hAnsi="Calibri" w:cs="Calibri"/>
                <w:b/>
                <w:bCs/>
                <w:i/>
                <w:iCs/>
                <w:color w:val="000000"/>
              </w:rPr>
              <w:t xml:space="preserve">3,904 </w:t>
            </w:r>
          </w:p>
        </w:tc>
        <w:tc>
          <w:tcPr>
            <w:tcW w:w="1191" w:type="dxa"/>
            <w:tcBorders>
              <w:top w:val="nil"/>
              <w:left w:val="nil"/>
              <w:bottom w:val="nil"/>
              <w:right w:val="nil"/>
            </w:tcBorders>
            <w:shd w:val="clear" w:color="000000" w:fill="F2F2F2"/>
            <w:vAlign w:val="bottom"/>
            <w:hideMark/>
          </w:tcPr>
          <w:p w14:paraId="710B3A4C" w14:textId="77777777" w:rsidR="00F403D1" w:rsidRPr="00F403D1" w:rsidRDefault="00F403D1" w:rsidP="00F403D1">
            <w:pPr>
              <w:spacing w:after="0" w:line="240" w:lineRule="auto"/>
              <w:jc w:val="right"/>
              <w:rPr>
                <w:rFonts w:ascii="Calibri" w:eastAsia="Times New Roman" w:hAnsi="Calibri" w:cs="Calibri"/>
                <w:b/>
                <w:bCs/>
                <w:i/>
                <w:iCs/>
                <w:color w:val="000000"/>
              </w:rPr>
            </w:pPr>
            <w:r w:rsidRPr="00F403D1">
              <w:rPr>
                <w:rFonts w:ascii="Calibri" w:eastAsia="Times New Roman" w:hAnsi="Calibri" w:cs="Calibri"/>
                <w:b/>
                <w:bCs/>
                <w:i/>
                <w:iCs/>
                <w:color w:val="000000"/>
              </w:rPr>
              <w:t xml:space="preserve">7,132 </w:t>
            </w:r>
          </w:p>
        </w:tc>
        <w:tc>
          <w:tcPr>
            <w:tcW w:w="1064" w:type="dxa"/>
            <w:tcBorders>
              <w:top w:val="nil"/>
              <w:left w:val="nil"/>
              <w:bottom w:val="nil"/>
              <w:right w:val="nil"/>
            </w:tcBorders>
            <w:shd w:val="clear" w:color="auto" w:fill="auto"/>
            <w:vAlign w:val="bottom"/>
            <w:hideMark/>
          </w:tcPr>
          <w:p w14:paraId="56C87656" w14:textId="77777777" w:rsidR="00F403D1" w:rsidRPr="00F403D1" w:rsidRDefault="00F403D1" w:rsidP="00F403D1">
            <w:pPr>
              <w:spacing w:after="0" w:line="240" w:lineRule="auto"/>
              <w:jc w:val="right"/>
              <w:rPr>
                <w:rFonts w:ascii="Calibri" w:eastAsia="Times New Roman" w:hAnsi="Calibri" w:cs="Calibri"/>
                <w:b/>
                <w:bCs/>
                <w:i/>
                <w:iCs/>
                <w:color w:val="000000"/>
              </w:rPr>
            </w:pPr>
          </w:p>
        </w:tc>
        <w:tc>
          <w:tcPr>
            <w:tcW w:w="1013" w:type="dxa"/>
            <w:tcBorders>
              <w:top w:val="nil"/>
              <w:left w:val="nil"/>
              <w:bottom w:val="nil"/>
              <w:right w:val="nil"/>
            </w:tcBorders>
            <w:shd w:val="clear" w:color="auto" w:fill="auto"/>
            <w:vAlign w:val="bottom"/>
            <w:hideMark/>
          </w:tcPr>
          <w:p w14:paraId="63709D7A" w14:textId="77777777" w:rsidR="00F403D1" w:rsidRPr="00F403D1" w:rsidRDefault="00F403D1" w:rsidP="00F403D1">
            <w:pPr>
              <w:spacing w:after="0" w:line="240" w:lineRule="auto"/>
              <w:rPr>
                <w:rFonts w:ascii="Times New Roman" w:eastAsia="Times New Roman" w:hAnsi="Times New Roman" w:cs="Times New Roman"/>
                <w:sz w:val="20"/>
                <w:szCs w:val="20"/>
              </w:rPr>
            </w:pPr>
          </w:p>
        </w:tc>
        <w:tc>
          <w:tcPr>
            <w:tcW w:w="1191" w:type="dxa"/>
            <w:tcBorders>
              <w:top w:val="nil"/>
              <w:left w:val="nil"/>
              <w:bottom w:val="nil"/>
              <w:right w:val="nil"/>
            </w:tcBorders>
            <w:shd w:val="clear" w:color="auto" w:fill="auto"/>
            <w:vAlign w:val="bottom"/>
            <w:hideMark/>
          </w:tcPr>
          <w:p w14:paraId="72564229" w14:textId="77777777" w:rsidR="00F403D1" w:rsidRPr="00F403D1" w:rsidRDefault="00F403D1" w:rsidP="00F403D1">
            <w:pPr>
              <w:spacing w:after="0" w:line="240" w:lineRule="auto"/>
              <w:rPr>
                <w:rFonts w:ascii="Times New Roman" w:eastAsia="Times New Roman" w:hAnsi="Times New Roman" w:cs="Times New Roman"/>
                <w:sz w:val="20"/>
                <w:szCs w:val="20"/>
              </w:rPr>
            </w:pPr>
          </w:p>
        </w:tc>
        <w:tc>
          <w:tcPr>
            <w:tcW w:w="1294" w:type="dxa"/>
            <w:tcBorders>
              <w:top w:val="nil"/>
              <w:left w:val="nil"/>
              <w:bottom w:val="nil"/>
              <w:right w:val="nil"/>
            </w:tcBorders>
            <w:shd w:val="clear" w:color="auto" w:fill="auto"/>
            <w:vAlign w:val="bottom"/>
            <w:hideMark/>
          </w:tcPr>
          <w:p w14:paraId="72350DDC" w14:textId="77777777" w:rsidR="00F403D1" w:rsidRPr="00F403D1" w:rsidRDefault="00F403D1" w:rsidP="00F403D1">
            <w:pPr>
              <w:spacing w:after="0" w:line="240" w:lineRule="auto"/>
              <w:rPr>
                <w:rFonts w:ascii="Times New Roman" w:eastAsia="Times New Roman" w:hAnsi="Times New Roman" w:cs="Times New Roman"/>
                <w:sz w:val="20"/>
                <w:szCs w:val="20"/>
              </w:rPr>
            </w:pPr>
          </w:p>
        </w:tc>
      </w:tr>
    </w:tbl>
    <w:p w14:paraId="1D3B4A5B" w14:textId="77777777" w:rsidR="00412081" w:rsidRDefault="00412081" w:rsidP="004506DE">
      <w:pPr>
        <w:pStyle w:val="ListParagraph"/>
        <w:tabs>
          <w:tab w:val="left" w:pos="4455"/>
        </w:tabs>
        <w:ind w:left="1440"/>
        <w:rPr>
          <w:b/>
          <w:bCs/>
        </w:rPr>
      </w:pPr>
    </w:p>
    <w:p w14:paraId="308D399A" w14:textId="77777777" w:rsidR="006805B4" w:rsidRDefault="006805B4" w:rsidP="006805B4">
      <w:pPr>
        <w:pStyle w:val="ListParagraph"/>
        <w:tabs>
          <w:tab w:val="left" w:pos="4455"/>
        </w:tabs>
        <w:ind w:left="1440"/>
      </w:pPr>
    </w:p>
    <w:p w14:paraId="70D2DCFE" w14:textId="3BFE9454" w:rsidR="00967400" w:rsidRDefault="003E5E37" w:rsidP="00CF289F">
      <w:pPr>
        <w:pStyle w:val="ListParagraph"/>
        <w:numPr>
          <w:ilvl w:val="1"/>
          <w:numId w:val="22"/>
        </w:numPr>
        <w:tabs>
          <w:tab w:val="left" w:pos="4455"/>
        </w:tabs>
      </w:pPr>
      <w:r>
        <w:t xml:space="preserve">Provide a list of </w:t>
      </w:r>
      <w:r w:rsidR="002B2E75">
        <w:t>facilities</w:t>
      </w:r>
      <w:r>
        <w:t xml:space="preserve"> w</w:t>
      </w:r>
      <w:r w:rsidR="002C035A">
        <w:t xml:space="preserve">here </w:t>
      </w:r>
      <w:r w:rsidR="00967400">
        <w:t xml:space="preserve">denied requests </w:t>
      </w:r>
      <w:r w:rsidR="002B2E75">
        <w:t xml:space="preserve">were </w:t>
      </w:r>
      <w:r w:rsidR="002C035A">
        <w:t>sent</w:t>
      </w:r>
      <w:r w:rsidR="00967400">
        <w:t xml:space="preserve"> in FY22</w:t>
      </w:r>
      <w:r w:rsidR="002B2E75">
        <w:t>.</w:t>
      </w:r>
    </w:p>
    <w:p w14:paraId="6216B8B6" w14:textId="286B2340" w:rsidR="004506DE" w:rsidRPr="004506DE" w:rsidRDefault="004506DE" w:rsidP="00412081">
      <w:pPr>
        <w:tabs>
          <w:tab w:val="left" w:pos="4455"/>
        </w:tabs>
        <w:ind w:left="1440"/>
        <w:jc w:val="both"/>
        <w:rPr>
          <w:b/>
          <w:bCs/>
        </w:rPr>
      </w:pPr>
      <w:r w:rsidRPr="004506DE">
        <w:rPr>
          <w:b/>
          <w:bCs/>
        </w:rPr>
        <w:t xml:space="preserve">UMMH’s collection of transfer data is a manual process.  There currently isn’t a formal tracking process for identifying the facility of where a patient is transferred to from a UMMH facility </w:t>
      </w:r>
      <w:r w:rsidRPr="004506DE">
        <w:rPr>
          <w:b/>
          <w:bCs/>
        </w:rPr>
        <w:lastRenderedPageBreak/>
        <w:t xml:space="preserve">other than reading through a patient’s chart to see if a note was included in their chart to identify the receiving facility.  </w:t>
      </w:r>
    </w:p>
    <w:p w14:paraId="3F6DB386" w14:textId="557713F5" w:rsidR="00AF164F" w:rsidRDefault="007D657B" w:rsidP="00E06E96">
      <w:pPr>
        <w:pStyle w:val="ListParagraph"/>
        <w:numPr>
          <w:ilvl w:val="0"/>
          <w:numId w:val="22"/>
        </w:numPr>
        <w:tabs>
          <w:tab w:val="left" w:pos="4455"/>
        </w:tabs>
      </w:pPr>
      <w:r>
        <w:t xml:space="preserve">To better understand how the Proposed Project </w:t>
      </w:r>
      <w:r w:rsidR="00BE3D0C">
        <w:t>will improve</w:t>
      </w:r>
      <w:r>
        <w:t xml:space="preserve"> public health value for the Patient Panel, </w:t>
      </w:r>
      <w:r w:rsidR="00084C11">
        <w:t xml:space="preserve">describe </w:t>
      </w:r>
      <w:r w:rsidR="007E20D6">
        <w:t xml:space="preserve">how </w:t>
      </w:r>
      <w:r w:rsidR="000A362B">
        <w:t>the addition</w:t>
      </w:r>
      <w:r w:rsidR="007E20D6">
        <w:t xml:space="preserve"> of </w:t>
      </w:r>
      <w:r>
        <w:t xml:space="preserve">M/S beds at </w:t>
      </w:r>
      <w:r w:rsidR="00B81458">
        <w:t xml:space="preserve">UMMMC, an </w:t>
      </w:r>
      <w:r>
        <w:t>AMC</w:t>
      </w:r>
      <w:r w:rsidR="00B81458">
        <w:t>,</w:t>
      </w:r>
      <w:r>
        <w:t xml:space="preserve"> </w:t>
      </w:r>
      <w:r w:rsidR="00841323">
        <w:t>versus</w:t>
      </w:r>
      <w:r w:rsidR="00BE3D0C">
        <w:t xml:space="preserve"> </w:t>
      </w:r>
      <w:r w:rsidR="00B81458">
        <w:t xml:space="preserve">one of UMMH’s </w:t>
      </w:r>
      <w:r w:rsidR="00BE3D0C">
        <w:t>community hospita</w:t>
      </w:r>
      <w:r w:rsidR="0016205E">
        <w:t>l</w:t>
      </w:r>
      <w:r w:rsidR="00B81458">
        <w:t>s</w:t>
      </w:r>
      <w:r w:rsidR="007E20D6">
        <w:t xml:space="preserve"> will</w:t>
      </w:r>
      <w:r w:rsidR="007E20D6" w:rsidRPr="007E20D6">
        <w:t xml:space="preserve"> improve health outcomes and quality of life </w:t>
      </w:r>
      <w:r w:rsidR="007E20D6">
        <w:t xml:space="preserve">for the Patient Panel. </w:t>
      </w:r>
    </w:p>
    <w:p w14:paraId="31E75327" w14:textId="5706B784" w:rsidR="00AF164F" w:rsidRPr="006805B4" w:rsidRDefault="00D100F1" w:rsidP="006805B4">
      <w:pPr>
        <w:tabs>
          <w:tab w:val="left" w:pos="4455"/>
        </w:tabs>
        <w:ind w:left="720"/>
        <w:jc w:val="both"/>
        <w:rPr>
          <w:b/>
          <w:bCs/>
        </w:rPr>
      </w:pPr>
      <w:r>
        <w:rPr>
          <w:b/>
          <w:bCs/>
        </w:rPr>
        <w:t>As discussed in the application, b</w:t>
      </w:r>
      <w:r w:rsidR="00AF164F" w:rsidRPr="004609C0">
        <w:rPr>
          <w:b/>
          <w:bCs/>
        </w:rPr>
        <w:t xml:space="preserve">ased on current capacity </w:t>
      </w:r>
      <w:r w:rsidR="007D6861">
        <w:rPr>
          <w:b/>
          <w:bCs/>
        </w:rPr>
        <w:t>constraints</w:t>
      </w:r>
      <w:r w:rsidR="00AF164F" w:rsidRPr="004609C0">
        <w:rPr>
          <w:b/>
          <w:bCs/>
        </w:rPr>
        <w:t xml:space="preserve"> at UMMMC, including </w:t>
      </w:r>
      <w:r w:rsidR="006805B4">
        <w:rPr>
          <w:b/>
          <w:bCs/>
        </w:rPr>
        <w:t xml:space="preserve">high </w:t>
      </w:r>
      <w:r w:rsidR="007D6861">
        <w:rPr>
          <w:b/>
          <w:bCs/>
        </w:rPr>
        <w:t>medical/surgical bed</w:t>
      </w:r>
      <w:r w:rsidR="00AF164F" w:rsidRPr="004609C0">
        <w:rPr>
          <w:b/>
          <w:bCs/>
        </w:rPr>
        <w:t xml:space="preserve"> occupancy and ED boarding, UMMH determined additional capacity </w:t>
      </w:r>
      <w:r w:rsidR="004609C0" w:rsidRPr="004609C0">
        <w:rPr>
          <w:b/>
          <w:bCs/>
        </w:rPr>
        <w:t xml:space="preserve">at UMMMC would best serve the UMMH system and its Patient Panel. </w:t>
      </w:r>
      <w:r>
        <w:rPr>
          <w:b/>
          <w:bCs/>
        </w:rPr>
        <w:t>While</w:t>
      </w:r>
      <w:r w:rsidR="004609C0">
        <w:rPr>
          <w:b/>
          <w:bCs/>
        </w:rPr>
        <w:t xml:space="preserve"> UMMH and UMMMC continue to </w:t>
      </w:r>
      <w:r w:rsidR="00270AE6">
        <w:rPr>
          <w:b/>
          <w:bCs/>
        </w:rPr>
        <w:t>implement strategies</w:t>
      </w:r>
      <w:r w:rsidR="004609C0">
        <w:rPr>
          <w:b/>
          <w:bCs/>
        </w:rPr>
        <w:t xml:space="preserve"> to maximize utilization at its community hospitals, additional capacity is needed at UMMMC to serve Worcester and </w:t>
      </w:r>
      <w:r w:rsidR="00270AE6">
        <w:rPr>
          <w:b/>
          <w:bCs/>
        </w:rPr>
        <w:t xml:space="preserve">the </w:t>
      </w:r>
      <w:r w:rsidR="0099497B">
        <w:rPr>
          <w:b/>
          <w:bCs/>
        </w:rPr>
        <w:t>surrounding towns</w:t>
      </w:r>
      <w:r>
        <w:rPr>
          <w:b/>
          <w:bCs/>
        </w:rPr>
        <w:t xml:space="preserve"> to ensure access for patients requiring services not available elsewhere in the region (i.e., UMMMC is the only </w:t>
      </w:r>
      <w:r w:rsidRPr="004609C0">
        <w:rPr>
          <w:b/>
          <w:bCs/>
        </w:rPr>
        <w:t>Level 1 trauma center, comprehensive cardiovascular center, and stroke center of excellence</w:t>
      </w:r>
      <w:r>
        <w:rPr>
          <w:b/>
          <w:bCs/>
        </w:rPr>
        <w:t xml:space="preserve"> in Central MA)</w:t>
      </w:r>
      <w:r w:rsidR="0099497B">
        <w:rPr>
          <w:b/>
          <w:bCs/>
        </w:rPr>
        <w:t xml:space="preserve">. With respect to the Proposed Project, UMMMC anticipates that </w:t>
      </w:r>
      <w:proofErr w:type="gramStart"/>
      <w:r w:rsidR="0099497B">
        <w:rPr>
          <w:b/>
          <w:bCs/>
        </w:rPr>
        <w:t>the majority of</w:t>
      </w:r>
      <w:proofErr w:type="gramEnd"/>
      <w:r w:rsidR="0099497B">
        <w:rPr>
          <w:b/>
          <w:bCs/>
        </w:rPr>
        <w:t xml:space="preserve"> patients served by the new facility will be admitted through the Medical Center’s Emergency Department</w:t>
      </w:r>
      <w:r>
        <w:rPr>
          <w:b/>
          <w:bCs/>
        </w:rPr>
        <w:t xml:space="preserve">. </w:t>
      </w:r>
      <w:r w:rsidR="00862A05" w:rsidRPr="001E3131">
        <w:rPr>
          <w:b/>
          <w:bCs/>
        </w:rPr>
        <w:t xml:space="preserve">As noted in prior documentation submitted to DPH, ED boarding hours have increased by 91% since FY18, which have a direct impact on quality and patient safety. </w:t>
      </w:r>
      <w:r w:rsidR="00862A05">
        <w:rPr>
          <w:b/>
          <w:bCs/>
        </w:rPr>
        <w:t xml:space="preserve">Moreover, UMMMC will have capacity to accept patients via transfer that require services not available elsewhere in the region. </w:t>
      </w:r>
      <w:r w:rsidR="006805B4" w:rsidRPr="001E3131">
        <w:rPr>
          <w:b/>
          <w:bCs/>
        </w:rPr>
        <w:t>Based on FY22 YTD</w:t>
      </w:r>
      <w:r w:rsidR="006805B4">
        <w:rPr>
          <w:b/>
          <w:bCs/>
        </w:rPr>
        <w:t xml:space="preserve"> through</w:t>
      </w:r>
      <w:r w:rsidR="006805B4" w:rsidRPr="001E3131">
        <w:rPr>
          <w:b/>
          <w:bCs/>
        </w:rPr>
        <w:t xml:space="preserve"> March</w:t>
      </w:r>
      <w:r w:rsidR="006805B4">
        <w:rPr>
          <w:b/>
          <w:bCs/>
        </w:rPr>
        <w:t xml:space="preserve">, </w:t>
      </w:r>
      <w:r w:rsidR="006805B4" w:rsidRPr="001E3131">
        <w:rPr>
          <w:b/>
          <w:bCs/>
        </w:rPr>
        <w:t xml:space="preserve">about 84% of the transfers being requested are due to either high acuity of the patients (64%) or services not </w:t>
      </w:r>
      <w:r w:rsidR="006805B4">
        <w:rPr>
          <w:b/>
          <w:bCs/>
        </w:rPr>
        <w:t>provided</w:t>
      </w:r>
      <w:r w:rsidR="006805B4" w:rsidRPr="001E3131">
        <w:rPr>
          <w:b/>
          <w:bCs/>
        </w:rPr>
        <w:t xml:space="preserve"> (20%) by the transferring hospital.</w:t>
      </w:r>
      <w:r w:rsidR="006805B4">
        <w:rPr>
          <w:b/>
          <w:bCs/>
        </w:rPr>
        <w:t xml:space="preserve"> </w:t>
      </w:r>
      <w:r w:rsidR="006805B4" w:rsidRPr="006805B4">
        <w:rPr>
          <w:b/>
          <w:bCs/>
        </w:rPr>
        <w:t xml:space="preserve">Delay or inability to access the appropriate level of care can result in adverse or worse health outcomes and quality of life. </w:t>
      </w:r>
      <w:r w:rsidR="00862A05" w:rsidRPr="006805B4">
        <w:rPr>
          <w:b/>
          <w:bCs/>
        </w:rPr>
        <w:t xml:space="preserve"> By expanding</w:t>
      </w:r>
      <w:r w:rsidRPr="006805B4">
        <w:rPr>
          <w:b/>
          <w:bCs/>
        </w:rPr>
        <w:t xml:space="preserve"> capacity at UMM</w:t>
      </w:r>
      <w:r w:rsidR="00862A05" w:rsidRPr="006805B4">
        <w:rPr>
          <w:b/>
          <w:bCs/>
        </w:rPr>
        <w:t>M</w:t>
      </w:r>
      <w:r w:rsidRPr="006805B4">
        <w:rPr>
          <w:b/>
          <w:bCs/>
        </w:rPr>
        <w:t>C</w:t>
      </w:r>
      <w:r w:rsidR="00862A05" w:rsidRPr="006805B4">
        <w:rPr>
          <w:b/>
          <w:bCs/>
        </w:rPr>
        <w:t xml:space="preserve">, all patients who choose to receive care at UMMMC will receive care in a </w:t>
      </w:r>
      <w:r w:rsidR="009611E0" w:rsidRPr="006805B4">
        <w:rPr>
          <w:b/>
          <w:bCs/>
        </w:rPr>
        <w:t>timelier</w:t>
      </w:r>
      <w:r w:rsidR="00862A05" w:rsidRPr="006805B4">
        <w:rPr>
          <w:b/>
          <w:bCs/>
        </w:rPr>
        <w:t xml:space="preserve"> manner</w:t>
      </w:r>
      <w:r w:rsidR="006805B4" w:rsidRPr="006805B4">
        <w:rPr>
          <w:b/>
          <w:bCs/>
        </w:rPr>
        <w:t>, thereby improving health outcomes and quality of life</w:t>
      </w:r>
      <w:r w:rsidR="00862A05" w:rsidRPr="006805B4">
        <w:rPr>
          <w:b/>
          <w:bCs/>
        </w:rPr>
        <w:t xml:space="preserve">. </w:t>
      </w:r>
    </w:p>
    <w:p w14:paraId="6A8F3C73" w14:textId="77777777" w:rsidR="001E3131" w:rsidRPr="004609C0" w:rsidRDefault="001E3131" w:rsidP="00AF164F">
      <w:pPr>
        <w:pStyle w:val="ListParagraph"/>
        <w:tabs>
          <w:tab w:val="left" w:pos="4455"/>
        </w:tabs>
        <w:rPr>
          <w:b/>
          <w:bCs/>
        </w:rPr>
      </w:pPr>
    </w:p>
    <w:sectPr w:rsidR="001E3131" w:rsidRPr="004609C0" w:rsidSect="004B678F">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5A891" w14:textId="77777777" w:rsidR="00EA6AD6" w:rsidRDefault="00EA6AD6" w:rsidP="00231103">
      <w:pPr>
        <w:spacing w:after="0" w:line="240" w:lineRule="auto"/>
      </w:pPr>
      <w:r>
        <w:separator/>
      </w:r>
    </w:p>
  </w:endnote>
  <w:endnote w:type="continuationSeparator" w:id="0">
    <w:p w14:paraId="6BE14BC6" w14:textId="77777777" w:rsidR="00EA6AD6" w:rsidRDefault="00EA6AD6" w:rsidP="00231103">
      <w:pPr>
        <w:spacing w:after="0" w:line="240" w:lineRule="auto"/>
      </w:pPr>
      <w:r>
        <w:continuationSeparator/>
      </w:r>
    </w:p>
  </w:endnote>
  <w:endnote w:type="continuationNotice" w:id="1">
    <w:p w14:paraId="4A82FE83" w14:textId="77777777" w:rsidR="00EA6AD6" w:rsidRDefault="00EA6A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9F05B" w14:textId="77777777" w:rsidR="004C3AB7" w:rsidRDefault="004C3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BA7089" w14:textId="77777777" w:rsidR="00632AEC" w:rsidRDefault="00632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175C" w14:textId="77777777" w:rsidR="004C3AB7" w:rsidRDefault="004C3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A5D4F" w14:textId="77777777" w:rsidR="00EA6AD6" w:rsidRDefault="00EA6AD6" w:rsidP="00231103">
      <w:pPr>
        <w:spacing w:after="0" w:line="240" w:lineRule="auto"/>
      </w:pPr>
      <w:r>
        <w:separator/>
      </w:r>
    </w:p>
  </w:footnote>
  <w:footnote w:type="continuationSeparator" w:id="0">
    <w:p w14:paraId="54659A2A" w14:textId="77777777" w:rsidR="00EA6AD6" w:rsidRDefault="00EA6AD6" w:rsidP="00231103">
      <w:pPr>
        <w:spacing w:after="0" w:line="240" w:lineRule="auto"/>
      </w:pPr>
      <w:r>
        <w:continuationSeparator/>
      </w:r>
    </w:p>
  </w:footnote>
  <w:footnote w:type="continuationNotice" w:id="1">
    <w:p w14:paraId="742BF510" w14:textId="77777777" w:rsidR="00EA6AD6" w:rsidRDefault="00EA6AD6">
      <w:pPr>
        <w:spacing w:after="0" w:line="240" w:lineRule="auto"/>
      </w:pPr>
    </w:p>
  </w:footnote>
  <w:footnote w:id="2">
    <w:p w14:paraId="3A361072" w14:textId="01FE309D" w:rsidR="00270AE6" w:rsidRDefault="00270AE6">
      <w:pPr>
        <w:pStyle w:val="FootnoteText"/>
      </w:pPr>
      <w:r>
        <w:rPr>
          <w:rStyle w:val="FootnoteReference"/>
        </w:rPr>
        <w:footnoteRef/>
      </w:r>
      <w:r>
        <w:t xml:space="preserve"> FY22= October 1-June 30</w:t>
      </w:r>
    </w:p>
  </w:footnote>
  <w:footnote w:id="3">
    <w:p w14:paraId="668B5A44" w14:textId="77777777" w:rsidR="00F403D1" w:rsidRDefault="00F403D1" w:rsidP="00F403D1">
      <w:pPr>
        <w:pStyle w:val="FootnoteText"/>
        <w:rPr>
          <w:rFonts w:ascii="Calibri" w:hAnsi="Calibri" w:cs="Calibri"/>
        </w:rPr>
      </w:pPr>
      <w:r>
        <w:rPr>
          <w:rStyle w:val="FootnoteReference"/>
        </w:rPr>
        <w:t>[1]</w:t>
      </w:r>
      <w:r>
        <w:t xml:space="preserve"> FY22 = Oct 21 – Mar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BC28" w14:textId="563ADEF2" w:rsidR="004C3AB7" w:rsidRDefault="004C3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D839" w14:textId="2B87D7E9" w:rsidR="003C3B18" w:rsidRPr="00D223EB" w:rsidRDefault="00512FDF" w:rsidP="00D223EB">
    <w:pPr>
      <w:pStyle w:val="Header"/>
      <w:pBdr>
        <w:bottom w:val="single" w:sz="4" w:space="1" w:color="auto"/>
      </w:pBdr>
      <w:jc w:val="center"/>
      <w:rPr>
        <w:b/>
        <w:bCs/>
        <w:sz w:val="28"/>
        <w:szCs w:val="28"/>
      </w:rPr>
    </w:pPr>
    <w:r>
      <w:rPr>
        <w:b/>
        <w:bCs/>
        <w:sz w:val="28"/>
        <w:szCs w:val="28"/>
      </w:rPr>
      <w:t>UMass Memorial Health Care, Inc.</w:t>
    </w:r>
  </w:p>
  <w:p w14:paraId="78DC6D8E" w14:textId="39003FB3" w:rsidR="00D223EB" w:rsidRPr="00D223EB" w:rsidRDefault="00D223EB" w:rsidP="00D223EB">
    <w:pPr>
      <w:pStyle w:val="Header"/>
      <w:pBdr>
        <w:bottom w:val="single" w:sz="4" w:space="1" w:color="auto"/>
      </w:pBdr>
      <w:jc w:val="center"/>
      <w:rPr>
        <w:sz w:val="28"/>
        <w:szCs w:val="28"/>
      </w:rPr>
    </w:pPr>
    <w:proofErr w:type="spellStart"/>
    <w:r w:rsidRPr="00D223EB">
      <w:rPr>
        <w:sz w:val="28"/>
        <w:szCs w:val="28"/>
      </w:rPr>
      <w:t>DoN</w:t>
    </w:r>
    <w:proofErr w:type="spellEnd"/>
    <w:r w:rsidRPr="00D223EB">
      <w:rPr>
        <w:sz w:val="28"/>
        <w:szCs w:val="28"/>
      </w:rPr>
      <w:t xml:space="preserve"> #</w:t>
    </w:r>
    <w:r w:rsidR="00E10890" w:rsidRPr="00E10890">
      <w:rPr>
        <w:sz w:val="28"/>
        <w:szCs w:val="28"/>
      </w:rPr>
      <w:t>UMMHC-22042514-HE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55111" w14:textId="071BF2B6" w:rsidR="004C3AB7" w:rsidRDefault="004C3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D9E24B7"/>
    <w:multiLevelType w:val="hybridMultilevel"/>
    <w:tmpl w:val="5E2C1C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17F56A4"/>
    <w:multiLevelType w:val="hybridMultilevel"/>
    <w:tmpl w:val="79CA9E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D4693B"/>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457833">
    <w:abstractNumId w:val="14"/>
  </w:num>
  <w:num w:numId="2" w16cid:durableId="1522281456">
    <w:abstractNumId w:val="22"/>
  </w:num>
  <w:num w:numId="3" w16cid:durableId="1080979490">
    <w:abstractNumId w:val="20"/>
  </w:num>
  <w:num w:numId="4" w16cid:durableId="1075472469">
    <w:abstractNumId w:val="5"/>
  </w:num>
  <w:num w:numId="5" w16cid:durableId="1931889857">
    <w:abstractNumId w:val="17"/>
  </w:num>
  <w:num w:numId="6" w16cid:durableId="1277181606">
    <w:abstractNumId w:val="11"/>
  </w:num>
  <w:num w:numId="7" w16cid:durableId="338585584">
    <w:abstractNumId w:val="6"/>
  </w:num>
  <w:num w:numId="8" w16cid:durableId="660082187">
    <w:abstractNumId w:val="3"/>
  </w:num>
  <w:num w:numId="9" w16cid:durableId="863253245">
    <w:abstractNumId w:val="9"/>
  </w:num>
  <w:num w:numId="10" w16cid:durableId="2125343899">
    <w:abstractNumId w:val="16"/>
  </w:num>
  <w:num w:numId="11" w16cid:durableId="1386374615">
    <w:abstractNumId w:val="10"/>
  </w:num>
  <w:num w:numId="12" w16cid:durableId="2020964805">
    <w:abstractNumId w:val="15"/>
  </w:num>
  <w:num w:numId="13" w16cid:durableId="465898888">
    <w:abstractNumId w:val="4"/>
  </w:num>
  <w:num w:numId="14" w16cid:durableId="413209521">
    <w:abstractNumId w:val="7"/>
  </w:num>
  <w:num w:numId="15" w16cid:durableId="273174398">
    <w:abstractNumId w:val="19"/>
  </w:num>
  <w:num w:numId="16" w16cid:durableId="1369381064">
    <w:abstractNumId w:val="2"/>
  </w:num>
  <w:num w:numId="17" w16cid:durableId="25451837">
    <w:abstractNumId w:val="8"/>
  </w:num>
  <w:num w:numId="18" w16cid:durableId="79184537">
    <w:abstractNumId w:val="1"/>
  </w:num>
  <w:num w:numId="19" w16cid:durableId="432701338">
    <w:abstractNumId w:val="0"/>
  </w:num>
  <w:num w:numId="20" w16cid:durableId="1287813281">
    <w:abstractNumId w:val="21"/>
  </w:num>
  <w:num w:numId="21" w16cid:durableId="636960121">
    <w:abstractNumId w:val="18"/>
  </w:num>
  <w:num w:numId="22" w16cid:durableId="2064595745">
    <w:abstractNumId w:val="13"/>
  </w:num>
  <w:num w:numId="23" w16cid:durableId="118573371">
    <w:abstractNumId w:val="12"/>
  </w:num>
  <w:num w:numId="24" w16cid:durableId="415057391">
    <w:abstractNumId w:val="13"/>
  </w:num>
  <w:num w:numId="25" w16cid:durableId="11337884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139D"/>
    <w:rsid w:val="000037BD"/>
    <w:rsid w:val="00005930"/>
    <w:rsid w:val="00012264"/>
    <w:rsid w:val="00012279"/>
    <w:rsid w:val="0001469B"/>
    <w:rsid w:val="00015D31"/>
    <w:rsid w:val="00021A01"/>
    <w:rsid w:val="00025521"/>
    <w:rsid w:val="0003012E"/>
    <w:rsid w:val="00032FF5"/>
    <w:rsid w:val="00037BF4"/>
    <w:rsid w:val="00040965"/>
    <w:rsid w:val="000413D6"/>
    <w:rsid w:val="0004645C"/>
    <w:rsid w:val="00054FF4"/>
    <w:rsid w:val="00055F9E"/>
    <w:rsid w:val="00063414"/>
    <w:rsid w:val="00063B27"/>
    <w:rsid w:val="00064206"/>
    <w:rsid w:val="0006445F"/>
    <w:rsid w:val="00070B61"/>
    <w:rsid w:val="00071162"/>
    <w:rsid w:val="00073DC9"/>
    <w:rsid w:val="00074092"/>
    <w:rsid w:val="000766DC"/>
    <w:rsid w:val="00076CB2"/>
    <w:rsid w:val="00080AC6"/>
    <w:rsid w:val="000826CB"/>
    <w:rsid w:val="0008493D"/>
    <w:rsid w:val="00084C11"/>
    <w:rsid w:val="000862E1"/>
    <w:rsid w:val="000902D9"/>
    <w:rsid w:val="00091C4C"/>
    <w:rsid w:val="00094C98"/>
    <w:rsid w:val="00095621"/>
    <w:rsid w:val="000A362B"/>
    <w:rsid w:val="000A4659"/>
    <w:rsid w:val="000A691D"/>
    <w:rsid w:val="000A7A45"/>
    <w:rsid w:val="000B1B8F"/>
    <w:rsid w:val="000B1D01"/>
    <w:rsid w:val="000C3C4D"/>
    <w:rsid w:val="000C7F71"/>
    <w:rsid w:val="000E2F30"/>
    <w:rsid w:val="000E3622"/>
    <w:rsid w:val="000E445B"/>
    <w:rsid w:val="000F5CC4"/>
    <w:rsid w:val="000F6D90"/>
    <w:rsid w:val="001017F6"/>
    <w:rsid w:val="00104288"/>
    <w:rsid w:val="00106D23"/>
    <w:rsid w:val="00112E92"/>
    <w:rsid w:val="00122099"/>
    <w:rsid w:val="0012232D"/>
    <w:rsid w:val="00123EE2"/>
    <w:rsid w:val="00125F6B"/>
    <w:rsid w:val="00133D2D"/>
    <w:rsid w:val="00137A46"/>
    <w:rsid w:val="00142FF5"/>
    <w:rsid w:val="00145566"/>
    <w:rsid w:val="001459CB"/>
    <w:rsid w:val="00152CFB"/>
    <w:rsid w:val="00154A10"/>
    <w:rsid w:val="0016205E"/>
    <w:rsid w:val="00166158"/>
    <w:rsid w:val="001701AE"/>
    <w:rsid w:val="00174CFB"/>
    <w:rsid w:val="00176547"/>
    <w:rsid w:val="00176C56"/>
    <w:rsid w:val="00180580"/>
    <w:rsid w:val="00182533"/>
    <w:rsid w:val="001837AC"/>
    <w:rsid w:val="00185A10"/>
    <w:rsid w:val="00190646"/>
    <w:rsid w:val="0019184A"/>
    <w:rsid w:val="00191B78"/>
    <w:rsid w:val="00191DAC"/>
    <w:rsid w:val="00192CFC"/>
    <w:rsid w:val="00193CD7"/>
    <w:rsid w:val="001A11D0"/>
    <w:rsid w:val="001A3D19"/>
    <w:rsid w:val="001A511B"/>
    <w:rsid w:val="001A66A9"/>
    <w:rsid w:val="001B19EC"/>
    <w:rsid w:val="001B220D"/>
    <w:rsid w:val="001B3A91"/>
    <w:rsid w:val="001B517F"/>
    <w:rsid w:val="001B7F98"/>
    <w:rsid w:val="001C2783"/>
    <w:rsid w:val="001C5BF3"/>
    <w:rsid w:val="001D0111"/>
    <w:rsid w:val="001D01BF"/>
    <w:rsid w:val="001D1521"/>
    <w:rsid w:val="001D1813"/>
    <w:rsid w:val="001D7C2C"/>
    <w:rsid w:val="001E19D7"/>
    <w:rsid w:val="001E21D7"/>
    <w:rsid w:val="001E3131"/>
    <w:rsid w:val="001E5807"/>
    <w:rsid w:val="001F02F3"/>
    <w:rsid w:val="001F27B7"/>
    <w:rsid w:val="001F667D"/>
    <w:rsid w:val="001F7767"/>
    <w:rsid w:val="00202AD7"/>
    <w:rsid w:val="002037DF"/>
    <w:rsid w:val="002050B9"/>
    <w:rsid w:val="002102EF"/>
    <w:rsid w:val="00212619"/>
    <w:rsid w:val="002155ED"/>
    <w:rsid w:val="00216777"/>
    <w:rsid w:val="00224770"/>
    <w:rsid w:val="00225B1E"/>
    <w:rsid w:val="00226A63"/>
    <w:rsid w:val="00227005"/>
    <w:rsid w:val="00227BD5"/>
    <w:rsid w:val="00230C3B"/>
    <w:rsid w:val="00231103"/>
    <w:rsid w:val="002314FF"/>
    <w:rsid w:val="00231E3B"/>
    <w:rsid w:val="00235C7D"/>
    <w:rsid w:val="002364A1"/>
    <w:rsid w:val="00241F52"/>
    <w:rsid w:val="0025059F"/>
    <w:rsid w:val="00251BEF"/>
    <w:rsid w:val="002533DB"/>
    <w:rsid w:val="0025349C"/>
    <w:rsid w:val="00253AF3"/>
    <w:rsid w:val="0025780A"/>
    <w:rsid w:val="00262131"/>
    <w:rsid w:val="00262E53"/>
    <w:rsid w:val="002643AF"/>
    <w:rsid w:val="00264588"/>
    <w:rsid w:val="0026558B"/>
    <w:rsid w:val="00267859"/>
    <w:rsid w:val="00270AE6"/>
    <w:rsid w:val="00270B47"/>
    <w:rsid w:val="002750A6"/>
    <w:rsid w:val="0027783A"/>
    <w:rsid w:val="002912FB"/>
    <w:rsid w:val="00292B13"/>
    <w:rsid w:val="00293147"/>
    <w:rsid w:val="00294D49"/>
    <w:rsid w:val="002A36DF"/>
    <w:rsid w:val="002A47FE"/>
    <w:rsid w:val="002A5E73"/>
    <w:rsid w:val="002B2E75"/>
    <w:rsid w:val="002B3476"/>
    <w:rsid w:val="002B7A2F"/>
    <w:rsid w:val="002C035A"/>
    <w:rsid w:val="002C0C55"/>
    <w:rsid w:val="002C568C"/>
    <w:rsid w:val="002C5E88"/>
    <w:rsid w:val="002D012B"/>
    <w:rsid w:val="002D0808"/>
    <w:rsid w:val="002D1CC3"/>
    <w:rsid w:val="002D39AC"/>
    <w:rsid w:val="002E3CEF"/>
    <w:rsid w:val="002F0FB1"/>
    <w:rsid w:val="002F3CDD"/>
    <w:rsid w:val="002F5878"/>
    <w:rsid w:val="002F7B99"/>
    <w:rsid w:val="003030AA"/>
    <w:rsid w:val="00303EE3"/>
    <w:rsid w:val="00306307"/>
    <w:rsid w:val="003079EC"/>
    <w:rsid w:val="003103B0"/>
    <w:rsid w:val="00312A19"/>
    <w:rsid w:val="00317580"/>
    <w:rsid w:val="00327002"/>
    <w:rsid w:val="00327530"/>
    <w:rsid w:val="00327EAC"/>
    <w:rsid w:val="0033002E"/>
    <w:rsid w:val="003346D8"/>
    <w:rsid w:val="00342240"/>
    <w:rsid w:val="003533CA"/>
    <w:rsid w:val="0035653B"/>
    <w:rsid w:val="00357BA6"/>
    <w:rsid w:val="003602C2"/>
    <w:rsid w:val="003620FB"/>
    <w:rsid w:val="00366918"/>
    <w:rsid w:val="00366DCC"/>
    <w:rsid w:val="003764DE"/>
    <w:rsid w:val="00380361"/>
    <w:rsid w:val="00380B28"/>
    <w:rsid w:val="003813A0"/>
    <w:rsid w:val="00381CBF"/>
    <w:rsid w:val="00382217"/>
    <w:rsid w:val="00391547"/>
    <w:rsid w:val="0039698B"/>
    <w:rsid w:val="003A1793"/>
    <w:rsid w:val="003A2B5B"/>
    <w:rsid w:val="003A36B2"/>
    <w:rsid w:val="003A3CBA"/>
    <w:rsid w:val="003A4882"/>
    <w:rsid w:val="003A7217"/>
    <w:rsid w:val="003B0D30"/>
    <w:rsid w:val="003B575F"/>
    <w:rsid w:val="003B5953"/>
    <w:rsid w:val="003C1787"/>
    <w:rsid w:val="003C3117"/>
    <w:rsid w:val="003C38F5"/>
    <w:rsid w:val="003C3B18"/>
    <w:rsid w:val="003C6F58"/>
    <w:rsid w:val="003C7C67"/>
    <w:rsid w:val="003D14BA"/>
    <w:rsid w:val="003D2A24"/>
    <w:rsid w:val="003D3D7D"/>
    <w:rsid w:val="003D50D2"/>
    <w:rsid w:val="003D7315"/>
    <w:rsid w:val="003D7942"/>
    <w:rsid w:val="003E0045"/>
    <w:rsid w:val="003E5576"/>
    <w:rsid w:val="003E5688"/>
    <w:rsid w:val="003E5E37"/>
    <w:rsid w:val="003F1211"/>
    <w:rsid w:val="003F159E"/>
    <w:rsid w:val="003F1D09"/>
    <w:rsid w:val="00402AC2"/>
    <w:rsid w:val="00412081"/>
    <w:rsid w:val="00413809"/>
    <w:rsid w:val="0042031C"/>
    <w:rsid w:val="004213AF"/>
    <w:rsid w:val="00421B81"/>
    <w:rsid w:val="00421C21"/>
    <w:rsid w:val="00432D19"/>
    <w:rsid w:val="00433F12"/>
    <w:rsid w:val="00437AF3"/>
    <w:rsid w:val="00444A21"/>
    <w:rsid w:val="004506DE"/>
    <w:rsid w:val="0045317B"/>
    <w:rsid w:val="00455504"/>
    <w:rsid w:val="00456B10"/>
    <w:rsid w:val="004609C0"/>
    <w:rsid w:val="00464ACB"/>
    <w:rsid w:val="00475154"/>
    <w:rsid w:val="00476549"/>
    <w:rsid w:val="00481ADC"/>
    <w:rsid w:val="004821A3"/>
    <w:rsid w:val="00484231"/>
    <w:rsid w:val="00484A85"/>
    <w:rsid w:val="004901A5"/>
    <w:rsid w:val="00497513"/>
    <w:rsid w:val="004A1BB1"/>
    <w:rsid w:val="004A1D25"/>
    <w:rsid w:val="004A5502"/>
    <w:rsid w:val="004A7A25"/>
    <w:rsid w:val="004B1CE6"/>
    <w:rsid w:val="004B46F4"/>
    <w:rsid w:val="004B582E"/>
    <w:rsid w:val="004B5EF9"/>
    <w:rsid w:val="004B678F"/>
    <w:rsid w:val="004C0998"/>
    <w:rsid w:val="004C2AE3"/>
    <w:rsid w:val="004C3AB7"/>
    <w:rsid w:val="004D0BF9"/>
    <w:rsid w:val="004D293C"/>
    <w:rsid w:val="004D7C5C"/>
    <w:rsid w:val="004E166A"/>
    <w:rsid w:val="004E6482"/>
    <w:rsid w:val="004F432A"/>
    <w:rsid w:val="004F590F"/>
    <w:rsid w:val="004F6BB4"/>
    <w:rsid w:val="00503DC3"/>
    <w:rsid w:val="00510EC8"/>
    <w:rsid w:val="00512FDF"/>
    <w:rsid w:val="005145C3"/>
    <w:rsid w:val="00514ECB"/>
    <w:rsid w:val="00520CE7"/>
    <w:rsid w:val="00522F5F"/>
    <w:rsid w:val="00524144"/>
    <w:rsid w:val="005257D0"/>
    <w:rsid w:val="00527788"/>
    <w:rsid w:val="005301FC"/>
    <w:rsid w:val="00530477"/>
    <w:rsid w:val="00535A15"/>
    <w:rsid w:val="005400E1"/>
    <w:rsid w:val="005430C8"/>
    <w:rsid w:val="0054339D"/>
    <w:rsid w:val="00546917"/>
    <w:rsid w:val="00547324"/>
    <w:rsid w:val="00550E7B"/>
    <w:rsid w:val="00554347"/>
    <w:rsid w:val="00554544"/>
    <w:rsid w:val="00554CF4"/>
    <w:rsid w:val="00555A05"/>
    <w:rsid w:val="00561790"/>
    <w:rsid w:val="00561BCC"/>
    <w:rsid w:val="00561DCE"/>
    <w:rsid w:val="00567A48"/>
    <w:rsid w:val="00573656"/>
    <w:rsid w:val="005768C9"/>
    <w:rsid w:val="00577B19"/>
    <w:rsid w:val="00580E2B"/>
    <w:rsid w:val="0058155B"/>
    <w:rsid w:val="00587600"/>
    <w:rsid w:val="0059048E"/>
    <w:rsid w:val="005921B2"/>
    <w:rsid w:val="005941A3"/>
    <w:rsid w:val="005946AB"/>
    <w:rsid w:val="00595A74"/>
    <w:rsid w:val="00596F2D"/>
    <w:rsid w:val="00597369"/>
    <w:rsid w:val="005977E8"/>
    <w:rsid w:val="005A081D"/>
    <w:rsid w:val="005A11D8"/>
    <w:rsid w:val="005A2505"/>
    <w:rsid w:val="005A2F6B"/>
    <w:rsid w:val="005A390D"/>
    <w:rsid w:val="005A3A68"/>
    <w:rsid w:val="005A5F29"/>
    <w:rsid w:val="005A71F5"/>
    <w:rsid w:val="005C3394"/>
    <w:rsid w:val="005D4244"/>
    <w:rsid w:val="005E0686"/>
    <w:rsid w:val="005E1AEF"/>
    <w:rsid w:val="005E26B1"/>
    <w:rsid w:val="005F62ED"/>
    <w:rsid w:val="00605067"/>
    <w:rsid w:val="00607E0F"/>
    <w:rsid w:val="00610F50"/>
    <w:rsid w:val="00626C01"/>
    <w:rsid w:val="006303FF"/>
    <w:rsid w:val="006325B1"/>
    <w:rsid w:val="00632AEC"/>
    <w:rsid w:val="00636A3D"/>
    <w:rsid w:val="006403D2"/>
    <w:rsid w:val="006421D9"/>
    <w:rsid w:val="00643D57"/>
    <w:rsid w:val="0065372D"/>
    <w:rsid w:val="006560F8"/>
    <w:rsid w:val="006733D5"/>
    <w:rsid w:val="006805B4"/>
    <w:rsid w:val="006814E7"/>
    <w:rsid w:val="00687E3F"/>
    <w:rsid w:val="00693E98"/>
    <w:rsid w:val="006A1F6D"/>
    <w:rsid w:val="006A25D2"/>
    <w:rsid w:val="006B0549"/>
    <w:rsid w:val="006B5BEF"/>
    <w:rsid w:val="006B6E2D"/>
    <w:rsid w:val="006B7171"/>
    <w:rsid w:val="006C3ED5"/>
    <w:rsid w:val="006C552B"/>
    <w:rsid w:val="006C7E0A"/>
    <w:rsid w:val="006D01D3"/>
    <w:rsid w:val="006D6315"/>
    <w:rsid w:val="006D650D"/>
    <w:rsid w:val="006D6994"/>
    <w:rsid w:val="006E112C"/>
    <w:rsid w:val="006E1D4C"/>
    <w:rsid w:val="006E279C"/>
    <w:rsid w:val="006E29DE"/>
    <w:rsid w:val="006E4E00"/>
    <w:rsid w:val="006E5304"/>
    <w:rsid w:val="006F0472"/>
    <w:rsid w:val="006F0F86"/>
    <w:rsid w:val="006F4EF5"/>
    <w:rsid w:val="006F7519"/>
    <w:rsid w:val="007113DC"/>
    <w:rsid w:val="0071402E"/>
    <w:rsid w:val="007143F5"/>
    <w:rsid w:val="0071476D"/>
    <w:rsid w:val="007230BC"/>
    <w:rsid w:val="00723E74"/>
    <w:rsid w:val="007242B4"/>
    <w:rsid w:val="00727D7A"/>
    <w:rsid w:val="00730E81"/>
    <w:rsid w:val="0073404F"/>
    <w:rsid w:val="00734A0C"/>
    <w:rsid w:val="00740B16"/>
    <w:rsid w:val="00742E67"/>
    <w:rsid w:val="00743F50"/>
    <w:rsid w:val="007508EF"/>
    <w:rsid w:val="00750B62"/>
    <w:rsid w:val="00750B84"/>
    <w:rsid w:val="0075159B"/>
    <w:rsid w:val="0075373D"/>
    <w:rsid w:val="00753F14"/>
    <w:rsid w:val="00757106"/>
    <w:rsid w:val="00771621"/>
    <w:rsid w:val="00774FA6"/>
    <w:rsid w:val="00780BBA"/>
    <w:rsid w:val="00795B9D"/>
    <w:rsid w:val="00795E61"/>
    <w:rsid w:val="007A2BA7"/>
    <w:rsid w:val="007B3A5E"/>
    <w:rsid w:val="007B529A"/>
    <w:rsid w:val="007B5C83"/>
    <w:rsid w:val="007C02F9"/>
    <w:rsid w:val="007C2DF7"/>
    <w:rsid w:val="007C4757"/>
    <w:rsid w:val="007D023F"/>
    <w:rsid w:val="007D127A"/>
    <w:rsid w:val="007D1376"/>
    <w:rsid w:val="007D261F"/>
    <w:rsid w:val="007D657B"/>
    <w:rsid w:val="007D6861"/>
    <w:rsid w:val="007E0AC9"/>
    <w:rsid w:val="007E20D6"/>
    <w:rsid w:val="007E5FE7"/>
    <w:rsid w:val="007E6854"/>
    <w:rsid w:val="007F5301"/>
    <w:rsid w:val="007F5C97"/>
    <w:rsid w:val="007F6742"/>
    <w:rsid w:val="008006D1"/>
    <w:rsid w:val="00815464"/>
    <w:rsid w:val="00820C2B"/>
    <w:rsid w:val="008217B2"/>
    <w:rsid w:val="008218EF"/>
    <w:rsid w:val="008222C5"/>
    <w:rsid w:val="00826574"/>
    <w:rsid w:val="00830723"/>
    <w:rsid w:val="0083116D"/>
    <w:rsid w:val="00835493"/>
    <w:rsid w:val="00841323"/>
    <w:rsid w:val="00843356"/>
    <w:rsid w:val="008443E7"/>
    <w:rsid w:val="008449E3"/>
    <w:rsid w:val="008464B2"/>
    <w:rsid w:val="00847665"/>
    <w:rsid w:val="00847BE1"/>
    <w:rsid w:val="00851136"/>
    <w:rsid w:val="00851EBF"/>
    <w:rsid w:val="00857298"/>
    <w:rsid w:val="0086021D"/>
    <w:rsid w:val="00862A05"/>
    <w:rsid w:val="00862AF4"/>
    <w:rsid w:val="008634B7"/>
    <w:rsid w:val="00863F89"/>
    <w:rsid w:val="008643F3"/>
    <w:rsid w:val="00867F07"/>
    <w:rsid w:val="008753A8"/>
    <w:rsid w:val="00876CE8"/>
    <w:rsid w:val="00886E11"/>
    <w:rsid w:val="00887071"/>
    <w:rsid w:val="00890231"/>
    <w:rsid w:val="008955B8"/>
    <w:rsid w:val="00897A92"/>
    <w:rsid w:val="008A0207"/>
    <w:rsid w:val="008A7920"/>
    <w:rsid w:val="008A7D64"/>
    <w:rsid w:val="008B18BD"/>
    <w:rsid w:val="008B7668"/>
    <w:rsid w:val="008C0FFE"/>
    <w:rsid w:val="008C121E"/>
    <w:rsid w:val="008C1253"/>
    <w:rsid w:val="008C42E2"/>
    <w:rsid w:val="008C5D7E"/>
    <w:rsid w:val="008C698B"/>
    <w:rsid w:val="008D0B54"/>
    <w:rsid w:val="008D2D7E"/>
    <w:rsid w:val="008D5182"/>
    <w:rsid w:val="008D5359"/>
    <w:rsid w:val="008D7F99"/>
    <w:rsid w:val="008E0484"/>
    <w:rsid w:val="008E3C7A"/>
    <w:rsid w:val="008E614C"/>
    <w:rsid w:val="008E6DF2"/>
    <w:rsid w:val="008E7355"/>
    <w:rsid w:val="008E7E5A"/>
    <w:rsid w:val="008F1860"/>
    <w:rsid w:val="008F4E1B"/>
    <w:rsid w:val="008F5981"/>
    <w:rsid w:val="00900ED6"/>
    <w:rsid w:val="0090264F"/>
    <w:rsid w:val="00906CCD"/>
    <w:rsid w:val="00911747"/>
    <w:rsid w:val="009129CE"/>
    <w:rsid w:val="00914855"/>
    <w:rsid w:val="00915C11"/>
    <w:rsid w:val="00915F05"/>
    <w:rsid w:val="009171CE"/>
    <w:rsid w:val="009178DF"/>
    <w:rsid w:val="009250A0"/>
    <w:rsid w:val="00931374"/>
    <w:rsid w:val="009317D3"/>
    <w:rsid w:val="00934706"/>
    <w:rsid w:val="00935D0E"/>
    <w:rsid w:val="0093616A"/>
    <w:rsid w:val="0093644B"/>
    <w:rsid w:val="009366A5"/>
    <w:rsid w:val="009376A5"/>
    <w:rsid w:val="00937C51"/>
    <w:rsid w:val="00937DF4"/>
    <w:rsid w:val="00940929"/>
    <w:rsid w:val="0094528E"/>
    <w:rsid w:val="00951254"/>
    <w:rsid w:val="00951485"/>
    <w:rsid w:val="009528C0"/>
    <w:rsid w:val="00955D10"/>
    <w:rsid w:val="009611E0"/>
    <w:rsid w:val="009637E5"/>
    <w:rsid w:val="00963B87"/>
    <w:rsid w:val="00965AEA"/>
    <w:rsid w:val="00967400"/>
    <w:rsid w:val="00970D87"/>
    <w:rsid w:val="00974468"/>
    <w:rsid w:val="0097656A"/>
    <w:rsid w:val="00982829"/>
    <w:rsid w:val="00985A22"/>
    <w:rsid w:val="009865DB"/>
    <w:rsid w:val="00986A89"/>
    <w:rsid w:val="009910CE"/>
    <w:rsid w:val="0099497B"/>
    <w:rsid w:val="009B122A"/>
    <w:rsid w:val="009B166B"/>
    <w:rsid w:val="009B1C56"/>
    <w:rsid w:val="009B62C3"/>
    <w:rsid w:val="009B7586"/>
    <w:rsid w:val="009B7881"/>
    <w:rsid w:val="009B7A81"/>
    <w:rsid w:val="009C1D85"/>
    <w:rsid w:val="009C2396"/>
    <w:rsid w:val="009C271D"/>
    <w:rsid w:val="009D301F"/>
    <w:rsid w:val="009D46AB"/>
    <w:rsid w:val="009E2663"/>
    <w:rsid w:val="009E2754"/>
    <w:rsid w:val="009E3DE9"/>
    <w:rsid w:val="009F10DE"/>
    <w:rsid w:val="009F3886"/>
    <w:rsid w:val="00A05AE5"/>
    <w:rsid w:val="00A0730F"/>
    <w:rsid w:val="00A144A7"/>
    <w:rsid w:val="00A15C5C"/>
    <w:rsid w:val="00A20AE7"/>
    <w:rsid w:val="00A259AD"/>
    <w:rsid w:val="00A27237"/>
    <w:rsid w:val="00A27C1B"/>
    <w:rsid w:val="00A350ED"/>
    <w:rsid w:val="00A4205B"/>
    <w:rsid w:val="00A44911"/>
    <w:rsid w:val="00A521BE"/>
    <w:rsid w:val="00A52BF6"/>
    <w:rsid w:val="00A52D05"/>
    <w:rsid w:val="00A530E9"/>
    <w:rsid w:val="00A550CF"/>
    <w:rsid w:val="00A628AF"/>
    <w:rsid w:val="00A63B34"/>
    <w:rsid w:val="00A7342F"/>
    <w:rsid w:val="00A74634"/>
    <w:rsid w:val="00A7645F"/>
    <w:rsid w:val="00A8178B"/>
    <w:rsid w:val="00A82823"/>
    <w:rsid w:val="00A83C91"/>
    <w:rsid w:val="00A84E87"/>
    <w:rsid w:val="00A9164D"/>
    <w:rsid w:val="00A941F2"/>
    <w:rsid w:val="00A94C41"/>
    <w:rsid w:val="00A94DFA"/>
    <w:rsid w:val="00A97218"/>
    <w:rsid w:val="00A979E2"/>
    <w:rsid w:val="00AA12C8"/>
    <w:rsid w:val="00AA35A1"/>
    <w:rsid w:val="00AA5AD2"/>
    <w:rsid w:val="00AA5E4D"/>
    <w:rsid w:val="00AB1643"/>
    <w:rsid w:val="00AB55DC"/>
    <w:rsid w:val="00AB56AA"/>
    <w:rsid w:val="00AC08F8"/>
    <w:rsid w:val="00AC11E9"/>
    <w:rsid w:val="00AC3813"/>
    <w:rsid w:val="00AC3823"/>
    <w:rsid w:val="00AD2C45"/>
    <w:rsid w:val="00AD7A33"/>
    <w:rsid w:val="00AE0C95"/>
    <w:rsid w:val="00AE1F14"/>
    <w:rsid w:val="00AE2E70"/>
    <w:rsid w:val="00AE72CC"/>
    <w:rsid w:val="00AE7CBF"/>
    <w:rsid w:val="00AF01F5"/>
    <w:rsid w:val="00AF1414"/>
    <w:rsid w:val="00AF164F"/>
    <w:rsid w:val="00AF3336"/>
    <w:rsid w:val="00AF4579"/>
    <w:rsid w:val="00AF4A96"/>
    <w:rsid w:val="00B00949"/>
    <w:rsid w:val="00B0197E"/>
    <w:rsid w:val="00B01E81"/>
    <w:rsid w:val="00B0435F"/>
    <w:rsid w:val="00B04766"/>
    <w:rsid w:val="00B06DF0"/>
    <w:rsid w:val="00B10DB9"/>
    <w:rsid w:val="00B11DF8"/>
    <w:rsid w:val="00B15D82"/>
    <w:rsid w:val="00B23AE4"/>
    <w:rsid w:val="00B271C5"/>
    <w:rsid w:val="00B34854"/>
    <w:rsid w:val="00B34BE7"/>
    <w:rsid w:val="00B3678C"/>
    <w:rsid w:val="00B37E4B"/>
    <w:rsid w:val="00B42880"/>
    <w:rsid w:val="00B440D9"/>
    <w:rsid w:val="00B45447"/>
    <w:rsid w:val="00B47B6B"/>
    <w:rsid w:val="00B47C7E"/>
    <w:rsid w:val="00B512E6"/>
    <w:rsid w:val="00B605C6"/>
    <w:rsid w:val="00B715B4"/>
    <w:rsid w:val="00B731BC"/>
    <w:rsid w:val="00B751A8"/>
    <w:rsid w:val="00B75AFF"/>
    <w:rsid w:val="00B765CA"/>
    <w:rsid w:val="00B81458"/>
    <w:rsid w:val="00B851A8"/>
    <w:rsid w:val="00B856DA"/>
    <w:rsid w:val="00B9022C"/>
    <w:rsid w:val="00B92856"/>
    <w:rsid w:val="00B94B00"/>
    <w:rsid w:val="00BA1F76"/>
    <w:rsid w:val="00BA2559"/>
    <w:rsid w:val="00BA5C9C"/>
    <w:rsid w:val="00BB0119"/>
    <w:rsid w:val="00BB0F4E"/>
    <w:rsid w:val="00BB2D8B"/>
    <w:rsid w:val="00BB6171"/>
    <w:rsid w:val="00BB758B"/>
    <w:rsid w:val="00BC5676"/>
    <w:rsid w:val="00BD2346"/>
    <w:rsid w:val="00BD2FF4"/>
    <w:rsid w:val="00BD3B34"/>
    <w:rsid w:val="00BD5D70"/>
    <w:rsid w:val="00BD66E6"/>
    <w:rsid w:val="00BD782E"/>
    <w:rsid w:val="00BE30DE"/>
    <w:rsid w:val="00BE3D0C"/>
    <w:rsid w:val="00BE5A4D"/>
    <w:rsid w:val="00BE67C3"/>
    <w:rsid w:val="00BF0682"/>
    <w:rsid w:val="00BF1147"/>
    <w:rsid w:val="00BF23D2"/>
    <w:rsid w:val="00BF2CDA"/>
    <w:rsid w:val="00BF349C"/>
    <w:rsid w:val="00BF4BB3"/>
    <w:rsid w:val="00BF57F0"/>
    <w:rsid w:val="00C02884"/>
    <w:rsid w:val="00C048DB"/>
    <w:rsid w:val="00C114D7"/>
    <w:rsid w:val="00C143F4"/>
    <w:rsid w:val="00C176D2"/>
    <w:rsid w:val="00C27682"/>
    <w:rsid w:val="00C34501"/>
    <w:rsid w:val="00C34DBC"/>
    <w:rsid w:val="00C41902"/>
    <w:rsid w:val="00C42388"/>
    <w:rsid w:val="00C46BCC"/>
    <w:rsid w:val="00C5224B"/>
    <w:rsid w:val="00C52979"/>
    <w:rsid w:val="00C562BF"/>
    <w:rsid w:val="00C56FD7"/>
    <w:rsid w:val="00C577F7"/>
    <w:rsid w:val="00C625DD"/>
    <w:rsid w:val="00C70920"/>
    <w:rsid w:val="00C75012"/>
    <w:rsid w:val="00C843B2"/>
    <w:rsid w:val="00C8665D"/>
    <w:rsid w:val="00C86A46"/>
    <w:rsid w:val="00C90FB6"/>
    <w:rsid w:val="00C95555"/>
    <w:rsid w:val="00CA3412"/>
    <w:rsid w:val="00CA691E"/>
    <w:rsid w:val="00CA7E20"/>
    <w:rsid w:val="00CB139E"/>
    <w:rsid w:val="00CB4136"/>
    <w:rsid w:val="00CC2555"/>
    <w:rsid w:val="00CC4C68"/>
    <w:rsid w:val="00CC576D"/>
    <w:rsid w:val="00CC61A0"/>
    <w:rsid w:val="00CC71D1"/>
    <w:rsid w:val="00CD48D5"/>
    <w:rsid w:val="00CE2263"/>
    <w:rsid w:val="00CE6956"/>
    <w:rsid w:val="00CF0F40"/>
    <w:rsid w:val="00CF1A54"/>
    <w:rsid w:val="00CF289F"/>
    <w:rsid w:val="00CF2AD9"/>
    <w:rsid w:val="00CF3097"/>
    <w:rsid w:val="00CF5DDA"/>
    <w:rsid w:val="00D02802"/>
    <w:rsid w:val="00D02A9C"/>
    <w:rsid w:val="00D054A2"/>
    <w:rsid w:val="00D100F1"/>
    <w:rsid w:val="00D11BF8"/>
    <w:rsid w:val="00D12AEB"/>
    <w:rsid w:val="00D13800"/>
    <w:rsid w:val="00D142B2"/>
    <w:rsid w:val="00D1440E"/>
    <w:rsid w:val="00D15494"/>
    <w:rsid w:val="00D1799E"/>
    <w:rsid w:val="00D223EB"/>
    <w:rsid w:val="00D24132"/>
    <w:rsid w:val="00D24403"/>
    <w:rsid w:val="00D24AF2"/>
    <w:rsid w:val="00D24BB5"/>
    <w:rsid w:val="00D27182"/>
    <w:rsid w:val="00D279F2"/>
    <w:rsid w:val="00D33210"/>
    <w:rsid w:val="00D33E84"/>
    <w:rsid w:val="00D37D26"/>
    <w:rsid w:val="00D436C9"/>
    <w:rsid w:val="00D472F1"/>
    <w:rsid w:val="00D506CF"/>
    <w:rsid w:val="00D60585"/>
    <w:rsid w:val="00D6142C"/>
    <w:rsid w:val="00D6254B"/>
    <w:rsid w:val="00D63B4A"/>
    <w:rsid w:val="00D753F8"/>
    <w:rsid w:val="00D75C50"/>
    <w:rsid w:val="00D76F97"/>
    <w:rsid w:val="00D851C5"/>
    <w:rsid w:val="00D85B70"/>
    <w:rsid w:val="00D866CA"/>
    <w:rsid w:val="00D921F1"/>
    <w:rsid w:val="00D93BBE"/>
    <w:rsid w:val="00DA30C7"/>
    <w:rsid w:val="00DA6574"/>
    <w:rsid w:val="00DA6F3F"/>
    <w:rsid w:val="00DB3D94"/>
    <w:rsid w:val="00DB6498"/>
    <w:rsid w:val="00DB685D"/>
    <w:rsid w:val="00DB6A78"/>
    <w:rsid w:val="00DC3F91"/>
    <w:rsid w:val="00DD0C1E"/>
    <w:rsid w:val="00DD1419"/>
    <w:rsid w:val="00DD15B6"/>
    <w:rsid w:val="00DD74BE"/>
    <w:rsid w:val="00DE358D"/>
    <w:rsid w:val="00DE53D8"/>
    <w:rsid w:val="00DE7675"/>
    <w:rsid w:val="00DF07AB"/>
    <w:rsid w:val="00DF2366"/>
    <w:rsid w:val="00DF7DD6"/>
    <w:rsid w:val="00E0011C"/>
    <w:rsid w:val="00E001B4"/>
    <w:rsid w:val="00E0057B"/>
    <w:rsid w:val="00E016A6"/>
    <w:rsid w:val="00E0173C"/>
    <w:rsid w:val="00E0307B"/>
    <w:rsid w:val="00E03AB6"/>
    <w:rsid w:val="00E06845"/>
    <w:rsid w:val="00E0696A"/>
    <w:rsid w:val="00E06E96"/>
    <w:rsid w:val="00E07F7B"/>
    <w:rsid w:val="00E10890"/>
    <w:rsid w:val="00E15608"/>
    <w:rsid w:val="00E15C5B"/>
    <w:rsid w:val="00E20E96"/>
    <w:rsid w:val="00E249E0"/>
    <w:rsid w:val="00E25B24"/>
    <w:rsid w:val="00E27352"/>
    <w:rsid w:val="00E33041"/>
    <w:rsid w:val="00E34127"/>
    <w:rsid w:val="00E34361"/>
    <w:rsid w:val="00E375B1"/>
    <w:rsid w:val="00E431C4"/>
    <w:rsid w:val="00E44060"/>
    <w:rsid w:val="00E454B3"/>
    <w:rsid w:val="00E46C03"/>
    <w:rsid w:val="00E54D9E"/>
    <w:rsid w:val="00E5594A"/>
    <w:rsid w:val="00E56B19"/>
    <w:rsid w:val="00E57F4C"/>
    <w:rsid w:val="00E61DF7"/>
    <w:rsid w:val="00E71F1D"/>
    <w:rsid w:val="00E7250A"/>
    <w:rsid w:val="00E73075"/>
    <w:rsid w:val="00E84BDB"/>
    <w:rsid w:val="00E85FDE"/>
    <w:rsid w:val="00E86ACC"/>
    <w:rsid w:val="00E8740C"/>
    <w:rsid w:val="00E92D51"/>
    <w:rsid w:val="00E932CC"/>
    <w:rsid w:val="00E94723"/>
    <w:rsid w:val="00E951C0"/>
    <w:rsid w:val="00E973AC"/>
    <w:rsid w:val="00EA0562"/>
    <w:rsid w:val="00EA6AD6"/>
    <w:rsid w:val="00EB63FE"/>
    <w:rsid w:val="00EC102F"/>
    <w:rsid w:val="00EC7F18"/>
    <w:rsid w:val="00ED4A6A"/>
    <w:rsid w:val="00ED55BC"/>
    <w:rsid w:val="00EF1AF6"/>
    <w:rsid w:val="00EF43C6"/>
    <w:rsid w:val="00F055F8"/>
    <w:rsid w:val="00F065A1"/>
    <w:rsid w:val="00F06B13"/>
    <w:rsid w:val="00F0776C"/>
    <w:rsid w:val="00F12B4F"/>
    <w:rsid w:val="00F23FE9"/>
    <w:rsid w:val="00F2425E"/>
    <w:rsid w:val="00F2668C"/>
    <w:rsid w:val="00F273E5"/>
    <w:rsid w:val="00F327BD"/>
    <w:rsid w:val="00F358C6"/>
    <w:rsid w:val="00F35DC5"/>
    <w:rsid w:val="00F368B6"/>
    <w:rsid w:val="00F37114"/>
    <w:rsid w:val="00F403D1"/>
    <w:rsid w:val="00F442EE"/>
    <w:rsid w:val="00F50CED"/>
    <w:rsid w:val="00F51EAF"/>
    <w:rsid w:val="00F52031"/>
    <w:rsid w:val="00F5589B"/>
    <w:rsid w:val="00F5646B"/>
    <w:rsid w:val="00F564AF"/>
    <w:rsid w:val="00F648BC"/>
    <w:rsid w:val="00F65C63"/>
    <w:rsid w:val="00F73FFD"/>
    <w:rsid w:val="00F76C99"/>
    <w:rsid w:val="00F77CB4"/>
    <w:rsid w:val="00F805AF"/>
    <w:rsid w:val="00F8212F"/>
    <w:rsid w:val="00F838C0"/>
    <w:rsid w:val="00F84D44"/>
    <w:rsid w:val="00F9073C"/>
    <w:rsid w:val="00F956B0"/>
    <w:rsid w:val="00FA2790"/>
    <w:rsid w:val="00FA2C9A"/>
    <w:rsid w:val="00FA59CA"/>
    <w:rsid w:val="00FA5F90"/>
    <w:rsid w:val="00FA7C14"/>
    <w:rsid w:val="00FB3938"/>
    <w:rsid w:val="00FB5624"/>
    <w:rsid w:val="00FB6B1B"/>
    <w:rsid w:val="00FC3E50"/>
    <w:rsid w:val="00FC6EEA"/>
    <w:rsid w:val="00FD1088"/>
    <w:rsid w:val="00FD1CC4"/>
    <w:rsid w:val="00FE3604"/>
    <w:rsid w:val="00FF03A3"/>
    <w:rsid w:val="00FF375A"/>
    <w:rsid w:val="00FF4BA9"/>
    <w:rsid w:val="00FF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uiPriority w:val="1"/>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paragraph" w:styleId="Revision">
    <w:name w:val="Revision"/>
    <w:hidden/>
    <w:uiPriority w:val="99"/>
    <w:semiHidden/>
    <w:rsid w:val="00C34D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0602">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718019028">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155924080">
      <w:bodyDiv w:val="1"/>
      <w:marLeft w:val="0"/>
      <w:marRight w:val="0"/>
      <w:marTop w:val="0"/>
      <w:marBottom w:val="0"/>
      <w:divBdr>
        <w:top w:val="none" w:sz="0" w:space="0" w:color="auto"/>
        <w:left w:val="none" w:sz="0" w:space="0" w:color="auto"/>
        <w:bottom w:val="none" w:sz="0" w:space="0" w:color="auto"/>
        <w:right w:val="none" w:sz="0" w:space="0" w:color="auto"/>
      </w:divBdr>
    </w:div>
    <w:div w:id="1204440186">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496190825">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45263709">
      <w:bodyDiv w:val="1"/>
      <w:marLeft w:val="0"/>
      <w:marRight w:val="0"/>
      <w:marTop w:val="0"/>
      <w:marBottom w:val="0"/>
      <w:divBdr>
        <w:top w:val="none" w:sz="0" w:space="0" w:color="auto"/>
        <w:left w:val="none" w:sz="0" w:space="0" w:color="auto"/>
        <w:bottom w:val="none" w:sz="0" w:space="0" w:color="auto"/>
        <w:right w:val="none" w:sz="0" w:space="0" w:color="auto"/>
      </w:divBdr>
    </w:div>
    <w:div w:id="2078045491">
      <w:bodyDiv w:val="1"/>
      <w:marLeft w:val="0"/>
      <w:marRight w:val="0"/>
      <w:marTop w:val="0"/>
      <w:marBottom w:val="0"/>
      <w:divBdr>
        <w:top w:val="none" w:sz="0" w:space="0" w:color="auto"/>
        <w:left w:val="none" w:sz="0" w:space="0" w:color="auto"/>
        <w:bottom w:val="none" w:sz="0" w:space="0" w:color="auto"/>
        <w:right w:val="none" w:sz="0" w:space="0" w:color="auto"/>
      </w:divBdr>
    </w:div>
    <w:div w:id="208328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2032</Words>
  <Characters>10917</Characters>
  <Application>Microsoft Office Word</Application>
  <DocSecurity>0</DocSecurity>
  <Lines>279</Lines>
  <Paragraphs>152</Paragraphs>
  <ScaleCrop>false</ScaleCrop>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Marks, Brett (DPH)</cp:lastModifiedBy>
  <cp:revision>3</cp:revision>
  <dcterms:created xsi:type="dcterms:W3CDTF">2022-09-09T14:04:00Z</dcterms:created>
  <dcterms:modified xsi:type="dcterms:W3CDTF">2022-09-27T15:59:00Z</dcterms:modified>
</cp:coreProperties>
</file>