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2A2821" w14:textId="403037A8" w:rsidR="00E85D6F" w:rsidRPr="00956F92" w:rsidRDefault="00E85D6F" w:rsidP="00956F92">
      <w:pPr>
        <w:spacing w:after="160" w:line="259" w:lineRule="auto"/>
        <w:jc w:val="center"/>
        <w:rPr>
          <w:rFonts w:ascii="Arial" w:hAnsi="Arial" w:cs="Arial"/>
          <w:b/>
          <w:bCs/>
          <w:sz w:val="22"/>
          <w:szCs w:val="22"/>
          <w:u w:val="single"/>
        </w:rPr>
      </w:pPr>
      <w:r w:rsidRPr="00CE4B68">
        <w:rPr>
          <w:rFonts w:ascii="Arial" w:hAnsi="Arial" w:cs="Arial"/>
          <w:b/>
          <w:bCs/>
          <w:sz w:val="22"/>
          <w:szCs w:val="22"/>
          <w:u w:val="single"/>
        </w:rPr>
        <w:t>Appendix</w:t>
      </w:r>
      <w:r w:rsidR="00CE4B68" w:rsidRPr="00CE4B68">
        <w:rPr>
          <w:rFonts w:ascii="Arial" w:hAnsi="Arial" w:cs="Arial"/>
          <w:b/>
          <w:bCs/>
          <w:sz w:val="22"/>
          <w:szCs w:val="22"/>
          <w:u w:val="single"/>
        </w:rPr>
        <w:t xml:space="preserve"> </w:t>
      </w:r>
      <w:r w:rsidR="00CB0005">
        <w:rPr>
          <w:rFonts w:ascii="Arial" w:hAnsi="Arial" w:cs="Arial"/>
          <w:b/>
          <w:bCs/>
          <w:sz w:val="22"/>
          <w:szCs w:val="22"/>
          <w:u w:val="single"/>
        </w:rPr>
        <w:t>B</w:t>
      </w:r>
    </w:p>
    <w:p w14:paraId="2355BC58" w14:textId="77777777" w:rsidR="00496C6A" w:rsidRDefault="00E85D6F" w:rsidP="00496C6A">
      <w:pPr>
        <w:spacing w:after="60" w:line="259" w:lineRule="auto"/>
        <w:jc w:val="both"/>
        <w:rPr>
          <w:rFonts w:ascii="Arial" w:hAnsi="Arial" w:cs="Arial"/>
          <w:sz w:val="22"/>
          <w:szCs w:val="22"/>
        </w:rPr>
      </w:pPr>
      <w:r w:rsidRPr="004657F5">
        <w:rPr>
          <w:rFonts w:ascii="Arial" w:hAnsi="Arial" w:cs="Arial"/>
          <w:sz w:val="22"/>
          <w:szCs w:val="22"/>
        </w:rPr>
        <w:t xml:space="preserve">Please </w:t>
      </w:r>
      <w:r w:rsidRPr="004657F5">
        <w:rPr>
          <w:rFonts w:ascii="Arial" w:hAnsi="Arial" w:cs="Arial"/>
          <w:bCs/>
          <w:sz w:val="22"/>
          <w:szCs w:val="22"/>
        </w:rPr>
        <w:t xml:space="preserve">see revised Tables </w:t>
      </w:r>
      <w:r w:rsidR="00CB0005" w:rsidRPr="004657F5">
        <w:rPr>
          <w:rFonts w:ascii="Arial" w:hAnsi="Arial" w:cs="Arial"/>
          <w:bCs/>
          <w:sz w:val="22"/>
          <w:szCs w:val="22"/>
        </w:rPr>
        <w:t>10-1</w:t>
      </w:r>
      <w:r w:rsidR="00496C6A">
        <w:rPr>
          <w:rFonts w:ascii="Arial" w:hAnsi="Arial" w:cs="Arial"/>
          <w:bCs/>
          <w:sz w:val="22"/>
          <w:szCs w:val="22"/>
        </w:rPr>
        <w:t>4</w:t>
      </w:r>
      <w:r w:rsidR="00CB0005" w:rsidRPr="004657F5">
        <w:rPr>
          <w:rFonts w:ascii="Arial" w:hAnsi="Arial" w:cs="Arial"/>
          <w:bCs/>
          <w:sz w:val="22"/>
          <w:szCs w:val="22"/>
        </w:rPr>
        <w:t xml:space="preserve"> and 16-17</w:t>
      </w:r>
      <w:r w:rsidRPr="004657F5">
        <w:rPr>
          <w:rFonts w:ascii="Arial" w:hAnsi="Arial" w:cs="Arial"/>
          <w:bCs/>
          <w:sz w:val="22"/>
          <w:szCs w:val="22"/>
        </w:rPr>
        <w:t xml:space="preserve"> below, </w:t>
      </w:r>
      <w:r w:rsidR="00CB0005" w:rsidRPr="004657F5">
        <w:rPr>
          <w:rFonts w:ascii="Arial" w:hAnsi="Arial" w:cs="Arial"/>
          <w:bCs/>
          <w:sz w:val="22"/>
          <w:szCs w:val="22"/>
        </w:rPr>
        <w:t>which provide updated FY22 utilization data through July 2022</w:t>
      </w:r>
      <w:r w:rsidRPr="004657F5">
        <w:rPr>
          <w:rFonts w:ascii="Arial" w:hAnsi="Arial" w:cs="Arial"/>
          <w:sz w:val="22"/>
          <w:szCs w:val="22"/>
        </w:rPr>
        <w:t>.</w:t>
      </w:r>
      <w:r w:rsidR="00CB0005" w:rsidRPr="004657F5">
        <w:rPr>
          <w:rFonts w:ascii="Arial" w:hAnsi="Arial" w:cs="Arial"/>
          <w:sz w:val="22"/>
          <w:szCs w:val="22"/>
        </w:rPr>
        <w:t xml:space="preserve"> </w:t>
      </w:r>
      <w:r w:rsidR="00496C6A" w:rsidRPr="0034360F">
        <w:rPr>
          <w:rFonts w:ascii="Arial" w:hAnsi="Arial" w:cs="Arial"/>
          <w:sz w:val="22"/>
          <w:szCs w:val="22"/>
        </w:rPr>
        <w:t xml:space="preserve">Please note </w:t>
      </w:r>
      <w:r w:rsidR="00496C6A">
        <w:rPr>
          <w:rFonts w:ascii="Arial" w:hAnsi="Arial" w:cs="Arial"/>
          <w:sz w:val="22"/>
          <w:szCs w:val="22"/>
        </w:rPr>
        <w:t>the following regarding these data:</w:t>
      </w:r>
    </w:p>
    <w:p w14:paraId="6C509DED" w14:textId="77777777" w:rsidR="00496C6A" w:rsidRDefault="00496C6A" w:rsidP="00496C6A">
      <w:pPr>
        <w:pStyle w:val="ListParagraph"/>
        <w:numPr>
          <w:ilvl w:val="0"/>
          <w:numId w:val="2"/>
        </w:numPr>
        <w:spacing w:after="60"/>
        <w:contextualSpacing w:val="0"/>
        <w:jc w:val="both"/>
        <w:rPr>
          <w:rFonts w:ascii="Arial" w:hAnsi="Arial" w:cs="Arial"/>
        </w:rPr>
      </w:pPr>
      <w:r w:rsidRPr="00AC309C">
        <w:rPr>
          <w:rFonts w:ascii="Arial" w:hAnsi="Arial" w:cs="Arial"/>
        </w:rPr>
        <w:t xml:space="preserve">BMC's fiscal year is from October 1 – September 30. Being that FY22 is not yet complete, the revised FY22 YTD data provided herein through July 2022 are preliminary and subject to change. Accordingly, caution should be exercised in utilizing </w:t>
      </w:r>
      <w:r>
        <w:rPr>
          <w:rFonts w:ascii="Arial" w:hAnsi="Arial" w:cs="Arial"/>
        </w:rPr>
        <w:t>these</w:t>
      </w:r>
      <w:r w:rsidRPr="00AC309C">
        <w:rPr>
          <w:rFonts w:ascii="Arial" w:hAnsi="Arial" w:cs="Arial"/>
        </w:rPr>
        <w:t xml:space="preserve"> data for purposes of annual comparisons.</w:t>
      </w:r>
    </w:p>
    <w:p w14:paraId="0E8B3B0E" w14:textId="687C6562" w:rsidR="00641B0D" w:rsidRPr="00572A75" w:rsidRDefault="00FC55A0" w:rsidP="00641B0D">
      <w:pPr>
        <w:pStyle w:val="ListParagraph"/>
        <w:numPr>
          <w:ilvl w:val="0"/>
          <w:numId w:val="2"/>
        </w:numPr>
        <w:spacing w:after="60"/>
        <w:contextualSpacing w:val="0"/>
        <w:jc w:val="both"/>
        <w:rPr>
          <w:rFonts w:ascii="Arial" w:hAnsi="Arial" w:cs="Arial"/>
        </w:rPr>
      </w:pPr>
      <w:r w:rsidRPr="0029022F">
        <w:rPr>
          <w:rFonts w:ascii="Arial" w:hAnsi="Arial" w:cs="Arial"/>
        </w:rPr>
        <w:t xml:space="preserve">BMC experienced a </w:t>
      </w:r>
      <w:r w:rsidR="00DB3787">
        <w:rPr>
          <w:rFonts w:ascii="Arial" w:hAnsi="Arial" w:cs="Arial"/>
        </w:rPr>
        <w:t>decrease</w:t>
      </w:r>
      <w:r w:rsidR="008F5E0C" w:rsidRPr="0029022F">
        <w:rPr>
          <w:rFonts w:ascii="Arial" w:hAnsi="Arial" w:cs="Arial"/>
        </w:rPr>
        <w:t xml:space="preserve"> in</w:t>
      </w:r>
      <w:r w:rsidR="00C15C91">
        <w:rPr>
          <w:rFonts w:ascii="Arial" w:hAnsi="Arial" w:cs="Arial"/>
        </w:rPr>
        <w:t xml:space="preserve"> inpatient </w:t>
      </w:r>
      <w:r w:rsidR="00DF41ED">
        <w:rPr>
          <w:rFonts w:ascii="Arial" w:hAnsi="Arial" w:cs="Arial"/>
        </w:rPr>
        <w:t xml:space="preserve">patients, visits, and </w:t>
      </w:r>
      <w:r w:rsidR="00DB3787">
        <w:rPr>
          <w:rFonts w:ascii="Arial" w:hAnsi="Arial" w:cs="Arial"/>
        </w:rPr>
        <w:t>discharges</w:t>
      </w:r>
      <w:r w:rsidR="008F5E0C" w:rsidRPr="0029022F">
        <w:rPr>
          <w:rFonts w:ascii="Arial" w:hAnsi="Arial" w:cs="Arial"/>
        </w:rPr>
        <w:t xml:space="preserve"> </w:t>
      </w:r>
      <w:r w:rsidR="00CD0AD8">
        <w:rPr>
          <w:rFonts w:ascii="Arial" w:hAnsi="Arial" w:cs="Arial"/>
        </w:rPr>
        <w:t>for several months in FY22 due to</w:t>
      </w:r>
      <w:r w:rsidR="00E44414">
        <w:rPr>
          <w:rFonts w:ascii="Arial" w:hAnsi="Arial" w:cs="Arial"/>
        </w:rPr>
        <w:t xml:space="preserve"> </w:t>
      </w:r>
      <w:r w:rsidR="00696215" w:rsidRPr="0029022F">
        <w:rPr>
          <w:rFonts w:ascii="Arial" w:hAnsi="Arial" w:cs="Arial"/>
        </w:rPr>
        <w:t>multiple factors</w:t>
      </w:r>
      <w:r w:rsidR="00696215">
        <w:rPr>
          <w:rFonts w:ascii="Arial" w:hAnsi="Arial" w:cs="Arial"/>
        </w:rPr>
        <w:t>.</w:t>
      </w:r>
      <w:r w:rsidR="00E44414">
        <w:rPr>
          <w:rFonts w:ascii="Arial" w:hAnsi="Arial" w:cs="Arial"/>
        </w:rPr>
        <w:t xml:space="preserve"> Specifically, </w:t>
      </w:r>
      <w:r w:rsidR="00696215">
        <w:rPr>
          <w:rFonts w:ascii="Arial" w:hAnsi="Arial" w:cs="Arial"/>
        </w:rPr>
        <w:t>in response to the COVID-19 Omicron surge</w:t>
      </w:r>
      <w:r w:rsidR="003341FF" w:rsidRPr="0029022F">
        <w:rPr>
          <w:rFonts w:ascii="Arial" w:hAnsi="Arial" w:cs="Arial"/>
        </w:rPr>
        <w:t>,</w:t>
      </w:r>
      <w:r w:rsidR="003341FF">
        <w:rPr>
          <w:rFonts w:ascii="Arial" w:hAnsi="Arial" w:cs="Arial"/>
        </w:rPr>
        <w:t xml:space="preserve"> BMC</w:t>
      </w:r>
      <w:r w:rsidR="00503136">
        <w:rPr>
          <w:rFonts w:ascii="Arial" w:hAnsi="Arial" w:cs="Arial"/>
        </w:rPr>
        <w:t xml:space="preserve">, like </w:t>
      </w:r>
      <w:r w:rsidR="00503136" w:rsidRPr="0029022F">
        <w:rPr>
          <w:rFonts w:ascii="Arial" w:hAnsi="Arial" w:cs="Arial"/>
        </w:rPr>
        <w:t>many hospitals across the state</w:t>
      </w:r>
      <w:r w:rsidR="00503136">
        <w:rPr>
          <w:rFonts w:ascii="Arial" w:hAnsi="Arial" w:cs="Arial"/>
        </w:rPr>
        <w:t>,</w:t>
      </w:r>
      <w:r w:rsidR="003341FF">
        <w:rPr>
          <w:rFonts w:ascii="Arial" w:hAnsi="Arial" w:cs="Arial"/>
        </w:rPr>
        <w:t xml:space="preserve"> was subject to </w:t>
      </w:r>
      <w:r w:rsidR="003341FF" w:rsidRPr="00385F38">
        <w:rPr>
          <w:rFonts w:ascii="Arial" w:hAnsi="Arial" w:cs="Arial"/>
        </w:rPr>
        <w:t>guidance</w:t>
      </w:r>
      <w:r w:rsidR="003341FF">
        <w:rPr>
          <w:rFonts w:ascii="Arial" w:hAnsi="Arial" w:cs="Arial"/>
        </w:rPr>
        <w:t xml:space="preserve"> </w:t>
      </w:r>
      <w:r w:rsidR="00E02EC3">
        <w:rPr>
          <w:rFonts w:ascii="Arial" w:hAnsi="Arial" w:cs="Arial"/>
        </w:rPr>
        <w:t>mandating</w:t>
      </w:r>
      <w:r w:rsidR="003341FF">
        <w:rPr>
          <w:rFonts w:ascii="Arial" w:hAnsi="Arial" w:cs="Arial"/>
        </w:rPr>
        <w:t xml:space="preserve"> the reduction of non-essential, non-urgent surgical procedures</w:t>
      </w:r>
      <w:r w:rsidR="001C3069">
        <w:rPr>
          <w:rFonts w:ascii="Arial" w:hAnsi="Arial" w:cs="Arial"/>
        </w:rPr>
        <w:t xml:space="preserve"> and</w:t>
      </w:r>
      <w:r w:rsidR="004F52DB">
        <w:rPr>
          <w:rFonts w:ascii="Arial" w:hAnsi="Arial" w:cs="Arial"/>
        </w:rPr>
        <w:t>,</w:t>
      </w:r>
      <w:r w:rsidR="001C3069">
        <w:rPr>
          <w:rFonts w:ascii="Arial" w:hAnsi="Arial" w:cs="Arial"/>
        </w:rPr>
        <w:t xml:space="preserve"> therefore</w:t>
      </w:r>
      <w:r w:rsidR="004F52DB">
        <w:rPr>
          <w:rFonts w:ascii="Arial" w:hAnsi="Arial" w:cs="Arial"/>
        </w:rPr>
        <w:t>,</w:t>
      </w:r>
      <w:r w:rsidR="001C3069">
        <w:rPr>
          <w:rFonts w:ascii="Arial" w:hAnsi="Arial" w:cs="Arial"/>
        </w:rPr>
        <w:t xml:space="preserve"> experienced a decline in elective surgical inpatient care for a portion of FY22</w:t>
      </w:r>
      <w:r w:rsidR="003341FF">
        <w:rPr>
          <w:rFonts w:ascii="Arial" w:hAnsi="Arial" w:cs="Arial"/>
        </w:rPr>
        <w:t xml:space="preserve">. </w:t>
      </w:r>
      <w:r w:rsidR="00E02EC3">
        <w:rPr>
          <w:rFonts w:ascii="Arial" w:hAnsi="Arial" w:cs="Arial"/>
        </w:rPr>
        <w:t>Additionally</w:t>
      </w:r>
      <w:r w:rsidR="001C3069">
        <w:rPr>
          <w:rFonts w:ascii="Arial" w:hAnsi="Arial" w:cs="Arial"/>
        </w:rPr>
        <w:t xml:space="preserve">, </w:t>
      </w:r>
      <w:r w:rsidR="004F52DB">
        <w:rPr>
          <w:rFonts w:ascii="Arial" w:hAnsi="Arial" w:cs="Arial"/>
        </w:rPr>
        <w:t>the Hospital experienced increase</w:t>
      </w:r>
      <w:r w:rsidR="005054C1">
        <w:rPr>
          <w:rFonts w:ascii="Arial" w:hAnsi="Arial" w:cs="Arial"/>
        </w:rPr>
        <w:t>s</w:t>
      </w:r>
      <w:r w:rsidR="004F52DB">
        <w:rPr>
          <w:rFonts w:ascii="Arial" w:hAnsi="Arial" w:cs="Arial"/>
        </w:rPr>
        <w:t xml:space="preserve"> in COVID-19 patients requiring a higher level of inpatient care and longer lengths of stay</w:t>
      </w:r>
      <w:r w:rsidR="00503136">
        <w:rPr>
          <w:rFonts w:ascii="Arial" w:hAnsi="Arial" w:cs="Arial"/>
        </w:rPr>
        <w:t xml:space="preserve"> as well as increase</w:t>
      </w:r>
      <w:r w:rsidR="002C7061">
        <w:rPr>
          <w:rFonts w:ascii="Arial" w:hAnsi="Arial" w:cs="Arial"/>
        </w:rPr>
        <w:t>s</w:t>
      </w:r>
      <w:r w:rsidR="00503136">
        <w:rPr>
          <w:rFonts w:ascii="Arial" w:hAnsi="Arial" w:cs="Arial"/>
        </w:rPr>
        <w:t xml:space="preserve"> in </w:t>
      </w:r>
      <w:r w:rsidR="00D86E0F">
        <w:rPr>
          <w:rFonts w:ascii="Arial" w:hAnsi="Arial" w:cs="Arial"/>
        </w:rPr>
        <w:t xml:space="preserve">acute </w:t>
      </w:r>
      <w:r w:rsidR="00503136" w:rsidRPr="00CE64DB">
        <w:rPr>
          <w:rFonts w:ascii="Arial" w:hAnsi="Arial" w:cs="Arial"/>
        </w:rPr>
        <w:t>non-COVID-19</w:t>
      </w:r>
      <w:r w:rsidR="00D86E0F" w:rsidRPr="00CE64DB">
        <w:rPr>
          <w:rFonts w:ascii="Arial" w:hAnsi="Arial" w:cs="Arial"/>
        </w:rPr>
        <w:t xml:space="preserve"> patients</w:t>
      </w:r>
      <w:r w:rsidR="00303D01" w:rsidRPr="00CE64DB">
        <w:rPr>
          <w:rFonts w:ascii="Arial" w:hAnsi="Arial" w:cs="Arial"/>
        </w:rPr>
        <w:t xml:space="preserve"> during this time</w:t>
      </w:r>
      <w:r w:rsidR="004F52DB" w:rsidRPr="00CE64DB">
        <w:rPr>
          <w:rFonts w:ascii="Arial" w:hAnsi="Arial" w:cs="Arial"/>
        </w:rPr>
        <w:t>.</w:t>
      </w:r>
      <w:r w:rsidR="00E02EC3" w:rsidRPr="00CE64DB">
        <w:rPr>
          <w:rFonts w:ascii="Arial" w:hAnsi="Arial" w:cs="Arial"/>
        </w:rPr>
        <w:t xml:space="preserve"> </w:t>
      </w:r>
      <w:r w:rsidR="00B23AA1" w:rsidRPr="00CE64DB">
        <w:rPr>
          <w:rFonts w:ascii="Arial" w:hAnsi="Arial" w:cs="Arial"/>
        </w:rPr>
        <w:t>These factors</w:t>
      </w:r>
      <w:r w:rsidR="00F86729" w:rsidRPr="00CE64DB">
        <w:rPr>
          <w:rFonts w:ascii="Arial" w:hAnsi="Arial" w:cs="Arial"/>
        </w:rPr>
        <w:t>, as well as others (e.g., statewide staffing shortages</w:t>
      </w:r>
      <w:r w:rsidR="00CC6C7B" w:rsidRPr="00CE64DB">
        <w:rPr>
          <w:rFonts w:ascii="Arial" w:hAnsi="Arial" w:cs="Arial"/>
        </w:rPr>
        <w:t>, etc</w:t>
      </w:r>
      <w:r w:rsidR="005F4938" w:rsidRPr="00CE64DB">
        <w:rPr>
          <w:rFonts w:ascii="Arial" w:hAnsi="Arial" w:cs="Arial"/>
        </w:rPr>
        <w:t>.)</w:t>
      </w:r>
      <w:r w:rsidR="00F86729" w:rsidRPr="00CE64DB">
        <w:rPr>
          <w:rFonts w:ascii="Arial" w:hAnsi="Arial" w:cs="Arial"/>
        </w:rPr>
        <w:t>,</w:t>
      </w:r>
      <w:r w:rsidR="00B23AA1" w:rsidRPr="00CE64DB">
        <w:rPr>
          <w:rFonts w:ascii="Arial" w:hAnsi="Arial" w:cs="Arial"/>
        </w:rPr>
        <w:t xml:space="preserve"> </w:t>
      </w:r>
      <w:r w:rsidR="00FF6307" w:rsidRPr="00CE64DB">
        <w:rPr>
          <w:rFonts w:ascii="Arial" w:hAnsi="Arial" w:cs="Arial"/>
        </w:rPr>
        <w:t xml:space="preserve">contribute to </w:t>
      </w:r>
      <w:r w:rsidR="00E05F69" w:rsidRPr="00CE64DB">
        <w:rPr>
          <w:rFonts w:ascii="Arial" w:hAnsi="Arial" w:cs="Arial"/>
        </w:rPr>
        <w:t xml:space="preserve">the data outlined in </w:t>
      </w:r>
      <w:r w:rsidR="00CE17B2" w:rsidRPr="00CE64DB">
        <w:rPr>
          <w:rFonts w:ascii="Arial" w:hAnsi="Arial" w:cs="Arial"/>
        </w:rPr>
        <w:t xml:space="preserve">revised </w:t>
      </w:r>
      <w:r w:rsidR="00E05F69" w:rsidRPr="00CE64DB">
        <w:rPr>
          <w:rFonts w:ascii="Arial" w:hAnsi="Arial" w:cs="Arial"/>
        </w:rPr>
        <w:t xml:space="preserve">Tables </w:t>
      </w:r>
      <w:r w:rsidR="00CE17B2" w:rsidRPr="00CE64DB">
        <w:rPr>
          <w:rFonts w:ascii="Arial" w:hAnsi="Arial" w:cs="Arial"/>
        </w:rPr>
        <w:t>10</w:t>
      </w:r>
      <w:r w:rsidR="00D17999" w:rsidRPr="00CE64DB">
        <w:rPr>
          <w:rFonts w:ascii="Arial" w:hAnsi="Arial" w:cs="Arial"/>
        </w:rPr>
        <w:t>-</w:t>
      </w:r>
      <w:r w:rsidR="00CE17B2" w:rsidRPr="00CE64DB">
        <w:rPr>
          <w:rFonts w:ascii="Arial" w:hAnsi="Arial" w:cs="Arial"/>
        </w:rPr>
        <w:t>13</w:t>
      </w:r>
      <w:r w:rsidR="009658A7" w:rsidRPr="00CE64DB">
        <w:rPr>
          <w:rFonts w:ascii="Arial" w:hAnsi="Arial" w:cs="Arial"/>
        </w:rPr>
        <w:t xml:space="preserve"> and 16-17</w:t>
      </w:r>
      <w:r w:rsidR="00CE17B2" w:rsidRPr="00CE64DB">
        <w:rPr>
          <w:rFonts w:ascii="Arial" w:hAnsi="Arial" w:cs="Arial"/>
        </w:rPr>
        <w:t xml:space="preserve"> </w:t>
      </w:r>
      <w:r w:rsidR="00626C98" w:rsidRPr="00CE64DB">
        <w:rPr>
          <w:rFonts w:ascii="Arial" w:hAnsi="Arial" w:cs="Arial"/>
        </w:rPr>
        <w:t>below</w:t>
      </w:r>
      <w:r w:rsidR="008044D5" w:rsidRPr="00CE64DB">
        <w:rPr>
          <w:rFonts w:ascii="Arial" w:hAnsi="Arial" w:cs="Arial"/>
        </w:rPr>
        <w:t xml:space="preserve">, which generally show </w:t>
      </w:r>
      <w:r w:rsidR="00CC6C7B" w:rsidRPr="00CE64DB">
        <w:rPr>
          <w:rFonts w:ascii="Arial" w:hAnsi="Arial" w:cs="Arial"/>
        </w:rPr>
        <w:t>lower rates of</w:t>
      </w:r>
      <w:r w:rsidR="00B84AF4" w:rsidRPr="00CE64DB">
        <w:rPr>
          <w:rFonts w:ascii="Arial" w:hAnsi="Arial" w:cs="Arial"/>
        </w:rPr>
        <w:t xml:space="preserve"> patients, visits, and discharges, but </w:t>
      </w:r>
      <w:r w:rsidR="00C45A41" w:rsidRPr="00CE64DB">
        <w:rPr>
          <w:rFonts w:ascii="Arial" w:hAnsi="Arial" w:cs="Arial"/>
        </w:rPr>
        <w:t xml:space="preserve">nonetheless </w:t>
      </w:r>
      <w:r w:rsidR="00B84AF4" w:rsidRPr="00CE64DB">
        <w:rPr>
          <w:rFonts w:ascii="Arial" w:hAnsi="Arial" w:cs="Arial"/>
        </w:rPr>
        <w:t>high</w:t>
      </w:r>
      <w:r w:rsidR="00C45A41" w:rsidRPr="00CE64DB">
        <w:rPr>
          <w:rFonts w:ascii="Arial" w:hAnsi="Arial" w:cs="Arial"/>
        </w:rPr>
        <w:t xml:space="preserve"> rates of </w:t>
      </w:r>
      <w:r w:rsidR="0095181D" w:rsidRPr="00CE64DB">
        <w:rPr>
          <w:rFonts w:ascii="Arial" w:hAnsi="Arial" w:cs="Arial"/>
        </w:rPr>
        <w:t xml:space="preserve">inpatient </w:t>
      </w:r>
      <w:r w:rsidR="00C45A41" w:rsidRPr="00CE64DB">
        <w:rPr>
          <w:rFonts w:ascii="Arial" w:hAnsi="Arial" w:cs="Arial"/>
        </w:rPr>
        <w:t>utilization</w:t>
      </w:r>
      <w:r w:rsidR="00B84AF4" w:rsidRPr="00CE64DB">
        <w:rPr>
          <w:rFonts w:ascii="Arial" w:hAnsi="Arial" w:cs="Arial"/>
        </w:rPr>
        <w:t xml:space="preserve"> for FY22</w:t>
      </w:r>
      <w:r w:rsidR="008044D5" w:rsidRPr="00CE64DB">
        <w:rPr>
          <w:rFonts w:ascii="Arial" w:hAnsi="Arial" w:cs="Arial"/>
        </w:rPr>
        <w:t>.</w:t>
      </w:r>
      <w:r w:rsidR="0014787F" w:rsidRPr="00CE64DB">
        <w:rPr>
          <w:rFonts w:ascii="Arial" w:hAnsi="Arial" w:cs="Arial"/>
        </w:rPr>
        <w:t xml:space="preserve"> </w:t>
      </w:r>
    </w:p>
    <w:p w14:paraId="2E3EB4AB" w14:textId="3284AEA9" w:rsidR="001F1E2D" w:rsidRDefault="00037F4C" w:rsidP="00496C6A">
      <w:pPr>
        <w:pStyle w:val="ListParagraph"/>
        <w:numPr>
          <w:ilvl w:val="0"/>
          <w:numId w:val="2"/>
        </w:numPr>
        <w:spacing w:after="60"/>
        <w:contextualSpacing w:val="0"/>
        <w:jc w:val="both"/>
        <w:rPr>
          <w:rFonts w:ascii="Arial" w:hAnsi="Arial" w:cs="Arial"/>
        </w:rPr>
      </w:pPr>
      <w:r w:rsidRPr="00496C6A">
        <w:rPr>
          <w:rFonts w:ascii="Arial" w:hAnsi="Arial" w:cs="Arial"/>
        </w:rPr>
        <w:t xml:space="preserve">As requested by the Department, </w:t>
      </w:r>
      <w:r w:rsidR="00572A75">
        <w:rPr>
          <w:rFonts w:ascii="Arial" w:hAnsi="Arial" w:cs="Arial"/>
        </w:rPr>
        <w:t xml:space="preserve">revised </w:t>
      </w:r>
      <w:r w:rsidRPr="00496C6A">
        <w:rPr>
          <w:rFonts w:ascii="Arial" w:hAnsi="Arial" w:cs="Arial"/>
        </w:rPr>
        <w:t xml:space="preserve">Table 12 </w:t>
      </w:r>
      <w:r w:rsidR="00974954" w:rsidRPr="00496C6A">
        <w:rPr>
          <w:rFonts w:ascii="Arial" w:hAnsi="Arial" w:cs="Arial"/>
        </w:rPr>
        <w:t>has</w:t>
      </w:r>
      <w:r w:rsidRPr="00496C6A">
        <w:rPr>
          <w:rFonts w:ascii="Arial" w:hAnsi="Arial" w:cs="Arial"/>
        </w:rPr>
        <w:t xml:space="preserve"> also been revised to include patient days for each fiscal year.</w:t>
      </w:r>
      <w:r w:rsidR="00092F97">
        <w:rPr>
          <w:rFonts w:ascii="Arial" w:hAnsi="Arial" w:cs="Arial"/>
        </w:rPr>
        <w:t xml:space="preserve"> </w:t>
      </w:r>
      <w:r w:rsidR="000A4980">
        <w:rPr>
          <w:rFonts w:ascii="Arial" w:hAnsi="Arial" w:cs="Arial"/>
        </w:rPr>
        <w:t xml:space="preserve">Please note that for purposes </w:t>
      </w:r>
      <w:r w:rsidR="00E97ED8">
        <w:rPr>
          <w:rFonts w:ascii="Arial" w:hAnsi="Arial" w:cs="Arial"/>
        </w:rPr>
        <w:t xml:space="preserve">of this DoN Application, patient days = census days. </w:t>
      </w:r>
      <w:r w:rsidR="00833695">
        <w:rPr>
          <w:rFonts w:ascii="Arial" w:hAnsi="Arial" w:cs="Arial"/>
        </w:rPr>
        <w:t xml:space="preserve">Please refer to </w:t>
      </w:r>
      <w:r w:rsidR="009B1807">
        <w:rPr>
          <w:rFonts w:ascii="Arial" w:hAnsi="Arial" w:cs="Arial"/>
        </w:rPr>
        <w:t>endnotes</w:t>
      </w:r>
      <w:r w:rsidR="00833695">
        <w:rPr>
          <w:rFonts w:ascii="Arial" w:hAnsi="Arial" w:cs="Arial"/>
        </w:rPr>
        <w:t xml:space="preserve"> 1, 3, 5, and 7 for further </w:t>
      </w:r>
      <w:r w:rsidR="000A4980">
        <w:rPr>
          <w:rFonts w:ascii="Arial" w:hAnsi="Arial" w:cs="Arial"/>
        </w:rPr>
        <w:t>explanation</w:t>
      </w:r>
      <w:r w:rsidR="00833695">
        <w:rPr>
          <w:rFonts w:ascii="Arial" w:hAnsi="Arial" w:cs="Arial"/>
        </w:rPr>
        <w:t>.</w:t>
      </w:r>
    </w:p>
    <w:p w14:paraId="63CC20DC" w14:textId="34892704" w:rsidR="00EB1ACE" w:rsidRDefault="00572A75" w:rsidP="00982FA7">
      <w:pPr>
        <w:pStyle w:val="ListParagraph"/>
        <w:numPr>
          <w:ilvl w:val="0"/>
          <w:numId w:val="2"/>
        </w:numPr>
        <w:spacing w:after="240"/>
        <w:contextualSpacing w:val="0"/>
        <w:jc w:val="both"/>
        <w:rPr>
          <w:rFonts w:ascii="Arial" w:hAnsi="Arial" w:cs="Arial"/>
        </w:rPr>
      </w:pPr>
      <w:r>
        <w:rPr>
          <w:rFonts w:ascii="Arial" w:hAnsi="Arial" w:cs="Arial"/>
        </w:rPr>
        <w:t xml:space="preserve">The </w:t>
      </w:r>
      <w:r w:rsidR="00C36994">
        <w:rPr>
          <w:rFonts w:ascii="Arial" w:hAnsi="Arial" w:cs="Arial"/>
        </w:rPr>
        <w:t>ED</w:t>
      </w:r>
      <w:r w:rsidR="00AD0F4F">
        <w:rPr>
          <w:rFonts w:ascii="Arial" w:hAnsi="Arial" w:cs="Arial"/>
        </w:rPr>
        <w:t xml:space="preserve"> </w:t>
      </w:r>
      <w:r>
        <w:rPr>
          <w:rFonts w:ascii="Arial" w:hAnsi="Arial" w:cs="Arial"/>
        </w:rPr>
        <w:t>m</w:t>
      </w:r>
      <w:r w:rsidR="00AD0F4F">
        <w:rPr>
          <w:rFonts w:ascii="Arial" w:hAnsi="Arial" w:cs="Arial"/>
        </w:rPr>
        <w:t xml:space="preserve">etrics </w:t>
      </w:r>
      <w:r>
        <w:rPr>
          <w:rFonts w:ascii="Arial" w:hAnsi="Arial" w:cs="Arial"/>
        </w:rPr>
        <w:t xml:space="preserve">provided in </w:t>
      </w:r>
      <w:r w:rsidR="00DC414C">
        <w:rPr>
          <w:rFonts w:ascii="Arial" w:hAnsi="Arial" w:cs="Arial"/>
        </w:rPr>
        <w:t>revised Table 14 are for adult patients only</w:t>
      </w:r>
      <w:r w:rsidR="00F164D7">
        <w:rPr>
          <w:rFonts w:ascii="Arial" w:hAnsi="Arial" w:cs="Arial"/>
        </w:rPr>
        <w:t xml:space="preserve">, as this </w:t>
      </w:r>
      <w:r w:rsidR="002C1F77">
        <w:rPr>
          <w:rFonts w:ascii="Arial" w:hAnsi="Arial" w:cs="Arial"/>
        </w:rPr>
        <w:t>table was</w:t>
      </w:r>
      <w:r w:rsidR="00E91748">
        <w:rPr>
          <w:rFonts w:ascii="Arial" w:hAnsi="Arial" w:cs="Arial"/>
        </w:rPr>
        <w:t xml:space="preserve"> originally</w:t>
      </w:r>
      <w:r w:rsidR="002C1F77">
        <w:rPr>
          <w:rFonts w:ascii="Arial" w:hAnsi="Arial" w:cs="Arial"/>
        </w:rPr>
        <w:t xml:space="preserve"> included in the DoN Narrative to show the impact of </w:t>
      </w:r>
      <w:r w:rsidR="00C36994">
        <w:rPr>
          <w:rFonts w:ascii="Arial" w:hAnsi="Arial" w:cs="Arial"/>
        </w:rPr>
        <w:t xml:space="preserve">adult </w:t>
      </w:r>
      <w:r w:rsidR="00C36994" w:rsidRPr="00B22580">
        <w:rPr>
          <w:rFonts w:ascii="Arial" w:hAnsi="Arial" w:cs="Arial"/>
        </w:rPr>
        <w:t xml:space="preserve">inpatient </w:t>
      </w:r>
      <w:r w:rsidR="00C36994">
        <w:rPr>
          <w:rFonts w:ascii="Arial" w:hAnsi="Arial" w:cs="Arial"/>
        </w:rPr>
        <w:t>utilization on the ED</w:t>
      </w:r>
      <w:r w:rsidR="00683F3C">
        <w:rPr>
          <w:rFonts w:ascii="Arial" w:hAnsi="Arial" w:cs="Arial"/>
        </w:rPr>
        <w:t xml:space="preserve">. However, the ED metrics provided in response to </w:t>
      </w:r>
      <w:r w:rsidR="00F202F5">
        <w:rPr>
          <w:rFonts w:ascii="Arial" w:hAnsi="Arial" w:cs="Arial"/>
        </w:rPr>
        <w:t xml:space="preserve">the Department’s </w:t>
      </w:r>
      <w:r w:rsidR="005A040D">
        <w:rPr>
          <w:rFonts w:ascii="Arial" w:hAnsi="Arial" w:cs="Arial"/>
        </w:rPr>
        <w:t>questions #9 and #10 include all ED patients.</w:t>
      </w:r>
    </w:p>
    <w:p w14:paraId="0CAA9C1F" w14:textId="5FCA08F2" w:rsidR="00091956" w:rsidRPr="00091956" w:rsidRDefault="00091956" w:rsidP="00091956">
      <w:pPr>
        <w:spacing w:after="240"/>
        <w:ind w:left="360"/>
        <w:jc w:val="both"/>
        <w:rPr>
          <w:rFonts w:ascii="Arial" w:hAnsi="Arial" w:cs="Arial"/>
        </w:rPr>
      </w:pPr>
      <w:r w:rsidRPr="00091956">
        <w:rPr>
          <w:rFonts w:ascii="Arial Narrow" w:hAnsi="Arial Narrow" w:cs="Arial"/>
          <w:b/>
          <w:bCs/>
          <w:color w:val="FFFFFF"/>
          <w:shd w:val="clear" w:color="auto" w:fill="0070C0"/>
        </w:rPr>
        <w:t>Table 10 REVISED: BMC Inpatient Bed Volume</w:t>
      </w:r>
    </w:p>
    <w:tbl>
      <w:tblPr>
        <w:tblStyle w:val="TableGrid"/>
        <w:tblW w:w="0" w:type="auto"/>
        <w:jc w:val="center"/>
        <w:tblLook w:val="04A0" w:firstRow="1" w:lastRow="0" w:firstColumn="1" w:lastColumn="0" w:noHBand="0" w:noVBand="1"/>
      </w:tblPr>
      <w:tblGrid>
        <w:gridCol w:w="1335"/>
        <w:gridCol w:w="1825"/>
        <w:gridCol w:w="1825"/>
        <w:gridCol w:w="1825"/>
        <w:gridCol w:w="1825"/>
      </w:tblGrid>
      <w:tr w:rsidR="00CB0005" w14:paraId="6686D631" w14:textId="77777777" w:rsidTr="00E87744">
        <w:trPr>
          <w:cantSplit/>
          <w:tblHeader/>
          <w:jc w:val="center"/>
        </w:trPr>
        <w:tc>
          <w:tcPr>
            <w:tcW w:w="1335" w:type="dxa"/>
            <w:tcBorders>
              <w:top w:val="single" w:sz="12" w:space="0" w:color="auto"/>
              <w:left w:val="single" w:sz="12" w:space="0" w:color="auto"/>
              <w:right w:val="single" w:sz="12" w:space="0" w:color="auto"/>
            </w:tcBorders>
            <w:shd w:val="clear" w:color="auto" w:fill="8DA9DB"/>
          </w:tcPr>
          <w:p w14:paraId="62C616E3" w14:textId="77777777" w:rsidR="00CB0005" w:rsidRPr="00F80B42" w:rsidRDefault="00CB0005" w:rsidP="00542F75">
            <w:pPr>
              <w:pStyle w:val="NormalWeb"/>
              <w:spacing w:before="0" w:beforeAutospacing="0" w:after="0" w:afterAutospacing="0"/>
              <w:jc w:val="center"/>
              <w:rPr>
                <w:rFonts w:ascii="Arial Narrow" w:hAnsi="Arial Narrow" w:cs="Arial"/>
              </w:rPr>
            </w:pPr>
          </w:p>
        </w:tc>
        <w:tc>
          <w:tcPr>
            <w:tcW w:w="3650" w:type="dxa"/>
            <w:gridSpan w:val="2"/>
            <w:tcBorders>
              <w:top w:val="single" w:sz="12" w:space="0" w:color="auto"/>
              <w:left w:val="single" w:sz="12" w:space="0" w:color="auto"/>
              <w:right w:val="single" w:sz="12" w:space="0" w:color="auto"/>
            </w:tcBorders>
            <w:shd w:val="clear" w:color="auto" w:fill="8DA9DB"/>
            <w:vAlign w:val="center"/>
          </w:tcPr>
          <w:p w14:paraId="6468FBC6" w14:textId="77777777" w:rsidR="00CB0005" w:rsidRPr="00F80B42" w:rsidRDefault="00CB0005" w:rsidP="00542F75">
            <w:pPr>
              <w:pStyle w:val="NormalWeb"/>
              <w:spacing w:before="0" w:beforeAutospacing="0" w:after="0" w:afterAutospacing="0"/>
              <w:jc w:val="center"/>
              <w:rPr>
                <w:rFonts w:ascii="Arial Narrow" w:hAnsi="Arial Narrow" w:cs="Arial"/>
                <w:b/>
                <w:bCs/>
              </w:rPr>
            </w:pPr>
            <w:r w:rsidRPr="00F80B42">
              <w:rPr>
                <w:rFonts w:ascii="Arial Narrow" w:hAnsi="Arial Narrow" w:cs="Arial"/>
                <w:b/>
                <w:bCs/>
              </w:rPr>
              <w:t>Medical/Surgical</w:t>
            </w:r>
          </w:p>
        </w:tc>
        <w:tc>
          <w:tcPr>
            <w:tcW w:w="3650" w:type="dxa"/>
            <w:gridSpan w:val="2"/>
            <w:tcBorders>
              <w:top w:val="single" w:sz="12" w:space="0" w:color="auto"/>
              <w:left w:val="single" w:sz="12" w:space="0" w:color="auto"/>
              <w:right w:val="single" w:sz="12" w:space="0" w:color="auto"/>
            </w:tcBorders>
            <w:shd w:val="clear" w:color="auto" w:fill="8DA9DB"/>
            <w:vAlign w:val="center"/>
          </w:tcPr>
          <w:p w14:paraId="2A8FB7B1" w14:textId="77777777" w:rsidR="00CB0005" w:rsidRPr="00F80B42" w:rsidRDefault="00CB0005" w:rsidP="00542F75">
            <w:pPr>
              <w:pStyle w:val="NormalWeb"/>
              <w:spacing w:before="0" w:beforeAutospacing="0" w:after="0" w:afterAutospacing="0"/>
              <w:jc w:val="center"/>
              <w:rPr>
                <w:rFonts w:ascii="Arial Narrow" w:hAnsi="Arial Narrow" w:cs="Arial"/>
                <w:b/>
                <w:bCs/>
              </w:rPr>
            </w:pPr>
            <w:r w:rsidRPr="00F80B42">
              <w:rPr>
                <w:rFonts w:ascii="Arial Narrow" w:hAnsi="Arial Narrow" w:cs="Arial"/>
                <w:b/>
                <w:bCs/>
              </w:rPr>
              <w:t>ICU</w:t>
            </w:r>
          </w:p>
        </w:tc>
      </w:tr>
      <w:tr w:rsidR="00CB0005" w14:paraId="0F662492" w14:textId="77777777" w:rsidTr="00E87744">
        <w:trPr>
          <w:cantSplit/>
          <w:tblHeader/>
          <w:jc w:val="center"/>
        </w:trPr>
        <w:tc>
          <w:tcPr>
            <w:tcW w:w="1335" w:type="dxa"/>
            <w:tcBorders>
              <w:left w:val="single" w:sz="12" w:space="0" w:color="auto"/>
              <w:right w:val="single" w:sz="12" w:space="0" w:color="auto"/>
            </w:tcBorders>
            <w:shd w:val="clear" w:color="auto" w:fill="BFBFBF"/>
          </w:tcPr>
          <w:p w14:paraId="5DD40E49" w14:textId="77777777" w:rsidR="00CB0005" w:rsidRPr="00F80B42" w:rsidRDefault="00CB0005" w:rsidP="00542F75">
            <w:pPr>
              <w:pStyle w:val="NormalWeb"/>
              <w:spacing w:before="0" w:beforeAutospacing="0" w:after="0" w:afterAutospacing="0"/>
              <w:jc w:val="both"/>
              <w:rPr>
                <w:rFonts w:ascii="Arial Narrow" w:hAnsi="Arial Narrow" w:cs="Arial"/>
                <w:b/>
                <w:bCs/>
              </w:rPr>
            </w:pPr>
            <w:r w:rsidRPr="00F80B42">
              <w:rPr>
                <w:rFonts w:ascii="Arial Narrow" w:hAnsi="Arial Narrow" w:cs="Arial"/>
                <w:b/>
                <w:bCs/>
              </w:rPr>
              <w:t>Year</w:t>
            </w:r>
          </w:p>
        </w:tc>
        <w:tc>
          <w:tcPr>
            <w:tcW w:w="1825" w:type="dxa"/>
            <w:tcBorders>
              <w:left w:val="single" w:sz="12" w:space="0" w:color="auto"/>
            </w:tcBorders>
            <w:shd w:val="clear" w:color="auto" w:fill="BFBFBF"/>
            <w:vAlign w:val="center"/>
          </w:tcPr>
          <w:p w14:paraId="2B34E35B" w14:textId="77777777" w:rsidR="00CB0005" w:rsidRPr="00F80B42" w:rsidRDefault="00CB0005" w:rsidP="00542F75">
            <w:pPr>
              <w:pStyle w:val="NormalWeb"/>
              <w:spacing w:before="0" w:beforeAutospacing="0" w:after="0" w:afterAutospacing="0"/>
              <w:jc w:val="center"/>
              <w:rPr>
                <w:rFonts w:ascii="Arial Narrow" w:hAnsi="Arial Narrow" w:cs="Arial"/>
                <w:b/>
                <w:bCs/>
              </w:rPr>
            </w:pPr>
            <w:r w:rsidRPr="00F80B42">
              <w:rPr>
                <w:rFonts w:ascii="Arial Narrow" w:hAnsi="Arial Narrow" w:cs="Arial"/>
                <w:b/>
                <w:bCs/>
              </w:rPr>
              <w:t>Unique Patients</w:t>
            </w:r>
          </w:p>
        </w:tc>
        <w:tc>
          <w:tcPr>
            <w:tcW w:w="1825" w:type="dxa"/>
            <w:tcBorders>
              <w:right w:val="single" w:sz="12" w:space="0" w:color="auto"/>
            </w:tcBorders>
            <w:shd w:val="clear" w:color="auto" w:fill="BFBFBF"/>
            <w:vAlign w:val="center"/>
          </w:tcPr>
          <w:p w14:paraId="2702F5EC" w14:textId="77777777" w:rsidR="00CB0005" w:rsidRPr="00F80B42" w:rsidRDefault="00CB0005" w:rsidP="00542F75">
            <w:pPr>
              <w:pStyle w:val="NormalWeb"/>
              <w:spacing w:before="0" w:beforeAutospacing="0" w:after="0" w:afterAutospacing="0"/>
              <w:jc w:val="center"/>
              <w:rPr>
                <w:rFonts w:ascii="Arial Narrow" w:hAnsi="Arial Narrow" w:cs="Arial"/>
                <w:b/>
                <w:bCs/>
              </w:rPr>
            </w:pPr>
            <w:r w:rsidRPr="00F80B42">
              <w:rPr>
                <w:rFonts w:ascii="Arial Narrow" w:hAnsi="Arial Narrow" w:cs="Arial"/>
                <w:b/>
                <w:bCs/>
              </w:rPr>
              <w:t>Visits</w:t>
            </w:r>
          </w:p>
        </w:tc>
        <w:tc>
          <w:tcPr>
            <w:tcW w:w="1825" w:type="dxa"/>
            <w:tcBorders>
              <w:left w:val="single" w:sz="12" w:space="0" w:color="auto"/>
            </w:tcBorders>
            <w:shd w:val="clear" w:color="auto" w:fill="BFBFBF"/>
            <w:vAlign w:val="center"/>
          </w:tcPr>
          <w:p w14:paraId="37A12CBC" w14:textId="77777777" w:rsidR="00CB0005" w:rsidRPr="00F80B42" w:rsidRDefault="00CB0005" w:rsidP="00542F75">
            <w:pPr>
              <w:pStyle w:val="NormalWeb"/>
              <w:spacing w:before="0" w:beforeAutospacing="0" w:after="0" w:afterAutospacing="0"/>
              <w:jc w:val="center"/>
              <w:rPr>
                <w:rFonts w:ascii="Arial Narrow" w:hAnsi="Arial Narrow" w:cs="Arial"/>
                <w:b/>
                <w:bCs/>
              </w:rPr>
            </w:pPr>
            <w:r w:rsidRPr="00F80B42">
              <w:rPr>
                <w:rFonts w:ascii="Arial Narrow" w:hAnsi="Arial Narrow" w:cs="Arial"/>
                <w:b/>
                <w:bCs/>
              </w:rPr>
              <w:t>Unique Patients</w:t>
            </w:r>
          </w:p>
        </w:tc>
        <w:tc>
          <w:tcPr>
            <w:tcW w:w="1825" w:type="dxa"/>
            <w:tcBorders>
              <w:right w:val="single" w:sz="12" w:space="0" w:color="auto"/>
            </w:tcBorders>
            <w:shd w:val="clear" w:color="auto" w:fill="BFBFBF"/>
            <w:vAlign w:val="center"/>
          </w:tcPr>
          <w:p w14:paraId="3D3E0582" w14:textId="77777777" w:rsidR="00CB0005" w:rsidRPr="00F80B42" w:rsidRDefault="00CB0005" w:rsidP="00542F75">
            <w:pPr>
              <w:pStyle w:val="NormalWeb"/>
              <w:spacing w:before="0" w:beforeAutospacing="0" w:after="0" w:afterAutospacing="0"/>
              <w:jc w:val="center"/>
              <w:rPr>
                <w:rFonts w:ascii="Arial Narrow" w:hAnsi="Arial Narrow" w:cs="Arial"/>
                <w:b/>
                <w:bCs/>
              </w:rPr>
            </w:pPr>
            <w:r w:rsidRPr="00F80B42">
              <w:rPr>
                <w:rFonts w:ascii="Arial Narrow" w:hAnsi="Arial Narrow" w:cs="Arial"/>
                <w:b/>
                <w:bCs/>
              </w:rPr>
              <w:t>Visits</w:t>
            </w:r>
          </w:p>
        </w:tc>
      </w:tr>
      <w:tr w:rsidR="00CB0005" w14:paraId="60F08CD1" w14:textId="77777777" w:rsidTr="00091956">
        <w:trPr>
          <w:cantSplit/>
          <w:jc w:val="center"/>
        </w:trPr>
        <w:tc>
          <w:tcPr>
            <w:tcW w:w="1335" w:type="dxa"/>
            <w:tcBorders>
              <w:left w:val="single" w:sz="12" w:space="0" w:color="auto"/>
              <w:right w:val="single" w:sz="12" w:space="0" w:color="auto"/>
            </w:tcBorders>
            <w:vAlign w:val="center"/>
          </w:tcPr>
          <w:p w14:paraId="5C95AE6F" w14:textId="77777777" w:rsidR="00CB0005" w:rsidRPr="00F80B42" w:rsidRDefault="00CB0005" w:rsidP="00542F75">
            <w:pPr>
              <w:pStyle w:val="NormalWeb"/>
              <w:spacing w:before="0" w:beforeAutospacing="0" w:after="0" w:afterAutospacing="0"/>
              <w:rPr>
                <w:rFonts w:ascii="Arial Narrow" w:hAnsi="Arial Narrow" w:cs="Arial"/>
                <w:b/>
                <w:bCs/>
              </w:rPr>
            </w:pPr>
            <w:r w:rsidRPr="00F80B42">
              <w:rPr>
                <w:rFonts w:ascii="Arial Narrow" w:hAnsi="Arial Narrow" w:cs="Arial"/>
                <w:b/>
                <w:bCs/>
              </w:rPr>
              <w:t>FY19</w:t>
            </w:r>
          </w:p>
        </w:tc>
        <w:tc>
          <w:tcPr>
            <w:tcW w:w="1825" w:type="dxa"/>
            <w:tcBorders>
              <w:left w:val="single" w:sz="12" w:space="0" w:color="auto"/>
            </w:tcBorders>
            <w:vAlign w:val="center"/>
          </w:tcPr>
          <w:p w14:paraId="7551B768" w14:textId="77777777" w:rsidR="00CB0005" w:rsidRPr="00F80B42" w:rsidRDefault="00CB0005" w:rsidP="00542F75">
            <w:pPr>
              <w:pStyle w:val="NormalWeb"/>
              <w:spacing w:before="0" w:beforeAutospacing="0" w:after="0" w:afterAutospacing="0"/>
              <w:jc w:val="center"/>
              <w:rPr>
                <w:rFonts w:ascii="Arial Narrow" w:hAnsi="Arial Narrow" w:cs="Arial"/>
              </w:rPr>
            </w:pPr>
            <w:r w:rsidRPr="00F80B42">
              <w:rPr>
                <w:rFonts w:ascii="Arial Narrow" w:hAnsi="Arial Narrow" w:cs="Arial"/>
              </w:rPr>
              <w:t>11,719</w:t>
            </w:r>
          </w:p>
        </w:tc>
        <w:tc>
          <w:tcPr>
            <w:tcW w:w="1825" w:type="dxa"/>
            <w:tcBorders>
              <w:right w:val="single" w:sz="12" w:space="0" w:color="auto"/>
            </w:tcBorders>
            <w:vAlign w:val="center"/>
          </w:tcPr>
          <w:p w14:paraId="5AF5FDE0" w14:textId="77777777" w:rsidR="00CB0005" w:rsidRPr="00F80B42" w:rsidRDefault="00CB0005" w:rsidP="00542F75">
            <w:pPr>
              <w:pStyle w:val="NormalWeb"/>
              <w:spacing w:before="0" w:beforeAutospacing="0" w:after="0" w:afterAutospacing="0"/>
              <w:jc w:val="center"/>
              <w:rPr>
                <w:rFonts w:ascii="Arial Narrow" w:hAnsi="Arial Narrow" w:cs="Arial"/>
              </w:rPr>
            </w:pPr>
            <w:r w:rsidRPr="00F80B42">
              <w:rPr>
                <w:rFonts w:ascii="Arial Narrow" w:hAnsi="Arial Narrow" w:cs="Arial"/>
              </w:rPr>
              <w:t>16,129</w:t>
            </w:r>
          </w:p>
        </w:tc>
        <w:tc>
          <w:tcPr>
            <w:tcW w:w="1825" w:type="dxa"/>
            <w:tcBorders>
              <w:left w:val="single" w:sz="12" w:space="0" w:color="auto"/>
            </w:tcBorders>
            <w:vAlign w:val="center"/>
          </w:tcPr>
          <w:p w14:paraId="2A196633" w14:textId="77777777" w:rsidR="00CB0005" w:rsidRPr="00F80B42" w:rsidRDefault="00CB0005" w:rsidP="00542F75">
            <w:pPr>
              <w:pStyle w:val="NormalWeb"/>
              <w:spacing w:before="0" w:beforeAutospacing="0" w:after="0" w:afterAutospacing="0"/>
              <w:jc w:val="center"/>
              <w:rPr>
                <w:rFonts w:ascii="Arial Narrow" w:hAnsi="Arial Narrow" w:cs="Arial"/>
              </w:rPr>
            </w:pPr>
            <w:r w:rsidRPr="00F80B42">
              <w:rPr>
                <w:rFonts w:ascii="Arial Narrow" w:hAnsi="Arial Narrow" w:cs="Arial"/>
              </w:rPr>
              <w:t>3,751</w:t>
            </w:r>
          </w:p>
        </w:tc>
        <w:tc>
          <w:tcPr>
            <w:tcW w:w="1825" w:type="dxa"/>
            <w:tcBorders>
              <w:right w:val="single" w:sz="12" w:space="0" w:color="auto"/>
            </w:tcBorders>
            <w:vAlign w:val="center"/>
          </w:tcPr>
          <w:p w14:paraId="2B72749E" w14:textId="77777777" w:rsidR="00CB0005" w:rsidRPr="00F80B42" w:rsidRDefault="00CB0005" w:rsidP="00542F75">
            <w:pPr>
              <w:pStyle w:val="NormalWeb"/>
              <w:spacing w:before="0" w:beforeAutospacing="0" w:after="0" w:afterAutospacing="0"/>
              <w:jc w:val="center"/>
              <w:rPr>
                <w:rFonts w:ascii="Arial Narrow" w:hAnsi="Arial Narrow" w:cs="Arial"/>
              </w:rPr>
            </w:pPr>
            <w:r w:rsidRPr="00F80B42">
              <w:rPr>
                <w:rFonts w:ascii="Arial Narrow" w:hAnsi="Arial Narrow" w:cs="Arial"/>
              </w:rPr>
              <w:t>4,401</w:t>
            </w:r>
          </w:p>
        </w:tc>
      </w:tr>
      <w:tr w:rsidR="00CB0005" w14:paraId="0E3D927F" w14:textId="77777777" w:rsidTr="00091956">
        <w:trPr>
          <w:cantSplit/>
          <w:jc w:val="center"/>
        </w:trPr>
        <w:tc>
          <w:tcPr>
            <w:tcW w:w="1335" w:type="dxa"/>
            <w:tcBorders>
              <w:left w:val="single" w:sz="12" w:space="0" w:color="auto"/>
              <w:right w:val="single" w:sz="12" w:space="0" w:color="auto"/>
            </w:tcBorders>
            <w:vAlign w:val="center"/>
          </w:tcPr>
          <w:p w14:paraId="07570958" w14:textId="77777777" w:rsidR="00CB0005" w:rsidRPr="00F80B42" w:rsidRDefault="00CB0005" w:rsidP="00542F75">
            <w:pPr>
              <w:pStyle w:val="NormalWeb"/>
              <w:spacing w:before="0" w:beforeAutospacing="0" w:after="0" w:afterAutospacing="0"/>
              <w:rPr>
                <w:rFonts w:ascii="Arial Narrow" w:hAnsi="Arial Narrow" w:cs="Arial"/>
                <w:b/>
                <w:bCs/>
              </w:rPr>
            </w:pPr>
            <w:r w:rsidRPr="00F80B42">
              <w:rPr>
                <w:rFonts w:ascii="Arial Narrow" w:hAnsi="Arial Narrow" w:cs="Arial"/>
                <w:b/>
                <w:bCs/>
              </w:rPr>
              <w:t>FY20</w:t>
            </w:r>
          </w:p>
        </w:tc>
        <w:tc>
          <w:tcPr>
            <w:tcW w:w="1825" w:type="dxa"/>
            <w:tcBorders>
              <w:left w:val="single" w:sz="12" w:space="0" w:color="auto"/>
            </w:tcBorders>
            <w:vAlign w:val="center"/>
          </w:tcPr>
          <w:p w14:paraId="310E1929" w14:textId="77777777" w:rsidR="00CB0005" w:rsidRPr="00F80B42" w:rsidRDefault="00CB0005" w:rsidP="00542F75">
            <w:pPr>
              <w:pStyle w:val="NormalWeb"/>
              <w:spacing w:before="0" w:beforeAutospacing="0" w:after="0" w:afterAutospacing="0"/>
              <w:jc w:val="center"/>
              <w:rPr>
                <w:rFonts w:ascii="Arial Narrow" w:hAnsi="Arial Narrow" w:cs="Arial"/>
              </w:rPr>
            </w:pPr>
            <w:r w:rsidRPr="00F80B42">
              <w:rPr>
                <w:rFonts w:ascii="Arial Narrow" w:hAnsi="Arial Narrow" w:cs="Arial"/>
              </w:rPr>
              <w:t>10,541</w:t>
            </w:r>
          </w:p>
        </w:tc>
        <w:tc>
          <w:tcPr>
            <w:tcW w:w="1825" w:type="dxa"/>
            <w:tcBorders>
              <w:right w:val="single" w:sz="12" w:space="0" w:color="auto"/>
            </w:tcBorders>
            <w:vAlign w:val="center"/>
          </w:tcPr>
          <w:p w14:paraId="04E80979" w14:textId="77777777" w:rsidR="00CB0005" w:rsidRPr="00F80B42" w:rsidRDefault="00CB0005" w:rsidP="00542F75">
            <w:pPr>
              <w:pStyle w:val="NormalWeb"/>
              <w:spacing w:before="0" w:beforeAutospacing="0" w:after="0" w:afterAutospacing="0"/>
              <w:jc w:val="center"/>
              <w:rPr>
                <w:rFonts w:ascii="Arial Narrow" w:hAnsi="Arial Narrow" w:cs="Arial"/>
              </w:rPr>
            </w:pPr>
            <w:r w:rsidRPr="00F80B42">
              <w:rPr>
                <w:rFonts w:ascii="Arial Narrow" w:hAnsi="Arial Narrow" w:cs="Arial"/>
              </w:rPr>
              <w:t>14,504</w:t>
            </w:r>
          </w:p>
        </w:tc>
        <w:tc>
          <w:tcPr>
            <w:tcW w:w="1825" w:type="dxa"/>
            <w:tcBorders>
              <w:left w:val="single" w:sz="12" w:space="0" w:color="auto"/>
            </w:tcBorders>
            <w:vAlign w:val="center"/>
          </w:tcPr>
          <w:p w14:paraId="54C016AF" w14:textId="77777777" w:rsidR="00CB0005" w:rsidRPr="00F80B42" w:rsidRDefault="00CB0005" w:rsidP="00542F75">
            <w:pPr>
              <w:pStyle w:val="NormalWeb"/>
              <w:spacing w:before="0" w:beforeAutospacing="0" w:after="0" w:afterAutospacing="0"/>
              <w:jc w:val="center"/>
              <w:rPr>
                <w:rFonts w:ascii="Arial Narrow" w:hAnsi="Arial Narrow" w:cs="Arial"/>
              </w:rPr>
            </w:pPr>
            <w:r w:rsidRPr="00F80B42">
              <w:rPr>
                <w:rFonts w:ascii="Arial Narrow" w:hAnsi="Arial Narrow" w:cs="Arial"/>
              </w:rPr>
              <w:t>3,291</w:t>
            </w:r>
          </w:p>
        </w:tc>
        <w:tc>
          <w:tcPr>
            <w:tcW w:w="1825" w:type="dxa"/>
            <w:tcBorders>
              <w:right w:val="single" w:sz="12" w:space="0" w:color="auto"/>
            </w:tcBorders>
            <w:vAlign w:val="center"/>
          </w:tcPr>
          <w:p w14:paraId="68332C76" w14:textId="77777777" w:rsidR="00CB0005" w:rsidRPr="00F80B42" w:rsidRDefault="00CB0005" w:rsidP="00542F75">
            <w:pPr>
              <w:pStyle w:val="NormalWeb"/>
              <w:spacing w:before="0" w:beforeAutospacing="0" w:after="0" w:afterAutospacing="0"/>
              <w:jc w:val="center"/>
              <w:rPr>
                <w:rFonts w:ascii="Arial Narrow" w:hAnsi="Arial Narrow" w:cs="Arial"/>
              </w:rPr>
            </w:pPr>
            <w:r w:rsidRPr="00F80B42">
              <w:rPr>
                <w:rFonts w:ascii="Arial Narrow" w:hAnsi="Arial Narrow" w:cs="Arial"/>
              </w:rPr>
              <w:t>3,808</w:t>
            </w:r>
          </w:p>
        </w:tc>
      </w:tr>
      <w:tr w:rsidR="00CB0005" w14:paraId="33E77A8C" w14:textId="77777777" w:rsidTr="00091956">
        <w:trPr>
          <w:cantSplit/>
          <w:jc w:val="center"/>
        </w:trPr>
        <w:tc>
          <w:tcPr>
            <w:tcW w:w="1335" w:type="dxa"/>
            <w:tcBorders>
              <w:left w:val="single" w:sz="12" w:space="0" w:color="auto"/>
              <w:right w:val="single" w:sz="12" w:space="0" w:color="auto"/>
            </w:tcBorders>
            <w:vAlign w:val="center"/>
          </w:tcPr>
          <w:p w14:paraId="6B29CDA1" w14:textId="77777777" w:rsidR="00CB0005" w:rsidRPr="00F80B42" w:rsidRDefault="00CB0005" w:rsidP="00542F75">
            <w:pPr>
              <w:pStyle w:val="NormalWeb"/>
              <w:spacing w:before="0" w:beforeAutospacing="0" w:after="0" w:afterAutospacing="0"/>
              <w:rPr>
                <w:rFonts w:ascii="Arial Narrow" w:hAnsi="Arial Narrow" w:cs="Arial"/>
                <w:b/>
                <w:bCs/>
              </w:rPr>
            </w:pPr>
            <w:r w:rsidRPr="00F80B42">
              <w:rPr>
                <w:rFonts w:ascii="Arial Narrow" w:hAnsi="Arial Narrow" w:cs="Arial"/>
                <w:b/>
                <w:bCs/>
              </w:rPr>
              <w:t>FY21</w:t>
            </w:r>
          </w:p>
        </w:tc>
        <w:tc>
          <w:tcPr>
            <w:tcW w:w="1825" w:type="dxa"/>
            <w:tcBorders>
              <w:left w:val="single" w:sz="12" w:space="0" w:color="auto"/>
            </w:tcBorders>
            <w:vAlign w:val="center"/>
          </w:tcPr>
          <w:p w14:paraId="3DC27BDF" w14:textId="77777777" w:rsidR="00CB0005" w:rsidRPr="00F80B42" w:rsidRDefault="00CB0005" w:rsidP="00542F75">
            <w:pPr>
              <w:pStyle w:val="NormalWeb"/>
              <w:spacing w:before="0" w:beforeAutospacing="0" w:after="0" w:afterAutospacing="0"/>
              <w:jc w:val="center"/>
              <w:rPr>
                <w:rFonts w:ascii="Arial Narrow" w:hAnsi="Arial Narrow" w:cs="Arial"/>
              </w:rPr>
            </w:pPr>
            <w:r w:rsidRPr="00F80B42">
              <w:rPr>
                <w:rFonts w:ascii="Arial Narrow" w:hAnsi="Arial Narrow" w:cs="Arial"/>
              </w:rPr>
              <w:t>11,002</w:t>
            </w:r>
          </w:p>
        </w:tc>
        <w:tc>
          <w:tcPr>
            <w:tcW w:w="1825" w:type="dxa"/>
            <w:tcBorders>
              <w:right w:val="single" w:sz="12" w:space="0" w:color="auto"/>
            </w:tcBorders>
            <w:vAlign w:val="center"/>
          </w:tcPr>
          <w:p w14:paraId="6916E084" w14:textId="77777777" w:rsidR="00CB0005" w:rsidRPr="00F80B42" w:rsidRDefault="00CB0005" w:rsidP="00542F75">
            <w:pPr>
              <w:pStyle w:val="NormalWeb"/>
              <w:spacing w:before="0" w:beforeAutospacing="0" w:after="0" w:afterAutospacing="0"/>
              <w:jc w:val="center"/>
              <w:rPr>
                <w:rFonts w:ascii="Arial Narrow" w:hAnsi="Arial Narrow" w:cs="Arial"/>
              </w:rPr>
            </w:pPr>
            <w:r w:rsidRPr="00F80B42">
              <w:rPr>
                <w:rFonts w:ascii="Arial Narrow" w:hAnsi="Arial Narrow" w:cs="Arial"/>
              </w:rPr>
              <w:t>14,757</w:t>
            </w:r>
          </w:p>
        </w:tc>
        <w:tc>
          <w:tcPr>
            <w:tcW w:w="1825" w:type="dxa"/>
            <w:tcBorders>
              <w:left w:val="single" w:sz="12" w:space="0" w:color="auto"/>
            </w:tcBorders>
            <w:vAlign w:val="center"/>
          </w:tcPr>
          <w:p w14:paraId="2DB0253C" w14:textId="77777777" w:rsidR="00CB0005" w:rsidRPr="00F80B42" w:rsidRDefault="00CB0005" w:rsidP="00542F75">
            <w:pPr>
              <w:pStyle w:val="NormalWeb"/>
              <w:spacing w:before="0" w:beforeAutospacing="0" w:after="0" w:afterAutospacing="0"/>
              <w:jc w:val="center"/>
              <w:rPr>
                <w:rFonts w:ascii="Arial Narrow" w:hAnsi="Arial Narrow" w:cs="Arial"/>
              </w:rPr>
            </w:pPr>
            <w:r w:rsidRPr="00F80B42">
              <w:rPr>
                <w:rFonts w:ascii="Arial Narrow" w:hAnsi="Arial Narrow" w:cs="Arial"/>
              </w:rPr>
              <w:t>3,403</w:t>
            </w:r>
          </w:p>
        </w:tc>
        <w:tc>
          <w:tcPr>
            <w:tcW w:w="1825" w:type="dxa"/>
            <w:tcBorders>
              <w:right w:val="single" w:sz="12" w:space="0" w:color="auto"/>
            </w:tcBorders>
            <w:vAlign w:val="center"/>
          </w:tcPr>
          <w:p w14:paraId="59913D3F" w14:textId="77777777" w:rsidR="00CB0005" w:rsidRPr="00F80B42" w:rsidRDefault="00CB0005" w:rsidP="00542F75">
            <w:pPr>
              <w:pStyle w:val="NormalWeb"/>
              <w:spacing w:before="0" w:beforeAutospacing="0" w:after="0" w:afterAutospacing="0"/>
              <w:jc w:val="center"/>
              <w:rPr>
                <w:rFonts w:ascii="Arial Narrow" w:hAnsi="Arial Narrow" w:cs="Arial"/>
              </w:rPr>
            </w:pPr>
            <w:r w:rsidRPr="00F80B42">
              <w:rPr>
                <w:rFonts w:ascii="Arial Narrow" w:hAnsi="Arial Narrow" w:cs="Arial"/>
              </w:rPr>
              <w:t>3,920</w:t>
            </w:r>
          </w:p>
        </w:tc>
      </w:tr>
      <w:tr w:rsidR="00CB0005" w14:paraId="637C8334" w14:textId="77777777" w:rsidTr="00091956">
        <w:trPr>
          <w:cantSplit/>
          <w:jc w:val="center"/>
        </w:trPr>
        <w:tc>
          <w:tcPr>
            <w:tcW w:w="1335" w:type="dxa"/>
            <w:tcBorders>
              <w:left w:val="single" w:sz="12" w:space="0" w:color="auto"/>
              <w:bottom w:val="single" w:sz="12" w:space="0" w:color="auto"/>
              <w:right w:val="single" w:sz="12" w:space="0" w:color="auto"/>
            </w:tcBorders>
            <w:vAlign w:val="center"/>
          </w:tcPr>
          <w:p w14:paraId="52550C79" w14:textId="7F452F34" w:rsidR="00CB0005" w:rsidRPr="00B95D0D" w:rsidRDefault="00CB0005" w:rsidP="00542F75">
            <w:pPr>
              <w:pStyle w:val="NormalWeb"/>
              <w:spacing w:before="0" w:beforeAutospacing="0" w:after="0" w:afterAutospacing="0"/>
              <w:rPr>
                <w:rFonts w:ascii="Arial Narrow" w:hAnsi="Arial Narrow" w:cs="Arial"/>
                <w:b/>
                <w:bCs/>
              </w:rPr>
            </w:pPr>
            <w:r w:rsidRPr="00B95D0D">
              <w:rPr>
                <w:rFonts w:ascii="Arial Narrow" w:hAnsi="Arial Narrow" w:cs="Arial"/>
                <w:b/>
                <w:bCs/>
              </w:rPr>
              <w:t>FY22 YTD</w:t>
            </w:r>
          </w:p>
        </w:tc>
        <w:tc>
          <w:tcPr>
            <w:tcW w:w="1825" w:type="dxa"/>
            <w:tcBorders>
              <w:left w:val="single" w:sz="12" w:space="0" w:color="auto"/>
              <w:bottom w:val="single" w:sz="12" w:space="0" w:color="auto"/>
            </w:tcBorders>
            <w:vAlign w:val="center"/>
          </w:tcPr>
          <w:p w14:paraId="23CC5FF7" w14:textId="77777777" w:rsidR="00CB0005" w:rsidRPr="003544CD" w:rsidRDefault="00CB0005" w:rsidP="00542F75">
            <w:pPr>
              <w:pStyle w:val="NormalWeb"/>
              <w:spacing w:before="0" w:beforeAutospacing="0" w:after="0" w:afterAutospacing="0"/>
              <w:jc w:val="center"/>
              <w:rPr>
                <w:rFonts w:ascii="Arial Narrow" w:hAnsi="Arial Narrow" w:cs="Arial"/>
              </w:rPr>
            </w:pPr>
            <w:r w:rsidRPr="003544CD">
              <w:rPr>
                <w:rFonts w:ascii="Arial Narrow" w:hAnsi="Arial Narrow" w:cs="Arial"/>
              </w:rPr>
              <w:t>8,148</w:t>
            </w:r>
          </w:p>
        </w:tc>
        <w:tc>
          <w:tcPr>
            <w:tcW w:w="1825" w:type="dxa"/>
            <w:tcBorders>
              <w:bottom w:val="single" w:sz="12" w:space="0" w:color="auto"/>
              <w:right w:val="single" w:sz="12" w:space="0" w:color="auto"/>
            </w:tcBorders>
            <w:vAlign w:val="center"/>
          </w:tcPr>
          <w:p w14:paraId="728A50AF" w14:textId="77777777" w:rsidR="00CB0005" w:rsidRPr="003544CD" w:rsidRDefault="00CB0005" w:rsidP="00542F75">
            <w:pPr>
              <w:pStyle w:val="NormalWeb"/>
              <w:spacing w:before="0" w:beforeAutospacing="0" w:after="0" w:afterAutospacing="0"/>
              <w:jc w:val="center"/>
              <w:rPr>
                <w:rFonts w:ascii="Arial Narrow" w:hAnsi="Arial Narrow" w:cs="Arial"/>
              </w:rPr>
            </w:pPr>
            <w:r w:rsidRPr="003544CD">
              <w:rPr>
                <w:rFonts w:ascii="Arial Narrow" w:hAnsi="Arial Narrow" w:cs="Arial"/>
              </w:rPr>
              <w:t>10,526</w:t>
            </w:r>
          </w:p>
        </w:tc>
        <w:tc>
          <w:tcPr>
            <w:tcW w:w="1825" w:type="dxa"/>
            <w:tcBorders>
              <w:left w:val="single" w:sz="12" w:space="0" w:color="auto"/>
              <w:bottom w:val="single" w:sz="12" w:space="0" w:color="auto"/>
            </w:tcBorders>
            <w:vAlign w:val="center"/>
          </w:tcPr>
          <w:p w14:paraId="3F462E21" w14:textId="77777777" w:rsidR="00CB0005" w:rsidRPr="003544CD" w:rsidRDefault="00CB0005" w:rsidP="00542F75">
            <w:pPr>
              <w:pStyle w:val="NormalWeb"/>
              <w:spacing w:before="0" w:beforeAutospacing="0" w:after="0" w:afterAutospacing="0"/>
              <w:jc w:val="center"/>
              <w:rPr>
                <w:rFonts w:ascii="Arial Narrow" w:hAnsi="Arial Narrow" w:cs="Arial"/>
              </w:rPr>
            </w:pPr>
            <w:r w:rsidRPr="003544CD">
              <w:rPr>
                <w:rFonts w:ascii="Arial Narrow" w:hAnsi="Arial Narrow" w:cs="Arial"/>
              </w:rPr>
              <w:t>2,673</w:t>
            </w:r>
          </w:p>
        </w:tc>
        <w:tc>
          <w:tcPr>
            <w:tcW w:w="1825" w:type="dxa"/>
            <w:tcBorders>
              <w:bottom w:val="single" w:sz="12" w:space="0" w:color="auto"/>
              <w:right w:val="single" w:sz="12" w:space="0" w:color="auto"/>
            </w:tcBorders>
            <w:vAlign w:val="center"/>
          </w:tcPr>
          <w:p w14:paraId="026478D7" w14:textId="77777777" w:rsidR="00CB0005" w:rsidRPr="003544CD" w:rsidRDefault="00CB0005" w:rsidP="00542F75">
            <w:pPr>
              <w:pStyle w:val="NormalWeb"/>
              <w:spacing w:before="0" w:beforeAutospacing="0" w:after="0" w:afterAutospacing="0"/>
              <w:jc w:val="center"/>
              <w:rPr>
                <w:rFonts w:ascii="Arial Narrow" w:hAnsi="Arial Narrow" w:cs="Arial"/>
              </w:rPr>
            </w:pPr>
            <w:r w:rsidRPr="003544CD">
              <w:rPr>
                <w:rFonts w:ascii="Arial Narrow" w:hAnsi="Arial Narrow" w:cs="Arial"/>
              </w:rPr>
              <w:t>3,054</w:t>
            </w:r>
          </w:p>
        </w:tc>
      </w:tr>
    </w:tbl>
    <w:p w14:paraId="0799B088" w14:textId="6946312E" w:rsidR="00CB0005" w:rsidRDefault="00CB0005" w:rsidP="00D64C24">
      <w:pPr>
        <w:spacing w:after="120" w:line="259" w:lineRule="auto"/>
        <w:rPr>
          <w:rFonts w:ascii="Arial" w:hAnsi="Arial" w:cs="Arial"/>
          <w:sz w:val="22"/>
          <w:szCs w:val="22"/>
        </w:rPr>
      </w:pPr>
    </w:p>
    <w:p w14:paraId="44D99178" w14:textId="279F8DF9" w:rsidR="00EF288A" w:rsidRDefault="00EF288A" w:rsidP="00D64C24">
      <w:pPr>
        <w:spacing w:after="120" w:line="259" w:lineRule="auto"/>
        <w:rPr>
          <w:rFonts w:ascii="Arial" w:hAnsi="Arial" w:cs="Arial"/>
          <w:sz w:val="22"/>
          <w:szCs w:val="22"/>
        </w:rPr>
      </w:pPr>
      <w:r w:rsidRPr="00EF288A">
        <w:rPr>
          <w:rFonts w:ascii="Arial Narrow" w:hAnsi="Arial Narrow" w:cs="Arial"/>
          <w:b/>
          <w:bCs/>
          <w:color w:val="FFFFFF"/>
          <w:shd w:val="clear" w:color="auto" w:fill="0070C0"/>
        </w:rPr>
        <w:t xml:space="preserve">Table 11 REVISED: BMC Inpatient Bed Historical Utilization (COVID-19 and </w:t>
      </w:r>
      <w:proofErr w:type="gramStart"/>
      <w:r w:rsidRPr="00EF288A">
        <w:rPr>
          <w:rFonts w:ascii="Arial Narrow" w:hAnsi="Arial Narrow" w:cs="Arial"/>
          <w:b/>
          <w:bCs/>
          <w:color w:val="FFFFFF"/>
          <w:shd w:val="clear" w:color="auto" w:fill="0070C0"/>
        </w:rPr>
        <w:t>Non-COVID</w:t>
      </w:r>
      <w:proofErr w:type="gramEnd"/>
      <w:r w:rsidRPr="00EF288A">
        <w:rPr>
          <w:rFonts w:ascii="Arial Narrow" w:hAnsi="Arial Narrow" w:cs="Arial"/>
          <w:b/>
          <w:bCs/>
          <w:color w:val="FFFFFF"/>
          <w:shd w:val="clear" w:color="auto" w:fill="0070C0"/>
        </w:rPr>
        <w:t>-19)</w:t>
      </w:r>
    </w:p>
    <w:tbl>
      <w:tblPr>
        <w:tblStyle w:val="TableGrid"/>
        <w:tblW w:w="0" w:type="auto"/>
        <w:jc w:val="center"/>
        <w:tblLook w:val="04A0" w:firstRow="1" w:lastRow="0" w:firstColumn="1" w:lastColumn="0" w:noHBand="0" w:noVBand="1"/>
      </w:tblPr>
      <w:tblGrid>
        <w:gridCol w:w="1423"/>
        <w:gridCol w:w="929"/>
        <w:gridCol w:w="929"/>
        <w:gridCol w:w="929"/>
        <w:gridCol w:w="1167"/>
        <w:gridCol w:w="929"/>
        <w:gridCol w:w="929"/>
        <w:gridCol w:w="929"/>
        <w:gridCol w:w="1166"/>
      </w:tblGrid>
      <w:tr w:rsidR="001A6C7F" w14:paraId="6A821554" w14:textId="77777777" w:rsidTr="00580F40">
        <w:trPr>
          <w:cantSplit/>
          <w:tblHeader/>
          <w:jc w:val="center"/>
        </w:trPr>
        <w:tc>
          <w:tcPr>
            <w:tcW w:w="1423" w:type="dxa"/>
            <w:tcBorders>
              <w:top w:val="single" w:sz="12" w:space="0" w:color="auto"/>
              <w:left w:val="single" w:sz="12" w:space="0" w:color="auto"/>
              <w:right w:val="single" w:sz="12" w:space="0" w:color="auto"/>
            </w:tcBorders>
            <w:shd w:val="clear" w:color="auto" w:fill="8DA9DB"/>
          </w:tcPr>
          <w:p w14:paraId="69A5CECB" w14:textId="77777777" w:rsidR="00CB0005" w:rsidRPr="00F80B42" w:rsidRDefault="00CB0005" w:rsidP="00542F75">
            <w:pPr>
              <w:pStyle w:val="NormalWeb"/>
              <w:spacing w:before="0" w:beforeAutospacing="0" w:after="0" w:afterAutospacing="0"/>
              <w:jc w:val="center"/>
              <w:rPr>
                <w:rFonts w:ascii="Arial Narrow" w:hAnsi="Arial Narrow" w:cs="Arial"/>
              </w:rPr>
            </w:pPr>
          </w:p>
        </w:tc>
        <w:tc>
          <w:tcPr>
            <w:tcW w:w="3954" w:type="dxa"/>
            <w:gridSpan w:val="4"/>
            <w:tcBorders>
              <w:top w:val="single" w:sz="12" w:space="0" w:color="auto"/>
              <w:left w:val="single" w:sz="12" w:space="0" w:color="auto"/>
              <w:right w:val="single" w:sz="12" w:space="0" w:color="auto"/>
            </w:tcBorders>
            <w:shd w:val="clear" w:color="auto" w:fill="8DA9DB"/>
            <w:vAlign w:val="center"/>
          </w:tcPr>
          <w:p w14:paraId="18FB2EFF" w14:textId="430C75FF" w:rsidR="00CB0005" w:rsidRPr="00F80B42" w:rsidRDefault="00CB0005" w:rsidP="00542F75">
            <w:pPr>
              <w:pStyle w:val="NormalWeb"/>
              <w:spacing w:before="0" w:beforeAutospacing="0" w:after="0" w:afterAutospacing="0"/>
              <w:jc w:val="center"/>
              <w:rPr>
                <w:rFonts w:ascii="Arial Narrow" w:hAnsi="Arial Narrow" w:cs="Arial"/>
                <w:b/>
                <w:bCs/>
              </w:rPr>
            </w:pPr>
            <w:r w:rsidRPr="00F80B42">
              <w:rPr>
                <w:rFonts w:ascii="Arial Narrow" w:hAnsi="Arial Narrow" w:cs="Arial"/>
                <w:b/>
                <w:bCs/>
              </w:rPr>
              <w:t>Medical/Surgical</w:t>
            </w:r>
            <w:r>
              <w:rPr>
                <w:rStyle w:val="EndnoteReference"/>
                <w:rFonts w:ascii="Arial Narrow" w:hAnsi="Arial Narrow" w:cs="Arial"/>
                <w:b/>
                <w:bCs/>
              </w:rPr>
              <w:endnoteReference w:id="1"/>
            </w:r>
            <w:r w:rsidRPr="007C13EB">
              <w:rPr>
                <w:rFonts w:ascii="Arial Narrow" w:hAnsi="Arial Narrow" w:cs="Arial"/>
                <w:b/>
                <w:bCs/>
                <w:vertAlign w:val="superscript"/>
              </w:rPr>
              <w:t>,</w:t>
            </w:r>
            <w:r>
              <w:rPr>
                <w:rStyle w:val="EndnoteReference"/>
                <w:rFonts w:ascii="Arial Narrow" w:hAnsi="Arial Narrow" w:cs="Arial"/>
                <w:b/>
                <w:bCs/>
              </w:rPr>
              <w:endnoteReference w:id="2"/>
            </w:r>
          </w:p>
        </w:tc>
        <w:tc>
          <w:tcPr>
            <w:tcW w:w="3953" w:type="dxa"/>
            <w:gridSpan w:val="4"/>
            <w:tcBorders>
              <w:top w:val="single" w:sz="12" w:space="0" w:color="auto"/>
              <w:left w:val="single" w:sz="12" w:space="0" w:color="auto"/>
              <w:right w:val="single" w:sz="12" w:space="0" w:color="auto"/>
            </w:tcBorders>
            <w:shd w:val="clear" w:color="auto" w:fill="8DA9DB"/>
            <w:vAlign w:val="center"/>
          </w:tcPr>
          <w:p w14:paraId="774699AA" w14:textId="3462996A" w:rsidR="00CB0005" w:rsidRPr="00F80B42" w:rsidRDefault="00CB0005" w:rsidP="00542F75">
            <w:pPr>
              <w:pStyle w:val="NormalWeb"/>
              <w:spacing w:before="0" w:beforeAutospacing="0" w:after="0" w:afterAutospacing="0"/>
              <w:jc w:val="center"/>
              <w:rPr>
                <w:rFonts w:ascii="Arial Narrow" w:hAnsi="Arial Narrow" w:cs="Arial"/>
                <w:b/>
                <w:bCs/>
              </w:rPr>
            </w:pPr>
            <w:r w:rsidRPr="00F80B42">
              <w:rPr>
                <w:rFonts w:ascii="Arial Narrow" w:hAnsi="Arial Narrow" w:cs="Arial"/>
                <w:b/>
                <w:bCs/>
              </w:rPr>
              <w:t>ICU</w:t>
            </w:r>
            <w:r>
              <w:rPr>
                <w:rStyle w:val="EndnoteReference"/>
                <w:rFonts w:ascii="Arial Narrow" w:hAnsi="Arial Narrow" w:cs="Arial"/>
                <w:b/>
                <w:bCs/>
              </w:rPr>
              <w:endnoteReference w:id="3"/>
            </w:r>
            <w:r w:rsidRPr="007C13EB">
              <w:rPr>
                <w:rFonts w:ascii="Arial Narrow" w:hAnsi="Arial Narrow" w:cs="Arial"/>
                <w:b/>
                <w:bCs/>
                <w:vertAlign w:val="superscript"/>
              </w:rPr>
              <w:t>,</w:t>
            </w:r>
            <w:r>
              <w:rPr>
                <w:rStyle w:val="EndnoteReference"/>
                <w:rFonts w:ascii="Arial Narrow" w:hAnsi="Arial Narrow" w:cs="Arial"/>
                <w:b/>
                <w:bCs/>
              </w:rPr>
              <w:endnoteReference w:id="4"/>
            </w:r>
          </w:p>
        </w:tc>
      </w:tr>
      <w:tr w:rsidR="00CB0005" w14:paraId="404B7D42" w14:textId="77777777" w:rsidTr="00580F40">
        <w:trPr>
          <w:cantSplit/>
          <w:tblHeader/>
          <w:jc w:val="center"/>
        </w:trPr>
        <w:tc>
          <w:tcPr>
            <w:tcW w:w="1423" w:type="dxa"/>
            <w:tcBorders>
              <w:left w:val="single" w:sz="12" w:space="0" w:color="auto"/>
              <w:right w:val="single" w:sz="12" w:space="0" w:color="auto"/>
            </w:tcBorders>
            <w:shd w:val="clear" w:color="auto" w:fill="BFBFBF"/>
          </w:tcPr>
          <w:p w14:paraId="1B791A0D" w14:textId="77777777" w:rsidR="00CB0005" w:rsidRPr="00F80B42" w:rsidRDefault="00CB0005" w:rsidP="00542F75">
            <w:pPr>
              <w:pStyle w:val="NormalWeb"/>
              <w:spacing w:before="0" w:beforeAutospacing="0" w:after="0" w:afterAutospacing="0"/>
              <w:jc w:val="both"/>
              <w:rPr>
                <w:rFonts w:ascii="Arial Narrow" w:hAnsi="Arial Narrow" w:cs="Arial"/>
                <w:b/>
                <w:bCs/>
              </w:rPr>
            </w:pPr>
          </w:p>
        </w:tc>
        <w:tc>
          <w:tcPr>
            <w:tcW w:w="929" w:type="dxa"/>
            <w:tcBorders>
              <w:left w:val="single" w:sz="12" w:space="0" w:color="auto"/>
            </w:tcBorders>
            <w:shd w:val="clear" w:color="auto" w:fill="BFBFBF"/>
            <w:vAlign w:val="center"/>
          </w:tcPr>
          <w:p w14:paraId="0FE912BB" w14:textId="77777777" w:rsidR="00CB0005" w:rsidRPr="00F80B42" w:rsidRDefault="00CB0005" w:rsidP="00542F75">
            <w:pPr>
              <w:pStyle w:val="NormalWeb"/>
              <w:spacing w:before="0" w:beforeAutospacing="0" w:after="0" w:afterAutospacing="0"/>
              <w:jc w:val="center"/>
              <w:rPr>
                <w:rFonts w:ascii="Arial Narrow" w:hAnsi="Arial Narrow" w:cs="Arial"/>
                <w:b/>
                <w:bCs/>
              </w:rPr>
            </w:pPr>
            <w:r>
              <w:rPr>
                <w:rFonts w:ascii="Arial Narrow" w:hAnsi="Arial Narrow" w:cs="Arial"/>
                <w:b/>
                <w:bCs/>
              </w:rPr>
              <w:t>FY19</w:t>
            </w:r>
          </w:p>
        </w:tc>
        <w:tc>
          <w:tcPr>
            <w:tcW w:w="929" w:type="dxa"/>
            <w:tcBorders>
              <w:right w:val="single" w:sz="4" w:space="0" w:color="auto"/>
            </w:tcBorders>
            <w:shd w:val="clear" w:color="auto" w:fill="BFBFBF"/>
            <w:vAlign w:val="center"/>
          </w:tcPr>
          <w:p w14:paraId="7B8057A3" w14:textId="77777777" w:rsidR="00CB0005" w:rsidRPr="00F80B42" w:rsidRDefault="00CB0005" w:rsidP="00542F75">
            <w:pPr>
              <w:pStyle w:val="NormalWeb"/>
              <w:spacing w:before="0" w:beforeAutospacing="0" w:after="0" w:afterAutospacing="0"/>
              <w:jc w:val="center"/>
              <w:rPr>
                <w:rFonts w:ascii="Arial Narrow" w:hAnsi="Arial Narrow" w:cs="Arial"/>
                <w:b/>
                <w:bCs/>
              </w:rPr>
            </w:pPr>
            <w:r>
              <w:rPr>
                <w:rFonts w:ascii="Arial Narrow" w:hAnsi="Arial Narrow" w:cs="Arial"/>
                <w:b/>
                <w:bCs/>
              </w:rPr>
              <w:t>FY20</w:t>
            </w:r>
          </w:p>
        </w:tc>
        <w:tc>
          <w:tcPr>
            <w:tcW w:w="929" w:type="dxa"/>
            <w:tcBorders>
              <w:left w:val="single" w:sz="4" w:space="0" w:color="auto"/>
              <w:right w:val="single" w:sz="4" w:space="0" w:color="auto"/>
            </w:tcBorders>
            <w:shd w:val="clear" w:color="auto" w:fill="BFBFBF"/>
            <w:vAlign w:val="center"/>
          </w:tcPr>
          <w:p w14:paraId="05AF01E7" w14:textId="77777777" w:rsidR="00CB0005" w:rsidRPr="00F80B42" w:rsidRDefault="00CB0005" w:rsidP="00542F75">
            <w:pPr>
              <w:pStyle w:val="NormalWeb"/>
              <w:spacing w:before="0" w:beforeAutospacing="0" w:after="0" w:afterAutospacing="0"/>
              <w:jc w:val="center"/>
              <w:rPr>
                <w:rFonts w:ascii="Arial Narrow" w:hAnsi="Arial Narrow" w:cs="Arial"/>
                <w:b/>
                <w:bCs/>
              </w:rPr>
            </w:pPr>
            <w:r>
              <w:rPr>
                <w:rFonts w:ascii="Arial Narrow" w:hAnsi="Arial Narrow" w:cs="Arial"/>
                <w:b/>
                <w:bCs/>
              </w:rPr>
              <w:t>FY21</w:t>
            </w:r>
          </w:p>
        </w:tc>
        <w:tc>
          <w:tcPr>
            <w:tcW w:w="1167" w:type="dxa"/>
            <w:tcBorders>
              <w:left w:val="single" w:sz="4" w:space="0" w:color="auto"/>
              <w:right w:val="single" w:sz="12" w:space="0" w:color="auto"/>
            </w:tcBorders>
            <w:shd w:val="clear" w:color="auto" w:fill="BFBFBF"/>
            <w:vAlign w:val="center"/>
          </w:tcPr>
          <w:p w14:paraId="25E8ADCC" w14:textId="77777777" w:rsidR="00CB0005" w:rsidRPr="00F80B42" w:rsidRDefault="00CB0005" w:rsidP="00542F75">
            <w:pPr>
              <w:pStyle w:val="NormalWeb"/>
              <w:spacing w:before="0" w:beforeAutospacing="0" w:after="0" w:afterAutospacing="0"/>
              <w:jc w:val="center"/>
              <w:rPr>
                <w:rFonts w:ascii="Arial Narrow" w:hAnsi="Arial Narrow" w:cs="Arial"/>
                <w:b/>
                <w:bCs/>
              </w:rPr>
            </w:pPr>
            <w:r>
              <w:rPr>
                <w:rFonts w:ascii="Arial Narrow" w:hAnsi="Arial Narrow" w:cs="Arial"/>
                <w:b/>
                <w:bCs/>
              </w:rPr>
              <w:t>FY22 YTD</w:t>
            </w:r>
          </w:p>
        </w:tc>
        <w:tc>
          <w:tcPr>
            <w:tcW w:w="929" w:type="dxa"/>
            <w:tcBorders>
              <w:left w:val="single" w:sz="12" w:space="0" w:color="auto"/>
              <w:right w:val="single" w:sz="4" w:space="0" w:color="auto"/>
            </w:tcBorders>
            <w:shd w:val="clear" w:color="auto" w:fill="BFBFBF"/>
            <w:vAlign w:val="center"/>
          </w:tcPr>
          <w:p w14:paraId="6A602B65" w14:textId="77777777" w:rsidR="00CB0005" w:rsidRPr="00F80B42" w:rsidRDefault="00CB0005" w:rsidP="00542F75">
            <w:pPr>
              <w:pStyle w:val="NormalWeb"/>
              <w:spacing w:before="0" w:beforeAutospacing="0" w:after="0" w:afterAutospacing="0"/>
              <w:jc w:val="center"/>
              <w:rPr>
                <w:rFonts w:ascii="Arial Narrow" w:hAnsi="Arial Narrow" w:cs="Arial"/>
                <w:b/>
                <w:bCs/>
              </w:rPr>
            </w:pPr>
            <w:r>
              <w:rPr>
                <w:rFonts w:ascii="Arial Narrow" w:hAnsi="Arial Narrow" w:cs="Arial"/>
                <w:b/>
                <w:bCs/>
              </w:rPr>
              <w:t>FY19</w:t>
            </w:r>
          </w:p>
        </w:tc>
        <w:tc>
          <w:tcPr>
            <w:tcW w:w="929" w:type="dxa"/>
            <w:tcBorders>
              <w:left w:val="single" w:sz="4" w:space="0" w:color="auto"/>
            </w:tcBorders>
            <w:shd w:val="clear" w:color="auto" w:fill="BFBFBF"/>
            <w:vAlign w:val="center"/>
          </w:tcPr>
          <w:p w14:paraId="066DBC0E" w14:textId="77777777" w:rsidR="00CB0005" w:rsidRPr="00F80B42" w:rsidRDefault="00CB0005" w:rsidP="00542F75">
            <w:pPr>
              <w:pStyle w:val="NormalWeb"/>
              <w:spacing w:before="0" w:beforeAutospacing="0" w:after="0" w:afterAutospacing="0"/>
              <w:jc w:val="center"/>
              <w:rPr>
                <w:rFonts w:ascii="Arial Narrow" w:hAnsi="Arial Narrow" w:cs="Arial"/>
                <w:b/>
                <w:bCs/>
              </w:rPr>
            </w:pPr>
            <w:r>
              <w:rPr>
                <w:rFonts w:ascii="Arial Narrow" w:hAnsi="Arial Narrow" w:cs="Arial"/>
                <w:b/>
                <w:bCs/>
              </w:rPr>
              <w:t>FY20</w:t>
            </w:r>
          </w:p>
        </w:tc>
        <w:tc>
          <w:tcPr>
            <w:tcW w:w="929" w:type="dxa"/>
            <w:tcBorders>
              <w:right w:val="single" w:sz="4" w:space="0" w:color="auto"/>
            </w:tcBorders>
            <w:shd w:val="clear" w:color="auto" w:fill="BFBFBF"/>
            <w:vAlign w:val="center"/>
          </w:tcPr>
          <w:p w14:paraId="3AD409F4" w14:textId="77777777" w:rsidR="00CB0005" w:rsidRPr="00F80B42" w:rsidRDefault="00CB0005" w:rsidP="00542F75">
            <w:pPr>
              <w:pStyle w:val="NormalWeb"/>
              <w:spacing w:before="0" w:beforeAutospacing="0" w:after="0" w:afterAutospacing="0"/>
              <w:jc w:val="center"/>
              <w:rPr>
                <w:rFonts w:ascii="Arial Narrow" w:hAnsi="Arial Narrow" w:cs="Arial"/>
                <w:b/>
                <w:bCs/>
              </w:rPr>
            </w:pPr>
            <w:r>
              <w:rPr>
                <w:rFonts w:ascii="Arial Narrow" w:hAnsi="Arial Narrow" w:cs="Arial"/>
                <w:b/>
                <w:bCs/>
              </w:rPr>
              <w:t>FY21</w:t>
            </w:r>
          </w:p>
        </w:tc>
        <w:tc>
          <w:tcPr>
            <w:tcW w:w="1166" w:type="dxa"/>
            <w:tcBorders>
              <w:left w:val="single" w:sz="4" w:space="0" w:color="auto"/>
              <w:right w:val="single" w:sz="12" w:space="0" w:color="auto"/>
            </w:tcBorders>
            <w:shd w:val="clear" w:color="auto" w:fill="BFBFBF"/>
            <w:vAlign w:val="center"/>
          </w:tcPr>
          <w:p w14:paraId="738E9733" w14:textId="77777777" w:rsidR="00CB0005" w:rsidRPr="00F80B42" w:rsidRDefault="00CB0005" w:rsidP="00542F75">
            <w:pPr>
              <w:pStyle w:val="NormalWeb"/>
              <w:spacing w:before="0" w:beforeAutospacing="0" w:after="0" w:afterAutospacing="0"/>
              <w:jc w:val="center"/>
              <w:rPr>
                <w:rFonts w:ascii="Arial Narrow" w:hAnsi="Arial Narrow" w:cs="Arial"/>
                <w:b/>
                <w:bCs/>
              </w:rPr>
            </w:pPr>
            <w:r>
              <w:rPr>
                <w:rFonts w:ascii="Arial Narrow" w:hAnsi="Arial Narrow" w:cs="Arial"/>
                <w:b/>
                <w:bCs/>
              </w:rPr>
              <w:t>FY22 YTD</w:t>
            </w:r>
          </w:p>
        </w:tc>
      </w:tr>
      <w:tr w:rsidR="00CB0005" w14:paraId="23FA4F49" w14:textId="77777777" w:rsidTr="00EF288A">
        <w:trPr>
          <w:cantSplit/>
          <w:jc w:val="center"/>
        </w:trPr>
        <w:tc>
          <w:tcPr>
            <w:tcW w:w="1423" w:type="dxa"/>
            <w:tcBorders>
              <w:left w:val="single" w:sz="12" w:space="0" w:color="auto"/>
              <w:right w:val="single" w:sz="12" w:space="0" w:color="auto"/>
            </w:tcBorders>
            <w:vAlign w:val="center"/>
          </w:tcPr>
          <w:p w14:paraId="2B111F06" w14:textId="77777777" w:rsidR="00CB0005" w:rsidRDefault="00CB0005" w:rsidP="00542F75">
            <w:pPr>
              <w:pStyle w:val="NormalWeb"/>
              <w:spacing w:before="0" w:beforeAutospacing="0" w:after="0" w:afterAutospacing="0"/>
              <w:rPr>
                <w:rFonts w:ascii="Arial Narrow" w:hAnsi="Arial Narrow" w:cs="Arial"/>
                <w:b/>
                <w:bCs/>
              </w:rPr>
            </w:pPr>
            <w:r>
              <w:rPr>
                <w:rFonts w:ascii="Arial Narrow" w:hAnsi="Arial Narrow" w:cs="Arial"/>
                <w:b/>
                <w:bCs/>
              </w:rPr>
              <w:t>Discharges</w:t>
            </w:r>
          </w:p>
        </w:tc>
        <w:tc>
          <w:tcPr>
            <w:tcW w:w="929" w:type="dxa"/>
            <w:tcBorders>
              <w:left w:val="single" w:sz="12" w:space="0" w:color="auto"/>
            </w:tcBorders>
            <w:shd w:val="clear" w:color="auto" w:fill="auto"/>
            <w:vAlign w:val="center"/>
          </w:tcPr>
          <w:p w14:paraId="4ADFFF0C" w14:textId="77777777" w:rsidR="00CB0005" w:rsidRPr="00F80B42" w:rsidRDefault="00CB0005" w:rsidP="00542F75">
            <w:pPr>
              <w:pStyle w:val="NormalWeb"/>
              <w:spacing w:before="0" w:beforeAutospacing="0" w:after="0" w:afterAutospacing="0"/>
              <w:jc w:val="center"/>
              <w:rPr>
                <w:rFonts w:ascii="Arial Narrow" w:hAnsi="Arial Narrow" w:cs="Arial"/>
              </w:rPr>
            </w:pPr>
            <w:r>
              <w:rPr>
                <w:rFonts w:ascii="Arial Narrow" w:hAnsi="Arial Narrow" w:cs="Arial"/>
              </w:rPr>
              <w:t>13,662</w:t>
            </w:r>
          </w:p>
        </w:tc>
        <w:tc>
          <w:tcPr>
            <w:tcW w:w="929" w:type="dxa"/>
            <w:tcBorders>
              <w:right w:val="single" w:sz="4" w:space="0" w:color="auto"/>
            </w:tcBorders>
            <w:shd w:val="clear" w:color="auto" w:fill="auto"/>
            <w:vAlign w:val="center"/>
          </w:tcPr>
          <w:p w14:paraId="0E484F59" w14:textId="77777777" w:rsidR="00CB0005" w:rsidRPr="00F80B42" w:rsidRDefault="00CB0005" w:rsidP="00542F75">
            <w:pPr>
              <w:pStyle w:val="NormalWeb"/>
              <w:spacing w:before="0" w:beforeAutospacing="0" w:after="0" w:afterAutospacing="0"/>
              <w:jc w:val="center"/>
              <w:rPr>
                <w:rFonts w:ascii="Arial Narrow" w:hAnsi="Arial Narrow" w:cs="Arial"/>
              </w:rPr>
            </w:pPr>
            <w:r>
              <w:rPr>
                <w:rFonts w:ascii="Arial Narrow" w:hAnsi="Arial Narrow" w:cs="Arial"/>
              </w:rPr>
              <w:t>12,761</w:t>
            </w:r>
          </w:p>
        </w:tc>
        <w:tc>
          <w:tcPr>
            <w:tcW w:w="929" w:type="dxa"/>
            <w:tcBorders>
              <w:left w:val="single" w:sz="4" w:space="0" w:color="auto"/>
              <w:right w:val="single" w:sz="4" w:space="0" w:color="auto"/>
            </w:tcBorders>
            <w:shd w:val="clear" w:color="auto" w:fill="auto"/>
            <w:vAlign w:val="center"/>
          </w:tcPr>
          <w:p w14:paraId="0718B099" w14:textId="77777777" w:rsidR="00CB0005" w:rsidRPr="00F80B42" w:rsidRDefault="00CB0005" w:rsidP="00542F75">
            <w:pPr>
              <w:pStyle w:val="NormalWeb"/>
              <w:spacing w:before="0" w:beforeAutospacing="0" w:after="0" w:afterAutospacing="0"/>
              <w:jc w:val="center"/>
              <w:rPr>
                <w:rFonts w:ascii="Arial Narrow" w:hAnsi="Arial Narrow" w:cs="Arial"/>
              </w:rPr>
            </w:pPr>
            <w:r>
              <w:rPr>
                <w:rFonts w:ascii="Arial Narrow" w:hAnsi="Arial Narrow" w:cs="Arial"/>
              </w:rPr>
              <w:t>13,683</w:t>
            </w:r>
          </w:p>
        </w:tc>
        <w:tc>
          <w:tcPr>
            <w:tcW w:w="1167" w:type="dxa"/>
            <w:tcBorders>
              <w:left w:val="single" w:sz="4" w:space="0" w:color="auto"/>
              <w:right w:val="single" w:sz="12" w:space="0" w:color="auto"/>
            </w:tcBorders>
            <w:shd w:val="clear" w:color="auto" w:fill="auto"/>
            <w:vAlign w:val="center"/>
          </w:tcPr>
          <w:p w14:paraId="593B97F3" w14:textId="77777777" w:rsidR="00CB0005" w:rsidRPr="00F80B42" w:rsidRDefault="00CB0005" w:rsidP="00542F75">
            <w:pPr>
              <w:pStyle w:val="NormalWeb"/>
              <w:spacing w:before="0" w:beforeAutospacing="0" w:after="0" w:afterAutospacing="0"/>
              <w:jc w:val="center"/>
              <w:rPr>
                <w:rFonts w:ascii="Arial Narrow" w:hAnsi="Arial Narrow" w:cs="Arial"/>
              </w:rPr>
            </w:pPr>
            <w:r>
              <w:rPr>
                <w:rFonts w:ascii="Arial Narrow" w:hAnsi="Arial Narrow" w:cs="Arial"/>
              </w:rPr>
              <w:t>10,209</w:t>
            </w:r>
          </w:p>
        </w:tc>
        <w:tc>
          <w:tcPr>
            <w:tcW w:w="929" w:type="dxa"/>
            <w:tcBorders>
              <w:left w:val="single" w:sz="12" w:space="0" w:color="auto"/>
              <w:right w:val="single" w:sz="4" w:space="0" w:color="auto"/>
            </w:tcBorders>
            <w:shd w:val="clear" w:color="auto" w:fill="auto"/>
            <w:vAlign w:val="center"/>
          </w:tcPr>
          <w:p w14:paraId="5E413239" w14:textId="77777777" w:rsidR="00CB0005" w:rsidRPr="00F80B42" w:rsidRDefault="00CB0005" w:rsidP="00542F75">
            <w:pPr>
              <w:pStyle w:val="NormalWeb"/>
              <w:spacing w:before="0" w:beforeAutospacing="0" w:after="0" w:afterAutospacing="0"/>
              <w:jc w:val="center"/>
              <w:rPr>
                <w:rFonts w:ascii="Arial Narrow" w:hAnsi="Arial Narrow" w:cs="Arial"/>
              </w:rPr>
            </w:pPr>
            <w:r>
              <w:rPr>
                <w:rFonts w:ascii="Arial Narrow" w:hAnsi="Arial Narrow" w:cs="Arial"/>
              </w:rPr>
              <w:t>4,118</w:t>
            </w:r>
          </w:p>
        </w:tc>
        <w:tc>
          <w:tcPr>
            <w:tcW w:w="929" w:type="dxa"/>
            <w:tcBorders>
              <w:left w:val="single" w:sz="4" w:space="0" w:color="auto"/>
            </w:tcBorders>
            <w:shd w:val="clear" w:color="auto" w:fill="auto"/>
            <w:vAlign w:val="center"/>
          </w:tcPr>
          <w:p w14:paraId="06309299" w14:textId="77777777" w:rsidR="00CB0005" w:rsidRPr="00F80B42" w:rsidRDefault="00CB0005" w:rsidP="00542F75">
            <w:pPr>
              <w:pStyle w:val="NormalWeb"/>
              <w:spacing w:before="0" w:beforeAutospacing="0" w:after="0" w:afterAutospacing="0"/>
              <w:jc w:val="center"/>
              <w:rPr>
                <w:rFonts w:ascii="Arial Narrow" w:hAnsi="Arial Narrow" w:cs="Arial"/>
              </w:rPr>
            </w:pPr>
            <w:r>
              <w:rPr>
                <w:rFonts w:ascii="Arial Narrow" w:hAnsi="Arial Narrow" w:cs="Arial"/>
              </w:rPr>
              <w:t>3,757</w:t>
            </w:r>
          </w:p>
        </w:tc>
        <w:tc>
          <w:tcPr>
            <w:tcW w:w="929" w:type="dxa"/>
            <w:tcBorders>
              <w:right w:val="single" w:sz="4" w:space="0" w:color="auto"/>
            </w:tcBorders>
            <w:shd w:val="clear" w:color="auto" w:fill="auto"/>
            <w:vAlign w:val="center"/>
          </w:tcPr>
          <w:p w14:paraId="10749B8D" w14:textId="77777777" w:rsidR="00CB0005" w:rsidRPr="00F80B42" w:rsidRDefault="00CB0005" w:rsidP="00542F75">
            <w:pPr>
              <w:pStyle w:val="NormalWeb"/>
              <w:spacing w:before="0" w:beforeAutospacing="0" w:after="0" w:afterAutospacing="0"/>
              <w:jc w:val="center"/>
              <w:rPr>
                <w:rFonts w:ascii="Arial Narrow" w:hAnsi="Arial Narrow" w:cs="Arial"/>
              </w:rPr>
            </w:pPr>
            <w:r>
              <w:rPr>
                <w:rFonts w:ascii="Arial Narrow" w:hAnsi="Arial Narrow" w:cs="Arial"/>
              </w:rPr>
              <w:t>3,959</w:t>
            </w:r>
          </w:p>
        </w:tc>
        <w:tc>
          <w:tcPr>
            <w:tcW w:w="1166" w:type="dxa"/>
            <w:tcBorders>
              <w:left w:val="single" w:sz="4" w:space="0" w:color="auto"/>
              <w:right w:val="single" w:sz="12" w:space="0" w:color="auto"/>
            </w:tcBorders>
            <w:shd w:val="clear" w:color="auto" w:fill="auto"/>
            <w:vAlign w:val="center"/>
          </w:tcPr>
          <w:p w14:paraId="64802AE4" w14:textId="77777777" w:rsidR="00CB0005" w:rsidRPr="00F80B42" w:rsidRDefault="00CB0005" w:rsidP="00542F75">
            <w:pPr>
              <w:pStyle w:val="NormalWeb"/>
              <w:spacing w:before="0" w:beforeAutospacing="0" w:after="0" w:afterAutospacing="0"/>
              <w:jc w:val="center"/>
              <w:rPr>
                <w:rFonts w:ascii="Arial Narrow" w:hAnsi="Arial Narrow" w:cs="Arial"/>
              </w:rPr>
            </w:pPr>
            <w:r>
              <w:rPr>
                <w:rFonts w:ascii="Arial Narrow" w:hAnsi="Arial Narrow" w:cs="Arial"/>
              </w:rPr>
              <w:t>2,989</w:t>
            </w:r>
          </w:p>
        </w:tc>
      </w:tr>
      <w:tr w:rsidR="00CB0005" w14:paraId="7C58A41C" w14:textId="77777777" w:rsidTr="00EF288A">
        <w:trPr>
          <w:cantSplit/>
          <w:jc w:val="center"/>
        </w:trPr>
        <w:tc>
          <w:tcPr>
            <w:tcW w:w="1423" w:type="dxa"/>
            <w:tcBorders>
              <w:left w:val="single" w:sz="12" w:space="0" w:color="auto"/>
              <w:right w:val="single" w:sz="12" w:space="0" w:color="auto"/>
            </w:tcBorders>
            <w:vAlign w:val="center"/>
          </w:tcPr>
          <w:p w14:paraId="54C070EB" w14:textId="77777777" w:rsidR="00CB0005" w:rsidRDefault="00CB0005" w:rsidP="00542F75">
            <w:pPr>
              <w:pStyle w:val="NormalWeb"/>
              <w:spacing w:before="0" w:beforeAutospacing="0" w:after="0" w:afterAutospacing="0"/>
              <w:rPr>
                <w:rFonts w:ascii="Arial Narrow" w:hAnsi="Arial Narrow" w:cs="Arial"/>
                <w:b/>
                <w:bCs/>
              </w:rPr>
            </w:pPr>
            <w:r>
              <w:rPr>
                <w:rFonts w:ascii="Arial Narrow" w:hAnsi="Arial Narrow" w:cs="Arial"/>
                <w:b/>
                <w:bCs/>
              </w:rPr>
              <w:t xml:space="preserve">Case Weight </w:t>
            </w:r>
          </w:p>
        </w:tc>
        <w:tc>
          <w:tcPr>
            <w:tcW w:w="929" w:type="dxa"/>
            <w:tcBorders>
              <w:left w:val="single" w:sz="12" w:space="0" w:color="auto"/>
            </w:tcBorders>
            <w:shd w:val="clear" w:color="auto" w:fill="auto"/>
            <w:vAlign w:val="center"/>
          </w:tcPr>
          <w:p w14:paraId="75B8D98F" w14:textId="77777777" w:rsidR="00CB0005" w:rsidRPr="00F80B42" w:rsidRDefault="00CB0005" w:rsidP="00542F75">
            <w:pPr>
              <w:pStyle w:val="NormalWeb"/>
              <w:spacing w:before="0" w:beforeAutospacing="0" w:after="0" w:afterAutospacing="0"/>
              <w:jc w:val="center"/>
              <w:rPr>
                <w:rFonts w:ascii="Arial Narrow" w:hAnsi="Arial Narrow" w:cs="Arial"/>
              </w:rPr>
            </w:pPr>
            <w:r>
              <w:rPr>
                <w:rFonts w:ascii="Arial Narrow" w:hAnsi="Arial Narrow" w:cs="Arial"/>
              </w:rPr>
              <w:t>21,647</w:t>
            </w:r>
          </w:p>
        </w:tc>
        <w:tc>
          <w:tcPr>
            <w:tcW w:w="929" w:type="dxa"/>
            <w:tcBorders>
              <w:right w:val="single" w:sz="4" w:space="0" w:color="auto"/>
            </w:tcBorders>
            <w:shd w:val="clear" w:color="auto" w:fill="auto"/>
            <w:vAlign w:val="center"/>
          </w:tcPr>
          <w:p w14:paraId="4F7F3C42" w14:textId="77777777" w:rsidR="00CB0005" w:rsidRPr="00F80B42" w:rsidRDefault="00CB0005" w:rsidP="00542F75">
            <w:pPr>
              <w:pStyle w:val="NormalWeb"/>
              <w:spacing w:before="0" w:beforeAutospacing="0" w:after="0" w:afterAutospacing="0"/>
              <w:jc w:val="center"/>
              <w:rPr>
                <w:rFonts w:ascii="Arial Narrow" w:hAnsi="Arial Narrow" w:cs="Arial"/>
              </w:rPr>
            </w:pPr>
            <w:r>
              <w:rPr>
                <w:rFonts w:ascii="Arial Narrow" w:hAnsi="Arial Narrow" w:cs="Arial"/>
              </w:rPr>
              <w:t>20,350</w:t>
            </w:r>
          </w:p>
        </w:tc>
        <w:tc>
          <w:tcPr>
            <w:tcW w:w="929" w:type="dxa"/>
            <w:tcBorders>
              <w:left w:val="single" w:sz="4" w:space="0" w:color="auto"/>
              <w:right w:val="single" w:sz="4" w:space="0" w:color="auto"/>
            </w:tcBorders>
            <w:shd w:val="clear" w:color="auto" w:fill="auto"/>
            <w:vAlign w:val="center"/>
          </w:tcPr>
          <w:p w14:paraId="5F378CD0" w14:textId="77777777" w:rsidR="00CB0005" w:rsidRPr="00F80B42" w:rsidRDefault="00CB0005" w:rsidP="00542F75">
            <w:pPr>
              <w:pStyle w:val="NormalWeb"/>
              <w:spacing w:before="0" w:beforeAutospacing="0" w:after="0" w:afterAutospacing="0"/>
              <w:jc w:val="center"/>
              <w:rPr>
                <w:rFonts w:ascii="Arial Narrow" w:hAnsi="Arial Narrow" w:cs="Arial"/>
              </w:rPr>
            </w:pPr>
            <w:r>
              <w:rPr>
                <w:rFonts w:ascii="Arial Narrow" w:hAnsi="Arial Narrow" w:cs="Arial"/>
              </w:rPr>
              <w:t>22,695</w:t>
            </w:r>
          </w:p>
        </w:tc>
        <w:tc>
          <w:tcPr>
            <w:tcW w:w="1167" w:type="dxa"/>
            <w:tcBorders>
              <w:left w:val="single" w:sz="4" w:space="0" w:color="auto"/>
              <w:right w:val="single" w:sz="12" w:space="0" w:color="auto"/>
            </w:tcBorders>
            <w:shd w:val="clear" w:color="auto" w:fill="auto"/>
            <w:vAlign w:val="center"/>
          </w:tcPr>
          <w:p w14:paraId="7121E36C" w14:textId="3D5B90C8" w:rsidR="00CB0005" w:rsidRPr="00F80B42" w:rsidRDefault="003F5E8A" w:rsidP="00542F75">
            <w:pPr>
              <w:pStyle w:val="NormalWeb"/>
              <w:spacing w:before="0" w:beforeAutospacing="0" w:after="0" w:afterAutospacing="0"/>
              <w:jc w:val="center"/>
              <w:rPr>
                <w:rFonts w:ascii="Arial Narrow" w:hAnsi="Arial Narrow" w:cs="Arial"/>
              </w:rPr>
            </w:pPr>
            <w:r>
              <w:rPr>
                <w:rFonts w:ascii="Arial Narrow" w:hAnsi="Arial Narrow" w:cs="Arial"/>
              </w:rPr>
              <w:t>17,057</w:t>
            </w:r>
          </w:p>
        </w:tc>
        <w:tc>
          <w:tcPr>
            <w:tcW w:w="929" w:type="dxa"/>
            <w:tcBorders>
              <w:left w:val="single" w:sz="12" w:space="0" w:color="auto"/>
              <w:right w:val="single" w:sz="4" w:space="0" w:color="auto"/>
            </w:tcBorders>
            <w:shd w:val="clear" w:color="auto" w:fill="auto"/>
            <w:vAlign w:val="center"/>
          </w:tcPr>
          <w:p w14:paraId="3C1E9A99" w14:textId="77777777" w:rsidR="00CB0005" w:rsidRPr="00F80B42" w:rsidRDefault="00CB0005" w:rsidP="00542F75">
            <w:pPr>
              <w:pStyle w:val="NormalWeb"/>
              <w:spacing w:before="0" w:beforeAutospacing="0" w:after="0" w:afterAutospacing="0"/>
              <w:jc w:val="center"/>
              <w:rPr>
                <w:rFonts w:ascii="Arial Narrow" w:hAnsi="Arial Narrow" w:cs="Arial"/>
              </w:rPr>
            </w:pPr>
            <w:r>
              <w:rPr>
                <w:rFonts w:ascii="Arial Narrow" w:hAnsi="Arial Narrow" w:cs="Arial"/>
              </w:rPr>
              <w:t>12,278</w:t>
            </w:r>
          </w:p>
        </w:tc>
        <w:tc>
          <w:tcPr>
            <w:tcW w:w="929" w:type="dxa"/>
            <w:tcBorders>
              <w:left w:val="single" w:sz="4" w:space="0" w:color="auto"/>
            </w:tcBorders>
            <w:shd w:val="clear" w:color="auto" w:fill="auto"/>
            <w:vAlign w:val="center"/>
          </w:tcPr>
          <w:p w14:paraId="7D1DBCDD" w14:textId="77777777" w:rsidR="00CB0005" w:rsidRPr="00F80B42" w:rsidRDefault="00CB0005" w:rsidP="00542F75">
            <w:pPr>
              <w:pStyle w:val="NormalWeb"/>
              <w:spacing w:before="0" w:beforeAutospacing="0" w:after="0" w:afterAutospacing="0"/>
              <w:jc w:val="center"/>
              <w:rPr>
                <w:rFonts w:ascii="Arial Narrow" w:hAnsi="Arial Narrow" w:cs="Arial"/>
              </w:rPr>
            </w:pPr>
            <w:r>
              <w:rPr>
                <w:rFonts w:ascii="Arial Narrow" w:hAnsi="Arial Narrow" w:cs="Arial"/>
              </w:rPr>
              <w:t>11,853</w:t>
            </w:r>
          </w:p>
        </w:tc>
        <w:tc>
          <w:tcPr>
            <w:tcW w:w="929" w:type="dxa"/>
            <w:tcBorders>
              <w:right w:val="single" w:sz="4" w:space="0" w:color="auto"/>
            </w:tcBorders>
            <w:shd w:val="clear" w:color="auto" w:fill="auto"/>
            <w:vAlign w:val="center"/>
          </w:tcPr>
          <w:p w14:paraId="78E36FF4" w14:textId="77777777" w:rsidR="00CB0005" w:rsidRPr="00F80B42" w:rsidRDefault="00CB0005" w:rsidP="00542F75">
            <w:pPr>
              <w:pStyle w:val="NormalWeb"/>
              <w:spacing w:before="0" w:beforeAutospacing="0" w:after="0" w:afterAutospacing="0"/>
              <w:jc w:val="center"/>
              <w:rPr>
                <w:rFonts w:ascii="Arial Narrow" w:hAnsi="Arial Narrow" w:cs="Arial"/>
              </w:rPr>
            </w:pPr>
            <w:r>
              <w:rPr>
                <w:rFonts w:ascii="Arial Narrow" w:hAnsi="Arial Narrow" w:cs="Arial"/>
              </w:rPr>
              <w:t>13,040</w:t>
            </w:r>
          </w:p>
        </w:tc>
        <w:tc>
          <w:tcPr>
            <w:tcW w:w="1166" w:type="dxa"/>
            <w:tcBorders>
              <w:left w:val="single" w:sz="4" w:space="0" w:color="auto"/>
              <w:right w:val="single" w:sz="12" w:space="0" w:color="auto"/>
            </w:tcBorders>
            <w:shd w:val="clear" w:color="auto" w:fill="auto"/>
            <w:vAlign w:val="center"/>
          </w:tcPr>
          <w:p w14:paraId="484AE5A4" w14:textId="77777777" w:rsidR="00CB0005" w:rsidRPr="00F80B42" w:rsidRDefault="00CB0005" w:rsidP="00542F75">
            <w:pPr>
              <w:pStyle w:val="NormalWeb"/>
              <w:spacing w:before="0" w:beforeAutospacing="0" w:after="0" w:afterAutospacing="0"/>
              <w:jc w:val="center"/>
              <w:rPr>
                <w:rFonts w:ascii="Arial Narrow" w:hAnsi="Arial Narrow" w:cs="Arial"/>
              </w:rPr>
            </w:pPr>
            <w:r>
              <w:rPr>
                <w:rFonts w:ascii="Arial Narrow" w:hAnsi="Arial Narrow" w:cs="Arial"/>
              </w:rPr>
              <w:t>9,374</w:t>
            </w:r>
          </w:p>
        </w:tc>
      </w:tr>
      <w:tr w:rsidR="00CB0005" w14:paraId="1532249A" w14:textId="77777777" w:rsidTr="00EF288A">
        <w:trPr>
          <w:cantSplit/>
          <w:jc w:val="center"/>
        </w:trPr>
        <w:tc>
          <w:tcPr>
            <w:tcW w:w="1423" w:type="dxa"/>
            <w:tcBorders>
              <w:left w:val="single" w:sz="12" w:space="0" w:color="auto"/>
              <w:right w:val="single" w:sz="12" w:space="0" w:color="auto"/>
            </w:tcBorders>
            <w:vAlign w:val="center"/>
          </w:tcPr>
          <w:p w14:paraId="6F9CB6B6" w14:textId="77777777" w:rsidR="00CB0005" w:rsidRDefault="00CB0005" w:rsidP="00542F75">
            <w:pPr>
              <w:pStyle w:val="NormalWeb"/>
              <w:spacing w:before="0" w:beforeAutospacing="0" w:after="0" w:afterAutospacing="0"/>
              <w:rPr>
                <w:rFonts w:ascii="Arial Narrow" w:hAnsi="Arial Narrow" w:cs="Arial"/>
                <w:b/>
                <w:bCs/>
              </w:rPr>
            </w:pPr>
            <w:r>
              <w:rPr>
                <w:rFonts w:ascii="Arial Narrow" w:hAnsi="Arial Narrow" w:cs="Arial"/>
                <w:b/>
                <w:bCs/>
              </w:rPr>
              <w:t>CMI</w:t>
            </w:r>
          </w:p>
        </w:tc>
        <w:tc>
          <w:tcPr>
            <w:tcW w:w="929" w:type="dxa"/>
            <w:tcBorders>
              <w:left w:val="single" w:sz="12" w:space="0" w:color="auto"/>
            </w:tcBorders>
            <w:shd w:val="clear" w:color="auto" w:fill="auto"/>
            <w:vAlign w:val="center"/>
          </w:tcPr>
          <w:p w14:paraId="6A1A5DB9" w14:textId="77777777" w:rsidR="00CB0005" w:rsidRPr="00F80B42" w:rsidRDefault="00CB0005" w:rsidP="00542F75">
            <w:pPr>
              <w:pStyle w:val="NormalWeb"/>
              <w:spacing w:before="0" w:beforeAutospacing="0" w:after="0" w:afterAutospacing="0"/>
              <w:jc w:val="center"/>
              <w:rPr>
                <w:rFonts w:ascii="Arial Narrow" w:hAnsi="Arial Narrow" w:cs="Arial"/>
              </w:rPr>
            </w:pPr>
            <w:r>
              <w:rPr>
                <w:rFonts w:ascii="Arial Narrow" w:hAnsi="Arial Narrow" w:cs="Arial"/>
              </w:rPr>
              <w:t>1.58</w:t>
            </w:r>
          </w:p>
        </w:tc>
        <w:tc>
          <w:tcPr>
            <w:tcW w:w="929" w:type="dxa"/>
            <w:tcBorders>
              <w:right w:val="single" w:sz="4" w:space="0" w:color="auto"/>
            </w:tcBorders>
            <w:shd w:val="clear" w:color="auto" w:fill="auto"/>
            <w:vAlign w:val="center"/>
          </w:tcPr>
          <w:p w14:paraId="108A7AEB" w14:textId="77777777" w:rsidR="00CB0005" w:rsidRPr="00F80B42" w:rsidRDefault="00CB0005" w:rsidP="00542F75">
            <w:pPr>
              <w:pStyle w:val="NormalWeb"/>
              <w:spacing w:before="0" w:beforeAutospacing="0" w:after="0" w:afterAutospacing="0"/>
              <w:jc w:val="center"/>
              <w:rPr>
                <w:rFonts w:ascii="Arial Narrow" w:hAnsi="Arial Narrow" w:cs="Arial"/>
              </w:rPr>
            </w:pPr>
            <w:r>
              <w:rPr>
                <w:rFonts w:ascii="Arial Narrow" w:hAnsi="Arial Narrow" w:cs="Arial"/>
              </w:rPr>
              <w:t>1.59</w:t>
            </w:r>
          </w:p>
        </w:tc>
        <w:tc>
          <w:tcPr>
            <w:tcW w:w="929" w:type="dxa"/>
            <w:tcBorders>
              <w:left w:val="single" w:sz="4" w:space="0" w:color="auto"/>
              <w:right w:val="single" w:sz="4" w:space="0" w:color="auto"/>
            </w:tcBorders>
            <w:shd w:val="clear" w:color="auto" w:fill="auto"/>
            <w:vAlign w:val="center"/>
          </w:tcPr>
          <w:p w14:paraId="2B9A54C0" w14:textId="77777777" w:rsidR="00CB0005" w:rsidRPr="00F80B42" w:rsidRDefault="00CB0005" w:rsidP="00542F75">
            <w:pPr>
              <w:pStyle w:val="NormalWeb"/>
              <w:spacing w:before="0" w:beforeAutospacing="0" w:after="0" w:afterAutospacing="0"/>
              <w:jc w:val="center"/>
              <w:rPr>
                <w:rFonts w:ascii="Arial Narrow" w:hAnsi="Arial Narrow" w:cs="Arial"/>
              </w:rPr>
            </w:pPr>
            <w:r>
              <w:rPr>
                <w:rFonts w:ascii="Arial Narrow" w:hAnsi="Arial Narrow" w:cs="Arial"/>
              </w:rPr>
              <w:t>1.66</w:t>
            </w:r>
          </w:p>
        </w:tc>
        <w:tc>
          <w:tcPr>
            <w:tcW w:w="1167" w:type="dxa"/>
            <w:tcBorders>
              <w:left w:val="single" w:sz="4" w:space="0" w:color="auto"/>
              <w:right w:val="single" w:sz="12" w:space="0" w:color="auto"/>
            </w:tcBorders>
            <w:shd w:val="clear" w:color="auto" w:fill="auto"/>
            <w:vAlign w:val="center"/>
          </w:tcPr>
          <w:p w14:paraId="5AB2193F" w14:textId="77777777" w:rsidR="00CB0005" w:rsidRPr="00F80B42" w:rsidRDefault="00CB0005" w:rsidP="00542F75">
            <w:pPr>
              <w:pStyle w:val="NormalWeb"/>
              <w:spacing w:before="0" w:beforeAutospacing="0" w:after="0" w:afterAutospacing="0"/>
              <w:jc w:val="center"/>
              <w:rPr>
                <w:rFonts w:ascii="Arial Narrow" w:hAnsi="Arial Narrow" w:cs="Arial"/>
              </w:rPr>
            </w:pPr>
            <w:r>
              <w:rPr>
                <w:rFonts w:ascii="Arial Narrow" w:hAnsi="Arial Narrow" w:cs="Arial"/>
              </w:rPr>
              <w:t>1.67</w:t>
            </w:r>
          </w:p>
        </w:tc>
        <w:tc>
          <w:tcPr>
            <w:tcW w:w="929" w:type="dxa"/>
            <w:tcBorders>
              <w:left w:val="single" w:sz="12" w:space="0" w:color="auto"/>
              <w:right w:val="single" w:sz="4" w:space="0" w:color="auto"/>
            </w:tcBorders>
            <w:shd w:val="clear" w:color="auto" w:fill="auto"/>
            <w:vAlign w:val="center"/>
          </w:tcPr>
          <w:p w14:paraId="7D7F7B5F" w14:textId="77777777" w:rsidR="00CB0005" w:rsidRPr="00F80B42" w:rsidRDefault="00CB0005" w:rsidP="00542F75">
            <w:pPr>
              <w:pStyle w:val="NormalWeb"/>
              <w:spacing w:before="0" w:beforeAutospacing="0" w:after="0" w:afterAutospacing="0"/>
              <w:jc w:val="center"/>
              <w:rPr>
                <w:rFonts w:ascii="Arial Narrow" w:hAnsi="Arial Narrow" w:cs="Arial"/>
              </w:rPr>
            </w:pPr>
            <w:r>
              <w:rPr>
                <w:rFonts w:ascii="Arial Narrow" w:hAnsi="Arial Narrow" w:cs="Arial"/>
              </w:rPr>
              <w:t>2.98</w:t>
            </w:r>
          </w:p>
        </w:tc>
        <w:tc>
          <w:tcPr>
            <w:tcW w:w="929" w:type="dxa"/>
            <w:tcBorders>
              <w:left w:val="single" w:sz="4" w:space="0" w:color="auto"/>
            </w:tcBorders>
            <w:shd w:val="clear" w:color="auto" w:fill="auto"/>
            <w:vAlign w:val="center"/>
          </w:tcPr>
          <w:p w14:paraId="1EACE486" w14:textId="77777777" w:rsidR="00CB0005" w:rsidRPr="00F80B42" w:rsidRDefault="00CB0005" w:rsidP="00542F75">
            <w:pPr>
              <w:pStyle w:val="NormalWeb"/>
              <w:spacing w:before="0" w:beforeAutospacing="0" w:after="0" w:afterAutospacing="0"/>
              <w:jc w:val="center"/>
              <w:rPr>
                <w:rFonts w:ascii="Arial Narrow" w:hAnsi="Arial Narrow" w:cs="Arial"/>
              </w:rPr>
            </w:pPr>
            <w:r>
              <w:rPr>
                <w:rFonts w:ascii="Arial Narrow" w:hAnsi="Arial Narrow" w:cs="Arial"/>
              </w:rPr>
              <w:t>3.15</w:t>
            </w:r>
          </w:p>
        </w:tc>
        <w:tc>
          <w:tcPr>
            <w:tcW w:w="929" w:type="dxa"/>
            <w:tcBorders>
              <w:right w:val="single" w:sz="4" w:space="0" w:color="auto"/>
            </w:tcBorders>
            <w:shd w:val="clear" w:color="auto" w:fill="auto"/>
            <w:vAlign w:val="center"/>
          </w:tcPr>
          <w:p w14:paraId="69C7A9A4" w14:textId="77777777" w:rsidR="00CB0005" w:rsidRPr="00F80B42" w:rsidRDefault="00CB0005" w:rsidP="00542F75">
            <w:pPr>
              <w:pStyle w:val="NormalWeb"/>
              <w:spacing w:before="0" w:beforeAutospacing="0" w:after="0" w:afterAutospacing="0"/>
              <w:jc w:val="center"/>
              <w:rPr>
                <w:rFonts w:ascii="Arial Narrow" w:hAnsi="Arial Narrow" w:cs="Arial"/>
              </w:rPr>
            </w:pPr>
            <w:r>
              <w:rPr>
                <w:rFonts w:ascii="Arial Narrow" w:hAnsi="Arial Narrow" w:cs="Arial"/>
              </w:rPr>
              <w:t>3.29</w:t>
            </w:r>
          </w:p>
        </w:tc>
        <w:tc>
          <w:tcPr>
            <w:tcW w:w="1166" w:type="dxa"/>
            <w:tcBorders>
              <w:left w:val="single" w:sz="4" w:space="0" w:color="auto"/>
              <w:right w:val="single" w:sz="12" w:space="0" w:color="auto"/>
            </w:tcBorders>
            <w:shd w:val="clear" w:color="auto" w:fill="auto"/>
            <w:vAlign w:val="center"/>
          </w:tcPr>
          <w:p w14:paraId="2BC3E4ED" w14:textId="77777777" w:rsidR="00CB0005" w:rsidRPr="00F80B42" w:rsidRDefault="00CB0005" w:rsidP="00542F75">
            <w:pPr>
              <w:pStyle w:val="NormalWeb"/>
              <w:spacing w:before="0" w:beforeAutospacing="0" w:after="0" w:afterAutospacing="0"/>
              <w:jc w:val="center"/>
              <w:rPr>
                <w:rFonts w:ascii="Arial Narrow" w:hAnsi="Arial Narrow" w:cs="Arial"/>
              </w:rPr>
            </w:pPr>
            <w:r>
              <w:rPr>
                <w:rFonts w:ascii="Arial Narrow" w:hAnsi="Arial Narrow" w:cs="Arial"/>
              </w:rPr>
              <w:t>3.14</w:t>
            </w:r>
          </w:p>
        </w:tc>
      </w:tr>
      <w:tr w:rsidR="00CB0005" w14:paraId="286CB32F" w14:textId="77777777" w:rsidTr="00EF288A">
        <w:trPr>
          <w:cantSplit/>
          <w:jc w:val="center"/>
        </w:trPr>
        <w:tc>
          <w:tcPr>
            <w:tcW w:w="1423" w:type="dxa"/>
            <w:tcBorders>
              <w:left w:val="single" w:sz="12" w:space="0" w:color="auto"/>
              <w:bottom w:val="single" w:sz="4" w:space="0" w:color="auto"/>
              <w:right w:val="single" w:sz="12" w:space="0" w:color="auto"/>
            </w:tcBorders>
            <w:vAlign w:val="center"/>
          </w:tcPr>
          <w:p w14:paraId="3FB2ECE1" w14:textId="77777777" w:rsidR="00CB0005" w:rsidRPr="00871AB0" w:rsidRDefault="00CB0005" w:rsidP="00542F75">
            <w:pPr>
              <w:pStyle w:val="NormalWeb"/>
              <w:spacing w:before="0" w:beforeAutospacing="0" w:after="0" w:afterAutospacing="0"/>
              <w:rPr>
                <w:rFonts w:ascii="Arial Narrow" w:hAnsi="Arial Narrow" w:cs="Arial"/>
                <w:b/>
                <w:bCs/>
              </w:rPr>
            </w:pPr>
            <w:r w:rsidRPr="00871AB0">
              <w:rPr>
                <w:rFonts w:ascii="Arial Narrow" w:hAnsi="Arial Narrow" w:cs="Arial"/>
                <w:b/>
                <w:bCs/>
              </w:rPr>
              <w:t>ALOS</w:t>
            </w:r>
          </w:p>
        </w:tc>
        <w:tc>
          <w:tcPr>
            <w:tcW w:w="929" w:type="dxa"/>
            <w:tcBorders>
              <w:left w:val="single" w:sz="12" w:space="0" w:color="auto"/>
              <w:bottom w:val="single" w:sz="4" w:space="0" w:color="auto"/>
            </w:tcBorders>
            <w:shd w:val="clear" w:color="auto" w:fill="auto"/>
            <w:vAlign w:val="center"/>
          </w:tcPr>
          <w:p w14:paraId="4E3651C6" w14:textId="77777777" w:rsidR="00CB0005" w:rsidRPr="00871AB0" w:rsidRDefault="00CB0005" w:rsidP="00542F75">
            <w:pPr>
              <w:pStyle w:val="NormalWeb"/>
              <w:spacing w:before="0" w:beforeAutospacing="0" w:after="0" w:afterAutospacing="0"/>
              <w:jc w:val="center"/>
              <w:rPr>
                <w:rFonts w:ascii="Arial Narrow" w:hAnsi="Arial Narrow" w:cs="Arial"/>
              </w:rPr>
            </w:pPr>
            <w:r w:rsidRPr="00871AB0">
              <w:rPr>
                <w:rFonts w:ascii="Arial Narrow" w:hAnsi="Arial Narrow" w:cs="Arial"/>
              </w:rPr>
              <w:t>4.70</w:t>
            </w:r>
          </w:p>
        </w:tc>
        <w:tc>
          <w:tcPr>
            <w:tcW w:w="929" w:type="dxa"/>
            <w:tcBorders>
              <w:bottom w:val="single" w:sz="4" w:space="0" w:color="auto"/>
              <w:right w:val="single" w:sz="4" w:space="0" w:color="auto"/>
            </w:tcBorders>
            <w:shd w:val="clear" w:color="auto" w:fill="auto"/>
            <w:vAlign w:val="center"/>
          </w:tcPr>
          <w:p w14:paraId="14EBF133" w14:textId="77777777" w:rsidR="00CB0005" w:rsidRPr="00871AB0" w:rsidRDefault="00CB0005" w:rsidP="00542F75">
            <w:pPr>
              <w:pStyle w:val="NormalWeb"/>
              <w:spacing w:before="0" w:beforeAutospacing="0" w:after="0" w:afterAutospacing="0"/>
              <w:jc w:val="center"/>
              <w:rPr>
                <w:rFonts w:ascii="Arial Narrow" w:hAnsi="Arial Narrow" w:cs="Arial"/>
              </w:rPr>
            </w:pPr>
            <w:r w:rsidRPr="00871AB0">
              <w:rPr>
                <w:rFonts w:ascii="Arial Narrow" w:hAnsi="Arial Narrow" w:cs="Arial"/>
              </w:rPr>
              <w:t>4.94</w:t>
            </w:r>
          </w:p>
        </w:tc>
        <w:tc>
          <w:tcPr>
            <w:tcW w:w="929" w:type="dxa"/>
            <w:tcBorders>
              <w:left w:val="single" w:sz="4" w:space="0" w:color="auto"/>
              <w:bottom w:val="single" w:sz="4" w:space="0" w:color="auto"/>
              <w:right w:val="single" w:sz="4" w:space="0" w:color="auto"/>
            </w:tcBorders>
            <w:shd w:val="clear" w:color="auto" w:fill="auto"/>
            <w:vAlign w:val="center"/>
          </w:tcPr>
          <w:p w14:paraId="3A90E3F4" w14:textId="77777777" w:rsidR="00CB0005" w:rsidRPr="00871AB0" w:rsidRDefault="00CB0005" w:rsidP="00542F75">
            <w:pPr>
              <w:pStyle w:val="NormalWeb"/>
              <w:spacing w:before="0" w:beforeAutospacing="0" w:after="0" w:afterAutospacing="0"/>
              <w:jc w:val="center"/>
              <w:rPr>
                <w:rFonts w:ascii="Arial Narrow" w:hAnsi="Arial Narrow" w:cs="Arial"/>
              </w:rPr>
            </w:pPr>
            <w:r w:rsidRPr="00871AB0">
              <w:rPr>
                <w:rFonts w:ascii="Arial Narrow" w:hAnsi="Arial Narrow" w:cs="Arial"/>
              </w:rPr>
              <w:t>5.15</w:t>
            </w:r>
          </w:p>
        </w:tc>
        <w:tc>
          <w:tcPr>
            <w:tcW w:w="1167" w:type="dxa"/>
            <w:tcBorders>
              <w:left w:val="single" w:sz="4" w:space="0" w:color="auto"/>
              <w:bottom w:val="single" w:sz="4" w:space="0" w:color="auto"/>
              <w:right w:val="single" w:sz="12" w:space="0" w:color="auto"/>
            </w:tcBorders>
            <w:shd w:val="clear" w:color="auto" w:fill="auto"/>
            <w:vAlign w:val="center"/>
          </w:tcPr>
          <w:p w14:paraId="6385EAD8" w14:textId="77777777" w:rsidR="00CB0005" w:rsidRPr="00871AB0" w:rsidRDefault="00CB0005" w:rsidP="00542F75">
            <w:pPr>
              <w:pStyle w:val="NormalWeb"/>
              <w:spacing w:before="0" w:beforeAutospacing="0" w:after="0" w:afterAutospacing="0"/>
              <w:jc w:val="center"/>
              <w:rPr>
                <w:rFonts w:ascii="Arial Narrow" w:hAnsi="Arial Narrow" w:cs="Arial"/>
              </w:rPr>
            </w:pPr>
            <w:r>
              <w:rPr>
                <w:rFonts w:ascii="Arial Narrow" w:hAnsi="Arial Narrow" w:cs="Arial"/>
              </w:rPr>
              <w:t>5.96</w:t>
            </w:r>
          </w:p>
        </w:tc>
        <w:tc>
          <w:tcPr>
            <w:tcW w:w="929" w:type="dxa"/>
            <w:tcBorders>
              <w:left w:val="single" w:sz="12" w:space="0" w:color="auto"/>
              <w:bottom w:val="single" w:sz="4" w:space="0" w:color="auto"/>
              <w:right w:val="single" w:sz="4" w:space="0" w:color="auto"/>
            </w:tcBorders>
            <w:shd w:val="clear" w:color="auto" w:fill="auto"/>
            <w:vAlign w:val="center"/>
          </w:tcPr>
          <w:p w14:paraId="238F4D31" w14:textId="77777777" w:rsidR="00CB0005" w:rsidRPr="00871AB0" w:rsidRDefault="00CB0005" w:rsidP="00542F75">
            <w:pPr>
              <w:pStyle w:val="NormalWeb"/>
              <w:spacing w:before="0" w:beforeAutospacing="0" w:after="0" w:afterAutospacing="0"/>
              <w:jc w:val="center"/>
              <w:rPr>
                <w:rFonts w:ascii="Arial Narrow" w:hAnsi="Arial Narrow" w:cs="Arial"/>
              </w:rPr>
            </w:pPr>
            <w:r w:rsidRPr="00871AB0">
              <w:rPr>
                <w:rFonts w:ascii="Arial Narrow" w:hAnsi="Arial Narrow" w:cs="Arial"/>
              </w:rPr>
              <w:t>10.11</w:t>
            </w:r>
          </w:p>
        </w:tc>
        <w:tc>
          <w:tcPr>
            <w:tcW w:w="929" w:type="dxa"/>
            <w:tcBorders>
              <w:left w:val="single" w:sz="4" w:space="0" w:color="auto"/>
              <w:bottom w:val="single" w:sz="4" w:space="0" w:color="auto"/>
            </w:tcBorders>
            <w:shd w:val="clear" w:color="auto" w:fill="auto"/>
            <w:vAlign w:val="center"/>
          </w:tcPr>
          <w:p w14:paraId="4B9119C8" w14:textId="77777777" w:rsidR="00CB0005" w:rsidRPr="00871AB0" w:rsidRDefault="00CB0005" w:rsidP="00542F75">
            <w:pPr>
              <w:pStyle w:val="NormalWeb"/>
              <w:spacing w:before="0" w:beforeAutospacing="0" w:after="0" w:afterAutospacing="0"/>
              <w:jc w:val="center"/>
              <w:rPr>
                <w:rFonts w:ascii="Arial Narrow" w:hAnsi="Arial Narrow" w:cs="Arial"/>
              </w:rPr>
            </w:pPr>
            <w:r w:rsidRPr="00871AB0">
              <w:rPr>
                <w:rFonts w:ascii="Arial Narrow" w:hAnsi="Arial Narrow" w:cs="Arial"/>
              </w:rPr>
              <w:t>11.31</w:t>
            </w:r>
          </w:p>
        </w:tc>
        <w:tc>
          <w:tcPr>
            <w:tcW w:w="929" w:type="dxa"/>
            <w:tcBorders>
              <w:bottom w:val="single" w:sz="4" w:space="0" w:color="auto"/>
              <w:right w:val="single" w:sz="4" w:space="0" w:color="auto"/>
            </w:tcBorders>
            <w:shd w:val="clear" w:color="auto" w:fill="auto"/>
            <w:vAlign w:val="center"/>
          </w:tcPr>
          <w:p w14:paraId="1896E45A" w14:textId="77777777" w:rsidR="00CB0005" w:rsidRPr="00871AB0" w:rsidRDefault="00CB0005" w:rsidP="00542F75">
            <w:pPr>
              <w:pStyle w:val="NormalWeb"/>
              <w:spacing w:before="0" w:beforeAutospacing="0" w:after="0" w:afterAutospacing="0"/>
              <w:jc w:val="center"/>
              <w:rPr>
                <w:rFonts w:ascii="Arial Narrow" w:hAnsi="Arial Narrow" w:cs="Arial"/>
              </w:rPr>
            </w:pPr>
            <w:r w:rsidRPr="00871AB0">
              <w:rPr>
                <w:rFonts w:ascii="Arial Narrow" w:hAnsi="Arial Narrow" w:cs="Arial"/>
              </w:rPr>
              <w:t>12.26</w:t>
            </w:r>
          </w:p>
        </w:tc>
        <w:tc>
          <w:tcPr>
            <w:tcW w:w="1166" w:type="dxa"/>
            <w:tcBorders>
              <w:left w:val="single" w:sz="4" w:space="0" w:color="auto"/>
              <w:bottom w:val="single" w:sz="4" w:space="0" w:color="auto"/>
              <w:right w:val="single" w:sz="12" w:space="0" w:color="auto"/>
            </w:tcBorders>
            <w:shd w:val="clear" w:color="auto" w:fill="auto"/>
            <w:vAlign w:val="center"/>
          </w:tcPr>
          <w:p w14:paraId="6FC30A3D" w14:textId="77777777" w:rsidR="00CB0005" w:rsidRPr="00871AB0" w:rsidRDefault="00CB0005" w:rsidP="00542F75">
            <w:pPr>
              <w:pStyle w:val="NormalWeb"/>
              <w:spacing w:before="0" w:beforeAutospacing="0" w:after="0" w:afterAutospacing="0"/>
              <w:jc w:val="center"/>
              <w:rPr>
                <w:rFonts w:ascii="Arial Narrow" w:hAnsi="Arial Narrow" w:cs="Arial"/>
              </w:rPr>
            </w:pPr>
            <w:r>
              <w:rPr>
                <w:rFonts w:ascii="Arial Narrow" w:hAnsi="Arial Narrow" w:cs="Arial"/>
              </w:rPr>
              <w:t>13.29</w:t>
            </w:r>
          </w:p>
        </w:tc>
      </w:tr>
      <w:tr w:rsidR="00CB0005" w14:paraId="02BB81A0" w14:textId="77777777" w:rsidTr="00EF288A">
        <w:trPr>
          <w:cantSplit/>
          <w:jc w:val="center"/>
        </w:trPr>
        <w:tc>
          <w:tcPr>
            <w:tcW w:w="1423" w:type="dxa"/>
            <w:tcBorders>
              <w:left w:val="single" w:sz="12" w:space="0" w:color="auto"/>
              <w:bottom w:val="single" w:sz="12" w:space="0" w:color="auto"/>
              <w:right w:val="single" w:sz="12" w:space="0" w:color="auto"/>
            </w:tcBorders>
            <w:vAlign w:val="center"/>
          </w:tcPr>
          <w:p w14:paraId="6D22D0A3" w14:textId="77777777" w:rsidR="00CB0005" w:rsidRPr="00871AB0" w:rsidRDefault="00CB0005" w:rsidP="00542F75">
            <w:pPr>
              <w:pStyle w:val="NormalWeb"/>
              <w:spacing w:before="0" w:beforeAutospacing="0" w:after="0" w:afterAutospacing="0"/>
              <w:rPr>
                <w:rFonts w:ascii="Arial Narrow" w:hAnsi="Arial Narrow" w:cs="Arial"/>
                <w:b/>
                <w:bCs/>
              </w:rPr>
            </w:pPr>
            <w:r w:rsidRPr="00871AB0">
              <w:rPr>
                <w:rFonts w:ascii="Arial Narrow" w:hAnsi="Arial Narrow" w:cs="Arial"/>
                <w:b/>
                <w:bCs/>
              </w:rPr>
              <w:t>Occupancy</w:t>
            </w:r>
          </w:p>
        </w:tc>
        <w:tc>
          <w:tcPr>
            <w:tcW w:w="929" w:type="dxa"/>
            <w:tcBorders>
              <w:left w:val="single" w:sz="12" w:space="0" w:color="auto"/>
              <w:bottom w:val="single" w:sz="12" w:space="0" w:color="auto"/>
            </w:tcBorders>
            <w:shd w:val="clear" w:color="auto" w:fill="auto"/>
            <w:vAlign w:val="center"/>
          </w:tcPr>
          <w:p w14:paraId="6BAAF0C0" w14:textId="77777777" w:rsidR="00CB0005" w:rsidRPr="00113D3F" w:rsidRDefault="00CB0005" w:rsidP="00542F75">
            <w:pPr>
              <w:pStyle w:val="NormalWeb"/>
              <w:spacing w:before="0" w:beforeAutospacing="0" w:after="0" w:afterAutospacing="0"/>
              <w:jc w:val="center"/>
              <w:rPr>
                <w:rFonts w:ascii="Arial Narrow" w:hAnsi="Arial Narrow" w:cs="Arial"/>
              </w:rPr>
            </w:pPr>
            <w:r w:rsidRPr="00113D3F">
              <w:rPr>
                <w:rFonts w:ascii="Arial Narrow" w:hAnsi="Arial Narrow" w:cs="Arial"/>
              </w:rPr>
              <w:t>90%</w:t>
            </w:r>
          </w:p>
        </w:tc>
        <w:tc>
          <w:tcPr>
            <w:tcW w:w="929" w:type="dxa"/>
            <w:tcBorders>
              <w:bottom w:val="single" w:sz="12" w:space="0" w:color="auto"/>
              <w:right w:val="single" w:sz="4" w:space="0" w:color="auto"/>
            </w:tcBorders>
            <w:shd w:val="clear" w:color="auto" w:fill="auto"/>
            <w:vAlign w:val="center"/>
          </w:tcPr>
          <w:p w14:paraId="17E2F98D" w14:textId="77777777" w:rsidR="00CB0005" w:rsidRPr="00113D3F" w:rsidRDefault="00CB0005" w:rsidP="00542F75">
            <w:pPr>
              <w:pStyle w:val="NormalWeb"/>
              <w:spacing w:before="0" w:beforeAutospacing="0" w:after="0" w:afterAutospacing="0"/>
              <w:jc w:val="center"/>
              <w:rPr>
                <w:rFonts w:ascii="Arial Narrow" w:hAnsi="Arial Narrow" w:cs="Arial"/>
              </w:rPr>
            </w:pPr>
            <w:r w:rsidRPr="00113D3F">
              <w:rPr>
                <w:rFonts w:ascii="Arial Narrow" w:hAnsi="Arial Narrow" w:cs="Arial"/>
              </w:rPr>
              <w:t>83%</w:t>
            </w:r>
          </w:p>
        </w:tc>
        <w:tc>
          <w:tcPr>
            <w:tcW w:w="929" w:type="dxa"/>
            <w:tcBorders>
              <w:left w:val="single" w:sz="4" w:space="0" w:color="auto"/>
              <w:bottom w:val="single" w:sz="12" w:space="0" w:color="auto"/>
              <w:right w:val="single" w:sz="4" w:space="0" w:color="auto"/>
            </w:tcBorders>
            <w:shd w:val="clear" w:color="auto" w:fill="auto"/>
            <w:vAlign w:val="center"/>
          </w:tcPr>
          <w:p w14:paraId="798C5D2D" w14:textId="77777777" w:rsidR="00CB0005" w:rsidRPr="00E54505" w:rsidRDefault="00CB0005" w:rsidP="00542F75">
            <w:pPr>
              <w:pStyle w:val="NormalWeb"/>
              <w:spacing w:before="0" w:beforeAutospacing="0" w:after="0" w:afterAutospacing="0"/>
              <w:jc w:val="center"/>
              <w:rPr>
                <w:rFonts w:ascii="Arial Narrow" w:hAnsi="Arial Narrow" w:cs="Arial"/>
                <w:color w:val="000000" w:themeColor="text1"/>
              </w:rPr>
            </w:pPr>
            <w:r w:rsidRPr="00871AB0">
              <w:rPr>
                <w:rFonts w:ascii="Arial Narrow" w:hAnsi="Arial Narrow" w:cs="Arial"/>
              </w:rPr>
              <w:t>9</w:t>
            </w:r>
            <w:r>
              <w:rPr>
                <w:rFonts w:ascii="Arial Narrow" w:hAnsi="Arial Narrow" w:cs="Arial"/>
              </w:rPr>
              <w:t>0</w:t>
            </w:r>
            <w:r w:rsidRPr="00871AB0">
              <w:rPr>
                <w:rFonts w:ascii="Arial Narrow" w:hAnsi="Arial Narrow" w:cs="Arial"/>
              </w:rPr>
              <w:t>%</w:t>
            </w:r>
          </w:p>
        </w:tc>
        <w:tc>
          <w:tcPr>
            <w:tcW w:w="1167" w:type="dxa"/>
            <w:tcBorders>
              <w:left w:val="single" w:sz="4" w:space="0" w:color="auto"/>
              <w:bottom w:val="single" w:sz="12" w:space="0" w:color="auto"/>
              <w:right w:val="single" w:sz="12" w:space="0" w:color="auto"/>
            </w:tcBorders>
            <w:shd w:val="clear" w:color="auto" w:fill="auto"/>
            <w:vAlign w:val="center"/>
          </w:tcPr>
          <w:p w14:paraId="18DF8814" w14:textId="77777777" w:rsidR="00CB0005" w:rsidRPr="00E54505" w:rsidRDefault="00CB0005" w:rsidP="00542F75">
            <w:pPr>
              <w:pStyle w:val="NormalWeb"/>
              <w:spacing w:before="0" w:beforeAutospacing="0" w:after="0" w:afterAutospacing="0"/>
              <w:jc w:val="center"/>
              <w:rPr>
                <w:rFonts w:ascii="Arial Narrow" w:hAnsi="Arial Narrow" w:cs="Arial"/>
                <w:color w:val="000000" w:themeColor="text1"/>
              </w:rPr>
            </w:pPr>
            <w:r>
              <w:rPr>
                <w:rFonts w:ascii="Arial Narrow" w:hAnsi="Arial Narrow" w:cs="Arial"/>
                <w:color w:val="000000" w:themeColor="text1"/>
              </w:rPr>
              <w:t>93%</w:t>
            </w:r>
          </w:p>
        </w:tc>
        <w:tc>
          <w:tcPr>
            <w:tcW w:w="929" w:type="dxa"/>
            <w:tcBorders>
              <w:left w:val="single" w:sz="12" w:space="0" w:color="auto"/>
              <w:bottom w:val="single" w:sz="12" w:space="0" w:color="auto"/>
              <w:right w:val="single" w:sz="4" w:space="0" w:color="auto"/>
            </w:tcBorders>
            <w:shd w:val="clear" w:color="auto" w:fill="auto"/>
            <w:vAlign w:val="center"/>
          </w:tcPr>
          <w:p w14:paraId="52741D23" w14:textId="77777777" w:rsidR="00CB0005" w:rsidRPr="00E54505" w:rsidRDefault="00CB0005" w:rsidP="00542F75">
            <w:pPr>
              <w:pStyle w:val="NormalWeb"/>
              <w:spacing w:before="0" w:beforeAutospacing="0" w:after="0" w:afterAutospacing="0"/>
              <w:jc w:val="center"/>
              <w:rPr>
                <w:rFonts w:ascii="Arial Narrow" w:hAnsi="Arial Narrow" w:cs="Arial"/>
                <w:color w:val="000000" w:themeColor="text1"/>
              </w:rPr>
            </w:pPr>
            <w:r w:rsidRPr="00E54505">
              <w:rPr>
                <w:rFonts w:ascii="Arial Narrow" w:hAnsi="Arial Narrow" w:cs="Arial"/>
                <w:color w:val="000000" w:themeColor="text1"/>
              </w:rPr>
              <w:t>8</w:t>
            </w:r>
            <w:r>
              <w:rPr>
                <w:rFonts w:ascii="Arial Narrow" w:hAnsi="Arial Narrow" w:cs="Arial"/>
                <w:color w:val="000000" w:themeColor="text1"/>
              </w:rPr>
              <w:t>3</w:t>
            </w:r>
            <w:r w:rsidRPr="00E54505">
              <w:rPr>
                <w:rFonts w:ascii="Arial Narrow" w:hAnsi="Arial Narrow" w:cs="Arial"/>
                <w:color w:val="000000" w:themeColor="text1"/>
              </w:rPr>
              <w:t>%</w:t>
            </w:r>
          </w:p>
        </w:tc>
        <w:tc>
          <w:tcPr>
            <w:tcW w:w="929" w:type="dxa"/>
            <w:tcBorders>
              <w:left w:val="single" w:sz="4" w:space="0" w:color="auto"/>
              <w:bottom w:val="single" w:sz="12" w:space="0" w:color="auto"/>
            </w:tcBorders>
            <w:shd w:val="clear" w:color="auto" w:fill="auto"/>
            <w:vAlign w:val="center"/>
          </w:tcPr>
          <w:p w14:paraId="4B8EB88E" w14:textId="77777777" w:rsidR="00CB0005" w:rsidRPr="00E54505" w:rsidRDefault="00CB0005" w:rsidP="00542F75">
            <w:pPr>
              <w:pStyle w:val="NormalWeb"/>
              <w:spacing w:before="0" w:beforeAutospacing="0" w:after="0" w:afterAutospacing="0"/>
              <w:jc w:val="center"/>
              <w:rPr>
                <w:rFonts w:ascii="Arial Narrow" w:hAnsi="Arial Narrow" w:cs="Arial"/>
                <w:color w:val="000000" w:themeColor="text1"/>
              </w:rPr>
            </w:pPr>
            <w:r w:rsidRPr="00E54505">
              <w:rPr>
                <w:rFonts w:ascii="Arial Narrow" w:hAnsi="Arial Narrow" w:cs="Arial"/>
                <w:color w:val="000000" w:themeColor="text1"/>
              </w:rPr>
              <w:t>69%</w:t>
            </w:r>
          </w:p>
        </w:tc>
        <w:tc>
          <w:tcPr>
            <w:tcW w:w="929" w:type="dxa"/>
            <w:tcBorders>
              <w:bottom w:val="single" w:sz="12" w:space="0" w:color="auto"/>
              <w:right w:val="single" w:sz="4" w:space="0" w:color="auto"/>
            </w:tcBorders>
            <w:shd w:val="clear" w:color="auto" w:fill="auto"/>
            <w:vAlign w:val="center"/>
          </w:tcPr>
          <w:p w14:paraId="3D4B0E8E" w14:textId="77777777" w:rsidR="00CB0005" w:rsidRPr="00E54505" w:rsidRDefault="00CB0005" w:rsidP="00542F75">
            <w:pPr>
              <w:pStyle w:val="NormalWeb"/>
              <w:spacing w:before="0" w:beforeAutospacing="0" w:after="0" w:afterAutospacing="0"/>
              <w:jc w:val="center"/>
              <w:rPr>
                <w:rFonts w:ascii="Arial Narrow" w:hAnsi="Arial Narrow" w:cs="Arial"/>
                <w:color w:val="000000" w:themeColor="text1"/>
              </w:rPr>
            </w:pPr>
            <w:r w:rsidRPr="00E54505">
              <w:rPr>
                <w:rFonts w:ascii="Arial Narrow" w:hAnsi="Arial Narrow" w:cs="Arial"/>
                <w:color w:val="000000" w:themeColor="text1"/>
              </w:rPr>
              <w:t>8</w:t>
            </w:r>
            <w:r>
              <w:rPr>
                <w:rFonts w:ascii="Arial Narrow" w:hAnsi="Arial Narrow" w:cs="Arial"/>
                <w:color w:val="000000" w:themeColor="text1"/>
              </w:rPr>
              <w:t>3</w:t>
            </w:r>
            <w:r w:rsidRPr="00E54505">
              <w:rPr>
                <w:rFonts w:ascii="Arial Narrow" w:hAnsi="Arial Narrow" w:cs="Arial"/>
                <w:color w:val="000000" w:themeColor="text1"/>
              </w:rPr>
              <w:t>%</w:t>
            </w:r>
          </w:p>
        </w:tc>
        <w:tc>
          <w:tcPr>
            <w:tcW w:w="1166" w:type="dxa"/>
            <w:tcBorders>
              <w:left w:val="single" w:sz="4" w:space="0" w:color="auto"/>
              <w:bottom w:val="single" w:sz="12" w:space="0" w:color="auto"/>
              <w:right w:val="single" w:sz="12" w:space="0" w:color="auto"/>
            </w:tcBorders>
            <w:shd w:val="clear" w:color="auto" w:fill="auto"/>
            <w:vAlign w:val="center"/>
          </w:tcPr>
          <w:p w14:paraId="037A37CE" w14:textId="77777777" w:rsidR="00CB0005" w:rsidRPr="00E54505" w:rsidRDefault="00CB0005" w:rsidP="00542F75">
            <w:pPr>
              <w:pStyle w:val="NormalWeb"/>
              <w:spacing w:before="0" w:beforeAutospacing="0" w:after="0" w:afterAutospacing="0"/>
              <w:jc w:val="center"/>
              <w:rPr>
                <w:rFonts w:ascii="Arial Narrow" w:hAnsi="Arial Narrow" w:cs="Arial"/>
                <w:color w:val="000000" w:themeColor="text1"/>
              </w:rPr>
            </w:pPr>
            <w:r>
              <w:rPr>
                <w:rFonts w:ascii="Arial Narrow" w:hAnsi="Arial Narrow" w:cs="Arial"/>
                <w:color w:val="000000" w:themeColor="text1"/>
              </w:rPr>
              <w:t>80%</w:t>
            </w:r>
          </w:p>
        </w:tc>
      </w:tr>
    </w:tbl>
    <w:p w14:paraId="4C204880" w14:textId="38D9DB49" w:rsidR="003C36B6" w:rsidRDefault="003C36B6" w:rsidP="00D64C24">
      <w:pPr>
        <w:spacing w:after="120" w:line="259" w:lineRule="auto"/>
        <w:rPr>
          <w:rFonts w:ascii="Arial" w:hAnsi="Arial" w:cs="Arial"/>
          <w:sz w:val="22"/>
          <w:szCs w:val="22"/>
        </w:rPr>
      </w:pPr>
    </w:p>
    <w:p w14:paraId="18BE4102" w14:textId="77777777" w:rsidR="00580F40" w:rsidRDefault="00580F40" w:rsidP="00D64C24">
      <w:pPr>
        <w:spacing w:after="120" w:line="259" w:lineRule="auto"/>
        <w:rPr>
          <w:rFonts w:ascii="Arial" w:hAnsi="Arial" w:cs="Arial"/>
          <w:sz w:val="22"/>
          <w:szCs w:val="22"/>
        </w:rPr>
      </w:pPr>
    </w:p>
    <w:p w14:paraId="7B34DCE0" w14:textId="5FCB047C" w:rsidR="00982FA7" w:rsidRDefault="00580F40" w:rsidP="00D64C24">
      <w:pPr>
        <w:spacing w:after="120" w:line="259" w:lineRule="auto"/>
        <w:rPr>
          <w:rFonts w:ascii="Arial" w:hAnsi="Arial" w:cs="Arial"/>
          <w:sz w:val="22"/>
          <w:szCs w:val="22"/>
        </w:rPr>
      </w:pPr>
      <w:r w:rsidRPr="00580F40">
        <w:rPr>
          <w:rFonts w:ascii="Arial Narrow" w:hAnsi="Arial Narrow" w:cs="Arial"/>
          <w:b/>
          <w:bCs/>
          <w:color w:val="FFFFFF"/>
          <w:shd w:val="clear" w:color="auto" w:fill="0070C0"/>
        </w:rPr>
        <w:lastRenderedPageBreak/>
        <w:t>Table 12 REVISED: BMC Inpatient Bed Historical Utilization (Non-COVID-19 ONLY)</w:t>
      </w:r>
    </w:p>
    <w:tbl>
      <w:tblPr>
        <w:tblStyle w:val="TableGrid"/>
        <w:tblW w:w="0" w:type="auto"/>
        <w:jc w:val="center"/>
        <w:tblLayout w:type="fixed"/>
        <w:tblLook w:val="04A0" w:firstRow="1" w:lastRow="0" w:firstColumn="1" w:lastColumn="0" w:noHBand="0" w:noVBand="1"/>
      </w:tblPr>
      <w:tblGrid>
        <w:gridCol w:w="1422"/>
        <w:gridCol w:w="931"/>
        <w:gridCol w:w="931"/>
        <w:gridCol w:w="931"/>
        <w:gridCol w:w="1170"/>
        <w:gridCol w:w="930"/>
        <w:gridCol w:w="930"/>
        <w:gridCol w:w="930"/>
        <w:gridCol w:w="1155"/>
      </w:tblGrid>
      <w:tr w:rsidR="00037F4C" w14:paraId="552C4AAF" w14:textId="77777777" w:rsidTr="00580F40">
        <w:trPr>
          <w:cantSplit/>
          <w:tblHeader/>
          <w:jc w:val="center"/>
        </w:trPr>
        <w:tc>
          <w:tcPr>
            <w:tcW w:w="1422" w:type="dxa"/>
            <w:tcBorders>
              <w:top w:val="single" w:sz="12" w:space="0" w:color="auto"/>
              <w:left w:val="single" w:sz="12" w:space="0" w:color="auto"/>
              <w:right w:val="single" w:sz="12" w:space="0" w:color="auto"/>
            </w:tcBorders>
            <w:shd w:val="clear" w:color="auto" w:fill="8DA9DB"/>
          </w:tcPr>
          <w:p w14:paraId="4A52E955" w14:textId="77777777" w:rsidR="00D64C24" w:rsidRPr="00F80B42" w:rsidRDefault="00D64C24" w:rsidP="00542F75">
            <w:pPr>
              <w:pStyle w:val="NormalWeb"/>
              <w:spacing w:before="0" w:beforeAutospacing="0" w:after="0" w:afterAutospacing="0"/>
              <w:jc w:val="center"/>
              <w:rPr>
                <w:rFonts w:ascii="Arial Narrow" w:hAnsi="Arial Narrow" w:cs="Arial"/>
              </w:rPr>
            </w:pPr>
          </w:p>
        </w:tc>
        <w:tc>
          <w:tcPr>
            <w:tcW w:w="3963" w:type="dxa"/>
            <w:gridSpan w:val="4"/>
            <w:tcBorders>
              <w:top w:val="single" w:sz="12" w:space="0" w:color="auto"/>
              <w:left w:val="single" w:sz="12" w:space="0" w:color="auto"/>
              <w:right w:val="single" w:sz="12" w:space="0" w:color="auto"/>
            </w:tcBorders>
            <w:shd w:val="clear" w:color="auto" w:fill="8DA9DB"/>
            <w:vAlign w:val="center"/>
          </w:tcPr>
          <w:p w14:paraId="69CE375F" w14:textId="00F88D23" w:rsidR="00974954" w:rsidRPr="00F80B42" w:rsidRDefault="00D64C24" w:rsidP="00542F75">
            <w:pPr>
              <w:pStyle w:val="NormalWeb"/>
              <w:spacing w:before="0" w:beforeAutospacing="0" w:after="0" w:afterAutospacing="0"/>
              <w:jc w:val="center"/>
              <w:rPr>
                <w:rFonts w:ascii="Arial Narrow" w:hAnsi="Arial Narrow" w:cs="Arial"/>
                <w:b/>
                <w:bCs/>
              </w:rPr>
            </w:pPr>
            <w:r w:rsidRPr="00F80B42">
              <w:rPr>
                <w:rFonts w:ascii="Arial Narrow" w:hAnsi="Arial Narrow" w:cs="Arial"/>
                <w:b/>
                <w:bCs/>
              </w:rPr>
              <w:t>Medical/Surgical</w:t>
            </w:r>
            <w:r w:rsidR="00974954">
              <w:rPr>
                <w:rStyle w:val="EndnoteReference"/>
                <w:rFonts w:ascii="Arial Narrow" w:hAnsi="Arial Narrow" w:cs="Arial"/>
                <w:b/>
                <w:bCs/>
              </w:rPr>
              <w:endnoteReference w:id="5"/>
            </w:r>
            <w:r w:rsidR="00974954" w:rsidRPr="007C13EB">
              <w:rPr>
                <w:rFonts w:ascii="Arial Narrow" w:hAnsi="Arial Narrow" w:cs="Arial"/>
                <w:b/>
                <w:bCs/>
                <w:vertAlign w:val="superscript"/>
              </w:rPr>
              <w:t>,</w:t>
            </w:r>
            <w:r w:rsidR="00974954">
              <w:rPr>
                <w:rStyle w:val="EndnoteReference"/>
                <w:rFonts w:ascii="Arial Narrow" w:hAnsi="Arial Narrow" w:cs="Arial"/>
                <w:b/>
                <w:bCs/>
              </w:rPr>
              <w:endnoteReference w:id="6"/>
            </w:r>
          </w:p>
        </w:tc>
        <w:tc>
          <w:tcPr>
            <w:tcW w:w="3945" w:type="dxa"/>
            <w:gridSpan w:val="4"/>
            <w:tcBorders>
              <w:top w:val="single" w:sz="12" w:space="0" w:color="auto"/>
              <w:left w:val="single" w:sz="12" w:space="0" w:color="auto"/>
              <w:right w:val="single" w:sz="12" w:space="0" w:color="auto"/>
            </w:tcBorders>
            <w:shd w:val="clear" w:color="auto" w:fill="8DA9DB"/>
            <w:vAlign w:val="center"/>
          </w:tcPr>
          <w:p w14:paraId="272F1B05" w14:textId="5BEEA56C" w:rsidR="00974954" w:rsidRPr="00F80B42" w:rsidRDefault="00974954" w:rsidP="00542F75">
            <w:pPr>
              <w:pStyle w:val="NormalWeb"/>
              <w:spacing w:before="0" w:beforeAutospacing="0" w:after="0" w:afterAutospacing="0"/>
              <w:jc w:val="center"/>
              <w:rPr>
                <w:rFonts w:ascii="Arial Narrow" w:hAnsi="Arial Narrow" w:cs="Arial"/>
                <w:b/>
                <w:bCs/>
              </w:rPr>
            </w:pPr>
            <w:r w:rsidRPr="00F80B42">
              <w:rPr>
                <w:rFonts w:ascii="Arial Narrow" w:hAnsi="Arial Narrow" w:cs="Arial"/>
                <w:b/>
                <w:bCs/>
              </w:rPr>
              <w:t>ICU</w:t>
            </w:r>
            <w:r>
              <w:rPr>
                <w:rStyle w:val="EndnoteReference"/>
                <w:rFonts w:ascii="Arial Narrow" w:hAnsi="Arial Narrow" w:cs="Arial"/>
                <w:b/>
                <w:bCs/>
              </w:rPr>
              <w:endnoteReference w:id="7"/>
            </w:r>
          </w:p>
        </w:tc>
      </w:tr>
      <w:tr w:rsidR="00037F4C" w14:paraId="208A26D3" w14:textId="77777777" w:rsidTr="00580F40">
        <w:trPr>
          <w:cantSplit/>
          <w:tblHeader/>
          <w:jc w:val="center"/>
        </w:trPr>
        <w:tc>
          <w:tcPr>
            <w:tcW w:w="1422" w:type="dxa"/>
            <w:tcBorders>
              <w:left w:val="single" w:sz="12" w:space="0" w:color="auto"/>
              <w:right w:val="single" w:sz="12" w:space="0" w:color="auto"/>
            </w:tcBorders>
            <w:shd w:val="clear" w:color="auto" w:fill="BFBFBF"/>
          </w:tcPr>
          <w:p w14:paraId="1F39FA70" w14:textId="77777777" w:rsidR="00D64C24" w:rsidRPr="00F80B42" w:rsidRDefault="00D64C24" w:rsidP="00542F75">
            <w:pPr>
              <w:pStyle w:val="NormalWeb"/>
              <w:spacing w:before="0" w:beforeAutospacing="0" w:after="0" w:afterAutospacing="0"/>
              <w:jc w:val="both"/>
              <w:rPr>
                <w:rFonts w:ascii="Arial Narrow" w:hAnsi="Arial Narrow" w:cs="Arial"/>
                <w:b/>
                <w:bCs/>
              </w:rPr>
            </w:pPr>
          </w:p>
        </w:tc>
        <w:tc>
          <w:tcPr>
            <w:tcW w:w="931" w:type="dxa"/>
            <w:tcBorders>
              <w:left w:val="single" w:sz="12" w:space="0" w:color="auto"/>
            </w:tcBorders>
            <w:shd w:val="clear" w:color="auto" w:fill="BFBFBF"/>
            <w:vAlign w:val="center"/>
          </w:tcPr>
          <w:p w14:paraId="0E494C85" w14:textId="77777777" w:rsidR="00D64C24" w:rsidRPr="00F80B42" w:rsidRDefault="00D64C24" w:rsidP="00542F75">
            <w:pPr>
              <w:pStyle w:val="NormalWeb"/>
              <w:spacing w:before="0" w:beforeAutospacing="0" w:after="0" w:afterAutospacing="0"/>
              <w:jc w:val="center"/>
              <w:rPr>
                <w:rFonts w:ascii="Arial Narrow" w:hAnsi="Arial Narrow" w:cs="Arial"/>
                <w:b/>
                <w:bCs/>
              </w:rPr>
            </w:pPr>
            <w:r>
              <w:rPr>
                <w:rFonts w:ascii="Arial Narrow" w:hAnsi="Arial Narrow" w:cs="Arial"/>
                <w:b/>
                <w:bCs/>
              </w:rPr>
              <w:t>FY19</w:t>
            </w:r>
          </w:p>
        </w:tc>
        <w:tc>
          <w:tcPr>
            <w:tcW w:w="931" w:type="dxa"/>
            <w:tcBorders>
              <w:right w:val="single" w:sz="4" w:space="0" w:color="auto"/>
            </w:tcBorders>
            <w:shd w:val="clear" w:color="auto" w:fill="BFBFBF"/>
            <w:vAlign w:val="center"/>
          </w:tcPr>
          <w:p w14:paraId="2D0935C7" w14:textId="77777777" w:rsidR="00D64C24" w:rsidRPr="00F80B42" w:rsidRDefault="00D64C24" w:rsidP="00542F75">
            <w:pPr>
              <w:pStyle w:val="NormalWeb"/>
              <w:spacing w:before="0" w:beforeAutospacing="0" w:after="0" w:afterAutospacing="0"/>
              <w:jc w:val="center"/>
              <w:rPr>
                <w:rFonts w:ascii="Arial Narrow" w:hAnsi="Arial Narrow" w:cs="Arial"/>
                <w:b/>
                <w:bCs/>
              </w:rPr>
            </w:pPr>
            <w:r>
              <w:rPr>
                <w:rFonts w:ascii="Arial Narrow" w:hAnsi="Arial Narrow" w:cs="Arial"/>
                <w:b/>
                <w:bCs/>
              </w:rPr>
              <w:t>FY20</w:t>
            </w:r>
          </w:p>
        </w:tc>
        <w:tc>
          <w:tcPr>
            <w:tcW w:w="931" w:type="dxa"/>
            <w:tcBorders>
              <w:left w:val="single" w:sz="4" w:space="0" w:color="auto"/>
              <w:right w:val="single" w:sz="4" w:space="0" w:color="auto"/>
            </w:tcBorders>
            <w:shd w:val="clear" w:color="auto" w:fill="BFBFBF"/>
            <w:vAlign w:val="center"/>
          </w:tcPr>
          <w:p w14:paraId="7C3ACE23" w14:textId="77777777" w:rsidR="00D64C24" w:rsidRPr="00F80B42" w:rsidRDefault="00D64C24" w:rsidP="00542F75">
            <w:pPr>
              <w:pStyle w:val="NormalWeb"/>
              <w:spacing w:before="0" w:beforeAutospacing="0" w:after="0" w:afterAutospacing="0"/>
              <w:jc w:val="center"/>
              <w:rPr>
                <w:rFonts w:ascii="Arial Narrow" w:hAnsi="Arial Narrow" w:cs="Arial"/>
                <w:b/>
                <w:bCs/>
              </w:rPr>
            </w:pPr>
            <w:r>
              <w:rPr>
                <w:rFonts w:ascii="Arial Narrow" w:hAnsi="Arial Narrow" w:cs="Arial"/>
                <w:b/>
                <w:bCs/>
              </w:rPr>
              <w:t>FY21</w:t>
            </w:r>
          </w:p>
        </w:tc>
        <w:tc>
          <w:tcPr>
            <w:tcW w:w="1170" w:type="dxa"/>
            <w:tcBorders>
              <w:left w:val="single" w:sz="4" w:space="0" w:color="auto"/>
              <w:right w:val="single" w:sz="12" w:space="0" w:color="auto"/>
            </w:tcBorders>
            <w:shd w:val="clear" w:color="auto" w:fill="BFBFBF"/>
            <w:vAlign w:val="center"/>
          </w:tcPr>
          <w:p w14:paraId="5560D441" w14:textId="57F9627A" w:rsidR="00D64C24" w:rsidRPr="00F80B42" w:rsidRDefault="00D64C24" w:rsidP="00542F75">
            <w:pPr>
              <w:pStyle w:val="NormalWeb"/>
              <w:spacing w:before="0" w:beforeAutospacing="0" w:after="0" w:afterAutospacing="0"/>
              <w:jc w:val="center"/>
              <w:rPr>
                <w:rFonts w:ascii="Arial Narrow" w:hAnsi="Arial Narrow" w:cs="Arial"/>
                <w:b/>
                <w:bCs/>
              </w:rPr>
            </w:pPr>
            <w:r>
              <w:rPr>
                <w:rFonts w:ascii="Arial Narrow" w:hAnsi="Arial Narrow" w:cs="Arial"/>
                <w:b/>
                <w:bCs/>
              </w:rPr>
              <w:t>FY22 YTD</w:t>
            </w:r>
          </w:p>
        </w:tc>
        <w:tc>
          <w:tcPr>
            <w:tcW w:w="930" w:type="dxa"/>
            <w:tcBorders>
              <w:left w:val="single" w:sz="12" w:space="0" w:color="auto"/>
              <w:right w:val="single" w:sz="4" w:space="0" w:color="auto"/>
            </w:tcBorders>
            <w:shd w:val="clear" w:color="auto" w:fill="BFBFBF"/>
            <w:vAlign w:val="center"/>
          </w:tcPr>
          <w:p w14:paraId="7EBBADF5" w14:textId="77777777" w:rsidR="00D64C24" w:rsidRPr="00F80B42" w:rsidRDefault="00D64C24" w:rsidP="00542F75">
            <w:pPr>
              <w:pStyle w:val="NormalWeb"/>
              <w:spacing w:before="0" w:beforeAutospacing="0" w:after="0" w:afterAutospacing="0"/>
              <w:jc w:val="center"/>
              <w:rPr>
                <w:rFonts w:ascii="Arial Narrow" w:hAnsi="Arial Narrow" w:cs="Arial"/>
                <w:b/>
                <w:bCs/>
              </w:rPr>
            </w:pPr>
            <w:r>
              <w:rPr>
                <w:rFonts w:ascii="Arial Narrow" w:hAnsi="Arial Narrow" w:cs="Arial"/>
                <w:b/>
                <w:bCs/>
              </w:rPr>
              <w:t>FY19</w:t>
            </w:r>
          </w:p>
        </w:tc>
        <w:tc>
          <w:tcPr>
            <w:tcW w:w="930" w:type="dxa"/>
            <w:tcBorders>
              <w:left w:val="single" w:sz="4" w:space="0" w:color="auto"/>
            </w:tcBorders>
            <w:shd w:val="clear" w:color="auto" w:fill="BFBFBF"/>
            <w:vAlign w:val="center"/>
          </w:tcPr>
          <w:p w14:paraId="010D82E0" w14:textId="77777777" w:rsidR="00D64C24" w:rsidRPr="00F80B42" w:rsidRDefault="00D64C24" w:rsidP="00542F75">
            <w:pPr>
              <w:pStyle w:val="NormalWeb"/>
              <w:spacing w:before="0" w:beforeAutospacing="0" w:after="0" w:afterAutospacing="0"/>
              <w:jc w:val="center"/>
              <w:rPr>
                <w:rFonts w:ascii="Arial Narrow" w:hAnsi="Arial Narrow" w:cs="Arial"/>
                <w:b/>
                <w:bCs/>
              </w:rPr>
            </w:pPr>
            <w:r>
              <w:rPr>
                <w:rFonts w:ascii="Arial Narrow" w:hAnsi="Arial Narrow" w:cs="Arial"/>
                <w:b/>
                <w:bCs/>
              </w:rPr>
              <w:t>FY20</w:t>
            </w:r>
          </w:p>
        </w:tc>
        <w:tc>
          <w:tcPr>
            <w:tcW w:w="930" w:type="dxa"/>
            <w:tcBorders>
              <w:right w:val="single" w:sz="4" w:space="0" w:color="auto"/>
            </w:tcBorders>
            <w:shd w:val="clear" w:color="auto" w:fill="BFBFBF"/>
            <w:vAlign w:val="center"/>
          </w:tcPr>
          <w:p w14:paraId="4BD0B567" w14:textId="77777777" w:rsidR="00D64C24" w:rsidRPr="00F80B42" w:rsidRDefault="00D64C24" w:rsidP="00542F75">
            <w:pPr>
              <w:pStyle w:val="NormalWeb"/>
              <w:spacing w:before="0" w:beforeAutospacing="0" w:after="0" w:afterAutospacing="0"/>
              <w:jc w:val="center"/>
              <w:rPr>
                <w:rFonts w:ascii="Arial Narrow" w:hAnsi="Arial Narrow" w:cs="Arial"/>
                <w:b/>
                <w:bCs/>
              </w:rPr>
            </w:pPr>
            <w:r>
              <w:rPr>
                <w:rFonts w:ascii="Arial Narrow" w:hAnsi="Arial Narrow" w:cs="Arial"/>
                <w:b/>
                <w:bCs/>
              </w:rPr>
              <w:t>FY21</w:t>
            </w:r>
          </w:p>
        </w:tc>
        <w:tc>
          <w:tcPr>
            <w:tcW w:w="1155" w:type="dxa"/>
            <w:tcBorders>
              <w:left w:val="single" w:sz="4" w:space="0" w:color="auto"/>
              <w:right w:val="single" w:sz="12" w:space="0" w:color="auto"/>
            </w:tcBorders>
            <w:shd w:val="clear" w:color="auto" w:fill="BFBFBF"/>
            <w:vAlign w:val="center"/>
          </w:tcPr>
          <w:p w14:paraId="7E626A04" w14:textId="4B5D4148" w:rsidR="00D64C24" w:rsidRPr="00F80B42" w:rsidRDefault="00D64C24" w:rsidP="00542F75">
            <w:pPr>
              <w:pStyle w:val="NormalWeb"/>
              <w:spacing w:before="0" w:beforeAutospacing="0" w:after="0" w:afterAutospacing="0"/>
              <w:jc w:val="center"/>
              <w:rPr>
                <w:rFonts w:ascii="Arial Narrow" w:hAnsi="Arial Narrow" w:cs="Arial"/>
                <w:b/>
                <w:bCs/>
              </w:rPr>
            </w:pPr>
            <w:r>
              <w:rPr>
                <w:rFonts w:ascii="Arial Narrow" w:hAnsi="Arial Narrow" w:cs="Arial"/>
                <w:b/>
                <w:bCs/>
              </w:rPr>
              <w:t>FY22 YTD</w:t>
            </w:r>
          </w:p>
        </w:tc>
      </w:tr>
      <w:tr w:rsidR="00037F4C" w14:paraId="3DC7666E" w14:textId="77777777" w:rsidTr="00580F40">
        <w:trPr>
          <w:cantSplit/>
          <w:jc w:val="center"/>
        </w:trPr>
        <w:tc>
          <w:tcPr>
            <w:tcW w:w="1422" w:type="dxa"/>
            <w:tcBorders>
              <w:left w:val="single" w:sz="12" w:space="0" w:color="auto"/>
              <w:right w:val="single" w:sz="12" w:space="0" w:color="auto"/>
            </w:tcBorders>
            <w:vAlign w:val="center"/>
          </w:tcPr>
          <w:p w14:paraId="6F0025F8" w14:textId="77777777" w:rsidR="00D64C24" w:rsidRDefault="00D64C24" w:rsidP="00542F75">
            <w:pPr>
              <w:pStyle w:val="NormalWeb"/>
              <w:spacing w:before="0" w:beforeAutospacing="0" w:after="0" w:afterAutospacing="0"/>
              <w:rPr>
                <w:rFonts w:ascii="Arial Narrow" w:hAnsi="Arial Narrow" w:cs="Arial"/>
                <w:b/>
                <w:bCs/>
              </w:rPr>
            </w:pPr>
            <w:r>
              <w:rPr>
                <w:rFonts w:ascii="Arial Narrow" w:hAnsi="Arial Narrow" w:cs="Arial"/>
                <w:b/>
                <w:bCs/>
              </w:rPr>
              <w:t>Discharges</w:t>
            </w:r>
          </w:p>
        </w:tc>
        <w:tc>
          <w:tcPr>
            <w:tcW w:w="931" w:type="dxa"/>
            <w:tcBorders>
              <w:left w:val="single" w:sz="12" w:space="0" w:color="auto"/>
            </w:tcBorders>
            <w:shd w:val="clear" w:color="auto" w:fill="auto"/>
            <w:vAlign w:val="center"/>
          </w:tcPr>
          <w:p w14:paraId="73BD9992" w14:textId="77777777" w:rsidR="00D64C24" w:rsidRPr="00F80B42" w:rsidRDefault="00D64C24" w:rsidP="00542F75">
            <w:pPr>
              <w:pStyle w:val="NormalWeb"/>
              <w:spacing w:before="0" w:beforeAutospacing="0" w:after="0" w:afterAutospacing="0"/>
              <w:jc w:val="center"/>
              <w:rPr>
                <w:rFonts w:ascii="Arial Narrow" w:hAnsi="Arial Narrow" w:cs="Arial"/>
              </w:rPr>
            </w:pPr>
            <w:r>
              <w:rPr>
                <w:rFonts w:ascii="Arial Narrow" w:hAnsi="Arial Narrow" w:cs="Arial"/>
              </w:rPr>
              <w:t>13,662</w:t>
            </w:r>
          </w:p>
        </w:tc>
        <w:tc>
          <w:tcPr>
            <w:tcW w:w="931" w:type="dxa"/>
            <w:tcBorders>
              <w:right w:val="single" w:sz="4" w:space="0" w:color="auto"/>
            </w:tcBorders>
            <w:shd w:val="clear" w:color="auto" w:fill="auto"/>
            <w:vAlign w:val="center"/>
          </w:tcPr>
          <w:p w14:paraId="4BB96741" w14:textId="77777777" w:rsidR="00D64C24" w:rsidRPr="00F80B42" w:rsidRDefault="00D64C24" w:rsidP="00542F75">
            <w:pPr>
              <w:pStyle w:val="NormalWeb"/>
              <w:spacing w:before="0" w:beforeAutospacing="0" w:after="0" w:afterAutospacing="0"/>
              <w:jc w:val="center"/>
              <w:rPr>
                <w:rFonts w:ascii="Arial Narrow" w:hAnsi="Arial Narrow" w:cs="Arial"/>
              </w:rPr>
            </w:pPr>
            <w:r>
              <w:rPr>
                <w:rFonts w:ascii="Arial Narrow" w:hAnsi="Arial Narrow" w:cs="Arial"/>
              </w:rPr>
              <w:t>11,818</w:t>
            </w:r>
          </w:p>
        </w:tc>
        <w:tc>
          <w:tcPr>
            <w:tcW w:w="931" w:type="dxa"/>
            <w:tcBorders>
              <w:left w:val="single" w:sz="4" w:space="0" w:color="auto"/>
              <w:right w:val="single" w:sz="4" w:space="0" w:color="auto"/>
            </w:tcBorders>
            <w:shd w:val="clear" w:color="auto" w:fill="auto"/>
            <w:vAlign w:val="center"/>
          </w:tcPr>
          <w:p w14:paraId="42924CE6" w14:textId="77777777" w:rsidR="00D64C24" w:rsidRPr="00F80B42" w:rsidRDefault="00D64C24" w:rsidP="00542F75">
            <w:pPr>
              <w:pStyle w:val="NormalWeb"/>
              <w:spacing w:before="0" w:beforeAutospacing="0" w:after="0" w:afterAutospacing="0"/>
              <w:jc w:val="center"/>
              <w:rPr>
                <w:rFonts w:ascii="Arial Narrow" w:hAnsi="Arial Narrow" w:cs="Arial"/>
              </w:rPr>
            </w:pPr>
            <w:r>
              <w:rPr>
                <w:rFonts w:ascii="Arial Narrow" w:hAnsi="Arial Narrow" w:cs="Arial"/>
              </w:rPr>
              <w:t>12,322</w:t>
            </w:r>
          </w:p>
        </w:tc>
        <w:tc>
          <w:tcPr>
            <w:tcW w:w="1170" w:type="dxa"/>
            <w:tcBorders>
              <w:left w:val="single" w:sz="4" w:space="0" w:color="auto"/>
              <w:right w:val="single" w:sz="12" w:space="0" w:color="auto"/>
            </w:tcBorders>
            <w:shd w:val="clear" w:color="auto" w:fill="auto"/>
            <w:vAlign w:val="center"/>
          </w:tcPr>
          <w:p w14:paraId="22BB1423" w14:textId="13F7ADDA" w:rsidR="00D64C24" w:rsidRPr="00F80B42" w:rsidRDefault="00974954" w:rsidP="00542F75">
            <w:pPr>
              <w:pStyle w:val="NormalWeb"/>
              <w:spacing w:before="0" w:beforeAutospacing="0" w:after="0" w:afterAutospacing="0"/>
              <w:jc w:val="center"/>
              <w:rPr>
                <w:rFonts w:ascii="Arial Narrow" w:hAnsi="Arial Narrow" w:cs="Arial"/>
              </w:rPr>
            </w:pPr>
            <w:r>
              <w:rPr>
                <w:rFonts w:ascii="Arial Narrow" w:hAnsi="Arial Narrow" w:cs="Arial"/>
              </w:rPr>
              <w:t>9,189</w:t>
            </w:r>
          </w:p>
        </w:tc>
        <w:tc>
          <w:tcPr>
            <w:tcW w:w="930" w:type="dxa"/>
            <w:tcBorders>
              <w:left w:val="single" w:sz="12" w:space="0" w:color="auto"/>
              <w:right w:val="single" w:sz="4" w:space="0" w:color="auto"/>
            </w:tcBorders>
            <w:shd w:val="clear" w:color="auto" w:fill="auto"/>
            <w:vAlign w:val="center"/>
          </w:tcPr>
          <w:p w14:paraId="7E004F4A" w14:textId="77777777" w:rsidR="00D64C24" w:rsidRPr="00F80B42" w:rsidRDefault="00D64C24" w:rsidP="00542F75">
            <w:pPr>
              <w:pStyle w:val="NormalWeb"/>
              <w:spacing w:before="0" w:beforeAutospacing="0" w:after="0" w:afterAutospacing="0"/>
              <w:jc w:val="center"/>
              <w:rPr>
                <w:rFonts w:ascii="Arial Narrow" w:hAnsi="Arial Narrow" w:cs="Arial"/>
              </w:rPr>
            </w:pPr>
            <w:r>
              <w:rPr>
                <w:rFonts w:ascii="Arial Narrow" w:hAnsi="Arial Narrow" w:cs="Arial"/>
              </w:rPr>
              <w:t>4,118</w:t>
            </w:r>
          </w:p>
        </w:tc>
        <w:tc>
          <w:tcPr>
            <w:tcW w:w="930" w:type="dxa"/>
            <w:tcBorders>
              <w:left w:val="single" w:sz="4" w:space="0" w:color="auto"/>
            </w:tcBorders>
            <w:shd w:val="clear" w:color="auto" w:fill="auto"/>
            <w:vAlign w:val="center"/>
          </w:tcPr>
          <w:p w14:paraId="6CEEBC25" w14:textId="77777777" w:rsidR="00D64C24" w:rsidRPr="00F80B42" w:rsidRDefault="00D64C24" w:rsidP="00542F75">
            <w:pPr>
              <w:pStyle w:val="NormalWeb"/>
              <w:spacing w:before="0" w:beforeAutospacing="0" w:after="0" w:afterAutospacing="0"/>
              <w:jc w:val="center"/>
              <w:rPr>
                <w:rFonts w:ascii="Arial Narrow" w:hAnsi="Arial Narrow" w:cs="Arial"/>
              </w:rPr>
            </w:pPr>
            <w:r>
              <w:rPr>
                <w:rFonts w:ascii="Arial Narrow" w:hAnsi="Arial Narrow" w:cs="Arial"/>
              </w:rPr>
              <w:t>3,467</w:t>
            </w:r>
          </w:p>
        </w:tc>
        <w:tc>
          <w:tcPr>
            <w:tcW w:w="930" w:type="dxa"/>
            <w:tcBorders>
              <w:right w:val="single" w:sz="4" w:space="0" w:color="auto"/>
            </w:tcBorders>
            <w:shd w:val="clear" w:color="auto" w:fill="auto"/>
            <w:vAlign w:val="center"/>
          </w:tcPr>
          <w:p w14:paraId="4E7A7332" w14:textId="77777777" w:rsidR="00D64C24" w:rsidRPr="00F80B42" w:rsidRDefault="00D64C24" w:rsidP="00542F75">
            <w:pPr>
              <w:pStyle w:val="NormalWeb"/>
              <w:spacing w:before="0" w:beforeAutospacing="0" w:after="0" w:afterAutospacing="0"/>
              <w:jc w:val="center"/>
              <w:rPr>
                <w:rFonts w:ascii="Arial Narrow" w:hAnsi="Arial Narrow" w:cs="Arial"/>
              </w:rPr>
            </w:pPr>
            <w:r>
              <w:rPr>
                <w:rFonts w:ascii="Arial Narrow" w:hAnsi="Arial Narrow" w:cs="Arial"/>
              </w:rPr>
              <w:t>3,569</w:t>
            </w:r>
          </w:p>
        </w:tc>
        <w:tc>
          <w:tcPr>
            <w:tcW w:w="1155" w:type="dxa"/>
            <w:tcBorders>
              <w:left w:val="single" w:sz="4" w:space="0" w:color="auto"/>
              <w:right w:val="single" w:sz="12" w:space="0" w:color="auto"/>
            </w:tcBorders>
            <w:shd w:val="clear" w:color="auto" w:fill="auto"/>
            <w:vAlign w:val="center"/>
          </w:tcPr>
          <w:p w14:paraId="1DB4D7CC" w14:textId="42DAFF53" w:rsidR="00D64C24" w:rsidRPr="00F80B42" w:rsidRDefault="00974954" w:rsidP="00542F75">
            <w:pPr>
              <w:pStyle w:val="NormalWeb"/>
              <w:spacing w:before="0" w:beforeAutospacing="0" w:after="0" w:afterAutospacing="0"/>
              <w:jc w:val="center"/>
              <w:rPr>
                <w:rFonts w:ascii="Arial Narrow" w:hAnsi="Arial Narrow" w:cs="Arial"/>
              </w:rPr>
            </w:pPr>
            <w:r>
              <w:rPr>
                <w:rFonts w:ascii="Arial Narrow" w:hAnsi="Arial Narrow" w:cs="Arial"/>
              </w:rPr>
              <w:t>2,619</w:t>
            </w:r>
          </w:p>
        </w:tc>
      </w:tr>
      <w:tr w:rsidR="00037F4C" w14:paraId="2FAD6732" w14:textId="77777777" w:rsidTr="00580F40">
        <w:trPr>
          <w:cantSplit/>
          <w:jc w:val="center"/>
        </w:trPr>
        <w:tc>
          <w:tcPr>
            <w:tcW w:w="1422" w:type="dxa"/>
            <w:tcBorders>
              <w:left w:val="single" w:sz="12" w:space="0" w:color="auto"/>
              <w:right w:val="single" w:sz="12" w:space="0" w:color="auto"/>
            </w:tcBorders>
            <w:vAlign w:val="center"/>
          </w:tcPr>
          <w:p w14:paraId="25B16214" w14:textId="77777777" w:rsidR="00D64C24" w:rsidRDefault="00D64C24" w:rsidP="00542F75">
            <w:pPr>
              <w:pStyle w:val="NormalWeb"/>
              <w:spacing w:before="0" w:beforeAutospacing="0" w:after="0" w:afterAutospacing="0"/>
              <w:rPr>
                <w:rFonts w:ascii="Arial Narrow" w:hAnsi="Arial Narrow" w:cs="Arial"/>
                <w:b/>
                <w:bCs/>
              </w:rPr>
            </w:pPr>
            <w:r>
              <w:rPr>
                <w:rFonts w:ascii="Arial Narrow" w:hAnsi="Arial Narrow" w:cs="Arial"/>
                <w:b/>
                <w:bCs/>
              </w:rPr>
              <w:t xml:space="preserve">Case Weight </w:t>
            </w:r>
          </w:p>
        </w:tc>
        <w:tc>
          <w:tcPr>
            <w:tcW w:w="931" w:type="dxa"/>
            <w:tcBorders>
              <w:left w:val="single" w:sz="12" w:space="0" w:color="auto"/>
            </w:tcBorders>
            <w:shd w:val="clear" w:color="auto" w:fill="auto"/>
            <w:vAlign w:val="center"/>
          </w:tcPr>
          <w:p w14:paraId="210C641F" w14:textId="77777777" w:rsidR="00D64C24" w:rsidRPr="00F80B42" w:rsidRDefault="00D64C24" w:rsidP="00542F75">
            <w:pPr>
              <w:pStyle w:val="NormalWeb"/>
              <w:spacing w:before="0" w:beforeAutospacing="0" w:after="0" w:afterAutospacing="0"/>
              <w:jc w:val="center"/>
              <w:rPr>
                <w:rFonts w:ascii="Arial Narrow" w:hAnsi="Arial Narrow" w:cs="Arial"/>
              </w:rPr>
            </w:pPr>
            <w:r>
              <w:rPr>
                <w:rFonts w:ascii="Arial Narrow" w:hAnsi="Arial Narrow" w:cs="Arial"/>
              </w:rPr>
              <w:t>21,647</w:t>
            </w:r>
          </w:p>
        </w:tc>
        <w:tc>
          <w:tcPr>
            <w:tcW w:w="931" w:type="dxa"/>
            <w:tcBorders>
              <w:right w:val="single" w:sz="4" w:space="0" w:color="auto"/>
            </w:tcBorders>
            <w:shd w:val="clear" w:color="auto" w:fill="auto"/>
            <w:vAlign w:val="center"/>
          </w:tcPr>
          <w:p w14:paraId="7369BE58" w14:textId="77777777" w:rsidR="00D64C24" w:rsidRPr="00F80B42" w:rsidRDefault="00D64C24" w:rsidP="00542F75">
            <w:pPr>
              <w:pStyle w:val="NormalWeb"/>
              <w:spacing w:before="0" w:beforeAutospacing="0" w:after="0" w:afterAutospacing="0"/>
              <w:jc w:val="center"/>
              <w:rPr>
                <w:rFonts w:ascii="Arial Narrow" w:hAnsi="Arial Narrow" w:cs="Arial"/>
              </w:rPr>
            </w:pPr>
            <w:r>
              <w:rPr>
                <w:rFonts w:ascii="Arial Narrow" w:hAnsi="Arial Narrow" w:cs="Arial"/>
              </w:rPr>
              <w:t>18,741</w:t>
            </w:r>
          </w:p>
        </w:tc>
        <w:tc>
          <w:tcPr>
            <w:tcW w:w="931" w:type="dxa"/>
            <w:tcBorders>
              <w:left w:val="single" w:sz="4" w:space="0" w:color="auto"/>
              <w:right w:val="single" w:sz="4" w:space="0" w:color="auto"/>
            </w:tcBorders>
            <w:shd w:val="clear" w:color="auto" w:fill="auto"/>
            <w:vAlign w:val="center"/>
          </w:tcPr>
          <w:p w14:paraId="2F42A0A7" w14:textId="77777777" w:rsidR="00D64C24" w:rsidRPr="00F80B42" w:rsidRDefault="00D64C24" w:rsidP="00542F75">
            <w:pPr>
              <w:pStyle w:val="NormalWeb"/>
              <w:spacing w:before="0" w:beforeAutospacing="0" w:after="0" w:afterAutospacing="0"/>
              <w:jc w:val="center"/>
              <w:rPr>
                <w:rFonts w:ascii="Arial Narrow" w:hAnsi="Arial Narrow" w:cs="Arial"/>
              </w:rPr>
            </w:pPr>
            <w:r>
              <w:rPr>
                <w:rFonts w:ascii="Arial Narrow" w:hAnsi="Arial Narrow" w:cs="Arial"/>
              </w:rPr>
              <w:t>20,292</w:t>
            </w:r>
          </w:p>
        </w:tc>
        <w:tc>
          <w:tcPr>
            <w:tcW w:w="1170" w:type="dxa"/>
            <w:tcBorders>
              <w:left w:val="single" w:sz="4" w:space="0" w:color="auto"/>
              <w:right w:val="single" w:sz="12" w:space="0" w:color="auto"/>
            </w:tcBorders>
            <w:shd w:val="clear" w:color="auto" w:fill="auto"/>
            <w:vAlign w:val="center"/>
          </w:tcPr>
          <w:p w14:paraId="3AB821F1" w14:textId="1B239C5D" w:rsidR="00D64C24" w:rsidRPr="00F80B42" w:rsidRDefault="00974954" w:rsidP="00542F75">
            <w:pPr>
              <w:pStyle w:val="NormalWeb"/>
              <w:spacing w:before="0" w:beforeAutospacing="0" w:after="0" w:afterAutospacing="0"/>
              <w:jc w:val="center"/>
              <w:rPr>
                <w:rFonts w:ascii="Arial Narrow" w:hAnsi="Arial Narrow" w:cs="Arial"/>
              </w:rPr>
            </w:pPr>
            <w:r>
              <w:rPr>
                <w:rFonts w:ascii="Arial Narrow" w:hAnsi="Arial Narrow" w:cs="Arial"/>
              </w:rPr>
              <w:t>15,232</w:t>
            </w:r>
          </w:p>
        </w:tc>
        <w:tc>
          <w:tcPr>
            <w:tcW w:w="930" w:type="dxa"/>
            <w:tcBorders>
              <w:left w:val="single" w:sz="12" w:space="0" w:color="auto"/>
              <w:right w:val="single" w:sz="4" w:space="0" w:color="auto"/>
            </w:tcBorders>
            <w:shd w:val="clear" w:color="auto" w:fill="auto"/>
            <w:vAlign w:val="center"/>
          </w:tcPr>
          <w:p w14:paraId="44FAEAA6" w14:textId="77777777" w:rsidR="00D64C24" w:rsidRPr="00F80B42" w:rsidRDefault="00D64C24" w:rsidP="00542F75">
            <w:pPr>
              <w:pStyle w:val="NormalWeb"/>
              <w:spacing w:before="0" w:beforeAutospacing="0" w:after="0" w:afterAutospacing="0"/>
              <w:jc w:val="center"/>
              <w:rPr>
                <w:rFonts w:ascii="Arial Narrow" w:hAnsi="Arial Narrow" w:cs="Arial"/>
              </w:rPr>
            </w:pPr>
            <w:r>
              <w:rPr>
                <w:rFonts w:ascii="Arial Narrow" w:hAnsi="Arial Narrow" w:cs="Arial"/>
              </w:rPr>
              <w:t>12,278</w:t>
            </w:r>
          </w:p>
        </w:tc>
        <w:tc>
          <w:tcPr>
            <w:tcW w:w="930" w:type="dxa"/>
            <w:tcBorders>
              <w:left w:val="single" w:sz="4" w:space="0" w:color="auto"/>
            </w:tcBorders>
            <w:shd w:val="clear" w:color="auto" w:fill="auto"/>
            <w:vAlign w:val="center"/>
          </w:tcPr>
          <w:p w14:paraId="6908C2CF" w14:textId="77777777" w:rsidR="00D64C24" w:rsidRPr="00F80B42" w:rsidRDefault="00D64C24" w:rsidP="00542F75">
            <w:pPr>
              <w:pStyle w:val="NormalWeb"/>
              <w:spacing w:before="0" w:beforeAutospacing="0" w:after="0" w:afterAutospacing="0"/>
              <w:jc w:val="center"/>
              <w:rPr>
                <w:rFonts w:ascii="Arial Narrow" w:hAnsi="Arial Narrow" w:cs="Arial"/>
              </w:rPr>
            </w:pPr>
            <w:r>
              <w:rPr>
                <w:rFonts w:ascii="Arial Narrow" w:hAnsi="Arial Narrow" w:cs="Arial"/>
              </w:rPr>
              <w:t>10,502</w:t>
            </w:r>
          </w:p>
        </w:tc>
        <w:tc>
          <w:tcPr>
            <w:tcW w:w="930" w:type="dxa"/>
            <w:tcBorders>
              <w:right w:val="single" w:sz="4" w:space="0" w:color="auto"/>
            </w:tcBorders>
            <w:shd w:val="clear" w:color="auto" w:fill="auto"/>
            <w:vAlign w:val="center"/>
          </w:tcPr>
          <w:p w14:paraId="1681E8C0" w14:textId="77777777" w:rsidR="00D64C24" w:rsidRPr="00F80B42" w:rsidRDefault="00D64C24" w:rsidP="00542F75">
            <w:pPr>
              <w:pStyle w:val="NormalWeb"/>
              <w:spacing w:before="0" w:beforeAutospacing="0" w:after="0" w:afterAutospacing="0"/>
              <w:jc w:val="center"/>
              <w:rPr>
                <w:rFonts w:ascii="Arial Narrow" w:hAnsi="Arial Narrow" w:cs="Arial"/>
              </w:rPr>
            </w:pPr>
            <w:r>
              <w:rPr>
                <w:rFonts w:ascii="Arial Narrow" w:hAnsi="Arial Narrow" w:cs="Arial"/>
              </w:rPr>
              <w:t>11,636</w:t>
            </w:r>
          </w:p>
        </w:tc>
        <w:tc>
          <w:tcPr>
            <w:tcW w:w="1155" w:type="dxa"/>
            <w:tcBorders>
              <w:left w:val="single" w:sz="4" w:space="0" w:color="auto"/>
              <w:right w:val="single" w:sz="12" w:space="0" w:color="auto"/>
            </w:tcBorders>
            <w:shd w:val="clear" w:color="auto" w:fill="auto"/>
            <w:vAlign w:val="center"/>
          </w:tcPr>
          <w:p w14:paraId="10267D9B" w14:textId="682FF8D0" w:rsidR="00D64C24" w:rsidRPr="00F80B42" w:rsidRDefault="00974954" w:rsidP="00542F75">
            <w:pPr>
              <w:pStyle w:val="NormalWeb"/>
              <w:spacing w:before="0" w:beforeAutospacing="0" w:after="0" w:afterAutospacing="0"/>
              <w:jc w:val="center"/>
              <w:rPr>
                <w:rFonts w:ascii="Arial Narrow" w:hAnsi="Arial Narrow" w:cs="Arial"/>
              </w:rPr>
            </w:pPr>
            <w:r>
              <w:rPr>
                <w:rFonts w:ascii="Arial Narrow" w:hAnsi="Arial Narrow" w:cs="Arial"/>
              </w:rPr>
              <w:t>8,044</w:t>
            </w:r>
          </w:p>
        </w:tc>
      </w:tr>
      <w:tr w:rsidR="00037F4C" w14:paraId="0C3A26F8" w14:textId="77777777" w:rsidTr="00580F40">
        <w:trPr>
          <w:cantSplit/>
          <w:jc w:val="center"/>
        </w:trPr>
        <w:tc>
          <w:tcPr>
            <w:tcW w:w="1422" w:type="dxa"/>
            <w:tcBorders>
              <w:left w:val="single" w:sz="12" w:space="0" w:color="auto"/>
              <w:right w:val="single" w:sz="12" w:space="0" w:color="auto"/>
            </w:tcBorders>
            <w:vAlign w:val="center"/>
          </w:tcPr>
          <w:p w14:paraId="2A5CB25F" w14:textId="77777777" w:rsidR="00D64C24" w:rsidRDefault="00D64C24" w:rsidP="00542F75">
            <w:pPr>
              <w:pStyle w:val="NormalWeb"/>
              <w:spacing w:before="0" w:beforeAutospacing="0" w:after="0" w:afterAutospacing="0"/>
              <w:rPr>
                <w:rFonts w:ascii="Arial Narrow" w:hAnsi="Arial Narrow" w:cs="Arial"/>
                <w:b/>
                <w:bCs/>
              </w:rPr>
            </w:pPr>
            <w:r>
              <w:rPr>
                <w:rFonts w:ascii="Arial Narrow" w:hAnsi="Arial Narrow" w:cs="Arial"/>
                <w:b/>
                <w:bCs/>
              </w:rPr>
              <w:t>CMI</w:t>
            </w:r>
          </w:p>
        </w:tc>
        <w:tc>
          <w:tcPr>
            <w:tcW w:w="931" w:type="dxa"/>
            <w:tcBorders>
              <w:left w:val="single" w:sz="12" w:space="0" w:color="auto"/>
            </w:tcBorders>
            <w:shd w:val="clear" w:color="auto" w:fill="auto"/>
            <w:vAlign w:val="center"/>
          </w:tcPr>
          <w:p w14:paraId="4133ABBF" w14:textId="77777777" w:rsidR="00D64C24" w:rsidRPr="00F80B42" w:rsidRDefault="00D64C24" w:rsidP="00542F75">
            <w:pPr>
              <w:pStyle w:val="NormalWeb"/>
              <w:spacing w:before="0" w:beforeAutospacing="0" w:after="0" w:afterAutospacing="0"/>
              <w:jc w:val="center"/>
              <w:rPr>
                <w:rFonts w:ascii="Arial Narrow" w:hAnsi="Arial Narrow" w:cs="Arial"/>
              </w:rPr>
            </w:pPr>
            <w:r>
              <w:rPr>
                <w:rFonts w:ascii="Arial Narrow" w:hAnsi="Arial Narrow" w:cs="Arial"/>
              </w:rPr>
              <w:t>1.58</w:t>
            </w:r>
          </w:p>
        </w:tc>
        <w:tc>
          <w:tcPr>
            <w:tcW w:w="931" w:type="dxa"/>
            <w:tcBorders>
              <w:right w:val="single" w:sz="4" w:space="0" w:color="auto"/>
            </w:tcBorders>
            <w:shd w:val="clear" w:color="auto" w:fill="auto"/>
            <w:vAlign w:val="center"/>
          </w:tcPr>
          <w:p w14:paraId="765091EE" w14:textId="77777777" w:rsidR="00D64C24" w:rsidRPr="00F80B42" w:rsidRDefault="00D64C24" w:rsidP="00542F75">
            <w:pPr>
              <w:pStyle w:val="NormalWeb"/>
              <w:spacing w:before="0" w:beforeAutospacing="0" w:after="0" w:afterAutospacing="0"/>
              <w:jc w:val="center"/>
              <w:rPr>
                <w:rFonts w:ascii="Arial Narrow" w:hAnsi="Arial Narrow" w:cs="Arial"/>
              </w:rPr>
            </w:pPr>
            <w:r>
              <w:rPr>
                <w:rFonts w:ascii="Arial Narrow" w:hAnsi="Arial Narrow" w:cs="Arial"/>
              </w:rPr>
              <w:t>1.59</w:t>
            </w:r>
          </w:p>
        </w:tc>
        <w:tc>
          <w:tcPr>
            <w:tcW w:w="931" w:type="dxa"/>
            <w:tcBorders>
              <w:left w:val="single" w:sz="4" w:space="0" w:color="auto"/>
              <w:right w:val="single" w:sz="4" w:space="0" w:color="auto"/>
            </w:tcBorders>
            <w:shd w:val="clear" w:color="auto" w:fill="auto"/>
            <w:vAlign w:val="center"/>
          </w:tcPr>
          <w:p w14:paraId="36BF73A6" w14:textId="77777777" w:rsidR="00D64C24" w:rsidRPr="00F80B42" w:rsidRDefault="00D64C24" w:rsidP="00542F75">
            <w:pPr>
              <w:pStyle w:val="NormalWeb"/>
              <w:spacing w:before="0" w:beforeAutospacing="0" w:after="0" w:afterAutospacing="0"/>
              <w:jc w:val="center"/>
              <w:rPr>
                <w:rFonts w:ascii="Arial Narrow" w:hAnsi="Arial Narrow" w:cs="Arial"/>
              </w:rPr>
            </w:pPr>
            <w:r>
              <w:rPr>
                <w:rFonts w:ascii="Arial Narrow" w:hAnsi="Arial Narrow" w:cs="Arial"/>
              </w:rPr>
              <w:t>1.65</w:t>
            </w:r>
          </w:p>
        </w:tc>
        <w:tc>
          <w:tcPr>
            <w:tcW w:w="1170" w:type="dxa"/>
            <w:tcBorders>
              <w:left w:val="single" w:sz="4" w:space="0" w:color="auto"/>
              <w:right w:val="single" w:sz="12" w:space="0" w:color="auto"/>
            </w:tcBorders>
            <w:shd w:val="clear" w:color="auto" w:fill="auto"/>
            <w:vAlign w:val="center"/>
          </w:tcPr>
          <w:p w14:paraId="0BFB459C" w14:textId="21C54399" w:rsidR="00D64C24" w:rsidRPr="00F80B42" w:rsidRDefault="00974954" w:rsidP="00542F75">
            <w:pPr>
              <w:pStyle w:val="NormalWeb"/>
              <w:spacing w:before="0" w:beforeAutospacing="0" w:after="0" w:afterAutospacing="0"/>
              <w:jc w:val="center"/>
              <w:rPr>
                <w:rFonts w:ascii="Arial Narrow" w:hAnsi="Arial Narrow" w:cs="Arial"/>
              </w:rPr>
            </w:pPr>
            <w:r>
              <w:rPr>
                <w:rFonts w:ascii="Arial Narrow" w:hAnsi="Arial Narrow" w:cs="Arial"/>
              </w:rPr>
              <w:t>1.66</w:t>
            </w:r>
          </w:p>
        </w:tc>
        <w:tc>
          <w:tcPr>
            <w:tcW w:w="930" w:type="dxa"/>
            <w:tcBorders>
              <w:left w:val="single" w:sz="12" w:space="0" w:color="auto"/>
              <w:right w:val="single" w:sz="4" w:space="0" w:color="auto"/>
            </w:tcBorders>
            <w:shd w:val="clear" w:color="auto" w:fill="auto"/>
            <w:vAlign w:val="center"/>
          </w:tcPr>
          <w:p w14:paraId="41AA25BF" w14:textId="77777777" w:rsidR="00D64C24" w:rsidRPr="00F80B42" w:rsidRDefault="00D64C24" w:rsidP="00542F75">
            <w:pPr>
              <w:pStyle w:val="NormalWeb"/>
              <w:spacing w:before="0" w:beforeAutospacing="0" w:after="0" w:afterAutospacing="0"/>
              <w:jc w:val="center"/>
              <w:rPr>
                <w:rFonts w:ascii="Arial Narrow" w:hAnsi="Arial Narrow" w:cs="Arial"/>
              </w:rPr>
            </w:pPr>
            <w:r>
              <w:rPr>
                <w:rFonts w:ascii="Arial Narrow" w:hAnsi="Arial Narrow" w:cs="Arial"/>
              </w:rPr>
              <w:t>2.98</w:t>
            </w:r>
          </w:p>
        </w:tc>
        <w:tc>
          <w:tcPr>
            <w:tcW w:w="930" w:type="dxa"/>
            <w:tcBorders>
              <w:left w:val="single" w:sz="4" w:space="0" w:color="auto"/>
            </w:tcBorders>
            <w:shd w:val="clear" w:color="auto" w:fill="auto"/>
            <w:vAlign w:val="center"/>
          </w:tcPr>
          <w:p w14:paraId="3776F371" w14:textId="77777777" w:rsidR="00D64C24" w:rsidRPr="00F80B42" w:rsidRDefault="00D64C24" w:rsidP="00542F75">
            <w:pPr>
              <w:pStyle w:val="NormalWeb"/>
              <w:spacing w:before="0" w:beforeAutospacing="0" w:after="0" w:afterAutospacing="0"/>
              <w:jc w:val="center"/>
              <w:rPr>
                <w:rFonts w:ascii="Arial Narrow" w:hAnsi="Arial Narrow" w:cs="Arial"/>
              </w:rPr>
            </w:pPr>
            <w:r>
              <w:rPr>
                <w:rFonts w:ascii="Arial Narrow" w:hAnsi="Arial Narrow" w:cs="Arial"/>
              </w:rPr>
              <w:t>3.03</w:t>
            </w:r>
          </w:p>
        </w:tc>
        <w:tc>
          <w:tcPr>
            <w:tcW w:w="930" w:type="dxa"/>
            <w:tcBorders>
              <w:right w:val="single" w:sz="4" w:space="0" w:color="auto"/>
            </w:tcBorders>
            <w:shd w:val="clear" w:color="auto" w:fill="auto"/>
            <w:vAlign w:val="center"/>
          </w:tcPr>
          <w:p w14:paraId="32534E88" w14:textId="77777777" w:rsidR="00D64C24" w:rsidRPr="00F80B42" w:rsidRDefault="00D64C24" w:rsidP="00542F75">
            <w:pPr>
              <w:pStyle w:val="NormalWeb"/>
              <w:spacing w:before="0" w:beforeAutospacing="0" w:after="0" w:afterAutospacing="0"/>
              <w:jc w:val="center"/>
              <w:rPr>
                <w:rFonts w:ascii="Arial Narrow" w:hAnsi="Arial Narrow" w:cs="Arial"/>
              </w:rPr>
            </w:pPr>
            <w:r>
              <w:rPr>
                <w:rFonts w:ascii="Arial Narrow" w:hAnsi="Arial Narrow" w:cs="Arial"/>
              </w:rPr>
              <w:t>3.26</w:t>
            </w:r>
          </w:p>
        </w:tc>
        <w:tc>
          <w:tcPr>
            <w:tcW w:w="1155" w:type="dxa"/>
            <w:tcBorders>
              <w:left w:val="single" w:sz="4" w:space="0" w:color="auto"/>
              <w:right w:val="single" w:sz="12" w:space="0" w:color="auto"/>
            </w:tcBorders>
            <w:shd w:val="clear" w:color="auto" w:fill="auto"/>
            <w:vAlign w:val="center"/>
          </w:tcPr>
          <w:p w14:paraId="696614D5" w14:textId="777FD61D" w:rsidR="00D64C24" w:rsidRPr="00F80B42" w:rsidRDefault="00974954" w:rsidP="00542F75">
            <w:pPr>
              <w:pStyle w:val="NormalWeb"/>
              <w:spacing w:before="0" w:beforeAutospacing="0" w:after="0" w:afterAutospacing="0"/>
              <w:jc w:val="center"/>
              <w:rPr>
                <w:rFonts w:ascii="Arial Narrow" w:hAnsi="Arial Narrow" w:cs="Arial"/>
              </w:rPr>
            </w:pPr>
            <w:r>
              <w:rPr>
                <w:rFonts w:ascii="Arial Narrow" w:hAnsi="Arial Narrow" w:cs="Arial"/>
              </w:rPr>
              <w:t>3.07</w:t>
            </w:r>
          </w:p>
        </w:tc>
      </w:tr>
      <w:tr w:rsidR="00037F4C" w14:paraId="5ADA2E61" w14:textId="77777777" w:rsidTr="00580F40">
        <w:trPr>
          <w:cantSplit/>
          <w:jc w:val="center"/>
        </w:trPr>
        <w:tc>
          <w:tcPr>
            <w:tcW w:w="1422" w:type="dxa"/>
            <w:tcBorders>
              <w:left w:val="single" w:sz="12" w:space="0" w:color="auto"/>
              <w:right w:val="single" w:sz="12" w:space="0" w:color="auto"/>
            </w:tcBorders>
            <w:vAlign w:val="center"/>
          </w:tcPr>
          <w:p w14:paraId="2DF5A7AD" w14:textId="77777777" w:rsidR="00D64C24" w:rsidRPr="00F80B42" w:rsidRDefault="00D64C24" w:rsidP="00542F75">
            <w:pPr>
              <w:pStyle w:val="NormalWeb"/>
              <w:spacing w:before="0" w:beforeAutospacing="0" w:after="0" w:afterAutospacing="0"/>
              <w:rPr>
                <w:rFonts w:ascii="Arial Narrow" w:hAnsi="Arial Narrow" w:cs="Arial"/>
                <w:b/>
                <w:bCs/>
              </w:rPr>
            </w:pPr>
            <w:r>
              <w:rPr>
                <w:rFonts w:ascii="Arial Narrow" w:hAnsi="Arial Narrow" w:cs="Arial"/>
                <w:b/>
                <w:bCs/>
              </w:rPr>
              <w:t>ALOS</w:t>
            </w:r>
          </w:p>
        </w:tc>
        <w:tc>
          <w:tcPr>
            <w:tcW w:w="931" w:type="dxa"/>
            <w:tcBorders>
              <w:left w:val="single" w:sz="12" w:space="0" w:color="auto"/>
            </w:tcBorders>
            <w:shd w:val="clear" w:color="auto" w:fill="auto"/>
            <w:vAlign w:val="center"/>
          </w:tcPr>
          <w:p w14:paraId="442E5870" w14:textId="77777777" w:rsidR="00D64C24" w:rsidRPr="00F80B42" w:rsidRDefault="00D64C24" w:rsidP="00542F75">
            <w:pPr>
              <w:pStyle w:val="NormalWeb"/>
              <w:spacing w:before="0" w:beforeAutospacing="0" w:after="0" w:afterAutospacing="0"/>
              <w:jc w:val="center"/>
              <w:rPr>
                <w:rFonts w:ascii="Arial Narrow" w:hAnsi="Arial Narrow" w:cs="Arial"/>
              </w:rPr>
            </w:pPr>
            <w:r>
              <w:rPr>
                <w:rFonts w:ascii="Arial Narrow" w:hAnsi="Arial Narrow" w:cs="Arial"/>
              </w:rPr>
              <w:t>4.70</w:t>
            </w:r>
          </w:p>
        </w:tc>
        <w:tc>
          <w:tcPr>
            <w:tcW w:w="931" w:type="dxa"/>
            <w:tcBorders>
              <w:right w:val="single" w:sz="4" w:space="0" w:color="auto"/>
            </w:tcBorders>
            <w:shd w:val="clear" w:color="auto" w:fill="auto"/>
            <w:vAlign w:val="center"/>
          </w:tcPr>
          <w:p w14:paraId="41038A31" w14:textId="77777777" w:rsidR="00D64C24" w:rsidRPr="00F80B42" w:rsidRDefault="00D64C24" w:rsidP="00542F75">
            <w:pPr>
              <w:pStyle w:val="NormalWeb"/>
              <w:spacing w:before="0" w:beforeAutospacing="0" w:after="0" w:afterAutospacing="0"/>
              <w:jc w:val="center"/>
              <w:rPr>
                <w:rFonts w:ascii="Arial Narrow" w:hAnsi="Arial Narrow" w:cs="Arial"/>
              </w:rPr>
            </w:pPr>
            <w:r>
              <w:rPr>
                <w:rFonts w:ascii="Arial Narrow" w:hAnsi="Arial Narrow" w:cs="Arial"/>
              </w:rPr>
              <w:t>4.83</w:t>
            </w:r>
          </w:p>
        </w:tc>
        <w:tc>
          <w:tcPr>
            <w:tcW w:w="931" w:type="dxa"/>
            <w:tcBorders>
              <w:left w:val="single" w:sz="4" w:space="0" w:color="auto"/>
              <w:right w:val="single" w:sz="4" w:space="0" w:color="auto"/>
            </w:tcBorders>
            <w:shd w:val="clear" w:color="auto" w:fill="auto"/>
            <w:vAlign w:val="center"/>
          </w:tcPr>
          <w:p w14:paraId="1645968B" w14:textId="77777777" w:rsidR="00D64C24" w:rsidRPr="00F80B42" w:rsidRDefault="00D64C24" w:rsidP="00542F75">
            <w:pPr>
              <w:pStyle w:val="NormalWeb"/>
              <w:spacing w:before="0" w:beforeAutospacing="0" w:after="0" w:afterAutospacing="0"/>
              <w:jc w:val="center"/>
              <w:rPr>
                <w:rFonts w:ascii="Arial Narrow" w:hAnsi="Arial Narrow" w:cs="Arial"/>
              </w:rPr>
            </w:pPr>
            <w:r>
              <w:rPr>
                <w:rFonts w:ascii="Arial Narrow" w:hAnsi="Arial Narrow" w:cs="Arial"/>
              </w:rPr>
              <w:t>5.02</w:t>
            </w:r>
          </w:p>
        </w:tc>
        <w:tc>
          <w:tcPr>
            <w:tcW w:w="1170" w:type="dxa"/>
            <w:tcBorders>
              <w:left w:val="single" w:sz="4" w:space="0" w:color="auto"/>
              <w:right w:val="single" w:sz="12" w:space="0" w:color="auto"/>
            </w:tcBorders>
            <w:shd w:val="clear" w:color="auto" w:fill="auto"/>
            <w:vAlign w:val="center"/>
          </w:tcPr>
          <w:p w14:paraId="3FD95AE8" w14:textId="1BCD3D5F" w:rsidR="00D64C24" w:rsidRPr="00F80B42" w:rsidRDefault="00974954" w:rsidP="00542F75">
            <w:pPr>
              <w:pStyle w:val="NormalWeb"/>
              <w:spacing w:before="0" w:beforeAutospacing="0" w:after="0" w:afterAutospacing="0"/>
              <w:jc w:val="center"/>
              <w:rPr>
                <w:rFonts w:ascii="Arial Narrow" w:hAnsi="Arial Narrow" w:cs="Arial"/>
              </w:rPr>
            </w:pPr>
            <w:r>
              <w:rPr>
                <w:rFonts w:ascii="Arial Narrow" w:hAnsi="Arial Narrow" w:cs="Arial"/>
              </w:rPr>
              <w:t>5.72</w:t>
            </w:r>
          </w:p>
        </w:tc>
        <w:tc>
          <w:tcPr>
            <w:tcW w:w="930" w:type="dxa"/>
            <w:tcBorders>
              <w:left w:val="single" w:sz="12" w:space="0" w:color="auto"/>
              <w:right w:val="single" w:sz="4" w:space="0" w:color="auto"/>
            </w:tcBorders>
            <w:shd w:val="clear" w:color="auto" w:fill="auto"/>
            <w:vAlign w:val="center"/>
          </w:tcPr>
          <w:p w14:paraId="10815FB5" w14:textId="77777777" w:rsidR="00D64C24" w:rsidRPr="00F80B42" w:rsidRDefault="00D64C24" w:rsidP="00542F75">
            <w:pPr>
              <w:pStyle w:val="NormalWeb"/>
              <w:spacing w:before="0" w:beforeAutospacing="0" w:after="0" w:afterAutospacing="0"/>
              <w:jc w:val="center"/>
              <w:rPr>
                <w:rFonts w:ascii="Arial Narrow" w:hAnsi="Arial Narrow" w:cs="Arial"/>
              </w:rPr>
            </w:pPr>
            <w:r>
              <w:rPr>
                <w:rFonts w:ascii="Arial Narrow" w:hAnsi="Arial Narrow" w:cs="Arial"/>
              </w:rPr>
              <w:t>10.11</w:t>
            </w:r>
          </w:p>
        </w:tc>
        <w:tc>
          <w:tcPr>
            <w:tcW w:w="930" w:type="dxa"/>
            <w:tcBorders>
              <w:left w:val="single" w:sz="4" w:space="0" w:color="auto"/>
            </w:tcBorders>
            <w:shd w:val="clear" w:color="auto" w:fill="auto"/>
            <w:vAlign w:val="center"/>
          </w:tcPr>
          <w:p w14:paraId="4E416C09" w14:textId="77777777" w:rsidR="00D64C24" w:rsidRPr="00F80B42" w:rsidRDefault="00D64C24" w:rsidP="00542F75">
            <w:pPr>
              <w:pStyle w:val="NormalWeb"/>
              <w:spacing w:before="0" w:beforeAutospacing="0" w:after="0" w:afterAutospacing="0"/>
              <w:jc w:val="center"/>
              <w:rPr>
                <w:rFonts w:ascii="Arial Narrow" w:hAnsi="Arial Narrow" w:cs="Arial"/>
              </w:rPr>
            </w:pPr>
            <w:r>
              <w:rPr>
                <w:rFonts w:ascii="Arial Narrow" w:hAnsi="Arial Narrow" w:cs="Arial"/>
              </w:rPr>
              <w:t>10.66</w:t>
            </w:r>
          </w:p>
        </w:tc>
        <w:tc>
          <w:tcPr>
            <w:tcW w:w="930" w:type="dxa"/>
            <w:tcBorders>
              <w:right w:val="single" w:sz="4" w:space="0" w:color="auto"/>
            </w:tcBorders>
            <w:shd w:val="clear" w:color="auto" w:fill="auto"/>
            <w:vAlign w:val="center"/>
          </w:tcPr>
          <w:p w14:paraId="01F3CD28" w14:textId="77777777" w:rsidR="00D64C24" w:rsidRPr="00F80B42" w:rsidRDefault="00D64C24" w:rsidP="00542F75">
            <w:pPr>
              <w:pStyle w:val="NormalWeb"/>
              <w:spacing w:before="0" w:beforeAutospacing="0" w:after="0" w:afterAutospacing="0"/>
              <w:jc w:val="center"/>
              <w:rPr>
                <w:rFonts w:ascii="Arial Narrow" w:hAnsi="Arial Narrow" w:cs="Arial"/>
              </w:rPr>
            </w:pPr>
            <w:r>
              <w:rPr>
                <w:rFonts w:ascii="Arial Narrow" w:hAnsi="Arial Narrow" w:cs="Arial"/>
              </w:rPr>
              <w:t>11.85</w:t>
            </w:r>
          </w:p>
        </w:tc>
        <w:tc>
          <w:tcPr>
            <w:tcW w:w="1155" w:type="dxa"/>
            <w:tcBorders>
              <w:left w:val="single" w:sz="4" w:space="0" w:color="auto"/>
              <w:right w:val="single" w:sz="12" w:space="0" w:color="auto"/>
            </w:tcBorders>
            <w:shd w:val="clear" w:color="auto" w:fill="auto"/>
            <w:vAlign w:val="center"/>
          </w:tcPr>
          <w:p w14:paraId="3EDA6179" w14:textId="4D8DFF46" w:rsidR="00D64C24" w:rsidRPr="00F80B42" w:rsidRDefault="00974954" w:rsidP="00542F75">
            <w:pPr>
              <w:pStyle w:val="NormalWeb"/>
              <w:spacing w:before="0" w:beforeAutospacing="0" w:after="0" w:afterAutospacing="0"/>
              <w:jc w:val="center"/>
              <w:rPr>
                <w:rFonts w:ascii="Arial Narrow" w:hAnsi="Arial Narrow" w:cs="Arial"/>
              </w:rPr>
            </w:pPr>
            <w:r>
              <w:rPr>
                <w:rFonts w:ascii="Arial Narrow" w:hAnsi="Arial Narrow" w:cs="Arial"/>
              </w:rPr>
              <w:t>12.57</w:t>
            </w:r>
          </w:p>
        </w:tc>
      </w:tr>
      <w:tr w:rsidR="00037F4C" w14:paraId="7A7C5CA2" w14:textId="77777777" w:rsidTr="00580F40">
        <w:trPr>
          <w:cantSplit/>
          <w:jc w:val="center"/>
        </w:trPr>
        <w:tc>
          <w:tcPr>
            <w:tcW w:w="1422" w:type="dxa"/>
            <w:tcBorders>
              <w:left w:val="single" w:sz="12" w:space="0" w:color="auto"/>
              <w:right w:val="single" w:sz="12" w:space="0" w:color="auto"/>
            </w:tcBorders>
            <w:vAlign w:val="center"/>
          </w:tcPr>
          <w:p w14:paraId="7F322DC1" w14:textId="77777777" w:rsidR="00D64C24" w:rsidRDefault="00D64C24" w:rsidP="00542F75">
            <w:pPr>
              <w:pStyle w:val="NormalWeb"/>
              <w:spacing w:before="0" w:beforeAutospacing="0" w:after="0" w:afterAutospacing="0"/>
              <w:rPr>
                <w:rFonts w:ascii="Arial Narrow" w:hAnsi="Arial Narrow" w:cs="Arial"/>
                <w:b/>
                <w:bCs/>
              </w:rPr>
            </w:pPr>
            <w:r>
              <w:rPr>
                <w:rFonts w:ascii="Arial Narrow" w:hAnsi="Arial Narrow" w:cs="Arial"/>
                <w:b/>
                <w:bCs/>
              </w:rPr>
              <w:t>Occupancy</w:t>
            </w:r>
          </w:p>
        </w:tc>
        <w:tc>
          <w:tcPr>
            <w:tcW w:w="931" w:type="dxa"/>
            <w:tcBorders>
              <w:left w:val="single" w:sz="12" w:space="0" w:color="auto"/>
            </w:tcBorders>
            <w:shd w:val="clear" w:color="auto" w:fill="auto"/>
            <w:vAlign w:val="center"/>
          </w:tcPr>
          <w:p w14:paraId="4312423E" w14:textId="77777777" w:rsidR="00D64C24" w:rsidRPr="00632085" w:rsidRDefault="00D64C24" w:rsidP="00542F75">
            <w:pPr>
              <w:pStyle w:val="NormalWeb"/>
              <w:spacing w:before="0" w:beforeAutospacing="0" w:after="0" w:afterAutospacing="0"/>
              <w:jc w:val="center"/>
              <w:rPr>
                <w:rFonts w:ascii="Arial Narrow" w:hAnsi="Arial Narrow" w:cs="Arial"/>
                <w:highlight w:val="yellow"/>
              </w:rPr>
            </w:pPr>
            <w:r w:rsidRPr="007C13EB">
              <w:rPr>
                <w:rFonts w:ascii="Arial Narrow" w:hAnsi="Arial Narrow" w:cs="Arial"/>
              </w:rPr>
              <w:t>90%</w:t>
            </w:r>
          </w:p>
        </w:tc>
        <w:tc>
          <w:tcPr>
            <w:tcW w:w="931" w:type="dxa"/>
            <w:tcBorders>
              <w:right w:val="single" w:sz="4" w:space="0" w:color="auto"/>
            </w:tcBorders>
            <w:shd w:val="clear" w:color="auto" w:fill="auto"/>
            <w:vAlign w:val="center"/>
          </w:tcPr>
          <w:p w14:paraId="2E842B8D" w14:textId="77777777" w:rsidR="00D64C24" w:rsidRPr="00632085" w:rsidRDefault="00D64C24" w:rsidP="00542F75">
            <w:pPr>
              <w:pStyle w:val="NormalWeb"/>
              <w:spacing w:before="0" w:beforeAutospacing="0" w:after="0" w:afterAutospacing="0"/>
              <w:jc w:val="center"/>
              <w:rPr>
                <w:rFonts w:ascii="Arial Narrow" w:hAnsi="Arial Narrow" w:cs="Arial"/>
                <w:highlight w:val="yellow"/>
              </w:rPr>
            </w:pPr>
            <w:r w:rsidRPr="007C13EB">
              <w:rPr>
                <w:rFonts w:ascii="Arial Narrow" w:hAnsi="Arial Narrow" w:cs="Arial"/>
              </w:rPr>
              <w:t>85%</w:t>
            </w:r>
          </w:p>
        </w:tc>
        <w:tc>
          <w:tcPr>
            <w:tcW w:w="931" w:type="dxa"/>
            <w:tcBorders>
              <w:left w:val="single" w:sz="4" w:space="0" w:color="auto"/>
              <w:right w:val="single" w:sz="4" w:space="0" w:color="auto"/>
            </w:tcBorders>
            <w:shd w:val="clear" w:color="auto" w:fill="auto"/>
            <w:vAlign w:val="center"/>
          </w:tcPr>
          <w:p w14:paraId="2E52BA18" w14:textId="77777777" w:rsidR="00D64C24" w:rsidRPr="00974954" w:rsidRDefault="00D64C24" w:rsidP="00542F75">
            <w:pPr>
              <w:pStyle w:val="NormalWeb"/>
              <w:spacing w:before="0" w:beforeAutospacing="0" w:after="0" w:afterAutospacing="0"/>
              <w:jc w:val="center"/>
              <w:rPr>
                <w:rFonts w:ascii="Arial Narrow" w:hAnsi="Arial Narrow" w:cs="Arial"/>
              </w:rPr>
            </w:pPr>
            <w:r w:rsidRPr="00974954">
              <w:rPr>
                <w:rFonts w:ascii="Arial Narrow" w:hAnsi="Arial Narrow" w:cs="Arial"/>
              </w:rPr>
              <w:t>91%</w:t>
            </w:r>
          </w:p>
        </w:tc>
        <w:tc>
          <w:tcPr>
            <w:tcW w:w="1170" w:type="dxa"/>
            <w:tcBorders>
              <w:left w:val="single" w:sz="4" w:space="0" w:color="auto"/>
              <w:right w:val="single" w:sz="12" w:space="0" w:color="auto"/>
            </w:tcBorders>
            <w:shd w:val="clear" w:color="auto" w:fill="auto"/>
            <w:vAlign w:val="center"/>
          </w:tcPr>
          <w:p w14:paraId="1F8790B3" w14:textId="5C50D38C" w:rsidR="00D64C24" w:rsidRPr="00974954" w:rsidRDefault="00974954" w:rsidP="00542F75">
            <w:pPr>
              <w:pStyle w:val="NormalWeb"/>
              <w:spacing w:before="0" w:beforeAutospacing="0" w:after="0" w:afterAutospacing="0"/>
              <w:jc w:val="center"/>
              <w:rPr>
                <w:rFonts w:ascii="Arial Narrow" w:hAnsi="Arial Narrow" w:cs="Arial"/>
              </w:rPr>
            </w:pPr>
            <w:r w:rsidRPr="00974954">
              <w:rPr>
                <w:rFonts w:ascii="Arial Narrow" w:hAnsi="Arial Narrow" w:cs="Arial"/>
              </w:rPr>
              <w:t>93%</w:t>
            </w:r>
          </w:p>
        </w:tc>
        <w:tc>
          <w:tcPr>
            <w:tcW w:w="930" w:type="dxa"/>
            <w:tcBorders>
              <w:left w:val="single" w:sz="12" w:space="0" w:color="auto"/>
              <w:right w:val="single" w:sz="4" w:space="0" w:color="auto"/>
            </w:tcBorders>
            <w:shd w:val="clear" w:color="auto" w:fill="auto"/>
            <w:vAlign w:val="center"/>
          </w:tcPr>
          <w:p w14:paraId="2EC6D9A7" w14:textId="77777777" w:rsidR="00D64C24" w:rsidRPr="0099148A" w:rsidRDefault="00D64C24" w:rsidP="00542F75">
            <w:pPr>
              <w:pStyle w:val="NormalWeb"/>
              <w:spacing w:before="0" w:beforeAutospacing="0" w:after="0" w:afterAutospacing="0"/>
              <w:jc w:val="center"/>
              <w:rPr>
                <w:rFonts w:ascii="Arial Narrow" w:hAnsi="Arial Narrow" w:cs="Arial"/>
                <w:color w:val="000000" w:themeColor="text1"/>
              </w:rPr>
            </w:pPr>
            <w:r w:rsidRPr="0099148A">
              <w:rPr>
                <w:rFonts w:ascii="Arial Narrow" w:hAnsi="Arial Narrow" w:cs="Arial"/>
                <w:color w:val="000000" w:themeColor="text1"/>
              </w:rPr>
              <w:t>8</w:t>
            </w:r>
            <w:r>
              <w:rPr>
                <w:rFonts w:ascii="Arial Narrow" w:hAnsi="Arial Narrow" w:cs="Arial"/>
                <w:color w:val="000000" w:themeColor="text1"/>
              </w:rPr>
              <w:t>3</w:t>
            </w:r>
            <w:r w:rsidRPr="0099148A">
              <w:rPr>
                <w:rFonts w:ascii="Arial Narrow" w:hAnsi="Arial Narrow" w:cs="Arial"/>
                <w:color w:val="000000" w:themeColor="text1"/>
              </w:rPr>
              <w:t>%</w:t>
            </w:r>
          </w:p>
        </w:tc>
        <w:tc>
          <w:tcPr>
            <w:tcW w:w="930" w:type="dxa"/>
            <w:tcBorders>
              <w:left w:val="single" w:sz="4" w:space="0" w:color="auto"/>
            </w:tcBorders>
            <w:shd w:val="clear" w:color="auto" w:fill="auto"/>
            <w:vAlign w:val="center"/>
          </w:tcPr>
          <w:p w14:paraId="1D989F1B" w14:textId="77777777" w:rsidR="00D64C24" w:rsidRPr="0099148A" w:rsidRDefault="00D64C24" w:rsidP="00542F75">
            <w:pPr>
              <w:pStyle w:val="NormalWeb"/>
              <w:spacing w:before="0" w:beforeAutospacing="0" w:after="0" w:afterAutospacing="0"/>
              <w:jc w:val="center"/>
              <w:rPr>
                <w:rFonts w:ascii="Arial Narrow" w:hAnsi="Arial Narrow" w:cs="Arial"/>
                <w:color w:val="000000" w:themeColor="text1"/>
              </w:rPr>
            </w:pPr>
            <w:r w:rsidRPr="0099148A">
              <w:rPr>
                <w:rFonts w:ascii="Arial Narrow" w:hAnsi="Arial Narrow" w:cs="Arial"/>
                <w:color w:val="000000" w:themeColor="text1"/>
              </w:rPr>
              <w:t>80%</w:t>
            </w:r>
          </w:p>
        </w:tc>
        <w:tc>
          <w:tcPr>
            <w:tcW w:w="930" w:type="dxa"/>
            <w:tcBorders>
              <w:right w:val="single" w:sz="4" w:space="0" w:color="auto"/>
            </w:tcBorders>
            <w:shd w:val="clear" w:color="auto" w:fill="auto"/>
            <w:vAlign w:val="center"/>
          </w:tcPr>
          <w:p w14:paraId="78121753" w14:textId="77777777" w:rsidR="00D64C24" w:rsidRPr="0099148A" w:rsidRDefault="00D64C24" w:rsidP="00542F75">
            <w:pPr>
              <w:pStyle w:val="NormalWeb"/>
              <w:spacing w:before="0" w:beforeAutospacing="0" w:after="0" w:afterAutospacing="0"/>
              <w:jc w:val="center"/>
              <w:rPr>
                <w:rFonts w:ascii="Arial Narrow" w:hAnsi="Arial Narrow" w:cs="Arial"/>
                <w:color w:val="000000" w:themeColor="text1"/>
              </w:rPr>
            </w:pPr>
            <w:r w:rsidRPr="0099148A">
              <w:rPr>
                <w:rFonts w:ascii="Arial Narrow" w:hAnsi="Arial Narrow" w:cs="Arial"/>
                <w:color w:val="000000" w:themeColor="text1"/>
              </w:rPr>
              <w:t>83%</w:t>
            </w:r>
          </w:p>
        </w:tc>
        <w:tc>
          <w:tcPr>
            <w:tcW w:w="1155" w:type="dxa"/>
            <w:tcBorders>
              <w:left w:val="single" w:sz="4" w:space="0" w:color="auto"/>
              <w:right w:val="single" w:sz="12" w:space="0" w:color="auto"/>
            </w:tcBorders>
            <w:shd w:val="clear" w:color="auto" w:fill="auto"/>
            <w:vAlign w:val="center"/>
          </w:tcPr>
          <w:p w14:paraId="031C9492" w14:textId="1ED867E3" w:rsidR="00D64C24" w:rsidRPr="0099148A" w:rsidRDefault="00974954" w:rsidP="00542F75">
            <w:pPr>
              <w:pStyle w:val="NormalWeb"/>
              <w:spacing w:before="0" w:beforeAutospacing="0" w:after="0" w:afterAutospacing="0"/>
              <w:jc w:val="center"/>
              <w:rPr>
                <w:rFonts w:ascii="Arial Narrow" w:hAnsi="Arial Narrow" w:cs="Arial"/>
                <w:color w:val="000000" w:themeColor="text1"/>
              </w:rPr>
            </w:pPr>
            <w:r>
              <w:rPr>
                <w:rFonts w:ascii="Arial Narrow" w:hAnsi="Arial Narrow" w:cs="Arial"/>
                <w:color w:val="000000" w:themeColor="text1"/>
              </w:rPr>
              <w:t>80%</w:t>
            </w:r>
          </w:p>
        </w:tc>
      </w:tr>
      <w:tr w:rsidR="003E3AAD" w14:paraId="49CD8A2E" w14:textId="77777777" w:rsidTr="00580F40">
        <w:trPr>
          <w:cantSplit/>
          <w:jc w:val="center"/>
        </w:trPr>
        <w:tc>
          <w:tcPr>
            <w:tcW w:w="1422" w:type="dxa"/>
            <w:tcBorders>
              <w:left w:val="single" w:sz="12" w:space="0" w:color="auto"/>
              <w:bottom w:val="single" w:sz="12" w:space="0" w:color="auto"/>
              <w:right w:val="single" w:sz="12" w:space="0" w:color="auto"/>
            </w:tcBorders>
            <w:vAlign w:val="center"/>
          </w:tcPr>
          <w:p w14:paraId="42FD1A00" w14:textId="56942153" w:rsidR="003E3AAD" w:rsidRDefault="003A65CE" w:rsidP="00542F75">
            <w:pPr>
              <w:pStyle w:val="NormalWeb"/>
              <w:spacing w:before="0" w:beforeAutospacing="0" w:after="0" w:afterAutospacing="0"/>
              <w:rPr>
                <w:rFonts w:ascii="Arial Narrow" w:hAnsi="Arial Narrow" w:cs="Arial"/>
                <w:b/>
                <w:bCs/>
              </w:rPr>
            </w:pPr>
            <w:r>
              <w:rPr>
                <w:rFonts w:ascii="Arial Narrow" w:hAnsi="Arial Narrow" w:cs="Arial"/>
                <w:b/>
                <w:bCs/>
              </w:rPr>
              <w:t>Patient Days</w:t>
            </w:r>
          </w:p>
        </w:tc>
        <w:tc>
          <w:tcPr>
            <w:tcW w:w="931" w:type="dxa"/>
            <w:tcBorders>
              <w:left w:val="single" w:sz="12" w:space="0" w:color="auto"/>
              <w:bottom w:val="single" w:sz="12" w:space="0" w:color="auto"/>
            </w:tcBorders>
            <w:shd w:val="clear" w:color="auto" w:fill="auto"/>
            <w:vAlign w:val="center"/>
          </w:tcPr>
          <w:p w14:paraId="02DB3810" w14:textId="39EA3C52" w:rsidR="003E3AAD" w:rsidRPr="00DC414C" w:rsidRDefault="0053357A" w:rsidP="00542F75">
            <w:pPr>
              <w:pStyle w:val="NormalWeb"/>
              <w:spacing w:before="0" w:beforeAutospacing="0" w:after="0" w:afterAutospacing="0"/>
              <w:jc w:val="center"/>
              <w:rPr>
                <w:rFonts w:ascii="Arial Narrow" w:hAnsi="Arial Narrow" w:cs="Arial"/>
              </w:rPr>
            </w:pPr>
            <w:r w:rsidRPr="00DC414C">
              <w:rPr>
                <w:rFonts w:ascii="Arial Narrow" w:hAnsi="Arial Narrow" w:cs="Arial"/>
              </w:rPr>
              <w:t>96,983</w:t>
            </w:r>
          </w:p>
        </w:tc>
        <w:tc>
          <w:tcPr>
            <w:tcW w:w="931" w:type="dxa"/>
            <w:tcBorders>
              <w:bottom w:val="single" w:sz="12" w:space="0" w:color="auto"/>
              <w:right w:val="single" w:sz="4" w:space="0" w:color="auto"/>
            </w:tcBorders>
            <w:shd w:val="clear" w:color="auto" w:fill="auto"/>
            <w:vAlign w:val="center"/>
          </w:tcPr>
          <w:p w14:paraId="2F026AEC" w14:textId="5033A3F8" w:rsidR="003E3AAD" w:rsidRPr="00DC414C" w:rsidRDefault="0053357A" w:rsidP="00542F75">
            <w:pPr>
              <w:pStyle w:val="NormalWeb"/>
              <w:spacing w:before="0" w:beforeAutospacing="0" w:after="0" w:afterAutospacing="0"/>
              <w:jc w:val="center"/>
              <w:rPr>
                <w:rFonts w:ascii="Arial Narrow" w:hAnsi="Arial Narrow" w:cs="Arial"/>
              </w:rPr>
            </w:pPr>
            <w:r w:rsidRPr="00DC414C">
              <w:rPr>
                <w:rFonts w:ascii="Arial Narrow" w:hAnsi="Arial Narrow" w:cs="Arial"/>
              </w:rPr>
              <w:t>94,170</w:t>
            </w:r>
          </w:p>
        </w:tc>
        <w:tc>
          <w:tcPr>
            <w:tcW w:w="931" w:type="dxa"/>
            <w:tcBorders>
              <w:left w:val="single" w:sz="4" w:space="0" w:color="auto"/>
              <w:bottom w:val="single" w:sz="12" w:space="0" w:color="auto"/>
              <w:right w:val="single" w:sz="4" w:space="0" w:color="auto"/>
            </w:tcBorders>
            <w:shd w:val="clear" w:color="auto" w:fill="auto"/>
            <w:vAlign w:val="center"/>
          </w:tcPr>
          <w:p w14:paraId="0ACCA08E" w14:textId="7B01ADCA" w:rsidR="003E3AAD" w:rsidRPr="00DC414C" w:rsidRDefault="0053357A" w:rsidP="00542F75">
            <w:pPr>
              <w:pStyle w:val="NormalWeb"/>
              <w:spacing w:before="0" w:beforeAutospacing="0" w:after="0" w:afterAutospacing="0"/>
              <w:jc w:val="center"/>
              <w:rPr>
                <w:rFonts w:ascii="Arial Narrow" w:hAnsi="Arial Narrow" w:cs="Arial"/>
              </w:rPr>
            </w:pPr>
            <w:r w:rsidRPr="00DC414C">
              <w:rPr>
                <w:rFonts w:ascii="Arial Narrow" w:hAnsi="Arial Narrow" w:cs="Arial"/>
              </w:rPr>
              <w:t>101,218</w:t>
            </w:r>
          </w:p>
        </w:tc>
        <w:tc>
          <w:tcPr>
            <w:tcW w:w="1170" w:type="dxa"/>
            <w:tcBorders>
              <w:left w:val="single" w:sz="4" w:space="0" w:color="auto"/>
              <w:bottom w:val="single" w:sz="12" w:space="0" w:color="auto"/>
              <w:right w:val="single" w:sz="12" w:space="0" w:color="auto"/>
            </w:tcBorders>
            <w:shd w:val="clear" w:color="auto" w:fill="auto"/>
            <w:vAlign w:val="center"/>
          </w:tcPr>
          <w:p w14:paraId="67381045" w14:textId="2E4C4253" w:rsidR="003E3AAD" w:rsidRPr="00717D36" w:rsidRDefault="00F412BA" w:rsidP="00542F75">
            <w:pPr>
              <w:pStyle w:val="NormalWeb"/>
              <w:spacing w:before="0" w:beforeAutospacing="0" w:after="0" w:afterAutospacing="0"/>
              <w:jc w:val="center"/>
              <w:rPr>
                <w:rFonts w:ascii="Arial Narrow" w:hAnsi="Arial Narrow" w:cs="Arial"/>
              </w:rPr>
            </w:pPr>
            <w:r w:rsidRPr="00717D36">
              <w:rPr>
                <w:rFonts w:ascii="Arial Narrow" w:hAnsi="Arial Narrow" w:cs="Arial"/>
              </w:rPr>
              <w:t>86,</w:t>
            </w:r>
            <w:r w:rsidR="00CD4ADB" w:rsidRPr="00717D36">
              <w:rPr>
                <w:rFonts w:ascii="Arial Narrow" w:hAnsi="Arial Narrow" w:cs="Arial"/>
              </w:rPr>
              <w:t>892</w:t>
            </w:r>
          </w:p>
        </w:tc>
        <w:tc>
          <w:tcPr>
            <w:tcW w:w="930" w:type="dxa"/>
            <w:tcBorders>
              <w:left w:val="single" w:sz="12" w:space="0" w:color="auto"/>
              <w:bottom w:val="single" w:sz="12" w:space="0" w:color="auto"/>
              <w:right w:val="single" w:sz="4" w:space="0" w:color="auto"/>
            </w:tcBorders>
            <w:shd w:val="clear" w:color="auto" w:fill="auto"/>
            <w:vAlign w:val="center"/>
          </w:tcPr>
          <w:p w14:paraId="6CD5191B" w14:textId="5A28024B" w:rsidR="003E3AAD" w:rsidRPr="00717D36" w:rsidRDefault="00BD05DB" w:rsidP="00542F75">
            <w:pPr>
              <w:pStyle w:val="NormalWeb"/>
              <w:spacing w:before="0" w:beforeAutospacing="0" w:after="0" w:afterAutospacing="0"/>
              <w:jc w:val="center"/>
              <w:rPr>
                <w:rFonts w:ascii="Arial Narrow" w:hAnsi="Arial Narrow" w:cs="Arial"/>
              </w:rPr>
            </w:pPr>
            <w:r w:rsidRPr="00717D36">
              <w:rPr>
                <w:rFonts w:ascii="Arial Narrow" w:hAnsi="Arial Narrow" w:cs="Arial"/>
              </w:rPr>
              <w:t>19,060</w:t>
            </w:r>
          </w:p>
        </w:tc>
        <w:tc>
          <w:tcPr>
            <w:tcW w:w="930" w:type="dxa"/>
            <w:tcBorders>
              <w:left w:val="single" w:sz="4" w:space="0" w:color="auto"/>
              <w:bottom w:val="single" w:sz="12" w:space="0" w:color="auto"/>
            </w:tcBorders>
            <w:shd w:val="clear" w:color="auto" w:fill="auto"/>
            <w:vAlign w:val="center"/>
          </w:tcPr>
          <w:p w14:paraId="46310C2E" w14:textId="1B6AD35E" w:rsidR="003E3AAD" w:rsidRPr="00717D36" w:rsidRDefault="007C5C1B" w:rsidP="00542F75">
            <w:pPr>
              <w:pStyle w:val="NormalWeb"/>
              <w:spacing w:before="0" w:beforeAutospacing="0" w:after="0" w:afterAutospacing="0"/>
              <w:jc w:val="center"/>
              <w:rPr>
                <w:rFonts w:ascii="Arial Narrow" w:hAnsi="Arial Narrow" w:cs="Arial"/>
              </w:rPr>
            </w:pPr>
            <w:r w:rsidRPr="00717D36">
              <w:rPr>
                <w:rFonts w:ascii="Arial Narrow" w:hAnsi="Arial Narrow" w:cs="Arial"/>
              </w:rPr>
              <w:t>18,406</w:t>
            </w:r>
          </w:p>
        </w:tc>
        <w:tc>
          <w:tcPr>
            <w:tcW w:w="930" w:type="dxa"/>
            <w:tcBorders>
              <w:bottom w:val="single" w:sz="12" w:space="0" w:color="auto"/>
              <w:right w:val="single" w:sz="4" w:space="0" w:color="auto"/>
            </w:tcBorders>
            <w:shd w:val="clear" w:color="auto" w:fill="auto"/>
            <w:vAlign w:val="center"/>
          </w:tcPr>
          <w:p w14:paraId="62AD25CA" w14:textId="17E26DAE" w:rsidR="003E3AAD" w:rsidRPr="00717D36" w:rsidRDefault="007C5C1B" w:rsidP="00542F75">
            <w:pPr>
              <w:pStyle w:val="NormalWeb"/>
              <w:spacing w:before="0" w:beforeAutospacing="0" w:after="0" w:afterAutospacing="0"/>
              <w:jc w:val="center"/>
              <w:rPr>
                <w:rFonts w:ascii="Arial Narrow" w:hAnsi="Arial Narrow" w:cs="Arial"/>
              </w:rPr>
            </w:pPr>
            <w:r w:rsidRPr="00717D36">
              <w:rPr>
                <w:rFonts w:ascii="Arial Narrow" w:hAnsi="Arial Narrow" w:cs="Arial"/>
              </w:rPr>
              <w:t>19,133</w:t>
            </w:r>
          </w:p>
        </w:tc>
        <w:tc>
          <w:tcPr>
            <w:tcW w:w="1155" w:type="dxa"/>
            <w:tcBorders>
              <w:left w:val="single" w:sz="4" w:space="0" w:color="auto"/>
              <w:bottom w:val="single" w:sz="12" w:space="0" w:color="auto"/>
              <w:right w:val="single" w:sz="12" w:space="0" w:color="auto"/>
            </w:tcBorders>
            <w:shd w:val="clear" w:color="auto" w:fill="auto"/>
            <w:vAlign w:val="center"/>
          </w:tcPr>
          <w:p w14:paraId="278F917F" w14:textId="03465BEA" w:rsidR="003E3AAD" w:rsidRPr="00717D36" w:rsidRDefault="00774458" w:rsidP="00542F75">
            <w:pPr>
              <w:pStyle w:val="NormalWeb"/>
              <w:spacing w:before="0" w:beforeAutospacing="0" w:after="0" w:afterAutospacing="0"/>
              <w:jc w:val="center"/>
              <w:rPr>
                <w:rFonts w:ascii="Arial Narrow" w:hAnsi="Arial Narrow" w:cs="Arial"/>
                <w:color w:val="000000" w:themeColor="text1"/>
              </w:rPr>
            </w:pPr>
            <w:r w:rsidRPr="00717D36">
              <w:rPr>
                <w:rFonts w:ascii="Arial Narrow" w:hAnsi="Arial Narrow" w:cs="Arial"/>
                <w:color w:val="000000" w:themeColor="text1"/>
              </w:rPr>
              <w:t>15,</w:t>
            </w:r>
            <w:r w:rsidR="00CD4ADB" w:rsidRPr="00717D36">
              <w:rPr>
                <w:rFonts w:ascii="Arial Narrow" w:hAnsi="Arial Narrow" w:cs="Arial"/>
                <w:color w:val="000000" w:themeColor="text1"/>
              </w:rPr>
              <w:t>350</w:t>
            </w:r>
          </w:p>
        </w:tc>
      </w:tr>
    </w:tbl>
    <w:p w14:paraId="3882E2C9" w14:textId="39B89AF6" w:rsidR="00CE4B68" w:rsidRDefault="00CE4B68" w:rsidP="00CD7542">
      <w:pPr>
        <w:spacing w:after="120" w:line="259" w:lineRule="auto"/>
        <w:rPr>
          <w:rFonts w:ascii="Arial" w:hAnsi="Arial" w:cs="Arial"/>
          <w:sz w:val="22"/>
          <w:szCs w:val="22"/>
        </w:rPr>
      </w:pPr>
    </w:p>
    <w:p w14:paraId="7A1DA8D4" w14:textId="0E2B4812" w:rsidR="00580F40" w:rsidRDefault="00580F40" w:rsidP="00CD7542">
      <w:pPr>
        <w:spacing w:after="120" w:line="259" w:lineRule="auto"/>
        <w:rPr>
          <w:rFonts w:ascii="Arial" w:hAnsi="Arial" w:cs="Arial"/>
          <w:sz w:val="22"/>
          <w:szCs w:val="22"/>
        </w:rPr>
      </w:pPr>
      <w:r w:rsidRPr="00580F40">
        <w:rPr>
          <w:rFonts w:ascii="Arial Narrow" w:hAnsi="Arial Narrow" w:cs="Arial"/>
          <w:b/>
          <w:bCs/>
          <w:color w:val="FFFFFF"/>
          <w:shd w:val="clear" w:color="auto" w:fill="0070C0"/>
        </w:rPr>
        <w:t xml:space="preserve">Table 13 REVISED: BMC Inpatient Bed Historical Utilization by Age (COVID-19 and </w:t>
      </w:r>
      <w:proofErr w:type="gramStart"/>
      <w:r w:rsidRPr="00580F40">
        <w:rPr>
          <w:rFonts w:ascii="Arial Narrow" w:hAnsi="Arial Narrow" w:cs="Arial"/>
          <w:b/>
          <w:bCs/>
          <w:color w:val="FFFFFF"/>
          <w:shd w:val="clear" w:color="auto" w:fill="0070C0"/>
        </w:rPr>
        <w:t>Non-COVID</w:t>
      </w:r>
      <w:proofErr w:type="gramEnd"/>
      <w:r w:rsidRPr="00580F40">
        <w:rPr>
          <w:rFonts w:ascii="Arial Narrow" w:hAnsi="Arial Narrow" w:cs="Arial"/>
          <w:b/>
          <w:bCs/>
          <w:color w:val="FFFFFF"/>
          <w:shd w:val="clear" w:color="auto" w:fill="0070C0"/>
        </w:rPr>
        <w:t>-19)</w:t>
      </w:r>
    </w:p>
    <w:tbl>
      <w:tblPr>
        <w:tblStyle w:val="TableGrid"/>
        <w:tblW w:w="9334" w:type="dxa"/>
        <w:jc w:val="center"/>
        <w:tblLayout w:type="fixed"/>
        <w:tblLook w:val="04A0" w:firstRow="1" w:lastRow="0" w:firstColumn="1" w:lastColumn="0" w:noHBand="0" w:noVBand="1"/>
      </w:tblPr>
      <w:tblGrid>
        <w:gridCol w:w="701"/>
        <w:gridCol w:w="16"/>
        <w:gridCol w:w="701"/>
        <w:gridCol w:w="16"/>
        <w:gridCol w:w="701"/>
        <w:gridCol w:w="16"/>
        <w:gridCol w:w="702"/>
        <w:gridCol w:w="15"/>
        <w:gridCol w:w="702"/>
        <w:gridCol w:w="15"/>
        <w:gridCol w:w="704"/>
        <w:gridCol w:w="14"/>
        <w:gridCol w:w="706"/>
        <w:gridCol w:w="12"/>
        <w:gridCol w:w="707"/>
        <w:gridCol w:w="11"/>
        <w:gridCol w:w="718"/>
        <w:gridCol w:w="719"/>
        <w:gridCol w:w="719"/>
        <w:gridCol w:w="719"/>
        <w:gridCol w:w="720"/>
      </w:tblGrid>
      <w:tr w:rsidR="00974954" w14:paraId="588ADB24" w14:textId="77777777" w:rsidTr="00F804EC">
        <w:trPr>
          <w:cantSplit/>
          <w:tblHeader/>
          <w:jc w:val="center"/>
        </w:trPr>
        <w:tc>
          <w:tcPr>
            <w:tcW w:w="701" w:type="dxa"/>
            <w:tcBorders>
              <w:top w:val="single" w:sz="12" w:space="0" w:color="auto"/>
              <w:left w:val="single" w:sz="12" w:space="0" w:color="auto"/>
              <w:right w:val="single" w:sz="12" w:space="0" w:color="auto"/>
            </w:tcBorders>
            <w:shd w:val="clear" w:color="auto" w:fill="8DA9DB"/>
          </w:tcPr>
          <w:p w14:paraId="612C66A5" w14:textId="77777777" w:rsidR="00974954" w:rsidRPr="00F80B42" w:rsidRDefault="00974954" w:rsidP="00542F75">
            <w:pPr>
              <w:pStyle w:val="NormalWeb"/>
              <w:spacing w:before="0" w:beforeAutospacing="0" w:after="0" w:afterAutospacing="0"/>
              <w:jc w:val="center"/>
              <w:rPr>
                <w:rFonts w:ascii="Arial Narrow" w:hAnsi="Arial Narrow" w:cs="Arial"/>
              </w:rPr>
            </w:pPr>
          </w:p>
        </w:tc>
        <w:tc>
          <w:tcPr>
            <w:tcW w:w="2869" w:type="dxa"/>
            <w:gridSpan w:val="8"/>
            <w:tcBorders>
              <w:top w:val="single" w:sz="12" w:space="0" w:color="auto"/>
              <w:left w:val="single" w:sz="12" w:space="0" w:color="auto"/>
              <w:right w:val="single" w:sz="12" w:space="0" w:color="auto"/>
            </w:tcBorders>
            <w:shd w:val="clear" w:color="auto" w:fill="8DA9DB"/>
          </w:tcPr>
          <w:p w14:paraId="7F6ABBED" w14:textId="77777777" w:rsidR="00974954" w:rsidRPr="00F80B42" w:rsidRDefault="00974954" w:rsidP="00542F75">
            <w:pPr>
              <w:pStyle w:val="NormalWeb"/>
              <w:spacing w:before="0" w:beforeAutospacing="0" w:after="0" w:afterAutospacing="0"/>
              <w:jc w:val="center"/>
              <w:rPr>
                <w:rFonts w:ascii="Arial Narrow" w:hAnsi="Arial Narrow" w:cs="Arial"/>
                <w:b/>
                <w:bCs/>
              </w:rPr>
            </w:pPr>
            <w:r>
              <w:rPr>
                <w:rFonts w:ascii="Arial Narrow" w:hAnsi="Arial Narrow" w:cs="Arial"/>
                <w:b/>
                <w:bCs/>
              </w:rPr>
              <w:t>Discharges</w:t>
            </w:r>
          </w:p>
        </w:tc>
        <w:tc>
          <w:tcPr>
            <w:tcW w:w="2887" w:type="dxa"/>
            <w:gridSpan w:val="8"/>
            <w:tcBorders>
              <w:top w:val="single" w:sz="12" w:space="0" w:color="auto"/>
              <w:left w:val="single" w:sz="12" w:space="0" w:color="auto"/>
              <w:right w:val="single" w:sz="12" w:space="0" w:color="auto"/>
            </w:tcBorders>
            <w:shd w:val="clear" w:color="auto" w:fill="8DA9DB"/>
            <w:vAlign w:val="center"/>
          </w:tcPr>
          <w:p w14:paraId="3CB87A32" w14:textId="77777777" w:rsidR="00974954" w:rsidRPr="00F80B42" w:rsidRDefault="00974954" w:rsidP="00542F75">
            <w:pPr>
              <w:pStyle w:val="NormalWeb"/>
              <w:spacing w:before="0" w:beforeAutospacing="0" w:after="0" w:afterAutospacing="0"/>
              <w:jc w:val="center"/>
              <w:rPr>
                <w:rFonts w:ascii="Arial Narrow" w:hAnsi="Arial Narrow" w:cs="Arial"/>
                <w:b/>
                <w:bCs/>
              </w:rPr>
            </w:pPr>
            <w:r>
              <w:rPr>
                <w:rFonts w:ascii="Arial Narrow" w:hAnsi="Arial Narrow" w:cs="Arial"/>
                <w:b/>
                <w:bCs/>
              </w:rPr>
              <w:t>ALOS</w:t>
            </w:r>
          </w:p>
        </w:tc>
        <w:tc>
          <w:tcPr>
            <w:tcW w:w="2877" w:type="dxa"/>
            <w:gridSpan w:val="4"/>
            <w:tcBorders>
              <w:top w:val="single" w:sz="12" w:space="0" w:color="auto"/>
              <w:left w:val="single" w:sz="12" w:space="0" w:color="auto"/>
              <w:right w:val="single" w:sz="12" w:space="0" w:color="auto"/>
            </w:tcBorders>
            <w:shd w:val="clear" w:color="auto" w:fill="8DA9DB"/>
            <w:vAlign w:val="center"/>
          </w:tcPr>
          <w:p w14:paraId="0C3496D3" w14:textId="77777777" w:rsidR="00974954" w:rsidRPr="00F80B42" w:rsidRDefault="00974954" w:rsidP="00542F75">
            <w:pPr>
              <w:pStyle w:val="NormalWeb"/>
              <w:spacing w:before="0" w:beforeAutospacing="0" w:after="0" w:afterAutospacing="0"/>
              <w:jc w:val="center"/>
              <w:rPr>
                <w:rFonts w:ascii="Arial Narrow" w:hAnsi="Arial Narrow" w:cs="Arial"/>
                <w:b/>
                <w:bCs/>
              </w:rPr>
            </w:pPr>
            <w:r>
              <w:rPr>
                <w:rFonts w:ascii="Arial Narrow" w:hAnsi="Arial Narrow" w:cs="Arial"/>
                <w:b/>
                <w:bCs/>
              </w:rPr>
              <w:t>Average Case Weight</w:t>
            </w:r>
          </w:p>
        </w:tc>
      </w:tr>
      <w:tr w:rsidR="00857F94" w14:paraId="12513D12" w14:textId="77777777" w:rsidTr="00F804EC">
        <w:trPr>
          <w:cantSplit/>
          <w:tblHeader/>
          <w:jc w:val="center"/>
        </w:trPr>
        <w:tc>
          <w:tcPr>
            <w:tcW w:w="701" w:type="dxa"/>
            <w:tcBorders>
              <w:left w:val="single" w:sz="12" w:space="0" w:color="auto"/>
              <w:bottom w:val="single" w:sz="12" w:space="0" w:color="auto"/>
              <w:right w:val="single" w:sz="12" w:space="0" w:color="auto"/>
            </w:tcBorders>
            <w:shd w:val="clear" w:color="auto" w:fill="BFBFBF"/>
          </w:tcPr>
          <w:p w14:paraId="6205E0A6" w14:textId="77777777" w:rsidR="00857F94" w:rsidRPr="00F80B42" w:rsidRDefault="00857F94" w:rsidP="00542F75">
            <w:pPr>
              <w:pStyle w:val="NormalWeb"/>
              <w:spacing w:before="0" w:beforeAutospacing="0" w:after="0" w:afterAutospacing="0"/>
              <w:jc w:val="both"/>
              <w:rPr>
                <w:rFonts w:ascii="Arial Narrow" w:hAnsi="Arial Narrow" w:cs="Arial"/>
                <w:b/>
                <w:bCs/>
              </w:rPr>
            </w:pPr>
          </w:p>
        </w:tc>
        <w:tc>
          <w:tcPr>
            <w:tcW w:w="717" w:type="dxa"/>
            <w:gridSpan w:val="2"/>
            <w:tcBorders>
              <w:left w:val="single" w:sz="12" w:space="0" w:color="auto"/>
              <w:bottom w:val="single" w:sz="12" w:space="0" w:color="auto"/>
              <w:right w:val="single" w:sz="4" w:space="0" w:color="auto"/>
            </w:tcBorders>
            <w:shd w:val="clear" w:color="auto" w:fill="BFBFBF"/>
            <w:vAlign w:val="center"/>
          </w:tcPr>
          <w:p w14:paraId="168821B7" w14:textId="77777777" w:rsidR="00857F94" w:rsidRDefault="00857F94" w:rsidP="00217980">
            <w:pPr>
              <w:pStyle w:val="NormalWeb"/>
              <w:spacing w:before="0" w:beforeAutospacing="0" w:after="0" w:afterAutospacing="0"/>
              <w:jc w:val="center"/>
              <w:rPr>
                <w:rFonts w:ascii="Arial Narrow" w:hAnsi="Arial Narrow" w:cs="Arial"/>
                <w:b/>
                <w:bCs/>
              </w:rPr>
            </w:pPr>
            <w:r>
              <w:rPr>
                <w:rFonts w:ascii="Arial Narrow" w:hAnsi="Arial Narrow" w:cs="Arial"/>
                <w:b/>
                <w:bCs/>
              </w:rPr>
              <w:t>FY19</w:t>
            </w:r>
          </w:p>
        </w:tc>
        <w:tc>
          <w:tcPr>
            <w:tcW w:w="717" w:type="dxa"/>
            <w:gridSpan w:val="2"/>
            <w:tcBorders>
              <w:left w:val="single" w:sz="4" w:space="0" w:color="auto"/>
              <w:bottom w:val="single" w:sz="12" w:space="0" w:color="auto"/>
            </w:tcBorders>
            <w:shd w:val="clear" w:color="auto" w:fill="BFBFBF"/>
            <w:vAlign w:val="center"/>
          </w:tcPr>
          <w:p w14:paraId="7F82220C" w14:textId="77777777" w:rsidR="00857F94" w:rsidRPr="00F80B42" w:rsidRDefault="00857F94" w:rsidP="00217980">
            <w:pPr>
              <w:pStyle w:val="NormalWeb"/>
              <w:spacing w:before="0" w:beforeAutospacing="0" w:after="0" w:afterAutospacing="0"/>
              <w:jc w:val="center"/>
              <w:rPr>
                <w:rFonts w:ascii="Arial Narrow" w:hAnsi="Arial Narrow" w:cs="Arial"/>
                <w:b/>
                <w:bCs/>
              </w:rPr>
            </w:pPr>
            <w:r>
              <w:rPr>
                <w:rFonts w:ascii="Arial Narrow" w:hAnsi="Arial Narrow" w:cs="Arial"/>
                <w:b/>
                <w:bCs/>
              </w:rPr>
              <w:t>FY20</w:t>
            </w:r>
          </w:p>
        </w:tc>
        <w:tc>
          <w:tcPr>
            <w:tcW w:w="718" w:type="dxa"/>
            <w:gridSpan w:val="2"/>
            <w:tcBorders>
              <w:bottom w:val="single" w:sz="12" w:space="0" w:color="auto"/>
              <w:right w:val="single" w:sz="4" w:space="0" w:color="auto"/>
            </w:tcBorders>
            <w:shd w:val="clear" w:color="auto" w:fill="BFBFBF"/>
            <w:vAlign w:val="center"/>
          </w:tcPr>
          <w:p w14:paraId="0CC0AE42" w14:textId="77777777" w:rsidR="00857F94" w:rsidRDefault="00857F94" w:rsidP="00217980">
            <w:pPr>
              <w:pStyle w:val="NormalWeb"/>
              <w:spacing w:before="0" w:beforeAutospacing="0" w:after="0" w:afterAutospacing="0"/>
              <w:jc w:val="center"/>
              <w:rPr>
                <w:rFonts w:ascii="Arial Narrow" w:hAnsi="Arial Narrow" w:cs="Arial"/>
                <w:b/>
                <w:bCs/>
              </w:rPr>
            </w:pPr>
            <w:r>
              <w:rPr>
                <w:rFonts w:ascii="Arial Narrow" w:hAnsi="Arial Narrow" w:cs="Arial"/>
                <w:b/>
                <w:bCs/>
              </w:rPr>
              <w:t>FY21</w:t>
            </w:r>
          </w:p>
        </w:tc>
        <w:tc>
          <w:tcPr>
            <w:tcW w:w="717" w:type="dxa"/>
            <w:gridSpan w:val="2"/>
            <w:tcBorders>
              <w:left w:val="single" w:sz="4" w:space="0" w:color="auto"/>
              <w:bottom w:val="single" w:sz="12" w:space="0" w:color="auto"/>
              <w:right w:val="single" w:sz="12" w:space="0" w:color="auto"/>
            </w:tcBorders>
            <w:shd w:val="clear" w:color="auto" w:fill="BFBFBF"/>
            <w:vAlign w:val="center"/>
          </w:tcPr>
          <w:p w14:paraId="3E612BE2" w14:textId="76B9C55D" w:rsidR="00857F94" w:rsidRDefault="00217980" w:rsidP="00217980">
            <w:pPr>
              <w:pStyle w:val="NormalWeb"/>
              <w:spacing w:before="0" w:beforeAutospacing="0" w:after="0" w:afterAutospacing="0"/>
              <w:jc w:val="center"/>
              <w:rPr>
                <w:rFonts w:ascii="Arial Narrow" w:hAnsi="Arial Narrow" w:cs="Arial"/>
                <w:b/>
                <w:bCs/>
              </w:rPr>
            </w:pPr>
            <w:r>
              <w:rPr>
                <w:rFonts w:ascii="Arial Narrow" w:hAnsi="Arial Narrow" w:cs="Arial"/>
                <w:b/>
                <w:bCs/>
              </w:rPr>
              <w:t>FY22 YTD</w:t>
            </w:r>
          </w:p>
        </w:tc>
        <w:tc>
          <w:tcPr>
            <w:tcW w:w="719" w:type="dxa"/>
            <w:gridSpan w:val="2"/>
            <w:tcBorders>
              <w:left w:val="single" w:sz="12" w:space="0" w:color="auto"/>
              <w:bottom w:val="single" w:sz="12" w:space="0" w:color="auto"/>
              <w:right w:val="single" w:sz="4" w:space="0" w:color="auto"/>
            </w:tcBorders>
            <w:shd w:val="clear" w:color="auto" w:fill="BFBFBF"/>
            <w:vAlign w:val="center"/>
          </w:tcPr>
          <w:p w14:paraId="30DD4AF4" w14:textId="77777777" w:rsidR="00857F94" w:rsidRPr="00F80B42" w:rsidRDefault="00857F94" w:rsidP="00217980">
            <w:pPr>
              <w:pStyle w:val="NormalWeb"/>
              <w:spacing w:before="0" w:beforeAutospacing="0" w:after="0" w:afterAutospacing="0"/>
              <w:jc w:val="center"/>
              <w:rPr>
                <w:rFonts w:ascii="Arial Narrow" w:hAnsi="Arial Narrow" w:cs="Arial"/>
                <w:b/>
                <w:bCs/>
              </w:rPr>
            </w:pPr>
            <w:r>
              <w:rPr>
                <w:rFonts w:ascii="Arial Narrow" w:hAnsi="Arial Narrow" w:cs="Arial"/>
                <w:b/>
                <w:bCs/>
              </w:rPr>
              <w:t>FY19</w:t>
            </w:r>
          </w:p>
        </w:tc>
        <w:tc>
          <w:tcPr>
            <w:tcW w:w="720" w:type="dxa"/>
            <w:gridSpan w:val="2"/>
            <w:tcBorders>
              <w:left w:val="single" w:sz="4" w:space="0" w:color="auto"/>
              <w:bottom w:val="single" w:sz="12" w:space="0" w:color="auto"/>
              <w:right w:val="single" w:sz="4" w:space="0" w:color="auto"/>
            </w:tcBorders>
            <w:shd w:val="clear" w:color="auto" w:fill="BFBFBF"/>
            <w:vAlign w:val="center"/>
          </w:tcPr>
          <w:p w14:paraId="349141EA" w14:textId="77777777" w:rsidR="00857F94" w:rsidRPr="00F80B42" w:rsidRDefault="00857F94" w:rsidP="00217980">
            <w:pPr>
              <w:pStyle w:val="NormalWeb"/>
              <w:spacing w:before="0" w:beforeAutospacing="0" w:after="0" w:afterAutospacing="0"/>
              <w:jc w:val="center"/>
              <w:rPr>
                <w:rFonts w:ascii="Arial Narrow" w:hAnsi="Arial Narrow" w:cs="Arial"/>
                <w:b/>
                <w:bCs/>
              </w:rPr>
            </w:pPr>
            <w:r>
              <w:rPr>
                <w:rFonts w:ascii="Arial Narrow" w:hAnsi="Arial Narrow" w:cs="Arial"/>
                <w:b/>
                <w:bCs/>
              </w:rPr>
              <w:t>FY20</w:t>
            </w:r>
          </w:p>
        </w:tc>
        <w:tc>
          <w:tcPr>
            <w:tcW w:w="719" w:type="dxa"/>
            <w:gridSpan w:val="2"/>
            <w:tcBorders>
              <w:left w:val="single" w:sz="4" w:space="0" w:color="auto"/>
              <w:bottom w:val="single" w:sz="12" w:space="0" w:color="auto"/>
              <w:right w:val="single" w:sz="4" w:space="0" w:color="auto"/>
            </w:tcBorders>
            <w:shd w:val="clear" w:color="auto" w:fill="BFBFBF"/>
            <w:vAlign w:val="center"/>
          </w:tcPr>
          <w:p w14:paraId="488B569D" w14:textId="77777777" w:rsidR="00857F94" w:rsidRPr="00F80B42" w:rsidRDefault="00857F94" w:rsidP="00217980">
            <w:pPr>
              <w:pStyle w:val="NormalWeb"/>
              <w:spacing w:before="0" w:beforeAutospacing="0" w:after="0" w:afterAutospacing="0"/>
              <w:jc w:val="center"/>
              <w:rPr>
                <w:rFonts w:ascii="Arial Narrow" w:hAnsi="Arial Narrow" w:cs="Arial"/>
                <w:b/>
                <w:bCs/>
              </w:rPr>
            </w:pPr>
            <w:r>
              <w:rPr>
                <w:rFonts w:ascii="Arial Narrow" w:hAnsi="Arial Narrow" w:cs="Arial"/>
                <w:b/>
                <w:bCs/>
              </w:rPr>
              <w:t>FY21</w:t>
            </w:r>
          </w:p>
        </w:tc>
        <w:tc>
          <w:tcPr>
            <w:tcW w:w="729" w:type="dxa"/>
            <w:gridSpan w:val="2"/>
            <w:tcBorders>
              <w:left w:val="single" w:sz="4" w:space="0" w:color="auto"/>
              <w:bottom w:val="single" w:sz="12" w:space="0" w:color="auto"/>
              <w:right w:val="single" w:sz="12" w:space="0" w:color="auto"/>
            </w:tcBorders>
            <w:shd w:val="clear" w:color="auto" w:fill="BFBFBF"/>
            <w:vAlign w:val="center"/>
          </w:tcPr>
          <w:p w14:paraId="439A8E97" w14:textId="72031FF4" w:rsidR="00857F94" w:rsidRPr="00F80B42" w:rsidRDefault="00217980" w:rsidP="00217980">
            <w:pPr>
              <w:pStyle w:val="NormalWeb"/>
              <w:spacing w:before="0" w:beforeAutospacing="0" w:after="0" w:afterAutospacing="0"/>
              <w:jc w:val="center"/>
              <w:rPr>
                <w:rFonts w:ascii="Arial Narrow" w:hAnsi="Arial Narrow" w:cs="Arial"/>
                <w:b/>
                <w:bCs/>
              </w:rPr>
            </w:pPr>
            <w:r>
              <w:rPr>
                <w:rFonts w:ascii="Arial Narrow" w:hAnsi="Arial Narrow" w:cs="Arial"/>
                <w:b/>
                <w:bCs/>
              </w:rPr>
              <w:t>FY22 YTD</w:t>
            </w:r>
          </w:p>
        </w:tc>
        <w:tc>
          <w:tcPr>
            <w:tcW w:w="719" w:type="dxa"/>
            <w:tcBorders>
              <w:left w:val="single" w:sz="12" w:space="0" w:color="auto"/>
              <w:bottom w:val="single" w:sz="12" w:space="0" w:color="auto"/>
              <w:right w:val="single" w:sz="4" w:space="0" w:color="auto"/>
            </w:tcBorders>
            <w:shd w:val="clear" w:color="auto" w:fill="BFBFBF"/>
            <w:vAlign w:val="center"/>
          </w:tcPr>
          <w:p w14:paraId="1B5D15DE" w14:textId="77777777" w:rsidR="00857F94" w:rsidRDefault="00857F94" w:rsidP="00217980">
            <w:pPr>
              <w:pStyle w:val="NormalWeb"/>
              <w:spacing w:before="0" w:beforeAutospacing="0" w:after="0" w:afterAutospacing="0"/>
              <w:jc w:val="center"/>
              <w:rPr>
                <w:rFonts w:ascii="Arial Narrow" w:hAnsi="Arial Narrow" w:cs="Arial"/>
                <w:b/>
                <w:bCs/>
              </w:rPr>
            </w:pPr>
            <w:r>
              <w:rPr>
                <w:rFonts w:ascii="Arial Narrow" w:hAnsi="Arial Narrow" w:cs="Arial"/>
                <w:b/>
                <w:bCs/>
              </w:rPr>
              <w:t>FY19</w:t>
            </w:r>
          </w:p>
        </w:tc>
        <w:tc>
          <w:tcPr>
            <w:tcW w:w="719" w:type="dxa"/>
            <w:tcBorders>
              <w:left w:val="single" w:sz="4" w:space="0" w:color="auto"/>
              <w:bottom w:val="single" w:sz="12" w:space="0" w:color="auto"/>
            </w:tcBorders>
            <w:shd w:val="clear" w:color="auto" w:fill="BFBFBF"/>
            <w:vAlign w:val="center"/>
          </w:tcPr>
          <w:p w14:paraId="5D1CA569" w14:textId="77777777" w:rsidR="00857F94" w:rsidRPr="00F80B42" w:rsidRDefault="00857F94" w:rsidP="00217980">
            <w:pPr>
              <w:pStyle w:val="NormalWeb"/>
              <w:spacing w:before="0" w:beforeAutospacing="0" w:after="0" w:afterAutospacing="0"/>
              <w:jc w:val="center"/>
              <w:rPr>
                <w:rFonts w:ascii="Arial Narrow" w:hAnsi="Arial Narrow" w:cs="Arial"/>
                <w:b/>
                <w:bCs/>
              </w:rPr>
            </w:pPr>
            <w:r>
              <w:rPr>
                <w:rFonts w:ascii="Arial Narrow" w:hAnsi="Arial Narrow" w:cs="Arial"/>
                <w:b/>
                <w:bCs/>
              </w:rPr>
              <w:t>FY20</w:t>
            </w:r>
          </w:p>
        </w:tc>
        <w:tc>
          <w:tcPr>
            <w:tcW w:w="719" w:type="dxa"/>
            <w:tcBorders>
              <w:bottom w:val="single" w:sz="12" w:space="0" w:color="auto"/>
              <w:right w:val="single" w:sz="4" w:space="0" w:color="auto"/>
            </w:tcBorders>
            <w:shd w:val="clear" w:color="auto" w:fill="BFBFBF"/>
            <w:vAlign w:val="center"/>
          </w:tcPr>
          <w:p w14:paraId="549A9755" w14:textId="77777777" w:rsidR="00857F94" w:rsidRPr="00F80B42" w:rsidRDefault="00857F94" w:rsidP="00217980">
            <w:pPr>
              <w:pStyle w:val="NormalWeb"/>
              <w:spacing w:before="0" w:beforeAutospacing="0" w:after="0" w:afterAutospacing="0"/>
              <w:jc w:val="center"/>
              <w:rPr>
                <w:rFonts w:ascii="Arial Narrow" w:hAnsi="Arial Narrow" w:cs="Arial"/>
                <w:b/>
                <w:bCs/>
              </w:rPr>
            </w:pPr>
            <w:r>
              <w:rPr>
                <w:rFonts w:ascii="Arial Narrow" w:hAnsi="Arial Narrow" w:cs="Arial"/>
                <w:b/>
                <w:bCs/>
              </w:rPr>
              <w:t>FY21</w:t>
            </w:r>
          </w:p>
        </w:tc>
        <w:tc>
          <w:tcPr>
            <w:tcW w:w="720" w:type="dxa"/>
            <w:tcBorders>
              <w:left w:val="single" w:sz="4" w:space="0" w:color="auto"/>
              <w:bottom w:val="single" w:sz="12" w:space="0" w:color="auto"/>
              <w:right w:val="single" w:sz="12" w:space="0" w:color="auto"/>
            </w:tcBorders>
            <w:shd w:val="clear" w:color="auto" w:fill="BFBFBF"/>
            <w:vAlign w:val="center"/>
          </w:tcPr>
          <w:p w14:paraId="2F029D17" w14:textId="4697E8AC" w:rsidR="00857F94" w:rsidRPr="00F80B42" w:rsidRDefault="00857F94" w:rsidP="00217980">
            <w:pPr>
              <w:pStyle w:val="NormalWeb"/>
              <w:spacing w:before="0" w:beforeAutospacing="0" w:after="0" w:afterAutospacing="0"/>
              <w:jc w:val="center"/>
              <w:rPr>
                <w:rFonts w:ascii="Arial Narrow" w:hAnsi="Arial Narrow" w:cs="Arial"/>
                <w:b/>
                <w:bCs/>
              </w:rPr>
            </w:pPr>
            <w:r>
              <w:rPr>
                <w:rFonts w:ascii="Arial Narrow" w:hAnsi="Arial Narrow" w:cs="Arial"/>
                <w:b/>
                <w:bCs/>
              </w:rPr>
              <w:t>FY</w:t>
            </w:r>
            <w:r w:rsidR="00217980">
              <w:rPr>
                <w:rFonts w:ascii="Arial Narrow" w:hAnsi="Arial Narrow" w:cs="Arial"/>
                <w:b/>
                <w:bCs/>
              </w:rPr>
              <w:t>22 YTD</w:t>
            </w:r>
          </w:p>
        </w:tc>
      </w:tr>
      <w:tr w:rsidR="00F804EC" w14:paraId="19532A57" w14:textId="77777777" w:rsidTr="00F804EC">
        <w:trPr>
          <w:cantSplit/>
          <w:jc w:val="center"/>
        </w:trPr>
        <w:tc>
          <w:tcPr>
            <w:tcW w:w="1434" w:type="dxa"/>
            <w:gridSpan w:val="4"/>
            <w:tcBorders>
              <w:top w:val="single" w:sz="12" w:space="0" w:color="auto"/>
              <w:left w:val="single" w:sz="12" w:space="0" w:color="auto"/>
              <w:bottom w:val="single" w:sz="12" w:space="0" w:color="auto"/>
              <w:right w:val="nil"/>
            </w:tcBorders>
            <w:shd w:val="clear" w:color="auto" w:fill="D9E2F3" w:themeFill="accent1" w:themeFillTint="33"/>
            <w:vAlign w:val="center"/>
          </w:tcPr>
          <w:p w14:paraId="79C2C44E" w14:textId="606CBB1D" w:rsidR="00F804EC" w:rsidRPr="00520168" w:rsidRDefault="00F804EC" w:rsidP="00542F75">
            <w:pPr>
              <w:pStyle w:val="NormalWeb"/>
              <w:spacing w:before="0" w:beforeAutospacing="0" w:after="0" w:afterAutospacing="0"/>
              <w:rPr>
                <w:rFonts w:ascii="Arial Narrow" w:hAnsi="Arial Narrow" w:cs="Arial"/>
                <w:sz w:val="18"/>
                <w:szCs w:val="18"/>
              </w:rPr>
            </w:pPr>
            <w:r w:rsidRPr="00520168">
              <w:rPr>
                <w:rFonts w:ascii="Arial Narrow" w:hAnsi="Arial Narrow" w:cs="Arial"/>
                <w:b/>
                <w:bCs/>
                <w:sz w:val="18"/>
                <w:szCs w:val="18"/>
              </w:rPr>
              <w:t>Medical/Surgical</w:t>
            </w:r>
          </w:p>
        </w:tc>
        <w:tc>
          <w:tcPr>
            <w:tcW w:w="717" w:type="dxa"/>
            <w:gridSpan w:val="2"/>
            <w:tcBorders>
              <w:top w:val="single" w:sz="12" w:space="0" w:color="auto"/>
              <w:left w:val="nil"/>
              <w:bottom w:val="single" w:sz="12" w:space="0" w:color="auto"/>
              <w:right w:val="nil"/>
            </w:tcBorders>
            <w:shd w:val="clear" w:color="auto" w:fill="D9E2F3" w:themeFill="accent1" w:themeFillTint="33"/>
            <w:vAlign w:val="center"/>
          </w:tcPr>
          <w:p w14:paraId="3FF1E49D" w14:textId="77777777" w:rsidR="00F804EC" w:rsidRPr="00F80B42" w:rsidRDefault="00F804EC" w:rsidP="00542F75">
            <w:pPr>
              <w:pStyle w:val="NormalWeb"/>
              <w:spacing w:before="0" w:beforeAutospacing="0" w:after="0" w:afterAutospacing="0"/>
              <w:rPr>
                <w:rFonts w:ascii="Arial Narrow" w:hAnsi="Arial Narrow" w:cs="Arial"/>
              </w:rPr>
            </w:pPr>
          </w:p>
        </w:tc>
        <w:tc>
          <w:tcPr>
            <w:tcW w:w="717" w:type="dxa"/>
            <w:gridSpan w:val="2"/>
            <w:tcBorders>
              <w:top w:val="single" w:sz="12" w:space="0" w:color="auto"/>
              <w:left w:val="nil"/>
              <w:bottom w:val="single" w:sz="12" w:space="0" w:color="auto"/>
              <w:right w:val="nil"/>
            </w:tcBorders>
            <w:shd w:val="clear" w:color="auto" w:fill="D9E2F3" w:themeFill="accent1" w:themeFillTint="33"/>
            <w:vAlign w:val="center"/>
          </w:tcPr>
          <w:p w14:paraId="3DDC33AD" w14:textId="77777777" w:rsidR="00F804EC" w:rsidRPr="00F80B42" w:rsidRDefault="00F804EC" w:rsidP="00542F75">
            <w:pPr>
              <w:pStyle w:val="NormalWeb"/>
              <w:spacing w:before="0" w:beforeAutospacing="0" w:after="0" w:afterAutospacing="0"/>
              <w:rPr>
                <w:rFonts w:ascii="Arial Narrow" w:hAnsi="Arial Narrow" w:cs="Arial"/>
              </w:rPr>
            </w:pPr>
          </w:p>
        </w:tc>
        <w:tc>
          <w:tcPr>
            <w:tcW w:w="717" w:type="dxa"/>
            <w:gridSpan w:val="2"/>
            <w:tcBorders>
              <w:top w:val="single" w:sz="12" w:space="0" w:color="auto"/>
              <w:left w:val="nil"/>
              <w:bottom w:val="single" w:sz="12" w:space="0" w:color="auto"/>
              <w:right w:val="nil"/>
            </w:tcBorders>
            <w:shd w:val="clear" w:color="auto" w:fill="D9E2F3" w:themeFill="accent1" w:themeFillTint="33"/>
            <w:vAlign w:val="center"/>
          </w:tcPr>
          <w:p w14:paraId="43B7491E" w14:textId="77777777" w:rsidR="00F804EC" w:rsidRPr="00F80B42" w:rsidRDefault="00F804EC" w:rsidP="00542F75">
            <w:pPr>
              <w:pStyle w:val="NormalWeb"/>
              <w:spacing w:before="0" w:beforeAutospacing="0" w:after="0" w:afterAutospacing="0"/>
              <w:rPr>
                <w:rFonts w:ascii="Arial Narrow" w:hAnsi="Arial Narrow" w:cs="Arial"/>
              </w:rPr>
            </w:pPr>
          </w:p>
        </w:tc>
        <w:tc>
          <w:tcPr>
            <w:tcW w:w="718" w:type="dxa"/>
            <w:gridSpan w:val="2"/>
            <w:tcBorders>
              <w:top w:val="single" w:sz="12" w:space="0" w:color="auto"/>
              <w:left w:val="nil"/>
              <w:bottom w:val="single" w:sz="12" w:space="0" w:color="auto"/>
              <w:right w:val="nil"/>
            </w:tcBorders>
            <w:shd w:val="clear" w:color="auto" w:fill="D9E2F3" w:themeFill="accent1" w:themeFillTint="33"/>
            <w:vAlign w:val="center"/>
          </w:tcPr>
          <w:p w14:paraId="697CD27F" w14:textId="77777777" w:rsidR="00F804EC" w:rsidRPr="00F80B42" w:rsidRDefault="00F804EC" w:rsidP="00542F75">
            <w:pPr>
              <w:pStyle w:val="NormalWeb"/>
              <w:spacing w:before="0" w:beforeAutospacing="0" w:after="0" w:afterAutospacing="0"/>
              <w:rPr>
                <w:rFonts w:ascii="Arial Narrow" w:hAnsi="Arial Narrow" w:cs="Arial"/>
              </w:rPr>
            </w:pPr>
          </w:p>
        </w:tc>
        <w:tc>
          <w:tcPr>
            <w:tcW w:w="718" w:type="dxa"/>
            <w:gridSpan w:val="2"/>
            <w:tcBorders>
              <w:top w:val="single" w:sz="12" w:space="0" w:color="auto"/>
              <w:left w:val="nil"/>
              <w:bottom w:val="single" w:sz="12" w:space="0" w:color="auto"/>
              <w:right w:val="nil"/>
            </w:tcBorders>
            <w:shd w:val="clear" w:color="auto" w:fill="D9E2F3" w:themeFill="accent1" w:themeFillTint="33"/>
            <w:vAlign w:val="center"/>
          </w:tcPr>
          <w:p w14:paraId="74A440BA" w14:textId="77777777" w:rsidR="00F804EC" w:rsidRPr="00F80B42" w:rsidRDefault="00F804EC" w:rsidP="00542F75">
            <w:pPr>
              <w:pStyle w:val="NormalWeb"/>
              <w:spacing w:before="0" w:beforeAutospacing="0" w:after="0" w:afterAutospacing="0"/>
              <w:rPr>
                <w:rFonts w:ascii="Arial Narrow" w:hAnsi="Arial Narrow" w:cs="Arial"/>
              </w:rPr>
            </w:pPr>
          </w:p>
        </w:tc>
        <w:tc>
          <w:tcPr>
            <w:tcW w:w="718" w:type="dxa"/>
            <w:gridSpan w:val="2"/>
            <w:tcBorders>
              <w:top w:val="single" w:sz="12" w:space="0" w:color="auto"/>
              <w:left w:val="nil"/>
              <w:bottom w:val="single" w:sz="12" w:space="0" w:color="auto"/>
              <w:right w:val="nil"/>
            </w:tcBorders>
            <w:shd w:val="clear" w:color="auto" w:fill="D9E2F3" w:themeFill="accent1" w:themeFillTint="33"/>
            <w:vAlign w:val="center"/>
          </w:tcPr>
          <w:p w14:paraId="5C5423AB" w14:textId="77777777" w:rsidR="00F804EC" w:rsidRPr="00F80B42" w:rsidRDefault="00F804EC" w:rsidP="00542F75">
            <w:pPr>
              <w:pStyle w:val="NormalWeb"/>
              <w:spacing w:before="0" w:beforeAutospacing="0" w:after="0" w:afterAutospacing="0"/>
              <w:rPr>
                <w:rFonts w:ascii="Arial Narrow" w:hAnsi="Arial Narrow" w:cs="Arial"/>
              </w:rPr>
            </w:pPr>
          </w:p>
        </w:tc>
        <w:tc>
          <w:tcPr>
            <w:tcW w:w="718" w:type="dxa"/>
            <w:tcBorders>
              <w:top w:val="single" w:sz="12" w:space="0" w:color="auto"/>
              <w:left w:val="nil"/>
              <w:bottom w:val="single" w:sz="12" w:space="0" w:color="auto"/>
              <w:right w:val="nil"/>
            </w:tcBorders>
            <w:shd w:val="clear" w:color="auto" w:fill="D9E2F3" w:themeFill="accent1" w:themeFillTint="33"/>
            <w:vAlign w:val="center"/>
          </w:tcPr>
          <w:p w14:paraId="22E939F4" w14:textId="77777777" w:rsidR="00F804EC" w:rsidRPr="00F80B42" w:rsidRDefault="00F804EC" w:rsidP="00542F75">
            <w:pPr>
              <w:pStyle w:val="NormalWeb"/>
              <w:spacing w:before="0" w:beforeAutospacing="0" w:after="0" w:afterAutospacing="0"/>
              <w:rPr>
                <w:rFonts w:ascii="Arial Narrow" w:hAnsi="Arial Narrow" w:cs="Arial"/>
              </w:rPr>
            </w:pPr>
          </w:p>
        </w:tc>
        <w:tc>
          <w:tcPr>
            <w:tcW w:w="719" w:type="dxa"/>
            <w:tcBorders>
              <w:top w:val="single" w:sz="12" w:space="0" w:color="auto"/>
              <w:left w:val="nil"/>
              <w:bottom w:val="single" w:sz="12" w:space="0" w:color="auto"/>
              <w:right w:val="nil"/>
            </w:tcBorders>
            <w:shd w:val="clear" w:color="auto" w:fill="D9E2F3" w:themeFill="accent1" w:themeFillTint="33"/>
            <w:vAlign w:val="center"/>
          </w:tcPr>
          <w:p w14:paraId="68610F85" w14:textId="77777777" w:rsidR="00F804EC" w:rsidRPr="00F80B42" w:rsidRDefault="00F804EC" w:rsidP="00542F75">
            <w:pPr>
              <w:pStyle w:val="NormalWeb"/>
              <w:spacing w:before="0" w:beforeAutospacing="0" w:after="0" w:afterAutospacing="0"/>
              <w:rPr>
                <w:rFonts w:ascii="Arial Narrow" w:hAnsi="Arial Narrow" w:cs="Arial"/>
              </w:rPr>
            </w:pPr>
          </w:p>
        </w:tc>
        <w:tc>
          <w:tcPr>
            <w:tcW w:w="719" w:type="dxa"/>
            <w:tcBorders>
              <w:top w:val="single" w:sz="12" w:space="0" w:color="auto"/>
              <w:left w:val="nil"/>
              <w:bottom w:val="single" w:sz="12" w:space="0" w:color="auto"/>
              <w:right w:val="nil"/>
            </w:tcBorders>
            <w:shd w:val="clear" w:color="auto" w:fill="D9E2F3" w:themeFill="accent1" w:themeFillTint="33"/>
            <w:vAlign w:val="center"/>
          </w:tcPr>
          <w:p w14:paraId="6E9D3EE6" w14:textId="77777777" w:rsidR="00F804EC" w:rsidRPr="00F80B42" w:rsidRDefault="00F804EC" w:rsidP="00542F75">
            <w:pPr>
              <w:pStyle w:val="NormalWeb"/>
              <w:spacing w:before="0" w:beforeAutospacing="0" w:after="0" w:afterAutospacing="0"/>
              <w:rPr>
                <w:rFonts w:ascii="Arial Narrow" w:hAnsi="Arial Narrow" w:cs="Arial"/>
              </w:rPr>
            </w:pPr>
          </w:p>
        </w:tc>
        <w:tc>
          <w:tcPr>
            <w:tcW w:w="719" w:type="dxa"/>
            <w:tcBorders>
              <w:top w:val="single" w:sz="12" w:space="0" w:color="auto"/>
              <w:left w:val="nil"/>
              <w:bottom w:val="single" w:sz="12" w:space="0" w:color="auto"/>
              <w:right w:val="nil"/>
            </w:tcBorders>
            <w:shd w:val="clear" w:color="auto" w:fill="D9E2F3" w:themeFill="accent1" w:themeFillTint="33"/>
            <w:vAlign w:val="center"/>
          </w:tcPr>
          <w:p w14:paraId="2182F8BD" w14:textId="77777777" w:rsidR="00F804EC" w:rsidRPr="00F80B42" w:rsidRDefault="00F804EC" w:rsidP="00542F75">
            <w:pPr>
              <w:pStyle w:val="NormalWeb"/>
              <w:spacing w:before="0" w:beforeAutospacing="0" w:after="0" w:afterAutospacing="0"/>
              <w:rPr>
                <w:rFonts w:ascii="Arial Narrow" w:hAnsi="Arial Narrow" w:cs="Arial"/>
              </w:rPr>
            </w:pPr>
          </w:p>
        </w:tc>
        <w:tc>
          <w:tcPr>
            <w:tcW w:w="720" w:type="dxa"/>
            <w:tcBorders>
              <w:top w:val="single" w:sz="12" w:space="0" w:color="auto"/>
              <w:left w:val="nil"/>
              <w:bottom w:val="single" w:sz="12" w:space="0" w:color="auto"/>
              <w:right w:val="single" w:sz="12" w:space="0" w:color="auto"/>
            </w:tcBorders>
            <w:shd w:val="clear" w:color="auto" w:fill="D9E2F3" w:themeFill="accent1" w:themeFillTint="33"/>
            <w:vAlign w:val="center"/>
          </w:tcPr>
          <w:p w14:paraId="51A09A7A" w14:textId="5DA2BB83" w:rsidR="00F804EC" w:rsidRPr="00F80B42" w:rsidRDefault="00F804EC" w:rsidP="00542F75">
            <w:pPr>
              <w:pStyle w:val="NormalWeb"/>
              <w:spacing w:before="0" w:beforeAutospacing="0" w:after="0" w:afterAutospacing="0"/>
              <w:rPr>
                <w:rFonts w:ascii="Arial Narrow" w:hAnsi="Arial Narrow" w:cs="Arial"/>
              </w:rPr>
            </w:pPr>
          </w:p>
        </w:tc>
      </w:tr>
      <w:tr w:rsidR="00217980" w14:paraId="5E247A72" w14:textId="77777777" w:rsidTr="00F804EC">
        <w:trPr>
          <w:cantSplit/>
          <w:jc w:val="center"/>
        </w:trPr>
        <w:tc>
          <w:tcPr>
            <w:tcW w:w="701" w:type="dxa"/>
            <w:tcBorders>
              <w:top w:val="single" w:sz="12" w:space="0" w:color="auto"/>
              <w:left w:val="single" w:sz="12" w:space="0" w:color="auto"/>
              <w:right w:val="single" w:sz="12" w:space="0" w:color="auto"/>
            </w:tcBorders>
            <w:vAlign w:val="center"/>
          </w:tcPr>
          <w:p w14:paraId="268C144A" w14:textId="77777777" w:rsidR="00217980" w:rsidRDefault="00217980" w:rsidP="00542F75">
            <w:pPr>
              <w:pStyle w:val="NormalWeb"/>
              <w:spacing w:before="0" w:beforeAutospacing="0" w:after="0" w:afterAutospacing="0"/>
              <w:rPr>
                <w:rFonts w:ascii="Arial Narrow" w:hAnsi="Arial Narrow" w:cs="Arial"/>
                <w:b/>
                <w:bCs/>
              </w:rPr>
            </w:pPr>
            <w:r>
              <w:rPr>
                <w:rFonts w:ascii="Arial Narrow" w:hAnsi="Arial Narrow" w:cs="Arial"/>
                <w:b/>
                <w:bCs/>
              </w:rPr>
              <w:t>0-64</w:t>
            </w:r>
          </w:p>
        </w:tc>
        <w:tc>
          <w:tcPr>
            <w:tcW w:w="717" w:type="dxa"/>
            <w:gridSpan w:val="2"/>
            <w:tcBorders>
              <w:top w:val="single" w:sz="12" w:space="0" w:color="auto"/>
              <w:left w:val="single" w:sz="12" w:space="0" w:color="auto"/>
              <w:right w:val="single" w:sz="4" w:space="0" w:color="auto"/>
            </w:tcBorders>
            <w:vAlign w:val="center"/>
          </w:tcPr>
          <w:p w14:paraId="66F315B3" w14:textId="77777777" w:rsidR="00217980" w:rsidRPr="00F80B42" w:rsidRDefault="00217980" w:rsidP="00C90916">
            <w:pPr>
              <w:pStyle w:val="NormalWeb"/>
              <w:spacing w:before="0" w:beforeAutospacing="0" w:after="0" w:afterAutospacing="0"/>
              <w:ind w:left="-196" w:right="-172"/>
              <w:jc w:val="center"/>
              <w:rPr>
                <w:rFonts w:ascii="Arial Narrow" w:hAnsi="Arial Narrow" w:cs="Arial"/>
              </w:rPr>
            </w:pPr>
            <w:r>
              <w:rPr>
                <w:rFonts w:ascii="Arial Narrow" w:hAnsi="Arial Narrow" w:cs="Arial"/>
              </w:rPr>
              <w:t>9,059</w:t>
            </w:r>
          </w:p>
        </w:tc>
        <w:tc>
          <w:tcPr>
            <w:tcW w:w="717" w:type="dxa"/>
            <w:gridSpan w:val="2"/>
            <w:tcBorders>
              <w:top w:val="single" w:sz="12" w:space="0" w:color="auto"/>
              <w:left w:val="single" w:sz="4" w:space="0" w:color="auto"/>
            </w:tcBorders>
            <w:shd w:val="clear" w:color="auto" w:fill="auto"/>
            <w:vAlign w:val="center"/>
          </w:tcPr>
          <w:p w14:paraId="1694646C" w14:textId="77777777" w:rsidR="00217980" w:rsidRPr="00F80B42" w:rsidRDefault="00217980" w:rsidP="00C90916">
            <w:pPr>
              <w:pStyle w:val="NormalWeb"/>
              <w:spacing w:before="0" w:beforeAutospacing="0" w:after="0" w:afterAutospacing="0"/>
              <w:ind w:left="-143" w:right="-139"/>
              <w:jc w:val="center"/>
              <w:rPr>
                <w:rFonts w:ascii="Arial Narrow" w:hAnsi="Arial Narrow" w:cs="Arial"/>
              </w:rPr>
            </w:pPr>
            <w:r>
              <w:rPr>
                <w:rFonts w:ascii="Arial Narrow" w:hAnsi="Arial Narrow" w:cs="Arial"/>
              </w:rPr>
              <w:t>8,408</w:t>
            </w:r>
          </w:p>
        </w:tc>
        <w:tc>
          <w:tcPr>
            <w:tcW w:w="718" w:type="dxa"/>
            <w:gridSpan w:val="2"/>
            <w:tcBorders>
              <w:top w:val="single" w:sz="12" w:space="0" w:color="auto"/>
              <w:right w:val="single" w:sz="4" w:space="0" w:color="auto"/>
            </w:tcBorders>
            <w:vAlign w:val="center"/>
          </w:tcPr>
          <w:p w14:paraId="6F928313" w14:textId="77777777" w:rsidR="00217980" w:rsidRPr="00F80B42" w:rsidRDefault="00217980" w:rsidP="00C90916">
            <w:pPr>
              <w:pStyle w:val="NormalWeb"/>
              <w:spacing w:before="0" w:beforeAutospacing="0" w:after="0" w:afterAutospacing="0"/>
              <w:ind w:left="-176" w:right="-115"/>
              <w:jc w:val="center"/>
              <w:rPr>
                <w:rFonts w:ascii="Arial Narrow" w:hAnsi="Arial Narrow" w:cs="Arial"/>
              </w:rPr>
            </w:pPr>
            <w:r>
              <w:rPr>
                <w:rFonts w:ascii="Arial Narrow" w:hAnsi="Arial Narrow" w:cs="Arial"/>
              </w:rPr>
              <w:t>8,763</w:t>
            </w:r>
          </w:p>
        </w:tc>
        <w:tc>
          <w:tcPr>
            <w:tcW w:w="717" w:type="dxa"/>
            <w:gridSpan w:val="2"/>
            <w:tcBorders>
              <w:top w:val="single" w:sz="12" w:space="0" w:color="auto"/>
              <w:left w:val="single" w:sz="4" w:space="0" w:color="auto"/>
              <w:right w:val="single" w:sz="12" w:space="0" w:color="auto"/>
            </w:tcBorders>
            <w:vAlign w:val="center"/>
          </w:tcPr>
          <w:p w14:paraId="55DD4864" w14:textId="3D9B0718" w:rsidR="00217980" w:rsidRPr="00F80B42" w:rsidRDefault="00341077" w:rsidP="00C90916">
            <w:pPr>
              <w:pStyle w:val="NormalWeb"/>
              <w:spacing w:before="0" w:beforeAutospacing="0" w:after="0" w:afterAutospacing="0"/>
              <w:ind w:left="-190" w:right="-182"/>
              <w:jc w:val="center"/>
              <w:rPr>
                <w:rFonts w:ascii="Arial Narrow" w:hAnsi="Arial Narrow" w:cs="Arial"/>
              </w:rPr>
            </w:pPr>
            <w:r>
              <w:rPr>
                <w:rFonts w:ascii="Arial Narrow" w:hAnsi="Arial Narrow" w:cs="Arial"/>
              </w:rPr>
              <w:t>6,442</w:t>
            </w:r>
          </w:p>
        </w:tc>
        <w:tc>
          <w:tcPr>
            <w:tcW w:w="719" w:type="dxa"/>
            <w:gridSpan w:val="2"/>
            <w:tcBorders>
              <w:top w:val="single" w:sz="12" w:space="0" w:color="auto"/>
              <w:left w:val="single" w:sz="12" w:space="0" w:color="auto"/>
              <w:right w:val="single" w:sz="4" w:space="0" w:color="auto"/>
            </w:tcBorders>
            <w:shd w:val="clear" w:color="auto" w:fill="auto"/>
            <w:vAlign w:val="center"/>
          </w:tcPr>
          <w:p w14:paraId="252F1745" w14:textId="77777777" w:rsidR="00217980" w:rsidRPr="00F80B42" w:rsidRDefault="00217980" w:rsidP="007C2EAE">
            <w:pPr>
              <w:pStyle w:val="NormalWeb"/>
              <w:spacing w:before="0" w:beforeAutospacing="0" w:after="0" w:afterAutospacing="0"/>
              <w:jc w:val="center"/>
              <w:rPr>
                <w:rFonts w:ascii="Arial Narrow" w:hAnsi="Arial Narrow" w:cs="Arial"/>
              </w:rPr>
            </w:pPr>
            <w:r>
              <w:rPr>
                <w:rFonts w:ascii="Arial Narrow" w:hAnsi="Arial Narrow" w:cs="Arial"/>
              </w:rPr>
              <w:t>4.45</w:t>
            </w:r>
          </w:p>
        </w:tc>
        <w:tc>
          <w:tcPr>
            <w:tcW w:w="720" w:type="dxa"/>
            <w:gridSpan w:val="2"/>
            <w:tcBorders>
              <w:top w:val="single" w:sz="12" w:space="0" w:color="auto"/>
              <w:left w:val="single" w:sz="4" w:space="0" w:color="auto"/>
              <w:right w:val="single" w:sz="4" w:space="0" w:color="auto"/>
            </w:tcBorders>
            <w:shd w:val="clear" w:color="auto" w:fill="auto"/>
            <w:vAlign w:val="center"/>
          </w:tcPr>
          <w:p w14:paraId="1A9C7DF9" w14:textId="77777777" w:rsidR="00217980" w:rsidRPr="00F80B42" w:rsidRDefault="00217980" w:rsidP="007C2EAE">
            <w:pPr>
              <w:pStyle w:val="NormalWeb"/>
              <w:spacing w:before="0" w:beforeAutospacing="0" w:after="0" w:afterAutospacing="0"/>
              <w:jc w:val="center"/>
              <w:rPr>
                <w:rFonts w:ascii="Arial Narrow" w:hAnsi="Arial Narrow" w:cs="Arial"/>
              </w:rPr>
            </w:pPr>
            <w:r>
              <w:rPr>
                <w:rFonts w:ascii="Arial Narrow" w:hAnsi="Arial Narrow" w:cs="Arial"/>
              </w:rPr>
              <w:t>4.52</w:t>
            </w:r>
          </w:p>
        </w:tc>
        <w:tc>
          <w:tcPr>
            <w:tcW w:w="719" w:type="dxa"/>
            <w:gridSpan w:val="2"/>
            <w:tcBorders>
              <w:top w:val="single" w:sz="12" w:space="0" w:color="auto"/>
              <w:left w:val="single" w:sz="4" w:space="0" w:color="auto"/>
              <w:right w:val="single" w:sz="4" w:space="0" w:color="auto"/>
            </w:tcBorders>
            <w:shd w:val="clear" w:color="auto" w:fill="auto"/>
            <w:vAlign w:val="center"/>
          </w:tcPr>
          <w:p w14:paraId="461319D9" w14:textId="77777777" w:rsidR="00217980" w:rsidRPr="00F80B42" w:rsidRDefault="00217980" w:rsidP="007C2EAE">
            <w:pPr>
              <w:pStyle w:val="NormalWeb"/>
              <w:spacing w:before="0" w:beforeAutospacing="0" w:after="0" w:afterAutospacing="0"/>
              <w:jc w:val="center"/>
              <w:rPr>
                <w:rFonts w:ascii="Arial Narrow" w:hAnsi="Arial Narrow" w:cs="Arial"/>
              </w:rPr>
            </w:pPr>
            <w:r>
              <w:rPr>
                <w:rFonts w:ascii="Arial Narrow" w:hAnsi="Arial Narrow" w:cs="Arial"/>
              </w:rPr>
              <w:t>4.71</w:t>
            </w:r>
          </w:p>
        </w:tc>
        <w:tc>
          <w:tcPr>
            <w:tcW w:w="729" w:type="dxa"/>
            <w:gridSpan w:val="2"/>
            <w:tcBorders>
              <w:top w:val="single" w:sz="12" w:space="0" w:color="auto"/>
              <w:left w:val="single" w:sz="4" w:space="0" w:color="auto"/>
              <w:right w:val="single" w:sz="12" w:space="0" w:color="auto"/>
            </w:tcBorders>
            <w:shd w:val="clear" w:color="auto" w:fill="auto"/>
            <w:vAlign w:val="center"/>
          </w:tcPr>
          <w:p w14:paraId="00996D03" w14:textId="60BDE322" w:rsidR="00217980" w:rsidRPr="00F80B42" w:rsidRDefault="00803E51" w:rsidP="007C2EAE">
            <w:pPr>
              <w:pStyle w:val="NormalWeb"/>
              <w:spacing w:before="0" w:beforeAutospacing="0" w:after="0" w:afterAutospacing="0"/>
              <w:jc w:val="center"/>
              <w:rPr>
                <w:rFonts w:ascii="Arial Narrow" w:hAnsi="Arial Narrow" w:cs="Arial"/>
              </w:rPr>
            </w:pPr>
            <w:r>
              <w:rPr>
                <w:rFonts w:ascii="Arial Narrow" w:hAnsi="Arial Narrow" w:cs="Arial"/>
              </w:rPr>
              <w:t>5.42</w:t>
            </w:r>
          </w:p>
        </w:tc>
        <w:tc>
          <w:tcPr>
            <w:tcW w:w="719" w:type="dxa"/>
            <w:tcBorders>
              <w:top w:val="single" w:sz="12" w:space="0" w:color="auto"/>
              <w:left w:val="single" w:sz="12" w:space="0" w:color="auto"/>
              <w:right w:val="single" w:sz="4" w:space="0" w:color="auto"/>
            </w:tcBorders>
            <w:shd w:val="clear" w:color="auto" w:fill="auto"/>
            <w:vAlign w:val="center"/>
          </w:tcPr>
          <w:p w14:paraId="18F7BE5F" w14:textId="77777777" w:rsidR="00217980" w:rsidRPr="00F80B42" w:rsidRDefault="00217980" w:rsidP="007C2EAE">
            <w:pPr>
              <w:pStyle w:val="NormalWeb"/>
              <w:spacing w:before="0" w:beforeAutospacing="0" w:after="0" w:afterAutospacing="0"/>
              <w:jc w:val="center"/>
              <w:rPr>
                <w:rFonts w:ascii="Arial Narrow" w:hAnsi="Arial Narrow" w:cs="Arial"/>
              </w:rPr>
            </w:pPr>
            <w:r>
              <w:rPr>
                <w:rFonts w:ascii="Arial Narrow" w:hAnsi="Arial Narrow" w:cs="Arial"/>
              </w:rPr>
              <w:t>1.57</w:t>
            </w:r>
          </w:p>
        </w:tc>
        <w:tc>
          <w:tcPr>
            <w:tcW w:w="719" w:type="dxa"/>
            <w:tcBorders>
              <w:top w:val="single" w:sz="12" w:space="0" w:color="auto"/>
              <w:left w:val="single" w:sz="4" w:space="0" w:color="auto"/>
            </w:tcBorders>
            <w:shd w:val="clear" w:color="auto" w:fill="auto"/>
            <w:vAlign w:val="center"/>
          </w:tcPr>
          <w:p w14:paraId="734EF16A" w14:textId="77777777" w:rsidR="00217980" w:rsidRPr="00F80B42" w:rsidRDefault="00217980" w:rsidP="007C2EAE">
            <w:pPr>
              <w:pStyle w:val="NormalWeb"/>
              <w:spacing w:before="0" w:beforeAutospacing="0" w:after="0" w:afterAutospacing="0"/>
              <w:jc w:val="center"/>
              <w:rPr>
                <w:rFonts w:ascii="Arial Narrow" w:hAnsi="Arial Narrow" w:cs="Arial"/>
              </w:rPr>
            </w:pPr>
            <w:r>
              <w:rPr>
                <w:rFonts w:ascii="Arial Narrow" w:hAnsi="Arial Narrow" w:cs="Arial"/>
              </w:rPr>
              <w:t>1.57</w:t>
            </w:r>
          </w:p>
        </w:tc>
        <w:tc>
          <w:tcPr>
            <w:tcW w:w="719" w:type="dxa"/>
            <w:tcBorders>
              <w:top w:val="single" w:sz="12" w:space="0" w:color="auto"/>
              <w:right w:val="single" w:sz="4" w:space="0" w:color="auto"/>
            </w:tcBorders>
            <w:shd w:val="clear" w:color="auto" w:fill="auto"/>
            <w:vAlign w:val="center"/>
          </w:tcPr>
          <w:p w14:paraId="4C766139" w14:textId="77777777" w:rsidR="00217980" w:rsidRPr="00F80B42" w:rsidRDefault="00217980" w:rsidP="007C2EAE">
            <w:pPr>
              <w:pStyle w:val="NormalWeb"/>
              <w:spacing w:before="0" w:beforeAutospacing="0" w:after="0" w:afterAutospacing="0"/>
              <w:jc w:val="center"/>
              <w:rPr>
                <w:rFonts w:ascii="Arial Narrow" w:hAnsi="Arial Narrow" w:cs="Arial"/>
              </w:rPr>
            </w:pPr>
            <w:r>
              <w:rPr>
                <w:rFonts w:ascii="Arial Narrow" w:hAnsi="Arial Narrow" w:cs="Arial"/>
              </w:rPr>
              <w:t>1.65</w:t>
            </w:r>
          </w:p>
        </w:tc>
        <w:tc>
          <w:tcPr>
            <w:tcW w:w="720" w:type="dxa"/>
            <w:tcBorders>
              <w:top w:val="single" w:sz="12" w:space="0" w:color="auto"/>
              <w:left w:val="single" w:sz="4" w:space="0" w:color="auto"/>
              <w:right w:val="single" w:sz="12" w:space="0" w:color="auto"/>
            </w:tcBorders>
            <w:shd w:val="clear" w:color="auto" w:fill="auto"/>
            <w:vAlign w:val="center"/>
          </w:tcPr>
          <w:p w14:paraId="36906FF9" w14:textId="1D2C71BB" w:rsidR="00217980" w:rsidRPr="00F80B42" w:rsidRDefault="00F605ED" w:rsidP="007C2EAE">
            <w:pPr>
              <w:pStyle w:val="NormalWeb"/>
              <w:spacing w:before="0" w:beforeAutospacing="0" w:after="0" w:afterAutospacing="0"/>
              <w:jc w:val="center"/>
              <w:rPr>
                <w:rFonts w:ascii="Arial Narrow" w:hAnsi="Arial Narrow" w:cs="Arial"/>
              </w:rPr>
            </w:pPr>
            <w:r>
              <w:rPr>
                <w:rFonts w:ascii="Arial Narrow" w:hAnsi="Arial Narrow" w:cs="Arial"/>
              </w:rPr>
              <w:t>1.67</w:t>
            </w:r>
          </w:p>
        </w:tc>
      </w:tr>
      <w:tr w:rsidR="00217980" w14:paraId="299FB994" w14:textId="77777777" w:rsidTr="00F804EC">
        <w:trPr>
          <w:cantSplit/>
          <w:jc w:val="center"/>
        </w:trPr>
        <w:tc>
          <w:tcPr>
            <w:tcW w:w="701" w:type="dxa"/>
            <w:tcBorders>
              <w:left w:val="single" w:sz="12" w:space="0" w:color="auto"/>
              <w:right w:val="single" w:sz="12" w:space="0" w:color="auto"/>
            </w:tcBorders>
            <w:vAlign w:val="center"/>
          </w:tcPr>
          <w:p w14:paraId="387A6332" w14:textId="77777777" w:rsidR="00217980" w:rsidRDefault="00217980" w:rsidP="00542F75">
            <w:pPr>
              <w:pStyle w:val="NormalWeb"/>
              <w:spacing w:before="0" w:beforeAutospacing="0" w:after="0" w:afterAutospacing="0"/>
              <w:rPr>
                <w:rFonts w:ascii="Arial Narrow" w:hAnsi="Arial Narrow" w:cs="Arial"/>
                <w:b/>
                <w:bCs/>
              </w:rPr>
            </w:pPr>
            <w:r>
              <w:rPr>
                <w:rFonts w:ascii="Arial Narrow" w:hAnsi="Arial Narrow" w:cs="Arial"/>
                <w:b/>
                <w:bCs/>
              </w:rPr>
              <w:t>65+</w:t>
            </w:r>
          </w:p>
        </w:tc>
        <w:tc>
          <w:tcPr>
            <w:tcW w:w="717" w:type="dxa"/>
            <w:gridSpan w:val="2"/>
            <w:tcBorders>
              <w:left w:val="single" w:sz="12" w:space="0" w:color="auto"/>
              <w:right w:val="single" w:sz="4" w:space="0" w:color="auto"/>
            </w:tcBorders>
            <w:vAlign w:val="center"/>
          </w:tcPr>
          <w:p w14:paraId="4A3C51B3" w14:textId="77777777" w:rsidR="00217980" w:rsidRPr="00B95D0D" w:rsidRDefault="00217980" w:rsidP="00C90916">
            <w:pPr>
              <w:pStyle w:val="NormalWeb"/>
              <w:spacing w:before="0" w:beforeAutospacing="0" w:after="0" w:afterAutospacing="0"/>
              <w:ind w:left="-196" w:right="-172"/>
              <w:jc w:val="center"/>
              <w:rPr>
                <w:rFonts w:ascii="Arial Narrow" w:hAnsi="Arial Narrow" w:cs="Arial"/>
              </w:rPr>
            </w:pPr>
            <w:r>
              <w:rPr>
                <w:rFonts w:ascii="Arial Narrow" w:hAnsi="Arial Narrow" w:cs="Arial"/>
              </w:rPr>
              <w:t>4,603</w:t>
            </w:r>
          </w:p>
        </w:tc>
        <w:tc>
          <w:tcPr>
            <w:tcW w:w="717" w:type="dxa"/>
            <w:gridSpan w:val="2"/>
            <w:tcBorders>
              <w:left w:val="single" w:sz="4" w:space="0" w:color="auto"/>
            </w:tcBorders>
            <w:shd w:val="clear" w:color="auto" w:fill="auto"/>
            <w:vAlign w:val="center"/>
          </w:tcPr>
          <w:p w14:paraId="07172662" w14:textId="77777777" w:rsidR="00217980" w:rsidRPr="00B95D0D" w:rsidRDefault="00217980" w:rsidP="00C90916">
            <w:pPr>
              <w:pStyle w:val="NormalWeb"/>
              <w:spacing w:before="0" w:beforeAutospacing="0" w:after="0" w:afterAutospacing="0"/>
              <w:ind w:left="-143" w:right="-139"/>
              <w:jc w:val="center"/>
              <w:rPr>
                <w:rFonts w:ascii="Arial Narrow" w:hAnsi="Arial Narrow" w:cs="Arial"/>
              </w:rPr>
            </w:pPr>
            <w:r>
              <w:rPr>
                <w:rFonts w:ascii="Arial Narrow" w:hAnsi="Arial Narrow" w:cs="Arial"/>
              </w:rPr>
              <w:t>4,353</w:t>
            </w:r>
          </w:p>
        </w:tc>
        <w:tc>
          <w:tcPr>
            <w:tcW w:w="718" w:type="dxa"/>
            <w:gridSpan w:val="2"/>
            <w:tcBorders>
              <w:right w:val="single" w:sz="4" w:space="0" w:color="auto"/>
            </w:tcBorders>
            <w:vAlign w:val="center"/>
          </w:tcPr>
          <w:p w14:paraId="56CFEE52" w14:textId="77777777" w:rsidR="00217980" w:rsidRPr="00B95D0D" w:rsidRDefault="00217980" w:rsidP="00C90916">
            <w:pPr>
              <w:pStyle w:val="NormalWeb"/>
              <w:spacing w:before="0" w:beforeAutospacing="0" w:after="0" w:afterAutospacing="0"/>
              <w:ind w:left="-176" w:right="-115"/>
              <w:jc w:val="center"/>
              <w:rPr>
                <w:rFonts w:ascii="Arial Narrow" w:hAnsi="Arial Narrow" w:cs="Arial"/>
              </w:rPr>
            </w:pPr>
            <w:r>
              <w:rPr>
                <w:rFonts w:ascii="Arial Narrow" w:hAnsi="Arial Narrow" w:cs="Arial"/>
              </w:rPr>
              <w:t>4,920</w:t>
            </w:r>
          </w:p>
        </w:tc>
        <w:tc>
          <w:tcPr>
            <w:tcW w:w="717" w:type="dxa"/>
            <w:gridSpan w:val="2"/>
            <w:tcBorders>
              <w:left w:val="single" w:sz="4" w:space="0" w:color="auto"/>
              <w:right w:val="single" w:sz="12" w:space="0" w:color="auto"/>
            </w:tcBorders>
            <w:vAlign w:val="center"/>
          </w:tcPr>
          <w:p w14:paraId="1E2835BA" w14:textId="61D3273D" w:rsidR="00217980" w:rsidRPr="00B95D0D" w:rsidRDefault="00341077" w:rsidP="00C90916">
            <w:pPr>
              <w:pStyle w:val="NormalWeb"/>
              <w:spacing w:before="0" w:beforeAutospacing="0" w:after="0" w:afterAutospacing="0"/>
              <w:ind w:left="-190" w:right="-182"/>
              <w:jc w:val="center"/>
              <w:rPr>
                <w:rFonts w:ascii="Arial Narrow" w:hAnsi="Arial Narrow" w:cs="Arial"/>
              </w:rPr>
            </w:pPr>
            <w:r>
              <w:rPr>
                <w:rFonts w:ascii="Arial Narrow" w:hAnsi="Arial Narrow" w:cs="Arial"/>
              </w:rPr>
              <w:t>3,767</w:t>
            </w:r>
          </w:p>
        </w:tc>
        <w:tc>
          <w:tcPr>
            <w:tcW w:w="719" w:type="dxa"/>
            <w:gridSpan w:val="2"/>
            <w:tcBorders>
              <w:left w:val="single" w:sz="12" w:space="0" w:color="auto"/>
              <w:right w:val="single" w:sz="4" w:space="0" w:color="auto"/>
            </w:tcBorders>
            <w:shd w:val="clear" w:color="auto" w:fill="auto"/>
            <w:vAlign w:val="center"/>
          </w:tcPr>
          <w:p w14:paraId="07A1D5EC" w14:textId="77777777" w:rsidR="00217980" w:rsidRPr="00B95D0D" w:rsidRDefault="00217980" w:rsidP="007C2EAE">
            <w:pPr>
              <w:pStyle w:val="NormalWeb"/>
              <w:spacing w:before="0" w:beforeAutospacing="0" w:after="0" w:afterAutospacing="0"/>
              <w:jc w:val="center"/>
              <w:rPr>
                <w:rFonts w:ascii="Arial Narrow" w:hAnsi="Arial Narrow" w:cs="Arial"/>
              </w:rPr>
            </w:pPr>
            <w:r>
              <w:rPr>
                <w:rFonts w:ascii="Arial Narrow" w:hAnsi="Arial Narrow" w:cs="Arial"/>
              </w:rPr>
              <w:t>5.19</w:t>
            </w:r>
          </w:p>
        </w:tc>
        <w:tc>
          <w:tcPr>
            <w:tcW w:w="720" w:type="dxa"/>
            <w:gridSpan w:val="2"/>
            <w:tcBorders>
              <w:left w:val="single" w:sz="4" w:space="0" w:color="auto"/>
              <w:right w:val="single" w:sz="4" w:space="0" w:color="auto"/>
            </w:tcBorders>
            <w:shd w:val="clear" w:color="auto" w:fill="auto"/>
            <w:vAlign w:val="center"/>
          </w:tcPr>
          <w:p w14:paraId="66987ECC" w14:textId="77777777" w:rsidR="00217980" w:rsidRPr="00B95D0D" w:rsidRDefault="00217980" w:rsidP="007C2EAE">
            <w:pPr>
              <w:pStyle w:val="NormalWeb"/>
              <w:spacing w:before="0" w:beforeAutospacing="0" w:after="0" w:afterAutospacing="0"/>
              <w:jc w:val="center"/>
              <w:rPr>
                <w:rFonts w:ascii="Arial Narrow" w:hAnsi="Arial Narrow" w:cs="Arial"/>
              </w:rPr>
            </w:pPr>
            <w:r>
              <w:rPr>
                <w:rFonts w:ascii="Arial Narrow" w:hAnsi="Arial Narrow" w:cs="Arial"/>
              </w:rPr>
              <w:t>5.75</w:t>
            </w:r>
          </w:p>
        </w:tc>
        <w:tc>
          <w:tcPr>
            <w:tcW w:w="719" w:type="dxa"/>
            <w:gridSpan w:val="2"/>
            <w:tcBorders>
              <w:left w:val="single" w:sz="4" w:space="0" w:color="auto"/>
              <w:right w:val="single" w:sz="4" w:space="0" w:color="auto"/>
            </w:tcBorders>
            <w:shd w:val="clear" w:color="auto" w:fill="auto"/>
            <w:vAlign w:val="center"/>
          </w:tcPr>
          <w:p w14:paraId="36175D25" w14:textId="77777777" w:rsidR="00217980" w:rsidRPr="00B95D0D" w:rsidRDefault="00217980" w:rsidP="007C2EAE">
            <w:pPr>
              <w:pStyle w:val="NormalWeb"/>
              <w:spacing w:before="0" w:beforeAutospacing="0" w:after="0" w:afterAutospacing="0"/>
              <w:jc w:val="center"/>
              <w:rPr>
                <w:rFonts w:ascii="Arial Narrow" w:hAnsi="Arial Narrow" w:cs="Arial"/>
              </w:rPr>
            </w:pPr>
            <w:r>
              <w:rPr>
                <w:rFonts w:ascii="Arial Narrow" w:hAnsi="Arial Narrow" w:cs="Arial"/>
              </w:rPr>
              <w:t>5.92</w:t>
            </w:r>
          </w:p>
        </w:tc>
        <w:tc>
          <w:tcPr>
            <w:tcW w:w="729" w:type="dxa"/>
            <w:gridSpan w:val="2"/>
            <w:tcBorders>
              <w:left w:val="single" w:sz="4" w:space="0" w:color="auto"/>
              <w:right w:val="single" w:sz="12" w:space="0" w:color="auto"/>
            </w:tcBorders>
            <w:shd w:val="clear" w:color="auto" w:fill="auto"/>
            <w:vAlign w:val="center"/>
          </w:tcPr>
          <w:p w14:paraId="03453D91" w14:textId="64233007" w:rsidR="00217980" w:rsidRPr="00B95D0D" w:rsidRDefault="00F605ED" w:rsidP="007C2EAE">
            <w:pPr>
              <w:pStyle w:val="NormalWeb"/>
              <w:spacing w:before="0" w:beforeAutospacing="0" w:after="0" w:afterAutospacing="0"/>
              <w:jc w:val="center"/>
              <w:rPr>
                <w:rFonts w:ascii="Arial Narrow" w:hAnsi="Arial Narrow" w:cs="Arial"/>
              </w:rPr>
            </w:pPr>
            <w:r>
              <w:rPr>
                <w:rFonts w:ascii="Arial Narrow" w:hAnsi="Arial Narrow" w:cs="Arial"/>
              </w:rPr>
              <w:t>6.89</w:t>
            </w:r>
          </w:p>
        </w:tc>
        <w:tc>
          <w:tcPr>
            <w:tcW w:w="719" w:type="dxa"/>
            <w:tcBorders>
              <w:left w:val="single" w:sz="12" w:space="0" w:color="auto"/>
              <w:right w:val="single" w:sz="4" w:space="0" w:color="auto"/>
            </w:tcBorders>
            <w:vAlign w:val="center"/>
          </w:tcPr>
          <w:p w14:paraId="125794E8" w14:textId="77777777" w:rsidR="00217980" w:rsidRPr="00B95D0D" w:rsidRDefault="00217980" w:rsidP="007C2EAE">
            <w:pPr>
              <w:pStyle w:val="NormalWeb"/>
              <w:spacing w:before="0" w:beforeAutospacing="0" w:after="0" w:afterAutospacing="0"/>
              <w:jc w:val="center"/>
              <w:rPr>
                <w:rFonts w:ascii="Arial Narrow" w:hAnsi="Arial Narrow" w:cs="Arial"/>
              </w:rPr>
            </w:pPr>
            <w:r>
              <w:rPr>
                <w:rFonts w:ascii="Arial Narrow" w:hAnsi="Arial Narrow" w:cs="Arial"/>
              </w:rPr>
              <w:t>1.61</w:t>
            </w:r>
          </w:p>
        </w:tc>
        <w:tc>
          <w:tcPr>
            <w:tcW w:w="719" w:type="dxa"/>
            <w:tcBorders>
              <w:left w:val="single" w:sz="4" w:space="0" w:color="auto"/>
            </w:tcBorders>
            <w:shd w:val="clear" w:color="auto" w:fill="auto"/>
            <w:vAlign w:val="center"/>
          </w:tcPr>
          <w:p w14:paraId="44F848B9" w14:textId="77777777" w:rsidR="00217980" w:rsidRPr="00B95D0D" w:rsidRDefault="00217980" w:rsidP="007C2EAE">
            <w:pPr>
              <w:pStyle w:val="NormalWeb"/>
              <w:spacing w:before="0" w:beforeAutospacing="0" w:after="0" w:afterAutospacing="0"/>
              <w:jc w:val="center"/>
              <w:rPr>
                <w:rFonts w:ascii="Arial Narrow" w:hAnsi="Arial Narrow" w:cs="Arial"/>
              </w:rPr>
            </w:pPr>
            <w:r>
              <w:rPr>
                <w:rFonts w:ascii="Arial Narrow" w:hAnsi="Arial Narrow" w:cs="Arial"/>
              </w:rPr>
              <w:t>1.64</w:t>
            </w:r>
          </w:p>
        </w:tc>
        <w:tc>
          <w:tcPr>
            <w:tcW w:w="719" w:type="dxa"/>
            <w:tcBorders>
              <w:right w:val="single" w:sz="4" w:space="0" w:color="auto"/>
            </w:tcBorders>
            <w:shd w:val="clear" w:color="auto" w:fill="auto"/>
            <w:vAlign w:val="center"/>
          </w:tcPr>
          <w:p w14:paraId="57B7E07C" w14:textId="77777777" w:rsidR="00217980" w:rsidRPr="00B95D0D" w:rsidRDefault="00217980" w:rsidP="007C2EAE">
            <w:pPr>
              <w:pStyle w:val="NormalWeb"/>
              <w:spacing w:before="0" w:beforeAutospacing="0" w:after="0" w:afterAutospacing="0"/>
              <w:jc w:val="center"/>
              <w:rPr>
                <w:rFonts w:ascii="Arial Narrow" w:hAnsi="Arial Narrow" w:cs="Arial"/>
              </w:rPr>
            </w:pPr>
            <w:r>
              <w:rPr>
                <w:rFonts w:ascii="Arial Narrow" w:hAnsi="Arial Narrow" w:cs="Arial"/>
              </w:rPr>
              <w:t>1.67</w:t>
            </w:r>
          </w:p>
        </w:tc>
        <w:tc>
          <w:tcPr>
            <w:tcW w:w="720" w:type="dxa"/>
            <w:tcBorders>
              <w:left w:val="single" w:sz="4" w:space="0" w:color="auto"/>
              <w:right w:val="single" w:sz="12" w:space="0" w:color="auto"/>
            </w:tcBorders>
            <w:shd w:val="clear" w:color="auto" w:fill="auto"/>
            <w:vAlign w:val="center"/>
          </w:tcPr>
          <w:p w14:paraId="040AB3C8" w14:textId="31957184" w:rsidR="00217980" w:rsidRPr="00B95D0D" w:rsidRDefault="00F605ED" w:rsidP="007C2EAE">
            <w:pPr>
              <w:pStyle w:val="NormalWeb"/>
              <w:spacing w:before="0" w:beforeAutospacing="0" w:after="0" w:afterAutospacing="0"/>
              <w:jc w:val="center"/>
              <w:rPr>
                <w:rFonts w:ascii="Arial Narrow" w:hAnsi="Arial Narrow" w:cs="Arial"/>
              </w:rPr>
            </w:pPr>
            <w:r>
              <w:rPr>
                <w:rFonts w:ascii="Arial Narrow" w:hAnsi="Arial Narrow" w:cs="Arial"/>
              </w:rPr>
              <w:t>1.67</w:t>
            </w:r>
          </w:p>
        </w:tc>
      </w:tr>
      <w:tr w:rsidR="00217980" w14:paraId="0589D0DC" w14:textId="77777777" w:rsidTr="00F804EC">
        <w:trPr>
          <w:cantSplit/>
          <w:jc w:val="center"/>
        </w:trPr>
        <w:tc>
          <w:tcPr>
            <w:tcW w:w="701" w:type="dxa"/>
            <w:tcBorders>
              <w:left w:val="single" w:sz="12" w:space="0" w:color="auto"/>
              <w:bottom w:val="single" w:sz="12" w:space="0" w:color="auto"/>
              <w:right w:val="single" w:sz="12" w:space="0" w:color="auto"/>
            </w:tcBorders>
            <w:vAlign w:val="center"/>
          </w:tcPr>
          <w:p w14:paraId="6F9F25E6" w14:textId="77777777" w:rsidR="00217980" w:rsidRDefault="00217980" w:rsidP="00542F75">
            <w:pPr>
              <w:pStyle w:val="NormalWeb"/>
              <w:spacing w:before="0" w:beforeAutospacing="0" w:after="0" w:afterAutospacing="0"/>
              <w:rPr>
                <w:rFonts w:ascii="Arial Narrow" w:hAnsi="Arial Narrow" w:cs="Arial"/>
                <w:b/>
                <w:bCs/>
              </w:rPr>
            </w:pPr>
            <w:r>
              <w:rPr>
                <w:rFonts w:ascii="Arial Narrow" w:hAnsi="Arial Narrow" w:cs="Arial"/>
                <w:b/>
                <w:bCs/>
              </w:rPr>
              <w:t>Total</w:t>
            </w:r>
          </w:p>
        </w:tc>
        <w:tc>
          <w:tcPr>
            <w:tcW w:w="717" w:type="dxa"/>
            <w:gridSpan w:val="2"/>
            <w:tcBorders>
              <w:left w:val="single" w:sz="12" w:space="0" w:color="auto"/>
              <w:bottom w:val="single" w:sz="12" w:space="0" w:color="auto"/>
              <w:right w:val="single" w:sz="4" w:space="0" w:color="auto"/>
            </w:tcBorders>
            <w:vAlign w:val="center"/>
          </w:tcPr>
          <w:p w14:paraId="477DDF2B" w14:textId="77777777" w:rsidR="00217980" w:rsidRPr="00645156" w:rsidRDefault="00217980" w:rsidP="00C90916">
            <w:pPr>
              <w:pStyle w:val="NormalWeb"/>
              <w:spacing w:before="0" w:beforeAutospacing="0" w:after="0" w:afterAutospacing="0"/>
              <w:ind w:left="-196" w:right="-172"/>
              <w:jc w:val="center"/>
              <w:rPr>
                <w:rFonts w:ascii="Arial Narrow" w:hAnsi="Arial Narrow" w:cs="Arial"/>
                <w:b/>
                <w:bCs/>
              </w:rPr>
            </w:pPr>
            <w:r>
              <w:rPr>
                <w:rFonts w:ascii="Arial Narrow" w:hAnsi="Arial Narrow" w:cs="Arial"/>
                <w:b/>
                <w:bCs/>
              </w:rPr>
              <w:t>13,662</w:t>
            </w:r>
          </w:p>
        </w:tc>
        <w:tc>
          <w:tcPr>
            <w:tcW w:w="717" w:type="dxa"/>
            <w:gridSpan w:val="2"/>
            <w:tcBorders>
              <w:left w:val="single" w:sz="4" w:space="0" w:color="auto"/>
              <w:bottom w:val="single" w:sz="12" w:space="0" w:color="auto"/>
            </w:tcBorders>
            <w:shd w:val="clear" w:color="auto" w:fill="auto"/>
            <w:vAlign w:val="center"/>
          </w:tcPr>
          <w:p w14:paraId="42E73CC7" w14:textId="77777777" w:rsidR="00217980" w:rsidRPr="00645156" w:rsidRDefault="00217980" w:rsidP="00C90916">
            <w:pPr>
              <w:pStyle w:val="NormalWeb"/>
              <w:spacing w:before="0" w:beforeAutospacing="0" w:after="0" w:afterAutospacing="0"/>
              <w:ind w:left="-143" w:right="-139"/>
              <w:jc w:val="center"/>
              <w:rPr>
                <w:rFonts w:ascii="Arial Narrow" w:hAnsi="Arial Narrow" w:cs="Arial"/>
                <w:b/>
                <w:bCs/>
              </w:rPr>
            </w:pPr>
            <w:r>
              <w:rPr>
                <w:rFonts w:ascii="Arial Narrow" w:hAnsi="Arial Narrow" w:cs="Arial"/>
                <w:b/>
                <w:bCs/>
              </w:rPr>
              <w:t>12,761</w:t>
            </w:r>
          </w:p>
        </w:tc>
        <w:tc>
          <w:tcPr>
            <w:tcW w:w="718" w:type="dxa"/>
            <w:gridSpan w:val="2"/>
            <w:tcBorders>
              <w:bottom w:val="single" w:sz="12" w:space="0" w:color="auto"/>
              <w:right w:val="single" w:sz="4" w:space="0" w:color="auto"/>
            </w:tcBorders>
            <w:vAlign w:val="center"/>
          </w:tcPr>
          <w:p w14:paraId="6DD60865" w14:textId="77777777" w:rsidR="00217980" w:rsidRPr="00645156" w:rsidRDefault="00217980" w:rsidP="00C90916">
            <w:pPr>
              <w:pStyle w:val="NormalWeb"/>
              <w:spacing w:before="0" w:beforeAutospacing="0" w:after="0" w:afterAutospacing="0"/>
              <w:ind w:left="-176" w:right="-115"/>
              <w:jc w:val="center"/>
              <w:rPr>
                <w:rFonts w:ascii="Arial Narrow" w:hAnsi="Arial Narrow" w:cs="Arial"/>
                <w:b/>
                <w:bCs/>
              </w:rPr>
            </w:pPr>
            <w:r>
              <w:rPr>
                <w:rFonts w:ascii="Arial Narrow" w:hAnsi="Arial Narrow" w:cs="Arial"/>
                <w:b/>
                <w:bCs/>
              </w:rPr>
              <w:t>13,683</w:t>
            </w:r>
          </w:p>
        </w:tc>
        <w:tc>
          <w:tcPr>
            <w:tcW w:w="717" w:type="dxa"/>
            <w:gridSpan w:val="2"/>
            <w:tcBorders>
              <w:left w:val="single" w:sz="4" w:space="0" w:color="auto"/>
              <w:bottom w:val="single" w:sz="12" w:space="0" w:color="auto"/>
              <w:right w:val="single" w:sz="12" w:space="0" w:color="auto"/>
            </w:tcBorders>
            <w:vAlign w:val="center"/>
          </w:tcPr>
          <w:p w14:paraId="3C13750F" w14:textId="77697ABE" w:rsidR="00217980" w:rsidRPr="00645156" w:rsidRDefault="00341077" w:rsidP="00C90916">
            <w:pPr>
              <w:pStyle w:val="NormalWeb"/>
              <w:spacing w:before="0" w:beforeAutospacing="0" w:after="0" w:afterAutospacing="0"/>
              <w:ind w:left="-190" w:right="-182"/>
              <w:jc w:val="center"/>
              <w:rPr>
                <w:rFonts w:ascii="Arial Narrow" w:hAnsi="Arial Narrow" w:cs="Arial"/>
                <w:b/>
                <w:bCs/>
              </w:rPr>
            </w:pPr>
            <w:r>
              <w:rPr>
                <w:rFonts w:ascii="Arial Narrow" w:hAnsi="Arial Narrow" w:cs="Arial"/>
                <w:b/>
                <w:bCs/>
              </w:rPr>
              <w:t>10,209</w:t>
            </w:r>
          </w:p>
        </w:tc>
        <w:tc>
          <w:tcPr>
            <w:tcW w:w="719" w:type="dxa"/>
            <w:gridSpan w:val="2"/>
            <w:tcBorders>
              <w:left w:val="single" w:sz="12" w:space="0" w:color="auto"/>
              <w:bottom w:val="single" w:sz="12" w:space="0" w:color="auto"/>
              <w:right w:val="single" w:sz="4" w:space="0" w:color="auto"/>
            </w:tcBorders>
            <w:shd w:val="clear" w:color="auto" w:fill="auto"/>
            <w:vAlign w:val="center"/>
          </w:tcPr>
          <w:p w14:paraId="517EA753" w14:textId="77777777" w:rsidR="00217980" w:rsidRPr="00645156" w:rsidRDefault="00217980" w:rsidP="007C2EAE">
            <w:pPr>
              <w:pStyle w:val="NormalWeb"/>
              <w:spacing w:before="0" w:beforeAutospacing="0" w:after="0" w:afterAutospacing="0"/>
              <w:jc w:val="center"/>
              <w:rPr>
                <w:rFonts w:ascii="Arial Narrow" w:hAnsi="Arial Narrow" w:cs="Arial"/>
                <w:b/>
                <w:bCs/>
              </w:rPr>
            </w:pPr>
            <w:r>
              <w:rPr>
                <w:rFonts w:ascii="Arial Narrow" w:hAnsi="Arial Narrow" w:cs="Arial"/>
                <w:b/>
                <w:bCs/>
              </w:rPr>
              <w:t>4.70</w:t>
            </w:r>
          </w:p>
        </w:tc>
        <w:tc>
          <w:tcPr>
            <w:tcW w:w="720" w:type="dxa"/>
            <w:gridSpan w:val="2"/>
            <w:tcBorders>
              <w:left w:val="single" w:sz="4" w:space="0" w:color="auto"/>
              <w:bottom w:val="single" w:sz="12" w:space="0" w:color="auto"/>
              <w:right w:val="single" w:sz="4" w:space="0" w:color="auto"/>
            </w:tcBorders>
            <w:shd w:val="clear" w:color="auto" w:fill="auto"/>
            <w:vAlign w:val="center"/>
          </w:tcPr>
          <w:p w14:paraId="02E6040E" w14:textId="77777777" w:rsidR="00217980" w:rsidRPr="00645156" w:rsidRDefault="00217980" w:rsidP="007C2EAE">
            <w:pPr>
              <w:pStyle w:val="NormalWeb"/>
              <w:spacing w:before="0" w:beforeAutospacing="0" w:after="0" w:afterAutospacing="0"/>
              <w:jc w:val="center"/>
              <w:rPr>
                <w:rFonts w:ascii="Arial Narrow" w:hAnsi="Arial Narrow" w:cs="Arial"/>
                <w:b/>
                <w:bCs/>
              </w:rPr>
            </w:pPr>
            <w:r>
              <w:rPr>
                <w:rFonts w:ascii="Arial Narrow" w:hAnsi="Arial Narrow" w:cs="Arial"/>
                <w:b/>
                <w:bCs/>
              </w:rPr>
              <w:t>4.94</w:t>
            </w:r>
          </w:p>
        </w:tc>
        <w:tc>
          <w:tcPr>
            <w:tcW w:w="719" w:type="dxa"/>
            <w:gridSpan w:val="2"/>
            <w:tcBorders>
              <w:left w:val="single" w:sz="4" w:space="0" w:color="auto"/>
              <w:bottom w:val="single" w:sz="12" w:space="0" w:color="auto"/>
              <w:right w:val="single" w:sz="4" w:space="0" w:color="auto"/>
            </w:tcBorders>
            <w:shd w:val="clear" w:color="auto" w:fill="auto"/>
            <w:vAlign w:val="center"/>
          </w:tcPr>
          <w:p w14:paraId="255CE31B" w14:textId="77777777" w:rsidR="00217980" w:rsidRPr="00645156" w:rsidRDefault="00217980" w:rsidP="007C2EAE">
            <w:pPr>
              <w:pStyle w:val="NormalWeb"/>
              <w:spacing w:before="0" w:beforeAutospacing="0" w:after="0" w:afterAutospacing="0"/>
              <w:jc w:val="center"/>
              <w:rPr>
                <w:rFonts w:ascii="Arial Narrow" w:hAnsi="Arial Narrow" w:cs="Arial"/>
                <w:b/>
                <w:bCs/>
              </w:rPr>
            </w:pPr>
            <w:r>
              <w:rPr>
                <w:rFonts w:ascii="Arial Narrow" w:hAnsi="Arial Narrow" w:cs="Arial"/>
                <w:b/>
                <w:bCs/>
              </w:rPr>
              <w:t>5.15</w:t>
            </w:r>
          </w:p>
        </w:tc>
        <w:tc>
          <w:tcPr>
            <w:tcW w:w="729" w:type="dxa"/>
            <w:gridSpan w:val="2"/>
            <w:tcBorders>
              <w:left w:val="single" w:sz="4" w:space="0" w:color="auto"/>
              <w:bottom w:val="single" w:sz="12" w:space="0" w:color="auto"/>
              <w:right w:val="single" w:sz="12" w:space="0" w:color="auto"/>
            </w:tcBorders>
            <w:shd w:val="clear" w:color="auto" w:fill="auto"/>
            <w:vAlign w:val="center"/>
          </w:tcPr>
          <w:p w14:paraId="4D364BF3" w14:textId="0F17919F" w:rsidR="00217980" w:rsidRPr="00645156" w:rsidRDefault="00F605ED" w:rsidP="007C2EAE">
            <w:pPr>
              <w:pStyle w:val="NormalWeb"/>
              <w:spacing w:before="0" w:beforeAutospacing="0" w:after="0" w:afterAutospacing="0"/>
              <w:jc w:val="center"/>
              <w:rPr>
                <w:rFonts w:ascii="Arial Narrow" w:hAnsi="Arial Narrow" w:cs="Arial"/>
                <w:b/>
                <w:bCs/>
              </w:rPr>
            </w:pPr>
            <w:r>
              <w:rPr>
                <w:rFonts w:ascii="Arial Narrow" w:hAnsi="Arial Narrow" w:cs="Arial"/>
                <w:b/>
                <w:bCs/>
              </w:rPr>
              <w:t>5.96</w:t>
            </w:r>
          </w:p>
        </w:tc>
        <w:tc>
          <w:tcPr>
            <w:tcW w:w="719" w:type="dxa"/>
            <w:tcBorders>
              <w:left w:val="single" w:sz="12" w:space="0" w:color="auto"/>
              <w:bottom w:val="single" w:sz="12" w:space="0" w:color="auto"/>
              <w:right w:val="single" w:sz="4" w:space="0" w:color="auto"/>
            </w:tcBorders>
            <w:vAlign w:val="center"/>
          </w:tcPr>
          <w:p w14:paraId="370C9254" w14:textId="77777777" w:rsidR="00217980" w:rsidRPr="00645156" w:rsidRDefault="00217980" w:rsidP="007C2EAE">
            <w:pPr>
              <w:pStyle w:val="NormalWeb"/>
              <w:spacing w:before="0" w:beforeAutospacing="0" w:after="0" w:afterAutospacing="0"/>
              <w:jc w:val="center"/>
              <w:rPr>
                <w:rFonts w:ascii="Arial Narrow" w:hAnsi="Arial Narrow" w:cs="Arial"/>
                <w:b/>
                <w:bCs/>
              </w:rPr>
            </w:pPr>
            <w:r>
              <w:rPr>
                <w:rFonts w:ascii="Arial Narrow" w:hAnsi="Arial Narrow" w:cs="Arial"/>
                <w:b/>
                <w:bCs/>
              </w:rPr>
              <w:t>1.58</w:t>
            </w:r>
          </w:p>
        </w:tc>
        <w:tc>
          <w:tcPr>
            <w:tcW w:w="719" w:type="dxa"/>
            <w:tcBorders>
              <w:left w:val="single" w:sz="4" w:space="0" w:color="auto"/>
              <w:bottom w:val="single" w:sz="12" w:space="0" w:color="auto"/>
            </w:tcBorders>
            <w:shd w:val="clear" w:color="auto" w:fill="auto"/>
            <w:vAlign w:val="center"/>
          </w:tcPr>
          <w:p w14:paraId="78568451" w14:textId="77777777" w:rsidR="00217980" w:rsidRPr="00645156" w:rsidRDefault="00217980" w:rsidP="007C2EAE">
            <w:pPr>
              <w:pStyle w:val="NormalWeb"/>
              <w:spacing w:before="0" w:beforeAutospacing="0" w:after="0" w:afterAutospacing="0"/>
              <w:jc w:val="center"/>
              <w:rPr>
                <w:rFonts w:ascii="Arial Narrow" w:hAnsi="Arial Narrow" w:cs="Arial"/>
                <w:b/>
                <w:bCs/>
              </w:rPr>
            </w:pPr>
            <w:r>
              <w:rPr>
                <w:rFonts w:ascii="Arial Narrow" w:hAnsi="Arial Narrow" w:cs="Arial"/>
                <w:b/>
                <w:bCs/>
              </w:rPr>
              <w:t>1.59</w:t>
            </w:r>
          </w:p>
        </w:tc>
        <w:tc>
          <w:tcPr>
            <w:tcW w:w="719" w:type="dxa"/>
            <w:tcBorders>
              <w:bottom w:val="single" w:sz="12" w:space="0" w:color="auto"/>
              <w:right w:val="single" w:sz="4" w:space="0" w:color="auto"/>
            </w:tcBorders>
            <w:shd w:val="clear" w:color="auto" w:fill="auto"/>
            <w:vAlign w:val="center"/>
          </w:tcPr>
          <w:p w14:paraId="2B396B75" w14:textId="77777777" w:rsidR="00217980" w:rsidRPr="00645156" w:rsidRDefault="00217980" w:rsidP="007C2EAE">
            <w:pPr>
              <w:pStyle w:val="NormalWeb"/>
              <w:spacing w:before="0" w:beforeAutospacing="0" w:after="0" w:afterAutospacing="0"/>
              <w:jc w:val="center"/>
              <w:rPr>
                <w:rFonts w:ascii="Arial Narrow" w:hAnsi="Arial Narrow" w:cs="Arial"/>
                <w:b/>
                <w:bCs/>
              </w:rPr>
            </w:pPr>
            <w:r>
              <w:rPr>
                <w:rFonts w:ascii="Arial Narrow" w:hAnsi="Arial Narrow" w:cs="Arial"/>
                <w:b/>
                <w:bCs/>
              </w:rPr>
              <w:t>1.66</w:t>
            </w:r>
          </w:p>
        </w:tc>
        <w:tc>
          <w:tcPr>
            <w:tcW w:w="720" w:type="dxa"/>
            <w:tcBorders>
              <w:left w:val="single" w:sz="4" w:space="0" w:color="auto"/>
              <w:bottom w:val="single" w:sz="12" w:space="0" w:color="auto"/>
              <w:right w:val="single" w:sz="12" w:space="0" w:color="auto"/>
            </w:tcBorders>
            <w:shd w:val="clear" w:color="auto" w:fill="auto"/>
            <w:vAlign w:val="center"/>
          </w:tcPr>
          <w:p w14:paraId="2A1F1588" w14:textId="63CD3D7D" w:rsidR="00217980" w:rsidRPr="00645156" w:rsidRDefault="00F605ED" w:rsidP="007C2EAE">
            <w:pPr>
              <w:pStyle w:val="NormalWeb"/>
              <w:spacing w:before="0" w:beforeAutospacing="0" w:after="0" w:afterAutospacing="0"/>
              <w:jc w:val="center"/>
              <w:rPr>
                <w:rFonts w:ascii="Arial Narrow" w:hAnsi="Arial Narrow" w:cs="Arial"/>
                <w:b/>
                <w:bCs/>
              </w:rPr>
            </w:pPr>
            <w:r>
              <w:rPr>
                <w:rFonts w:ascii="Arial Narrow" w:hAnsi="Arial Narrow" w:cs="Arial"/>
                <w:b/>
                <w:bCs/>
              </w:rPr>
              <w:t>1.67</w:t>
            </w:r>
          </w:p>
        </w:tc>
      </w:tr>
      <w:tr w:rsidR="00F804EC" w14:paraId="0ADF1DF6" w14:textId="77777777" w:rsidTr="00F804EC">
        <w:trPr>
          <w:cantSplit/>
          <w:jc w:val="center"/>
        </w:trPr>
        <w:tc>
          <w:tcPr>
            <w:tcW w:w="717" w:type="dxa"/>
            <w:gridSpan w:val="2"/>
            <w:tcBorders>
              <w:top w:val="single" w:sz="12" w:space="0" w:color="auto"/>
              <w:left w:val="single" w:sz="12" w:space="0" w:color="auto"/>
              <w:right w:val="nil"/>
            </w:tcBorders>
            <w:shd w:val="clear" w:color="auto" w:fill="D9E2F3" w:themeFill="accent1" w:themeFillTint="33"/>
            <w:vAlign w:val="center"/>
          </w:tcPr>
          <w:p w14:paraId="5DA9E6FA" w14:textId="77777777" w:rsidR="00520168" w:rsidRPr="00B95D0D" w:rsidRDefault="00520168" w:rsidP="00542F75">
            <w:pPr>
              <w:pStyle w:val="NormalWeb"/>
              <w:spacing w:before="0" w:beforeAutospacing="0" w:after="0" w:afterAutospacing="0"/>
              <w:rPr>
                <w:rFonts w:ascii="Arial Narrow" w:hAnsi="Arial Narrow" w:cs="Arial"/>
              </w:rPr>
            </w:pPr>
            <w:r>
              <w:rPr>
                <w:rFonts w:ascii="Arial Narrow" w:hAnsi="Arial Narrow" w:cs="Arial"/>
                <w:b/>
                <w:bCs/>
              </w:rPr>
              <w:t>ICU</w:t>
            </w:r>
          </w:p>
        </w:tc>
        <w:tc>
          <w:tcPr>
            <w:tcW w:w="717" w:type="dxa"/>
            <w:gridSpan w:val="2"/>
            <w:tcBorders>
              <w:top w:val="single" w:sz="12" w:space="0" w:color="auto"/>
              <w:left w:val="nil"/>
              <w:right w:val="nil"/>
            </w:tcBorders>
            <w:shd w:val="clear" w:color="auto" w:fill="D9E2F3" w:themeFill="accent1" w:themeFillTint="33"/>
            <w:vAlign w:val="center"/>
          </w:tcPr>
          <w:p w14:paraId="5A0EE88C" w14:textId="77777777" w:rsidR="00520168" w:rsidRPr="00B95D0D" w:rsidRDefault="00520168" w:rsidP="00542F75">
            <w:pPr>
              <w:pStyle w:val="NormalWeb"/>
              <w:spacing w:before="0" w:beforeAutospacing="0" w:after="0" w:afterAutospacing="0"/>
              <w:rPr>
                <w:rFonts w:ascii="Arial Narrow" w:hAnsi="Arial Narrow" w:cs="Arial"/>
              </w:rPr>
            </w:pPr>
          </w:p>
        </w:tc>
        <w:tc>
          <w:tcPr>
            <w:tcW w:w="717" w:type="dxa"/>
            <w:gridSpan w:val="2"/>
            <w:tcBorders>
              <w:top w:val="single" w:sz="12" w:space="0" w:color="auto"/>
              <w:left w:val="nil"/>
              <w:right w:val="nil"/>
            </w:tcBorders>
            <w:shd w:val="clear" w:color="auto" w:fill="D9E2F3" w:themeFill="accent1" w:themeFillTint="33"/>
            <w:vAlign w:val="center"/>
          </w:tcPr>
          <w:p w14:paraId="08FC3A00" w14:textId="77777777" w:rsidR="00520168" w:rsidRPr="00B95D0D" w:rsidRDefault="00520168" w:rsidP="00542F75">
            <w:pPr>
              <w:pStyle w:val="NormalWeb"/>
              <w:spacing w:before="0" w:beforeAutospacing="0" w:after="0" w:afterAutospacing="0"/>
              <w:rPr>
                <w:rFonts w:ascii="Arial Narrow" w:hAnsi="Arial Narrow" w:cs="Arial"/>
              </w:rPr>
            </w:pPr>
          </w:p>
        </w:tc>
        <w:tc>
          <w:tcPr>
            <w:tcW w:w="717" w:type="dxa"/>
            <w:gridSpan w:val="2"/>
            <w:tcBorders>
              <w:top w:val="single" w:sz="12" w:space="0" w:color="auto"/>
              <w:left w:val="nil"/>
              <w:right w:val="nil"/>
            </w:tcBorders>
            <w:shd w:val="clear" w:color="auto" w:fill="D9E2F3" w:themeFill="accent1" w:themeFillTint="33"/>
            <w:vAlign w:val="center"/>
          </w:tcPr>
          <w:p w14:paraId="4F49BE22" w14:textId="77777777" w:rsidR="00520168" w:rsidRPr="00B95D0D" w:rsidRDefault="00520168" w:rsidP="00542F75">
            <w:pPr>
              <w:pStyle w:val="NormalWeb"/>
              <w:spacing w:before="0" w:beforeAutospacing="0" w:after="0" w:afterAutospacing="0"/>
              <w:rPr>
                <w:rFonts w:ascii="Arial Narrow" w:hAnsi="Arial Narrow" w:cs="Arial"/>
              </w:rPr>
            </w:pPr>
          </w:p>
        </w:tc>
        <w:tc>
          <w:tcPr>
            <w:tcW w:w="717" w:type="dxa"/>
            <w:gridSpan w:val="2"/>
            <w:tcBorders>
              <w:top w:val="single" w:sz="12" w:space="0" w:color="auto"/>
              <w:left w:val="nil"/>
              <w:right w:val="nil"/>
            </w:tcBorders>
            <w:shd w:val="clear" w:color="auto" w:fill="D9E2F3" w:themeFill="accent1" w:themeFillTint="33"/>
            <w:vAlign w:val="center"/>
          </w:tcPr>
          <w:p w14:paraId="5B0FF7AA" w14:textId="77777777" w:rsidR="00520168" w:rsidRPr="00B95D0D" w:rsidRDefault="00520168" w:rsidP="00542F75">
            <w:pPr>
              <w:pStyle w:val="NormalWeb"/>
              <w:spacing w:before="0" w:beforeAutospacing="0" w:after="0" w:afterAutospacing="0"/>
              <w:rPr>
                <w:rFonts w:ascii="Arial Narrow" w:hAnsi="Arial Narrow" w:cs="Arial"/>
              </w:rPr>
            </w:pPr>
          </w:p>
        </w:tc>
        <w:tc>
          <w:tcPr>
            <w:tcW w:w="718" w:type="dxa"/>
            <w:gridSpan w:val="2"/>
            <w:tcBorders>
              <w:top w:val="single" w:sz="12" w:space="0" w:color="auto"/>
              <w:left w:val="nil"/>
              <w:right w:val="nil"/>
            </w:tcBorders>
            <w:shd w:val="clear" w:color="auto" w:fill="D9E2F3" w:themeFill="accent1" w:themeFillTint="33"/>
            <w:vAlign w:val="center"/>
          </w:tcPr>
          <w:p w14:paraId="0E9D2262" w14:textId="77777777" w:rsidR="00520168" w:rsidRPr="00B95D0D" w:rsidRDefault="00520168" w:rsidP="00542F75">
            <w:pPr>
              <w:pStyle w:val="NormalWeb"/>
              <w:spacing w:before="0" w:beforeAutospacing="0" w:after="0" w:afterAutospacing="0"/>
              <w:rPr>
                <w:rFonts w:ascii="Arial Narrow" w:hAnsi="Arial Narrow" w:cs="Arial"/>
              </w:rPr>
            </w:pPr>
          </w:p>
        </w:tc>
        <w:tc>
          <w:tcPr>
            <w:tcW w:w="718" w:type="dxa"/>
            <w:gridSpan w:val="2"/>
            <w:tcBorders>
              <w:top w:val="single" w:sz="12" w:space="0" w:color="auto"/>
              <w:left w:val="nil"/>
              <w:right w:val="nil"/>
            </w:tcBorders>
            <w:shd w:val="clear" w:color="auto" w:fill="D9E2F3" w:themeFill="accent1" w:themeFillTint="33"/>
            <w:vAlign w:val="center"/>
          </w:tcPr>
          <w:p w14:paraId="3D3CB31D" w14:textId="77777777" w:rsidR="00520168" w:rsidRPr="00B95D0D" w:rsidRDefault="00520168" w:rsidP="00542F75">
            <w:pPr>
              <w:pStyle w:val="NormalWeb"/>
              <w:spacing w:before="0" w:beforeAutospacing="0" w:after="0" w:afterAutospacing="0"/>
              <w:rPr>
                <w:rFonts w:ascii="Arial Narrow" w:hAnsi="Arial Narrow" w:cs="Arial"/>
              </w:rPr>
            </w:pPr>
          </w:p>
        </w:tc>
        <w:tc>
          <w:tcPr>
            <w:tcW w:w="718" w:type="dxa"/>
            <w:gridSpan w:val="2"/>
            <w:tcBorders>
              <w:top w:val="single" w:sz="12" w:space="0" w:color="auto"/>
              <w:left w:val="nil"/>
              <w:right w:val="nil"/>
            </w:tcBorders>
            <w:shd w:val="clear" w:color="auto" w:fill="D9E2F3" w:themeFill="accent1" w:themeFillTint="33"/>
            <w:vAlign w:val="center"/>
          </w:tcPr>
          <w:p w14:paraId="5CB02B23" w14:textId="77777777" w:rsidR="00520168" w:rsidRPr="00B95D0D" w:rsidRDefault="00520168" w:rsidP="00542F75">
            <w:pPr>
              <w:pStyle w:val="NormalWeb"/>
              <w:spacing w:before="0" w:beforeAutospacing="0" w:after="0" w:afterAutospacing="0"/>
              <w:rPr>
                <w:rFonts w:ascii="Arial Narrow" w:hAnsi="Arial Narrow" w:cs="Arial"/>
              </w:rPr>
            </w:pPr>
          </w:p>
        </w:tc>
        <w:tc>
          <w:tcPr>
            <w:tcW w:w="718" w:type="dxa"/>
            <w:tcBorders>
              <w:top w:val="single" w:sz="12" w:space="0" w:color="auto"/>
              <w:left w:val="nil"/>
              <w:right w:val="nil"/>
            </w:tcBorders>
            <w:shd w:val="clear" w:color="auto" w:fill="D9E2F3" w:themeFill="accent1" w:themeFillTint="33"/>
            <w:vAlign w:val="center"/>
          </w:tcPr>
          <w:p w14:paraId="6D73C21E" w14:textId="77777777" w:rsidR="00520168" w:rsidRPr="00B95D0D" w:rsidRDefault="00520168" w:rsidP="00542F75">
            <w:pPr>
              <w:pStyle w:val="NormalWeb"/>
              <w:spacing w:before="0" w:beforeAutospacing="0" w:after="0" w:afterAutospacing="0"/>
              <w:rPr>
                <w:rFonts w:ascii="Arial Narrow" w:hAnsi="Arial Narrow" w:cs="Arial"/>
              </w:rPr>
            </w:pPr>
          </w:p>
        </w:tc>
        <w:tc>
          <w:tcPr>
            <w:tcW w:w="719" w:type="dxa"/>
            <w:tcBorders>
              <w:top w:val="single" w:sz="12" w:space="0" w:color="auto"/>
              <w:left w:val="nil"/>
              <w:bottom w:val="single" w:sz="12" w:space="0" w:color="auto"/>
              <w:right w:val="nil"/>
            </w:tcBorders>
            <w:shd w:val="clear" w:color="auto" w:fill="D9E2F3" w:themeFill="accent1" w:themeFillTint="33"/>
            <w:vAlign w:val="center"/>
          </w:tcPr>
          <w:p w14:paraId="0CEAE207" w14:textId="77777777" w:rsidR="00520168" w:rsidRPr="00B95D0D" w:rsidRDefault="00520168" w:rsidP="00542F75">
            <w:pPr>
              <w:pStyle w:val="NormalWeb"/>
              <w:spacing w:before="0" w:beforeAutospacing="0" w:after="0" w:afterAutospacing="0"/>
              <w:rPr>
                <w:rFonts w:ascii="Arial Narrow" w:hAnsi="Arial Narrow" w:cs="Arial"/>
              </w:rPr>
            </w:pPr>
          </w:p>
        </w:tc>
        <w:tc>
          <w:tcPr>
            <w:tcW w:w="719" w:type="dxa"/>
            <w:tcBorders>
              <w:top w:val="single" w:sz="12" w:space="0" w:color="auto"/>
              <w:left w:val="nil"/>
              <w:bottom w:val="single" w:sz="12" w:space="0" w:color="auto"/>
              <w:right w:val="nil"/>
            </w:tcBorders>
            <w:shd w:val="clear" w:color="auto" w:fill="D9E2F3" w:themeFill="accent1" w:themeFillTint="33"/>
            <w:vAlign w:val="center"/>
          </w:tcPr>
          <w:p w14:paraId="29EDD407" w14:textId="77777777" w:rsidR="00520168" w:rsidRPr="00B95D0D" w:rsidRDefault="00520168" w:rsidP="00542F75">
            <w:pPr>
              <w:pStyle w:val="NormalWeb"/>
              <w:spacing w:before="0" w:beforeAutospacing="0" w:after="0" w:afterAutospacing="0"/>
              <w:rPr>
                <w:rFonts w:ascii="Arial Narrow" w:hAnsi="Arial Narrow" w:cs="Arial"/>
              </w:rPr>
            </w:pPr>
          </w:p>
        </w:tc>
        <w:tc>
          <w:tcPr>
            <w:tcW w:w="719" w:type="dxa"/>
            <w:tcBorders>
              <w:top w:val="single" w:sz="12" w:space="0" w:color="auto"/>
              <w:left w:val="nil"/>
              <w:bottom w:val="single" w:sz="12" w:space="0" w:color="auto"/>
              <w:right w:val="nil"/>
            </w:tcBorders>
            <w:shd w:val="clear" w:color="auto" w:fill="D9E2F3" w:themeFill="accent1" w:themeFillTint="33"/>
            <w:vAlign w:val="center"/>
          </w:tcPr>
          <w:p w14:paraId="23EBCDD6" w14:textId="77777777" w:rsidR="00520168" w:rsidRPr="00B95D0D" w:rsidRDefault="00520168" w:rsidP="00542F75">
            <w:pPr>
              <w:pStyle w:val="NormalWeb"/>
              <w:spacing w:before="0" w:beforeAutospacing="0" w:after="0" w:afterAutospacing="0"/>
              <w:rPr>
                <w:rFonts w:ascii="Arial Narrow" w:hAnsi="Arial Narrow" w:cs="Arial"/>
              </w:rPr>
            </w:pPr>
          </w:p>
        </w:tc>
        <w:tc>
          <w:tcPr>
            <w:tcW w:w="720" w:type="dxa"/>
            <w:tcBorders>
              <w:top w:val="single" w:sz="12" w:space="0" w:color="auto"/>
              <w:left w:val="nil"/>
              <w:bottom w:val="single" w:sz="12" w:space="0" w:color="auto"/>
              <w:right w:val="single" w:sz="12" w:space="0" w:color="auto"/>
            </w:tcBorders>
            <w:shd w:val="clear" w:color="auto" w:fill="D9E2F3" w:themeFill="accent1" w:themeFillTint="33"/>
            <w:vAlign w:val="center"/>
          </w:tcPr>
          <w:p w14:paraId="131E4238" w14:textId="53E39A79" w:rsidR="00520168" w:rsidRPr="00B95D0D" w:rsidRDefault="00520168" w:rsidP="00542F75">
            <w:pPr>
              <w:pStyle w:val="NormalWeb"/>
              <w:spacing w:before="0" w:beforeAutospacing="0" w:after="0" w:afterAutospacing="0"/>
              <w:rPr>
                <w:rFonts w:ascii="Arial Narrow" w:hAnsi="Arial Narrow" w:cs="Arial"/>
              </w:rPr>
            </w:pPr>
          </w:p>
        </w:tc>
      </w:tr>
      <w:tr w:rsidR="00217980" w14:paraId="0188E276" w14:textId="77777777" w:rsidTr="00F804EC">
        <w:trPr>
          <w:cantSplit/>
          <w:jc w:val="center"/>
        </w:trPr>
        <w:tc>
          <w:tcPr>
            <w:tcW w:w="701" w:type="dxa"/>
            <w:tcBorders>
              <w:top w:val="single" w:sz="12" w:space="0" w:color="auto"/>
              <w:left w:val="single" w:sz="12" w:space="0" w:color="auto"/>
              <w:right w:val="single" w:sz="12" w:space="0" w:color="auto"/>
            </w:tcBorders>
            <w:vAlign w:val="center"/>
          </w:tcPr>
          <w:p w14:paraId="2C8D2203" w14:textId="77777777" w:rsidR="00217980" w:rsidRDefault="00217980" w:rsidP="00542F75">
            <w:pPr>
              <w:pStyle w:val="NormalWeb"/>
              <w:spacing w:before="0" w:beforeAutospacing="0" w:after="0" w:afterAutospacing="0"/>
              <w:rPr>
                <w:rFonts w:ascii="Arial Narrow" w:hAnsi="Arial Narrow" w:cs="Arial"/>
                <w:b/>
                <w:bCs/>
              </w:rPr>
            </w:pPr>
            <w:r>
              <w:rPr>
                <w:rFonts w:ascii="Arial Narrow" w:hAnsi="Arial Narrow" w:cs="Arial"/>
                <w:b/>
                <w:bCs/>
              </w:rPr>
              <w:t>0-64</w:t>
            </w:r>
          </w:p>
        </w:tc>
        <w:tc>
          <w:tcPr>
            <w:tcW w:w="717" w:type="dxa"/>
            <w:gridSpan w:val="2"/>
            <w:tcBorders>
              <w:top w:val="single" w:sz="12" w:space="0" w:color="auto"/>
              <w:left w:val="single" w:sz="12" w:space="0" w:color="auto"/>
              <w:right w:val="single" w:sz="4" w:space="0" w:color="auto"/>
            </w:tcBorders>
            <w:vAlign w:val="center"/>
          </w:tcPr>
          <w:p w14:paraId="3D5E970B" w14:textId="77777777" w:rsidR="00217980" w:rsidRPr="00EE4FAD" w:rsidRDefault="00217980" w:rsidP="00C90916">
            <w:pPr>
              <w:pStyle w:val="NormalWeb"/>
              <w:spacing w:before="0" w:beforeAutospacing="0" w:after="0" w:afterAutospacing="0"/>
              <w:ind w:left="-196" w:right="-197"/>
              <w:jc w:val="center"/>
              <w:rPr>
                <w:rFonts w:ascii="Arial Narrow" w:hAnsi="Arial Narrow" w:cs="Arial"/>
              </w:rPr>
            </w:pPr>
            <w:r w:rsidRPr="00EE4FAD">
              <w:rPr>
                <w:rFonts w:ascii="Arial Narrow" w:hAnsi="Arial Narrow" w:cs="Arial"/>
              </w:rPr>
              <w:t>2,519</w:t>
            </w:r>
          </w:p>
        </w:tc>
        <w:tc>
          <w:tcPr>
            <w:tcW w:w="717" w:type="dxa"/>
            <w:gridSpan w:val="2"/>
            <w:tcBorders>
              <w:top w:val="single" w:sz="12" w:space="0" w:color="auto"/>
              <w:left w:val="single" w:sz="4" w:space="0" w:color="auto"/>
            </w:tcBorders>
            <w:shd w:val="clear" w:color="auto" w:fill="auto"/>
            <w:vAlign w:val="center"/>
          </w:tcPr>
          <w:p w14:paraId="70D5658C" w14:textId="77777777" w:rsidR="00217980" w:rsidRPr="00EE4FAD" w:rsidRDefault="00217980" w:rsidP="007C2EAE">
            <w:pPr>
              <w:pStyle w:val="NormalWeb"/>
              <w:spacing w:before="0" w:beforeAutospacing="0" w:after="0" w:afterAutospacing="0"/>
              <w:jc w:val="center"/>
              <w:rPr>
                <w:rFonts w:ascii="Arial Narrow" w:hAnsi="Arial Narrow" w:cs="Arial"/>
              </w:rPr>
            </w:pPr>
            <w:r w:rsidRPr="00EE4FAD">
              <w:rPr>
                <w:rFonts w:ascii="Arial Narrow" w:hAnsi="Arial Narrow" w:cs="Arial"/>
              </w:rPr>
              <w:t>2,365</w:t>
            </w:r>
          </w:p>
        </w:tc>
        <w:tc>
          <w:tcPr>
            <w:tcW w:w="718" w:type="dxa"/>
            <w:gridSpan w:val="2"/>
            <w:tcBorders>
              <w:top w:val="single" w:sz="12" w:space="0" w:color="auto"/>
              <w:right w:val="single" w:sz="4" w:space="0" w:color="auto"/>
            </w:tcBorders>
            <w:vAlign w:val="center"/>
          </w:tcPr>
          <w:p w14:paraId="645DD674" w14:textId="77777777" w:rsidR="00217980" w:rsidRPr="00EE4FAD" w:rsidRDefault="00217980" w:rsidP="007C2EAE">
            <w:pPr>
              <w:pStyle w:val="NormalWeb"/>
              <w:spacing w:before="0" w:beforeAutospacing="0" w:after="0" w:afterAutospacing="0"/>
              <w:jc w:val="center"/>
              <w:rPr>
                <w:rFonts w:ascii="Arial Narrow" w:hAnsi="Arial Narrow" w:cs="Arial"/>
              </w:rPr>
            </w:pPr>
            <w:r w:rsidRPr="00EE4FAD">
              <w:rPr>
                <w:rFonts w:ascii="Arial Narrow" w:hAnsi="Arial Narrow" w:cs="Arial"/>
              </w:rPr>
              <w:t>2,403</w:t>
            </w:r>
          </w:p>
        </w:tc>
        <w:tc>
          <w:tcPr>
            <w:tcW w:w="717" w:type="dxa"/>
            <w:gridSpan w:val="2"/>
            <w:tcBorders>
              <w:top w:val="single" w:sz="12" w:space="0" w:color="auto"/>
              <w:left w:val="single" w:sz="4" w:space="0" w:color="auto"/>
              <w:right w:val="single" w:sz="12" w:space="0" w:color="auto"/>
            </w:tcBorders>
            <w:vAlign w:val="center"/>
          </w:tcPr>
          <w:p w14:paraId="45A5A2EC" w14:textId="38898B6E" w:rsidR="00217980" w:rsidRPr="00EE4FAD" w:rsidRDefault="00803E51" w:rsidP="007C2EAE">
            <w:pPr>
              <w:pStyle w:val="NormalWeb"/>
              <w:spacing w:before="0" w:beforeAutospacing="0" w:after="0" w:afterAutospacing="0"/>
              <w:jc w:val="center"/>
              <w:rPr>
                <w:rFonts w:ascii="Arial Narrow" w:hAnsi="Arial Narrow" w:cs="Arial"/>
              </w:rPr>
            </w:pPr>
            <w:r>
              <w:rPr>
                <w:rFonts w:ascii="Arial Narrow" w:hAnsi="Arial Narrow" w:cs="Arial"/>
              </w:rPr>
              <w:t>1,787</w:t>
            </w:r>
          </w:p>
        </w:tc>
        <w:tc>
          <w:tcPr>
            <w:tcW w:w="719" w:type="dxa"/>
            <w:gridSpan w:val="2"/>
            <w:tcBorders>
              <w:top w:val="single" w:sz="12" w:space="0" w:color="auto"/>
              <w:left w:val="single" w:sz="12" w:space="0" w:color="auto"/>
              <w:right w:val="single" w:sz="4" w:space="0" w:color="auto"/>
            </w:tcBorders>
            <w:shd w:val="clear" w:color="auto" w:fill="auto"/>
            <w:vAlign w:val="center"/>
          </w:tcPr>
          <w:p w14:paraId="7E680355" w14:textId="77777777" w:rsidR="00217980" w:rsidRPr="00B95D0D" w:rsidRDefault="00217980" w:rsidP="007C2EAE">
            <w:pPr>
              <w:pStyle w:val="NormalWeb"/>
              <w:spacing w:before="0" w:beforeAutospacing="0" w:after="0" w:afterAutospacing="0"/>
              <w:jc w:val="center"/>
              <w:rPr>
                <w:rFonts w:ascii="Arial Narrow" w:hAnsi="Arial Narrow" w:cs="Arial"/>
              </w:rPr>
            </w:pPr>
            <w:r>
              <w:rPr>
                <w:rFonts w:ascii="Arial Narrow" w:hAnsi="Arial Narrow" w:cs="Arial"/>
              </w:rPr>
              <w:t>9.91</w:t>
            </w:r>
          </w:p>
        </w:tc>
        <w:tc>
          <w:tcPr>
            <w:tcW w:w="720" w:type="dxa"/>
            <w:gridSpan w:val="2"/>
            <w:tcBorders>
              <w:top w:val="single" w:sz="12" w:space="0" w:color="auto"/>
              <w:left w:val="single" w:sz="4" w:space="0" w:color="auto"/>
              <w:right w:val="single" w:sz="4" w:space="0" w:color="auto"/>
            </w:tcBorders>
            <w:shd w:val="clear" w:color="auto" w:fill="auto"/>
            <w:vAlign w:val="center"/>
          </w:tcPr>
          <w:p w14:paraId="7754DEA5" w14:textId="77777777" w:rsidR="00217980" w:rsidRPr="00B95D0D" w:rsidRDefault="00217980" w:rsidP="007C2EAE">
            <w:pPr>
              <w:pStyle w:val="NormalWeb"/>
              <w:spacing w:before="0" w:beforeAutospacing="0" w:after="0" w:afterAutospacing="0"/>
              <w:jc w:val="center"/>
              <w:rPr>
                <w:rFonts w:ascii="Arial Narrow" w:hAnsi="Arial Narrow" w:cs="Arial"/>
              </w:rPr>
            </w:pPr>
            <w:r>
              <w:rPr>
                <w:rFonts w:ascii="Arial Narrow" w:hAnsi="Arial Narrow" w:cs="Arial"/>
              </w:rPr>
              <w:t>10.99</w:t>
            </w:r>
          </w:p>
        </w:tc>
        <w:tc>
          <w:tcPr>
            <w:tcW w:w="719" w:type="dxa"/>
            <w:gridSpan w:val="2"/>
            <w:tcBorders>
              <w:top w:val="single" w:sz="12" w:space="0" w:color="auto"/>
              <w:left w:val="single" w:sz="4" w:space="0" w:color="auto"/>
              <w:right w:val="single" w:sz="4" w:space="0" w:color="auto"/>
            </w:tcBorders>
            <w:shd w:val="clear" w:color="auto" w:fill="auto"/>
            <w:vAlign w:val="center"/>
          </w:tcPr>
          <w:p w14:paraId="360C0311" w14:textId="77777777" w:rsidR="00217980" w:rsidRPr="00B95D0D" w:rsidRDefault="00217980" w:rsidP="007C2EAE">
            <w:pPr>
              <w:pStyle w:val="NormalWeb"/>
              <w:spacing w:before="0" w:beforeAutospacing="0" w:after="0" w:afterAutospacing="0"/>
              <w:jc w:val="center"/>
              <w:rPr>
                <w:rFonts w:ascii="Arial Narrow" w:hAnsi="Arial Narrow" w:cs="Arial"/>
              </w:rPr>
            </w:pPr>
            <w:r>
              <w:rPr>
                <w:rFonts w:ascii="Arial Narrow" w:hAnsi="Arial Narrow" w:cs="Arial"/>
              </w:rPr>
              <w:t>12.03</w:t>
            </w:r>
          </w:p>
        </w:tc>
        <w:tc>
          <w:tcPr>
            <w:tcW w:w="729" w:type="dxa"/>
            <w:gridSpan w:val="2"/>
            <w:tcBorders>
              <w:top w:val="single" w:sz="12" w:space="0" w:color="auto"/>
              <w:left w:val="single" w:sz="4" w:space="0" w:color="auto"/>
              <w:right w:val="single" w:sz="12" w:space="0" w:color="auto"/>
            </w:tcBorders>
            <w:shd w:val="clear" w:color="auto" w:fill="auto"/>
            <w:vAlign w:val="center"/>
          </w:tcPr>
          <w:p w14:paraId="0DEE4912" w14:textId="2C2E0C00" w:rsidR="00217980" w:rsidRPr="00B95D0D" w:rsidRDefault="00F605ED" w:rsidP="007C2EAE">
            <w:pPr>
              <w:pStyle w:val="NormalWeb"/>
              <w:spacing w:before="0" w:beforeAutospacing="0" w:after="0" w:afterAutospacing="0"/>
              <w:jc w:val="center"/>
              <w:rPr>
                <w:rFonts w:ascii="Arial Narrow" w:hAnsi="Arial Narrow" w:cs="Arial"/>
              </w:rPr>
            </w:pPr>
            <w:r>
              <w:rPr>
                <w:rFonts w:ascii="Arial Narrow" w:hAnsi="Arial Narrow" w:cs="Arial"/>
              </w:rPr>
              <w:t>12.71</w:t>
            </w:r>
          </w:p>
        </w:tc>
        <w:tc>
          <w:tcPr>
            <w:tcW w:w="719" w:type="dxa"/>
            <w:tcBorders>
              <w:top w:val="single" w:sz="12" w:space="0" w:color="auto"/>
              <w:left w:val="single" w:sz="12" w:space="0" w:color="auto"/>
              <w:right w:val="single" w:sz="4" w:space="0" w:color="auto"/>
            </w:tcBorders>
            <w:shd w:val="clear" w:color="auto" w:fill="auto"/>
            <w:vAlign w:val="center"/>
          </w:tcPr>
          <w:p w14:paraId="0975E506" w14:textId="77777777" w:rsidR="00217980" w:rsidRPr="00B95D0D" w:rsidRDefault="00217980" w:rsidP="007C2EAE">
            <w:pPr>
              <w:pStyle w:val="NormalWeb"/>
              <w:spacing w:before="0" w:beforeAutospacing="0" w:after="0" w:afterAutospacing="0"/>
              <w:jc w:val="center"/>
              <w:rPr>
                <w:rFonts w:ascii="Arial Narrow" w:hAnsi="Arial Narrow" w:cs="Arial"/>
              </w:rPr>
            </w:pPr>
            <w:r>
              <w:rPr>
                <w:rFonts w:ascii="Arial Narrow" w:hAnsi="Arial Narrow" w:cs="Arial"/>
              </w:rPr>
              <w:t>2.88</w:t>
            </w:r>
          </w:p>
        </w:tc>
        <w:tc>
          <w:tcPr>
            <w:tcW w:w="719" w:type="dxa"/>
            <w:tcBorders>
              <w:top w:val="single" w:sz="12" w:space="0" w:color="auto"/>
              <w:left w:val="single" w:sz="4" w:space="0" w:color="auto"/>
            </w:tcBorders>
            <w:shd w:val="clear" w:color="auto" w:fill="auto"/>
            <w:vAlign w:val="center"/>
          </w:tcPr>
          <w:p w14:paraId="0ADFD479" w14:textId="77777777" w:rsidR="00217980" w:rsidRPr="00B95D0D" w:rsidRDefault="00217980" w:rsidP="007C2EAE">
            <w:pPr>
              <w:pStyle w:val="NormalWeb"/>
              <w:spacing w:before="0" w:beforeAutospacing="0" w:after="0" w:afterAutospacing="0"/>
              <w:jc w:val="center"/>
              <w:rPr>
                <w:rFonts w:ascii="Arial Narrow" w:hAnsi="Arial Narrow" w:cs="Arial"/>
              </w:rPr>
            </w:pPr>
            <w:r>
              <w:rPr>
                <w:rFonts w:ascii="Arial Narrow" w:hAnsi="Arial Narrow" w:cs="Arial"/>
              </w:rPr>
              <w:t>3.03</w:t>
            </w:r>
          </w:p>
        </w:tc>
        <w:tc>
          <w:tcPr>
            <w:tcW w:w="719" w:type="dxa"/>
            <w:tcBorders>
              <w:top w:val="single" w:sz="12" w:space="0" w:color="auto"/>
              <w:right w:val="single" w:sz="4" w:space="0" w:color="auto"/>
            </w:tcBorders>
            <w:shd w:val="clear" w:color="auto" w:fill="auto"/>
            <w:vAlign w:val="center"/>
          </w:tcPr>
          <w:p w14:paraId="4E337ED3" w14:textId="77777777" w:rsidR="00217980" w:rsidRPr="00B95D0D" w:rsidRDefault="00217980" w:rsidP="007C2EAE">
            <w:pPr>
              <w:pStyle w:val="NormalWeb"/>
              <w:spacing w:before="0" w:beforeAutospacing="0" w:after="0" w:afterAutospacing="0"/>
              <w:jc w:val="center"/>
              <w:rPr>
                <w:rFonts w:ascii="Arial Narrow" w:hAnsi="Arial Narrow" w:cs="Arial"/>
              </w:rPr>
            </w:pPr>
            <w:r>
              <w:rPr>
                <w:rFonts w:ascii="Arial Narrow" w:hAnsi="Arial Narrow" w:cs="Arial"/>
              </w:rPr>
              <w:t>3.19</w:t>
            </w:r>
          </w:p>
        </w:tc>
        <w:tc>
          <w:tcPr>
            <w:tcW w:w="720" w:type="dxa"/>
            <w:tcBorders>
              <w:top w:val="single" w:sz="12" w:space="0" w:color="auto"/>
              <w:left w:val="single" w:sz="4" w:space="0" w:color="auto"/>
              <w:right w:val="single" w:sz="12" w:space="0" w:color="auto"/>
            </w:tcBorders>
            <w:shd w:val="clear" w:color="auto" w:fill="auto"/>
            <w:vAlign w:val="center"/>
          </w:tcPr>
          <w:p w14:paraId="47E6EFC3" w14:textId="33C61EFE" w:rsidR="00217980" w:rsidRPr="00B95D0D" w:rsidRDefault="00AC41EB" w:rsidP="007C2EAE">
            <w:pPr>
              <w:pStyle w:val="NormalWeb"/>
              <w:spacing w:before="0" w:beforeAutospacing="0" w:after="0" w:afterAutospacing="0"/>
              <w:jc w:val="center"/>
              <w:rPr>
                <w:rFonts w:ascii="Arial Narrow" w:hAnsi="Arial Narrow" w:cs="Arial"/>
              </w:rPr>
            </w:pPr>
            <w:r>
              <w:rPr>
                <w:rFonts w:ascii="Arial Narrow" w:hAnsi="Arial Narrow" w:cs="Arial"/>
              </w:rPr>
              <w:t>3.08</w:t>
            </w:r>
          </w:p>
        </w:tc>
      </w:tr>
      <w:tr w:rsidR="00217980" w14:paraId="689BE3B8" w14:textId="77777777" w:rsidTr="00F804EC">
        <w:trPr>
          <w:cantSplit/>
          <w:jc w:val="center"/>
        </w:trPr>
        <w:tc>
          <w:tcPr>
            <w:tcW w:w="701" w:type="dxa"/>
            <w:tcBorders>
              <w:left w:val="single" w:sz="12" w:space="0" w:color="auto"/>
              <w:right w:val="single" w:sz="12" w:space="0" w:color="auto"/>
            </w:tcBorders>
            <w:vAlign w:val="center"/>
          </w:tcPr>
          <w:p w14:paraId="7B647B71" w14:textId="77777777" w:rsidR="00217980" w:rsidRDefault="00217980" w:rsidP="00542F75">
            <w:pPr>
              <w:pStyle w:val="NormalWeb"/>
              <w:spacing w:before="0" w:beforeAutospacing="0" w:after="0" w:afterAutospacing="0"/>
              <w:rPr>
                <w:rFonts w:ascii="Arial Narrow" w:hAnsi="Arial Narrow" w:cs="Arial"/>
                <w:b/>
                <w:bCs/>
              </w:rPr>
            </w:pPr>
            <w:r>
              <w:rPr>
                <w:rFonts w:ascii="Arial Narrow" w:hAnsi="Arial Narrow" w:cs="Arial"/>
                <w:b/>
                <w:bCs/>
              </w:rPr>
              <w:t>65+</w:t>
            </w:r>
          </w:p>
        </w:tc>
        <w:tc>
          <w:tcPr>
            <w:tcW w:w="717" w:type="dxa"/>
            <w:gridSpan w:val="2"/>
            <w:tcBorders>
              <w:left w:val="single" w:sz="12" w:space="0" w:color="auto"/>
              <w:right w:val="single" w:sz="4" w:space="0" w:color="auto"/>
            </w:tcBorders>
            <w:vAlign w:val="center"/>
          </w:tcPr>
          <w:p w14:paraId="58E08F31" w14:textId="77777777" w:rsidR="00217980" w:rsidRPr="00EE4FAD" w:rsidRDefault="00217980" w:rsidP="00C90916">
            <w:pPr>
              <w:pStyle w:val="NormalWeb"/>
              <w:spacing w:before="0" w:beforeAutospacing="0" w:after="0" w:afterAutospacing="0"/>
              <w:ind w:left="-196" w:right="-197"/>
              <w:jc w:val="center"/>
              <w:rPr>
                <w:rFonts w:ascii="Arial Narrow" w:hAnsi="Arial Narrow" w:cs="Arial"/>
              </w:rPr>
            </w:pPr>
            <w:r w:rsidRPr="00EE4FAD">
              <w:rPr>
                <w:rFonts w:ascii="Arial Narrow" w:hAnsi="Arial Narrow" w:cs="Arial"/>
              </w:rPr>
              <w:t>1,599</w:t>
            </w:r>
          </w:p>
        </w:tc>
        <w:tc>
          <w:tcPr>
            <w:tcW w:w="717" w:type="dxa"/>
            <w:gridSpan w:val="2"/>
            <w:tcBorders>
              <w:left w:val="single" w:sz="4" w:space="0" w:color="auto"/>
            </w:tcBorders>
            <w:shd w:val="clear" w:color="auto" w:fill="auto"/>
            <w:vAlign w:val="center"/>
          </w:tcPr>
          <w:p w14:paraId="39E23AD2" w14:textId="77777777" w:rsidR="00217980" w:rsidRPr="00EE4FAD" w:rsidRDefault="00217980" w:rsidP="007C2EAE">
            <w:pPr>
              <w:pStyle w:val="NormalWeb"/>
              <w:spacing w:before="0" w:beforeAutospacing="0" w:after="0" w:afterAutospacing="0"/>
              <w:jc w:val="center"/>
              <w:rPr>
                <w:rFonts w:ascii="Arial Narrow" w:hAnsi="Arial Narrow" w:cs="Arial"/>
              </w:rPr>
            </w:pPr>
            <w:r w:rsidRPr="00EE4FAD">
              <w:rPr>
                <w:rFonts w:ascii="Arial Narrow" w:hAnsi="Arial Narrow" w:cs="Arial"/>
              </w:rPr>
              <w:t>1,392</w:t>
            </w:r>
          </w:p>
        </w:tc>
        <w:tc>
          <w:tcPr>
            <w:tcW w:w="718" w:type="dxa"/>
            <w:gridSpan w:val="2"/>
            <w:tcBorders>
              <w:right w:val="single" w:sz="4" w:space="0" w:color="auto"/>
            </w:tcBorders>
            <w:vAlign w:val="center"/>
          </w:tcPr>
          <w:p w14:paraId="533EB0E3" w14:textId="77777777" w:rsidR="00217980" w:rsidRPr="00EE4FAD" w:rsidRDefault="00217980" w:rsidP="007C2EAE">
            <w:pPr>
              <w:pStyle w:val="NormalWeb"/>
              <w:spacing w:before="0" w:beforeAutospacing="0" w:after="0" w:afterAutospacing="0"/>
              <w:jc w:val="center"/>
              <w:rPr>
                <w:rFonts w:ascii="Arial Narrow" w:hAnsi="Arial Narrow" w:cs="Arial"/>
              </w:rPr>
            </w:pPr>
            <w:r w:rsidRPr="00EE4FAD">
              <w:rPr>
                <w:rFonts w:ascii="Arial Narrow" w:hAnsi="Arial Narrow" w:cs="Arial"/>
              </w:rPr>
              <w:t>1,556</w:t>
            </w:r>
          </w:p>
        </w:tc>
        <w:tc>
          <w:tcPr>
            <w:tcW w:w="717" w:type="dxa"/>
            <w:gridSpan w:val="2"/>
            <w:tcBorders>
              <w:left w:val="single" w:sz="4" w:space="0" w:color="auto"/>
              <w:right w:val="single" w:sz="12" w:space="0" w:color="auto"/>
            </w:tcBorders>
            <w:vAlign w:val="center"/>
          </w:tcPr>
          <w:p w14:paraId="36F752F8" w14:textId="6B32F3DC" w:rsidR="00217980" w:rsidRPr="00EE4FAD" w:rsidRDefault="00803E51" w:rsidP="007C2EAE">
            <w:pPr>
              <w:pStyle w:val="NormalWeb"/>
              <w:spacing w:before="0" w:beforeAutospacing="0" w:after="0" w:afterAutospacing="0"/>
              <w:jc w:val="center"/>
              <w:rPr>
                <w:rFonts w:ascii="Arial Narrow" w:hAnsi="Arial Narrow" w:cs="Arial"/>
              </w:rPr>
            </w:pPr>
            <w:r>
              <w:rPr>
                <w:rFonts w:ascii="Arial Narrow" w:hAnsi="Arial Narrow" w:cs="Arial"/>
              </w:rPr>
              <w:t>1,202</w:t>
            </w:r>
          </w:p>
        </w:tc>
        <w:tc>
          <w:tcPr>
            <w:tcW w:w="719" w:type="dxa"/>
            <w:gridSpan w:val="2"/>
            <w:tcBorders>
              <w:left w:val="single" w:sz="12" w:space="0" w:color="auto"/>
              <w:right w:val="single" w:sz="4" w:space="0" w:color="auto"/>
            </w:tcBorders>
            <w:shd w:val="clear" w:color="auto" w:fill="auto"/>
            <w:vAlign w:val="center"/>
          </w:tcPr>
          <w:p w14:paraId="4936D547" w14:textId="77777777" w:rsidR="00217980" w:rsidRPr="00B95D0D" w:rsidRDefault="00217980" w:rsidP="007C2EAE">
            <w:pPr>
              <w:pStyle w:val="NormalWeb"/>
              <w:spacing w:before="0" w:beforeAutospacing="0" w:after="0" w:afterAutospacing="0"/>
              <w:jc w:val="center"/>
              <w:rPr>
                <w:rFonts w:ascii="Arial Narrow" w:hAnsi="Arial Narrow" w:cs="Arial"/>
              </w:rPr>
            </w:pPr>
            <w:r>
              <w:rPr>
                <w:rFonts w:ascii="Arial Narrow" w:hAnsi="Arial Narrow" w:cs="Arial"/>
              </w:rPr>
              <w:t>10.44</w:t>
            </w:r>
          </w:p>
        </w:tc>
        <w:tc>
          <w:tcPr>
            <w:tcW w:w="720" w:type="dxa"/>
            <w:gridSpan w:val="2"/>
            <w:tcBorders>
              <w:left w:val="single" w:sz="4" w:space="0" w:color="auto"/>
              <w:right w:val="single" w:sz="4" w:space="0" w:color="auto"/>
            </w:tcBorders>
            <w:shd w:val="clear" w:color="auto" w:fill="auto"/>
            <w:vAlign w:val="center"/>
          </w:tcPr>
          <w:p w14:paraId="57A0CED2" w14:textId="77777777" w:rsidR="00217980" w:rsidRPr="00B95D0D" w:rsidRDefault="00217980" w:rsidP="007C2EAE">
            <w:pPr>
              <w:pStyle w:val="NormalWeb"/>
              <w:spacing w:before="0" w:beforeAutospacing="0" w:after="0" w:afterAutospacing="0"/>
              <w:jc w:val="center"/>
              <w:rPr>
                <w:rFonts w:ascii="Arial Narrow" w:hAnsi="Arial Narrow" w:cs="Arial"/>
              </w:rPr>
            </w:pPr>
            <w:r>
              <w:rPr>
                <w:rFonts w:ascii="Arial Narrow" w:hAnsi="Arial Narrow" w:cs="Arial"/>
              </w:rPr>
              <w:t>11.85</w:t>
            </w:r>
          </w:p>
        </w:tc>
        <w:tc>
          <w:tcPr>
            <w:tcW w:w="719" w:type="dxa"/>
            <w:gridSpan w:val="2"/>
            <w:tcBorders>
              <w:left w:val="single" w:sz="4" w:space="0" w:color="auto"/>
              <w:right w:val="single" w:sz="4" w:space="0" w:color="auto"/>
            </w:tcBorders>
            <w:shd w:val="clear" w:color="auto" w:fill="auto"/>
            <w:vAlign w:val="center"/>
          </w:tcPr>
          <w:p w14:paraId="3889DB0E" w14:textId="77777777" w:rsidR="00217980" w:rsidRPr="00B95D0D" w:rsidRDefault="00217980" w:rsidP="007C2EAE">
            <w:pPr>
              <w:pStyle w:val="NormalWeb"/>
              <w:spacing w:before="0" w:beforeAutospacing="0" w:after="0" w:afterAutospacing="0"/>
              <w:jc w:val="center"/>
              <w:rPr>
                <w:rFonts w:ascii="Arial Narrow" w:hAnsi="Arial Narrow" w:cs="Arial"/>
              </w:rPr>
            </w:pPr>
            <w:r>
              <w:rPr>
                <w:rFonts w:ascii="Arial Narrow" w:hAnsi="Arial Narrow" w:cs="Arial"/>
              </w:rPr>
              <w:t>12.60</w:t>
            </w:r>
          </w:p>
        </w:tc>
        <w:tc>
          <w:tcPr>
            <w:tcW w:w="729" w:type="dxa"/>
            <w:gridSpan w:val="2"/>
            <w:tcBorders>
              <w:left w:val="single" w:sz="4" w:space="0" w:color="auto"/>
              <w:right w:val="single" w:sz="12" w:space="0" w:color="auto"/>
            </w:tcBorders>
            <w:shd w:val="clear" w:color="auto" w:fill="auto"/>
            <w:vAlign w:val="center"/>
          </w:tcPr>
          <w:p w14:paraId="4F2B39D0" w14:textId="760496E0" w:rsidR="00217980" w:rsidRPr="00B95D0D" w:rsidRDefault="00F605ED" w:rsidP="007C2EAE">
            <w:pPr>
              <w:pStyle w:val="NormalWeb"/>
              <w:spacing w:before="0" w:beforeAutospacing="0" w:after="0" w:afterAutospacing="0"/>
              <w:jc w:val="center"/>
              <w:rPr>
                <w:rFonts w:ascii="Arial Narrow" w:hAnsi="Arial Narrow" w:cs="Arial"/>
              </w:rPr>
            </w:pPr>
            <w:r>
              <w:rPr>
                <w:rFonts w:ascii="Arial Narrow" w:hAnsi="Arial Narrow" w:cs="Arial"/>
              </w:rPr>
              <w:t>14.14</w:t>
            </w:r>
          </w:p>
        </w:tc>
        <w:tc>
          <w:tcPr>
            <w:tcW w:w="719" w:type="dxa"/>
            <w:tcBorders>
              <w:left w:val="single" w:sz="12" w:space="0" w:color="auto"/>
              <w:right w:val="single" w:sz="4" w:space="0" w:color="auto"/>
            </w:tcBorders>
            <w:vAlign w:val="center"/>
          </w:tcPr>
          <w:p w14:paraId="4855AD24" w14:textId="77777777" w:rsidR="00217980" w:rsidRPr="00B95D0D" w:rsidRDefault="00217980" w:rsidP="007C2EAE">
            <w:pPr>
              <w:pStyle w:val="NormalWeb"/>
              <w:spacing w:before="0" w:beforeAutospacing="0" w:after="0" w:afterAutospacing="0"/>
              <w:jc w:val="center"/>
              <w:rPr>
                <w:rFonts w:ascii="Arial Narrow" w:hAnsi="Arial Narrow" w:cs="Arial"/>
              </w:rPr>
            </w:pPr>
            <w:r>
              <w:rPr>
                <w:rFonts w:ascii="Arial Narrow" w:hAnsi="Arial Narrow" w:cs="Arial"/>
              </w:rPr>
              <w:t>3.14</w:t>
            </w:r>
          </w:p>
        </w:tc>
        <w:tc>
          <w:tcPr>
            <w:tcW w:w="719" w:type="dxa"/>
            <w:tcBorders>
              <w:left w:val="single" w:sz="4" w:space="0" w:color="auto"/>
            </w:tcBorders>
            <w:shd w:val="clear" w:color="auto" w:fill="auto"/>
            <w:vAlign w:val="center"/>
          </w:tcPr>
          <w:p w14:paraId="19E009FC" w14:textId="77777777" w:rsidR="00217980" w:rsidRPr="00B95D0D" w:rsidRDefault="00217980" w:rsidP="007C2EAE">
            <w:pPr>
              <w:pStyle w:val="NormalWeb"/>
              <w:spacing w:before="0" w:beforeAutospacing="0" w:after="0" w:afterAutospacing="0"/>
              <w:jc w:val="center"/>
              <w:rPr>
                <w:rFonts w:ascii="Arial Narrow" w:hAnsi="Arial Narrow" w:cs="Arial"/>
              </w:rPr>
            </w:pPr>
            <w:r>
              <w:rPr>
                <w:rFonts w:ascii="Arial Narrow" w:hAnsi="Arial Narrow" w:cs="Arial"/>
              </w:rPr>
              <w:t>3.37</w:t>
            </w:r>
          </w:p>
        </w:tc>
        <w:tc>
          <w:tcPr>
            <w:tcW w:w="719" w:type="dxa"/>
            <w:tcBorders>
              <w:right w:val="single" w:sz="4" w:space="0" w:color="auto"/>
            </w:tcBorders>
            <w:shd w:val="clear" w:color="auto" w:fill="auto"/>
            <w:vAlign w:val="center"/>
          </w:tcPr>
          <w:p w14:paraId="1AB7DE00" w14:textId="77777777" w:rsidR="00217980" w:rsidRPr="00B95D0D" w:rsidRDefault="00217980" w:rsidP="007C2EAE">
            <w:pPr>
              <w:pStyle w:val="NormalWeb"/>
              <w:spacing w:before="0" w:beforeAutospacing="0" w:after="0" w:afterAutospacing="0"/>
              <w:jc w:val="center"/>
              <w:rPr>
                <w:rFonts w:ascii="Arial Narrow" w:hAnsi="Arial Narrow" w:cs="Arial"/>
              </w:rPr>
            </w:pPr>
            <w:r>
              <w:rPr>
                <w:rFonts w:ascii="Arial Narrow" w:hAnsi="Arial Narrow" w:cs="Arial"/>
              </w:rPr>
              <w:t>3.46</w:t>
            </w:r>
          </w:p>
        </w:tc>
        <w:tc>
          <w:tcPr>
            <w:tcW w:w="720" w:type="dxa"/>
            <w:tcBorders>
              <w:left w:val="single" w:sz="4" w:space="0" w:color="auto"/>
              <w:right w:val="single" w:sz="12" w:space="0" w:color="auto"/>
            </w:tcBorders>
            <w:shd w:val="clear" w:color="auto" w:fill="auto"/>
            <w:vAlign w:val="center"/>
          </w:tcPr>
          <w:p w14:paraId="42EBBC19" w14:textId="372224C2" w:rsidR="00217980" w:rsidRPr="00B95D0D" w:rsidRDefault="00AC41EB" w:rsidP="007C2EAE">
            <w:pPr>
              <w:pStyle w:val="NormalWeb"/>
              <w:spacing w:before="0" w:beforeAutospacing="0" w:after="0" w:afterAutospacing="0"/>
              <w:jc w:val="center"/>
              <w:rPr>
                <w:rFonts w:ascii="Arial Narrow" w:hAnsi="Arial Narrow" w:cs="Arial"/>
              </w:rPr>
            </w:pPr>
            <w:r>
              <w:rPr>
                <w:rFonts w:ascii="Arial Narrow" w:hAnsi="Arial Narrow" w:cs="Arial"/>
              </w:rPr>
              <w:t>3.22</w:t>
            </w:r>
          </w:p>
        </w:tc>
      </w:tr>
      <w:tr w:rsidR="00217980" w14:paraId="57F09862" w14:textId="77777777" w:rsidTr="00F804EC">
        <w:trPr>
          <w:cantSplit/>
          <w:jc w:val="center"/>
        </w:trPr>
        <w:tc>
          <w:tcPr>
            <w:tcW w:w="701" w:type="dxa"/>
            <w:tcBorders>
              <w:left w:val="single" w:sz="12" w:space="0" w:color="auto"/>
              <w:bottom w:val="single" w:sz="12" w:space="0" w:color="auto"/>
              <w:right w:val="single" w:sz="12" w:space="0" w:color="auto"/>
            </w:tcBorders>
            <w:vAlign w:val="center"/>
          </w:tcPr>
          <w:p w14:paraId="3F7C057A" w14:textId="77777777" w:rsidR="00217980" w:rsidRDefault="00217980" w:rsidP="00542F75">
            <w:pPr>
              <w:pStyle w:val="NormalWeb"/>
              <w:spacing w:before="0" w:beforeAutospacing="0" w:after="0" w:afterAutospacing="0"/>
              <w:rPr>
                <w:rFonts w:ascii="Arial Narrow" w:hAnsi="Arial Narrow" w:cs="Arial"/>
                <w:b/>
                <w:bCs/>
              </w:rPr>
            </w:pPr>
            <w:r>
              <w:rPr>
                <w:rFonts w:ascii="Arial Narrow" w:hAnsi="Arial Narrow" w:cs="Arial"/>
                <w:b/>
                <w:bCs/>
              </w:rPr>
              <w:t>Total</w:t>
            </w:r>
          </w:p>
        </w:tc>
        <w:tc>
          <w:tcPr>
            <w:tcW w:w="717" w:type="dxa"/>
            <w:gridSpan w:val="2"/>
            <w:tcBorders>
              <w:left w:val="single" w:sz="12" w:space="0" w:color="auto"/>
              <w:bottom w:val="single" w:sz="12" w:space="0" w:color="auto"/>
              <w:right w:val="single" w:sz="4" w:space="0" w:color="auto"/>
            </w:tcBorders>
            <w:vAlign w:val="center"/>
          </w:tcPr>
          <w:p w14:paraId="13EAE7EC" w14:textId="77777777" w:rsidR="00217980" w:rsidRPr="00645156" w:rsidRDefault="00217980" w:rsidP="00C90916">
            <w:pPr>
              <w:pStyle w:val="NormalWeb"/>
              <w:spacing w:before="0" w:beforeAutospacing="0" w:after="0" w:afterAutospacing="0"/>
              <w:ind w:left="-196" w:right="-197"/>
              <w:jc w:val="center"/>
              <w:rPr>
                <w:rFonts w:ascii="Arial Narrow" w:hAnsi="Arial Narrow" w:cs="Arial"/>
                <w:b/>
                <w:bCs/>
              </w:rPr>
            </w:pPr>
            <w:r>
              <w:rPr>
                <w:rFonts w:ascii="Arial Narrow" w:hAnsi="Arial Narrow" w:cs="Arial"/>
                <w:b/>
                <w:bCs/>
              </w:rPr>
              <w:t>4,118</w:t>
            </w:r>
          </w:p>
        </w:tc>
        <w:tc>
          <w:tcPr>
            <w:tcW w:w="717" w:type="dxa"/>
            <w:gridSpan w:val="2"/>
            <w:tcBorders>
              <w:left w:val="single" w:sz="4" w:space="0" w:color="auto"/>
              <w:bottom w:val="single" w:sz="12" w:space="0" w:color="auto"/>
            </w:tcBorders>
            <w:shd w:val="clear" w:color="auto" w:fill="auto"/>
            <w:vAlign w:val="center"/>
          </w:tcPr>
          <w:p w14:paraId="35D010F7" w14:textId="77777777" w:rsidR="00217980" w:rsidRPr="00645156" w:rsidRDefault="00217980" w:rsidP="007C2EAE">
            <w:pPr>
              <w:pStyle w:val="NormalWeb"/>
              <w:spacing w:before="0" w:beforeAutospacing="0" w:after="0" w:afterAutospacing="0"/>
              <w:jc w:val="center"/>
              <w:rPr>
                <w:rFonts w:ascii="Arial Narrow" w:hAnsi="Arial Narrow" w:cs="Arial"/>
                <w:b/>
                <w:bCs/>
              </w:rPr>
            </w:pPr>
            <w:r>
              <w:rPr>
                <w:rFonts w:ascii="Arial Narrow" w:hAnsi="Arial Narrow" w:cs="Arial"/>
                <w:b/>
                <w:bCs/>
              </w:rPr>
              <w:t>3,757</w:t>
            </w:r>
          </w:p>
        </w:tc>
        <w:tc>
          <w:tcPr>
            <w:tcW w:w="718" w:type="dxa"/>
            <w:gridSpan w:val="2"/>
            <w:tcBorders>
              <w:bottom w:val="single" w:sz="12" w:space="0" w:color="auto"/>
              <w:right w:val="single" w:sz="4" w:space="0" w:color="auto"/>
            </w:tcBorders>
            <w:vAlign w:val="center"/>
          </w:tcPr>
          <w:p w14:paraId="069D118D" w14:textId="77777777" w:rsidR="00217980" w:rsidRPr="00645156" w:rsidRDefault="00217980" w:rsidP="007C2EAE">
            <w:pPr>
              <w:pStyle w:val="NormalWeb"/>
              <w:spacing w:before="0" w:beforeAutospacing="0" w:after="0" w:afterAutospacing="0"/>
              <w:jc w:val="center"/>
              <w:rPr>
                <w:rFonts w:ascii="Arial Narrow" w:hAnsi="Arial Narrow" w:cs="Arial"/>
                <w:b/>
                <w:bCs/>
              </w:rPr>
            </w:pPr>
            <w:r>
              <w:rPr>
                <w:rFonts w:ascii="Arial Narrow" w:hAnsi="Arial Narrow" w:cs="Arial"/>
                <w:b/>
                <w:bCs/>
              </w:rPr>
              <w:t>3,959</w:t>
            </w:r>
          </w:p>
        </w:tc>
        <w:tc>
          <w:tcPr>
            <w:tcW w:w="717" w:type="dxa"/>
            <w:gridSpan w:val="2"/>
            <w:tcBorders>
              <w:left w:val="single" w:sz="4" w:space="0" w:color="auto"/>
              <w:bottom w:val="single" w:sz="12" w:space="0" w:color="auto"/>
              <w:right w:val="single" w:sz="12" w:space="0" w:color="auto"/>
            </w:tcBorders>
            <w:vAlign w:val="center"/>
          </w:tcPr>
          <w:p w14:paraId="0A27B178" w14:textId="2C44434C" w:rsidR="00217980" w:rsidRPr="00645156" w:rsidRDefault="00803E51" w:rsidP="007C2EAE">
            <w:pPr>
              <w:pStyle w:val="NormalWeb"/>
              <w:spacing w:before="0" w:beforeAutospacing="0" w:after="0" w:afterAutospacing="0"/>
              <w:jc w:val="center"/>
              <w:rPr>
                <w:rFonts w:ascii="Arial Narrow" w:hAnsi="Arial Narrow" w:cs="Arial"/>
                <w:b/>
                <w:bCs/>
              </w:rPr>
            </w:pPr>
            <w:r>
              <w:rPr>
                <w:rFonts w:ascii="Arial Narrow" w:hAnsi="Arial Narrow" w:cs="Arial"/>
                <w:b/>
                <w:bCs/>
              </w:rPr>
              <w:t>2,989</w:t>
            </w:r>
          </w:p>
        </w:tc>
        <w:tc>
          <w:tcPr>
            <w:tcW w:w="719" w:type="dxa"/>
            <w:gridSpan w:val="2"/>
            <w:tcBorders>
              <w:left w:val="single" w:sz="12" w:space="0" w:color="auto"/>
              <w:bottom w:val="single" w:sz="12" w:space="0" w:color="auto"/>
              <w:right w:val="single" w:sz="4" w:space="0" w:color="auto"/>
            </w:tcBorders>
            <w:shd w:val="clear" w:color="auto" w:fill="auto"/>
            <w:vAlign w:val="center"/>
          </w:tcPr>
          <w:p w14:paraId="2FD004FD" w14:textId="77777777" w:rsidR="00217980" w:rsidRPr="00645156" w:rsidRDefault="00217980" w:rsidP="007C2EAE">
            <w:pPr>
              <w:pStyle w:val="NormalWeb"/>
              <w:spacing w:before="0" w:beforeAutospacing="0" w:after="0" w:afterAutospacing="0"/>
              <w:jc w:val="center"/>
              <w:rPr>
                <w:rFonts w:ascii="Arial Narrow" w:hAnsi="Arial Narrow" w:cs="Arial"/>
                <w:b/>
                <w:bCs/>
              </w:rPr>
            </w:pPr>
            <w:r>
              <w:rPr>
                <w:rFonts w:ascii="Arial Narrow" w:hAnsi="Arial Narrow" w:cs="Arial"/>
                <w:b/>
                <w:bCs/>
              </w:rPr>
              <w:t>10.11</w:t>
            </w:r>
          </w:p>
        </w:tc>
        <w:tc>
          <w:tcPr>
            <w:tcW w:w="720" w:type="dxa"/>
            <w:gridSpan w:val="2"/>
            <w:tcBorders>
              <w:left w:val="single" w:sz="4" w:space="0" w:color="auto"/>
              <w:bottom w:val="single" w:sz="12" w:space="0" w:color="auto"/>
              <w:right w:val="single" w:sz="4" w:space="0" w:color="auto"/>
            </w:tcBorders>
            <w:shd w:val="clear" w:color="auto" w:fill="auto"/>
            <w:vAlign w:val="center"/>
          </w:tcPr>
          <w:p w14:paraId="5A5C20D2" w14:textId="77777777" w:rsidR="00217980" w:rsidRPr="00645156" w:rsidRDefault="00217980" w:rsidP="007C2EAE">
            <w:pPr>
              <w:pStyle w:val="NormalWeb"/>
              <w:spacing w:before="0" w:beforeAutospacing="0" w:after="0" w:afterAutospacing="0"/>
              <w:jc w:val="center"/>
              <w:rPr>
                <w:rFonts w:ascii="Arial Narrow" w:hAnsi="Arial Narrow" w:cs="Arial"/>
                <w:b/>
                <w:bCs/>
              </w:rPr>
            </w:pPr>
            <w:r>
              <w:rPr>
                <w:rFonts w:ascii="Arial Narrow" w:hAnsi="Arial Narrow" w:cs="Arial"/>
                <w:b/>
                <w:bCs/>
              </w:rPr>
              <w:t>11.31</w:t>
            </w:r>
          </w:p>
        </w:tc>
        <w:tc>
          <w:tcPr>
            <w:tcW w:w="719" w:type="dxa"/>
            <w:gridSpan w:val="2"/>
            <w:tcBorders>
              <w:left w:val="single" w:sz="4" w:space="0" w:color="auto"/>
              <w:bottom w:val="single" w:sz="12" w:space="0" w:color="auto"/>
              <w:right w:val="single" w:sz="4" w:space="0" w:color="auto"/>
            </w:tcBorders>
            <w:shd w:val="clear" w:color="auto" w:fill="auto"/>
            <w:vAlign w:val="center"/>
          </w:tcPr>
          <w:p w14:paraId="41B76223" w14:textId="77777777" w:rsidR="00217980" w:rsidRPr="00645156" w:rsidRDefault="00217980" w:rsidP="007C2EAE">
            <w:pPr>
              <w:pStyle w:val="NormalWeb"/>
              <w:spacing w:before="0" w:beforeAutospacing="0" w:after="0" w:afterAutospacing="0"/>
              <w:jc w:val="center"/>
              <w:rPr>
                <w:rFonts w:ascii="Arial Narrow" w:hAnsi="Arial Narrow" w:cs="Arial"/>
                <w:b/>
                <w:bCs/>
              </w:rPr>
            </w:pPr>
            <w:r>
              <w:rPr>
                <w:rFonts w:ascii="Arial Narrow" w:hAnsi="Arial Narrow" w:cs="Arial"/>
                <w:b/>
                <w:bCs/>
              </w:rPr>
              <w:t>12.26</w:t>
            </w:r>
          </w:p>
        </w:tc>
        <w:tc>
          <w:tcPr>
            <w:tcW w:w="729" w:type="dxa"/>
            <w:gridSpan w:val="2"/>
            <w:tcBorders>
              <w:left w:val="single" w:sz="4" w:space="0" w:color="auto"/>
              <w:bottom w:val="single" w:sz="12" w:space="0" w:color="auto"/>
              <w:right w:val="single" w:sz="12" w:space="0" w:color="auto"/>
            </w:tcBorders>
            <w:shd w:val="clear" w:color="auto" w:fill="auto"/>
            <w:vAlign w:val="center"/>
          </w:tcPr>
          <w:p w14:paraId="1B63FA00" w14:textId="62291B11" w:rsidR="00217980" w:rsidRPr="00645156" w:rsidRDefault="00F605ED" w:rsidP="007C2EAE">
            <w:pPr>
              <w:pStyle w:val="NormalWeb"/>
              <w:spacing w:before="0" w:beforeAutospacing="0" w:after="0" w:afterAutospacing="0"/>
              <w:jc w:val="center"/>
              <w:rPr>
                <w:rFonts w:ascii="Arial Narrow" w:hAnsi="Arial Narrow" w:cs="Arial"/>
                <w:b/>
                <w:bCs/>
              </w:rPr>
            </w:pPr>
            <w:r>
              <w:rPr>
                <w:rFonts w:ascii="Arial Narrow" w:hAnsi="Arial Narrow" w:cs="Arial"/>
                <w:b/>
                <w:bCs/>
              </w:rPr>
              <w:t>13.29</w:t>
            </w:r>
          </w:p>
        </w:tc>
        <w:tc>
          <w:tcPr>
            <w:tcW w:w="719" w:type="dxa"/>
            <w:tcBorders>
              <w:left w:val="single" w:sz="12" w:space="0" w:color="auto"/>
              <w:bottom w:val="single" w:sz="12" w:space="0" w:color="auto"/>
              <w:right w:val="single" w:sz="4" w:space="0" w:color="auto"/>
            </w:tcBorders>
            <w:vAlign w:val="center"/>
          </w:tcPr>
          <w:p w14:paraId="657A8014" w14:textId="77777777" w:rsidR="00217980" w:rsidRPr="00645156" w:rsidRDefault="00217980" w:rsidP="007C2EAE">
            <w:pPr>
              <w:pStyle w:val="NormalWeb"/>
              <w:spacing w:before="0" w:beforeAutospacing="0" w:after="0" w:afterAutospacing="0"/>
              <w:jc w:val="center"/>
              <w:rPr>
                <w:rFonts w:ascii="Arial Narrow" w:hAnsi="Arial Narrow" w:cs="Arial"/>
                <w:b/>
                <w:bCs/>
              </w:rPr>
            </w:pPr>
            <w:r>
              <w:rPr>
                <w:rFonts w:ascii="Arial Narrow" w:hAnsi="Arial Narrow" w:cs="Arial"/>
                <w:b/>
                <w:bCs/>
              </w:rPr>
              <w:t>2.98</w:t>
            </w:r>
          </w:p>
        </w:tc>
        <w:tc>
          <w:tcPr>
            <w:tcW w:w="719" w:type="dxa"/>
            <w:tcBorders>
              <w:left w:val="single" w:sz="4" w:space="0" w:color="auto"/>
              <w:bottom w:val="single" w:sz="12" w:space="0" w:color="auto"/>
            </w:tcBorders>
            <w:shd w:val="clear" w:color="auto" w:fill="auto"/>
            <w:vAlign w:val="center"/>
          </w:tcPr>
          <w:p w14:paraId="2790744E" w14:textId="77777777" w:rsidR="00217980" w:rsidRPr="00645156" w:rsidRDefault="00217980" w:rsidP="007C2EAE">
            <w:pPr>
              <w:pStyle w:val="NormalWeb"/>
              <w:spacing w:before="0" w:beforeAutospacing="0" w:after="0" w:afterAutospacing="0"/>
              <w:jc w:val="center"/>
              <w:rPr>
                <w:rFonts w:ascii="Arial Narrow" w:hAnsi="Arial Narrow" w:cs="Arial"/>
                <w:b/>
                <w:bCs/>
              </w:rPr>
            </w:pPr>
            <w:r>
              <w:rPr>
                <w:rFonts w:ascii="Arial Narrow" w:hAnsi="Arial Narrow" w:cs="Arial"/>
                <w:b/>
                <w:bCs/>
              </w:rPr>
              <w:t>3.15</w:t>
            </w:r>
          </w:p>
        </w:tc>
        <w:tc>
          <w:tcPr>
            <w:tcW w:w="719" w:type="dxa"/>
            <w:tcBorders>
              <w:bottom w:val="single" w:sz="12" w:space="0" w:color="auto"/>
              <w:right w:val="single" w:sz="4" w:space="0" w:color="auto"/>
            </w:tcBorders>
            <w:shd w:val="clear" w:color="auto" w:fill="auto"/>
            <w:vAlign w:val="center"/>
          </w:tcPr>
          <w:p w14:paraId="2FED04E1" w14:textId="77777777" w:rsidR="00217980" w:rsidRPr="00645156" w:rsidRDefault="00217980" w:rsidP="007C2EAE">
            <w:pPr>
              <w:pStyle w:val="NormalWeb"/>
              <w:spacing w:before="0" w:beforeAutospacing="0" w:after="0" w:afterAutospacing="0"/>
              <w:jc w:val="center"/>
              <w:rPr>
                <w:rFonts w:ascii="Arial Narrow" w:hAnsi="Arial Narrow" w:cs="Arial"/>
                <w:b/>
                <w:bCs/>
              </w:rPr>
            </w:pPr>
            <w:r>
              <w:rPr>
                <w:rFonts w:ascii="Arial Narrow" w:hAnsi="Arial Narrow" w:cs="Arial"/>
                <w:b/>
                <w:bCs/>
              </w:rPr>
              <w:t>3.29</w:t>
            </w:r>
          </w:p>
        </w:tc>
        <w:tc>
          <w:tcPr>
            <w:tcW w:w="720" w:type="dxa"/>
            <w:tcBorders>
              <w:left w:val="single" w:sz="4" w:space="0" w:color="auto"/>
              <w:bottom w:val="single" w:sz="12" w:space="0" w:color="auto"/>
              <w:right w:val="single" w:sz="12" w:space="0" w:color="auto"/>
            </w:tcBorders>
            <w:shd w:val="clear" w:color="auto" w:fill="auto"/>
            <w:vAlign w:val="center"/>
          </w:tcPr>
          <w:p w14:paraId="6BCAA388" w14:textId="00671A6F" w:rsidR="00217980" w:rsidRPr="00645156" w:rsidRDefault="00AC41EB" w:rsidP="007C2EAE">
            <w:pPr>
              <w:pStyle w:val="NormalWeb"/>
              <w:spacing w:before="0" w:beforeAutospacing="0" w:after="0" w:afterAutospacing="0"/>
              <w:jc w:val="center"/>
              <w:rPr>
                <w:rFonts w:ascii="Arial Narrow" w:hAnsi="Arial Narrow" w:cs="Arial"/>
                <w:b/>
                <w:bCs/>
              </w:rPr>
            </w:pPr>
            <w:r>
              <w:rPr>
                <w:rFonts w:ascii="Arial Narrow" w:hAnsi="Arial Narrow" w:cs="Arial"/>
                <w:b/>
                <w:bCs/>
              </w:rPr>
              <w:t>3.14</w:t>
            </w:r>
          </w:p>
        </w:tc>
      </w:tr>
    </w:tbl>
    <w:p w14:paraId="78DB2C38" w14:textId="518AFB5B" w:rsidR="00CE4B68" w:rsidRDefault="00CE4B68" w:rsidP="00740748">
      <w:pPr>
        <w:spacing w:after="120" w:line="259" w:lineRule="auto"/>
        <w:rPr>
          <w:rFonts w:ascii="Arial" w:hAnsi="Arial" w:cs="Arial"/>
          <w:sz w:val="22"/>
          <w:szCs w:val="22"/>
        </w:rPr>
      </w:pPr>
    </w:p>
    <w:p w14:paraId="5BD9C1ED" w14:textId="5BEC9611" w:rsidR="002C25AF" w:rsidRDefault="002C25AF" w:rsidP="00740748">
      <w:pPr>
        <w:spacing w:after="120" w:line="259" w:lineRule="auto"/>
        <w:rPr>
          <w:rFonts w:ascii="Arial" w:hAnsi="Arial" w:cs="Arial"/>
          <w:sz w:val="22"/>
          <w:szCs w:val="22"/>
        </w:rPr>
      </w:pPr>
      <w:r w:rsidRPr="002C25AF">
        <w:rPr>
          <w:rFonts w:ascii="Arial Narrow" w:hAnsi="Arial Narrow" w:cs="Arial"/>
          <w:b/>
          <w:bCs/>
          <w:color w:val="FFFFFF"/>
          <w:shd w:val="clear" w:color="auto" w:fill="0070C0"/>
        </w:rPr>
        <w:t>Table 14 REVISED: BMC ED Metrics (Adult Only)</w:t>
      </w:r>
    </w:p>
    <w:tbl>
      <w:tblPr>
        <w:tblStyle w:val="TableGrid"/>
        <w:tblW w:w="0" w:type="auto"/>
        <w:jc w:val="center"/>
        <w:tblLook w:val="04A0" w:firstRow="1" w:lastRow="0" w:firstColumn="1" w:lastColumn="0" w:noHBand="0" w:noVBand="1"/>
      </w:tblPr>
      <w:tblGrid>
        <w:gridCol w:w="2477"/>
        <w:gridCol w:w="1715"/>
        <w:gridCol w:w="1716"/>
        <w:gridCol w:w="1716"/>
        <w:gridCol w:w="1706"/>
      </w:tblGrid>
      <w:tr w:rsidR="00CD7542" w14:paraId="458E56CF" w14:textId="6A50E955" w:rsidTr="002C25AF">
        <w:trPr>
          <w:cantSplit/>
          <w:tblHeader/>
          <w:jc w:val="center"/>
        </w:trPr>
        <w:tc>
          <w:tcPr>
            <w:tcW w:w="2477" w:type="dxa"/>
            <w:tcBorders>
              <w:left w:val="single" w:sz="12" w:space="0" w:color="auto"/>
              <w:right w:val="single" w:sz="4" w:space="0" w:color="auto"/>
            </w:tcBorders>
            <w:shd w:val="clear" w:color="auto" w:fill="8DA9DB"/>
          </w:tcPr>
          <w:p w14:paraId="6A9630AD" w14:textId="77777777" w:rsidR="00CD7542" w:rsidRPr="00F80B42" w:rsidRDefault="00CD7542" w:rsidP="00F23A9F">
            <w:pPr>
              <w:pStyle w:val="NormalWeb"/>
              <w:spacing w:before="0" w:beforeAutospacing="0" w:after="0" w:afterAutospacing="0"/>
              <w:jc w:val="both"/>
              <w:rPr>
                <w:rFonts w:ascii="Arial Narrow" w:hAnsi="Arial Narrow" w:cs="Arial"/>
                <w:b/>
                <w:bCs/>
              </w:rPr>
            </w:pPr>
          </w:p>
        </w:tc>
        <w:tc>
          <w:tcPr>
            <w:tcW w:w="1715" w:type="dxa"/>
            <w:tcBorders>
              <w:left w:val="single" w:sz="4" w:space="0" w:color="auto"/>
            </w:tcBorders>
            <w:shd w:val="clear" w:color="auto" w:fill="8DA9DB"/>
            <w:vAlign w:val="center"/>
          </w:tcPr>
          <w:p w14:paraId="1ED64620" w14:textId="77777777" w:rsidR="00CD7542" w:rsidRPr="00F80B42" w:rsidRDefault="00CD7542" w:rsidP="00F23A9F">
            <w:pPr>
              <w:pStyle w:val="NormalWeb"/>
              <w:spacing w:before="0" w:beforeAutospacing="0" w:after="0" w:afterAutospacing="0"/>
              <w:jc w:val="center"/>
              <w:rPr>
                <w:rFonts w:ascii="Arial Narrow" w:hAnsi="Arial Narrow" w:cs="Arial"/>
                <w:b/>
                <w:bCs/>
              </w:rPr>
            </w:pPr>
            <w:r>
              <w:rPr>
                <w:rFonts w:ascii="Arial Narrow" w:hAnsi="Arial Narrow" w:cs="Arial"/>
                <w:b/>
                <w:bCs/>
              </w:rPr>
              <w:t>FY19</w:t>
            </w:r>
          </w:p>
        </w:tc>
        <w:tc>
          <w:tcPr>
            <w:tcW w:w="1716" w:type="dxa"/>
            <w:tcBorders>
              <w:right w:val="single" w:sz="4" w:space="0" w:color="auto"/>
            </w:tcBorders>
            <w:shd w:val="clear" w:color="auto" w:fill="8DA9DB"/>
            <w:vAlign w:val="center"/>
          </w:tcPr>
          <w:p w14:paraId="1D4CF4F8" w14:textId="77777777" w:rsidR="00CD7542" w:rsidRPr="00F80B42" w:rsidRDefault="00CD7542" w:rsidP="00F23A9F">
            <w:pPr>
              <w:pStyle w:val="NormalWeb"/>
              <w:spacing w:before="0" w:beforeAutospacing="0" w:after="0" w:afterAutospacing="0"/>
              <w:jc w:val="center"/>
              <w:rPr>
                <w:rFonts w:ascii="Arial Narrow" w:hAnsi="Arial Narrow" w:cs="Arial"/>
                <w:b/>
                <w:bCs/>
              </w:rPr>
            </w:pPr>
            <w:r>
              <w:rPr>
                <w:rFonts w:ascii="Arial Narrow" w:hAnsi="Arial Narrow" w:cs="Arial"/>
                <w:b/>
                <w:bCs/>
              </w:rPr>
              <w:t>FY20</w:t>
            </w:r>
          </w:p>
        </w:tc>
        <w:tc>
          <w:tcPr>
            <w:tcW w:w="1716" w:type="dxa"/>
            <w:tcBorders>
              <w:left w:val="single" w:sz="4" w:space="0" w:color="auto"/>
              <w:right w:val="single" w:sz="4" w:space="0" w:color="auto"/>
            </w:tcBorders>
            <w:shd w:val="clear" w:color="auto" w:fill="8DA9DB"/>
            <w:vAlign w:val="center"/>
          </w:tcPr>
          <w:p w14:paraId="2C5EA28A" w14:textId="77777777" w:rsidR="00CD7542" w:rsidRPr="00F80B42" w:rsidRDefault="00CD7542" w:rsidP="00F23A9F">
            <w:pPr>
              <w:pStyle w:val="NormalWeb"/>
              <w:spacing w:before="0" w:beforeAutospacing="0" w:after="0" w:afterAutospacing="0"/>
              <w:jc w:val="center"/>
              <w:rPr>
                <w:rFonts w:ascii="Arial Narrow" w:hAnsi="Arial Narrow" w:cs="Arial"/>
                <w:b/>
                <w:bCs/>
              </w:rPr>
            </w:pPr>
            <w:r>
              <w:rPr>
                <w:rFonts w:ascii="Arial Narrow" w:hAnsi="Arial Narrow" w:cs="Arial"/>
                <w:b/>
                <w:bCs/>
              </w:rPr>
              <w:t>FY21</w:t>
            </w:r>
          </w:p>
        </w:tc>
        <w:tc>
          <w:tcPr>
            <w:tcW w:w="1706" w:type="dxa"/>
            <w:tcBorders>
              <w:left w:val="single" w:sz="4" w:space="0" w:color="auto"/>
              <w:right w:val="single" w:sz="12" w:space="0" w:color="auto"/>
            </w:tcBorders>
            <w:shd w:val="clear" w:color="auto" w:fill="8DA9DB"/>
          </w:tcPr>
          <w:p w14:paraId="3D145C76" w14:textId="47E170F9" w:rsidR="00CD7542" w:rsidRDefault="00CD7542" w:rsidP="00F23A9F">
            <w:pPr>
              <w:pStyle w:val="NormalWeb"/>
              <w:spacing w:before="0" w:beforeAutospacing="0" w:after="0" w:afterAutospacing="0"/>
              <w:jc w:val="center"/>
              <w:rPr>
                <w:rFonts w:ascii="Arial Narrow" w:hAnsi="Arial Narrow" w:cs="Arial"/>
                <w:b/>
                <w:bCs/>
              </w:rPr>
            </w:pPr>
            <w:r>
              <w:rPr>
                <w:rFonts w:ascii="Arial Narrow" w:hAnsi="Arial Narrow" w:cs="Arial"/>
                <w:b/>
                <w:bCs/>
              </w:rPr>
              <w:t>FY22 YTD</w:t>
            </w:r>
          </w:p>
        </w:tc>
      </w:tr>
      <w:tr w:rsidR="00CD7542" w14:paraId="00905FC2" w14:textId="50270ECD" w:rsidTr="002C25AF">
        <w:trPr>
          <w:cantSplit/>
          <w:jc w:val="center"/>
        </w:trPr>
        <w:tc>
          <w:tcPr>
            <w:tcW w:w="2477" w:type="dxa"/>
            <w:tcBorders>
              <w:left w:val="single" w:sz="12" w:space="0" w:color="auto"/>
              <w:right w:val="single" w:sz="4" w:space="0" w:color="auto"/>
            </w:tcBorders>
            <w:vAlign w:val="center"/>
          </w:tcPr>
          <w:p w14:paraId="00A51267" w14:textId="77777777" w:rsidR="00CD7542" w:rsidRDefault="00CD7542" w:rsidP="00F23A9F">
            <w:pPr>
              <w:pStyle w:val="NormalWeb"/>
              <w:spacing w:before="0" w:beforeAutospacing="0" w:after="0" w:afterAutospacing="0"/>
              <w:rPr>
                <w:rFonts w:ascii="Arial Narrow" w:hAnsi="Arial Narrow" w:cs="Arial"/>
                <w:b/>
                <w:bCs/>
              </w:rPr>
            </w:pPr>
            <w:r>
              <w:rPr>
                <w:rFonts w:ascii="Arial Narrow" w:hAnsi="Arial Narrow" w:cs="Arial"/>
                <w:b/>
                <w:bCs/>
              </w:rPr>
              <w:t>Total Visits</w:t>
            </w:r>
          </w:p>
        </w:tc>
        <w:tc>
          <w:tcPr>
            <w:tcW w:w="1715" w:type="dxa"/>
            <w:tcBorders>
              <w:left w:val="single" w:sz="4" w:space="0" w:color="auto"/>
            </w:tcBorders>
            <w:shd w:val="clear" w:color="auto" w:fill="auto"/>
            <w:vAlign w:val="center"/>
          </w:tcPr>
          <w:p w14:paraId="57BFACAB" w14:textId="77777777" w:rsidR="00CD7542" w:rsidRPr="00F80B42" w:rsidRDefault="00CD7542" w:rsidP="00F23A9F">
            <w:pPr>
              <w:pStyle w:val="NormalWeb"/>
              <w:spacing w:before="0" w:beforeAutospacing="0" w:after="0" w:afterAutospacing="0"/>
              <w:jc w:val="center"/>
              <w:rPr>
                <w:rFonts w:ascii="Arial Narrow" w:hAnsi="Arial Narrow" w:cs="Arial"/>
              </w:rPr>
            </w:pPr>
            <w:r>
              <w:rPr>
                <w:rFonts w:ascii="Arial Narrow" w:hAnsi="Arial Narrow" w:cs="Arial"/>
              </w:rPr>
              <w:t>87,542</w:t>
            </w:r>
          </w:p>
        </w:tc>
        <w:tc>
          <w:tcPr>
            <w:tcW w:w="1716" w:type="dxa"/>
            <w:tcBorders>
              <w:right w:val="single" w:sz="4" w:space="0" w:color="auto"/>
            </w:tcBorders>
            <w:shd w:val="clear" w:color="auto" w:fill="auto"/>
            <w:vAlign w:val="center"/>
          </w:tcPr>
          <w:p w14:paraId="6F4FFF40" w14:textId="77777777" w:rsidR="00CD7542" w:rsidRPr="00F80B42" w:rsidRDefault="00CD7542" w:rsidP="00F23A9F">
            <w:pPr>
              <w:pStyle w:val="NormalWeb"/>
              <w:spacing w:before="0" w:beforeAutospacing="0" w:after="0" w:afterAutospacing="0"/>
              <w:jc w:val="center"/>
              <w:rPr>
                <w:rFonts w:ascii="Arial Narrow" w:hAnsi="Arial Narrow" w:cs="Arial"/>
              </w:rPr>
            </w:pPr>
            <w:r>
              <w:rPr>
                <w:rFonts w:ascii="Arial Narrow" w:hAnsi="Arial Narrow" w:cs="Arial"/>
              </w:rPr>
              <w:t>83,159</w:t>
            </w:r>
          </w:p>
        </w:tc>
        <w:tc>
          <w:tcPr>
            <w:tcW w:w="1716" w:type="dxa"/>
            <w:tcBorders>
              <w:left w:val="single" w:sz="4" w:space="0" w:color="auto"/>
              <w:right w:val="single" w:sz="4" w:space="0" w:color="auto"/>
            </w:tcBorders>
            <w:shd w:val="clear" w:color="auto" w:fill="auto"/>
            <w:vAlign w:val="center"/>
          </w:tcPr>
          <w:p w14:paraId="6B002B77" w14:textId="77777777" w:rsidR="00CD7542" w:rsidRPr="00F80B42" w:rsidRDefault="00CD7542" w:rsidP="00F23A9F">
            <w:pPr>
              <w:pStyle w:val="NormalWeb"/>
              <w:spacing w:before="0" w:beforeAutospacing="0" w:after="0" w:afterAutospacing="0"/>
              <w:jc w:val="center"/>
              <w:rPr>
                <w:rFonts w:ascii="Arial Narrow" w:hAnsi="Arial Narrow" w:cs="Arial"/>
              </w:rPr>
            </w:pPr>
            <w:r>
              <w:rPr>
                <w:rFonts w:ascii="Arial Narrow" w:hAnsi="Arial Narrow" w:cs="Arial"/>
              </w:rPr>
              <w:t>84,241</w:t>
            </w:r>
          </w:p>
        </w:tc>
        <w:tc>
          <w:tcPr>
            <w:tcW w:w="1706" w:type="dxa"/>
            <w:tcBorders>
              <w:left w:val="single" w:sz="4" w:space="0" w:color="auto"/>
              <w:right w:val="single" w:sz="12" w:space="0" w:color="auto"/>
            </w:tcBorders>
          </w:tcPr>
          <w:p w14:paraId="056FBC2C" w14:textId="762750CB" w:rsidR="00CD7542" w:rsidRDefault="00D53DA2" w:rsidP="00F23A9F">
            <w:pPr>
              <w:pStyle w:val="NormalWeb"/>
              <w:spacing w:before="0" w:beforeAutospacing="0" w:after="0" w:afterAutospacing="0"/>
              <w:jc w:val="center"/>
              <w:rPr>
                <w:rFonts w:ascii="Arial Narrow" w:hAnsi="Arial Narrow" w:cs="Arial"/>
              </w:rPr>
            </w:pPr>
            <w:r>
              <w:rPr>
                <w:rFonts w:ascii="Arial Narrow" w:hAnsi="Arial Narrow" w:cs="Arial"/>
              </w:rPr>
              <w:t>72,972</w:t>
            </w:r>
          </w:p>
        </w:tc>
      </w:tr>
      <w:tr w:rsidR="00CD7542" w14:paraId="2B81423B" w14:textId="10C90AE6" w:rsidTr="002C25AF">
        <w:trPr>
          <w:cantSplit/>
          <w:jc w:val="center"/>
        </w:trPr>
        <w:tc>
          <w:tcPr>
            <w:tcW w:w="2477" w:type="dxa"/>
            <w:tcBorders>
              <w:left w:val="single" w:sz="12" w:space="0" w:color="auto"/>
              <w:right w:val="single" w:sz="4" w:space="0" w:color="auto"/>
            </w:tcBorders>
            <w:vAlign w:val="center"/>
          </w:tcPr>
          <w:p w14:paraId="3DB63BC4" w14:textId="77777777" w:rsidR="00CD7542" w:rsidRDefault="00CD7542" w:rsidP="00F23A9F">
            <w:pPr>
              <w:pStyle w:val="NormalWeb"/>
              <w:spacing w:before="0" w:beforeAutospacing="0" w:after="0" w:afterAutospacing="0"/>
              <w:rPr>
                <w:rFonts w:ascii="Arial Narrow" w:hAnsi="Arial Narrow" w:cs="Arial"/>
                <w:b/>
                <w:bCs/>
              </w:rPr>
            </w:pPr>
            <w:r>
              <w:rPr>
                <w:rFonts w:ascii="Arial Narrow" w:hAnsi="Arial Narrow" w:cs="Arial"/>
                <w:b/>
                <w:bCs/>
              </w:rPr>
              <w:t xml:space="preserve">Boarders </w:t>
            </w:r>
          </w:p>
        </w:tc>
        <w:tc>
          <w:tcPr>
            <w:tcW w:w="1715" w:type="dxa"/>
            <w:tcBorders>
              <w:left w:val="single" w:sz="4" w:space="0" w:color="auto"/>
            </w:tcBorders>
            <w:shd w:val="clear" w:color="auto" w:fill="auto"/>
            <w:vAlign w:val="center"/>
          </w:tcPr>
          <w:p w14:paraId="131FA114" w14:textId="77777777" w:rsidR="00CD7542" w:rsidRPr="00F80B42" w:rsidRDefault="00CD7542" w:rsidP="00F23A9F">
            <w:pPr>
              <w:pStyle w:val="NormalWeb"/>
              <w:spacing w:before="0" w:beforeAutospacing="0" w:after="0" w:afterAutospacing="0"/>
              <w:jc w:val="center"/>
              <w:rPr>
                <w:rFonts w:ascii="Arial Narrow" w:hAnsi="Arial Narrow" w:cs="Arial"/>
              </w:rPr>
            </w:pPr>
            <w:r>
              <w:rPr>
                <w:rFonts w:ascii="Arial Narrow" w:hAnsi="Arial Narrow" w:cs="Arial"/>
              </w:rPr>
              <w:t>16,805</w:t>
            </w:r>
          </w:p>
        </w:tc>
        <w:tc>
          <w:tcPr>
            <w:tcW w:w="1716" w:type="dxa"/>
            <w:tcBorders>
              <w:right w:val="single" w:sz="4" w:space="0" w:color="auto"/>
            </w:tcBorders>
            <w:shd w:val="clear" w:color="auto" w:fill="auto"/>
            <w:vAlign w:val="center"/>
          </w:tcPr>
          <w:p w14:paraId="3F733729" w14:textId="77777777" w:rsidR="00CD7542" w:rsidRPr="00F80B42" w:rsidRDefault="00CD7542" w:rsidP="00F23A9F">
            <w:pPr>
              <w:pStyle w:val="NormalWeb"/>
              <w:spacing w:before="0" w:beforeAutospacing="0" w:after="0" w:afterAutospacing="0"/>
              <w:jc w:val="center"/>
              <w:rPr>
                <w:rFonts w:ascii="Arial Narrow" w:hAnsi="Arial Narrow" w:cs="Arial"/>
              </w:rPr>
            </w:pPr>
            <w:r>
              <w:rPr>
                <w:rFonts w:ascii="Arial Narrow" w:hAnsi="Arial Narrow" w:cs="Arial"/>
              </w:rPr>
              <w:t>17,162</w:t>
            </w:r>
          </w:p>
        </w:tc>
        <w:tc>
          <w:tcPr>
            <w:tcW w:w="1716" w:type="dxa"/>
            <w:tcBorders>
              <w:left w:val="single" w:sz="4" w:space="0" w:color="auto"/>
              <w:right w:val="single" w:sz="4" w:space="0" w:color="auto"/>
            </w:tcBorders>
            <w:shd w:val="clear" w:color="auto" w:fill="auto"/>
            <w:vAlign w:val="center"/>
          </w:tcPr>
          <w:p w14:paraId="4217F0E4" w14:textId="77777777" w:rsidR="00CD7542" w:rsidRPr="00F80B42" w:rsidRDefault="00CD7542" w:rsidP="00F23A9F">
            <w:pPr>
              <w:pStyle w:val="NormalWeb"/>
              <w:spacing w:before="0" w:beforeAutospacing="0" w:after="0" w:afterAutospacing="0"/>
              <w:jc w:val="center"/>
              <w:rPr>
                <w:rFonts w:ascii="Arial Narrow" w:hAnsi="Arial Narrow" w:cs="Arial"/>
              </w:rPr>
            </w:pPr>
            <w:r>
              <w:rPr>
                <w:rFonts w:ascii="Arial Narrow" w:hAnsi="Arial Narrow" w:cs="Arial"/>
              </w:rPr>
              <w:t>18,905</w:t>
            </w:r>
          </w:p>
        </w:tc>
        <w:tc>
          <w:tcPr>
            <w:tcW w:w="1706" w:type="dxa"/>
            <w:tcBorders>
              <w:left w:val="single" w:sz="4" w:space="0" w:color="auto"/>
              <w:right w:val="single" w:sz="12" w:space="0" w:color="auto"/>
            </w:tcBorders>
          </w:tcPr>
          <w:p w14:paraId="0BB3D8CC" w14:textId="2B6EC8BA" w:rsidR="00CD7542" w:rsidRDefault="00D53DA2" w:rsidP="00F23A9F">
            <w:pPr>
              <w:pStyle w:val="NormalWeb"/>
              <w:spacing w:before="0" w:beforeAutospacing="0" w:after="0" w:afterAutospacing="0"/>
              <w:jc w:val="center"/>
              <w:rPr>
                <w:rFonts w:ascii="Arial Narrow" w:hAnsi="Arial Narrow" w:cs="Arial"/>
              </w:rPr>
            </w:pPr>
            <w:r>
              <w:rPr>
                <w:rFonts w:ascii="Arial Narrow" w:hAnsi="Arial Narrow" w:cs="Arial"/>
              </w:rPr>
              <w:t>17,029</w:t>
            </w:r>
          </w:p>
        </w:tc>
      </w:tr>
      <w:tr w:rsidR="00CD7542" w14:paraId="6E31793F" w14:textId="6C43AC97" w:rsidTr="002C25AF">
        <w:trPr>
          <w:cantSplit/>
          <w:jc w:val="center"/>
        </w:trPr>
        <w:tc>
          <w:tcPr>
            <w:tcW w:w="2477" w:type="dxa"/>
            <w:tcBorders>
              <w:left w:val="single" w:sz="12" w:space="0" w:color="auto"/>
              <w:bottom w:val="single" w:sz="12" w:space="0" w:color="auto"/>
              <w:right w:val="single" w:sz="4" w:space="0" w:color="auto"/>
            </w:tcBorders>
            <w:vAlign w:val="center"/>
          </w:tcPr>
          <w:p w14:paraId="18D69E63" w14:textId="77777777" w:rsidR="00CD7542" w:rsidRDefault="00CD7542" w:rsidP="00F23A9F">
            <w:pPr>
              <w:pStyle w:val="NormalWeb"/>
              <w:spacing w:before="0" w:beforeAutospacing="0" w:after="0" w:afterAutospacing="0"/>
              <w:rPr>
                <w:rFonts w:ascii="Arial Narrow" w:hAnsi="Arial Narrow" w:cs="Arial"/>
                <w:b/>
                <w:bCs/>
              </w:rPr>
            </w:pPr>
            <w:r>
              <w:rPr>
                <w:rFonts w:ascii="Arial Narrow" w:hAnsi="Arial Narrow" w:cs="Arial"/>
                <w:b/>
                <w:bCs/>
              </w:rPr>
              <w:t>Average Boarding Hours</w:t>
            </w:r>
          </w:p>
        </w:tc>
        <w:tc>
          <w:tcPr>
            <w:tcW w:w="1715" w:type="dxa"/>
            <w:tcBorders>
              <w:left w:val="single" w:sz="4" w:space="0" w:color="auto"/>
              <w:bottom w:val="single" w:sz="12" w:space="0" w:color="auto"/>
            </w:tcBorders>
            <w:shd w:val="clear" w:color="auto" w:fill="auto"/>
            <w:vAlign w:val="center"/>
          </w:tcPr>
          <w:p w14:paraId="7C870458" w14:textId="77777777" w:rsidR="00CD7542" w:rsidRPr="00F80B42" w:rsidRDefault="00CD7542" w:rsidP="00F23A9F">
            <w:pPr>
              <w:pStyle w:val="NormalWeb"/>
              <w:spacing w:before="0" w:beforeAutospacing="0" w:after="0" w:afterAutospacing="0"/>
              <w:jc w:val="center"/>
              <w:rPr>
                <w:rFonts w:ascii="Arial Narrow" w:hAnsi="Arial Narrow" w:cs="Arial"/>
              </w:rPr>
            </w:pPr>
            <w:r>
              <w:rPr>
                <w:rFonts w:ascii="Arial Narrow" w:hAnsi="Arial Narrow" w:cs="Arial"/>
              </w:rPr>
              <w:t>4.9</w:t>
            </w:r>
          </w:p>
        </w:tc>
        <w:tc>
          <w:tcPr>
            <w:tcW w:w="1716" w:type="dxa"/>
            <w:tcBorders>
              <w:bottom w:val="single" w:sz="12" w:space="0" w:color="auto"/>
              <w:right w:val="single" w:sz="4" w:space="0" w:color="auto"/>
            </w:tcBorders>
            <w:shd w:val="clear" w:color="auto" w:fill="auto"/>
            <w:vAlign w:val="center"/>
          </w:tcPr>
          <w:p w14:paraId="62BE8FA4" w14:textId="77777777" w:rsidR="00CD7542" w:rsidRPr="00F80B42" w:rsidRDefault="00CD7542" w:rsidP="00F23A9F">
            <w:pPr>
              <w:pStyle w:val="NormalWeb"/>
              <w:spacing w:before="0" w:beforeAutospacing="0" w:after="0" w:afterAutospacing="0"/>
              <w:jc w:val="center"/>
              <w:rPr>
                <w:rFonts w:ascii="Arial Narrow" w:hAnsi="Arial Narrow" w:cs="Arial"/>
              </w:rPr>
            </w:pPr>
            <w:r>
              <w:rPr>
                <w:rFonts w:ascii="Arial Narrow" w:hAnsi="Arial Narrow" w:cs="Arial"/>
              </w:rPr>
              <w:t>4.8</w:t>
            </w:r>
          </w:p>
        </w:tc>
        <w:tc>
          <w:tcPr>
            <w:tcW w:w="1716" w:type="dxa"/>
            <w:tcBorders>
              <w:left w:val="single" w:sz="4" w:space="0" w:color="auto"/>
              <w:bottom w:val="single" w:sz="12" w:space="0" w:color="auto"/>
              <w:right w:val="single" w:sz="4" w:space="0" w:color="auto"/>
            </w:tcBorders>
            <w:shd w:val="clear" w:color="auto" w:fill="auto"/>
            <w:vAlign w:val="center"/>
          </w:tcPr>
          <w:p w14:paraId="4399612B" w14:textId="77777777" w:rsidR="00CD7542" w:rsidRPr="00F80B42" w:rsidRDefault="00CD7542" w:rsidP="00F23A9F">
            <w:pPr>
              <w:pStyle w:val="NormalWeb"/>
              <w:spacing w:before="0" w:beforeAutospacing="0" w:after="0" w:afterAutospacing="0"/>
              <w:jc w:val="center"/>
              <w:rPr>
                <w:rFonts w:ascii="Arial Narrow" w:hAnsi="Arial Narrow" w:cs="Arial"/>
              </w:rPr>
            </w:pPr>
            <w:r>
              <w:rPr>
                <w:rFonts w:ascii="Arial Narrow" w:hAnsi="Arial Narrow" w:cs="Arial"/>
              </w:rPr>
              <w:t>5.7</w:t>
            </w:r>
          </w:p>
        </w:tc>
        <w:tc>
          <w:tcPr>
            <w:tcW w:w="1706" w:type="dxa"/>
            <w:tcBorders>
              <w:left w:val="single" w:sz="4" w:space="0" w:color="auto"/>
              <w:bottom w:val="single" w:sz="12" w:space="0" w:color="auto"/>
              <w:right w:val="single" w:sz="12" w:space="0" w:color="auto"/>
            </w:tcBorders>
          </w:tcPr>
          <w:p w14:paraId="7B40FF28" w14:textId="4B9E3111" w:rsidR="00CD7542" w:rsidRDefault="00D53DA2" w:rsidP="00F23A9F">
            <w:pPr>
              <w:pStyle w:val="NormalWeb"/>
              <w:spacing w:before="0" w:beforeAutospacing="0" w:after="0" w:afterAutospacing="0"/>
              <w:jc w:val="center"/>
              <w:rPr>
                <w:rFonts w:ascii="Arial Narrow" w:hAnsi="Arial Narrow" w:cs="Arial"/>
              </w:rPr>
            </w:pPr>
            <w:r>
              <w:rPr>
                <w:rFonts w:ascii="Arial Narrow" w:hAnsi="Arial Narrow" w:cs="Arial"/>
              </w:rPr>
              <w:t>10.3</w:t>
            </w:r>
          </w:p>
        </w:tc>
      </w:tr>
    </w:tbl>
    <w:p w14:paraId="258A559B" w14:textId="0C2F6939" w:rsidR="00CE4B68" w:rsidRDefault="00CE4B68" w:rsidP="00740748">
      <w:pPr>
        <w:spacing w:after="120" w:line="259" w:lineRule="auto"/>
        <w:rPr>
          <w:rFonts w:ascii="Arial" w:hAnsi="Arial" w:cs="Arial"/>
          <w:sz w:val="22"/>
          <w:szCs w:val="22"/>
        </w:rPr>
      </w:pPr>
    </w:p>
    <w:p w14:paraId="11E45FBD" w14:textId="007C7A08" w:rsidR="002C25AF" w:rsidRDefault="002C25AF" w:rsidP="00740748">
      <w:pPr>
        <w:spacing w:after="120" w:line="259" w:lineRule="auto"/>
        <w:rPr>
          <w:rFonts w:ascii="Arial" w:hAnsi="Arial" w:cs="Arial"/>
          <w:sz w:val="22"/>
          <w:szCs w:val="22"/>
        </w:rPr>
      </w:pPr>
      <w:r w:rsidRPr="002C25AF">
        <w:rPr>
          <w:rFonts w:ascii="Arial Narrow" w:hAnsi="Arial Narrow" w:cs="Arial"/>
          <w:b/>
          <w:bCs/>
          <w:color w:val="FFFFFF"/>
          <w:shd w:val="clear" w:color="auto" w:fill="0070C0"/>
        </w:rPr>
        <w:t>Table 16 REVISED: BMC Inpatient Surgical Patients and Visits</w:t>
      </w:r>
    </w:p>
    <w:tbl>
      <w:tblPr>
        <w:tblStyle w:val="TableGrid"/>
        <w:tblW w:w="0" w:type="auto"/>
        <w:jc w:val="center"/>
        <w:tblLook w:val="04A0" w:firstRow="1" w:lastRow="0" w:firstColumn="1" w:lastColumn="0" w:noHBand="0" w:noVBand="1"/>
      </w:tblPr>
      <w:tblGrid>
        <w:gridCol w:w="1335"/>
        <w:gridCol w:w="2475"/>
        <w:gridCol w:w="2475"/>
      </w:tblGrid>
      <w:tr w:rsidR="00740748" w14:paraId="304EB092" w14:textId="77777777" w:rsidTr="000B1F78">
        <w:trPr>
          <w:cantSplit/>
          <w:tblHeader/>
          <w:jc w:val="center"/>
        </w:trPr>
        <w:tc>
          <w:tcPr>
            <w:tcW w:w="1335" w:type="dxa"/>
            <w:tcBorders>
              <w:left w:val="single" w:sz="12" w:space="0" w:color="auto"/>
              <w:right w:val="single" w:sz="4" w:space="0" w:color="auto"/>
            </w:tcBorders>
            <w:shd w:val="clear" w:color="auto" w:fill="8DA9DB"/>
          </w:tcPr>
          <w:p w14:paraId="711782B9" w14:textId="77777777" w:rsidR="00740748" w:rsidRPr="00F80B42" w:rsidRDefault="00740748" w:rsidP="00F23A9F">
            <w:pPr>
              <w:pStyle w:val="NormalWeb"/>
              <w:spacing w:before="0" w:beforeAutospacing="0" w:after="0" w:afterAutospacing="0"/>
              <w:jc w:val="both"/>
              <w:rPr>
                <w:rFonts w:ascii="Arial Narrow" w:hAnsi="Arial Narrow" w:cs="Arial"/>
                <w:b/>
                <w:bCs/>
              </w:rPr>
            </w:pPr>
            <w:r w:rsidRPr="00F80B42">
              <w:rPr>
                <w:rFonts w:ascii="Arial Narrow" w:hAnsi="Arial Narrow" w:cs="Arial"/>
                <w:b/>
                <w:bCs/>
              </w:rPr>
              <w:t>Year</w:t>
            </w:r>
          </w:p>
        </w:tc>
        <w:tc>
          <w:tcPr>
            <w:tcW w:w="2475" w:type="dxa"/>
            <w:tcBorders>
              <w:left w:val="single" w:sz="4" w:space="0" w:color="auto"/>
            </w:tcBorders>
            <w:shd w:val="clear" w:color="auto" w:fill="8DA9DB"/>
            <w:vAlign w:val="center"/>
          </w:tcPr>
          <w:p w14:paraId="2DFED883" w14:textId="77777777" w:rsidR="00740748" w:rsidRPr="00F80B42" w:rsidRDefault="00740748" w:rsidP="00F23A9F">
            <w:pPr>
              <w:pStyle w:val="NormalWeb"/>
              <w:spacing w:before="0" w:beforeAutospacing="0" w:after="0" w:afterAutospacing="0"/>
              <w:jc w:val="center"/>
              <w:rPr>
                <w:rFonts w:ascii="Arial Narrow" w:hAnsi="Arial Narrow" w:cs="Arial"/>
                <w:b/>
                <w:bCs/>
              </w:rPr>
            </w:pPr>
            <w:r w:rsidRPr="00F80B42">
              <w:rPr>
                <w:rFonts w:ascii="Arial Narrow" w:hAnsi="Arial Narrow" w:cs="Arial"/>
                <w:b/>
                <w:bCs/>
              </w:rPr>
              <w:t>Unique Patients</w:t>
            </w:r>
          </w:p>
        </w:tc>
        <w:tc>
          <w:tcPr>
            <w:tcW w:w="2475" w:type="dxa"/>
            <w:tcBorders>
              <w:right w:val="single" w:sz="12" w:space="0" w:color="auto"/>
            </w:tcBorders>
            <w:shd w:val="clear" w:color="auto" w:fill="8DA9DB"/>
            <w:vAlign w:val="center"/>
          </w:tcPr>
          <w:p w14:paraId="24C4E33F" w14:textId="77777777" w:rsidR="00740748" w:rsidRPr="00F80B42" w:rsidRDefault="00740748" w:rsidP="00F23A9F">
            <w:pPr>
              <w:pStyle w:val="NormalWeb"/>
              <w:spacing w:before="0" w:beforeAutospacing="0" w:after="0" w:afterAutospacing="0"/>
              <w:jc w:val="center"/>
              <w:rPr>
                <w:rFonts w:ascii="Arial Narrow" w:hAnsi="Arial Narrow" w:cs="Arial"/>
                <w:b/>
                <w:bCs/>
              </w:rPr>
            </w:pPr>
            <w:r w:rsidRPr="00F80B42">
              <w:rPr>
                <w:rFonts w:ascii="Arial Narrow" w:hAnsi="Arial Narrow" w:cs="Arial"/>
                <w:b/>
                <w:bCs/>
              </w:rPr>
              <w:t>Visits</w:t>
            </w:r>
          </w:p>
        </w:tc>
      </w:tr>
      <w:tr w:rsidR="00740748" w14:paraId="56F1A620" w14:textId="77777777" w:rsidTr="000B1F78">
        <w:trPr>
          <w:cantSplit/>
          <w:jc w:val="center"/>
        </w:trPr>
        <w:tc>
          <w:tcPr>
            <w:tcW w:w="1335" w:type="dxa"/>
            <w:tcBorders>
              <w:left w:val="single" w:sz="12" w:space="0" w:color="auto"/>
              <w:right w:val="single" w:sz="4" w:space="0" w:color="auto"/>
            </w:tcBorders>
            <w:vAlign w:val="center"/>
          </w:tcPr>
          <w:p w14:paraId="55D88BDB" w14:textId="77777777" w:rsidR="00740748" w:rsidRPr="00F80B42" w:rsidRDefault="00740748" w:rsidP="00F23A9F">
            <w:pPr>
              <w:pStyle w:val="NormalWeb"/>
              <w:spacing w:before="0" w:beforeAutospacing="0" w:after="0" w:afterAutospacing="0"/>
              <w:rPr>
                <w:rFonts w:ascii="Arial Narrow" w:hAnsi="Arial Narrow" w:cs="Arial"/>
                <w:b/>
                <w:bCs/>
              </w:rPr>
            </w:pPr>
            <w:r w:rsidRPr="00F80B42">
              <w:rPr>
                <w:rFonts w:ascii="Arial Narrow" w:hAnsi="Arial Narrow" w:cs="Arial"/>
                <w:b/>
                <w:bCs/>
              </w:rPr>
              <w:t>FY19</w:t>
            </w:r>
          </w:p>
        </w:tc>
        <w:tc>
          <w:tcPr>
            <w:tcW w:w="2475" w:type="dxa"/>
            <w:tcBorders>
              <w:left w:val="single" w:sz="4" w:space="0" w:color="auto"/>
            </w:tcBorders>
            <w:vAlign w:val="center"/>
          </w:tcPr>
          <w:p w14:paraId="6F7A40F3" w14:textId="77777777" w:rsidR="00740748" w:rsidRPr="00F80B42" w:rsidRDefault="00740748" w:rsidP="00F23A9F">
            <w:pPr>
              <w:pStyle w:val="NormalWeb"/>
              <w:spacing w:before="0" w:beforeAutospacing="0" w:after="0" w:afterAutospacing="0"/>
              <w:jc w:val="center"/>
              <w:rPr>
                <w:rFonts w:ascii="Arial Narrow" w:hAnsi="Arial Narrow" w:cs="Arial"/>
              </w:rPr>
            </w:pPr>
            <w:r>
              <w:rPr>
                <w:rFonts w:ascii="Arial Narrow" w:hAnsi="Arial Narrow" w:cs="Arial"/>
              </w:rPr>
              <w:t>4,741</w:t>
            </w:r>
          </w:p>
        </w:tc>
        <w:tc>
          <w:tcPr>
            <w:tcW w:w="2475" w:type="dxa"/>
            <w:tcBorders>
              <w:right w:val="single" w:sz="12" w:space="0" w:color="auto"/>
            </w:tcBorders>
            <w:vAlign w:val="center"/>
          </w:tcPr>
          <w:p w14:paraId="401A95CD" w14:textId="77777777" w:rsidR="00740748" w:rsidRPr="00F80B42" w:rsidRDefault="00740748" w:rsidP="00F23A9F">
            <w:pPr>
              <w:pStyle w:val="NormalWeb"/>
              <w:spacing w:before="0" w:beforeAutospacing="0" w:after="0" w:afterAutospacing="0"/>
              <w:jc w:val="center"/>
              <w:rPr>
                <w:rFonts w:ascii="Arial Narrow" w:hAnsi="Arial Narrow" w:cs="Arial"/>
              </w:rPr>
            </w:pPr>
            <w:r>
              <w:rPr>
                <w:rFonts w:ascii="Arial Narrow" w:hAnsi="Arial Narrow" w:cs="Arial"/>
              </w:rPr>
              <w:t>5,105</w:t>
            </w:r>
          </w:p>
        </w:tc>
      </w:tr>
      <w:tr w:rsidR="00740748" w14:paraId="5E38D211" w14:textId="77777777" w:rsidTr="000B1F78">
        <w:trPr>
          <w:cantSplit/>
          <w:jc w:val="center"/>
        </w:trPr>
        <w:tc>
          <w:tcPr>
            <w:tcW w:w="1335" w:type="dxa"/>
            <w:tcBorders>
              <w:left w:val="single" w:sz="12" w:space="0" w:color="auto"/>
              <w:right w:val="single" w:sz="4" w:space="0" w:color="auto"/>
            </w:tcBorders>
            <w:vAlign w:val="center"/>
          </w:tcPr>
          <w:p w14:paraId="0F7EEC80" w14:textId="77777777" w:rsidR="00740748" w:rsidRPr="00F80B42" w:rsidRDefault="00740748" w:rsidP="00F23A9F">
            <w:pPr>
              <w:pStyle w:val="NormalWeb"/>
              <w:spacing w:before="0" w:beforeAutospacing="0" w:after="0" w:afterAutospacing="0"/>
              <w:rPr>
                <w:rFonts w:ascii="Arial Narrow" w:hAnsi="Arial Narrow" w:cs="Arial"/>
                <w:b/>
                <w:bCs/>
              </w:rPr>
            </w:pPr>
            <w:r w:rsidRPr="00F80B42">
              <w:rPr>
                <w:rFonts w:ascii="Arial Narrow" w:hAnsi="Arial Narrow" w:cs="Arial"/>
                <w:b/>
                <w:bCs/>
              </w:rPr>
              <w:t>FY20</w:t>
            </w:r>
          </w:p>
        </w:tc>
        <w:tc>
          <w:tcPr>
            <w:tcW w:w="2475" w:type="dxa"/>
            <w:tcBorders>
              <w:left w:val="single" w:sz="4" w:space="0" w:color="auto"/>
            </w:tcBorders>
            <w:vAlign w:val="center"/>
          </w:tcPr>
          <w:p w14:paraId="134399EF" w14:textId="77777777" w:rsidR="00740748" w:rsidRPr="00F80B42" w:rsidRDefault="00740748" w:rsidP="00F23A9F">
            <w:pPr>
              <w:pStyle w:val="NormalWeb"/>
              <w:spacing w:before="0" w:beforeAutospacing="0" w:after="0" w:afterAutospacing="0"/>
              <w:jc w:val="center"/>
              <w:rPr>
                <w:rFonts w:ascii="Arial Narrow" w:hAnsi="Arial Narrow" w:cs="Arial"/>
              </w:rPr>
            </w:pPr>
            <w:r>
              <w:rPr>
                <w:rFonts w:ascii="Arial Narrow" w:hAnsi="Arial Narrow" w:cs="Arial"/>
              </w:rPr>
              <w:t>4,114</w:t>
            </w:r>
          </w:p>
        </w:tc>
        <w:tc>
          <w:tcPr>
            <w:tcW w:w="2475" w:type="dxa"/>
            <w:tcBorders>
              <w:right w:val="single" w:sz="12" w:space="0" w:color="auto"/>
            </w:tcBorders>
            <w:vAlign w:val="center"/>
          </w:tcPr>
          <w:p w14:paraId="2375187A" w14:textId="77777777" w:rsidR="00740748" w:rsidRPr="00F80B42" w:rsidRDefault="00740748" w:rsidP="00F23A9F">
            <w:pPr>
              <w:pStyle w:val="NormalWeb"/>
              <w:spacing w:before="0" w:beforeAutospacing="0" w:after="0" w:afterAutospacing="0"/>
              <w:jc w:val="center"/>
              <w:rPr>
                <w:rFonts w:ascii="Arial Narrow" w:hAnsi="Arial Narrow" w:cs="Arial"/>
              </w:rPr>
            </w:pPr>
            <w:r>
              <w:rPr>
                <w:rFonts w:ascii="Arial Narrow" w:hAnsi="Arial Narrow" w:cs="Arial"/>
              </w:rPr>
              <w:t>4,434</w:t>
            </w:r>
          </w:p>
        </w:tc>
      </w:tr>
      <w:tr w:rsidR="00740748" w14:paraId="524A0D51" w14:textId="77777777" w:rsidTr="000B1F78">
        <w:trPr>
          <w:cantSplit/>
          <w:jc w:val="center"/>
        </w:trPr>
        <w:tc>
          <w:tcPr>
            <w:tcW w:w="1335" w:type="dxa"/>
            <w:tcBorders>
              <w:left w:val="single" w:sz="12" w:space="0" w:color="auto"/>
              <w:right w:val="single" w:sz="4" w:space="0" w:color="auto"/>
            </w:tcBorders>
            <w:vAlign w:val="center"/>
          </w:tcPr>
          <w:p w14:paraId="44DFB689" w14:textId="77777777" w:rsidR="00740748" w:rsidRPr="00F80B42" w:rsidRDefault="00740748" w:rsidP="00F23A9F">
            <w:pPr>
              <w:pStyle w:val="NormalWeb"/>
              <w:spacing w:before="0" w:beforeAutospacing="0" w:after="0" w:afterAutospacing="0"/>
              <w:rPr>
                <w:rFonts w:ascii="Arial Narrow" w:hAnsi="Arial Narrow" w:cs="Arial"/>
                <w:b/>
                <w:bCs/>
              </w:rPr>
            </w:pPr>
            <w:r w:rsidRPr="00F80B42">
              <w:rPr>
                <w:rFonts w:ascii="Arial Narrow" w:hAnsi="Arial Narrow" w:cs="Arial"/>
                <w:b/>
                <w:bCs/>
              </w:rPr>
              <w:t>FY21</w:t>
            </w:r>
          </w:p>
        </w:tc>
        <w:tc>
          <w:tcPr>
            <w:tcW w:w="2475" w:type="dxa"/>
            <w:tcBorders>
              <w:left w:val="single" w:sz="4" w:space="0" w:color="auto"/>
            </w:tcBorders>
            <w:vAlign w:val="center"/>
          </w:tcPr>
          <w:p w14:paraId="556A6FDF" w14:textId="77777777" w:rsidR="00740748" w:rsidRPr="00F80B42" w:rsidRDefault="00740748" w:rsidP="00F23A9F">
            <w:pPr>
              <w:pStyle w:val="NormalWeb"/>
              <w:spacing w:before="0" w:beforeAutospacing="0" w:after="0" w:afterAutospacing="0"/>
              <w:jc w:val="center"/>
              <w:rPr>
                <w:rFonts w:ascii="Arial Narrow" w:hAnsi="Arial Narrow" w:cs="Arial"/>
              </w:rPr>
            </w:pPr>
            <w:r>
              <w:rPr>
                <w:rFonts w:ascii="Arial Narrow" w:hAnsi="Arial Narrow" w:cs="Arial"/>
              </w:rPr>
              <w:t>4,703</w:t>
            </w:r>
          </w:p>
        </w:tc>
        <w:tc>
          <w:tcPr>
            <w:tcW w:w="2475" w:type="dxa"/>
            <w:tcBorders>
              <w:right w:val="single" w:sz="12" w:space="0" w:color="auto"/>
            </w:tcBorders>
            <w:vAlign w:val="center"/>
          </w:tcPr>
          <w:p w14:paraId="6F52B080" w14:textId="77777777" w:rsidR="00740748" w:rsidRPr="00F80B42" w:rsidRDefault="00740748" w:rsidP="00F23A9F">
            <w:pPr>
              <w:pStyle w:val="NormalWeb"/>
              <w:spacing w:before="0" w:beforeAutospacing="0" w:after="0" w:afterAutospacing="0"/>
              <w:jc w:val="center"/>
              <w:rPr>
                <w:rFonts w:ascii="Arial Narrow" w:hAnsi="Arial Narrow" w:cs="Arial"/>
              </w:rPr>
            </w:pPr>
            <w:r>
              <w:rPr>
                <w:rFonts w:ascii="Arial Narrow" w:hAnsi="Arial Narrow" w:cs="Arial"/>
              </w:rPr>
              <w:t>5,104</w:t>
            </w:r>
          </w:p>
        </w:tc>
      </w:tr>
      <w:tr w:rsidR="00740748" w14:paraId="3340ADFD" w14:textId="77777777" w:rsidTr="000B1F78">
        <w:trPr>
          <w:cantSplit/>
          <w:jc w:val="center"/>
        </w:trPr>
        <w:tc>
          <w:tcPr>
            <w:tcW w:w="1335" w:type="dxa"/>
            <w:tcBorders>
              <w:left w:val="single" w:sz="12" w:space="0" w:color="auto"/>
              <w:bottom w:val="single" w:sz="12" w:space="0" w:color="auto"/>
              <w:right w:val="single" w:sz="4" w:space="0" w:color="auto"/>
            </w:tcBorders>
            <w:vAlign w:val="center"/>
          </w:tcPr>
          <w:p w14:paraId="7DEDCF23" w14:textId="77777777" w:rsidR="00740748" w:rsidRPr="00B95D0D" w:rsidRDefault="00740748" w:rsidP="00F23A9F">
            <w:pPr>
              <w:pStyle w:val="NormalWeb"/>
              <w:spacing w:before="0" w:beforeAutospacing="0" w:after="0" w:afterAutospacing="0"/>
              <w:rPr>
                <w:rFonts w:ascii="Arial Narrow" w:hAnsi="Arial Narrow" w:cs="Arial"/>
                <w:b/>
                <w:bCs/>
              </w:rPr>
            </w:pPr>
            <w:r w:rsidRPr="00B95D0D">
              <w:rPr>
                <w:rFonts w:ascii="Arial Narrow" w:hAnsi="Arial Narrow" w:cs="Arial"/>
                <w:b/>
                <w:bCs/>
              </w:rPr>
              <w:t>FY22 YTD</w:t>
            </w:r>
          </w:p>
        </w:tc>
        <w:tc>
          <w:tcPr>
            <w:tcW w:w="2475" w:type="dxa"/>
            <w:tcBorders>
              <w:left w:val="single" w:sz="4" w:space="0" w:color="auto"/>
              <w:bottom w:val="single" w:sz="12" w:space="0" w:color="auto"/>
            </w:tcBorders>
            <w:vAlign w:val="center"/>
          </w:tcPr>
          <w:p w14:paraId="27307571" w14:textId="4900032C" w:rsidR="00740748" w:rsidRPr="00B95D0D" w:rsidRDefault="0035176C" w:rsidP="00F23A9F">
            <w:pPr>
              <w:pStyle w:val="NormalWeb"/>
              <w:spacing w:before="0" w:beforeAutospacing="0" w:after="0" w:afterAutospacing="0"/>
              <w:jc w:val="center"/>
              <w:rPr>
                <w:rFonts w:ascii="Arial Narrow" w:hAnsi="Arial Narrow" w:cs="Arial"/>
              </w:rPr>
            </w:pPr>
            <w:r>
              <w:rPr>
                <w:rFonts w:ascii="Arial Narrow" w:hAnsi="Arial Narrow" w:cs="Arial"/>
              </w:rPr>
              <w:t>3,556</w:t>
            </w:r>
          </w:p>
        </w:tc>
        <w:tc>
          <w:tcPr>
            <w:tcW w:w="2475" w:type="dxa"/>
            <w:tcBorders>
              <w:bottom w:val="single" w:sz="12" w:space="0" w:color="auto"/>
              <w:right w:val="single" w:sz="12" w:space="0" w:color="auto"/>
            </w:tcBorders>
            <w:vAlign w:val="center"/>
          </w:tcPr>
          <w:p w14:paraId="0916301E" w14:textId="634ADA28" w:rsidR="00740748" w:rsidRPr="00B95D0D" w:rsidRDefault="0035176C" w:rsidP="00F23A9F">
            <w:pPr>
              <w:pStyle w:val="NormalWeb"/>
              <w:spacing w:before="0" w:beforeAutospacing="0" w:after="0" w:afterAutospacing="0"/>
              <w:jc w:val="center"/>
              <w:rPr>
                <w:rFonts w:ascii="Arial Narrow" w:hAnsi="Arial Narrow" w:cs="Arial"/>
              </w:rPr>
            </w:pPr>
            <w:r>
              <w:rPr>
                <w:rFonts w:ascii="Arial Narrow" w:hAnsi="Arial Narrow" w:cs="Arial"/>
              </w:rPr>
              <w:t>3,781</w:t>
            </w:r>
          </w:p>
        </w:tc>
      </w:tr>
    </w:tbl>
    <w:p w14:paraId="5627B420" w14:textId="7E4D32E0" w:rsidR="00CE4B68" w:rsidRDefault="00CE4B68" w:rsidP="00AD036D">
      <w:pPr>
        <w:spacing w:after="120" w:line="259" w:lineRule="auto"/>
        <w:rPr>
          <w:rFonts w:ascii="Arial" w:hAnsi="Arial" w:cs="Arial"/>
          <w:sz w:val="22"/>
          <w:szCs w:val="22"/>
        </w:rPr>
      </w:pPr>
    </w:p>
    <w:p w14:paraId="72A5C7A3" w14:textId="78B929E5" w:rsidR="000B1F78" w:rsidRDefault="000B1F78" w:rsidP="00AD036D">
      <w:pPr>
        <w:spacing w:after="120" w:line="259" w:lineRule="auto"/>
        <w:rPr>
          <w:rFonts w:ascii="Arial" w:hAnsi="Arial" w:cs="Arial"/>
          <w:sz w:val="22"/>
          <w:szCs w:val="22"/>
        </w:rPr>
      </w:pPr>
      <w:r w:rsidRPr="000B1F78">
        <w:rPr>
          <w:rFonts w:ascii="Arial Narrow" w:hAnsi="Arial Narrow" w:cs="Arial"/>
          <w:b/>
          <w:bCs/>
          <w:color w:val="FFFFFF"/>
          <w:shd w:val="clear" w:color="auto" w:fill="0070C0"/>
        </w:rPr>
        <w:t>Table 17: BMC Inpatient Surgical Cases</w:t>
      </w:r>
    </w:p>
    <w:tbl>
      <w:tblPr>
        <w:tblStyle w:val="TableGrid"/>
        <w:tblW w:w="0" w:type="auto"/>
        <w:jc w:val="center"/>
        <w:tblLayout w:type="fixed"/>
        <w:tblLook w:val="04A0" w:firstRow="1" w:lastRow="0" w:firstColumn="1" w:lastColumn="0" w:noHBand="0" w:noVBand="1"/>
      </w:tblPr>
      <w:tblGrid>
        <w:gridCol w:w="2505"/>
        <w:gridCol w:w="1147"/>
        <w:gridCol w:w="1148"/>
        <w:gridCol w:w="1147"/>
        <w:gridCol w:w="1148"/>
      </w:tblGrid>
      <w:tr w:rsidR="00586D86" w14:paraId="68A5B2CC" w14:textId="77777777" w:rsidTr="000B1F78">
        <w:trPr>
          <w:cantSplit/>
          <w:tblHeader/>
          <w:jc w:val="center"/>
        </w:trPr>
        <w:tc>
          <w:tcPr>
            <w:tcW w:w="2505" w:type="dxa"/>
            <w:tcBorders>
              <w:left w:val="single" w:sz="12" w:space="0" w:color="auto"/>
              <w:right w:val="single" w:sz="4" w:space="0" w:color="auto"/>
            </w:tcBorders>
            <w:shd w:val="clear" w:color="auto" w:fill="8DA9DB"/>
          </w:tcPr>
          <w:p w14:paraId="51DA10A9" w14:textId="77777777" w:rsidR="00586D86" w:rsidRPr="00F80B42" w:rsidRDefault="00586D86" w:rsidP="00F23A9F">
            <w:pPr>
              <w:pStyle w:val="NormalWeb"/>
              <w:spacing w:before="0" w:beforeAutospacing="0" w:after="0" w:afterAutospacing="0"/>
              <w:jc w:val="both"/>
              <w:rPr>
                <w:rFonts w:ascii="Arial Narrow" w:hAnsi="Arial Narrow" w:cs="Arial"/>
                <w:b/>
                <w:bCs/>
              </w:rPr>
            </w:pPr>
            <w:r>
              <w:rPr>
                <w:rFonts w:ascii="Arial Narrow" w:hAnsi="Arial Narrow" w:cs="Arial"/>
                <w:b/>
                <w:bCs/>
              </w:rPr>
              <w:t>Service Line</w:t>
            </w:r>
          </w:p>
        </w:tc>
        <w:tc>
          <w:tcPr>
            <w:tcW w:w="1147" w:type="dxa"/>
            <w:tcBorders>
              <w:left w:val="single" w:sz="4" w:space="0" w:color="auto"/>
              <w:right w:val="single" w:sz="4" w:space="0" w:color="auto"/>
            </w:tcBorders>
            <w:shd w:val="clear" w:color="auto" w:fill="8DA9DB"/>
            <w:vAlign w:val="center"/>
          </w:tcPr>
          <w:p w14:paraId="35BDFEE2" w14:textId="77777777" w:rsidR="00586D86" w:rsidRPr="00F80B42" w:rsidRDefault="00586D86" w:rsidP="00F23A9F">
            <w:pPr>
              <w:pStyle w:val="NormalWeb"/>
              <w:spacing w:before="0" w:beforeAutospacing="0" w:after="0" w:afterAutospacing="0"/>
              <w:jc w:val="center"/>
              <w:rPr>
                <w:rFonts w:ascii="Arial Narrow" w:hAnsi="Arial Narrow" w:cs="Arial"/>
                <w:b/>
                <w:bCs/>
              </w:rPr>
            </w:pPr>
            <w:r>
              <w:rPr>
                <w:rFonts w:ascii="Arial Narrow" w:hAnsi="Arial Narrow" w:cs="Arial"/>
                <w:b/>
                <w:bCs/>
              </w:rPr>
              <w:t>FY19</w:t>
            </w:r>
          </w:p>
        </w:tc>
        <w:tc>
          <w:tcPr>
            <w:tcW w:w="1148" w:type="dxa"/>
            <w:tcBorders>
              <w:left w:val="single" w:sz="4" w:space="0" w:color="auto"/>
            </w:tcBorders>
            <w:shd w:val="clear" w:color="auto" w:fill="8DA9DB"/>
            <w:vAlign w:val="center"/>
          </w:tcPr>
          <w:p w14:paraId="54E7F59F" w14:textId="77777777" w:rsidR="00586D86" w:rsidRPr="00F80B42" w:rsidRDefault="00586D86" w:rsidP="00F23A9F">
            <w:pPr>
              <w:pStyle w:val="NormalWeb"/>
              <w:spacing w:before="0" w:beforeAutospacing="0" w:after="0" w:afterAutospacing="0"/>
              <w:jc w:val="center"/>
              <w:rPr>
                <w:rFonts w:ascii="Arial Narrow" w:hAnsi="Arial Narrow" w:cs="Arial"/>
                <w:b/>
                <w:bCs/>
              </w:rPr>
            </w:pPr>
            <w:r>
              <w:rPr>
                <w:rFonts w:ascii="Arial Narrow" w:hAnsi="Arial Narrow" w:cs="Arial"/>
                <w:b/>
                <w:bCs/>
              </w:rPr>
              <w:t>FY20</w:t>
            </w:r>
          </w:p>
        </w:tc>
        <w:tc>
          <w:tcPr>
            <w:tcW w:w="1147" w:type="dxa"/>
            <w:shd w:val="clear" w:color="auto" w:fill="8DA9DB"/>
            <w:vAlign w:val="center"/>
          </w:tcPr>
          <w:p w14:paraId="61C6C693" w14:textId="77777777" w:rsidR="00586D86" w:rsidRPr="00F80B42" w:rsidRDefault="00586D86" w:rsidP="00F23A9F">
            <w:pPr>
              <w:pStyle w:val="NormalWeb"/>
              <w:spacing w:before="0" w:beforeAutospacing="0" w:after="0" w:afterAutospacing="0"/>
              <w:jc w:val="center"/>
              <w:rPr>
                <w:rFonts w:ascii="Arial Narrow" w:hAnsi="Arial Narrow" w:cs="Arial"/>
                <w:b/>
                <w:bCs/>
              </w:rPr>
            </w:pPr>
            <w:r>
              <w:rPr>
                <w:rFonts w:ascii="Arial Narrow" w:hAnsi="Arial Narrow" w:cs="Arial"/>
                <w:b/>
                <w:bCs/>
              </w:rPr>
              <w:t>FY21</w:t>
            </w:r>
          </w:p>
        </w:tc>
        <w:tc>
          <w:tcPr>
            <w:tcW w:w="1148" w:type="dxa"/>
            <w:tcBorders>
              <w:right w:val="single" w:sz="12" w:space="0" w:color="auto"/>
            </w:tcBorders>
            <w:shd w:val="clear" w:color="auto" w:fill="8DA9DB"/>
            <w:vAlign w:val="center"/>
          </w:tcPr>
          <w:p w14:paraId="21BCF23C" w14:textId="77777777" w:rsidR="00586D86" w:rsidRPr="00F80B42" w:rsidRDefault="00586D86" w:rsidP="00F23A9F">
            <w:pPr>
              <w:pStyle w:val="NormalWeb"/>
              <w:spacing w:before="0" w:beforeAutospacing="0" w:after="0" w:afterAutospacing="0"/>
              <w:jc w:val="center"/>
              <w:rPr>
                <w:rFonts w:ascii="Arial Narrow" w:hAnsi="Arial Narrow" w:cs="Arial"/>
                <w:b/>
                <w:bCs/>
              </w:rPr>
            </w:pPr>
            <w:r>
              <w:rPr>
                <w:rFonts w:ascii="Arial Narrow" w:hAnsi="Arial Narrow" w:cs="Arial"/>
                <w:b/>
                <w:bCs/>
              </w:rPr>
              <w:t>FY22 YTD</w:t>
            </w:r>
          </w:p>
        </w:tc>
      </w:tr>
      <w:tr w:rsidR="00AD036D" w14:paraId="5CF9C294" w14:textId="77777777" w:rsidTr="000B1F78">
        <w:trPr>
          <w:cantSplit/>
          <w:jc w:val="center"/>
        </w:trPr>
        <w:tc>
          <w:tcPr>
            <w:tcW w:w="2505" w:type="dxa"/>
            <w:tcBorders>
              <w:left w:val="single" w:sz="12" w:space="0" w:color="auto"/>
              <w:right w:val="single" w:sz="4" w:space="0" w:color="auto"/>
            </w:tcBorders>
            <w:vAlign w:val="center"/>
          </w:tcPr>
          <w:p w14:paraId="37C9357E" w14:textId="2DD4FC7B" w:rsidR="00AD036D" w:rsidRPr="00067768" w:rsidRDefault="00586D86" w:rsidP="00F23A9F">
            <w:pPr>
              <w:pStyle w:val="NormalWeb"/>
              <w:spacing w:before="0" w:beforeAutospacing="0" w:after="0" w:afterAutospacing="0"/>
              <w:rPr>
                <w:rFonts w:ascii="Arial Narrow" w:hAnsi="Arial Narrow" w:cs="Arial"/>
              </w:rPr>
            </w:pPr>
            <w:r w:rsidRPr="00067768">
              <w:rPr>
                <w:rFonts w:ascii="Arial Narrow" w:hAnsi="Arial Narrow" w:cs="Arial"/>
              </w:rPr>
              <w:t>Cardio</w:t>
            </w:r>
            <w:r>
              <w:rPr>
                <w:rFonts w:ascii="ZWAdobeF" w:hAnsi="ZWAdobeF" w:cs="ZWAdobeF"/>
                <w:sz w:val="2"/>
                <w:szCs w:val="2"/>
              </w:rPr>
              <w:t>51F</w:t>
            </w:r>
            <w:r w:rsidR="00AD036D">
              <w:rPr>
                <w:rStyle w:val="EndnoteReference"/>
                <w:rFonts w:ascii="Arial Narrow" w:hAnsi="Arial Narrow" w:cs="Arial"/>
              </w:rPr>
              <w:endnoteReference w:id="8"/>
            </w:r>
          </w:p>
        </w:tc>
        <w:tc>
          <w:tcPr>
            <w:tcW w:w="1147" w:type="dxa"/>
            <w:tcBorders>
              <w:left w:val="single" w:sz="4" w:space="0" w:color="auto"/>
              <w:right w:val="single" w:sz="4" w:space="0" w:color="auto"/>
            </w:tcBorders>
            <w:vAlign w:val="center"/>
          </w:tcPr>
          <w:p w14:paraId="3D160681" w14:textId="77777777" w:rsidR="00AD036D" w:rsidRPr="00E30BC4" w:rsidRDefault="00AD036D" w:rsidP="00F23A9F">
            <w:pPr>
              <w:pStyle w:val="NormalWeb"/>
              <w:spacing w:before="0" w:beforeAutospacing="0" w:after="0" w:afterAutospacing="0"/>
              <w:jc w:val="center"/>
              <w:rPr>
                <w:rFonts w:ascii="Arial Narrow" w:hAnsi="Arial Narrow" w:cs="Arial"/>
              </w:rPr>
            </w:pPr>
            <w:r w:rsidRPr="00E30BC4">
              <w:rPr>
                <w:rFonts w:ascii="Arial Narrow" w:hAnsi="Arial Narrow" w:cs="Arial"/>
              </w:rPr>
              <w:t>118</w:t>
            </w:r>
          </w:p>
        </w:tc>
        <w:tc>
          <w:tcPr>
            <w:tcW w:w="1148" w:type="dxa"/>
            <w:tcBorders>
              <w:left w:val="single" w:sz="4" w:space="0" w:color="auto"/>
            </w:tcBorders>
            <w:vAlign w:val="center"/>
          </w:tcPr>
          <w:p w14:paraId="110453A4" w14:textId="77777777" w:rsidR="00AD036D" w:rsidRPr="00F80B42" w:rsidRDefault="00AD036D" w:rsidP="00F23A9F">
            <w:pPr>
              <w:pStyle w:val="NormalWeb"/>
              <w:spacing w:before="0" w:beforeAutospacing="0" w:after="0" w:afterAutospacing="0"/>
              <w:jc w:val="center"/>
              <w:rPr>
                <w:rFonts w:ascii="Arial Narrow" w:hAnsi="Arial Narrow" w:cs="Arial"/>
              </w:rPr>
            </w:pPr>
            <w:r>
              <w:rPr>
                <w:rFonts w:ascii="Arial Narrow" w:hAnsi="Arial Narrow" w:cs="Arial"/>
              </w:rPr>
              <w:t>87</w:t>
            </w:r>
          </w:p>
        </w:tc>
        <w:tc>
          <w:tcPr>
            <w:tcW w:w="1147" w:type="dxa"/>
          </w:tcPr>
          <w:p w14:paraId="6E0966B5" w14:textId="77777777" w:rsidR="00AD036D" w:rsidRDefault="00AD036D" w:rsidP="00F23A9F">
            <w:pPr>
              <w:pStyle w:val="NormalWeb"/>
              <w:spacing w:before="0" w:beforeAutospacing="0" w:after="0" w:afterAutospacing="0"/>
              <w:jc w:val="center"/>
              <w:rPr>
                <w:rFonts w:ascii="Arial Narrow" w:hAnsi="Arial Narrow" w:cs="Arial"/>
              </w:rPr>
            </w:pPr>
            <w:r>
              <w:rPr>
                <w:rFonts w:ascii="Arial Narrow" w:hAnsi="Arial Narrow" w:cs="Arial"/>
              </w:rPr>
              <w:t>151</w:t>
            </w:r>
          </w:p>
        </w:tc>
        <w:tc>
          <w:tcPr>
            <w:tcW w:w="1148" w:type="dxa"/>
            <w:tcBorders>
              <w:right w:val="single" w:sz="12" w:space="0" w:color="auto"/>
            </w:tcBorders>
            <w:vAlign w:val="center"/>
          </w:tcPr>
          <w:p w14:paraId="79B62D6E" w14:textId="3798EC21" w:rsidR="00AD036D" w:rsidRPr="00F80B42" w:rsidRDefault="00AD036D" w:rsidP="00F23A9F">
            <w:pPr>
              <w:pStyle w:val="NormalWeb"/>
              <w:spacing w:before="0" w:beforeAutospacing="0" w:after="0" w:afterAutospacing="0"/>
              <w:jc w:val="center"/>
              <w:rPr>
                <w:rFonts w:ascii="Arial Narrow" w:hAnsi="Arial Narrow" w:cs="Arial"/>
              </w:rPr>
            </w:pPr>
            <w:r>
              <w:rPr>
                <w:rFonts w:ascii="Arial Narrow" w:hAnsi="Arial Narrow" w:cs="Arial"/>
              </w:rPr>
              <w:t>178</w:t>
            </w:r>
          </w:p>
        </w:tc>
      </w:tr>
      <w:tr w:rsidR="00AD036D" w14:paraId="0721B65C" w14:textId="77777777" w:rsidTr="000B1F78">
        <w:trPr>
          <w:cantSplit/>
          <w:jc w:val="center"/>
        </w:trPr>
        <w:tc>
          <w:tcPr>
            <w:tcW w:w="2505" w:type="dxa"/>
            <w:tcBorders>
              <w:left w:val="single" w:sz="12" w:space="0" w:color="auto"/>
              <w:right w:val="single" w:sz="4" w:space="0" w:color="auto"/>
            </w:tcBorders>
            <w:vAlign w:val="center"/>
          </w:tcPr>
          <w:p w14:paraId="74AA9E13" w14:textId="77777777" w:rsidR="00AD036D" w:rsidRPr="00067768" w:rsidRDefault="00AD036D" w:rsidP="00F23A9F">
            <w:pPr>
              <w:pStyle w:val="NormalWeb"/>
              <w:spacing w:before="0" w:beforeAutospacing="0" w:after="0" w:afterAutospacing="0"/>
              <w:rPr>
                <w:rFonts w:ascii="Arial Narrow" w:hAnsi="Arial Narrow" w:cs="Arial"/>
              </w:rPr>
            </w:pPr>
            <w:r w:rsidRPr="00067768">
              <w:rPr>
                <w:rFonts w:ascii="Arial Narrow" w:hAnsi="Arial Narrow" w:cs="Arial"/>
              </w:rPr>
              <w:t>General</w:t>
            </w:r>
            <w:r>
              <w:rPr>
                <w:rFonts w:ascii="ZWAdobeF" w:hAnsi="ZWAdobeF" w:cs="ZWAdobeF"/>
                <w:sz w:val="2"/>
                <w:szCs w:val="2"/>
              </w:rPr>
              <w:t>52F</w:t>
            </w:r>
            <w:r>
              <w:rPr>
                <w:rStyle w:val="EndnoteReference"/>
                <w:rFonts w:ascii="Arial Narrow" w:hAnsi="Arial Narrow" w:cs="Arial"/>
              </w:rPr>
              <w:endnoteReference w:id="9"/>
            </w:r>
          </w:p>
        </w:tc>
        <w:tc>
          <w:tcPr>
            <w:tcW w:w="1147" w:type="dxa"/>
            <w:tcBorders>
              <w:left w:val="single" w:sz="4" w:space="0" w:color="auto"/>
              <w:right w:val="single" w:sz="4" w:space="0" w:color="auto"/>
            </w:tcBorders>
            <w:vAlign w:val="center"/>
          </w:tcPr>
          <w:p w14:paraId="507F37D6" w14:textId="77777777" w:rsidR="00AD036D" w:rsidRPr="00E30BC4" w:rsidRDefault="00AD036D" w:rsidP="00F23A9F">
            <w:pPr>
              <w:pStyle w:val="NormalWeb"/>
              <w:spacing w:before="0" w:beforeAutospacing="0" w:after="0" w:afterAutospacing="0"/>
              <w:jc w:val="center"/>
              <w:rPr>
                <w:rFonts w:ascii="Arial Narrow" w:hAnsi="Arial Narrow" w:cs="Arial"/>
              </w:rPr>
            </w:pPr>
            <w:r w:rsidRPr="00E30BC4">
              <w:rPr>
                <w:rFonts w:ascii="Arial Narrow" w:hAnsi="Arial Narrow" w:cs="Arial"/>
              </w:rPr>
              <w:t>1,594</w:t>
            </w:r>
          </w:p>
        </w:tc>
        <w:tc>
          <w:tcPr>
            <w:tcW w:w="1148" w:type="dxa"/>
            <w:tcBorders>
              <w:left w:val="single" w:sz="4" w:space="0" w:color="auto"/>
            </w:tcBorders>
            <w:vAlign w:val="center"/>
          </w:tcPr>
          <w:p w14:paraId="3B8DED2D" w14:textId="77777777" w:rsidR="00AD036D" w:rsidRPr="00F80B42" w:rsidRDefault="00AD036D" w:rsidP="00F23A9F">
            <w:pPr>
              <w:pStyle w:val="NormalWeb"/>
              <w:spacing w:before="0" w:beforeAutospacing="0" w:after="0" w:afterAutospacing="0"/>
              <w:jc w:val="center"/>
              <w:rPr>
                <w:rFonts w:ascii="Arial Narrow" w:hAnsi="Arial Narrow" w:cs="Arial"/>
              </w:rPr>
            </w:pPr>
            <w:r>
              <w:rPr>
                <w:rFonts w:ascii="Arial Narrow" w:hAnsi="Arial Narrow" w:cs="Arial"/>
              </w:rPr>
              <w:t>1,445</w:t>
            </w:r>
          </w:p>
        </w:tc>
        <w:tc>
          <w:tcPr>
            <w:tcW w:w="1147" w:type="dxa"/>
          </w:tcPr>
          <w:p w14:paraId="4ED0A86B" w14:textId="77777777" w:rsidR="00AD036D" w:rsidRDefault="00AD036D" w:rsidP="00F23A9F">
            <w:pPr>
              <w:pStyle w:val="NormalWeb"/>
              <w:spacing w:before="0" w:beforeAutospacing="0" w:after="0" w:afterAutospacing="0"/>
              <w:jc w:val="center"/>
              <w:rPr>
                <w:rFonts w:ascii="Arial Narrow" w:hAnsi="Arial Narrow" w:cs="Arial"/>
              </w:rPr>
            </w:pPr>
            <w:r>
              <w:rPr>
                <w:rFonts w:ascii="Arial Narrow" w:hAnsi="Arial Narrow" w:cs="Arial"/>
              </w:rPr>
              <w:t>1,753</w:t>
            </w:r>
          </w:p>
        </w:tc>
        <w:tc>
          <w:tcPr>
            <w:tcW w:w="1148" w:type="dxa"/>
            <w:tcBorders>
              <w:right w:val="single" w:sz="12" w:space="0" w:color="auto"/>
            </w:tcBorders>
            <w:vAlign w:val="center"/>
          </w:tcPr>
          <w:p w14:paraId="35D9FF3E" w14:textId="1940B4AF" w:rsidR="00AD036D" w:rsidRPr="00F80B42" w:rsidRDefault="00AD036D" w:rsidP="00F23A9F">
            <w:pPr>
              <w:pStyle w:val="NormalWeb"/>
              <w:spacing w:before="0" w:beforeAutospacing="0" w:after="0" w:afterAutospacing="0"/>
              <w:jc w:val="center"/>
              <w:rPr>
                <w:rFonts w:ascii="Arial Narrow" w:hAnsi="Arial Narrow" w:cs="Arial"/>
              </w:rPr>
            </w:pPr>
            <w:r>
              <w:rPr>
                <w:rFonts w:ascii="Arial Narrow" w:hAnsi="Arial Narrow" w:cs="Arial"/>
              </w:rPr>
              <w:t>1,195</w:t>
            </w:r>
          </w:p>
        </w:tc>
      </w:tr>
      <w:tr w:rsidR="00AD036D" w14:paraId="5C05AD57" w14:textId="77777777" w:rsidTr="000B1F78">
        <w:trPr>
          <w:cantSplit/>
          <w:jc w:val="center"/>
        </w:trPr>
        <w:tc>
          <w:tcPr>
            <w:tcW w:w="2505" w:type="dxa"/>
            <w:tcBorders>
              <w:left w:val="single" w:sz="12" w:space="0" w:color="auto"/>
              <w:right w:val="single" w:sz="4" w:space="0" w:color="auto"/>
            </w:tcBorders>
            <w:vAlign w:val="center"/>
          </w:tcPr>
          <w:p w14:paraId="335D89D1" w14:textId="77777777" w:rsidR="00AD036D" w:rsidRPr="00067768" w:rsidRDefault="00AD036D" w:rsidP="00F23A9F">
            <w:pPr>
              <w:pStyle w:val="NormalWeb"/>
              <w:spacing w:before="0" w:beforeAutospacing="0" w:after="0" w:afterAutospacing="0"/>
              <w:rPr>
                <w:rFonts w:ascii="Arial Narrow" w:hAnsi="Arial Narrow" w:cs="Arial"/>
              </w:rPr>
            </w:pPr>
            <w:r w:rsidRPr="00067768">
              <w:rPr>
                <w:rFonts w:ascii="Arial Narrow" w:hAnsi="Arial Narrow" w:cs="Arial"/>
              </w:rPr>
              <w:t>Genitourinary</w:t>
            </w:r>
          </w:p>
        </w:tc>
        <w:tc>
          <w:tcPr>
            <w:tcW w:w="1147" w:type="dxa"/>
            <w:tcBorders>
              <w:left w:val="single" w:sz="4" w:space="0" w:color="auto"/>
              <w:right w:val="single" w:sz="4" w:space="0" w:color="auto"/>
            </w:tcBorders>
            <w:vAlign w:val="center"/>
          </w:tcPr>
          <w:p w14:paraId="267CD8B7" w14:textId="77777777" w:rsidR="00AD036D" w:rsidRPr="00E30BC4" w:rsidRDefault="00AD036D" w:rsidP="00F23A9F">
            <w:pPr>
              <w:pStyle w:val="NormalWeb"/>
              <w:spacing w:before="0" w:beforeAutospacing="0" w:after="0" w:afterAutospacing="0"/>
              <w:jc w:val="center"/>
              <w:rPr>
                <w:rFonts w:ascii="Arial Narrow" w:hAnsi="Arial Narrow" w:cs="Arial"/>
              </w:rPr>
            </w:pPr>
            <w:r w:rsidRPr="00E30BC4">
              <w:rPr>
                <w:rFonts w:ascii="Arial Narrow" w:hAnsi="Arial Narrow" w:cs="Arial"/>
              </w:rPr>
              <w:t>256</w:t>
            </w:r>
          </w:p>
        </w:tc>
        <w:tc>
          <w:tcPr>
            <w:tcW w:w="1148" w:type="dxa"/>
            <w:tcBorders>
              <w:left w:val="single" w:sz="4" w:space="0" w:color="auto"/>
            </w:tcBorders>
            <w:vAlign w:val="center"/>
          </w:tcPr>
          <w:p w14:paraId="1E92AA64" w14:textId="77777777" w:rsidR="00AD036D" w:rsidRPr="00F80B42" w:rsidRDefault="00AD036D" w:rsidP="00F23A9F">
            <w:pPr>
              <w:pStyle w:val="NormalWeb"/>
              <w:spacing w:before="0" w:beforeAutospacing="0" w:after="0" w:afterAutospacing="0"/>
              <w:jc w:val="center"/>
              <w:rPr>
                <w:rFonts w:ascii="Arial Narrow" w:hAnsi="Arial Narrow" w:cs="Arial"/>
              </w:rPr>
            </w:pPr>
            <w:r>
              <w:rPr>
                <w:rFonts w:ascii="Arial Narrow" w:hAnsi="Arial Narrow" w:cs="Arial"/>
              </w:rPr>
              <w:t>193</w:t>
            </w:r>
          </w:p>
        </w:tc>
        <w:tc>
          <w:tcPr>
            <w:tcW w:w="1147" w:type="dxa"/>
          </w:tcPr>
          <w:p w14:paraId="7B9F83DC" w14:textId="77777777" w:rsidR="00AD036D" w:rsidRDefault="00AD036D" w:rsidP="00F23A9F">
            <w:pPr>
              <w:pStyle w:val="NormalWeb"/>
              <w:spacing w:before="0" w:beforeAutospacing="0" w:after="0" w:afterAutospacing="0"/>
              <w:jc w:val="center"/>
              <w:rPr>
                <w:rFonts w:ascii="Arial Narrow" w:hAnsi="Arial Narrow" w:cs="Arial"/>
              </w:rPr>
            </w:pPr>
            <w:r>
              <w:rPr>
                <w:rFonts w:ascii="Arial Narrow" w:hAnsi="Arial Narrow" w:cs="Arial"/>
              </w:rPr>
              <w:t>185</w:t>
            </w:r>
          </w:p>
        </w:tc>
        <w:tc>
          <w:tcPr>
            <w:tcW w:w="1148" w:type="dxa"/>
            <w:tcBorders>
              <w:right w:val="single" w:sz="12" w:space="0" w:color="auto"/>
            </w:tcBorders>
            <w:vAlign w:val="center"/>
          </w:tcPr>
          <w:p w14:paraId="31927E57" w14:textId="5D56367B" w:rsidR="00AD036D" w:rsidRPr="00F80B42" w:rsidRDefault="00AD036D" w:rsidP="00F23A9F">
            <w:pPr>
              <w:pStyle w:val="NormalWeb"/>
              <w:spacing w:before="0" w:beforeAutospacing="0" w:after="0" w:afterAutospacing="0"/>
              <w:jc w:val="center"/>
              <w:rPr>
                <w:rFonts w:ascii="Arial Narrow" w:hAnsi="Arial Narrow" w:cs="Arial"/>
              </w:rPr>
            </w:pPr>
            <w:r>
              <w:rPr>
                <w:rFonts w:ascii="Arial Narrow" w:hAnsi="Arial Narrow" w:cs="Arial"/>
              </w:rPr>
              <w:t>164</w:t>
            </w:r>
          </w:p>
        </w:tc>
      </w:tr>
      <w:tr w:rsidR="00AD036D" w14:paraId="227E3C90" w14:textId="77777777" w:rsidTr="000B1F78">
        <w:trPr>
          <w:cantSplit/>
          <w:jc w:val="center"/>
        </w:trPr>
        <w:tc>
          <w:tcPr>
            <w:tcW w:w="2505" w:type="dxa"/>
            <w:tcBorders>
              <w:left w:val="single" w:sz="12" w:space="0" w:color="auto"/>
              <w:right w:val="single" w:sz="4" w:space="0" w:color="auto"/>
            </w:tcBorders>
            <w:vAlign w:val="center"/>
          </w:tcPr>
          <w:p w14:paraId="60D7C55C" w14:textId="77777777" w:rsidR="00AD036D" w:rsidRPr="00067768" w:rsidRDefault="00AD036D" w:rsidP="00F23A9F">
            <w:pPr>
              <w:pStyle w:val="NormalWeb"/>
              <w:spacing w:before="0" w:beforeAutospacing="0" w:after="0" w:afterAutospacing="0"/>
              <w:rPr>
                <w:rFonts w:ascii="Arial Narrow" w:hAnsi="Arial Narrow" w:cs="Arial"/>
              </w:rPr>
            </w:pPr>
            <w:r>
              <w:rPr>
                <w:rFonts w:ascii="Arial Narrow" w:hAnsi="Arial Narrow" w:cs="Arial"/>
              </w:rPr>
              <w:t>Neurosurgery</w:t>
            </w:r>
          </w:p>
        </w:tc>
        <w:tc>
          <w:tcPr>
            <w:tcW w:w="1147" w:type="dxa"/>
            <w:tcBorders>
              <w:left w:val="single" w:sz="4" w:space="0" w:color="auto"/>
              <w:right w:val="single" w:sz="4" w:space="0" w:color="auto"/>
            </w:tcBorders>
            <w:vAlign w:val="center"/>
          </w:tcPr>
          <w:p w14:paraId="50BB43B2" w14:textId="77777777" w:rsidR="00AD036D" w:rsidRPr="00E30BC4" w:rsidRDefault="00AD036D" w:rsidP="00F23A9F">
            <w:pPr>
              <w:pStyle w:val="NormalWeb"/>
              <w:spacing w:before="0" w:beforeAutospacing="0" w:after="0" w:afterAutospacing="0"/>
              <w:jc w:val="center"/>
              <w:rPr>
                <w:rFonts w:ascii="Arial Narrow" w:hAnsi="Arial Narrow" w:cs="Arial"/>
              </w:rPr>
            </w:pPr>
            <w:r w:rsidRPr="00E30BC4">
              <w:rPr>
                <w:rFonts w:ascii="Arial Narrow" w:hAnsi="Arial Narrow" w:cs="Arial"/>
              </w:rPr>
              <w:t>385</w:t>
            </w:r>
          </w:p>
        </w:tc>
        <w:tc>
          <w:tcPr>
            <w:tcW w:w="1148" w:type="dxa"/>
            <w:tcBorders>
              <w:left w:val="single" w:sz="4" w:space="0" w:color="auto"/>
            </w:tcBorders>
            <w:vAlign w:val="center"/>
          </w:tcPr>
          <w:p w14:paraId="3B20E55F" w14:textId="77777777" w:rsidR="00AD036D" w:rsidRPr="00B95D0D" w:rsidRDefault="00AD036D" w:rsidP="00F23A9F">
            <w:pPr>
              <w:pStyle w:val="NormalWeb"/>
              <w:spacing w:before="0" w:beforeAutospacing="0" w:after="0" w:afterAutospacing="0"/>
              <w:jc w:val="center"/>
              <w:rPr>
                <w:rFonts w:ascii="Arial Narrow" w:hAnsi="Arial Narrow" w:cs="Arial"/>
              </w:rPr>
            </w:pPr>
            <w:r>
              <w:rPr>
                <w:rFonts w:ascii="Arial Narrow" w:hAnsi="Arial Narrow" w:cs="Arial"/>
              </w:rPr>
              <w:t>379</w:t>
            </w:r>
          </w:p>
        </w:tc>
        <w:tc>
          <w:tcPr>
            <w:tcW w:w="1147" w:type="dxa"/>
          </w:tcPr>
          <w:p w14:paraId="780C41F4" w14:textId="77777777" w:rsidR="00AD036D" w:rsidRDefault="00AD036D" w:rsidP="00F23A9F">
            <w:pPr>
              <w:pStyle w:val="NormalWeb"/>
              <w:spacing w:before="0" w:beforeAutospacing="0" w:after="0" w:afterAutospacing="0"/>
              <w:jc w:val="center"/>
              <w:rPr>
                <w:rFonts w:ascii="Arial Narrow" w:hAnsi="Arial Narrow" w:cs="Arial"/>
              </w:rPr>
            </w:pPr>
            <w:r>
              <w:rPr>
                <w:rFonts w:ascii="Arial Narrow" w:hAnsi="Arial Narrow" w:cs="Arial"/>
              </w:rPr>
              <w:t>371</w:t>
            </w:r>
          </w:p>
        </w:tc>
        <w:tc>
          <w:tcPr>
            <w:tcW w:w="1148" w:type="dxa"/>
            <w:tcBorders>
              <w:right w:val="single" w:sz="12" w:space="0" w:color="auto"/>
            </w:tcBorders>
            <w:vAlign w:val="center"/>
          </w:tcPr>
          <w:p w14:paraId="094B22AF" w14:textId="3D881016" w:rsidR="00AD036D" w:rsidRPr="00B95D0D" w:rsidRDefault="00AD036D" w:rsidP="00F23A9F">
            <w:pPr>
              <w:pStyle w:val="NormalWeb"/>
              <w:spacing w:before="0" w:beforeAutospacing="0" w:after="0" w:afterAutospacing="0"/>
              <w:jc w:val="center"/>
              <w:rPr>
                <w:rFonts w:ascii="Arial Narrow" w:hAnsi="Arial Narrow" w:cs="Arial"/>
              </w:rPr>
            </w:pPr>
            <w:r>
              <w:rPr>
                <w:rFonts w:ascii="Arial Narrow" w:hAnsi="Arial Narrow" w:cs="Arial"/>
              </w:rPr>
              <w:t>257</w:t>
            </w:r>
          </w:p>
        </w:tc>
      </w:tr>
      <w:tr w:rsidR="00AD036D" w14:paraId="1A4A72E5" w14:textId="77777777" w:rsidTr="000B1F78">
        <w:trPr>
          <w:cantSplit/>
          <w:jc w:val="center"/>
        </w:trPr>
        <w:tc>
          <w:tcPr>
            <w:tcW w:w="2505" w:type="dxa"/>
            <w:tcBorders>
              <w:left w:val="single" w:sz="12" w:space="0" w:color="auto"/>
              <w:right w:val="single" w:sz="4" w:space="0" w:color="auto"/>
            </w:tcBorders>
            <w:vAlign w:val="center"/>
          </w:tcPr>
          <w:p w14:paraId="5FE62180" w14:textId="77777777" w:rsidR="00AD036D" w:rsidRPr="00067768" w:rsidRDefault="00AD036D" w:rsidP="00F23A9F">
            <w:pPr>
              <w:pStyle w:val="NormalWeb"/>
              <w:spacing w:before="0" w:beforeAutospacing="0" w:after="0" w:afterAutospacing="0"/>
              <w:rPr>
                <w:rFonts w:ascii="Arial Narrow" w:hAnsi="Arial Narrow" w:cs="Arial"/>
              </w:rPr>
            </w:pPr>
            <w:r>
              <w:rPr>
                <w:rFonts w:ascii="Arial Narrow" w:hAnsi="Arial Narrow" w:cs="Arial"/>
              </w:rPr>
              <w:t>OB/GYN</w:t>
            </w:r>
          </w:p>
        </w:tc>
        <w:tc>
          <w:tcPr>
            <w:tcW w:w="1147" w:type="dxa"/>
            <w:tcBorders>
              <w:left w:val="single" w:sz="4" w:space="0" w:color="auto"/>
              <w:right w:val="single" w:sz="4" w:space="0" w:color="auto"/>
            </w:tcBorders>
            <w:vAlign w:val="center"/>
          </w:tcPr>
          <w:p w14:paraId="1AA00664" w14:textId="77777777" w:rsidR="00AD036D" w:rsidRPr="00E30BC4" w:rsidRDefault="00AD036D" w:rsidP="00F23A9F">
            <w:pPr>
              <w:pStyle w:val="NormalWeb"/>
              <w:spacing w:before="0" w:beforeAutospacing="0" w:after="0" w:afterAutospacing="0"/>
              <w:jc w:val="center"/>
              <w:rPr>
                <w:rFonts w:ascii="Arial Narrow" w:hAnsi="Arial Narrow" w:cs="Arial"/>
              </w:rPr>
            </w:pPr>
            <w:r w:rsidRPr="00E30BC4">
              <w:rPr>
                <w:rFonts w:ascii="Arial Narrow" w:hAnsi="Arial Narrow" w:cs="Arial"/>
              </w:rPr>
              <w:t>268</w:t>
            </w:r>
          </w:p>
        </w:tc>
        <w:tc>
          <w:tcPr>
            <w:tcW w:w="1148" w:type="dxa"/>
            <w:tcBorders>
              <w:left w:val="single" w:sz="4" w:space="0" w:color="auto"/>
            </w:tcBorders>
            <w:vAlign w:val="center"/>
          </w:tcPr>
          <w:p w14:paraId="0821EA78" w14:textId="77777777" w:rsidR="00AD036D" w:rsidRPr="00B95D0D" w:rsidRDefault="00AD036D" w:rsidP="00F23A9F">
            <w:pPr>
              <w:pStyle w:val="NormalWeb"/>
              <w:spacing w:before="0" w:beforeAutospacing="0" w:after="0" w:afterAutospacing="0"/>
              <w:jc w:val="center"/>
              <w:rPr>
                <w:rFonts w:ascii="Arial Narrow" w:hAnsi="Arial Narrow" w:cs="Arial"/>
              </w:rPr>
            </w:pPr>
            <w:r>
              <w:rPr>
                <w:rFonts w:ascii="Arial Narrow" w:hAnsi="Arial Narrow" w:cs="Arial"/>
              </w:rPr>
              <w:t>249</w:t>
            </w:r>
          </w:p>
        </w:tc>
        <w:tc>
          <w:tcPr>
            <w:tcW w:w="1147" w:type="dxa"/>
          </w:tcPr>
          <w:p w14:paraId="182CC3A8" w14:textId="77777777" w:rsidR="00AD036D" w:rsidRDefault="00AD036D" w:rsidP="00F23A9F">
            <w:pPr>
              <w:pStyle w:val="NormalWeb"/>
              <w:spacing w:before="0" w:beforeAutospacing="0" w:after="0" w:afterAutospacing="0"/>
              <w:jc w:val="center"/>
              <w:rPr>
                <w:rFonts w:ascii="Arial Narrow" w:hAnsi="Arial Narrow" w:cs="Arial"/>
              </w:rPr>
            </w:pPr>
            <w:r>
              <w:rPr>
                <w:rFonts w:ascii="Arial Narrow" w:hAnsi="Arial Narrow" w:cs="Arial"/>
              </w:rPr>
              <w:t>286</w:t>
            </w:r>
          </w:p>
        </w:tc>
        <w:tc>
          <w:tcPr>
            <w:tcW w:w="1148" w:type="dxa"/>
            <w:tcBorders>
              <w:right w:val="single" w:sz="12" w:space="0" w:color="auto"/>
            </w:tcBorders>
            <w:vAlign w:val="center"/>
          </w:tcPr>
          <w:p w14:paraId="085AB124" w14:textId="225082FD" w:rsidR="00AD036D" w:rsidRPr="00B95D0D" w:rsidRDefault="00AD036D" w:rsidP="00F23A9F">
            <w:pPr>
              <w:pStyle w:val="NormalWeb"/>
              <w:spacing w:before="0" w:beforeAutospacing="0" w:after="0" w:afterAutospacing="0"/>
              <w:jc w:val="center"/>
              <w:rPr>
                <w:rFonts w:ascii="Arial Narrow" w:hAnsi="Arial Narrow" w:cs="Arial"/>
              </w:rPr>
            </w:pPr>
            <w:r>
              <w:rPr>
                <w:rFonts w:ascii="Arial Narrow" w:hAnsi="Arial Narrow" w:cs="Arial"/>
              </w:rPr>
              <w:t>221</w:t>
            </w:r>
          </w:p>
        </w:tc>
      </w:tr>
      <w:tr w:rsidR="00AD036D" w14:paraId="2ECDEE9C" w14:textId="77777777" w:rsidTr="000B1F78">
        <w:trPr>
          <w:cantSplit/>
          <w:jc w:val="center"/>
        </w:trPr>
        <w:tc>
          <w:tcPr>
            <w:tcW w:w="2505" w:type="dxa"/>
            <w:tcBorders>
              <w:left w:val="single" w:sz="12" w:space="0" w:color="auto"/>
              <w:right w:val="single" w:sz="4" w:space="0" w:color="auto"/>
            </w:tcBorders>
            <w:vAlign w:val="center"/>
          </w:tcPr>
          <w:p w14:paraId="3526733D" w14:textId="77777777" w:rsidR="00AD036D" w:rsidRPr="00B74575" w:rsidRDefault="00AD036D" w:rsidP="00F23A9F">
            <w:pPr>
              <w:pStyle w:val="NormalWeb"/>
              <w:spacing w:before="0" w:beforeAutospacing="0" w:after="0" w:afterAutospacing="0"/>
              <w:rPr>
                <w:rFonts w:ascii="Arial Narrow" w:hAnsi="Arial Narrow" w:cs="Arial"/>
              </w:rPr>
            </w:pPr>
            <w:r w:rsidRPr="00B74575">
              <w:rPr>
                <w:rFonts w:ascii="Arial Narrow" w:hAnsi="Arial Narrow" w:cs="Arial"/>
              </w:rPr>
              <w:lastRenderedPageBreak/>
              <w:t>Ophthalmology</w:t>
            </w:r>
          </w:p>
        </w:tc>
        <w:tc>
          <w:tcPr>
            <w:tcW w:w="1147" w:type="dxa"/>
            <w:tcBorders>
              <w:left w:val="single" w:sz="4" w:space="0" w:color="auto"/>
              <w:right w:val="single" w:sz="4" w:space="0" w:color="auto"/>
            </w:tcBorders>
            <w:vAlign w:val="center"/>
          </w:tcPr>
          <w:p w14:paraId="1F1FBFE8" w14:textId="77777777" w:rsidR="00AD036D" w:rsidRPr="00E30BC4" w:rsidRDefault="00AD036D" w:rsidP="00F23A9F">
            <w:pPr>
              <w:pStyle w:val="NormalWeb"/>
              <w:spacing w:before="0" w:beforeAutospacing="0" w:after="0" w:afterAutospacing="0"/>
              <w:jc w:val="center"/>
              <w:rPr>
                <w:rFonts w:ascii="Arial Narrow" w:hAnsi="Arial Narrow" w:cs="Arial"/>
              </w:rPr>
            </w:pPr>
            <w:r w:rsidRPr="00E30BC4">
              <w:rPr>
                <w:rFonts w:ascii="Arial Narrow" w:hAnsi="Arial Narrow" w:cs="Arial"/>
              </w:rPr>
              <w:t>14</w:t>
            </w:r>
          </w:p>
        </w:tc>
        <w:tc>
          <w:tcPr>
            <w:tcW w:w="1148" w:type="dxa"/>
            <w:tcBorders>
              <w:left w:val="single" w:sz="4" w:space="0" w:color="auto"/>
            </w:tcBorders>
            <w:vAlign w:val="center"/>
          </w:tcPr>
          <w:p w14:paraId="2011EB78" w14:textId="77777777" w:rsidR="00AD036D" w:rsidRPr="00B95D0D" w:rsidRDefault="00AD036D" w:rsidP="00F23A9F">
            <w:pPr>
              <w:pStyle w:val="NormalWeb"/>
              <w:spacing w:before="0" w:beforeAutospacing="0" w:after="0" w:afterAutospacing="0"/>
              <w:jc w:val="center"/>
              <w:rPr>
                <w:rFonts w:ascii="Arial Narrow" w:hAnsi="Arial Narrow" w:cs="Arial"/>
              </w:rPr>
            </w:pPr>
            <w:r>
              <w:rPr>
                <w:rFonts w:ascii="Arial Narrow" w:hAnsi="Arial Narrow" w:cs="Arial"/>
              </w:rPr>
              <w:t>12</w:t>
            </w:r>
          </w:p>
        </w:tc>
        <w:tc>
          <w:tcPr>
            <w:tcW w:w="1147" w:type="dxa"/>
          </w:tcPr>
          <w:p w14:paraId="6A83194E" w14:textId="77777777" w:rsidR="00AD036D" w:rsidRDefault="00AD036D" w:rsidP="00F23A9F">
            <w:pPr>
              <w:pStyle w:val="NormalWeb"/>
              <w:spacing w:before="0" w:beforeAutospacing="0" w:after="0" w:afterAutospacing="0"/>
              <w:jc w:val="center"/>
              <w:rPr>
                <w:rFonts w:ascii="Arial Narrow" w:hAnsi="Arial Narrow" w:cs="Arial"/>
              </w:rPr>
            </w:pPr>
            <w:r>
              <w:rPr>
                <w:rFonts w:ascii="Arial Narrow" w:hAnsi="Arial Narrow" w:cs="Arial"/>
              </w:rPr>
              <w:t>16</w:t>
            </w:r>
          </w:p>
        </w:tc>
        <w:tc>
          <w:tcPr>
            <w:tcW w:w="1148" w:type="dxa"/>
            <w:tcBorders>
              <w:right w:val="single" w:sz="12" w:space="0" w:color="auto"/>
            </w:tcBorders>
            <w:vAlign w:val="center"/>
          </w:tcPr>
          <w:p w14:paraId="426EC6D0" w14:textId="628BF9A3" w:rsidR="00AD036D" w:rsidRPr="00B95D0D" w:rsidRDefault="00AD036D" w:rsidP="00F23A9F">
            <w:pPr>
              <w:pStyle w:val="NormalWeb"/>
              <w:spacing w:before="0" w:beforeAutospacing="0" w:after="0" w:afterAutospacing="0"/>
              <w:jc w:val="center"/>
              <w:rPr>
                <w:rFonts w:ascii="Arial Narrow" w:hAnsi="Arial Narrow" w:cs="Arial"/>
              </w:rPr>
            </w:pPr>
            <w:r>
              <w:rPr>
                <w:rFonts w:ascii="Arial Narrow" w:hAnsi="Arial Narrow" w:cs="Arial"/>
              </w:rPr>
              <w:t>15</w:t>
            </w:r>
          </w:p>
        </w:tc>
      </w:tr>
      <w:tr w:rsidR="00586D86" w14:paraId="5706736B" w14:textId="77777777" w:rsidTr="000B1F78">
        <w:trPr>
          <w:cantSplit/>
          <w:jc w:val="center"/>
        </w:trPr>
        <w:tc>
          <w:tcPr>
            <w:tcW w:w="2505" w:type="dxa"/>
            <w:tcBorders>
              <w:left w:val="single" w:sz="12" w:space="0" w:color="auto"/>
              <w:right w:val="single" w:sz="4" w:space="0" w:color="auto"/>
            </w:tcBorders>
            <w:vAlign w:val="center"/>
          </w:tcPr>
          <w:p w14:paraId="2D47905E" w14:textId="77777777" w:rsidR="00AD036D" w:rsidRPr="00067768" w:rsidRDefault="00AD036D" w:rsidP="00F23A9F">
            <w:pPr>
              <w:pStyle w:val="NormalWeb"/>
              <w:spacing w:before="0" w:beforeAutospacing="0" w:after="0" w:afterAutospacing="0"/>
              <w:rPr>
                <w:rFonts w:ascii="Arial Narrow" w:hAnsi="Arial Narrow" w:cs="Arial"/>
              </w:rPr>
            </w:pPr>
            <w:r>
              <w:rPr>
                <w:rFonts w:ascii="Arial Narrow" w:hAnsi="Arial Narrow" w:cs="Arial"/>
              </w:rPr>
              <w:t>Oral</w:t>
            </w:r>
            <w:r>
              <w:rPr>
                <w:rFonts w:ascii="ZWAdobeF" w:hAnsi="ZWAdobeF" w:cs="ZWAdobeF"/>
                <w:sz w:val="2"/>
                <w:szCs w:val="2"/>
              </w:rPr>
              <w:t>53F</w:t>
            </w:r>
            <w:r>
              <w:rPr>
                <w:rStyle w:val="EndnoteReference"/>
                <w:rFonts w:ascii="Arial Narrow" w:hAnsi="Arial Narrow" w:cs="Arial"/>
              </w:rPr>
              <w:endnoteReference w:id="10"/>
            </w:r>
          </w:p>
        </w:tc>
        <w:tc>
          <w:tcPr>
            <w:tcW w:w="1147" w:type="dxa"/>
            <w:tcBorders>
              <w:left w:val="single" w:sz="4" w:space="0" w:color="auto"/>
              <w:right w:val="single" w:sz="4" w:space="0" w:color="auto"/>
            </w:tcBorders>
            <w:vAlign w:val="center"/>
          </w:tcPr>
          <w:p w14:paraId="2D7A3ABE" w14:textId="77777777" w:rsidR="00586D86" w:rsidRPr="00E30BC4" w:rsidRDefault="00586D86" w:rsidP="00F23A9F">
            <w:pPr>
              <w:pStyle w:val="NormalWeb"/>
              <w:spacing w:before="0" w:beforeAutospacing="0" w:after="0" w:afterAutospacing="0"/>
              <w:jc w:val="center"/>
              <w:rPr>
                <w:rFonts w:ascii="Arial Narrow" w:hAnsi="Arial Narrow" w:cs="Arial"/>
              </w:rPr>
            </w:pPr>
            <w:r w:rsidRPr="00E30BC4">
              <w:rPr>
                <w:rFonts w:ascii="Arial Narrow" w:hAnsi="Arial Narrow" w:cs="Arial"/>
              </w:rPr>
              <w:t>386</w:t>
            </w:r>
          </w:p>
        </w:tc>
        <w:tc>
          <w:tcPr>
            <w:tcW w:w="1148" w:type="dxa"/>
            <w:tcBorders>
              <w:left w:val="single" w:sz="4" w:space="0" w:color="auto"/>
            </w:tcBorders>
            <w:vAlign w:val="center"/>
          </w:tcPr>
          <w:p w14:paraId="452C67A3" w14:textId="77777777" w:rsidR="00586D86" w:rsidRPr="00B95D0D" w:rsidRDefault="00586D86" w:rsidP="00F23A9F">
            <w:pPr>
              <w:pStyle w:val="NormalWeb"/>
              <w:spacing w:before="0" w:beforeAutospacing="0" w:after="0" w:afterAutospacing="0"/>
              <w:jc w:val="center"/>
              <w:rPr>
                <w:rFonts w:ascii="Arial Narrow" w:hAnsi="Arial Narrow" w:cs="Arial"/>
              </w:rPr>
            </w:pPr>
            <w:r>
              <w:rPr>
                <w:rFonts w:ascii="Arial Narrow" w:hAnsi="Arial Narrow" w:cs="Arial"/>
              </w:rPr>
              <w:t>316</w:t>
            </w:r>
          </w:p>
        </w:tc>
        <w:tc>
          <w:tcPr>
            <w:tcW w:w="1147" w:type="dxa"/>
          </w:tcPr>
          <w:p w14:paraId="53909F2C" w14:textId="77777777" w:rsidR="00586D86" w:rsidRDefault="00586D86" w:rsidP="00F23A9F">
            <w:pPr>
              <w:pStyle w:val="NormalWeb"/>
              <w:spacing w:before="0" w:beforeAutospacing="0" w:after="0" w:afterAutospacing="0"/>
              <w:jc w:val="center"/>
              <w:rPr>
                <w:rFonts w:ascii="Arial Narrow" w:hAnsi="Arial Narrow" w:cs="Arial"/>
              </w:rPr>
            </w:pPr>
            <w:r>
              <w:rPr>
                <w:rFonts w:ascii="Arial Narrow" w:hAnsi="Arial Narrow" w:cs="Arial"/>
              </w:rPr>
              <w:t>349</w:t>
            </w:r>
          </w:p>
        </w:tc>
        <w:tc>
          <w:tcPr>
            <w:tcW w:w="1148" w:type="dxa"/>
            <w:tcBorders>
              <w:right w:val="single" w:sz="12" w:space="0" w:color="auto"/>
            </w:tcBorders>
            <w:vAlign w:val="center"/>
          </w:tcPr>
          <w:p w14:paraId="6E373558" w14:textId="4D04AB7E" w:rsidR="00586D86" w:rsidRPr="00B95D0D" w:rsidRDefault="00566C83" w:rsidP="00F23A9F">
            <w:pPr>
              <w:pStyle w:val="NormalWeb"/>
              <w:spacing w:before="0" w:beforeAutospacing="0" w:after="0" w:afterAutospacing="0"/>
              <w:jc w:val="center"/>
              <w:rPr>
                <w:rFonts w:ascii="Arial Narrow" w:hAnsi="Arial Narrow" w:cs="Arial"/>
              </w:rPr>
            </w:pPr>
            <w:r>
              <w:rPr>
                <w:rFonts w:ascii="Arial Narrow" w:hAnsi="Arial Narrow" w:cs="Arial"/>
              </w:rPr>
              <w:t>333</w:t>
            </w:r>
          </w:p>
        </w:tc>
      </w:tr>
      <w:tr w:rsidR="00586D86" w14:paraId="78189D14" w14:textId="77777777" w:rsidTr="000B1F78">
        <w:trPr>
          <w:cantSplit/>
          <w:jc w:val="center"/>
        </w:trPr>
        <w:tc>
          <w:tcPr>
            <w:tcW w:w="2505" w:type="dxa"/>
            <w:tcBorders>
              <w:left w:val="single" w:sz="12" w:space="0" w:color="auto"/>
              <w:right w:val="single" w:sz="4" w:space="0" w:color="auto"/>
            </w:tcBorders>
            <w:vAlign w:val="center"/>
          </w:tcPr>
          <w:p w14:paraId="2D86B2DA" w14:textId="77777777" w:rsidR="00586D86" w:rsidRPr="00067768" w:rsidRDefault="00586D86" w:rsidP="00F23A9F">
            <w:pPr>
              <w:pStyle w:val="NormalWeb"/>
              <w:spacing w:before="0" w:beforeAutospacing="0" w:after="0" w:afterAutospacing="0"/>
              <w:rPr>
                <w:rFonts w:ascii="Arial Narrow" w:hAnsi="Arial Narrow" w:cs="Arial"/>
              </w:rPr>
            </w:pPr>
            <w:r>
              <w:rPr>
                <w:rFonts w:ascii="Arial Narrow" w:hAnsi="Arial Narrow" w:cs="Arial"/>
              </w:rPr>
              <w:t>Orthopedics</w:t>
            </w:r>
          </w:p>
        </w:tc>
        <w:tc>
          <w:tcPr>
            <w:tcW w:w="1147" w:type="dxa"/>
            <w:tcBorders>
              <w:left w:val="single" w:sz="4" w:space="0" w:color="auto"/>
              <w:right w:val="single" w:sz="4" w:space="0" w:color="auto"/>
            </w:tcBorders>
            <w:vAlign w:val="center"/>
          </w:tcPr>
          <w:p w14:paraId="23882D03" w14:textId="77777777" w:rsidR="00586D86" w:rsidRPr="00E30BC4" w:rsidRDefault="00586D86" w:rsidP="00F23A9F">
            <w:pPr>
              <w:pStyle w:val="NormalWeb"/>
              <w:spacing w:before="0" w:beforeAutospacing="0" w:after="0" w:afterAutospacing="0"/>
              <w:jc w:val="center"/>
              <w:rPr>
                <w:rFonts w:ascii="Arial Narrow" w:hAnsi="Arial Narrow" w:cs="Arial"/>
              </w:rPr>
            </w:pPr>
            <w:r w:rsidRPr="00E30BC4">
              <w:rPr>
                <w:rFonts w:ascii="Arial Narrow" w:hAnsi="Arial Narrow" w:cs="Arial"/>
              </w:rPr>
              <w:t>1,686</w:t>
            </w:r>
          </w:p>
        </w:tc>
        <w:tc>
          <w:tcPr>
            <w:tcW w:w="1148" w:type="dxa"/>
            <w:tcBorders>
              <w:left w:val="single" w:sz="4" w:space="0" w:color="auto"/>
            </w:tcBorders>
            <w:vAlign w:val="center"/>
          </w:tcPr>
          <w:p w14:paraId="3A33A16F" w14:textId="77777777" w:rsidR="00586D86" w:rsidRPr="00B95D0D" w:rsidRDefault="00586D86" w:rsidP="00F23A9F">
            <w:pPr>
              <w:pStyle w:val="NormalWeb"/>
              <w:spacing w:before="0" w:beforeAutospacing="0" w:after="0" w:afterAutospacing="0"/>
              <w:jc w:val="center"/>
              <w:rPr>
                <w:rFonts w:ascii="Arial Narrow" w:hAnsi="Arial Narrow" w:cs="Arial"/>
              </w:rPr>
            </w:pPr>
            <w:r>
              <w:rPr>
                <w:rFonts w:ascii="Arial Narrow" w:hAnsi="Arial Narrow" w:cs="Arial"/>
              </w:rPr>
              <w:t>1,296</w:t>
            </w:r>
          </w:p>
        </w:tc>
        <w:tc>
          <w:tcPr>
            <w:tcW w:w="1147" w:type="dxa"/>
          </w:tcPr>
          <w:p w14:paraId="69C4F4E4" w14:textId="77777777" w:rsidR="00586D86" w:rsidRDefault="00586D86" w:rsidP="00F23A9F">
            <w:pPr>
              <w:pStyle w:val="NormalWeb"/>
              <w:spacing w:before="0" w:beforeAutospacing="0" w:after="0" w:afterAutospacing="0"/>
              <w:jc w:val="center"/>
              <w:rPr>
                <w:rFonts w:ascii="Arial Narrow" w:hAnsi="Arial Narrow" w:cs="Arial"/>
              </w:rPr>
            </w:pPr>
            <w:r>
              <w:rPr>
                <w:rFonts w:ascii="Arial Narrow" w:hAnsi="Arial Narrow" w:cs="Arial"/>
              </w:rPr>
              <w:t>1,508</w:t>
            </w:r>
          </w:p>
        </w:tc>
        <w:tc>
          <w:tcPr>
            <w:tcW w:w="1148" w:type="dxa"/>
            <w:tcBorders>
              <w:right w:val="single" w:sz="12" w:space="0" w:color="auto"/>
            </w:tcBorders>
            <w:vAlign w:val="center"/>
          </w:tcPr>
          <w:p w14:paraId="43F3B94D" w14:textId="545967F5" w:rsidR="00586D86" w:rsidRPr="00B95D0D" w:rsidRDefault="00F71B10" w:rsidP="00F23A9F">
            <w:pPr>
              <w:pStyle w:val="NormalWeb"/>
              <w:spacing w:before="0" w:beforeAutospacing="0" w:after="0" w:afterAutospacing="0"/>
              <w:jc w:val="center"/>
              <w:rPr>
                <w:rFonts w:ascii="Arial Narrow" w:hAnsi="Arial Narrow" w:cs="Arial"/>
              </w:rPr>
            </w:pPr>
            <w:r>
              <w:rPr>
                <w:rFonts w:ascii="Arial Narrow" w:hAnsi="Arial Narrow" w:cs="Arial"/>
              </w:rPr>
              <w:t>1,232</w:t>
            </w:r>
          </w:p>
        </w:tc>
      </w:tr>
      <w:tr w:rsidR="00586D86" w14:paraId="513F68A9" w14:textId="77777777" w:rsidTr="000B1F78">
        <w:trPr>
          <w:cantSplit/>
          <w:jc w:val="center"/>
        </w:trPr>
        <w:tc>
          <w:tcPr>
            <w:tcW w:w="2505" w:type="dxa"/>
            <w:tcBorders>
              <w:left w:val="single" w:sz="12" w:space="0" w:color="auto"/>
              <w:right w:val="single" w:sz="4" w:space="0" w:color="auto"/>
            </w:tcBorders>
            <w:vAlign w:val="center"/>
          </w:tcPr>
          <w:p w14:paraId="634F0DDC" w14:textId="77777777" w:rsidR="00586D86" w:rsidRPr="00B74575" w:rsidRDefault="00586D86" w:rsidP="00F23A9F">
            <w:pPr>
              <w:pStyle w:val="NormalWeb"/>
              <w:spacing w:before="0" w:beforeAutospacing="0" w:after="0" w:afterAutospacing="0"/>
              <w:rPr>
                <w:rFonts w:ascii="Arial Narrow" w:hAnsi="Arial Narrow" w:cs="Arial"/>
              </w:rPr>
            </w:pPr>
            <w:r w:rsidRPr="00B74575">
              <w:rPr>
                <w:rFonts w:ascii="Arial Narrow" w:hAnsi="Arial Narrow" w:cs="Arial"/>
              </w:rPr>
              <w:t>Otolaryngology</w:t>
            </w:r>
          </w:p>
        </w:tc>
        <w:tc>
          <w:tcPr>
            <w:tcW w:w="1147" w:type="dxa"/>
            <w:tcBorders>
              <w:left w:val="single" w:sz="4" w:space="0" w:color="auto"/>
              <w:right w:val="single" w:sz="4" w:space="0" w:color="auto"/>
            </w:tcBorders>
            <w:vAlign w:val="center"/>
          </w:tcPr>
          <w:p w14:paraId="6AD3AC07" w14:textId="77777777" w:rsidR="00586D86" w:rsidRPr="00E30BC4" w:rsidRDefault="00586D86" w:rsidP="00F23A9F">
            <w:pPr>
              <w:pStyle w:val="NormalWeb"/>
              <w:spacing w:before="0" w:beforeAutospacing="0" w:after="0" w:afterAutospacing="0"/>
              <w:jc w:val="center"/>
              <w:rPr>
                <w:rFonts w:ascii="Arial Narrow" w:hAnsi="Arial Narrow" w:cs="Arial"/>
              </w:rPr>
            </w:pPr>
            <w:r w:rsidRPr="00E30BC4">
              <w:rPr>
                <w:rFonts w:ascii="Arial Narrow" w:hAnsi="Arial Narrow" w:cs="Arial"/>
              </w:rPr>
              <w:t>271</w:t>
            </w:r>
          </w:p>
        </w:tc>
        <w:tc>
          <w:tcPr>
            <w:tcW w:w="1148" w:type="dxa"/>
            <w:tcBorders>
              <w:left w:val="single" w:sz="4" w:space="0" w:color="auto"/>
            </w:tcBorders>
            <w:vAlign w:val="center"/>
          </w:tcPr>
          <w:p w14:paraId="557B7317" w14:textId="77777777" w:rsidR="00586D86" w:rsidRPr="00B95D0D" w:rsidRDefault="00586D86" w:rsidP="00F23A9F">
            <w:pPr>
              <w:pStyle w:val="NormalWeb"/>
              <w:spacing w:before="0" w:beforeAutospacing="0" w:after="0" w:afterAutospacing="0"/>
              <w:jc w:val="center"/>
              <w:rPr>
                <w:rFonts w:ascii="Arial Narrow" w:hAnsi="Arial Narrow" w:cs="Arial"/>
              </w:rPr>
            </w:pPr>
            <w:r>
              <w:rPr>
                <w:rFonts w:ascii="Arial Narrow" w:hAnsi="Arial Narrow" w:cs="Arial"/>
              </w:rPr>
              <w:t>223</w:t>
            </w:r>
          </w:p>
        </w:tc>
        <w:tc>
          <w:tcPr>
            <w:tcW w:w="1147" w:type="dxa"/>
          </w:tcPr>
          <w:p w14:paraId="7BFB1E95" w14:textId="77777777" w:rsidR="00586D86" w:rsidRDefault="00586D86" w:rsidP="00F23A9F">
            <w:pPr>
              <w:pStyle w:val="NormalWeb"/>
              <w:spacing w:before="0" w:beforeAutospacing="0" w:after="0" w:afterAutospacing="0"/>
              <w:jc w:val="center"/>
              <w:rPr>
                <w:rFonts w:ascii="Arial Narrow" w:hAnsi="Arial Narrow" w:cs="Arial"/>
              </w:rPr>
            </w:pPr>
            <w:r>
              <w:rPr>
                <w:rFonts w:ascii="Arial Narrow" w:hAnsi="Arial Narrow" w:cs="Arial"/>
              </w:rPr>
              <w:t>264</w:t>
            </w:r>
          </w:p>
        </w:tc>
        <w:tc>
          <w:tcPr>
            <w:tcW w:w="1148" w:type="dxa"/>
            <w:tcBorders>
              <w:right w:val="single" w:sz="12" w:space="0" w:color="auto"/>
            </w:tcBorders>
            <w:vAlign w:val="center"/>
          </w:tcPr>
          <w:p w14:paraId="6BD1232D" w14:textId="370734AC" w:rsidR="00586D86" w:rsidRPr="00B95D0D" w:rsidRDefault="00F71B10" w:rsidP="00F23A9F">
            <w:pPr>
              <w:pStyle w:val="NormalWeb"/>
              <w:spacing w:before="0" w:beforeAutospacing="0" w:after="0" w:afterAutospacing="0"/>
              <w:jc w:val="center"/>
              <w:rPr>
                <w:rFonts w:ascii="Arial Narrow" w:hAnsi="Arial Narrow" w:cs="Arial"/>
              </w:rPr>
            </w:pPr>
            <w:r>
              <w:rPr>
                <w:rFonts w:ascii="Arial Narrow" w:hAnsi="Arial Narrow" w:cs="Arial"/>
              </w:rPr>
              <w:t>163</w:t>
            </w:r>
          </w:p>
        </w:tc>
      </w:tr>
      <w:tr w:rsidR="00586D86" w14:paraId="2F3E3B5B" w14:textId="77777777" w:rsidTr="000B1F78">
        <w:trPr>
          <w:cantSplit/>
          <w:jc w:val="center"/>
        </w:trPr>
        <w:tc>
          <w:tcPr>
            <w:tcW w:w="2505" w:type="dxa"/>
            <w:tcBorders>
              <w:left w:val="single" w:sz="12" w:space="0" w:color="auto"/>
              <w:right w:val="single" w:sz="4" w:space="0" w:color="auto"/>
            </w:tcBorders>
            <w:vAlign w:val="center"/>
          </w:tcPr>
          <w:p w14:paraId="089F0A38" w14:textId="77777777" w:rsidR="00586D86" w:rsidRPr="00B74575" w:rsidRDefault="00586D86" w:rsidP="00F23A9F">
            <w:pPr>
              <w:pStyle w:val="NormalWeb"/>
              <w:spacing w:before="0" w:beforeAutospacing="0" w:after="0" w:afterAutospacing="0"/>
              <w:rPr>
                <w:rFonts w:ascii="Arial Narrow" w:hAnsi="Arial Narrow" w:cs="Arial"/>
              </w:rPr>
            </w:pPr>
            <w:r w:rsidRPr="00B74575">
              <w:rPr>
                <w:rFonts w:ascii="Arial Narrow" w:hAnsi="Arial Narrow" w:cs="Arial"/>
              </w:rPr>
              <w:t>Pediatrics</w:t>
            </w:r>
          </w:p>
        </w:tc>
        <w:tc>
          <w:tcPr>
            <w:tcW w:w="1147" w:type="dxa"/>
            <w:tcBorders>
              <w:left w:val="single" w:sz="4" w:space="0" w:color="auto"/>
              <w:right w:val="single" w:sz="4" w:space="0" w:color="auto"/>
            </w:tcBorders>
            <w:vAlign w:val="center"/>
          </w:tcPr>
          <w:p w14:paraId="5857AC42" w14:textId="77777777" w:rsidR="00586D86" w:rsidRPr="00E30BC4" w:rsidRDefault="00586D86" w:rsidP="00F23A9F">
            <w:pPr>
              <w:pStyle w:val="NormalWeb"/>
              <w:spacing w:before="0" w:beforeAutospacing="0" w:after="0" w:afterAutospacing="0"/>
              <w:jc w:val="center"/>
              <w:rPr>
                <w:rFonts w:ascii="Arial Narrow" w:hAnsi="Arial Narrow" w:cs="Arial"/>
              </w:rPr>
            </w:pPr>
            <w:r w:rsidRPr="00E30BC4">
              <w:rPr>
                <w:rFonts w:ascii="Arial Narrow" w:hAnsi="Arial Narrow" w:cs="Arial"/>
              </w:rPr>
              <w:t>41</w:t>
            </w:r>
          </w:p>
        </w:tc>
        <w:tc>
          <w:tcPr>
            <w:tcW w:w="1148" w:type="dxa"/>
            <w:tcBorders>
              <w:left w:val="single" w:sz="4" w:space="0" w:color="auto"/>
            </w:tcBorders>
            <w:vAlign w:val="center"/>
          </w:tcPr>
          <w:p w14:paraId="3678365F" w14:textId="77777777" w:rsidR="00586D86" w:rsidRPr="00B95D0D" w:rsidRDefault="00586D86" w:rsidP="00F23A9F">
            <w:pPr>
              <w:pStyle w:val="NormalWeb"/>
              <w:spacing w:before="0" w:beforeAutospacing="0" w:after="0" w:afterAutospacing="0"/>
              <w:jc w:val="center"/>
              <w:rPr>
                <w:rFonts w:ascii="Arial Narrow" w:hAnsi="Arial Narrow" w:cs="Arial"/>
              </w:rPr>
            </w:pPr>
            <w:r>
              <w:rPr>
                <w:rFonts w:ascii="Arial Narrow" w:hAnsi="Arial Narrow" w:cs="Arial"/>
              </w:rPr>
              <w:t>23</w:t>
            </w:r>
          </w:p>
        </w:tc>
        <w:tc>
          <w:tcPr>
            <w:tcW w:w="1147" w:type="dxa"/>
          </w:tcPr>
          <w:p w14:paraId="3CCA9E8C" w14:textId="77777777" w:rsidR="00586D86" w:rsidRDefault="00586D86" w:rsidP="00F23A9F">
            <w:pPr>
              <w:pStyle w:val="NormalWeb"/>
              <w:spacing w:before="0" w:beforeAutospacing="0" w:after="0" w:afterAutospacing="0"/>
              <w:jc w:val="center"/>
              <w:rPr>
                <w:rFonts w:ascii="Arial Narrow" w:hAnsi="Arial Narrow" w:cs="Arial"/>
              </w:rPr>
            </w:pPr>
            <w:r>
              <w:rPr>
                <w:rFonts w:ascii="Arial Narrow" w:hAnsi="Arial Narrow" w:cs="Arial"/>
              </w:rPr>
              <w:t>24</w:t>
            </w:r>
          </w:p>
        </w:tc>
        <w:tc>
          <w:tcPr>
            <w:tcW w:w="1148" w:type="dxa"/>
            <w:tcBorders>
              <w:right w:val="single" w:sz="12" w:space="0" w:color="auto"/>
            </w:tcBorders>
            <w:vAlign w:val="center"/>
          </w:tcPr>
          <w:p w14:paraId="44313800" w14:textId="039750BA" w:rsidR="00586D86" w:rsidRPr="00B95D0D" w:rsidRDefault="00F71B10" w:rsidP="00F23A9F">
            <w:pPr>
              <w:pStyle w:val="NormalWeb"/>
              <w:spacing w:before="0" w:beforeAutospacing="0" w:after="0" w:afterAutospacing="0"/>
              <w:jc w:val="center"/>
              <w:rPr>
                <w:rFonts w:ascii="Arial Narrow" w:hAnsi="Arial Narrow" w:cs="Arial"/>
              </w:rPr>
            </w:pPr>
            <w:r>
              <w:rPr>
                <w:rFonts w:ascii="Arial Narrow" w:hAnsi="Arial Narrow" w:cs="Arial"/>
              </w:rPr>
              <w:t>22</w:t>
            </w:r>
          </w:p>
        </w:tc>
      </w:tr>
      <w:tr w:rsidR="00586D86" w14:paraId="5E0506E9" w14:textId="77777777" w:rsidTr="000B1F78">
        <w:trPr>
          <w:cantSplit/>
          <w:jc w:val="center"/>
        </w:trPr>
        <w:tc>
          <w:tcPr>
            <w:tcW w:w="2505" w:type="dxa"/>
            <w:tcBorders>
              <w:left w:val="single" w:sz="12" w:space="0" w:color="auto"/>
              <w:right w:val="single" w:sz="4" w:space="0" w:color="auto"/>
            </w:tcBorders>
            <w:vAlign w:val="center"/>
          </w:tcPr>
          <w:p w14:paraId="0177E65B" w14:textId="77777777" w:rsidR="00586D86" w:rsidRPr="00B74575" w:rsidRDefault="00586D86" w:rsidP="00F23A9F">
            <w:pPr>
              <w:pStyle w:val="NormalWeb"/>
              <w:spacing w:before="0" w:beforeAutospacing="0" w:after="0" w:afterAutospacing="0"/>
              <w:rPr>
                <w:rFonts w:ascii="Arial Narrow" w:hAnsi="Arial Narrow" w:cs="Arial"/>
              </w:rPr>
            </w:pPr>
            <w:r w:rsidRPr="00B74575">
              <w:rPr>
                <w:rFonts w:ascii="Arial Narrow" w:hAnsi="Arial Narrow" w:cs="Arial"/>
              </w:rPr>
              <w:t>Plastics</w:t>
            </w:r>
          </w:p>
        </w:tc>
        <w:tc>
          <w:tcPr>
            <w:tcW w:w="1147" w:type="dxa"/>
            <w:tcBorders>
              <w:left w:val="single" w:sz="4" w:space="0" w:color="auto"/>
              <w:right w:val="single" w:sz="4" w:space="0" w:color="auto"/>
            </w:tcBorders>
            <w:vAlign w:val="center"/>
          </w:tcPr>
          <w:p w14:paraId="6FCCF1CB" w14:textId="77777777" w:rsidR="00586D86" w:rsidRPr="00E30BC4" w:rsidRDefault="00586D86" w:rsidP="00F23A9F">
            <w:pPr>
              <w:pStyle w:val="NormalWeb"/>
              <w:spacing w:before="0" w:beforeAutospacing="0" w:after="0" w:afterAutospacing="0"/>
              <w:jc w:val="center"/>
              <w:rPr>
                <w:rFonts w:ascii="Arial Narrow" w:hAnsi="Arial Narrow" w:cs="Arial"/>
              </w:rPr>
            </w:pPr>
            <w:r w:rsidRPr="00E30BC4">
              <w:rPr>
                <w:rFonts w:ascii="Arial Narrow" w:hAnsi="Arial Narrow" w:cs="Arial"/>
              </w:rPr>
              <w:t>57</w:t>
            </w:r>
          </w:p>
        </w:tc>
        <w:tc>
          <w:tcPr>
            <w:tcW w:w="1148" w:type="dxa"/>
            <w:tcBorders>
              <w:left w:val="single" w:sz="4" w:space="0" w:color="auto"/>
            </w:tcBorders>
            <w:vAlign w:val="center"/>
          </w:tcPr>
          <w:p w14:paraId="2464F68E" w14:textId="77777777" w:rsidR="00586D86" w:rsidRPr="00B95D0D" w:rsidRDefault="00586D86" w:rsidP="00F23A9F">
            <w:pPr>
              <w:pStyle w:val="NormalWeb"/>
              <w:spacing w:before="0" w:beforeAutospacing="0" w:after="0" w:afterAutospacing="0"/>
              <w:jc w:val="center"/>
              <w:rPr>
                <w:rFonts w:ascii="Arial Narrow" w:hAnsi="Arial Narrow" w:cs="Arial"/>
              </w:rPr>
            </w:pPr>
            <w:r>
              <w:rPr>
                <w:rFonts w:ascii="Arial Narrow" w:hAnsi="Arial Narrow" w:cs="Arial"/>
              </w:rPr>
              <w:t>91</w:t>
            </w:r>
          </w:p>
        </w:tc>
        <w:tc>
          <w:tcPr>
            <w:tcW w:w="1147" w:type="dxa"/>
          </w:tcPr>
          <w:p w14:paraId="505363B3" w14:textId="77777777" w:rsidR="00586D86" w:rsidRDefault="00586D86" w:rsidP="00F23A9F">
            <w:pPr>
              <w:pStyle w:val="NormalWeb"/>
              <w:spacing w:before="0" w:beforeAutospacing="0" w:after="0" w:afterAutospacing="0"/>
              <w:jc w:val="center"/>
              <w:rPr>
                <w:rFonts w:ascii="Arial Narrow" w:hAnsi="Arial Narrow" w:cs="Arial"/>
              </w:rPr>
            </w:pPr>
            <w:r>
              <w:rPr>
                <w:rFonts w:ascii="Arial Narrow" w:hAnsi="Arial Narrow" w:cs="Arial"/>
              </w:rPr>
              <w:t>90</w:t>
            </w:r>
          </w:p>
        </w:tc>
        <w:tc>
          <w:tcPr>
            <w:tcW w:w="1148" w:type="dxa"/>
            <w:tcBorders>
              <w:right w:val="single" w:sz="12" w:space="0" w:color="auto"/>
            </w:tcBorders>
            <w:vAlign w:val="center"/>
          </w:tcPr>
          <w:p w14:paraId="2A24BA1F" w14:textId="38647F0C" w:rsidR="00586D86" w:rsidRPr="00B95D0D" w:rsidRDefault="00F71B10" w:rsidP="00F23A9F">
            <w:pPr>
              <w:pStyle w:val="NormalWeb"/>
              <w:spacing w:before="0" w:beforeAutospacing="0" w:after="0" w:afterAutospacing="0"/>
              <w:jc w:val="center"/>
              <w:rPr>
                <w:rFonts w:ascii="Arial Narrow" w:hAnsi="Arial Narrow" w:cs="Arial"/>
              </w:rPr>
            </w:pPr>
            <w:r>
              <w:rPr>
                <w:rFonts w:ascii="Arial Narrow" w:hAnsi="Arial Narrow" w:cs="Arial"/>
              </w:rPr>
              <w:t>70</w:t>
            </w:r>
          </w:p>
        </w:tc>
      </w:tr>
      <w:tr w:rsidR="00586D86" w14:paraId="6E23BB36" w14:textId="77777777" w:rsidTr="000B1F78">
        <w:trPr>
          <w:cantSplit/>
          <w:jc w:val="center"/>
        </w:trPr>
        <w:tc>
          <w:tcPr>
            <w:tcW w:w="2505" w:type="dxa"/>
            <w:tcBorders>
              <w:left w:val="single" w:sz="12" w:space="0" w:color="auto"/>
              <w:right w:val="single" w:sz="4" w:space="0" w:color="auto"/>
            </w:tcBorders>
            <w:vAlign w:val="center"/>
          </w:tcPr>
          <w:p w14:paraId="01E6F5B6" w14:textId="77777777" w:rsidR="00586D86" w:rsidRPr="00B74575" w:rsidRDefault="00586D86" w:rsidP="00F23A9F">
            <w:pPr>
              <w:pStyle w:val="NormalWeb"/>
              <w:spacing w:before="0" w:beforeAutospacing="0" w:after="0" w:afterAutospacing="0"/>
              <w:rPr>
                <w:rFonts w:ascii="Arial Narrow" w:hAnsi="Arial Narrow" w:cs="Arial"/>
              </w:rPr>
            </w:pPr>
            <w:r w:rsidRPr="00B74575">
              <w:rPr>
                <w:rFonts w:ascii="Arial Narrow" w:hAnsi="Arial Narrow" w:cs="Arial"/>
              </w:rPr>
              <w:t>Podiatry</w:t>
            </w:r>
          </w:p>
        </w:tc>
        <w:tc>
          <w:tcPr>
            <w:tcW w:w="1147" w:type="dxa"/>
            <w:tcBorders>
              <w:left w:val="single" w:sz="4" w:space="0" w:color="auto"/>
              <w:right w:val="single" w:sz="4" w:space="0" w:color="auto"/>
            </w:tcBorders>
            <w:vAlign w:val="center"/>
          </w:tcPr>
          <w:p w14:paraId="146CEB29" w14:textId="77777777" w:rsidR="00586D86" w:rsidRPr="00E30BC4" w:rsidRDefault="00586D86" w:rsidP="00F23A9F">
            <w:pPr>
              <w:pStyle w:val="NormalWeb"/>
              <w:spacing w:before="0" w:beforeAutospacing="0" w:after="0" w:afterAutospacing="0"/>
              <w:jc w:val="center"/>
              <w:rPr>
                <w:rFonts w:ascii="Arial Narrow" w:hAnsi="Arial Narrow" w:cs="Arial"/>
              </w:rPr>
            </w:pPr>
            <w:r w:rsidRPr="00E30BC4">
              <w:rPr>
                <w:rFonts w:ascii="Arial Narrow" w:hAnsi="Arial Narrow" w:cs="Arial"/>
              </w:rPr>
              <w:t>308</w:t>
            </w:r>
          </w:p>
        </w:tc>
        <w:tc>
          <w:tcPr>
            <w:tcW w:w="1148" w:type="dxa"/>
            <w:tcBorders>
              <w:left w:val="single" w:sz="4" w:space="0" w:color="auto"/>
            </w:tcBorders>
            <w:vAlign w:val="center"/>
          </w:tcPr>
          <w:p w14:paraId="31864589" w14:textId="77777777" w:rsidR="00586D86" w:rsidRPr="00B95D0D" w:rsidRDefault="00586D86" w:rsidP="00F23A9F">
            <w:pPr>
              <w:pStyle w:val="NormalWeb"/>
              <w:spacing w:before="0" w:beforeAutospacing="0" w:after="0" w:afterAutospacing="0"/>
              <w:jc w:val="center"/>
              <w:rPr>
                <w:rFonts w:ascii="Arial Narrow" w:hAnsi="Arial Narrow" w:cs="Arial"/>
              </w:rPr>
            </w:pPr>
            <w:r>
              <w:rPr>
                <w:rFonts w:ascii="Arial Narrow" w:hAnsi="Arial Narrow" w:cs="Arial"/>
              </w:rPr>
              <w:t>319</w:t>
            </w:r>
          </w:p>
        </w:tc>
        <w:tc>
          <w:tcPr>
            <w:tcW w:w="1147" w:type="dxa"/>
          </w:tcPr>
          <w:p w14:paraId="072667BF" w14:textId="77777777" w:rsidR="00586D86" w:rsidRDefault="00586D86" w:rsidP="00F23A9F">
            <w:pPr>
              <w:pStyle w:val="NormalWeb"/>
              <w:spacing w:before="0" w:beforeAutospacing="0" w:after="0" w:afterAutospacing="0"/>
              <w:jc w:val="center"/>
              <w:rPr>
                <w:rFonts w:ascii="Arial Narrow" w:hAnsi="Arial Narrow" w:cs="Arial"/>
              </w:rPr>
            </w:pPr>
            <w:r>
              <w:rPr>
                <w:rFonts w:ascii="Arial Narrow" w:hAnsi="Arial Narrow" w:cs="Arial"/>
              </w:rPr>
              <w:t>251</w:t>
            </w:r>
          </w:p>
        </w:tc>
        <w:tc>
          <w:tcPr>
            <w:tcW w:w="1148" w:type="dxa"/>
            <w:tcBorders>
              <w:right w:val="single" w:sz="12" w:space="0" w:color="auto"/>
            </w:tcBorders>
            <w:vAlign w:val="center"/>
          </w:tcPr>
          <w:p w14:paraId="6766CF18" w14:textId="7C6436EC" w:rsidR="00586D86" w:rsidRPr="00B95D0D" w:rsidRDefault="00F71B10" w:rsidP="00F23A9F">
            <w:pPr>
              <w:pStyle w:val="NormalWeb"/>
              <w:spacing w:before="0" w:beforeAutospacing="0" w:after="0" w:afterAutospacing="0"/>
              <w:jc w:val="center"/>
              <w:rPr>
                <w:rFonts w:ascii="Arial Narrow" w:hAnsi="Arial Narrow" w:cs="Arial"/>
              </w:rPr>
            </w:pPr>
            <w:r>
              <w:rPr>
                <w:rFonts w:ascii="Arial Narrow" w:hAnsi="Arial Narrow" w:cs="Arial"/>
              </w:rPr>
              <w:t>279</w:t>
            </w:r>
          </w:p>
        </w:tc>
      </w:tr>
      <w:tr w:rsidR="00586D86" w14:paraId="45BDE150" w14:textId="77777777" w:rsidTr="000B1F78">
        <w:trPr>
          <w:cantSplit/>
          <w:jc w:val="center"/>
        </w:trPr>
        <w:tc>
          <w:tcPr>
            <w:tcW w:w="2505" w:type="dxa"/>
            <w:tcBorders>
              <w:left w:val="single" w:sz="12" w:space="0" w:color="auto"/>
              <w:right w:val="single" w:sz="4" w:space="0" w:color="auto"/>
            </w:tcBorders>
            <w:vAlign w:val="center"/>
          </w:tcPr>
          <w:p w14:paraId="6BD1EB3E" w14:textId="77777777" w:rsidR="00586D86" w:rsidRPr="00B74575" w:rsidRDefault="00586D86" w:rsidP="00F23A9F">
            <w:pPr>
              <w:pStyle w:val="NormalWeb"/>
              <w:spacing w:before="0" w:beforeAutospacing="0" w:after="0" w:afterAutospacing="0"/>
              <w:rPr>
                <w:rFonts w:ascii="Arial Narrow" w:hAnsi="Arial Narrow" w:cs="Arial"/>
              </w:rPr>
            </w:pPr>
            <w:r w:rsidRPr="00B74575">
              <w:rPr>
                <w:rFonts w:ascii="Arial Narrow" w:hAnsi="Arial Narrow" w:cs="Arial"/>
              </w:rPr>
              <w:t>Thoracic</w:t>
            </w:r>
          </w:p>
        </w:tc>
        <w:tc>
          <w:tcPr>
            <w:tcW w:w="1147" w:type="dxa"/>
            <w:tcBorders>
              <w:left w:val="single" w:sz="4" w:space="0" w:color="auto"/>
              <w:right w:val="single" w:sz="4" w:space="0" w:color="auto"/>
            </w:tcBorders>
            <w:vAlign w:val="center"/>
          </w:tcPr>
          <w:p w14:paraId="6F3AA7A0" w14:textId="77777777" w:rsidR="00586D86" w:rsidRPr="00E30BC4" w:rsidRDefault="00586D86" w:rsidP="00F23A9F">
            <w:pPr>
              <w:pStyle w:val="NormalWeb"/>
              <w:spacing w:before="0" w:beforeAutospacing="0" w:after="0" w:afterAutospacing="0"/>
              <w:jc w:val="center"/>
              <w:rPr>
                <w:rFonts w:ascii="Arial Narrow" w:hAnsi="Arial Narrow" w:cs="Arial"/>
              </w:rPr>
            </w:pPr>
            <w:r w:rsidRPr="00E30BC4">
              <w:rPr>
                <w:rFonts w:ascii="Arial Narrow" w:hAnsi="Arial Narrow" w:cs="Arial"/>
              </w:rPr>
              <w:t>217</w:t>
            </w:r>
          </w:p>
        </w:tc>
        <w:tc>
          <w:tcPr>
            <w:tcW w:w="1148" w:type="dxa"/>
            <w:tcBorders>
              <w:left w:val="single" w:sz="4" w:space="0" w:color="auto"/>
            </w:tcBorders>
            <w:vAlign w:val="center"/>
          </w:tcPr>
          <w:p w14:paraId="383D99F0" w14:textId="77777777" w:rsidR="00586D86" w:rsidRPr="00B95D0D" w:rsidRDefault="00586D86" w:rsidP="00F23A9F">
            <w:pPr>
              <w:pStyle w:val="NormalWeb"/>
              <w:spacing w:before="0" w:beforeAutospacing="0" w:after="0" w:afterAutospacing="0"/>
              <w:jc w:val="center"/>
              <w:rPr>
                <w:rFonts w:ascii="Arial Narrow" w:hAnsi="Arial Narrow" w:cs="Arial"/>
              </w:rPr>
            </w:pPr>
            <w:r>
              <w:rPr>
                <w:rFonts w:ascii="Arial Narrow" w:hAnsi="Arial Narrow" w:cs="Arial"/>
              </w:rPr>
              <w:t>182</w:t>
            </w:r>
          </w:p>
        </w:tc>
        <w:tc>
          <w:tcPr>
            <w:tcW w:w="1147" w:type="dxa"/>
          </w:tcPr>
          <w:p w14:paraId="2E476CEC" w14:textId="77777777" w:rsidR="00586D86" w:rsidRDefault="00586D86" w:rsidP="00F23A9F">
            <w:pPr>
              <w:pStyle w:val="NormalWeb"/>
              <w:spacing w:before="0" w:beforeAutospacing="0" w:after="0" w:afterAutospacing="0"/>
              <w:jc w:val="center"/>
              <w:rPr>
                <w:rFonts w:ascii="Arial Narrow" w:hAnsi="Arial Narrow" w:cs="Arial"/>
              </w:rPr>
            </w:pPr>
            <w:r>
              <w:rPr>
                <w:rFonts w:ascii="Arial Narrow" w:hAnsi="Arial Narrow" w:cs="Arial"/>
              </w:rPr>
              <w:t>185</w:t>
            </w:r>
          </w:p>
        </w:tc>
        <w:tc>
          <w:tcPr>
            <w:tcW w:w="1148" w:type="dxa"/>
            <w:tcBorders>
              <w:right w:val="single" w:sz="12" w:space="0" w:color="auto"/>
            </w:tcBorders>
            <w:vAlign w:val="center"/>
          </w:tcPr>
          <w:p w14:paraId="052A6052" w14:textId="1ACC4FF9" w:rsidR="00586D86" w:rsidRPr="00B95D0D" w:rsidRDefault="00F71B10" w:rsidP="00F23A9F">
            <w:pPr>
              <w:pStyle w:val="NormalWeb"/>
              <w:spacing w:before="0" w:beforeAutospacing="0" w:after="0" w:afterAutospacing="0"/>
              <w:jc w:val="center"/>
              <w:rPr>
                <w:rFonts w:ascii="Arial Narrow" w:hAnsi="Arial Narrow" w:cs="Arial"/>
              </w:rPr>
            </w:pPr>
            <w:r>
              <w:rPr>
                <w:rFonts w:ascii="Arial Narrow" w:hAnsi="Arial Narrow" w:cs="Arial"/>
              </w:rPr>
              <w:t>59</w:t>
            </w:r>
          </w:p>
        </w:tc>
      </w:tr>
      <w:tr w:rsidR="00586D86" w14:paraId="36664002" w14:textId="77777777" w:rsidTr="000B1F78">
        <w:trPr>
          <w:cantSplit/>
          <w:jc w:val="center"/>
        </w:trPr>
        <w:tc>
          <w:tcPr>
            <w:tcW w:w="2505" w:type="dxa"/>
            <w:tcBorders>
              <w:left w:val="single" w:sz="12" w:space="0" w:color="auto"/>
              <w:right w:val="single" w:sz="4" w:space="0" w:color="auto"/>
            </w:tcBorders>
            <w:vAlign w:val="center"/>
          </w:tcPr>
          <w:p w14:paraId="20798465" w14:textId="77777777" w:rsidR="00586D86" w:rsidRPr="00B74575" w:rsidRDefault="00586D86" w:rsidP="00F23A9F">
            <w:pPr>
              <w:pStyle w:val="NormalWeb"/>
              <w:spacing w:before="0" w:beforeAutospacing="0" w:after="0" w:afterAutospacing="0"/>
              <w:rPr>
                <w:rFonts w:ascii="Arial Narrow" w:hAnsi="Arial Narrow" w:cs="Arial"/>
              </w:rPr>
            </w:pPr>
            <w:r w:rsidRPr="00B74575">
              <w:rPr>
                <w:rFonts w:ascii="Arial Narrow" w:hAnsi="Arial Narrow" w:cs="Arial"/>
              </w:rPr>
              <w:t>Transplant</w:t>
            </w:r>
          </w:p>
        </w:tc>
        <w:tc>
          <w:tcPr>
            <w:tcW w:w="1147" w:type="dxa"/>
            <w:tcBorders>
              <w:left w:val="single" w:sz="4" w:space="0" w:color="auto"/>
              <w:right w:val="single" w:sz="4" w:space="0" w:color="auto"/>
            </w:tcBorders>
            <w:vAlign w:val="center"/>
          </w:tcPr>
          <w:p w14:paraId="70D8D15C" w14:textId="77777777" w:rsidR="00586D86" w:rsidRPr="00E30BC4" w:rsidRDefault="00586D86" w:rsidP="00F23A9F">
            <w:pPr>
              <w:pStyle w:val="NormalWeb"/>
              <w:spacing w:before="0" w:beforeAutospacing="0" w:after="0" w:afterAutospacing="0"/>
              <w:jc w:val="center"/>
              <w:rPr>
                <w:rFonts w:ascii="Arial Narrow" w:hAnsi="Arial Narrow" w:cs="Arial"/>
              </w:rPr>
            </w:pPr>
            <w:r w:rsidRPr="00E30BC4">
              <w:rPr>
                <w:rFonts w:ascii="Arial Narrow" w:hAnsi="Arial Narrow" w:cs="Arial"/>
              </w:rPr>
              <w:t>68</w:t>
            </w:r>
          </w:p>
        </w:tc>
        <w:tc>
          <w:tcPr>
            <w:tcW w:w="1148" w:type="dxa"/>
            <w:tcBorders>
              <w:left w:val="single" w:sz="4" w:space="0" w:color="auto"/>
            </w:tcBorders>
            <w:vAlign w:val="center"/>
          </w:tcPr>
          <w:p w14:paraId="48E498E1" w14:textId="77777777" w:rsidR="00586D86" w:rsidRPr="00B95D0D" w:rsidRDefault="00586D86" w:rsidP="00F23A9F">
            <w:pPr>
              <w:pStyle w:val="NormalWeb"/>
              <w:spacing w:before="0" w:beforeAutospacing="0" w:after="0" w:afterAutospacing="0"/>
              <w:jc w:val="center"/>
              <w:rPr>
                <w:rFonts w:ascii="Arial Narrow" w:hAnsi="Arial Narrow" w:cs="Arial"/>
              </w:rPr>
            </w:pPr>
            <w:r>
              <w:rPr>
                <w:rFonts w:ascii="Arial Narrow" w:hAnsi="Arial Narrow" w:cs="Arial"/>
              </w:rPr>
              <w:t>57</w:t>
            </w:r>
          </w:p>
        </w:tc>
        <w:tc>
          <w:tcPr>
            <w:tcW w:w="1147" w:type="dxa"/>
          </w:tcPr>
          <w:p w14:paraId="04C9BD4B" w14:textId="77777777" w:rsidR="00586D86" w:rsidRDefault="00586D86" w:rsidP="00F23A9F">
            <w:pPr>
              <w:pStyle w:val="NormalWeb"/>
              <w:spacing w:before="0" w:beforeAutospacing="0" w:after="0" w:afterAutospacing="0"/>
              <w:jc w:val="center"/>
              <w:rPr>
                <w:rFonts w:ascii="Arial Narrow" w:hAnsi="Arial Narrow" w:cs="Arial"/>
              </w:rPr>
            </w:pPr>
            <w:r>
              <w:rPr>
                <w:rFonts w:ascii="Arial Narrow" w:hAnsi="Arial Narrow" w:cs="Arial"/>
              </w:rPr>
              <w:t>59</w:t>
            </w:r>
          </w:p>
        </w:tc>
        <w:tc>
          <w:tcPr>
            <w:tcW w:w="1148" w:type="dxa"/>
            <w:tcBorders>
              <w:right w:val="single" w:sz="12" w:space="0" w:color="auto"/>
            </w:tcBorders>
            <w:vAlign w:val="center"/>
          </w:tcPr>
          <w:p w14:paraId="4A6F99A6" w14:textId="3D0BC3A8" w:rsidR="00586D86" w:rsidRPr="00B95D0D" w:rsidRDefault="00F71B10" w:rsidP="00F23A9F">
            <w:pPr>
              <w:pStyle w:val="NormalWeb"/>
              <w:spacing w:before="0" w:beforeAutospacing="0" w:after="0" w:afterAutospacing="0"/>
              <w:jc w:val="center"/>
              <w:rPr>
                <w:rFonts w:ascii="Arial Narrow" w:hAnsi="Arial Narrow" w:cs="Arial"/>
              </w:rPr>
            </w:pPr>
            <w:r>
              <w:rPr>
                <w:rFonts w:ascii="Arial Narrow" w:hAnsi="Arial Narrow" w:cs="Arial"/>
              </w:rPr>
              <w:t>20</w:t>
            </w:r>
          </w:p>
        </w:tc>
      </w:tr>
      <w:tr w:rsidR="00586D86" w14:paraId="17F833A9" w14:textId="77777777" w:rsidTr="000B1F78">
        <w:trPr>
          <w:cantSplit/>
          <w:jc w:val="center"/>
        </w:trPr>
        <w:tc>
          <w:tcPr>
            <w:tcW w:w="2505" w:type="dxa"/>
            <w:tcBorders>
              <w:left w:val="single" w:sz="12" w:space="0" w:color="auto"/>
              <w:right w:val="single" w:sz="4" w:space="0" w:color="auto"/>
            </w:tcBorders>
            <w:vAlign w:val="center"/>
          </w:tcPr>
          <w:p w14:paraId="0BB26A3E" w14:textId="77777777" w:rsidR="00586D86" w:rsidRPr="00B74575" w:rsidRDefault="00586D86" w:rsidP="00F23A9F">
            <w:pPr>
              <w:pStyle w:val="NormalWeb"/>
              <w:spacing w:before="0" w:beforeAutospacing="0" w:after="0" w:afterAutospacing="0"/>
              <w:rPr>
                <w:rFonts w:ascii="Arial Narrow" w:hAnsi="Arial Narrow" w:cs="Arial"/>
              </w:rPr>
            </w:pPr>
            <w:r w:rsidRPr="00B74575">
              <w:rPr>
                <w:rFonts w:ascii="Arial Narrow" w:hAnsi="Arial Narrow" w:cs="Arial"/>
              </w:rPr>
              <w:t>Vascular</w:t>
            </w:r>
          </w:p>
        </w:tc>
        <w:tc>
          <w:tcPr>
            <w:tcW w:w="1147" w:type="dxa"/>
            <w:tcBorders>
              <w:left w:val="single" w:sz="4" w:space="0" w:color="auto"/>
              <w:right w:val="single" w:sz="4" w:space="0" w:color="auto"/>
            </w:tcBorders>
            <w:vAlign w:val="center"/>
          </w:tcPr>
          <w:p w14:paraId="56A27402" w14:textId="77777777" w:rsidR="00586D86" w:rsidRPr="00E30BC4" w:rsidRDefault="00586D86" w:rsidP="00F23A9F">
            <w:pPr>
              <w:pStyle w:val="NormalWeb"/>
              <w:spacing w:before="0" w:beforeAutospacing="0" w:after="0" w:afterAutospacing="0"/>
              <w:jc w:val="center"/>
              <w:rPr>
                <w:rFonts w:ascii="Arial Narrow" w:hAnsi="Arial Narrow" w:cs="Arial"/>
              </w:rPr>
            </w:pPr>
            <w:r w:rsidRPr="00E30BC4">
              <w:rPr>
                <w:rFonts w:ascii="Arial Narrow" w:hAnsi="Arial Narrow" w:cs="Arial"/>
              </w:rPr>
              <w:t>316</w:t>
            </w:r>
          </w:p>
        </w:tc>
        <w:tc>
          <w:tcPr>
            <w:tcW w:w="1148" w:type="dxa"/>
            <w:tcBorders>
              <w:left w:val="single" w:sz="4" w:space="0" w:color="auto"/>
            </w:tcBorders>
            <w:vAlign w:val="center"/>
          </w:tcPr>
          <w:p w14:paraId="3149665D" w14:textId="77777777" w:rsidR="00586D86" w:rsidRPr="00B95D0D" w:rsidRDefault="00586D86" w:rsidP="00F23A9F">
            <w:pPr>
              <w:pStyle w:val="NormalWeb"/>
              <w:spacing w:before="0" w:beforeAutospacing="0" w:after="0" w:afterAutospacing="0"/>
              <w:jc w:val="center"/>
              <w:rPr>
                <w:rFonts w:ascii="Arial Narrow" w:hAnsi="Arial Narrow" w:cs="Arial"/>
              </w:rPr>
            </w:pPr>
            <w:r>
              <w:rPr>
                <w:rFonts w:ascii="Arial Narrow" w:hAnsi="Arial Narrow" w:cs="Arial"/>
              </w:rPr>
              <w:t>284</w:t>
            </w:r>
          </w:p>
        </w:tc>
        <w:tc>
          <w:tcPr>
            <w:tcW w:w="1147" w:type="dxa"/>
          </w:tcPr>
          <w:p w14:paraId="67E8DE5E" w14:textId="77777777" w:rsidR="00586D86" w:rsidRDefault="00586D86" w:rsidP="00F23A9F">
            <w:pPr>
              <w:pStyle w:val="NormalWeb"/>
              <w:spacing w:before="0" w:beforeAutospacing="0" w:after="0" w:afterAutospacing="0"/>
              <w:jc w:val="center"/>
              <w:rPr>
                <w:rFonts w:ascii="Arial Narrow" w:hAnsi="Arial Narrow" w:cs="Arial"/>
              </w:rPr>
            </w:pPr>
            <w:r>
              <w:rPr>
                <w:rFonts w:ascii="Arial Narrow" w:hAnsi="Arial Narrow" w:cs="Arial"/>
              </w:rPr>
              <w:t>342</w:t>
            </w:r>
          </w:p>
        </w:tc>
        <w:tc>
          <w:tcPr>
            <w:tcW w:w="1148" w:type="dxa"/>
            <w:tcBorders>
              <w:right w:val="single" w:sz="12" w:space="0" w:color="auto"/>
            </w:tcBorders>
            <w:vAlign w:val="center"/>
          </w:tcPr>
          <w:p w14:paraId="6BA79B28" w14:textId="22636C1B" w:rsidR="00586D86" w:rsidRPr="00B95D0D" w:rsidRDefault="00F71B10" w:rsidP="00F23A9F">
            <w:pPr>
              <w:pStyle w:val="NormalWeb"/>
              <w:spacing w:before="0" w:beforeAutospacing="0" w:after="0" w:afterAutospacing="0"/>
              <w:jc w:val="center"/>
              <w:rPr>
                <w:rFonts w:ascii="Arial Narrow" w:hAnsi="Arial Narrow" w:cs="Arial"/>
              </w:rPr>
            </w:pPr>
            <w:r>
              <w:rPr>
                <w:rFonts w:ascii="Arial Narrow" w:hAnsi="Arial Narrow" w:cs="Arial"/>
              </w:rPr>
              <w:t>247</w:t>
            </w:r>
          </w:p>
        </w:tc>
      </w:tr>
      <w:tr w:rsidR="00586D86" w14:paraId="6D186CC2" w14:textId="77777777" w:rsidTr="000B1F78">
        <w:trPr>
          <w:cantSplit/>
          <w:jc w:val="center"/>
        </w:trPr>
        <w:tc>
          <w:tcPr>
            <w:tcW w:w="2505" w:type="dxa"/>
            <w:tcBorders>
              <w:left w:val="single" w:sz="12" w:space="0" w:color="auto"/>
              <w:right w:val="single" w:sz="4" w:space="0" w:color="auto"/>
            </w:tcBorders>
            <w:vAlign w:val="center"/>
          </w:tcPr>
          <w:p w14:paraId="27E2A40D" w14:textId="26058D63" w:rsidR="00586D86" w:rsidRPr="00B74575" w:rsidRDefault="009E0BC8" w:rsidP="00F23A9F">
            <w:pPr>
              <w:pStyle w:val="NormalWeb"/>
              <w:spacing w:before="0" w:beforeAutospacing="0" w:after="0" w:afterAutospacing="0"/>
              <w:rPr>
                <w:rFonts w:ascii="Arial Narrow" w:hAnsi="Arial Narrow" w:cs="Arial"/>
              </w:rPr>
            </w:pPr>
            <w:r>
              <w:rPr>
                <w:rFonts w:ascii="Arial Narrow" w:hAnsi="Arial Narrow" w:cs="Arial"/>
              </w:rPr>
              <w:t>Pulmonary</w:t>
            </w:r>
            <w:r>
              <w:rPr>
                <w:rStyle w:val="EndnoteReference"/>
                <w:rFonts w:ascii="Arial Narrow" w:hAnsi="Arial Narrow" w:cs="Arial"/>
              </w:rPr>
              <w:endnoteReference w:id="11"/>
            </w:r>
          </w:p>
        </w:tc>
        <w:tc>
          <w:tcPr>
            <w:tcW w:w="1147" w:type="dxa"/>
            <w:tcBorders>
              <w:left w:val="single" w:sz="4" w:space="0" w:color="auto"/>
              <w:right w:val="single" w:sz="4" w:space="0" w:color="auto"/>
            </w:tcBorders>
            <w:vAlign w:val="center"/>
          </w:tcPr>
          <w:p w14:paraId="3CBC4F67" w14:textId="77777777" w:rsidR="00586D86" w:rsidRPr="00E30BC4" w:rsidRDefault="00586D86" w:rsidP="00F23A9F">
            <w:pPr>
              <w:pStyle w:val="NormalWeb"/>
              <w:spacing w:before="0" w:beforeAutospacing="0" w:after="0" w:afterAutospacing="0"/>
              <w:jc w:val="center"/>
              <w:rPr>
                <w:rFonts w:ascii="Arial Narrow" w:hAnsi="Arial Narrow" w:cs="Arial"/>
              </w:rPr>
            </w:pPr>
            <w:r w:rsidRPr="00E30BC4">
              <w:rPr>
                <w:rFonts w:ascii="Arial Narrow" w:hAnsi="Arial Narrow" w:cs="Arial"/>
              </w:rPr>
              <w:t>28</w:t>
            </w:r>
          </w:p>
        </w:tc>
        <w:tc>
          <w:tcPr>
            <w:tcW w:w="1148" w:type="dxa"/>
            <w:tcBorders>
              <w:left w:val="single" w:sz="4" w:space="0" w:color="auto"/>
            </w:tcBorders>
            <w:vAlign w:val="center"/>
          </w:tcPr>
          <w:p w14:paraId="1F3F039A" w14:textId="77777777" w:rsidR="00586D86" w:rsidRPr="00B95D0D" w:rsidRDefault="00586D86" w:rsidP="00F23A9F">
            <w:pPr>
              <w:pStyle w:val="NormalWeb"/>
              <w:spacing w:before="0" w:beforeAutospacing="0" w:after="0" w:afterAutospacing="0"/>
              <w:jc w:val="center"/>
              <w:rPr>
                <w:rFonts w:ascii="Arial Narrow" w:hAnsi="Arial Narrow" w:cs="Arial"/>
              </w:rPr>
            </w:pPr>
            <w:r>
              <w:rPr>
                <w:rFonts w:ascii="Arial Narrow" w:hAnsi="Arial Narrow" w:cs="Arial"/>
              </w:rPr>
              <w:t>30</w:t>
            </w:r>
          </w:p>
        </w:tc>
        <w:tc>
          <w:tcPr>
            <w:tcW w:w="1147" w:type="dxa"/>
          </w:tcPr>
          <w:p w14:paraId="4F79F4F9" w14:textId="77777777" w:rsidR="00586D86" w:rsidRDefault="00586D86" w:rsidP="00F23A9F">
            <w:pPr>
              <w:pStyle w:val="NormalWeb"/>
              <w:spacing w:before="0" w:beforeAutospacing="0" w:after="0" w:afterAutospacing="0"/>
              <w:jc w:val="center"/>
              <w:rPr>
                <w:rFonts w:ascii="Arial Narrow" w:hAnsi="Arial Narrow" w:cs="Arial"/>
              </w:rPr>
            </w:pPr>
            <w:r>
              <w:rPr>
                <w:rFonts w:ascii="Arial Narrow" w:hAnsi="Arial Narrow" w:cs="Arial"/>
              </w:rPr>
              <w:t>31</w:t>
            </w:r>
          </w:p>
        </w:tc>
        <w:tc>
          <w:tcPr>
            <w:tcW w:w="1148" w:type="dxa"/>
            <w:tcBorders>
              <w:right w:val="single" w:sz="12" w:space="0" w:color="auto"/>
            </w:tcBorders>
            <w:vAlign w:val="center"/>
          </w:tcPr>
          <w:p w14:paraId="14B7DFFB" w14:textId="6C497807" w:rsidR="00586D86" w:rsidRPr="00B95D0D" w:rsidRDefault="00F71B10" w:rsidP="00F23A9F">
            <w:pPr>
              <w:pStyle w:val="NormalWeb"/>
              <w:spacing w:before="0" w:beforeAutospacing="0" w:after="0" w:afterAutospacing="0"/>
              <w:jc w:val="center"/>
              <w:rPr>
                <w:rFonts w:ascii="Arial Narrow" w:hAnsi="Arial Narrow" w:cs="Arial"/>
              </w:rPr>
            </w:pPr>
            <w:r>
              <w:rPr>
                <w:rFonts w:ascii="Arial Narrow" w:hAnsi="Arial Narrow" w:cs="Arial"/>
              </w:rPr>
              <w:t>28</w:t>
            </w:r>
          </w:p>
        </w:tc>
      </w:tr>
      <w:tr w:rsidR="00586D86" w14:paraId="50C1CEDC" w14:textId="77777777" w:rsidTr="000B1F78">
        <w:trPr>
          <w:cantSplit/>
          <w:jc w:val="center"/>
        </w:trPr>
        <w:tc>
          <w:tcPr>
            <w:tcW w:w="2505" w:type="dxa"/>
            <w:tcBorders>
              <w:left w:val="single" w:sz="12" w:space="0" w:color="auto"/>
              <w:bottom w:val="single" w:sz="12" w:space="0" w:color="auto"/>
              <w:right w:val="single" w:sz="4" w:space="0" w:color="auto"/>
            </w:tcBorders>
            <w:shd w:val="clear" w:color="auto" w:fill="BFBFBF"/>
            <w:vAlign w:val="center"/>
          </w:tcPr>
          <w:p w14:paraId="5D1140BE" w14:textId="77777777" w:rsidR="00586D86" w:rsidRPr="00B74575" w:rsidRDefault="00586D86" w:rsidP="00F23A9F">
            <w:pPr>
              <w:pStyle w:val="NormalWeb"/>
              <w:spacing w:before="0" w:beforeAutospacing="0" w:after="0" w:afterAutospacing="0"/>
              <w:rPr>
                <w:rFonts w:ascii="Arial Narrow" w:hAnsi="Arial Narrow" w:cs="Arial"/>
                <w:b/>
                <w:bCs/>
              </w:rPr>
            </w:pPr>
            <w:r w:rsidRPr="00B74575">
              <w:rPr>
                <w:rFonts w:ascii="Arial Narrow" w:hAnsi="Arial Narrow" w:cs="Arial"/>
                <w:b/>
                <w:bCs/>
              </w:rPr>
              <w:t>Total</w:t>
            </w:r>
          </w:p>
        </w:tc>
        <w:tc>
          <w:tcPr>
            <w:tcW w:w="1147" w:type="dxa"/>
            <w:tcBorders>
              <w:left w:val="single" w:sz="4" w:space="0" w:color="auto"/>
              <w:bottom w:val="single" w:sz="12" w:space="0" w:color="auto"/>
              <w:right w:val="single" w:sz="4" w:space="0" w:color="auto"/>
            </w:tcBorders>
            <w:shd w:val="clear" w:color="auto" w:fill="BFBFBF"/>
            <w:vAlign w:val="center"/>
          </w:tcPr>
          <w:p w14:paraId="79ED9302" w14:textId="77777777" w:rsidR="00586D86" w:rsidRPr="00B74575" w:rsidRDefault="00586D86" w:rsidP="00F23A9F">
            <w:pPr>
              <w:pStyle w:val="NormalWeb"/>
              <w:spacing w:before="0" w:beforeAutospacing="0" w:after="0" w:afterAutospacing="0"/>
              <w:jc w:val="center"/>
              <w:rPr>
                <w:rFonts w:ascii="Arial Narrow" w:hAnsi="Arial Narrow" w:cs="Arial"/>
                <w:b/>
                <w:bCs/>
              </w:rPr>
            </w:pPr>
            <w:r>
              <w:rPr>
                <w:rFonts w:ascii="Arial Narrow" w:hAnsi="Arial Narrow" w:cs="Arial"/>
                <w:b/>
                <w:bCs/>
              </w:rPr>
              <w:t>6,013</w:t>
            </w:r>
          </w:p>
        </w:tc>
        <w:tc>
          <w:tcPr>
            <w:tcW w:w="1148" w:type="dxa"/>
            <w:tcBorders>
              <w:left w:val="single" w:sz="4" w:space="0" w:color="auto"/>
              <w:bottom w:val="single" w:sz="12" w:space="0" w:color="auto"/>
            </w:tcBorders>
            <w:shd w:val="clear" w:color="auto" w:fill="BFBFBF"/>
            <w:vAlign w:val="center"/>
          </w:tcPr>
          <w:p w14:paraId="2A2DB9B3" w14:textId="77777777" w:rsidR="00586D86" w:rsidRPr="00B74575" w:rsidRDefault="00586D86" w:rsidP="00F23A9F">
            <w:pPr>
              <w:pStyle w:val="NormalWeb"/>
              <w:spacing w:before="0" w:beforeAutospacing="0" w:after="0" w:afterAutospacing="0"/>
              <w:jc w:val="center"/>
              <w:rPr>
                <w:rFonts w:ascii="Arial Narrow" w:hAnsi="Arial Narrow" w:cs="Arial"/>
                <w:b/>
                <w:bCs/>
              </w:rPr>
            </w:pPr>
            <w:r>
              <w:rPr>
                <w:rFonts w:ascii="Arial Narrow" w:hAnsi="Arial Narrow" w:cs="Arial"/>
                <w:b/>
                <w:bCs/>
              </w:rPr>
              <w:t>5,186</w:t>
            </w:r>
          </w:p>
        </w:tc>
        <w:tc>
          <w:tcPr>
            <w:tcW w:w="1147" w:type="dxa"/>
            <w:tcBorders>
              <w:bottom w:val="single" w:sz="12" w:space="0" w:color="auto"/>
            </w:tcBorders>
            <w:shd w:val="clear" w:color="auto" w:fill="BFBFBF"/>
          </w:tcPr>
          <w:p w14:paraId="3739D92D" w14:textId="77777777" w:rsidR="00586D86" w:rsidRPr="00B74575" w:rsidRDefault="00586D86" w:rsidP="00F23A9F">
            <w:pPr>
              <w:pStyle w:val="NormalWeb"/>
              <w:spacing w:before="0" w:beforeAutospacing="0" w:after="0" w:afterAutospacing="0"/>
              <w:jc w:val="center"/>
              <w:rPr>
                <w:rFonts w:ascii="Arial Narrow" w:hAnsi="Arial Narrow" w:cs="Arial"/>
                <w:b/>
                <w:bCs/>
              </w:rPr>
            </w:pPr>
            <w:r>
              <w:rPr>
                <w:rFonts w:ascii="Arial Narrow" w:hAnsi="Arial Narrow" w:cs="Arial"/>
                <w:b/>
                <w:bCs/>
              </w:rPr>
              <w:t>5,865</w:t>
            </w:r>
          </w:p>
        </w:tc>
        <w:tc>
          <w:tcPr>
            <w:tcW w:w="1148" w:type="dxa"/>
            <w:tcBorders>
              <w:bottom w:val="single" w:sz="12" w:space="0" w:color="auto"/>
              <w:right w:val="single" w:sz="12" w:space="0" w:color="auto"/>
            </w:tcBorders>
            <w:shd w:val="clear" w:color="auto" w:fill="BFBFBF"/>
            <w:vAlign w:val="center"/>
          </w:tcPr>
          <w:p w14:paraId="414D6253" w14:textId="7E69F6D8" w:rsidR="00586D86" w:rsidRPr="00B74575" w:rsidRDefault="00F71B10" w:rsidP="00F23A9F">
            <w:pPr>
              <w:pStyle w:val="NormalWeb"/>
              <w:spacing w:before="0" w:beforeAutospacing="0" w:after="0" w:afterAutospacing="0"/>
              <w:jc w:val="center"/>
              <w:rPr>
                <w:rFonts w:ascii="Arial Narrow" w:hAnsi="Arial Narrow" w:cs="Arial"/>
                <w:b/>
                <w:bCs/>
              </w:rPr>
            </w:pPr>
            <w:r>
              <w:rPr>
                <w:rFonts w:ascii="Arial Narrow" w:hAnsi="Arial Narrow" w:cs="Arial"/>
                <w:b/>
                <w:bCs/>
              </w:rPr>
              <w:t>4,483</w:t>
            </w:r>
          </w:p>
        </w:tc>
      </w:tr>
    </w:tbl>
    <w:p w14:paraId="7309DD3F" w14:textId="77777777" w:rsidR="00CE4B68" w:rsidRPr="00E85D6F" w:rsidRDefault="00CE4B68" w:rsidP="00E85D6F">
      <w:pPr>
        <w:spacing w:line="259" w:lineRule="auto"/>
        <w:rPr>
          <w:rFonts w:ascii="Arial" w:hAnsi="Arial" w:cs="Arial"/>
          <w:sz w:val="22"/>
          <w:szCs w:val="22"/>
        </w:rPr>
      </w:pPr>
    </w:p>
    <w:sectPr w:rsidR="00CE4B68" w:rsidRPr="00E85D6F">
      <w:footerReference w:type="default" r:id="rId8"/>
      <w:endnotePr>
        <w:numFmt w:val="decimal"/>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E5F92E" w14:textId="77777777" w:rsidR="00A46BB3" w:rsidRDefault="00A46BB3" w:rsidP="00E85D6F">
      <w:r>
        <w:separator/>
      </w:r>
    </w:p>
  </w:endnote>
  <w:endnote w:type="continuationSeparator" w:id="0">
    <w:p w14:paraId="08472F2E" w14:textId="77777777" w:rsidR="00A46BB3" w:rsidRDefault="00A46BB3" w:rsidP="00E85D6F">
      <w:r>
        <w:continuationSeparator/>
      </w:r>
    </w:p>
  </w:endnote>
  <w:endnote w:id="1">
    <w:p w14:paraId="6E689BE8" w14:textId="592C701C" w:rsidR="00CB0005" w:rsidRPr="00AB5670" w:rsidRDefault="00CB0005" w:rsidP="00CB0005">
      <w:pPr>
        <w:pStyle w:val="EndnoteText"/>
        <w:rPr>
          <w:rFonts w:ascii="Arial" w:hAnsi="Arial" w:cs="Arial"/>
          <w:sz w:val="18"/>
          <w:szCs w:val="18"/>
        </w:rPr>
      </w:pPr>
      <w:r w:rsidRPr="00AB5670">
        <w:rPr>
          <w:rStyle w:val="EndnoteReference"/>
          <w:rFonts w:ascii="Arial" w:hAnsi="Arial" w:cs="Arial"/>
          <w:sz w:val="18"/>
          <w:szCs w:val="18"/>
        </w:rPr>
        <w:endnoteRef/>
      </w:r>
      <w:r w:rsidRPr="00AB5670">
        <w:rPr>
          <w:rFonts w:ascii="Arial" w:hAnsi="Arial" w:cs="Arial"/>
          <w:sz w:val="18"/>
          <w:szCs w:val="18"/>
        </w:rPr>
        <w:t xml:space="preserve"> </w:t>
      </w:r>
      <w:r w:rsidRPr="0030220D">
        <w:rPr>
          <w:rFonts w:ascii="Arial" w:hAnsi="Arial" w:cs="Arial"/>
          <w:sz w:val="18"/>
          <w:szCs w:val="18"/>
        </w:rPr>
        <w:t>The Applicant notes that the discharge, case weight, CMI, and ALOS metrics provided herein are based on medical/surgical discharges</w:t>
      </w:r>
      <w:r w:rsidR="00966AA2" w:rsidRPr="0030220D">
        <w:rPr>
          <w:rFonts w:ascii="Arial" w:hAnsi="Arial" w:cs="Arial"/>
          <w:sz w:val="18"/>
          <w:szCs w:val="18"/>
        </w:rPr>
        <w:t xml:space="preserve"> (i.e., based on discharge days)</w:t>
      </w:r>
      <w:r w:rsidRPr="0030220D">
        <w:rPr>
          <w:rFonts w:ascii="Arial" w:hAnsi="Arial" w:cs="Arial"/>
          <w:sz w:val="18"/>
          <w:szCs w:val="18"/>
        </w:rPr>
        <w:t>. However, to provide the most accurate understanding of BMC’s occupancy rates, the occupancy data provided herein are based on midnight census reporting</w:t>
      </w:r>
      <w:r w:rsidR="0030220D" w:rsidRPr="0030220D">
        <w:rPr>
          <w:rFonts w:ascii="Arial" w:hAnsi="Arial" w:cs="Arial"/>
          <w:sz w:val="18"/>
          <w:szCs w:val="18"/>
        </w:rPr>
        <w:t xml:space="preserve"> (i.e., patient days)</w:t>
      </w:r>
      <w:r w:rsidRPr="0030220D">
        <w:rPr>
          <w:rFonts w:ascii="Arial" w:hAnsi="Arial" w:cs="Arial"/>
          <w:sz w:val="18"/>
          <w:szCs w:val="18"/>
        </w:rPr>
        <w:t>, which also includes observation patients and bedded outpatients who occupy a medical/surgical bed but are not reflected as inpatient medical/surgical discharges.</w:t>
      </w:r>
    </w:p>
  </w:endnote>
  <w:endnote w:id="2">
    <w:p w14:paraId="3E3209BF" w14:textId="17C57A3A" w:rsidR="00CB0005" w:rsidRPr="0030220D" w:rsidRDefault="00CB0005" w:rsidP="00CB0005">
      <w:pPr>
        <w:pStyle w:val="EndnoteText"/>
        <w:rPr>
          <w:rFonts w:ascii="Arial" w:hAnsi="Arial" w:cs="Arial"/>
          <w:sz w:val="18"/>
          <w:szCs w:val="18"/>
        </w:rPr>
      </w:pPr>
      <w:r w:rsidRPr="00AB5670">
        <w:rPr>
          <w:rStyle w:val="EndnoteReference"/>
          <w:rFonts w:ascii="Arial" w:hAnsi="Arial" w:cs="Arial"/>
          <w:sz w:val="18"/>
          <w:szCs w:val="18"/>
        </w:rPr>
        <w:endnoteRef/>
      </w:r>
      <w:r w:rsidRPr="00AB5670">
        <w:rPr>
          <w:rFonts w:ascii="Arial" w:hAnsi="Arial" w:cs="Arial"/>
          <w:sz w:val="18"/>
          <w:szCs w:val="18"/>
        </w:rPr>
        <w:t xml:space="preserve"> The Applicant highlights that </w:t>
      </w:r>
      <w:bookmarkStart w:id="0" w:name="_Hlk110940950"/>
      <w:r w:rsidRPr="00AB5670">
        <w:rPr>
          <w:rFonts w:ascii="Arial" w:hAnsi="Arial" w:cs="Arial"/>
          <w:sz w:val="18"/>
          <w:szCs w:val="18"/>
        </w:rPr>
        <w:t xml:space="preserve">BMC’s existing number of operating medical/surgical beds is higher than its existing </w:t>
      </w:r>
      <w:r w:rsidRPr="0030220D">
        <w:rPr>
          <w:rFonts w:ascii="Arial" w:hAnsi="Arial" w:cs="Arial"/>
          <w:sz w:val="18"/>
          <w:szCs w:val="18"/>
        </w:rPr>
        <w:t>number of licensed medical/surgical beds.</w:t>
      </w:r>
      <w:bookmarkEnd w:id="0"/>
      <w:r w:rsidRPr="0030220D">
        <w:rPr>
          <w:rFonts w:ascii="Arial" w:hAnsi="Arial" w:cs="Arial"/>
          <w:sz w:val="18"/>
          <w:szCs w:val="18"/>
        </w:rPr>
        <w:t xml:space="preserve"> While the Hospital is currently licensed for 265 medical/surgical beds, it also currently utilizes alternate space (e.g., Code Yellow beds and other acute inpatient care COVID-19 surge spaces) to provide medical/surgical inpatient care to its patients pursuant to guidance from the Department. Given that patients receive medical/surgical care in these beds, the Applicant has included these beds and patients in its calculations to provide the most accurate understanding of BMC’s medical/surgical inpatient utilization rates. Specifically, the </w:t>
      </w:r>
      <w:r w:rsidRPr="00455683">
        <w:rPr>
          <w:rFonts w:ascii="Arial" w:hAnsi="Arial" w:cs="Arial"/>
          <w:sz w:val="18"/>
          <w:szCs w:val="18"/>
        </w:rPr>
        <w:t>calculations provided herein are based on a total of 294 operating medical/surgical beds in FY19, 323 in FY20, 328 in FY21</w:t>
      </w:r>
      <w:r w:rsidR="00AB5670" w:rsidRPr="00455683">
        <w:rPr>
          <w:rFonts w:ascii="Arial" w:hAnsi="Arial" w:cs="Arial"/>
          <w:sz w:val="18"/>
          <w:szCs w:val="18"/>
        </w:rPr>
        <w:t>, and 32</w:t>
      </w:r>
      <w:r w:rsidR="005162B5" w:rsidRPr="00455683">
        <w:rPr>
          <w:rFonts w:ascii="Arial" w:hAnsi="Arial" w:cs="Arial"/>
          <w:sz w:val="18"/>
          <w:szCs w:val="18"/>
        </w:rPr>
        <w:t>7</w:t>
      </w:r>
      <w:r w:rsidR="00AB5670" w:rsidRPr="00455683">
        <w:rPr>
          <w:rFonts w:ascii="Arial" w:hAnsi="Arial" w:cs="Arial"/>
          <w:sz w:val="18"/>
          <w:szCs w:val="18"/>
        </w:rPr>
        <w:t xml:space="preserve"> in FY22 YTD</w:t>
      </w:r>
      <w:r w:rsidRPr="00455683">
        <w:rPr>
          <w:rFonts w:ascii="Arial" w:hAnsi="Arial" w:cs="Arial"/>
          <w:sz w:val="18"/>
          <w:szCs w:val="18"/>
        </w:rPr>
        <w:t>.</w:t>
      </w:r>
    </w:p>
  </w:endnote>
  <w:endnote w:id="3">
    <w:p w14:paraId="20ACB589" w14:textId="4ACAB97F" w:rsidR="00CB0005" w:rsidRPr="0030220D" w:rsidRDefault="00CB0005" w:rsidP="00CB0005">
      <w:pPr>
        <w:pStyle w:val="EndnoteText"/>
        <w:rPr>
          <w:rFonts w:ascii="Arial" w:hAnsi="Arial" w:cs="Arial"/>
          <w:sz w:val="18"/>
          <w:szCs w:val="18"/>
        </w:rPr>
      </w:pPr>
      <w:r w:rsidRPr="0030220D">
        <w:rPr>
          <w:rStyle w:val="EndnoteReference"/>
          <w:rFonts w:ascii="Arial" w:hAnsi="Arial" w:cs="Arial"/>
          <w:sz w:val="18"/>
          <w:szCs w:val="18"/>
        </w:rPr>
        <w:endnoteRef/>
      </w:r>
      <w:r w:rsidRPr="0030220D">
        <w:rPr>
          <w:rStyle w:val="EndnoteReference"/>
        </w:rPr>
        <w:t xml:space="preserve"> </w:t>
      </w:r>
      <w:r w:rsidRPr="0030220D">
        <w:rPr>
          <w:rFonts w:ascii="Arial" w:hAnsi="Arial" w:cs="Arial"/>
          <w:sz w:val="18"/>
          <w:szCs w:val="18"/>
        </w:rPr>
        <w:t>The Applicant notes that the discharge, case weight, CMI, and ALOS metrics provided herein are based on ICU discharges</w:t>
      </w:r>
      <w:r w:rsidR="00E97ED8" w:rsidRPr="0030220D">
        <w:rPr>
          <w:rFonts w:ascii="Arial" w:hAnsi="Arial" w:cs="Arial"/>
          <w:sz w:val="18"/>
          <w:szCs w:val="18"/>
        </w:rPr>
        <w:t xml:space="preserve"> (i.e., based on discharge days)</w:t>
      </w:r>
      <w:r w:rsidRPr="0030220D">
        <w:rPr>
          <w:rFonts w:ascii="Arial" w:hAnsi="Arial" w:cs="Arial"/>
          <w:sz w:val="18"/>
          <w:szCs w:val="18"/>
        </w:rPr>
        <w:t>. However, to provide the most accurate understanding of BMC’s occupancy rates, the occupancy data provided herein are based on census days</w:t>
      </w:r>
      <w:r w:rsidR="00E97ED8" w:rsidRPr="0030220D">
        <w:rPr>
          <w:rFonts w:ascii="Arial" w:hAnsi="Arial" w:cs="Arial"/>
          <w:sz w:val="18"/>
          <w:szCs w:val="18"/>
        </w:rPr>
        <w:t xml:space="preserve"> (i.e.</w:t>
      </w:r>
      <w:r w:rsidR="00861758" w:rsidRPr="0030220D">
        <w:rPr>
          <w:rFonts w:ascii="Arial" w:hAnsi="Arial" w:cs="Arial"/>
          <w:sz w:val="18"/>
          <w:szCs w:val="18"/>
        </w:rPr>
        <w:t>,</w:t>
      </w:r>
      <w:r w:rsidR="00E97ED8" w:rsidRPr="0030220D">
        <w:rPr>
          <w:rFonts w:ascii="Arial" w:hAnsi="Arial" w:cs="Arial"/>
          <w:sz w:val="18"/>
          <w:szCs w:val="18"/>
        </w:rPr>
        <w:t xml:space="preserve"> patient days)</w:t>
      </w:r>
      <w:r w:rsidRPr="0030220D">
        <w:rPr>
          <w:rFonts w:ascii="Arial" w:hAnsi="Arial" w:cs="Arial"/>
          <w:sz w:val="18"/>
          <w:szCs w:val="18"/>
        </w:rPr>
        <w:t xml:space="preserve">, which is lower as it accounts for time that patients spend in different levels of care (e.g., medical/surgical, step-down, ICU, etc.). </w:t>
      </w:r>
    </w:p>
  </w:endnote>
  <w:endnote w:id="4">
    <w:p w14:paraId="1CBD17BF" w14:textId="4773AD3E" w:rsidR="00CB0005" w:rsidRPr="00C47514" w:rsidRDefault="00CB0005" w:rsidP="00CB0005">
      <w:pPr>
        <w:pStyle w:val="EndnoteText"/>
        <w:rPr>
          <w:rFonts w:ascii="Arial" w:hAnsi="Arial" w:cs="Arial"/>
          <w:sz w:val="18"/>
          <w:szCs w:val="18"/>
        </w:rPr>
      </w:pPr>
      <w:r w:rsidRPr="0030220D">
        <w:rPr>
          <w:rStyle w:val="EndnoteReference"/>
          <w:rFonts w:ascii="Arial" w:hAnsi="Arial" w:cs="Arial"/>
          <w:sz w:val="18"/>
          <w:szCs w:val="18"/>
        </w:rPr>
        <w:endnoteRef/>
      </w:r>
      <w:r w:rsidRPr="0030220D">
        <w:rPr>
          <w:rFonts w:ascii="Arial" w:hAnsi="Arial" w:cs="Arial"/>
          <w:sz w:val="18"/>
          <w:szCs w:val="18"/>
        </w:rPr>
        <w:t xml:space="preserve"> The Applicant highlights that BMC’s number of operating ICU beds changed between FY19-FY21 and at times was higher than its number of licensed ICU beds. While the Hospital is currently licensed for 63 ICU beds, in FY20 and FY21, it also utilized alternate space (e.g., acute inpatient care COVID-19 surge spaces) to provide ICU care to its patients pursuant to guidance from the Department. Given that patients received ICU care in these beds, the Applicant has included these beds and patients in its calculations to provide the most accurate understanding of BMC’s ICU utilization rates. Specifically, the calculations provided herein are based on a total of 63 operating ICU beds in FY19, 75 operating ICU beds in FY20, 63 </w:t>
      </w:r>
      <w:r w:rsidR="008751D6" w:rsidRPr="0030220D">
        <w:rPr>
          <w:rFonts w:ascii="Arial" w:hAnsi="Arial" w:cs="Arial"/>
          <w:sz w:val="18"/>
          <w:szCs w:val="18"/>
        </w:rPr>
        <w:t xml:space="preserve">operating </w:t>
      </w:r>
      <w:r w:rsidRPr="0030220D">
        <w:rPr>
          <w:rFonts w:ascii="Arial" w:hAnsi="Arial" w:cs="Arial"/>
          <w:sz w:val="18"/>
          <w:szCs w:val="18"/>
        </w:rPr>
        <w:t>ICU beds + a limited time operation of an additional 7 ICU beds in FY21</w:t>
      </w:r>
      <w:r w:rsidR="00C114EF" w:rsidRPr="0030220D">
        <w:rPr>
          <w:rFonts w:ascii="Arial" w:hAnsi="Arial" w:cs="Arial"/>
          <w:sz w:val="18"/>
          <w:szCs w:val="18"/>
        </w:rPr>
        <w:t xml:space="preserve">, and 63 </w:t>
      </w:r>
      <w:r w:rsidR="008751D6" w:rsidRPr="0030220D">
        <w:rPr>
          <w:rFonts w:ascii="Arial" w:hAnsi="Arial" w:cs="Arial"/>
          <w:sz w:val="18"/>
          <w:szCs w:val="18"/>
        </w:rPr>
        <w:t>operating ICU beds in FY22 YTD</w:t>
      </w:r>
      <w:r w:rsidRPr="0030220D">
        <w:rPr>
          <w:rFonts w:ascii="Arial" w:hAnsi="Arial" w:cs="Arial"/>
          <w:sz w:val="18"/>
          <w:szCs w:val="18"/>
        </w:rPr>
        <w:t>. With regard to FY21, the Applicant notes that BMC operated its 7 additional COVID-19 surge beds for approximately 45 days. Given limitations in the Department's Change in Service Form, the Applicant is not able to</w:t>
      </w:r>
      <w:r w:rsidRPr="008751D6">
        <w:rPr>
          <w:rFonts w:ascii="Arial" w:hAnsi="Arial" w:cs="Arial"/>
          <w:sz w:val="18"/>
          <w:szCs w:val="18"/>
        </w:rPr>
        <w:t xml:space="preserve"> include these 7 beds in its reporting without inaccurately skewing the Hospital's existing ICU occupancy rate (i.e., the Change in Service Form does not allow the Applicant to account for the limited time period that the 7 additional beds were in operation and inaccurately drives the Hospital's existing ICU occupancy rate down to 76%). Accordingly, the Applicant has not included these 7 beds in its Change in Service Form reporting. However, to provide the most accurate understanding of BMC’s ICU utilization rates, the Applicant has included these 7 beds in its calculations herein; </w:t>
      </w:r>
      <w:r w:rsidR="00C47514">
        <w:rPr>
          <w:rFonts w:ascii="Arial" w:hAnsi="Arial" w:cs="Arial"/>
          <w:sz w:val="18"/>
          <w:szCs w:val="18"/>
        </w:rPr>
        <w:t xml:space="preserve">revised </w:t>
      </w:r>
      <w:r w:rsidRPr="008751D6">
        <w:rPr>
          <w:rFonts w:ascii="Arial" w:hAnsi="Arial" w:cs="Arial"/>
          <w:sz w:val="18"/>
          <w:szCs w:val="18"/>
        </w:rPr>
        <w:t xml:space="preserve">Table 12 properly accounts for the operation of </w:t>
      </w:r>
      <w:r w:rsidRPr="00C47514">
        <w:rPr>
          <w:rFonts w:ascii="Arial" w:hAnsi="Arial" w:cs="Arial"/>
          <w:sz w:val="18"/>
          <w:szCs w:val="18"/>
        </w:rPr>
        <w:t>these 7 beds for approximately 45 days in FY21 and accurately illustrates the Hospital's ICU occupancy rate of 83% in FY21.</w:t>
      </w:r>
    </w:p>
  </w:endnote>
  <w:endnote w:id="5">
    <w:p w14:paraId="0FFAAA85" w14:textId="02FCFE90" w:rsidR="00974954" w:rsidRPr="00C47514" w:rsidRDefault="00974954" w:rsidP="00D64C24">
      <w:pPr>
        <w:pStyle w:val="EndnoteText"/>
        <w:rPr>
          <w:rFonts w:ascii="Arial" w:hAnsi="Arial" w:cs="Arial"/>
          <w:sz w:val="18"/>
          <w:szCs w:val="18"/>
        </w:rPr>
      </w:pPr>
      <w:r w:rsidRPr="0030220D">
        <w:rPr>
          <w:rStyle w:val="EndnoteReference"/>
          <w:rFonts w:ascii="Arial" w:hAnsi="Arial" w:cs="Arial"/>
          <w:sz w:val="18"/>
          <w:szCs w:val="18"/>
        </w:rPr>
        <w:endnoteRef/>
      </w:r>
      <w:r w:rsidRPr="0030220D">
        <w:rPr>
          <w:rStyle w:val="EndnoteReference"/>
        </w:rPr>
        <w:t xml:space="preserve"> </w:t>
      </w:r>
      <w:r w:rsidRPr="0030220D">
        <w:rPr>
          <w:rFonts w:ascii="Arial" w:hAnsi="Arial" w:cs="Arial"/>
          <w:sz w:val="18"/>
          <w:szCs w:val="18"/>
        </w:rPr>
        <w:t>The Applicant notes that the discharge, case weight, CMI, and ALOS metrics provided herein are based on medical/surgical discharges</w:t>
      </w:r>
      <w:r w:rsidR="0030220D" w:rsidRPr="0030220D">
        <w:rPr>
          <w:rFonts w:ascii="Arial" w:hAnsi="Arial" w:cs="Arial"/>
          <w:sz w:val="18"/>
          <w:szCs w:val="18"/>
        </w:rPr>
        <w:t xml:space="preserve"> (i.e., based on discharge days)</w:t>
      </w:r>
      <w:r w:rsidRPr="0030220D">
        <w:rPr>
          <w:rFonts w:ascii="Arial" w:hAnsi="Arial" w:cs="Arial"/>
          <w:sz w:val="18"/>
          <w:szCs w:val="18"/>
        </w:rPr>
        <w:t>. However, to provide the most accurate understanding of BMC’s occupancy rates, the occupancy data provided herein are based on midnight census reporting</w:t>
      </w:r>
      <w:r w:rsidR="0030220D" w:rsidRPr="0030220D">
        <w:rPr>
          <w:rFonts w:ascii="Arial" w:hAnsi="Arial" w:cs="Arial"/>
          <w:sz w:val="18"/>
          <w:szCs w:val="18"/>
        </w:rPr>
        <w:t xml:space="preserve"> (i.e., patient days)</w:t>
      </w:r>
      <w:r w:rsidRPr="0030220D">
        <w:rPr>
          <w:rFonts w:ascii="Arial" w:hAnsi="Arial" w:cs="Arial"/>
          <w:sz w:val="18"/>
          <w:szCs w:val="18"/>
        </w:rPr>
        <w:t>, which also includes observation patients and bedded outpatients who occupy a medical/surgical bed but are not reflected as inpatient medical/surgical discharges.</w:t>
      </w:r>
    </w:p>
  </w:endnote>
  <w:endnote w:id="6">
    <w:p w14:paraId="1E6C5782" w14:textId="48363313" w:rsidR="00974954" w:rsidRPr="00184C31" w:rsidRDefault="00974954" w:rsidP="00D64C24">
      <w:pPr>
        <w:pStyle w:val="EndnoteText"/>
        <w:rPr>
          <w:rFonts w:ascii="Arial" w:hAnsi="Arial" w:cs="Arial"/>
          <w:sz w:val="18"/>
          <w:szCs w:val="18"/>
        </w:rPr>
      </w:pPr>
      <w:r w:rsidRPr="00C47514">
        <w:rPr>
          <w:rStyle w:val="EndnoteReference"/>
          <w:rFonts w:ascii="Arial" w:hAnsi="Arial" w:cs="Arial"/>
          <w:sz w:val="18"/>
          <w:szCs w:val="18"/>
        </w:rPr>
        <w:endnoteRef/>
      </w:r>
      <w:r w:rsidRPr="00C47514">
        <w:rPr>
          <w:rFonts w:ascii="Arial" w:hAnsi="Arial" w:cs="Arial"/>
          <w:sz w:val="18"/>
          <w:szCs w:val="18"/>
        </w:rPr>
        <w:t xml:space="preserve"> As noted above, BMC’s existing number of operating medical/surgical beds is higher than its existing number of </w:t>
      </w:r>
      <w:r w:rsidRPr="008D1C08">
        <w:rPr>
          <w:rFonts w:ascii="Arial" w:hAnsi="Arial" w:cs="Arial"/>
          <w:sz w:val="18"/>
          <w:szCs w:val="18"/>
        </w:rPr>
        <w:t>licensed medical/surgical beds. Controlling for COVID-19 patient cases/utilization of COVID-19 surge spaces, the Non-COVID-19 ONLY medical/surgical calculations provided herein are based on the following numbers of operating medical/surgical beds: 294 in FY19, 302 in FY20, 306 in FY21</w:t>
      </w:r>
      <w:r w:rsidR="00C47514" w:rsidRPr="00184C31">
        <w:rPr>
          <w:rFonts w:ascii="Arial" w:hAnsi="Arial" w:cs="Arial"/>
          <w:sz w:val="18"/>
          <w:szCs w:val="18"/>
        </w:rPr>
        <w:t>, and 30</w:t>
      </w:r>
      <w:r w:rsidR="00184C31" w:rsidRPr="00184C31">
        <w:rPr>
          <w:rFonts w:ascii="Arial" w:hAnsi="Arial" w:cs="Arial"/>
          <w:sz w:val="18"/>
          <w:szCs w:val="18"/>
        </w:rPr>
        <w:t>7</w:t>
      </w:r>
      <w:r w:rsidR="00C47514" w:rsidRPr="00184C31">
        <w:rPr>
          <w:rFonts w:ascii="Arial" w:hAnsi="Arial" w:cs="Arial"/>
          <w:sz w:val="18"/>
          <w:szCs w:val="18"/>
        </w:rPr>
        <w:t xml:space="preserve"> in FY22 YTD</w:t>
      </w:r>
      <w:r w:rsidRPr="00184C31">
        <w:rPr>
          <w:rFonts w:ascii="Arial" w:hAnsi="Arial" w:cs="Arial"/>
          <w:sz w:val="18"/>
          <w:szCs w:val="18"/>
        </w:rPr>
        <w:t>.</w:t>
      </w:r>
    </w:p>
  </w:endnote>
  <w:endnote w:id="7">
    <w:p w14:paraId="3D65C9A1" w14:textId="414DC4EF" w:rsidR="00974954" w:rsidRPr="008D1C08" w:rsidRDefault="00974954" w:rsidP="00D64C24">
      <w:pPr>
        <w:pStyle w:val="EndnoteText"/>
        <w:rPr>
          <w:rFonts w:ascii="Arial" w:hAnsi="Arial" w:cs="Arial"/>
          <w:sz w:val="18"/>
          <w:szCs w:val="18"/>
        </w:rPr>
      </w:pPr>
      <w:r w:rsidRPr="00184C31">
        <w:rPr>
          <w:rStyle w:val="EndnoteReference"/>
          <w:rFonts w:ascii="Arial" w:hAnsi="Arial" w:cs="Arial"/>
          <w:sz w:val="18"/>
          <w:szCs w:val="18"/>
        </w:rPr>
        <w:endnoteRef/>
      </w:r>
      <w:r w:rsidRPr="00184C31">
        <w:rPr>
          <w:rStyle w:val="EndnoteReference"/>
        </w:rPr>
        <w:t xml:space="preserve"> </w:t>
      </w:r>
      <w:r w:rsidR="00861758" w:rsidRPr="00184C31">
        <w:rPr>
          <w:rFonts w:ascii="Arial" w:hAnsi="Arial" w:cs="Arial"/>
          <w:sz w:val="18"/>
          <w:szCs w:val="18"/>
        </w:rPr>
        <w:t>The Applicant notes that the discharge, case weight, CMI, and ALOS metrics provided</w:t>
      </w:r>
      <w:r w:rsidR="00861758" w:rsidRPr="008117C2">
        <w:rPr>
          <w:rFonts w:ascii="Arial" w:hAnsi="Arial" w:cs="Arial"/>
          <w:sz w:val="18"/>
          <w:szCs w:val="18"/>
        </w:rPr>
        <w:t xml:space="preserve"> herein are based on ICU discharges (i.e., based on discharge days). However, to provide the most accurate understanding of BMC’s occupancy rates, the occupancy data provided herein are based on census days (i.e., patient days), which is lower as it accounts for time that patients spend in different levels of care (e.g., medical/surgical, step-down, ICU, etc.).</w:t>
      </w:r>
    </w:p>
  </w:endnote>
  <w:endnote w:id="8">
    <w:p w14:paraId="3629BD6B" w14:textId="17BD4503" w:rsidR="00AD036D" w:rsidRPr="009E0BC8" w:rsidRDefault="00AD036D" w:rsidP="00586D86">
      <w:pPr>
        <w:pStyle w:val="EndnoteText"/>
        <w:rPr>
          <w:rFonts w:ascii="Arial" w:hAnsi="Arial" w:cs="Arial"/>
          <w:sz w:val="18"/>
          <w:szCs w:val="18"/>
          <w:highlight w:val="yellow"/>
        </w:rPr>
      </w:pPr>
      <w:r w:rsidRPr="008D1C08">
        <w:rPr>
          <w:rStyle w:val="EndnoteReference"/>
          <w:rFonts w:ascii="Arial" w:hAnsi="Arial" w:cs="Arial"/>
          <w:sz w:val="18"/>
          <w:szCs w:val="18"/>
        </w:rPr>
        <w:endnoteRef/>
      </w:r>
      <w:r w:rsidRPr="008D1C08">
        <w:rPr>
          <w:rFonts w:ascii="Arial" w:hAnsi="Arial" w:cs="Arial"/>
          <w:sz w:val="18"/>
          <w:szCs w:val="18"/>
        </w:rPr>
        <w:t xml:space="preserve"> </w:t>
      </w:r>
      <w:r w:rsidR="00462B43" w:rsidRPr="008D1C08">
        <w:rPr>
          <w:rFonts w:ascii="Arial" w:hAnsi="Arial" w:cs="Arial"/>
          <w:sz w:val="18"/>
          <w:szCs w:val="18"/>
        </w:rPr>
        <w:t>The Applicant has updated this to read “Cardio” rather than “Cardiothoracic”</w:t>
      </w:r>
      <w:r w:rsidR="00F43BA3" w:rsidRPr="008D1C08">
        <w:rPr>
          <w:rFonts w:ascii="Arial" w:hAnsi="Arial" w:cs="Arial"/>
          <w:sz w:val="18"/>
          <w:szCs w:val="18"/>
        </w:rPr>
        <w:t>,</w:t>
      </w:r>
      <w:r w:rsidR="00462B43" w:rsidRPr="008D1C08">
        <w:rPr>
          <w:rFonts w:ascii="Arial" w:hAnsi="Arial" w:cs="Arial"/>
          <w:sz w:val="18"/>
          <w:szCs w:val="18"/>
        </w:rPr>
        <w:t xml:space="preserve"> as the s</w:t>
      </w:r>
      <w:r w:rsidRPr="008D1C08">
        <w:rPr>
          <w:rFonts w:ascii="Arial" w:hAnsi="Arial" w:cs="Arial"/>
          <w:sz w:val="18"/>
          <w:szCs w:val="18"/>
        </w:rPr>
        <w:t>ervice specialties included</w:t>
      </w:r>
      <w:r w:rsidRPr="009E0BC8">
        <w:rPr>
          <w:rFonts w:ascii="Arial" w:hAnsi="Arial" w:cs="Arial"/>
          <w:sz w:val="18"/>
          <w:szCs w:val="18"/>
        </w:rPr>
        <w:t xml:space="preserve"> within </w:t>
      </w:r>
      <w:r w:rsidR="00462B43" w:rsidRPr="009E0BC8">
        <w:rPr>
          <w:rFonts w:ascii="Arial" w:hAnsi="Arial" w:cs="Arial"/>
          <w:sz w:val="18"/>
          <w:szCs w:val="18"/>
        </w:rPr>
        <w:t>this</w:t>
      </w:r>
      <w:r w:rsidRPr="009E0BC8">
        <w:rPr>
          <w:rFonts w:ascii="Arial" w:hAnsi="Arial" w:cs="Arial"/>
          <w:sz w:val="18"/>
          <w:szCs w:val="18"/>
        </w:rPr>
        <w:t xml:space="preserve"> service line are: General – Cardiac and Cardiology.</w:t>
      </w:r>
      <w:r w:rsidR="00462B43" w:rsidRPr="009E0BC8">
        <w:rPr>
          <w:rFonts w:ascii="Arial" w:hAnsi="Arial" w:cs="Arial"/>
          <w:sz w:val="18"/>
          <w:szCs w:val="18"/>
        </w:rPr>
        <w:t xml:space="preserve"> Thoracic is captured separately in the table as its </w:t>
      </w:r>
      <w:r w:rsidR="00644EE2" w:rsidRPr="009E0BC8">
        <w:rPr>
          <w:rFonts w:ascii="Arial" w:hAnsi="Arial" w:cs="Arial"/>
          <w:sz w:val="18"/>
          <w:szCs w:val="18"/>
        </w:rPr>
        <w:t>own service line.</w:t>
      </w:r>
    </w:p>
  </w:endnote>
  <w:endnote w:id="9">
    <w:p w14:paraId="7A547022" w14:textId="35FE89BD" w:rsidR="00AD036D" w:rsidRPr="009E0BC8" w:rsidRDefault="00AD036D" w:rsidP="00586D86">
      <w:pPr>
        <w:pStyle w:val="EndnoteText"/>
        <w:rPr>
          <w:rFonts w:ascii="Arial" w:hAnsi="Arial" w:cs="Arial"/>
          <w:sz w:val="18"/>
          <w:szCs w:val="18"/>
        </w:rPr>
      </w:pPr>
      <w:r w:rsidRPr="009E0BC8">
        <w:rPr>
          <w:rStyle w:val="EndnoteReference"/>
          <w:rFonts w:ascii="Arial" w:hAnsi="Arial" w:cs="Arial"/>
          <w:sz w:val="18"/>
          <w:szCs w:val="18"/>
        </w:rPr>
        <w:endnoteRef/>
      </w:r>
      <w:r w:rsidRPr="009E0BC8">
        <w:rPr>
          <w:rFonts w:ascii="Arial" w:hAnsi="Arial" w:cs="Arial"/>
          <w:sz w:val="18"/>
          <w:szCs w:val="18"/>
        </w:rPr>
        <w:t xml:space="preserve"> </w:t>
      </w:r>
      <w:r w:rsidR="004A1853" w:rsidRPr="009E0BC8">
        <w:rPr>
          <w:rFonts w:ascii="Arial" w:hAnsi="Arial" w:cs="Arial"/>
          <w:sz w:val="18"/>
          <w:szCs w:val="18"/>
        </w:rPr>
        <w:t>Please note, as an update from the DoN Narrative, that the s</w:t>
      </w:r>
      <w:r w:rsidRPr="009E0BC8">
        <w:rPr>
          <w:rFonts w:ascii="Arial" w:hAnsi="Arial" w:cs="Arial"/>
          <w:sz w:val="18"/>
          <w:szCs w:val="18"/>
        </w:rPr>
        <w:t>ervice specialties included within General service line are: General – Bariatric, General – Breast</w:t>
      </w:r>
      <w:r w:rsidR="004A1853" w:rsidRPr="009E0BC8">
        <w:rPr>
          <w:rFonts w:ascii="Arial" w:hAnsi="Arial" w:cs="Arial"/>
          <w:sz w:val="18"/>
          <w:szCs w:val="18"/>
        </w:rPr>
        <w:t xml:space="preserve">, </w:t>
      </w:r>
      <w:r w:rsidRPr="009E0BC8">
        <w:rPr>
          <w:rFonts w:ascii="Arial" w:hAnsi="Arial" w:cs="Arial"/>
          <w:sz w:val="18"/>
          <w:szCs w:val="18"/>
        </w:rPr>
        <w:t xml:space="preserve">General – Gastrointestinal, General – Oncology, </w:t>
      </w:r>
      <w:r w:rsidR="007915B9" w:rsidRPr="009E0BC8">
        <w:rPr>
          <w:rFonts w:ascii="Arial" w:hAnsi="Arial" w:cs="Arial"/>
          <w:sz w:val="18"/>
          <w:szCs w:val="18"/>
        </w:rPr>
        <w:t xml:space="preserve">and </w:t>
      </w:r>
      <w:r w:rsidRPr="009E0BC8">
        <w:rPr>
          <w:rFonts w:ascii="Arial" w:hAnsi="Arial" w:cs="Arial"/>
          <w:sz w:val="18"/>
          <w:szCs w:val="18"/>
        </w:rPr>
        <w:t>General – Trauma</w:t>
      </w:r>
      <w:r w:rsidR="007915B9" w:rsidRPr="009E0BC8">
        <w:rPr>
          <w:rFonts w:ascii="Arial" w:hAnsi="Arial" w:cs="Arial"/>
          <w:sz w:val="18"/>
          <w:szCs w:val="18"/>
        </w:rPr>
        <w:t>.</w:t>
      </w:r>
      <w:r w:rsidR="00595511" w:rsidRPr="009E0BC8">
        <w:rPr>
          <w:rFonts w:ascii="Arial" w:hAnsi="Arial" w:cs="Arial"/>
          <w:sz w:val="18"/>
          <w:szCs w:val="18"/>
        </w:rPr>
        <w:t xml:space="preserve"> </w:t>
      </w:r>
      <w:r w:rsidR="004A1853" w:rsidRPr="009E0BC8">
        <w:rPr>
          <w:rFonts w:ascii="Arial" w:hAnsi="Arial" w:cs="Arial"/>
          <w:sz w:val="18"/>
          <w:szCs w:val="18"/>
        </w:rPr>
        <w:t>General – Cardiac, General – Pediatric, and Pulmonary</w:t>
      </w:r>
      <w:r w:rsidR="00595511" w:rsidRPr="009E0BC8">
        <w:rPr>
          <w:rFonts w:ascii="Arial" w:hAnsi="Arial" w:cs="Arial"/>
          <w:sz w:val="18"/>
          <w:szCs w:val="18"/>
        </w:rPr>
        <w:t>, which were listed in the DoN Narrative as also being included within the General service line, are actually captured separately in the table as their own service lines.</w:t>
      </w:r>
    </w:p>
  </w:endnote>
  <w:endnote w:id="10">
    <w:p w14:paraId="145EC662" w14:textId="15A54FF6" w:rsidR="00AD036D" w:rsidRPr="009E0BC8" w:rsidRDefault="00AD036D" w:rsidP="00586D86">
      <w:pPr>
        <w:pStyle w:val="EndnoteText"/>
        <w:rPr>
          <w:rFonts w:ascii="Arial" w:hAnsi="Arial" w:cs="Arial"/>
          <w:sz w:val="18"/>
          <w:szCs w:val="18"/>
        </w:rPr>
      </w:pPr>
      <w:r w:rsidRPr="009E0BC8">
        <w:rPr>
          <w:rStyle w:val="EndnoteReference"/>
          <w:rFonts w:ascii="Arial" w:hAnsi="Arial" w:cs="Arial"/>
          <w:sz w:val="18"/>
          <w:szCs w:val="18"/>
        </w:rPr>
        <w:endnoteRef/>
      </w:r>
      <w:r w:rsidRPr="009E0BC8">
        <w:rPr>
          <w:rFonts w:ascii="Arial" w:hAnsi="Arial" w:cs="Arial"/>
          <w:sz w:val="18"/>
          <w:szCs w:val="18"/>
        </w:rPr>
        <w:t xml:space="preserve"> </w:t>
      </w:r>
      <w:r w:rsidR="009D4134" w:rsidRPr="009E0BC8">
        <w:rPr>
          <w:rFonts w:ascii="Arial" w:hAnsi="Arial" w:cs="Arial"/>
          <w:sz w:val="18"/>
          <w:szCs w:val="18"/>
        </w:rPr>
        <w:t>Please note</w:t>
      </w:r>
      <w:r w:rsidR="0074667D" w:rsidRPr="009E0BC8">
        <w:rPr>
          <w:rFonts w:ascii="Arial" w:hAnsi="Arial" w:cs="Arial"/>
          <w:sz w:val="18"/>
          <w:szCs w:val="18"/>
        </w:rPr>
        <w:t>, as an update from the DoN Narrative,</w:t>
      </w:r>
      <w:r w:rsidR="009D4134" w:rsidRPr="009E0BC8">
        <w:rPr>
          <w:rFonts w:ascii="Arial" w:hAnsi="Arial" w:cs="Arial"/>
          <w:sz w:val="18"/>
          <w:szCs w:val="18"/>
        </w:rPr>
        <w:t xml:space="preserve"> that th</w:t>
      </w:r>
      <w:r w:rsidR="0074667D" w:rsidRPr="009E0BC8">
        <w:rPr>
          <w:rFonts w:ascii="Arial" w:hAnsi="Arial" w:cs="Arial"/>
          <w:sz w:val="18"/>
          <w:szCs w:val="18"/>
        </w:rPr>
        <w:t>e</w:t>
      </w:r>
      <w:r w:rsidR="009D4134" w:rsidRPr="009E0BC8">
        <w:rPr>
          <w:rFonts w:ascii="Arial" w:hAnsi="Arial" w:cs="Arial"/>
          <w:sz w:val="18"/>
          <w:szCs w:val="18"/>
        </w:rPr>
        <w:t xml:space="preserve"> s</w:t>
      </w:r>
      <w:r w:rsidRPr="009E0BC8">
        <w:rPr>
          <w:rFonts w:ascii="Arial" w:hAnsi="Arial" w:cs="Arial"/>
          <w:sz w:val="18"/>
          <w:szCs w:val="18"/>
        </w:rPr>
        <w:t>ervice special</w:t>
      </w:r>
      <w:r w:rsidR="0074667D" w:rsidRPr="009E0BC8">
        <w:rPr>
          <w:rFonts w:ascii="Arial" w:hAnsi="Arial" w:cs="Arial"/>
          <w:sz w:val="18"/>
          <w:szCs w:val="18"/>
        </w:rPr>
        <w:t>ty</w:t>
      </w:r>
      <w:r w:rsidRPr="009E0BC8">
        <w:rPr>
          <w:rFonts w:ascii="Arial" w:hAnsi="Arial" w:cs="Arial"/>
          <w:sz w:val="18"/>
          <w:szCs w:val="18"/>
        </w:rPr>
        <w:t xml:space="preserve"> included within </w:t>
      </w:r>
      <w:r w:rsidR="0074667D" w:rsidRPr="009E0BC8">
        <w:rPr>
          <w:rFonts w:ascii="Arial" w:hAnsi="Arial" w:cs="Arial"/>
          <w:sz w:val="18"/>
          <w:szCs w:val="18"/>
        </w:rPr>
        <w:t xml:space="preserve">the </w:t>
      </w:r>
      <w:r w:rsidRPr="009E0BC8">
        <w:rPr>
          <w:rFonts w:ascii="Arial" w:hAnsi="Arial" w:cs="Arial"/>
          <w:sz w:val="18"/>
          <w:szCs w:val="18"/>
        </w:rPr>
        <w:t xml:space="preserve">Oral service line </w:t>
      </w:r>
      <w:r w:rsidR="0074667D" w:rsidRPr="009E0BC8">
        <w:rPr>
          <w:rFonts w:ascii="Arial" w:hAnsi="Arial" w:cs="Arial"/>
          <w:sz w:val="18"/>
          <w:szCs w:val="18"/>
        </w:rPr>
        <w:t>is</w:t>
      </w:r>
      <w:r w:rsidRPr="009E0BC8">
        <w:rPr>
          <w:rFonts w:ascii="Arial" w:hAnsi="Arial" w:cs="Arial"/>
          <w:sz w:val="18"/>
          <w:szCs w:val="18"/>
        </w:rPr>
        <w:t>: Oral and Maxillofacial Surgery</w:t>
      </w:r>
      <w:r w:rsidR="0074667D" w:rsidRPr="009E0BC8">
        <w:rPr>
          <w:rFonts w:ascii="Arial" w:hAnsi="Arial" w:cs="Arial"/>
          <w:sz w:val="18"/>
          <w:szCs w:val="18"/>
        </w:rPr>
        <w:t xml:space="preserve">. </w:t>
      </w:r>
      <w:r w:rsidRPr="009E0BC8">
        <w:rPr>
          <w:rFonts w:ascii="Arial" w:hAnsi="Arial" w:cs="Arial"/>
          <w:sz w:val="18"/>
          <w:szCs w:val="18"/>
        </w:rPr>
        <w:t>Otolaryngology</w:t>
      </w:r>
      <w:r w:rsidR="0074667D" w:rsidRPr="009E0BC8">
        <w:rPr>
          <w:rFonts w:ascii="Arial" w:hAnsi="Arial" w:cs="Arial"/>
          <w:sz w:val="18"/>
          <w:szCs w:val="18"/>
        </w:rPr>
        <w:t>, which was listed in the DoN Narrative as</w:t>
      </w:r>
      <w:r w:rsidR="00AE4DD6" w:rsidRPr="009E0BC8">
        <w:rPr>
          <w:rFonts w:ascii="Arial" w:hAnsi="Arial" w:cs="Arial"/>
          <w:sz w:val="18"/>
          <w:szCs w:val="18"/>
        </w:rPr>
        <w:t xml:space="preserve"> also</w:t>
      </w:r>
      <w:r w:rsidR="0074667D" w:rsidRPr="009E0BC8">
        <w:rPr>
          <w:rFonts w:ascii="Arial" w:hAnsi="Arial" w:cs="Arial"/>
          <w:sz w:val="18"/>
          <w:szCs w:val="18"/>
        </w:rPr>
        <w:t xml:space="preserve"> being included within the Oral service line</w:t>
      </w:r>
      <w:r w:rsidR="00AE4DD6" w:rsidRPr="009E0BC8">
        <w:rPr>
          <w:rFonts w:ascii="Arial" w:hAnsi="Arial" w:cs="Arial"/>
          <w:sz w:val="18"/>
          <w:szCs w:val="18"/>
        </w:rPr>
        <w:t>,</w:t>
      </w:r>
      <w:r w:rsidR="0074667D" w:rsidRPr="009E0BC8">
        <w:rPr>
          <w:rFonts w:ascii="Arial" w:hAnsi="Arial" w:cs="Arial"/>
          <w:sz w:val="18"/>
          <w:szCs w:val="18"/>
        </w:rPr>
        <w:t xml:space="preserve"> is actually captured separately in the table as its own service line</w:t>
      </w:r>
      <w:r w:rsidR="00AE4DD6" w:rsidRPr="009E0BC8">
        <w:rPr>
          <w:rFonts w:ascii="Arial" w:hAnsi="Arial" w:cs="Arial"/>
          <w:sz w:val="18"/>
          <w:szCs w:val="18"/>
        </w:rPr>
        <w:t>.</w:t>
      </w:r>
    </w:p>
  </w:endnote>
  <w:endnote w:id="11">
    <w:p w14:paraId="736417D0" w14:textId="455381B1" w:rsidR="009E0BC8" w:rsidRPr="009E0BC8" w:rsidRDefault="009E0BC8">
      <w:pPr>
        <w:pStyle w:val="EndnoteText"/>
        <w:rPr>
          <w:rFonts w:ascii="Arial" w:hAnsi="Arial" w:cs="Arial"/>
          <w:sz w:val="18"/>
          <w:szCs w:val="18"/>
        </w:rPr>
      </w:pPr>
      <w:r w:rsidRPr="009E0BC8">
        <w:rPr>
          <w:rStyle w:val="EndnoteReference"/>
          <w:rFonts w:ascii="Arial" w:hAnsi="Arial" w:cs="Arial"/>
          <w:sz w:val="18"/>
          <w:szCs w:val="18"/>
        </w:rPr>
        <w:endnoteRef/>
      </w:r>
      <w:r w:rsidRPr="009E0BC8">
        <w:rPr>
          <w:rFonts w:ascii="Arial" w:hAnsi="Arial" w:cs="Arial"/>
          <w:sz w:val="18"/>
          <w:szCs w:val="18"/>
        </w:rPr>
        <w:t xml:space="preserve"> Please note that the Applicant </w:t>
      </w:r>
      <w:r>
        <w:rPr>
          <w:rFonts w:ascii="Arial" w:hAnsi="Arial" w:cs="Arial"/>
          <w:sz w:val="18"/>
          <w:szCs w:val="18"/>
        </w:rPr>
        <w:t>originally listed this service line in its DoN Narrative as “Cardiac Catheterization.” However, upon further review, this should more accurately be labeled “Pulmonary” and has been updated accordingly.</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ZWAdobeF">
    <w:altName w:val="Calibri"/>
    <w:panose1 w:val="00000000000000000000"/>
    <w:charset w:val="00"/>
    <w:family w:val="auto"/>
    <w:pitch w:val="variable"/>
    <w:sig w:usb0="20002A87" w:usb1="00000000" w:usb2="00000000"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78C7A" w14:textId="54E334E0" w:rsidR="00982FA7" w:rsidRPr="00982FA7" w:rsidRDefault="00982FA7">
    <w:pPr>
      <w:pStyle w:val="Footer"/>
      <w:jc w:val="right"/>
      <w:rPr>
        <w:rFonts w:ascii="Arial" w:hAnsi="Arial" w:cs="Arial"/>
        <w:sz w:val="22"/>
        <w:szCs w:val="22"/>
      </w:rPr>
    </w:pPr>
    <w:r w:rsidRPr="00982FA7">
      <w:rPr>
        <w:rFonts w:ascii="Arial" w:hAnsi="Arial" w:cs="Arial"/>
        <w:sz w:val="22"/>
        <w:szCs w:val="22"/>
      </w:rPr>
      <w:t>B</w:t>
    </w:r>
    <w:sdt>
      <w:sdtPr>
        <w:rPr>
          <w:rFonts w:ascii="Arial" w:hAnsi="Arial" w:cs="Arial"/>
          <w:sz w:val="22"/>
          <w:szCs w:val="22"/>
        </w:rPr>
        <w:id w:val="2030677544"/>
        <w:docPartObj>
          <w:docPartGallery w:val="Page Numbers (Bottom of Page)"/>
          <w:docPartUnique/>
        </w:docPartObj>
      </w:sdtPr>
      <w:sdtEndPr>
        <w:rPr>
          <w:noProof/>
        </w:rPr>
      </w:sdtEndPr>
      <w:sdtContent>
        <w:r w:rsidRPr="00982FA7">
          <w:rPr>
            <w:rFonts w:ascii="Arial" w:hAnsi="Arial" w:cs="Arial"/>
            <w:sz w:val="22"/>
            <w:szCs w:val="22"/>
          </w:rPr>
          <w:fldChar w:fldCharType="begin"/>
        </w:r>
        <w:r w:rsidRPr="00982FA7">
          <w:rPr>
            <w:rFonts w:ascii="Arial" w:hAnsi="Arial" w:cs="Arial"/>
            <w:sz w:val="22"/>
            <w:szCs w:val="22"/>
          </w:rPr>
          <w:instrText xml:space="preserve"> PAGE   \* MERGEFORMAT </w:instrText>
        </w:r>
        <w:r w:rsidRPr="00982FA7">
          <w:rPr>
            <w:rFonts w:ascii="Arial" w:hAnsi="Arial" w:cs="Arial"/>
            <w:sz w:val="22"/>
            <w:szCs w:val="22"/>
          </w:rPr>
          <w:fldChar w:fldCharType="separate"/>
        </w:r>
        <w:r w:rsidRPr="00982FA7">
          <w:rPr>
            <w:rFonts w:ascii="Arial" w:hAnsi="Arial" w:cs="Arial"/>
            <w:noProof/>
            <w:sz w:val="22"/>
            <w:szCs w:val="22"/>
          </w:rPr>
          <w:t>2</w:t>
        </w:r>
        <w:r w:rsidRPr="00982FA7">
          <w:rPr>
            <w:rFonts w:ascii="Arial" w:hAnsi="Arial" w:cs="Arial"/>
            <w:noProof/>
            <w:sz w:val="22"/>
            <w:szCs w:val="22"/>
          </w:rPr>
          <w:fldChar w:fldCharType="end"/>
        </w:r>
      </w:sdtContent>
    </w:sdt>
  </w:p>
  <w:p w14:paraId="0CFF5CDA" w14:textId="77777777" w:rsidR="00982FA7" w:rsidRDefault="00982F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02AA92" w14:textId="77777777" w:rsidR="00A46BB3" w:rsidRDefault="00A46BB3" w:rsidP="00E85D6F">
      <w:r>
        <w:separator/>
      </w:r>
    </w:p>
  </w:footnote>
  <w:footnote w:type="continuationSeparator" w:id="0">
    <w:p w14:paraId="67396386" w14:textId="77777777" w:rsidR="00A46BB3" w:rsidRDefault="00A46BB3" w:rsidP="00E85D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D45516"/>
    <w:multiLevelType w:val="hybridMultilevel"/>
    <w:tmpl w:val="FAA8962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64F0B48"/>
    <w:multiLevelType w:val="hybridMultilevel"/>
    <w:tmpl w:val="F6A0090A"/>
    <w:lvl w:ilvl="0" w:tplc="26E8FFD8">
      <w:start w:val="1"/>
      <w:numFmt w:val="decimal"/>
      <w:lvlText w:val="(%1)"/>
      <w:lvlJc w:val="left"/>
      <w:pPr>
        <w:ind w:left="720" w:hanging="360"/>
      </w:pPr>
      <w:rPr>
        <w:rFonts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6395084">
    <w:abstractNumId w:val="1"/>
  </w:num>
  <w:num w:numId="2" w16cid:durableId="5439125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D6F"/>
    <w:rsid w:val="0000712C"/>
    <w:rsid w:val="000107A4"/>
    <w:rsid w:val="00037F4C"/>
    <w:rsid w:val="00075FEA"/>
    <w:rsid w:val="00091956"/>
    <w:rsid w:val="00092F97"/>
    <w:rsid w:val="000A4980"/>
    <w:rsid w:val="000A7564"/>
    <w:rsid w:val="000B1F78"/>
    <w:rsid w:val="000E0315"/>
    <w:rsid w:val="00112884"/>
    <w:rsid w:val="0011316C"/>
    <w:rsid w:val="0013056C"/>
    <w:rsid w:val="00141761"/>
    <w:rsid w:val="0014787F"/>
    <w:rsid w:val="001615DF"/>
    <w:rsid w:val="001710B8"/>
    <w:rsid w:val="001730FD"/>
    <w:rsid w:val="001805B0"/>
    <w:rsid w:val="00184C31"/>
    <w:rsid w:val="001A1DA8"/>
    <w:rsid w:val="001A6C7F"/>
    <w:rsid w:val="001C3069"/>
    <w:rsid w:val="001C60C3"/>
    <w:rsid w:val="001E6C58"/>
    <w:rsid w:val="001F1E2D"/>
    <w:rsid w:val="00204BB8"/>
    <w:rsid w:val="00217980"/>
    <w:rsid w:val="00233F9F"/>
    <w:rsid w:val="00260933"/>
    <w:rsid w:val="0026740C"/>
    <w:rsid w:val="002C1F77"/>
    <w:rsid w:val="002C25AF"/>
    <w:rsid w:val="002C7061"/>
    <w:rsid w:val="002C7785"/>
    <w:rsid w:val="002D4BA0"/>
    <w:rsid w:val="0030220D"/>
    <w:rsid w:val="00303D01"/>
    <w:rsid w:val="00320A63"/>
    <w:rsid w:val="00332A6D"/>
    <w:rsid w:val="003341FF"/>
    <w:rsid w:val="00337174"/>
    <w:rsid w:val="00341077"/>
    <w:rsid w:val="0035176C"/>
    <w:rsid w:val="003A65CE"/>
    <w:rsid w:val="003A676E"/>
    <w:rsid w:val="003C36B6"/>
    <w:rsid w:val="003C4A42"/>
    <w:rsid w:val="003E3AAD"/>
    <w:rsid w:val="003F5E8A"/>
    <w:rsid w:val="00430131"/>
    <w:rsid w:val="00455683"/>
    <w:rsid w:val="004618CF"/>
    <w:rsid w:val="00462B43"/>
    <w:rsid w:val="004657F5"/>
    <w:rsid w:val="0048674A"/>
    <w:rsid w:val="00496C6A"/>
    <w:rsid w:val="004A1853"/>
    <w:rsid w:val="004B136D"/>
    <w:rsid w:val="004B7AC1"/>
    <w:rsid w:val="004C353C"/>
    <w:rsid w:val="004E4421"/>
    <w:rsid w:val="004F52DB"/>
    <w:rsid w:val="00501C36"/>
    <w:rsid w:val="00503136"/>
    <w:rsid w:val="005054C1"/>
    <w:rsid w:val="005162B5"/>
    <w:rsid w:val="00520168"/>
    <w:rsid w:val="0053357A"/>
    <w:rsid w:val="00566C83"/>
    <w:rsid w:val="00572A75"/>
    <w:rsid w:val="00580F40"/>
    <w:rsid w:val="00586D86"/>
    <w:rsid w:val="00595511"/>
    <w:rsid w:val="005A040D"/>
    <w:rsid w:val="005F4938"/>
    <w:rsid w:val="00626C98"/>
    <w:rsid w:val="00641B0D"/>
    <w:rsid w:val="00644EE2"/>
    <w:rsid w:val="006627EE"/>
    <w:rsid w:val="00683F3C"/>
    <w:rsid w:val="00690350"/>
    <w:rsid w:val="00696215"/>
    <w:rsid w:val="006F4ECF"/>
    <w:rsid w:val="00717D36"/>
    <w:rsid w:val="00740748"/>
    <w:rsid w:val="0074667D"/>
    <w:rsid w:val="007616CB"/>
    <w:rsid w:val="00774458"/>
    <w:rsid w:val="007915B9"/>
    <w:rsid w:val="007C2EAE"/>
    <w:rsid w:val="007C5C1B"/>
    <w:rsid w:val="00802BFC"/>
    <w:rsid w:val="00803E51"/>
    <w:rsid w:val="008044D5"/>
    <w:rsid w:val="008117C2"/>
    <w:rsid w:val="00830496"/>
    <w:rsid w:val="00833695"/>
    <w:rsid w:val="00845F35"/>
    <w:rsid w:val="00857F94"/>
    <w:rsid w:val="00861758"/>
    <w:rsid w:val="00864CED"/>
    <w:rsid w:val="00866BBC"/>
    <w:rsid w:val="008751D6"/>
    <w:rsid w:val="008D1C08"/>
    <w:rsid w:val="008F447B"/>
    <w:rsid w:val="008F5E0C"/>
    <w:rsid w:val="0093753D"/>
    <w:rsid w:val="0095181D"/>
    <w:rsid w:val="00956F92"/>
    <w:rsid w:val="009658A7"/>
    <w:rsid w:val="00966AA2"/>
    <w:rsid w:val="00974954"/>
    <w:rsid w:val="00982FA7"/>
    <w:rsid w:val="009B1807"/>
    <w:rsid w:val="009C10CA"/>
    <w:rsid w:val="009D4134"/>
    <w:rsid w:val="009E0BC8"/>
    <w:rsid w:val="00A46BB3"/>
    <w:rsid w:val="00A7439F"/>
    <w:rsid w:val="00A870A8"/>
    <w:rsid w:val="00AB5670"/>
    <w:rsid w:val="00AB6A78"/>
    <w:rsid w:val="00AC41EB"/>
    <w:rsid w:val="00AD036D"/>
    <w:rsid w:val="00AD0F4F"/>
    <w:rsid w:val="00AE4DD6"/>
    <w:rsid w:val="00AF70AC"/>
    <w:rsid w:val="00B23AA1"/>
    <w:rsid w:val="00B84AF4"/>
    <w:rsid w:val="00B90279"/>
    <w:rsid w:val="00BC344C"/>
    <w:rsid w:val="00BD05DB"/>
    <w:rsid w:val="00C114EF"/>
    <w:rsid w:val="00C15C91"/>
    <w:rsid w:val="00C36994"/>
    <w:rsid w:val="00C45A41"/>
    <w:rsid w:val="00C47514"/>
    <w:rsid w:val="00C65DFF"/>
    <w:rsid w:val="00C90916"/>
    <w:rsid w:val="00CA0B8E"/>
    <w:rsid w:val="00CB0005"/>
    <w:rsid w:val="00CC6C7B"/>
    <w:rsid w:val="00CD0AD8"/>
    <w:rsid w:val="00CD4ADB"/>
    <w:rsid w:val="00CD7542"/>
    <w:rsid w:val="00CE17B2"/>
    <w:rsid w:val="00CE4B68"/>
    <w:rsid w:val="00CE64DB"/>
    <w:rsid w:val="00D03C7E"/>
    <w:rsid w:val="00D17999"/>
    <w:rsid w:val="00D53DA2"/>
    <w:rsid w:val="00D64C24"/>
    <w:rsid w:val="00D86E0F"/>
    <w:rsid w:val="00DB3787"/>
    <w:rsid w:val="00DB6774"/>
    <w:rsid w:val="00DC414C"/>
    <w:rsid w:val="00DD7E1B"/>
    <w:rsid w:val="00DF30CD"/>
    <w:rsid w:val="00DF41ED"/>
    <w:rsid w:val="00E02EC3"/>
    <w:rsid w:val="00E05E61"/>
    <w:rsid w:val="00E05F69"/>
    <w:rsid w:val="00E06431"/>
    <w:rsid w:val="00E4231A"/>
    <w:rsid w:val="00E44414"/>
    <w:rsid w:val="00E85D6F"/>
    <w:rsid w:val="00E87744"/>
    <w:rsid w:val="00E91748"/>
    <w:rsid w:val="00E97ED8"/>
    <w:rsid w:val="00EB1ACE"/>
    <w:rsid w:val="00ED40A0"/>
    <w:rsid w:val="00EE661C"/>
    <w:rsid w:val="00EF1502"/>
    <w:rsid w:val="00EF288A"/>
    <w:rsid w:val="00F164D7"/>
    <w:rsid w:val="00F202F5"/>
    <w:rsid w:val="00F357AE"/>
    <w:rsid w:val="00F412BA"/>
    <w:rsid w:val="00F43BA3"/>
    <w:rsid w:val="00F605ED"/>
    <w:rsid w:val="00F71B10"/>
    <w:rsid w:val="00F804EC"/>
    <w:rsid w:val="00F86729"/>
    <w:rsid w:val="00FB1048"/>
    <w:rsid w:val="00FC22E4"/>
    <w:rsid w:val="00FC55A0"/>
    <w:rsid w:val="00FF63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677AB"/>
  <w15:chartTrackingRefBased/>
  <w15:docId w15:val="{FC48A25C-B5C5-674C-BD87-0A84E3CFE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unhideWhenUsed/>
    <w:rsid w:val="00E85D6F"/>
    <w:rPr>
      <w:vertAlign w:val="superscript"/>
    </w:rPr>
  </w:style>
  <w:style w:type="paragraph" w:styleId="ListParagraph">
    <w:name w:val="List Paragraph"/>
    <w:basedOn w:val="Normal"/>
    <w:uiPriority w:val="34"/>
    <w:qFormat/>
    <w:rsid w:val="00E85D6F"/>
    <w:pPr>
      <w:spacing w:after="160" w:line="259" w:lineRule="auto"/>
      <w:ind w:left="720"/>
      <w:contextualSpacing/>
    </w:pPr>
    <w:rPr>
      <w:sz w:val="22"/>
      <w:szCs w:val="22"/>
    </w:rPr>
  </w:style>
  <w:style w:type="paragraph" w:styleId="FootnoteText">
    <w:name w:val="footnote text"/>
    <w:basedOn w:val="Normal"/>
    <w:link w:val="FootnoteTextChar"/>
    <w:uiPriority w:val="99"/>
    <w:unhideWhenUsed/>
    <w:rsid w:val="00E85D6F"/>
    <w:rPr>
      <w:sz w:val="20"/>
      <w:szCs w:val="20"/>
    </w:rPr>
  </w:style>
  <w:style w:type="character" w:customStyle="1" w:styleId="FootnoteTextChar">
    <w:name w:val="Footnote Text Char"/>
    <w:basedOn w:val="DefaultParagraphFont"/>
    <w:link w:val="FootnoteText"/>
    <w:uiPriority w:val="99"/>
    <w:rsid w:val="00E85D6F"/>
    <w:rPr>
      <w:sz w:val="20"/>
      <w:szCs w:val="20"/>
    </w:rPr>
  </w:style>
  <w:style w:type="table" w:styleId="TableGrid">
    <w:name w:val="Table Grid"/>
    <w:basedOn w:val="TableNormal"/>
    <w:uiPriority w:val="39"/>
    <w:rsid w:val="00E85D6F"/>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E06431"/>
    <w:rPr>
      <w:sz w:val="20"/>
      <w:szCs w:val="20"/>
    </w:rPr>
  </w:style>
  <w:style w:type="character" w:customStyle="1" w:styleId="EndnoteTextChar">
    <w:name w:val="Endnote Text Char"/>
    <w:basedOn w:val="DefaultParagraphFont"/>
    <w:link w:val="EndnoteText"/>
    <w:uiPriority w:val="99"/>
    <w:semiHidden/>
    <w:rsid w:val="00E06431"/>
    <w:rPr>
      <w:sz w:val="20"/>
      <w:szCs w:val="20"/>
    </w:rPr>
  </w:style>
  <w:style w:type="character" w:styleId="EndnoteReference">
    <w:name w:val="endnote reference"/>
    <w:basedOn w:val="DefaultParagraphFont"/>
    <w:uiPriority w:val="99"/>
    <w:semiHidden/>
    <w:unhideWhenUsed/>
    <w:rsid w:val="00E06431"/>
    <w:rPr>
      <w:vertAlign w:val="superscript"/>
    </w:rPr>
  </w:style>
  <w:style w:type="character" w:styleId="CommentReference">
    <w:name w:val="annotation reference"/>
    <w:basedOn w:val="DefaultParagraphFont"/>
    <w:uiPriority w:val="99"/>
    <w:semiHidden/>
    <w:unhideWhenUsed/>
    <w:rsid w:val="00CE4B68"/>
    <w:rPr>
      <w:sz w:val="16"/>
      <w:szCs w:val="16"/>
    </w:rPr>
  </w:style>
  <w:style w:type="paragraph" w:styleId="CommentText">
    <w:name w:val="annotation text"/>
    <w:basedOn w:val="Normal"/>
    <w:link w:val="CommentTextChar"/>
    <w:uiPriority w:val="99"/>
    <w:unhideWhenUsed/>
    <w:rsid w:val="00CE4B68"/>
    <w:rPr>
      <w:sz w:val="20"/>
      <w:szCs w:val="20"/>
    </w:rPr>
  </w:style>
  <w:style w:type="character" w:customStyle="1" w:styleId="CommentTextChar">
    <w:name w:val="Comment Text Char"/>
    <w:basedOn w:val="DefaultParagraphFont"/>
    <w:link w:val="CommentText"/>
    <w:uiPriority w:val="99"/>
    <w:rsid w:val="00CE4B68"/>
    <w:rPr>
      <w:sz w:val="20"/>
      <w:szCs w:val="20"/>
    </w:rPr>
  </w:style>
  <w:style w:type="paragraph" w:styleId="CommentSubject">
    <w:name w:val="annotation subject"/>
    <w:basedOn w:val="CommentText"/>
    <w:next w:val="CommentText"/>
    <w:link w:val="CommentSubjectChar"/>
    <w:uiPriority w:val="99"/>
    <w:semiHidden/>
    <w:unhideWhenUsed/>
    <w:rsid w:val="00CE4B68"/>
    <w:rPr>
      <w:b/>
      <w:bCs/>
    </w:rPr>
  </w:style>
  <w:style w:type="character" w:customStyle="1" w:styleId="CommentSubjectChar">
    <w:name w:val="Comment Subject Char"/>
    <w:basedOn w:val="CommentTextChar"/>
    <w:link w:val="CommentSubject"/>
    <w:uiPriority w:val="99"/>
    <w:semiHidden/>
    <w:rsid w:val="00CE4B68"/>
    <w:rPr>
      <w:b/>
      <w:bCs/>
      <w:sz w:val="20"/>
      <w:szCs w:val="20"/>
    </w:rPr>
  </w:style>
  <w:style w:type="paragraph" w:styleId="NormalWeb">
    <w:name w:val="Normal (Web)"/>
    <w:basedOn w:val="Normal"/>
    <w:uiPriority w:val="99"/>
    <w:unhideWhenUsed/>
    <w:rsid w:val="00CB0005"/>
    <w:pPr>
      <w:spacing w:before="100" w:beforeAutospacing="1" w:after="100" w:afterAutospacing="1"/>
    </w:pPr>
    <w:rPr>
      <w:rFonts w:ascii="Times New Roman" w:eastAsia="Times New Roman" w:hAnsi="Times New Roman" w:cs="Times New Roman"/>
    </w:rPr>
  </w:style>
  <w:style w:type="character" w:customStyle="1" w:styleId="cf01">
    <w:name w:val="cf01"/>
    <w:basedOn w:val="DefaultParagraphFont"/>
    <w:rsid w:val="00EF1502"/>
    <w:rPr>
      <w:rFonts w:ascii="Segoe UI" w:hAnsi="Segoe UI" w:cs="Segoe UI" w:hint="default"/>
      <w:sz w:val="18"/>
      <w:szCs w:val="18"/>
    </w:rPr>
  </w:style>
  <w:style w:type="paragraph" w:styleId="Header">
    <w:name w:val="header"/>
    <w:basedOn w:val="Normal"/>
    <w:link w:val="HeaderChar"/>
    <w:uiPriority w:val="99"/>
    <w:unhideWhenUsed/>
    <w:rsid w:val="00982FA7"/>
    <w:pPr>
      <w:tabs>
        <w:tab w:val="center" w:pos="4680"/>
        <w:tab w:val="right" w:pos="9360"/>
      </w:tabs>
    </w:pPr>
  </w:style>
  <w:style w:type="character" w:customStyle="1" w:styleId="HeaderChar">
    <w:name w:val="Header Char"/>
    <w:basedOn w:val="DefaultParagraphFont"/>
    <w:link w:val="Header"/>
    <w:uiPriority w:val="99"/>
    <w:rsid w:val="00982FA7"/>
  </w:style>
  <w:style w:type="paragraph" w:styleId="Footer">
    <w:name w:val="footer"/>
    <w:basedOn w:val="Normal"/>
    <w:link w:val="FooterChar"/>
    <w:uiPriority w:val="99"/>
    <w:unhideWhenUsed/>
    <w:rsid w:val="00982FA7"/>
    <w:pPr>
      <w:tabs>
        <w:tab w:val="center" w:pos="4680"/>
        <w:tab w:val="right" w:pos="9360"/>
      </w:tabs>
    </w:pPr>
  </w:style>
  <w:style w:type="character" w:customStyle="1" w:styleId="FooterChar">
    <w:name w:val="Footer Char"/>
    <w:basedOn w:val="DefaultParagraphFont"/>
    <w:link w:val="Footer"/>
    <w:uiPriority w:val="99"/>
    <w:rsid w:val="00982F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272245-ACCA-A94D-8116-BDB538F03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4</Pages>
  <Words>705</Words>
  <Characters>4024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Beauregard</dc:creator>
  <cp:keywords/>
  <dc:description/>
  <cp:lastModifiedBy>Marks, Brett (DPH)</cp:lastModifiedBy>
  <cp:revision>160</cp:revision>
  <dcterms:created xsi:type="dcterms:W3CDTF">2022-09-15T19:35:00Z</dcterms:created>
  <dcterms:modified xsi:type="dcterms:W3CDTF">2022-09-28T13:18:00Z</dcterms:modified>
</cp:coreProperties>
</file>