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7B5E25" w:rsidRDefault="00D223EB" w:rsidP="00D223EB">
      <w:pPr>
        <w:jc w:val="center"/>
        <w:rPr>
          <w:rFonts w:ascii="Arial" w:hAnsi="Arial" w:cs="Arial"/>
          <w:b/>
          <w:bCs/>
        </w:rPr>
      </w:pPr>
      <w:r w:rsidRPr="007B5E25">
        <w:rPr>
          <w:rFonts w:ascii="Arial" w:hAnsi="Arial" w:cs="Arial"/>
          <w:b/>
          <w:bCs/>
        </w:rPr>
        <w:t>APPLICANT QUESTIONS</w:t>
      </w:r>
    </w:p>
    <w:p w14:paraId="71F6355D" w14:textId="77777777" w:rsidR="00D223EB" w:rsidRPr="007B5E25" w:rsidRDefault="00D223EB" w:rsidP="00D223EB">
      <w:pPr>
        <w:jc w:val="center"/>
        <w:rPr>
          <w:rFonts w:ascii="Arial" w:hAnsi="Arial" w:cs="Arial"/>
        </w:rPr>
      </w:pPr>
      <w:r w:rsidRPr="007B5E25">
        <w:rPr>
          <w:rFonts w:ascii="Arial" w:hAnsi="Arial" w:cs="Arial"/>
          <w:i/>
          <w:iCs/>
        </w:rPr>
        <w:t xml:space="preserve">Responses should be sent to DoN staff at </w:t>
      </w:r>
      <w:hyperlink r:id="rId8" w:history="1">
        <w:r w:rsidRPr="007B5E25">
          <w:rPr>
            <w:rStyle w:val="Hyperlink"/>
            <w:rFonts w:ascii="Arial" w:hAnsi="Arial" w:cs="Arial"/>
          </w:rPr>
          <w:t>DPH.DON@State.MA.US</w:t>
        </w:r>
      </w:hyperlink>
    </w:p>
    <w:tbl>
      <w:tblPr>
        <w:tblStyle w:val="TableGrid"/>
        <w:tblW w:w="0" w:type="auto"/>
        <w:jc w:val="center"/>
        <w:tblLook w:val="04A0" w:firstRow="1" w:lastRow="0" w:firstColumn="1" w:lastColumn="0" w:noHBand="0" w:noVBand="1"/>
      </w:tblPr>
      <w:tblGrid>
        <w:gridCol w:w="9350"/>
      </w:tblGrid>
      <w:tr w:rsidR="00D223EB" w:rsidRPr="007B5E25" w14:paraId="57106F2B" w14:textId="77777777" w:rsidTr="008B5D5E">
        <w:trPr>
          <w:jc w:val="center"/>
        </w:trPr>
        <w:tc>
          <w:tcPr>
            <w:tcW w:w="9350" w:type="dxa"/>
          </w:tcPr>
          <w:p w14:paraId="0D6A2228" w14:textId="77777777" w:rsidR="00D223EB" w:rsidRPr="007B5E25" w:rsidRDefault="00D223EB" w:rsidP="00517FCB">
            <w:pPr>
              <w:spacing w:line="259" w:lineRule="auto"/>
              <w:rPr>
                <w:rFonts w:ascii="Arial" w:hAnsi="Arial" w:cs="Arial"/>
                <w:bCs/>
              </w:rPr>
            </w:pPr>
            <w:r w:rsidRPr="007B5E25">
              <w:rPr>
                <w:rFonts w:ascii="Arial" w:hAnsi="Arial" w:cs="Arial"/>
                <w:bCs/>
              </w:rPr>
              <w:t xml:space="preserve">While you may submit each answer as available, please </w:t>
            </w:r>
          </w:p>
          <w:p w14:paraId="3BAD0544" w14:textId="77777777" w:rsidR="00D223EB" w:rsidRPr="007B5E25" w:rsidRDefault="00D223EB" w:rsidP="00517FCB">
            <w:pPr>
              <w:pStyle w:val="ListParagraph"/>
              <w:numPr>
                <w:ilvl w:val="0"/>
                <w:numId w:val="4"/>
              </w:numPr>
              <w:spacing w:line="259" w:lineRule="auto"/>
              <w:rPr>
                <w:rFonts w:ascii="Arial" w:hAnsi="Arial" w:cs="Arial"/>
                <w:bCs/>
              </w:rPr>
            </w:pPr>
            <w:r w:rsidRPr="007B5E25">
              <w:rPr>
                <w:rFonts w:ascii="Arial" w:hAnsi="Arial" w:cs="Arial"/>
                <w:bCs/>
              </w:rPr>
              <w:t xml:space="preserve">List question number and question for each answer you provide </w:t>
            </w:r>
          </w:p>
          <w:p w14:paraId="77AFC609" w14:textId="1F813011" w:rsidR="00D223EB" w:rsidRPr="007B5E25" w:rsidRDefault="00D223EB" w:rsidP="00517FCB">
            <w:pPr>
              <w:pStyle w:val="ListParagraph"/>
              <w:numPr>
                <w:ilvl w:val="0"/>
                <w:numId w:val="4"/>
              </w:numPr>
              <w:spacing w:line="259" w:lineRule="auto"/>
              <w:rPr>
                <w:rFonts w:ascii="Arial" w:hAnsi="Arial" w:cs="Arial"/>
                <w:bCs/>
              </w:rPr>
            </w:pPr>
            <w:r w:rsidRPr="007B5E25">
              <w:rPr>
                <w:rFonts w:ascii="Arial" w:hAnsi="Arial" w:cs="Arial"/>
                <w:bCs/>
              </w:rPr>
              <w:t xml:space="preserve">Submit responses as a separate word document, using the above application title and number as a running header and page numbers in the footer </w:t>
            </w:r>
          </w:p>
          <w:p w14:paraId="2D4D3A49" w14:textId="7AF2D827" w:rsidR="00D223EB" w:rsidRPr="007B5E25" w:rsidRDefault="001E0B94" w:rsidP="00517FCB">
            <w:pPr>
              <w:pStyle w:val="ListParagraph"/>
              <w:numPr>
                <w:ilvl w:val="0"/>
                <w:numId w:val="4"/>
              </w:numPr>
              <w:spacing w:line="259" w:lineRule="auto"/>
              <w:rPr>
                <w:rFonts w:ascii="Arial" w:hAnsi="Arial" w:cs="Arial"/>
                <w:bCs/>
              </w:rPr>
            </w:pPr>
            <w:r w:rsidRPr="007B5E25">
              <w:rPr>
                <w:rFonts w:ascii="Arial" w:hAnsi="Arial" w:cs="Arial"/>
                <w:bCs/>
              </w:rPr>
              <w:t>We accept answers on a rolling basis however, w</w:t>
            </w:r>
            <w:r w:rsidR="00D223EB" w:rsidRPr="007B5E25">
              <w:rPr>
                <w:rFonts w:ascii="Arial" w:hAnsi="Arial" w:cs="Arial"/>
                <w:bCs/>
              </w:rPr>
              <w:t>hen providing the answer to the final question, submit all questions and answers in</w:t>
            </w:r>
            <w:r w:rsidRPr="007B5E25">
              <w:rPr>
                <w:rFonts w:ascii="Arial" w:hAnsi="Arial" w:cs="Arial"/>
                <w:bCs/>
              </w:rPr>
              <w:t xml:space="preserve"> order in</w:t>
            </w:r>
            <w:r w:rsidR="00D223EB" w:rsidRPr="007B5E25">
              <w:rPr>
                <w:rFonts w:ascii="Arial" w:hAnsi="Arial" w:cs="Arial"/>
                <w:bCs/>
              </w:rPr>
              <w:t xml:space="preserve"> one final document</w:t>
            </w:r>
            <w:r w:rsidRPr="007B5E25">
              <w:rPr>
                <w:rFonts w:ascii="Arial" w:hAnsi="Arial" w:cs="Arial"/>
                <w:bCs/>
              </w:rPr>
              <w:t>.</w:t>
            </w:r>
          </w:p>
          <w:p w14:paraId="552712FE" w14:textId="2E737CA2" w:rsidR="00D223EB" w:rsidRPr="007B5E25" w:rsidRDefault="00D223EB" w:rsidP="00517FCB">
            <w:pPr>
              <w:pStyle w:val="ListParagraph"/>
              <w:numPr>
                <w:ilvl w:val="0"/>
                <w:numId w:val="4"/>
              </w:numPr>
              <w:spacing w:line="259" w:lineRule="auto"/>
              <w:rPr>
                <w:rFonts w:ascii="Arial" w:hAnsi="Arial" w:cs="Arial"/>
                <w:b/>
              </w:rPr>
            </w:pPr>
            <w:r w:rsidRPr="007B5E25">
              <w:rPr>
                <w:rFonts w:ascii="Arial" w:hAnsi="Arial" w:cs="Arial"/>
                <w:bCs/>
              </w:rPr>
              <w:t xml:space="preserve">Submit responses in WORD or EXCEL; only use PDF’s if </w:t>
            </w:r>
            <w:proofErr w:type="gramStart"/>
            <w:r w:rsidRPr="007B5E25">
              <w:rPr>
                <w:rFonts w:ascii="Arial" w:hAnsi="Arial" w:cs="Arial"/>
                <w:bCs/>
              </w:rPr>
              <w:t>absolutely necessary</w:t>
            </w:r>
            <w:proofErr w:type="gramEnd"/>
            <w:r w:rsidRPr="007B5E25">
              <w:rPr>
                <w:rFonts w:ascii="Arial" w:hAnsi="Arial" w:cs="Arial"/>
                <w:bCs/>
              </w:rPr>
              <w:t xml:space="preserve">. </w:t>
            </w:r>
            <w:r w:rsidRPr="007B5E25">
              <w:rPr>
                <w:rFonts w:ascii="Arial" w:hAnsi="Arial" w:cs="Arial"/>
                <w:b/>
              </w:rPr>
              <w:t>Whenever possible, include a</w:t>
            </w:r>
            <w:r w:rsidR="001E0B94" w:rsidRPr="007B5E25">
              <w:rPr>
                <w:rFonts w:ascii="Arial" w:hAnsi="Arial" w:cs="Arial"/>
                <w:b/>
              </w:rPr>
              <w:t xml:space="preserve"> </w:t>
            </w:r>
            <w:r w:rsidRPr="007B5E25">
              <w:rPr>
                <w:rFonts w:ascii="Arial" w:hAnsi="Arial" w:cs="Arial"/>
                <w:b/>
              </w:rPr>
              <w:t>table</w:t>
            </w:r>
            <w:r w:rsidR="001E0B94" w:rsidRPr="007B5E25">
              <w:rPr>
                <w:rFonts w:ascii="Arial" w:hAnsi="Arial" w:cs="Arial"/>
                <w:b/>
              </w:rPr>
              <w:t xml:space="preserve"> in</w:t>
            </w:r>
            <w:r w:rsidRPr="007B5E25">
              <w:rPr>
                <w:rFonts w:ascii="Arial" w:hAnsi="Arial" w:cs="Arial"/>
                <w:b/>
              </w:rPr>
              <w:t xml:space="preserve"> </w:t>
            </w:r>
            <w:r w:rsidR="001E0B94" w:rsidRPr="007B5E25">
              <w:rPr>
                <w:rFonts w:ascii="Arial" w:hAnsi="Arial" w:cs="Arial"/>
                <w:b/>
              </w:rPr>
              <w:t xml:space="preserve">data format (NOT pdf or picture) </w:t>
            </w:r>
            <w:r w:rsidRPr="007B5E25">
              <w:rPr>
                <w:rFonts w:ascii="Arial" w:hAnsi="Arial" w:cs="Arial"/>
                <w:b/>
              </w:rPr>
              <w:t>with the response</w:t>
            </w:r>
            <w:r w:rsidR="001E0B94" w:rsidRPr="007B5E25">
              <w:rPr>
                <w:rFonts w:ascii="Arial" w:hAnsi="Arial" w:cs="Arial"/>
                <w:b/>
              </w:rPr>
              <w:t>.</w:t>
            </w:r>
          </w:p>
        </w:tc>
      </w:tr>
    </w:tbl>
    <w:p w14:paraId="2758094D" w14:textId="1C1631B9" w:rsidR="00032FF5" w:rsidRPr="007B5E25" w:rsidRDefault="00032FF5" w:rsidP="00517FCB">
      <w:pPr>
        <w:spacing w:after="120"/>
        <w:rPr>
          <w:rFonts w:ascii="Arial" w:hAnsi="Arial" w:cs="Arial"/>
        </w:rPr>
      </w:pPr>
    </w:p>
    <w:p w14:paraId="1DFC146A" w14:textId="1D02EC86" w:rsidR="00380E08" w:rsidRPr="007B5E25" w:rsidRDefault="00380E08" w:rsidP="009D1721">
      <w:pPr>
        <w:spacing w:after="240"/>
        <w:jc w:val="both"/>
        <w:rPr>
          <w:rFonts w:ascii="Arial" w:hAnsi="Arial" w:cs="Arial"/>
          <w:b/>
          <w:bCs/>
        </w:rPr>
      </w:pPr>
      <w:proofErr w:type="gramStart"/>
      <w:r w:rsidRPr="007B5E25">
        <w:rPr>
          <w:rFonts w:ascii="Arial" w:hAnsi="Arial" w:cs="Arial"/>
          <w:b/>
          <w:bCs/>
        </w:rPr>
        <w:t>In order for</w:t>
      </w:r>
      <w:proofErr w:type="gramEnd"/>
      <w:r w:rsidRPr="007B5E25">
        <w:rPr>
          <w:rFonts w:ascii="Arial" w:hAnsi="Arial" w:cs="Arial"/>
          <w:b/>
          <w:bCs/>
        </w:rPr>
        <w:t xml:space="preserve"> us to review this project in a timely manner, pleas</w:t>
      </w:r>
      <w:r w:rsidR="00EC5803">
        <w:rPr>
          <w:rFonts w:ascii="Arial" w:hAnsi="Arial" w:cs="Arial"/>
          <w:b/>
          <w:bCs/>
        </w:rPr>
        <w:t>e</w:t>
      </w:r>
      <w:r w:rsidRPr="007B5E25">
        <w:rPr>
          <w:rFonts w:ascii="Arial" w:hAnsi="Arial" w:cs="Arial"/>
          <w:b/>
          <w:bCs/>
        </w:rPr>
        <w:t xml:space="preserve"> provide the responses by September 14</w:t>
      </w:r>
      <w:r w:rsidRPr="007B5E25">
        <w:rPr>
          <w:rFonts w:ascii="Arial" w:hAnsi="Arial" w:cs="Arial"/>
          <w:b/>
          <w:bCs/>
          <w:vertAlign w:val="superscript"/>
        </w:rPr>
        <w:t>th</w:t>
      </w:r>
      <w:r w:rsidRPr="007B5E25">
        <w:rPr>
          <w:rFonts w:ascii="Arial" w:hAnsi="Arial" w:cs="Arial"/>
          <w:b/>
          <w:bCs/>
        </w:rPr>
        <w:t>, 2022.</w:t>
      </w:r>
    </w:p>
    <w:p w14:paraId="53B2C7F9" w14:textId="20F747B7" w:rsidR="00715918" w:rsidRPr="007B5E25" w:rsidRDefault="00715918" w:rsidP="00715918">
      <w:pPr>
        <w:pStyle w:val="ListParagraph"/>
        <w:numPr>
          <w:ilvl w:val="0"/>
          <w:numId w:val="29"/>
        </w:numPr>
        <w:tabs>
          <w:tab w:val="left" w:pos="4455"/>
        </w:tabs>
        <w:rPr>
          <w:rFonts w:ascii="Arial" w:hAnsi="Arial" w:cs="Arial"/>
          <w:b/>
          <w:bCs/>
        </w:rPr>
      </w:pPr>
      <w:r w:rsidRPr="007B5E25">
        <w:rPr>
          <w:rFonts w:ascii="Arial" w:hAnsi="Arial" w:cs="Arial"/>
          <w:b/>
          <w:bCs/>
        </w:rPr>
        <w:t>Please confirm that Year 1 of project implementation is 2024.</w:t>
      </w:r>
    </w:p>
    <w:p w14:paraId="4986EF27" w14:textId="652EE9F0" w:rsidR="00715918" w:rsidRPr="007B5E25" w:rsidRDefault="007E0EE2" w:rsidP="00B405A8">
      <w:pPr>
        <w:tabs>
          <w:tab w:val="left" w:pos="4455"/>
        </w:tabs>
        <w:spacing w:after="240"/>
        <w:jc w:val="both"/>
        <w:rPr>
          <w:rFonts w:ascii="Arial" w:hAnsi="Arial" w:cs="Arial"/>
        </w:rPr>
      </w:pPr>
      <w:r>
        <w:rPr>
          <w:rFonts w:ascii="Arial" w:hAnsi="Arial" w:cs="Arial"/>
        </w:rPr>
        <w:t>BMC Health System, Inc. (“Applicant” or “BMC Health System”) anticipates that fiscal year (“FY”) 24</w:t>
      </w:r>
      <w:r w:rsidRPr="009B5066">
        <w:rPr>
          <w:rFonts w:ascii="Arial" w:hAnsi="Arial" w:cs="Arial"/>
        </w:rPr>
        <w:t xml:space="preserve"> is the year the Proposed Project will open</w:t>
      </w:r>
      <w:r w:rsidR="007B5E25" w:rsidRPr="009B5066">
        <w:rPr>
          <w:rFonts w:ascii="Arial" w:hAnsi="Arial" w:cs="Arial"/>
        </w:rPr>
        <w:t>.</w:t>
      </w:r>
    </w:p>
    <w:p w14:paraId="3C2D7513" w14:textId="6319111F" w:rsidR="000C4405" w:rsidRPr="007B5E25" w:rsidRDefault="000C4405" w:rsidP="009D1721">
      <w:pPr>
        <w:pStyle w:val="ListParagraph"/>
        <w:numPr>
          <w:ilvl w:val="0"/>
          <w:numId w:val="29"/>
        </w:numPr>
        <w:contextualSpacing w:val="0"/>
        <w:jc w:val="both"/>
        <w:rPr>
          <w:rFonts w:ascii="Arial" w:hAnsi="Arial" w:cs="Arial"/>
          <w:b/>
          <w:bCs/>
        </w:rPr>
      </w:pPr>
      <w:r w:rsidRPr="007B5E25">
        <w:rPr>
          <w:rFonts w:ascii="Arial" w:hAnsi="Arial" w:cs="Arial"/>
          <w:b/>
          <w:bCs/>
        </w:rPr>
        <w:t xml:space="preserve">When describing the scope of the project, “Proposed Project Components” (p1) </w:t>
      </w:r>
    </w:p>
    <w:p w14:paraId="1E4ADD15" w14:textId="43CD94DD" w:rsidR="000C4405" w:rsidRDefault="009B74DA" w:rsidP="009D1721">
      <w:pPr>
        <w:pStyle w:val="ListParagraph"/>
        <w:numPr>
          <w:ilvl w:val="0"/>
          <w:numId w:val="30"/>
        </w:numPr>
        <w:ind w:left="1080"/>
        <w:contextualSpacing w:val="0"/>
        <w:jc w:val="both"/>
        <w:rPr>
          <w:rFonts w:ascii="Arial" w:hAnsi="Arial" w:cs="Arial"/>
          <w:b/>
          <w:bCs/>
        </w:rPr>
      </w:pPr>
      <w:r w:rsidRPr="007B5E25">
        <w:rPr>
          <w:rFonts w:ascii="Arial" w:hAnsi="Arial" w:cs="Arial"/>
          <w:b/>
          <w:bCs/>
        </w:rPr>
        <w:t>Y</w:t>
      </w:r>
      <w:r w:rsidR="000C4405" w:rsidRPr="007B5E25">
        <w:rPr>
          <w:rFonts w:ascii="Arial" w:hAnsi="Arial" w:cs="Arial"/>
          <w:b/>
          <w:bCs/>
        </w:rPr>
        <w:t>ou state that there will be construction and renovation of the 5</w:t>
      </w:r>
      <w:r w:rsidR="000C4405" w:rsidRPr="007B5E25">
        <w:rPr>
          <w:rFonts w:ascii="Arial" w:hAnsi="Arial" w:cs="Arial"/>
          <w:b/>
          <w:bCs/>
          <w:vertAlign w:val="superscript"/>
        </w:rPr>
        <w:t>th</w:t>
      </w:r>
      <w:r w:rsidR="000C4405" w:rsidRPr="007B5E25">
        <w:rPr>
          <w:rFonts w:ascii="Arial" w:hAnsi="Arial" w:cs="Arial"/>
          <w:b/>
          <w:bCs/>
        </w:rPr>
        <w:t xml:space="preserve"> and 6</w:t>
      </w:r>
      <w:r w:rsidR="000C4405" w:rsidRPr="007B5E25">
        <w:rPr>
          <w:rFonts w:ascii="Arial" w:hAnsi="Arial" w:cs="Arial"/>
          <w:b/>
          <w:bCs/>
          <w:vertAlign w:val="superscript"/>
        </w:rPr>
        <w:t>th</w:t>
      </w:r>
      <w:r w:rsidR="000C4405" w:rsidRPr="007B5E25">
        <w:rPr>
          <w:rFonts w:ascii="Arial" w:hAnsi="Arial" w:cs="Arial"/>
          <w:b/>
          <w:bCs/>
        </w:rPr>
        <w:t xml:space="preserve"> floors of the existing Yawkey building. Please describe what is currently in that space and what moving those services to an alternative location </w:t>
      </w:r>
      <w:proofErr w:type="gramStart"/>
      <w:r w:rsidR="000C4405" w:rsidRPr="007B5E25">
        <w:rPr>
          <w:rFonts w:ascii="Arial" w:hAnsi="Arial" w:cs="Arial"/>
          <w:b/>
          <w:bCs/>
        </w:rPr>
        <w:t>entails</w:t>
      </w:r>
      <w:proofErr w:type="gramEnd"/>
      <w:r w:rsidR="000C4405" w:rsidRPr="007B5E25">
        <w:rPr>
          <w:rFonts w:ascii="Arial" w:hAnsi="Arial" w:cs="Arial"/>
          <w:b/>
          <w:bCs/>
        </w:rPr>
        <w:t xml:space="preserve">. </w:t>
      </w:r>
    </w:p>
    <w:p w14:paraId="40D4C258" w14:textId="6A51854E" w:rsidR="007B5E25" w:rsidRPr="00305E0C" w:rsidRDefault="002C356C" w:rsidP="0057322D">
      <w:pPr>
        <w:spacing w:after="60"/>
        <w:jc w:val="both"/>
        <w:rPr>
          <w:rFonts w:ascii="Arial" w:hAnsi="Arial" w:cs="Arial"/>
        </w:rPr>
      </w:pPr>
      <w:r w:rsidRPr="00305E0C">
        <w:rPr>
          <w:rFonts w:ascii="Arial" w:hAnsi="Arial" w:cs="Arial"/>
        </w:rPr>
        <w:t>The following services are currently located on B</w:t>
      </w:r>
      <w:r>
        <w:rPr>
          <w:rFonts w:ascii="Arial" w:hAnsi="Arial" w:cs="Arial"/>
        </w:rPr>
        <w:t>oston Medical Center’s (</w:t>
      </w:r>
      <w:proofErr w:type="gramStart"/>
      <w:r>
        <w:rPr>
          <w:rFonts w:ascii="Arial" w:hAnsi="Arial" w:cs="Arial"/>
        </w:rPr>
        <w:t>“B</w:t>
      </w:r>
      <w:r w:rsidRPr="00305E0C">
        <w:rPr>
          <w:rFonts w:ascii="Arial" w:hAnsi="Arial" w:cs="Arial"/>
        </w:rPr>
        <w:t>MC’s</w:t>
      </w:r>
      <w:r>
        <w:rPr>
          <w:rFonts w:ascii="Arial" w:hAnsi="Arial" w:cs="Arial"/>
        </w:rPr>
        <w:t>”</w:t>
      </w:r>
      <w:proofErr w:type="gramEnd"/>
      <w:r>
        <w:rPr>
          <w:rFonts w:ascii="Arial" w:hAnsi="Arial" w:cs="Arial"/>
        </w:rPr>
        <w:t xml:space="preserve"> or “Hospital’s”)</w:t>
      </w:r>
      <w:r w:rsidRPr="00305E0C">
        <w:rPr>
          <w:rFonts w:ascii="Arial" w:hAnsi="Arial" w:cs="Arial"/>
        </w:rPr>
        <w:t xml:space="preserve"> Yawkey Building 5th floor and will be relocated</w:t>
      </w:r>
      <w:r w:rsidR="00305E0C" w:rsidRPr="00305E0C">
        <w:rPr>
          <w:rFonts w:ascii="Arial" w:hAnsi="Arial" w:cs="Arial"/>
        </w:rPr>
        <w:t>:</w:t>
      </w:r>
    </w:p>
    <w:p w14:paraId="1C84464B" w14:textId="2A188760" w:rsidR="00305E0C" w:rsidRDefault="0063573C" w:rsidP="0057322D">
      <w:pPr>
        <w:pStyle w:val="ListParagraph"/>
        <w:numPr>
          <w:ilvl w:val="0"/>
          <w:numId w:val="32"/>
        </w:numPr>
        <w:spacing w:after="60"/>
        <w:contextualSpacing w:val="0"/>
        <w:jc w:val="both"/>
        <w:rPr>
          <w:rFonts w:ascii="Arial" w:hAnsi="Arial" w:cs="Arial"/>
        </w:rPr>
      </w:pPr>
      <w:r>
        <w:rPr>
          <w:rFonts w:ascii="Arial" w:hAnsi="Arial" w:cs="Arial"/>
        </w:rPr>
        <w:t>Women’s Health OB/GYN Primary Care – Women’s Health OB/GYN Primary Care will be relocated to BMC’s Shapiro Building 5th floor, located at 725 Albany Street, Boston, MA 02118. Pursuant to conversations with the Department of Public Health (“DPH” or “the Department”), this relocation does not require architectural plan review or licensure approval</w:t>
      </w:r>
      <w:r w:rsidR="00120986">
        <w:rPr>
          <w:rFonts w:ascii="Arial" w:hAnsi="Arial" w:cs="Arial"/>
        </w:rPr>
        <w:t>.</w:t>
      </w:r>
    </w:p>
    <w:p w14:paraId="7E9435F6" w14:textId="4AC50E41" w:rsidR="00305E0C" w:rsidRDefault="00661792" w:rsidP="0057322D">
      <w:pPr>
        <w:pStyle w:val="ListParagraph"/>
        <w:numPr>
          <w:ilvl w:val="0"/>
          <w:numId w:val="32"/>
        </w:numPr>
        <w:spacing w:after="60"/>
        <w:contextualSpacing w:val="0"/>
        <w:jc w:val="both"/>
        <w:rPr>
          <w:rFonts w:ascii="Arial" w:hAnsi="Arial" w:cs="Arial"/>
        </w:rPr>
      </w:pPr>
      <w:r>
        <w:rPr>
          <w:rFonts w:ascii="Arial" w:hAnsi="Arial" w:cs="Arial"/>
        </w:rPr>
        <w:t>Women’s Health Antenatal Testing Unit (“ATU”) and Nonstress Testing (“NST”) Unit – The Women’s Health ATU and NST Unit</w:t>
      </w:r>
      <w:r w:rsidRPr="00305E0C">
        <w:rPr>
          <w:rFonts w:ascii="Arial" w:hAnsi="Arial" w:cs="Arial"/>
        </w:rPr>
        <w:t xml:space="preserve"> </w:t>
      </w:r>
      <w:r>
        <w:rPr>
          <w:rFonts w:ascii="Arial" w:hAnsi="Arial" w:cs="Arial"/>
        </w:rPr>
        <w:t>will be relocated to BMC’s Shapiro Building 5th floor, located at 725 Albany Street, Boston, MA 02118, which will be renovated to accommodate the relocated units. The Applicant will pursue architectural plan review and licensure approval for the renovations/relocations</w:t>
      </w:r>
      <w:r w:rsidR="00305E0C">
        <w:rPr>
          <w:rFonts w:ascii="Arial" w:hAnsi="Arial" w:cs="Arial"/>
        </w:rPr>
        <w:t>.</w:t>
      </w:r>
    </w:p>
    <w:p w14:paraId="778A42CB" w14:textId="3DCC6553" w:rsidR="009D1721" w:rsidRPr="00517FCB" w:rsidRDefault="00395364" w:rsidP="00517FCB">
      <w:pPr>
        <w:pStyle w:val="ListParagraph"/>
        <w:numPr>
          <w:ilvl w:val="0"/>
          <w:numId w:val="32"/>
        </w:numPr>
        <w:spacing w:after="240"/>
        <w:contextualSpacing w:val="0"/>
        <w:jc w:val="both"/>
        <w:rPr>
          <w:rFonts w:ascii="Arial" w:hAnsi="Arial" w:cs="Arial"/>
        </w:rPr>
      </w:pPr>
      <w:r>
        <w:rPr>
          <w:rFonts w:ascii="Arial" w:hAnsi="Arial" w:cs="Arial"/>
        </w:rPr>
        <w:t xml:space="preserve">Women’s Health Special Procedures Unit (“SPU”) – The Women’s Health SPU will be temporarily relocated to BMC’s Menino Building 2nd floor, located at 840 Harrison Avenue, Boston, MA 02118, while construction and renovation is underway </w:t>
      </w:r>
      <w:r w:rsidRPr="00305E0C">
        <w:rPr>
          <w:rFonts w:ascii="Arial" w:hAnsi="Arial" w:cs="Arial"/>
        </w:rPr>
        <w:t xml:space="preserve">on BMC’s Yawkey Building </w:t>
      </w:r>
      <w:r>
        <w:rPr>
          <w:rFonts w:ascii="Arial" w:hAnsi="Arial" w:cs="Arial"/>
        </w:rPr>
        <w:t>6</w:t>
      </w:r>
      <w:r w:rsidRPr="00305E0C">
        <w:rPr>
          <w:rFonts w:ascii="Arial" w:hAnsi="Arial" w:cs="Arial"/>
        </w:rPr>
        <w:t>th floor</w:t>
      </w:r>
      <w:r>
        <w:rPr>
          <w:rFonts w:ascii="Arial" w:hAnsi="Arial" w:cs="Arial"/>
        </w:rPr>
        <w:t xml:space="preserve"> to ensure patient continuity of care. Upon completion of construction and renovation to the Yawkey Building 6th floor, the Applicant plans to relocate</w:t>
      </w:r>
      <w:r w:rsidRPr="00F12885">
        <w:rPr>
          <w:rFonts w:ascii="Arial" w:hAnsi="Arial" w:cs="Arial"/>
        </w:rPr>
        <w:t xml:space="preserve"> </w:t>
      </w:r>
      <w:r>
        <w:rPr>
          <w:rFonts w:ascii="Arial" w:hAnsi="Arial" w:cs="Arial"/>
        </w:rPr>
        <w:t>the Women’s Health SPU to the Yawkey Building 6th floor, where it will remain permanently.</w:t>
      </w:r>
      <w:r w:rsidRPr="00F12885">
        <w:rPr>
          <w:rFonts w:ascii="Arial" w:hAnsi="Arial" w:cs="Arial"/>
        </w:rPr>
        <w:t xml:space="preserve"> </w:t>
      </w:r>
      <w:r>
        <w:rPr>
          <w:rFonts w:ascii="Arial" w:hAnsi="Arial" w:cs="Arial"/>
        </w:rPr>
        <w:t>The Applicant will pursue architectural plan review and licensure approval for each phase of renovation/relocation</w:t>
      </w:r>
      <w:r w:rsidR="00F12885">
        <w:rPr>
          <w:rFonts w:ascii="Arial" w:hAnsi="Arial" w:cs="Arial"/>
        </w:rPr>
        <w:t>.</w:t>
      </w:r>
    </w:p>
    <w:p w14:paraId="6E816F4A" w14:textId="0A17AB84" w:rsidR="00305E0C" w:rsidRDefault="00B36200" w:rsidP="00EC5156">
      <w:pPr>
        <w:spacing w:after="60"/>
        <w:jc w:val="both"/>
        <w:rPr>
          <w:rFonts w:ascii="Arial" w:hAnsi="Arial" w:cs="Arial"/>
        </w:rPr>
      </w:pPr>
      <w:r w:rsidRPr="00305E0C">
        <w:rPr>
          <w:rFonts w:ascii="Arial" w:hAnsi="Arial" w:cs="Arial"/>
        </w:rPr>
        <w:lastRenderedPageBreak/>
        <w:t xml:space="preserve">The following services are currently located on BMC’s Yawkey Building </w:t>
      </w:r>
      <w:r>
        <w:rPr>
          <w:rFonts w:ascii="Arial" w:hAnsi="Arial" w:cs="Arial"/>
        </w:rPr>
        <w:t>6</w:t>
      </w:r>
      <w:r w:rsidRPr="00305E0C">
        <w:rPr>
          <w:rFonts w:ascii="Arial" w:hAnsi="Arial" w:cs="Arial"/>
        </w:rPr>
        <w:t>th floor and will be relocated</w:t>
      </w:r>
      <w:r w:rsidR="008B6FBF">
        <w:rPr>
          <w:rFonts w:ascii="Arial" w:hAnsi="Arial" w:cs="Arial"/>
        </w:rPr>
        <w:t>:</w:t>
      </w:r>
    </w:p>
    <w:p w14:paraId="6223D7C2" w14:textId="32EBA865" w:rsidR="00877BF9" w:rsidRDefault="00EA6DB0" w:rsidP="00EC5156">
      <w:pPr>
        <w:pStyle w:val="ListParagraph"/>
        <w:numPr>
          <w:ilvl w:val="0"/>
          <w:numId w:val="32"/>
        </w:numPr>
        <w:spacing w:after="60"/>
        <w:contextualSpacing w:val="0"/>
        <w:jc w:val="both"/>
        <w:rPr>
          <w:rFonts w:ascii="Arial" w:hAnsi="Arial" w:cs="Arial"/>
        </w:rPr>
      </w:pPr>
      <w:r>
        <w:rPr>
          <w:rFonts w:ascii="Arial" w:hAnsi="Arial" w:cs="Arial"/>
        </w:rPr>
        <w:t>Dental Clinic – The Dental Clinic will be relocated to BMC’s Shapiro Building 6th floor, located at 725 Albany Street, Boston, MA 02118, which will be renovated to accommodate the relocated service.</w:t>
      </w:r>
      <w:r w:rsidRPr="00877BF9">
        <w:rPr>
          <w:rFonts w:ascii="Arial" w:hAnsi="Arial" w:cs="Arial"/>
        </w:rPr>
        <w:t xml:space="preserve"> </w:t>
      </w:r>
      <w:r>
        <w:rPr>
          <w:rFonts w:ascii="Arial" w:hAnsi="Arial" w:cs="Arial"/>
        </w:rPr>
        <w:t>The Applicant will pursue architectural plan review and licensure approval for the renovation/relocation</w:t>
      </w:r>
      <w:r w:rsidR="00877BF9">
        <w:rPr>
          <w:rFonts w:ascii="Arial" w:hAnsi="Arial" w:cs="Arial"/>
        </w:rPr>
        <w:t>.</w:t>
      </w:r>
    </w:p>
    <w:p w14:paraId="0BC365C4" w14:textId="0DFDA8D6" w:rsidR="00877BF9" w:rsidRPr="00A8149E" w:rsidRDefault="001E3DE9" w:rsidP="00B405A8">
      <w:pPr>
        <w:pStyle w:val="ListParagraph"/>
        <w:numPr>
          <w:ilvl w:val="0"/>
          <w:numId w:val="32"/>
        </w:numPr>
        <w:spacing w:after="240"/>
        <w:contextualSpacing w:val="0"/>
        <w:jc w:val="both"/>
        <w:rPr>
          <w:rFonts w:ascii="Arial" w:hAnsi="Arial" w:cs="Arial"/>
        </w:rPr>
      </w:pPr>
      <w:r>
        <w:rPr>
          <w:rFonts w:ascii="Arial" w:hAnsi="Arial" w:cs="Arial"/>
        </w:rPr>
        <w:t>Pediatric Primary Care, Pediatric Psychiatry, Adolescent Primary Care, and STAR (</w:t>
      </w:r>
      <w:r w:rsidRPr="00645E3C">
        <w:rPr>
          <w:rFonts w:ascii="ArialMT" w:eastAsia="Times New Roman" w:hAnsi="ArialMT" w:cs="Times New Roman"/>
        </w:rPr>
        <w:t>Services for Trauma and Resources for families</w:t>
      </w:r>
      <w:r>
        <w:rPr>
          <w:rFonts w:ascii="ArialMT" w:eastAsia="Times New Roman" w:hAnsi="ArialMT" w:cs="Times New Roman"/>
        </w:rPr>
        <w:t>)</w:t>
      </w:r>
      <w:r w:rsidRPr="00645E3C">
        <w:rPr>
          <w:rFonts w:ascii="Arial" w:hAnsi="Arial" w:cs="Arial"/>
        </w:rPr>
        <w:t xml:space="preserve"> Unit – These services will be relocated to the 7th floor of BMC’s licensed Crosstown Satellite, located at 801 Massachusetts Avenue, Boston, MA 02118, which will be renovated to accommodate the relocated services.</w:t>
      </w:r>
      <w:r>
        <w:rPr>
          <w:rFonts w:ascii="Arial" w:hAnsi="Arial" w:cs="Arial"/>
        </w:rPr>
        <w:t xml:space="preserve"> The Applicant submitted a Transfer of Site application to the Department for the relocations on June 24, </w:t>
      </w:r>
      <w:proofErr w:type="gramStart"/>
      <w:r>
        <w:rPr>
          <w:rFonts w:ascii="Arial" w:hAnsi="Arial" w:cs="Arial"/>
        </w:rPr>
        <w:t>2022</w:t>
      </w:r>
      <w:proofErr w:type="gramEnd"/>
      <w:r>
        <w:rPr>
          <w:rFonts w:ascii="Arial" w:hAnsi="Arial" w:cs="Arial"/>
        </w:rPr>
        <w:t xml:space="preserve"> and received confirmation from the Department on July 21, 2022 that the relocations do not require a Determination of Need (“DoN”) either as a Substantial Capital Expenditure or Substantial Change in Service. </w:t>
      </w:r>
      <w:r w:rsidRPr="00A8149E">
        <w:rPr>
          <w:rFonts w:ascii="Arial" w:hAnsi="Arial" w:cs="Arial"/>
        </w:rPr>
        <w:t>The Applicant will pursue architectural plan review and licensure approval for the renovations/relocations</w:t>
      </w:r>
      <w:r w:rsidR="00877BF9" w:rsidRPr="00A8149E">
        <w:rPr>
          <w:rFonts w:ascii="Arial" w:hAnsi="Arial" w:cs="Arial"/>
        </w:rPr>
        <w:t>.</w:t>
      </w:r>
    </w:p>
    <w:p w14:paraId="2D430866" w14:textId="1A6230EA" w:rsidR="00E06845" w:rsidRPr="007B5E25" w:rsidRDefault="009E3746" w:rsidP="00B84D89">
      <w:pPr>
        <w:pStyle w:val="ListParagraph"/>
        <w:numPr>
          <w:ilvl w:val="0"/>
          <w:numId w:val="30"/>
        </w:numPr>
        <w:ind w:left="1080"/>
        <w:contextualSpacing w:val="0"/>
        <w:rPr>
          <w:rFonts w:ascii="Arial" w:hAnsi="Arial" w:cs="Arial"/>
          <w:b/>
          <w:bCs/>
        </w:rPr>
      </w:pPr>
      <w:r w:rsidRPr="007B5E25">
        <w:rPr>
          <w:rFonts w:ascii="Arial" w:hAnsi="Arial" w:cs="Arial"/>
          <w:b/>
          <w:bCs/>
        </w:rPr>
        <w:t>You state that an existing 28-bed observation bed unit will be moved from Menino 2</w:t>
      </w:r>
      <w:r w:rsidRPr="007B5E25">
        <w:rPr>
          <w:rFonts w:ascii="Arial" w:hAnsi="Arial" w:cs="Arial"/>
          <w:b/>
          <w:bCs/>
          <w:vertAlign w:val="superscript"/>
        </w:rPr>
        <w:t>nd</w:t>
      </w:r>
      <w:r w:rsidRPr="007B5E25">
        <w:rPr>
          <w:rFonts w:ascii="Arial" w:hAnsi="Arial" w:cs="Arial"/>
          <w:b/>
          <w:bCs/>
        </w:rPr>
        <w:t xml:space="preserve"> to Yawkey 5</w:t>
      </w:r>
      <w:r w:rsidR="008124F5" w:rsidRPr="007B5E25">
        <w:rPr>
          <w:rFonts w:ascii="Arial" w:hAnsi="Arial" w:cs="Arial"/>
          <w:b/>
          <w:bCs/>
          <w:vertAlign w:val="superscript"/>
        </w:rPr>
        <w:t>th.</w:t>
      </w:r>
      <w:r w:rsidRPr="007B5E25">
        <w:rPr>
          <w:rFonts w:ascii="Arial" w:hAnsi="Arial" w:cs="Arial"/>
          <w:b/>
          <w:bCs/>
        </w:rPr>
        <w:t xml:space="preserve"> Please explain whether those 28 beds will remain as observation </w:t>
      </w:r>
      <w:r w:rsidR="008124F5" w:rsidRPr="007B5E25">
        <w:rPr>
          <w:rFonts w:ascii="Arial" w:hAnsi="Arial" w:cs="Arial"/>
          <w:b/>
          <w:bCs/>
        </w:rPr>
        <w:t>beds or</w:t>
      </w:r>
      <w:r w:rsidRPr="007B5E25">
        <w:rPr>
          <w:rFonts w:ascii="Arial" w:hAnsi="Arial" w:cs="Arial"/>
          <w:b/>
          <w:bCs/>
        </w:rPr>
        <w:t xml:space="preserve"> are they part of the 60 M/S beds requested. </w:t>
      </w:r>
    </w:p>
    <w:p w14:paraId="4655231A" w14:textId="0F812195" w:rsidR="00ED7B46" w:rsidRPr="00821848" w:rsidRDefault="00E7453B" w:rsidP="00B405A8">
      <w:pPr>
        <w:spacing w:after="240"/>
        <w:jc w:val="both"/>
        <w:rPr>
          <w:rFonts w:ascii="Arial" w:hAnsi="Arial" w:cs="Arial"/>
        </w:rPr>
      </w:pPr>
      <w:r>
        <w:rPr>
          <w:rFonts w:ascii="Arial" w:hAnsi="Arial" w:cs="Arial"/>
        </w:rPr>
        <w:t xml:space="preserve">As part of the Proposed Project, the existing 28-bed observation unit will be relocated from BMC’s Menino Building 2nd floor, located at 840 Harrison Avenue, Boston, MA 02118, to BMC’s Yawkey Building 5th floor, located at 850 Harrison Avenue, Boston, MA 02118. The 28 observation beds are not part of the 60 medical/surgical beds requested as part of the Proposed Project; rather, the 28 beds will remain as </w:t>
      </w:r>
      <w:r w:rsidRPr="00821848">
        <w:rPr>
          <w:rFonts w:ascii="Arial" w:hAnsi="Arial" w:cs="Arial"/>
        </w:rPr>
        <w:t>observation beds after being relocated to BMC’s Yawkey Building 5th floor</w:t>
      </w:r>
      <w:r w:rsidR="00D76A0D" w:rsidRPr="00821848">
        <w:rPr>
          <w:rFonts w:ascii="Arial" w:hAnsi="Arial" w:cs="Arial"/>
        </w:rPr>
        <w:t>.</w:t>
      </w:r>
    </w:p>
    <w:p w14:paraId="06FD6EC9" w14:textId="50665CD1" w:rsidR="009B74DA" w:rsidRPr="00821848" w:rsidRDefault="00722F8A" w:rsidP="006C2EA2">
      <w:pPr>
        <w:pStyle w:val="ListParagraph"/>
        <w:numPr>
          <w:ilvl w:val="0"/>
          <w:numId w:val="29"/>
        </w:numPr>
        <w:contextualSpacing w:val="0"/>
        <w:jc w:val="both"/>
        <w:rPr>
          <w:rFonts w:ascii="Arial" w:hAnsi="Arial" w:cs="Arial"/>
          <w:b/>
        </w:rPr>
      </w:pPr>
      <w:r w:rsidRPr="00821848">
        <w:rPr>
          <w:rFonts w:ascii="Arial" w:hAnsi="Arial" w:cs="Arial"/>
          <w:b/>
        </w:rPr>
        <w:t>T</w:t>
      </w:r>
      <w:r w:rsidR="00BE30DE" w:rsidRPr="00821848">
        <w:rPr>
          <w:rFonts w:ascii="Arial" w:hAnsi="Arial" w:cs="Arial"/>
          <w:b/>
        </w:rPr>
        <w:t xml:space="preserve">o better understand Patient </w:t>
      </w:r>
      <w:proofErr w:type="gramStart"/>
      <w:r w:rsidR="00BE30DE" w:rsidRPr="00821848">
        <w:rPr>
          <w:rFonts w:ascii="Arial" w:hAnsi="Arial" w:cs="Arial"/>
          <w:b/>
        </w:rPr>
        <w:t>Panel</w:t>
      </w:r>
      <w:proofErr w:type="gramEnd"/>
      <w:r w:rsidR="00C86A46" w:rsidRPr="00821848">
        <w:rPr>
          <w:rFonts w:ascii="Arial" w:hAnsi="Arial" w:cs="Arial"/>
          <w:b/>
        </w:rPr>
        <w:t xml:space="preserve"> </w:t>
      </w:r>
      <w:r w:rsidR="00A52D05" w:rsidRPr="00821848">
        <w:rPr>
          <w:rFonts w:ascii="Arial" w:hAnsi="Arial" w:cs="Arial"/>
          <w:b/>
        </w:rPr>
        <w:t>need for</w:t>
      </w:r>
      <w:r w:rsidR="00C86A46" w:rsidRPr="00821848">
        <w:rPr>
          <w:rFonts w:ascii="Arial" w:hAnsi="Arial" w:cs="Arial"/>
          <w:b/>
        </w:rPr>
        <w:t xml:space="preserve"> </w:t>
      </w:r>
      <w:r w:rsidR="002102EF" w:rsidRPr="00821848">
        <w:rPr>
          <w:rFonts w:ascii="Arial" w:hAnsi="Arial" w:cs="Arial"/>
          <w:b/>
        </w:rPr>
        <w:t>inpatient</w:t>
      </w:r>
      <w:r w:rsidR="00BE30DE" w:rsidRPr="00821848">
        <w:rPr>
          <w:rFonts w:ascii="Arial" w:hAnsi="Arial" w:cs="Arial"/>
          <w:b/>
        </w:rPr>
        <w:t xml:space="preserve"> </w:t>
      </w:r>
      <w:r w:rsidR="00A52D05" w:rsidRPr="00821848">
        <w:rPr>
          <w:rFonts w:ascii="Arial" w:hAnsi="Arial" w:cs="Arial"/>
          <w:b/>
        </w:rPr>
        <w:t>capacity</w:t>
      </w:r>
      <w:r w:rsidR="00BE30DE" w:rsidRPr="00821848">
        <w:rPr>
          <w:rFonts w:ascii="Arial" w:hAnsi="Arial" w:cs="Arial"/>
          <w:b/>
        </w:rPr>
        <w:t xml:space="preserve"> at</w:t>
      </w:r>
      <w:r w:rsidR="00715918" w:rsidRPr="00821848">
        <w:rPr>
          <w:rFonts w:ascii="Arial" w:hAnsi="Arial" w:cs="Arial"/>
          <w:b/>
        </w:rPr>
        <w:t xml:space="preserve"> BMC</w:t>
      </w:r>
      <w:r w:rsidR="00BE30DE" w:rsidRPr="00821848">
        <w:rPr>
          <w:rFonts w:ascii="Arial" w:hAnsi="Arial" w:cs="Arial"/>
          <w:b/>
        </w:rPr>
        <w:t>, p</w:t>
      </w:r>
      <w:r w:rsidR="0058155B" w:rsidRPr="00821848">
        <w:rPr>
          <w:rFonts w:ascii="Arial" w:hAnsi="Arial" w:cs="Arial"/>
          <w:b/>
        </w:rPr>
        <w:t xml:space="preserve">lease complete </w:t>
      </w:r>
      <w:r w:rsidR="00DB6498" w:rsidRPr="00821848">
        <w:rPr>
          <w:rFonts w:ascii="Arial" w:hAnsi="Arial" w:cs="Arial"/>
          <w:b/>
        </w:rPr>
        <w:t>the</w:t>
      </w:r>
      <w:r w:rsidR="00C86A46" w:rsidRPr="00821848">
        <w:rPr>
          <w:rFonts w:ascii="Arial" w:hAnsi="Arial" w:cs="Arial"/>
          <w:b/>
        </w:rPr>
        <w:t xml:space="preserve"> tables</w:t>
      </w:r>
      <w:r w:rsidR="00DB6498" w:rsidRPr="00821848">
        <w:rPr>
          <w:rFonts w:ascii="Arial" w:hAnsi="Arial" w:cs="Arial"/>
          <w:b/>
        </w:rPr>
        <w:t xml:space="preserve"> below</w:t>
      </w:r>
      <w:r w:rsidR="004E6482" w:rsidRPr="00821848">
        <w:rPr>
          <w:rFonts w:ascii="Arial" w:hAnsi="Arial" w:cs="Arial"/>
          <w:b/>
        </w:rPr>
        <w:t xml:space="preserve"> for FY2</w:t>
      </w:r>
      <w:r w:rsidR="00715918" w:rsidRPr="00821848">
        <w:rPr>
          <w:rFonts w:ascii="Arial" w:hAnsi="Arial" w:cs="Arial"/>
          <w:b/>
        </w:rPr>
        <w:t>2</w:t>
      </w:r>
      <w:r w:rsidR="004E6482" w:rsidRPr="00821848">
        <w:rPr>
          <w:rFonts w:ascii="Arial" w:hAnsi="Arial" w:cs="Arial"/>
          <w:b/>
        </w:rPr>
        <w:t>.</w:t>
      </w:r>
    </w:p>
    <w:p w14:paraId="08B6ABA4" w14:textId="175028F7" w:rsidR="009D1721" w:rsidRPr="003A2B2F" w:rsidRDefault="00591A6A" w:rsidP="00B405A8">
      <w:pPr>
        <w:spacing w:after="240"/>
        <w:jc w:val="both"/>
        <w:rPr>
          <w:rFonts w:ascii="Arial" w:hAnsi="Arial" w:cs="Arial"/>
          <w:bCs/>
          <w:highlight w:val="yellow"/>
        </w:rPr>
      </w:pPr>
      <w:r w:rsidRPr="00C504AE">
        <w:rPr>
          <w:rFonts w:ascii="Arial" w:hAnsi="Arial" w:cs="Arial"/>
          <w:bCs/>
        </w:rPr>
        <w:t>Please see the table below</w:t>
      </w:r>
      <w:r w:rsidR="009D1721" w:rsidRPr="00C504AE">
        <w:rPr>
          <w:rFonts w:ascii="Arial" w:hAnsi="Arial" w:cs="Arial"/>
          <w:bCs/>
        </w:rPr>
        <w:t xml:space="preserve">, which provides data </w:t>
      </w:r>
      <w:r w:rsidR="0040290C" w:rsidRPr="00C504AE">
        <w:rPr>
          <w:rFonts w:ascii="Arial" w:hAnsi="Arial" w:cs="Arial"/>
          <w:bCs/>
        </w:rPr>
        <w:t>regarding</w:t>
      </w:r>
      <w:r w:rsidR="009D1721" w:rsidRPr="00C504AE">
        <w:rPr>
          <w:rFonts w:ascii="Arial" w:hAnsi="Arial" w:cs="Arial"/>
          <w:bCs/>
        </w:rPr>
        <w:t xml:space="preserve"> BMC</w:t>
      </w:r>
      <w:r w:rsidR="0040290C" w:rsidRPr="00C504AE">
        <w:rPr>
          <w:rFonts w:ascii="Arial" w:hAnsi="Arial" w:cs="Arial"/>
          <w:bCs/>
        </w:rPr>
        <w:t>’s inpatient capacity</w:t>
      </w:r>
      <w:r w:rsidR="009D1721" w:rsidRPr="00C504AE">
        <w:rPr>
          <w:rFonts w:ascii="Arial" w:hAnsi="Arial" w:cs="Arial"/>
          <w:bCs/>
        </w:rPr>
        <w:t xml:space="preserve"> for FY22</w:t>
      </w:r>
      <w:r w:rsidR="00D45D8E" w:rsidRPr="00C504AE">
        <w:rPr>
          <w:rFonts w:ascii="Arial" w:hAnsi="Arial" w:cs="Arial"/>
          <w:bCs/>
        </w:rPr>
        <w:t>.</w:t>
      </w:r>
      <w:r w:rsidR="00181AD4" w:rsidRPr="00C504AE">
        <w:rPr>
          <w:rFonts w:ascii="Arial" w:hAnsi="Arial" w:cs="Arial"/>
          <w:bCs/>
        </w:rPr>
        <w:t xml:space="preserve"> </w:t>
      </w:r>
      <w:r w:rsidR="00170F20" w:rsidRPr="00C504AE">
        <w:rPr>
          <w:rFonts w:ascii="Arial" w:hAnsi="Arial" w:cs="Arial"/>
          <w:bCs/>
        </w:rPr>
        <w:t>Please note that the Applicant has revised the table to separately report Code Yellow beds and COVID-19 Surge beds.</w:t>
      </w:r>
      <w:r w:rsidR="00852476" w:rsidRPr="00C504AE">
        <w:rPr>
          <w:rFonts w:ascii="Arial" w:hAnsi="Arial" w:cs="Arial"/>
          <w:bCs/>
        </w:rPr>
        <w:t xml:space="preserve"> </w:t>
      </w:r>
    </w:p>
    <w:tbl>
      <w:tblPr>
        <w:tblStyle w:val="TableGrid"/>
        <w:tblW w:w="8985" w:type="dxa"/>
        <w:jc w:val="center"/>
        <w:tblLook w:val="04A0" w:firstRow="1" w:lastRow="0" w:firstColumn="1" w:lastColumn="0" w:noHBand="0" w:noVBand="1"/>
      </w:tblPr>
      <w:tblGrid>
        <w:gridCol w:w="2865"/>
        <w:gridCol w:w="5130"/>
        <w:gridCol w:w="990"/>
      </w:tblGrid>
      <w:tr w:rsidR="00CF454C" w:rsidRPr="0067020C" w14:paraId="58B28FB1" w14:textId="77777777" w:rsidTr="00F17996">
        <w:trPr>
          <w:cantSplit/>
          <w:jc w:val="center"/>
        </w:trPr>
        <w:tc>
          <w:tcPr>
            <w:tcW w:w="2865" w:type="dxa"/>
            <w:tcBorders>
              <w:top w:val="single" w:sz="12" w:space="0" w:color="auto"/>
              <w:left w:val="single" w:sz="12" w:space="0" w:color="auto"/>
              <w:bottom w:val="single" w:sz="12" w:space="0" w:color="auto"/>
              <w:right w:val="single" w:sz="12" w:space="0" w:color="auto"/>
            </w:tcBorders>
            <w:shd w:val="clear" w:color="auto" w:fill="auto"/>
          </w:tcPr>
          <w:p w14:paraId="17F9C672" w14:textId="77777777" w:rsidR="00CF454C" w:rsidRPr="0067020C" w:rsidRDefault="00CF454C" w:rsidP="00082DA7">
            <w:pPr>
              <w:jc w:val="center"/>
              <w:rPr>
                <w:rFonts w:ascii="Arial Narrow" w:hAnsi="Arial Narrow" w:cs="Arial"/>
                <w:bCs/>
              </w:rPr>
            </w:pPr>
          </w:p>
        </w:tc>
        <w:tc>
          <w:tcPr>
            <w:tcW w:w="6120" w:type="dxa"/>
            <w:gridSpan w:val="2"/>
            <w:tcBorders>
              <w:top w:val="single" w:sz="12" w:space="0" w:color="auto"/>
              <w:left w:val="single" w:sz="12" w:space="0" w:color="auto"/>
              <w:bottom w:val="single" w:sz="12" w:space="0" w:color="auto"/>
              <w:right w:val="single" w:sz="12" w:space="0" w:color="auto"/>
            </w:tcBorders>
            <w:shd w:val="clear" w:color="auto" w:fill="auto"/>
          </w:tcPr>
          <w:p w14:paraId="643ECFB0" w14:textId="77777777" w:rsidR="00CF454C" w:rsidRPr="0067020C" w:rsidRDefault="00CF454C" w:rsidP="00082DA7">
            <w:pPr>
              <w:jc w:val="center"/>
              <w:rPr>
                <w:rFonts w:ascii="Arial Narrow" w:hAnsi="Arial Narrow" w:cs="Arial"/>
                <w:b/>
              </w:rPr>
            </w:pPr>
            <w:r w:rsidRPr="0067020C">
              <w:rPr>
                <w:rFonts w:ascii="Arial Narrow" w:hAnsi="Arial Narrow" w:cs="Arial"/>
                <w:b/>
              </w:rPr>
              <w:t>BMC Total</w:t>
            </w:r>
          </w:p>
        </w:tc>
      </w:tr>
      <w:tr w:rsidR="00CF454C" w:rsidRPr="0067020C" w14:paraId="42DA5774" w14:textId="77777777" w:rsidTr="00F17996">
        <w:trPr>
          <w:cantSplit/>
          <w:jc w:val="center"/>
        </w:trPr>
        <w:tc>
          <w:tcPr>
            <w:tcW w:w="2865" w:type="dxa"/>
            <w:tcBorders>
              <w:top w:val="single" w:sz="12" w:space="0" w:color="auto"/>
              <w:left w:val="single" w:sz="12" w:space="0" w:color="auto"/>
              <w:bottom w:val="nil"/>
              <w:right w:val="single" w:sz="12" w:space="0" w:color="auto"/>
            </w:tcBorders>
            <w:shd w:val="clear" w:color="auto" w:fill="auto"/>
          </w:tcPr>
          <w:p w14:paraId="553F63B3" w14:textId="77777777" w:rsidR="00CF454C" w:rsidRPr="0067020C" w:rsidRDefault="00CF454C" w:rsidP="00082DA7">
            <w:pPr>
              <w:jc w:val="both"/>
              <w:rPr>
                <w:rFonts w:ascii="Arial Narrow" w:hAnsi="Arial Narrow" w:cs="Arial"/>
                <w:b/>
              </w:rPr>
            </w:pPr>
            <w:r w:rsidRPr="0067020C">
              <w:rPr>
                <w:rFonts w:ascii="Arial Narrow" w:hAnsi="Arial Narrow" w:cs="Arial"/>
                <w:b/>
              </w:rPr>
              <w:t>Licensed Beds</w:t>
            </w:r>
          </w:p>
        </w:tc>
        <w:tc>
          <w:tcPr>
            <w:tcW w:w="5130" w:type="dxa"/>
            <w:tcBorders>
              <w:top w:val="single" w:sz="12" w:space="0" w:color="auto"/>
              <w:left w:val="single" w:sz="12" w:space="0" w:color="auto"/>
            </w:tcBorders>
            <w:shd w:val="clear" w:color="auto" w:fill="auto"/>
          </w:tcPr>
          <w:p w14:paraId="7BE0A12A" w14:textId="77777777" w:rsidR="00CF454C" w:rsidRDefault="00CF454C" w:rsidP="00082DA7">
            <w:pPr>
              <w:rPr>
                <w:rFonts w:ascii="Arial Narrow" w:hAnsi="Arial Narrow" w:cs="Arial"/>
                <w:bCs/>
              </w:rPr>
            </w:pPr>
            <w:r w:rsidRPr="0067020C">
              <w:rPr>
                <w:rFonts w:ascii="Arial Narrow" w:hAnsi="Arial Narrow" w:cs="Arial"/>
                <w:bCs/>
              </w:rPr>
              <w:t>Medical/Surgical</w:t>
            </w:r>
          </w:p>
          <w:p w14:paraId="7393D1F9" w14:textId="77777777" w:rsidR="00CF454C" w:rsidRPr="0067020C" w:rsidRDefault="00CF454C" w:rsidP="00082DA7">
            <w:pPr>
              <w:rPr>
                <w:rFonts w:ascii="Arial Narrow" w:hAnsi="Arial Narrow" w:cs="Arial"/>
                <w:bCs/>
              </w:rPr>
            </w:pPr>
            <w:r>
              <w:rPr>
                <w:rFonts w:ascii="Arial Narrow" w:hAnsi="Arial Narrow" w:cs="Arial"/>
                <w:bCs/>
              </w:rPr>
              <w:t>(Yawkey 3W, 4E, 4W, 5W, 6E, 6W, 7E, 7W)</w:t>
            </w:r>
          </w:p>
        </w:tc>
        <w:tc>
          <w:tcPr>
            <w:tcW w:w="990" w:type="dxa"/>
            <w:tcBorders>
              <w:top w:val="single" w:sz="12" w:space="0" w:color="auto"/>
              <w:right w:val="single" w:sz="12" w:space="0" w:color="auto"/>
            </w:tcBorders>
            <w:shd w:val="clear" w:color="auto" w:fill="auto"/>
            <w:vAlign w:val="center"/>
          </w:tcPr>
          <w:p w14:paraId="08EB3845" w14:textId="77777777" w:rsidR="00CF454C" w:rsidRPr="0067020C" w:rsidRDefault="00CF454C" w:rsidP="00082DA7">
            <w:pPr>
              <w:jc w:val="center"/>
              <w:rPr>
                <w:rFonts w:ascii="Arial Narrow" w:hAnsi="Arial Narrow" w:cs="Arial"/>
                <w:bCs/>
              </w:rPr>
            </w:pPr>
            <w:r w:rsidRPr="0067020C">
              <w:rPr>
                <w:rFonts w:ascii="Arial Narrow" w:hAnsi="Arial Narrow" w:cs="Arial"/>
                <w:bCs/>
              </w:rPr>
              <w:t>265</w:t>
            </w:r>
          </w:p>
        </w:tc>
      </w:tr>
      <w:tr w:rsidR="00CF454C" w:rsidRPr="0067020C" w14:paraId="0C42958A" w14:textId="77777777" w:rsidTr="00F17996">
        <w:trPr>
          <w:cantSplit/>
          <w:jc w:val="center"/>
        </w:trPr>
        <w:tc>
          <w:tcPr>
            <w:tcW w:w="2865" w:type="dxa"/>
            <w:tcBorders>
              <w:top w:val="nil"/>
              <w:left w:val="single" w:sz="12" w:space="0" w:color="auto"/>
              <w:bottom w:val="nil"/>
              <w:right w:val="single" w:sz="12" w:space="0" w:color="auto"/>
            </w:tcBorders>
            <w:shd w:val="clear" w:color="auto" w:fill="auto"/>
          </w:tcPr>
          <w:p w14:paraId="4D59D34F" w14:textId="77777777" w:rsidR="00CF454C" w:rsidRPr="0067020C" w:rsidRDefault="00CF454C" w:rsidP="00082DA7">
            <w:pPr>
              <w:jc w:val="both"/>
              <w:rPr>
                <w:rFonts w:ascii="Arial Narrow" w:hAnsi="Arial Narrow" w:cs="Arial"/>
                <w:b/>
              </w:rPr>
            </w:pPr>
          </w:p>
        </w:tc>
        <w:tc>
          <w:tcPr>
            <w:tcW w:w="5130" w:type="dxa"/>
            <w:tcBorders>
              <w:left w:val="single" w:sz="12" w:space="0" w:color="auto"/>
            </w:tcBorders>
            <w:shd w:val="clear" w:color="auto" w:fill="auto"/>
          </w:tcPr>
          <w:p w14:paraId="0A0C5332" w14:textId="77777777" w:rsidR="00CF454C" w:rsidRDefault="00CF454C" w:rsidP="00082DA7">
            <w:pPr>
              <w:rPr>
                <w:rFonts w:ascii="Arial Narrow" w:hAnsi="Arial Narrow" w:cs="Arial"/>
                <w:bCs/>
              </w:rPr>
            </w:pPr>
            <w:r w:rsidRPr="0067020C">
              <w:rPr>
                <w:rFonts w:ascii="Arial Narrow" w:hAnsi="Arial Narrow" w:cs="Arial"/>
                <w:bCs/>
              </w:rPr>
              <w:t>ICU/CCU/SICU</w:t>
            </w:r>
          </w:p>
          <w:p w14:paraId="15E0624F" w14:textId="77777777" w:rsidR="00CF454C" w:rsidRPr="0067020C" w:rsidRDefault="00CF454C" w:rsidP="00082DA7">
            <w:pPr>
              <w:rPr>
                <w:rFonts w:ascii="Arial Narrow" w:hAnsi="Arial Narrow" w:cs="Arial"/>
                <w:bCs/>
              </w:rPr>
            </w:pPr>
            <w:r>
              <w:rPr>
                <w:rFonts w:ascii="Arial Narrow" w:hAnsi="Arial Narrow" w:cs="Arial"/>
                <w:bCs/>
              </w:rPr>
              <w:t>(Yawkey 3, 5)</w:t>
            </w:r>
          </w:p>
        </w:tc>
        <w:tc>
          <w:tcPr>
            <w:tcW w:w="990" w:type="dxa"/>
            <w:tcBorders>
              <w:right w:val="single" w:sz="12" w:space="0" w:color="auto"/>
            </w:tcBorders>
            <w:shd w:val="clear" w:color="auto" w:fill="auto"/>
            <w:vAlign w:val="center"/>
          </w:tcPr>
          <w:p w14:paraId="5C282C91" w14:textId="77777777" w:rsidR="00CF454C" w:rsidRPr="0067020C" w:rsidRDefault="00CF454C" w:rsidP="00082DA7">
            <w:pPr>
              <w:jc w:val="center"/>
              <w:rPr>
                <w:rFonts w:ascii="Arial Narrow" w:hAnsi="Arial Narrow" w:cs="Arial"/>
                <w:bCs/>
              </w:rPr>
            </w:pPr>
            <w:r w:rsidRPr="0067020C">
              <w:rPr>
                <w:rFonts w:ascii="Arial Narrow" w:hAnsi="Arial Narrow" w:cs="Arial"/>
                <w:bCs/>
              </w:rPr>
              <w:t>63</w:t>
            </w:r>
          </w:p>
        </w:tc>
      </w:tr>
      <w:tr w:rsidR="00CF454C" w:rsidRPr="0067020C" w14:paraId="499831F0" w14:textId="77777777" w:rsidTr="00F17996">
        <w:trPr>
          <w:cantSplit/>
          <w:jc w:val="center"/>
        </w:trPr>
        <w:tc>
          <w:tcPr>
            <w:tcW w:w="2865" w:type="dxa"/>
            <w:tcBorders>
              <w:top w:val="nil"/>
              <w:left w:val="single" w:sz="12" w:space="0" w:color="auto"/>
              <w:bottom w:val="nil"/>
              <w:right w:val="single" w:sz="12" w:space="0" w:color="auto"/>
            </w:tcBorders>
            <w:shd w:val="clear" w:color="auto" w:fill="auto"/>
          </w:tcPr>
          <w:p w14:paraId="716F80F5" w14:textId="77777777" w:rsidR="00CF454C" w:rsidRPr="0067020C" w:rsidRDefault="00CF454C" w:rsidP="00082DA7">
            <w:pPr>
              <w:jc w:val="both"/>
              <w:rPr>
                <w:rFonts w:ascii="Arial Narrow" w:hAnsi="Arial Narrow" w:cs="Arial"/>
                <w:b/>
              </w:rPr>
            </w:pPr>
          </w:p>
        </w:tc>
        <w:tc>
          <w:tcPr>
            <w:tcW w:w="5130" w:type="dxa"/>
            <w:tcBorders>
              <w:left w:val="single" w:sz="12" w:space="0" w:color="auto"/>
            </w:tcBorders>
            <w:shd w:val="clear" w:color="auto" w:fill="auto"/>
          </w:tcPr>
          <w:p w14:paraId="5DB32F30" w14:textId="77777777" w:rsidR="00CF454C" w:rsidRDefault="00CF454C" w:rsidP="00082DA7">
            <w:pPr>
              <w:rPr>
                <w:rFonts w:ascii="Arial Narrow" w:hAnsi="Arial Narrow" w:cs="Arial"/>
                <w:bCs/>
              </w:rPr>
            </w:pPr>
            <w:r w:rsidRPr="0067020C">
              <w:rPr>
                <w:rFonts w:ascii="Arial Narrow" w:hAnsi="Arial Narrow" w:cs="Arial"/>
                <w:bCs/>
              </w:rPr>
              <w:t>Pediatrics/PICU</w:t>
            </w:r>
          </w:p>
          <w:p w14:paraId="3E262BC4" w14:textId="77777777" w:rsidR="00CF454C" w:rsidRPr="0067020C" w:rsidRDefault="00CF454C" w:rsidP="00082DA7">
            <w:pPr>
              <w:rPr>
                <w:rFonts w:ascii="Arial Narrow" w:hAnsi="Arial Narrow" w:cs="Arial"/>
                <w:bCs/>
              </w:rPr>
            </w:pPr>
            <w:r>
              <w:rPr>
                <w:rFonts w:ascii="Arial Narrow" w:hAnsi="Arial Narrow" w:cs="Arial"/>
                <w:bCs/>
              </w:rPr>
              <w:t>(Yawkey 5)</w:t>
            </w:r>
          </w:p>
        </w:tc>
        <w:tc>
          <w:tcPr>
            <w:tcW w:w="990" w:type="dxa"/>
            <w:tcBorders>
              <w:right w:val="single" w:sz="12" w:space="0" w:color="auto"/>
            </w:tcBorders>
            <w:shd w:val="clear" w:color="auto" w:fill="auto"/>
            <w:vAlign w:val="center"/>
          </w:tcPr>
          <w:p w14:paraId="5969C42F" w14:textId="77777777" w:rsidR="00CF454C" w:rsidRPr="0067020C" w:rsidRDefault="00CF454C" w:rsidP="00082DA7">
            <w:pPr>
              <w:jc w:val="center"/>
              <w:rPr>
                <w:rFonts w:ascii="Arial Narrow" w:hAnsi="Arial Narrow" w:cs="Arial"/>
                <w:bCs/>
              </w:rPr>
            </w:pPr>
            <w:r w:rsidRPr="0067020C">
              <w:rPr>
                <w:rFonts w:ascii="Arial Narrow" w:hAnsi="Arial Narrow" w:cs="Arial"/>
                <w:bCs/>
              </w:rPr>
              <w:t>26</w:t>
            </w:r>
          </w:p>
        </w:tc>
      </w:tr>
      <w:tr w:rsidR="00CF454C" w:rsidRPr="0067020C" w14:paraId="6E377226" w14:textId="77777777" w:rsidTr="00F17996">
        <w:trPr>
          <w:cantSplit/>
          <w:jc w:val="center"/>
        </w:trPr>
        <w:tc>
          <w:tcPr>
            <w:tcW w:w="2865" w:type="dxa"/>
            <w:tcBorders>
              <w:top w:val="nil"/>
              <w:left w:val="single" w:sz="12" w:space="0" w:color="auto"/>
              <w:bottom w:val="nil"/>
              <w:right w:val="single" w:sz="12" w:space="0" w:color="auto"/>
            </w:tcBorders>
            <w:shd w:val="clear" w:color="auto" w:fill="auto"/>
          </w:tcPr>
          <w:p w14:paraId="6EC0AF7B" w14:textId="77777777" w:rsidR="00CF454C" w:rsidRPr="0067020C" w:rsidRDefault="00CF454C" w:rsidP="00082DA7">
            <w:pPr>
              <w:jc w:val="both"/>
              <w:rPr>
                <w:rFonts w:ascii="Arial Narrow" w:hAnsi="Arial Narrow" w:cs="Arial"/>
                <w:b/>
              </w:rPr>
            </w:pPr>
          </w:p>
        </w:tc>
        <w:tc>
          <w:tcPr>
            <w:tcW w:w="5130" w:type="dxa"/>
            <w:tcBorders>
              <w:left w:val="single" w:sz="12" w:space="0" w:color="auto"/>
            </w:tcBorders>
            <w:shd w:val="clear" w:color="auto" w:fill="auto"/>
          </w:tcPr>
          <w:p w14:paraId="71190614" w14:textId="77777777" w:rsidR="00CF454C" w:rsidRDefault="00CF454C" w:rsidP="00082DA7">
            <w:pPr>
              <w:rPr>
                <w:rFonts w:ascii="Arial Narrow" w:hAnsi="Arial Narrow" w:cs="Arial"/>
                <w:bCs/>
              </w:rPr>
            </w:pPr>
            <w:r w:rsidRPr="0067020C">
              <w:rPr>
                <w:rFonts w:ascii="Arial Narrow" w:hAnsi="Arial Narrow" w:cs="Arial"/>
                <w:bCs/>
              </w:rPr>
              <w:t>Maternity/OB</w:t>
            </w:r>
          </w:p>
          <w:p w14:paraId="680B2BF8" w14:textId="77777777" w:rsidR="00CF454C" w:rsidRPr="0067020C" w:rsidRDefault="00CF454C" w:rsidP="00082DA7">
            <w:pPr>
              <w:rPr>
                <w:rFonts w:ascii="Arial Narrow" w:hAnsi="Arial Narrow" w:cs="Arial"/>
                <w:bCs/>
              </w:rPr>
            </w:pPr>
            <w:r>
              <w:rPr>
                <w:rFonts w:ascii="Arial Narrow" w:hAnsi="Arial Narrow" w:cs="Arial"/>
                <w:bCs/>
              </w:rPr>
              <w:t>(Yawkey 4)</w:t>
            </w:r>
          </w:p>
        </w:tc>
        <w:tc>
          <w:tcPr>
            <w:tcW w:w="990" w:type="dxa"/>
            <w:tcBorders>
              <w:right w:val="single" w:sz="12" w:space="0" w:color="auto"/>
            </w:tcBorders>
            <w:shd w:val="clear" w:color="auto" w:fill="auto"/>
            <w:vAlign w:val="center"/>
          </w:tcPr>
          <w:p w14:paraId="0FA2A8EE" w14:textId="77777777" w:rsidR="00CF454C" w:rsidRPr="0067020C" w:rsidRDefault="00CF454C" w:rsidP="00082DA7">
            <w:pPr>
              <w:jc w:val="center"/>
              <w:rPr>
                <w:rFonts w:ascii="Arial Narrow" w:hAnsi="Arial Narrow" w:cs="Arial"/>
                <w:bCs/>
              </w:rPr>
            </w:pPr>
            <w:r w:rsidRPr="0067020C">
              <w:rPr>
                <w:rFonts w:ascii="Arial Narrow" w:hAnsi="Arial Narrow" w:cs="Arial"/>
                <w:bCs/>
              </w:rPr>
              <w:t>30</w:t>
            </w:r>
          </w:p>
        </w:tc>
      </w:tr>
      <w:tr w:rsidR="00CF454C" w:rsidRPr="0067020C" w14:paraId="6B0A7E24" w14:textId="77777777" w:rsidTr="00F17996">
        <w:trPr>
          <w:cantSplit/>
          <w:jc w:val="center"/>
        </w:trPr>
        <w:tc>
          <w:tcPr>
            <w:tcW w:w="2865" w:type="dxa"/>
            <w:tcBorders>
              <w:top w:val="nil"/>
              <w:left w:val="single" w:sz="12" w:space="0" w:color="auto"/>
              <w:bottom w:val="nil"/>
              <w:right w:val="single" w:sz="12" w:space="0" w:color="auto"/>
            </w:tcBorders>
            <w:shd w:val="clear" w:color="auto" w:fill="auto"/>
          </w:tcPr>
          <w:p w14:paraId="602304C7" w14:textId="77777777" w:rsidR="00CF454C" w:rsidRPr="0067020C" w:rsidRDefault="00CF454C" w:rsidP="00082DA7">
            <w:pPr>
              <w:jc w:val="both"/>
              <w:rPr>
                <w:rFonts w:ascii="Arial Narrow" w:hAnsi="Arial Narrow" w:cs="Arial"/>
                <w:b/>
              </w:rPr>
            </w:pPr>
          </w:p>
        </w:tc>
        <w:tc>
          <w:tcPr>
            <w:tcW w:w="5130" w:type="dxa"/>
            <w:tcBorders>
              <w:left w:val="single" w:sz="12" w:space="0" w:color="auto"/>
            </w:tcBorders>
            <w:shd w:val="clear" w:color="auto" w:fill="auto"/>
          </w:tcPr>
          <w:p w14:paraId="3A7B3291" w14:textId="77777777" w:rsidR="00CF454C" w:rsidRDefault="00CF454C" w:rsidP="00082DA7">
            <w:pPr>
              <w:rPr>
                <w:rFonts w:ascii="Arial Narrow" w:hAnsi="Arial Narrow" w:cs="Arial"/>
                <w:bCs/>
              </w:rPr>
            </w:pPr>
            <w:r w:rsidRPr="0067020C">
              <w:rPr>
                <w:rFonts w:ascii="Arial Narrow" w:hAnsi="Arial Narrow" w:cs="Arial"/>
                <w:bCs/>
              </w:rPr>
              <w:t>NICU</w:t>
            </w:r>
          </w:p>
          <w:p w14:paraId="234FAA36" w14:textId="77777777" w:rsidR="00CF454C" w:rsidRPr="0067020C" w:rsidRDefault="00CF454C" w:rsidP="00082DA7">
            <w:pPr>
              <w:rPr>
                <w:rFonts w:ascii="Arial Narrow" w:hAnsi="Arial Narrow" w:cs="Arial"/>
                <w:bCs/>
              </w:rPr>
            </w:pPr>
            <w:r>
              <w:rPr>
                <w:rFonts w:ascii="Arial Narrow" w:hAnsi="Arial Narrow" w:cs="Arial"/>
                <w:bCs/>
              </w:rPr>
              <w:t>(Yawkey 4)</w:t>
            </w:r>
          </w:p>
        </w:tc>
        <w:tc>
          <w:tcPr>
            <w:tcW w:w="990" w:type="dxa"/>
            <w:tcBorders>
              <w:right w:val="single" w:sz="12" w:space="0" w:color="auto"/>
            </w:tcBorders>
            <w:shd w:val="clear" w:color="auto" w:fill="auto"/>
            <w:vAlign w:val="center"/>
          </w:tcPr>
          <w:p w14:paraId="4241A2AC" w14:textId="77777777" w:rsidR="00CF454C" w:rsidRPr="0067020C" w:rsidRDefault="00CF454C" w:rsidP="00082DA7">
            <w:pPr>
              <w:jc w:val="center"/>
              <w:rPr>
                <w:rFonts w:ascii="Arial Narrow" w:hAnsi="Arial Narrow" w:cs="Arial"/>
                <w:bCs/>
              </w:rPr>
            </w:pPr>
            <w:r w:rsidRPr="0067020C">
              <w:rPr>
                <w:rFonts w:ascii="Arial Narrow" w:hAnsi="Arial Narrow" w:cs="Arial"/>
                <w:bCs/>
              </w:rPr>
              <w:t>15</w:t>
            </w:r>
          </w:p>
        </w:tc>
      </w:tr>
      <w:tr w:rsidR="00CF454C" w:rsidRPr="0067020C" w14:paraId="4EF9CC5A" w14:textId="77777777" w:rsidTr="00F17996">
        <w:trPr>
          <w:cantSplit/>
          <w:jc w:val="center"/>
        </w:trPr>
        <w:tc>
          <w:tcPr>
            <w:tcW w:w="2865" w:type="dxa"/>
            <w:tcBorders>
              <w:top w:val="nil"/>
              <w:left w:val="single" w:sz="12" w:space="0" w:color="auto"/>
              <w:bottom w:val="nil"/>
              <w:right w:val="single" w:sz="12" w:space="0" w:color="auto"/>
            </w:tcBorders>
            <w:shd w:val="clear" w:color="auto" w:fill="auto"/>
          </w:tcPr>
          <w:p w14:paraId="0C962D3B" w14:textId="77777777" w:rsidR="00CF454C" w:rsidRPr="0067020C" w:rsidRDefault="00CF454C" w:rsidP="00082DA7">
            <w:pPr>
              <w:jc w:val="both"/>
              <w:rPr>
                <w:rFonts w:ascii="Arial Narrow" w:hAnsi="Arial Narrow" w:cs="Arial"/>
                <w:b/>
              </w:rPr>
            </w:pPr>
          </w:p>
        </w:tc>
        <w:tc>
          <w:tcPr>
            <w:tcW w:w="5130" w:type="dxa"/>
            <w:tcBorders>
              <w:left w:val="single" w:sz="12" w:space="0" w:color="auto"/>
            </w:tcBorders>
            <w:shd w:val="clear" w:color="auto" w:fill="auto"/>
          </w:tcPr>
          <w:p w14:paraId="7851F78A" w14:textId="77777777" w:rsidR="00CF454C" w:rsidRDefault="00CF454C" w:rsidP="00082DA7">
            <w:pPr>
              <w:rPr>
                <w:rFonts w:ascii="Arial Narrow" w:hAnsi="Arial Narrow" w:cs="Arial"/>
                <w:bCs/>
              </w:rPr>
            </w:pPr>
            <w:r w:rsidRPr="0067020C">
              <w:rPr>
                <w:rFonts w:ascii="Arial Narrow" w:hAnsi="Arial Narrow" w:cs="Arial"/>
                <w:bCs/>
              </w:rPr>
              <w:t>Psych</w:t>
            </w:r>
          </w:p>
          <w:p w14:paraId="7B92516E" w14:textId="77777777" w:rsidR="00CF454C" w:rsidRPr="0067020C" w:rsidRDefault="00CF454C" w:rsidP="00082DA7">
            <w:pPr>
              <w:rPr>
                <w:rFonts w:ascii="Arial Narrow" w:hAnsi="Arial Narrow" w:cs="Arial"/>
                <w:bCs/>
              </w:rPr>
            </w:pPr>
            <w:r>
              <w:rPr>
                <w:rFonts w:ascii="Arial Narrow" w:hAnsi="Arial Narrow" w:cs="Arial"/>
                <w:bCs/>
                <w:color w:val="000000" w:themeColor="text1"/>
              </w:rPr>
              <w:t>(Out of Service)</w:t>
            </w:r>
          </w:p>
        </w:tc>
        <w:tc>
          <w:tcPr>
            <w:tcW w:w="990" w:type="dxa"/>
            <w:tcBorders>
              <w:right w:val="single" w:sz="12" w:space="0" w:color="auto"/>
            </w:tcBorders>
            <w:shd w:val="clear" w:color="auto" w:fill="auto"/>
            <w:vAlign w:val="center"/>
          </w:tcPr>
          <w:p w14:paraId="374AE32B" w14:textId="77777777" w:rsidR="00CF454C" w:rsidRPr="0067020C" w:rsidRDefault="00CF454C" w:rsidP="00082DA7">
            <w:pPr>
              <w:jc w:val="center"/>
              <w:rPr>
                <w:rFonts w:ascii="Arial Narrow" w:hAnsi="Arial Narrow" w:cs="Arial"/>
                <w:bCs/>
              </w:rPr>
            </w:pPr>
            <w:r w:rsidRPr="0067020C">
              <w:rPr>
                <w:rFonts w:ascii="Arial Narrow" w:hAnsi="Arial Narrow" w:cs="Arial"/>
                <w:bCs/>
              </w:rPr>
              <w:t>15</w:t>
            </w:r>
          </w:p>
        </w:tc>
      </w:tr>
      <w:tr w:rsidR="00CF454C" w:rsidRPr="0067020C" w14:paraId="5C5223E5" w14:textId="77777777" w:rsidTr="00F17996">
        <w:trPr>
          <w:cantSplit/>
          <w:jc w:val="center"/>
        </w:trPr>
        <w:tc>
          <w:tcPr>
            <w:tcW w:w="2865" w:type="dxa"/>
            <w:tcBorders>
              <w:top w:val="nil"/>
              <w:left w:val="single" w:sz="12" w:space="0" w:color="auto"/>
              <w:bottom w:val="nil"/>
              <w:right w:val="single" w:sz="12" w:space="0" w:color="auto"/>
            </w:tcBorders>
            <w:shd w:val="clear" w:color="auto" w:fill="auto"/>
          </w:tcPr>
          <w:p w14:paraId="60216977" w14:textId="77777777" w:rsidR="00CF454C" w:rsidRPr="0067020C" w:rsidRDefault="00CF454C" w:rsidP="00082DA7">
            <w:pPr>
              <w:jc w:val="both"/>
              <w:rPr>
                <w:rFonts w:ascii="Arial Narrow" w:hAnsi="Arial Narrow" w:cs="Arial"/>
                <w:b/>
              </w:rPr>
            </w:pPr>
          </w:p>
        </w:tc>
        <w:tc>
          <w:tcPr>
            <w:tcW w:w="5130" w:type="dxa"/>
            <w:tcBorders>
              <w:left w:val="single" w:sz="12" w:space="0" w:color="auto"/>
            </w:tcBorders>
            <w:shd w:val="clear" w:color="auto" w:fill="auto"/>
          </w:tcPr>
          <w:p w14:paraId="7CD7F316" w14:textId="77777777" w:rsidR="00CF454C" w:rsidRDefault="00CF454C" w:rsidP="00082DA7">
            <w:pPr>
              <w:rPr>
                <w:rFonts w:ascii="Arial Narrow" w:hAnsi="Arial Narrow" w:cs="Arial"/>
                <w:bCs/>
              </w:rPr>
            </w:pPr>
            <w:r w:rsidRPr="0067020C">
              <w:rPr>
                <w:rFonts w:ascii="Arial Narrow" w:hAnsi="Arial Narrow" w:cs="Arial"/>
                <w:bCs/>
              </w:rPr>
              <w:t>Chronic Care</w:t>
            </w:r>
          </w:p>
          <w:p w14:paraId="039592AD" w14:textId="77777777" w:rsidR="00CF454C" w:rsidRPr="0067020C" w:rsidRDefault="00CF454C" w:rsidP="00082DA7">
            <w:pPr>
              <w:rPr>
                <w:rFonts w:ascii="Arial Narrow" w:hAnsi="Arial Narrow" w:cs="Arial"/>
                <w:bCs/>
              </w:rPr>
            </w:pPr>
            <w:r>
              <w:rPr>
                <w:rFonts w:ascii="Arial Narrow" w:hAnsi="Arial Narrow" w:cs="Arial"/>
                <w:bCs/>
                <w:color w:val="000000" w:themeColor="text1"/>
              </w:rPr>
              <w:t>(Out of Service)</w:t>
            </w:r>
          </w:p>
        </w:tc>
        <w:tc>
          <w:tcPr>
            <w:tcW w:w="990" w:type="dxa"/>
            <w:tcBorders>
              <w:right w:val="single" w:sz="12" w:space="0" w:color="auto"/>
            </w:tcBorders>
            <w:shd w:val="clear" w:color="auto" w:fill="auto"/>
            <w:vAlign w:val="center"/>
          </w:tcPr>
          <w:p w14:paraId="1C2897BE" w14:textId="77777777" w:rsidR="00CF454C" w:rsidRPr="0067020C" w:rsidRDefault="00CF454C" w:rsidP="00082DA7">
            <w:pPr>
              <w:jc w:val="center"/>
              <w:rPr>
                <w:rFonts w:ascii="Arial Narrow" w:hAnsi="Arial Narrow" w:cs="Arial"/>
                <w:bCs/>
              </w:rPr>
            </w:pPr>
            <w:r w:rsidRPr="0067020C">
              <w:rPr>
                <w:rFonts w:ascii="Arial Narrow" w:hAnsi="Arial Narrow" w:cs="Arial"/>
                <w:bCs/>
              </w:rPr>
              <w:t>100</w:t>
            </w:r>
          </w:p>
        </w:tc>
      </w:tr>
      <w:tr w:rsidR="00CF454C" w:rsidRPr="0067020C" w14:paraId="006FC70D" w14:textId="77777777" w:rsidTr="00F17996">
        <w:trPr>
          <w:cantSplit/>
          <w:jc w:val="center"/>
        </w:trPr>
        <w:tc>
          <w:tcPr>
            <w:tcW w:w="2865" w:type="dxa"/>
            <w:tcBorders>
              <w:top w:val="nil"/>
              <w:left w:val="single" w:sz="12" w:space="0" w:color="auto"/>
              <w:bottom w:val="single" w:sz="12" w:space="0" w:color="auto"/>
              <w:right w:val="single" w:sz="12" w:space="0" w:color="auto"/>
            </w:tcBorders>
            <w:shd w:val="clear" w:color="auto" w:fill="auto"/>
          </w:tcPr>
          <w:p w14:paraId="5637FA28" w14:textId="77777777" w:rsidR="00CF454C" w:rsidRPr="0067020C" w:rsidRDefault="00CF454C" w:rsidP="00082DA7">
            <w:pPr>
              <w:jc w:val="both"/>
              <w:rPr>
                <w:rFonts w:ascii="Arial Narrow" w:hAnsi="Arial Narrow" w:cs="Arial"/>
                <w:b/>
              </w:rPr>
            </w:pPr>
          </w:p>
        </w:tc>
        <w:tc>
          <w:tcPr>
            <w:tcW w:w="5130" w:type="dxa"/>
            <w:tcBorders>
              <w:left w:val="single" w:sz="12" w:space="0" w:color="auto"/>
              <w:bottom w:val="single" w:sz="12" w:space="0" w:color="auto"/>
            </w:tcBorders>
            <w:shd w:val="clear" w:color="auto" w:fill="auto"/>
          </w:tcPr>
          <w:p w14:paraId="3C84B4F0" w14:textId="77777777" w:rsidR="00CF454C" w:rsidRPr="0067020C" w:rsidRDefault="00CF454C" w:rsidP="00082DA7">
            <w:pPr>
              <w:rPr>
                <w:rFonts w:ascii="Arial Narrow" w:hAnsi="Arial Narrow" w:cs="Arial"/>
                <w:b/>
              </w:rPr>
            </w:pPr>
            <w:r w:rsidRPr="0067020C">
              <w:rPr>
                <w:rFonts w:ascii="Arial Narrow" w:hAnsi="Arial Narrow" w:cs="Arial"/>
                <w:b/>
              </w:rPr>
              <w:t>Total</w:t>
            </w:r>
          </w:p>
        </w:tc>
        <w:tc>
          <w:tcPr>
            <w:tcW w:w="990" w:type="dxa"/>
            <w:tcBorders>
              <w:bottom w:val="single" w:sz="12" w:space="0" w:color="auto"/>
              <w:right w:val="single" w:sz="12" w:space="0" w:color="auto"/>
            </w:tcBorders>
            <w:shd w:val="clear" w:color="auto" w:fill="auto"/>
            <w:vAlign w:val="center"/>
          </w:tcPr>
          <w:p w14:paraId="4A1E1DF3" w14:textId="77777777" w:rsidR="00CF454C" w:rsidRPr="0067020C" w:rsidRDefault="00CF454C" w:rsidP="00082DA7">
            <w:pPr>
              <w:jc w:val="center"/>
              <w:rPr>
                <w:rFonts w:ascii="Arial Narrow" w:hAnsi="Arial Narrow" w:cs="Arial"/>
                <w:b/>
              </w:rPr>
            </w:pPr>
            <w:r w:rsidRPr="0067020C">
              <w:rPr>
                <w:rFonts w:ascii="Arial Narrow" w:hAnsi="Arial Narrow" w:cs="Arial"/>
                <w:b/>
              </w:rPr>
              <w:t>514</w:t>
            </w:r>
          </w:p>
        </w:tc>
      </w:tr>
      <w:tr w:rsidR="00CF454C" w:rsidRPr="0067020C" w14:paraId="679CFFA0" w14:textId="77777777" w:rsidTr="00F17996">
        <w:trPr>
          <w:jc w:val="center"/>
        </w:trPr>
        <w:tc>
          <w:tcPr>
            <w:tcW w:w="2865" w:type="dxa"/>
            <w:tcBorders>
              <w:top w:val="single" w:sz="12" w:space="0" w:color="auto"/>
              <w:left w:val="single" w:sz="12" w:space="0" w:color="auto"/>
              <w:bottom w:val="nil"/>
              <w:right w:val="single" w:sz="12" w:space="0" w:color="auto"/>
            </w:tcBorders>
          </w:tcPr>
          <w:p w14:paraId="5B33F40B" w14:textId="77777777" w:rsidR="00CF454C" w:rsidRPr="0067020C" w:rsidRDefault="00CF454C" w:rsidP="00082DA7">
            <w:pPr>
              <w:jc w:val="both"/>
              <w:rPr>
                <w:rFonts w:ascii="Arial Narrow" w:hAnsi="Arial Narrow" w:cs="Arial"/>
                <w:b/>
              </w:rPr>
            </w:pPr>
            <w:r w:rsidRPr="0067020C">
              <w:rPr>
                <w:rFonts w:ascii="Arial Narrow" w:hAnsi="Arial Narrow" w:cs="Arial"/>
                <w:b/>
              </w:rPr>
              <w:lastRenderedPageBreak/>
              <w:t>Operational Beds</w:t>
            </w:r>
          </w:p>
        </w:tc>
        <w:tc>
          <w:tcPr>
            <w:tcW w:w="5130" w:type="dxa"/>
            <w:tcBorders>
              <w:top w:val="single" w:sz="12" w:space="0" w:color="auto"/>
              <w:left w:val="single" w:sz="12" w:space="0" w:color="auto"/>
              <w:bottom w:val="single" w:sz="4" w:space="0" w:color="auto"/>
            </w:tcBorders>
            <w:vAlign w:val="center"/>
          </w:tcPr>
          <w:p w14:paraId="73263E48" w14:textId="77777777" w:rsidR="00CF454C" w:rsidRPr="00216236" w:rsidRDefault="00CF454C" w:rsidP="00082DA7">
            <w:pPr>
              <w:rPr>
                <w:rFonts w:ascii="Arial Narrow" w:hAnsi="Arial Narrow" w:cs="Arial"/>
                <w:bCs/>
              </w:rPr>
            </w:pPr>
            <w:r w:rsidRPr="00216236">
              <w:rPr>
                <w:rFonts w:ascii="Arial Narrow" w:hAnsi="Arial Narrow" w:cs="Arial"/>
                <w:bCs/>
              </w:rPr>
              <w:t>Medical/Surgical</w:t>
            </w:r>
          </w:p>
          <w:p w14:paraId="1D30583A" w14:textId="77777777" w:rsidR="00CF454C" w:rsidRPr="003073A5" w:rsidRDefault="00CF454C" w:rsidP="00082DA7">
            <w:pPr>
              <w:rPr>
                <w:rFonts w:ascii="Arial Narrow" w:hAnsi="Arial Narrow" w:cs="Arial"/>
                <w:bCs/>
              </w:rPr>
            </w:pPr>
            <w:r w:rsidRPr="00216236">
              <w:rPr>
                <w:rFonts w:ascii="Arial Narrow" w:hAnsi="Arial Narrow" w:cs="Arial"/>
                <w:bCs/>
              </w:rPr>
              <w:t>(Yawkey 3W, 4E, 4W, 5, 5W, 6E, 6W, 7E, 7W and ED Pod E)</w:t>
            </w:r>
          </w:p>
        </w:tc>
        <w:tc>
          <w:tcPr>
            <w:tcW w:w="990" w:type="dxa"/>
            <w:tcBorders>
              <w:top w:val="single" w:sz="12" w:space="0" w:color="auto"/>
              <w:bottom w:val="single" w:sz="4" w:space="0" w:color="auto"/>
              <w:right w:val="single" w:sz="12" w:space="0" w:color="auto"/>
            </w:tcBorders>
            <w:vAlign w:val="center"/>
          </w:tcPr>
          <w:p w14:paraId="62B57D83" w14:textId="77777777" w:rsidR="00CF454C" w:rsidRPr="003073A5" w:rsidRDefault="00CF454C" w:rsidP="00082DA7">
            <w:pPr>
              <w:jc w:val="center"/>
              <w:rPr>
                <w:rFonts w:ascii="Arial Narrow" w:hAnsi="Arial Narrow" w:cs="Arial"/>
                <w:bCs/>
              </w:rPr>
            </w:pPr>
            <w:r w:rsidRPr="003073A5">
              <w:rPr>
                <w:rFonts w:ascii="Arial Narrow" w:hAnsi="Arial Narrow" w:cs="Arial"/>
                <w:bCs/>
              </w:rPr>
              <w:t>327</w:t>
            </w:r>
          </w:p>
        </w:tc>
      </w:tr>
      <w:tr w:rsidR="00CF454C" w:rsidRPr="0067020C" w14:paraId="5B23F5BF" w14:textId="77777777" w:rsidTr="00F17996">
        <w:trPr>
          <w:jc w:val="center"/>
        </w:trPr>
        <w:tc>
          <w:tcPr>
            <w:tcW w:w="2865" w:type="dxa"/>
            <w:tcBorders>
              <w:top w:val="nil"/>
              <w:left w:val="single" w:sz="12" w:space="0" w:color="auto"/>
              <w:bottom w:val="nil"/>
              <w:right w:val="single" w:sz="12" w:space="0" w:color="auto"/>
            </w:tcBorders>
          </w:tcPr>
          <w:p w14:paraId="0D0792B1"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7693438C" w14:textId="77777777" w:rsidR="00CF454C" w:rsidRDefault="00CF454C" w:rsidP="00082DA7">
            <w:pPr>
              <w:rPr>
                <w:rFonts w:ascii="Arial Narrow" w:hAnsi="Arial Narrow" w:cs="Arial"/>
                <w:bCs/>
              </w:rPr>
            </w:pPr>
            <w:r w:rsidRPr="0067020C">
              <w:rPr>
                <w:rFonts w:ascii="Arial Narrow" w:hAnsi="Arial Narrow" w:cs="Arial"/>
                <w:bCs/>
              </w:rPr>
              <w:t>ICU/CCU/SICU</w:t>
            </w:r>
          </w:p>
          <w:p w14:paraId="0A935B5B" w14:textId="77777777" w:rsidR="00CF454C" w:rsidRPr="0067020C" w:rsidRDefault="00CF454C" w:rsidP="00082DA7">
            <w:pPr>
              <w:rPr>
                <w:rFonts w:ascii="Arial Narrow" w:hAnsi="Arial Narrow" w:cs="Arial"/>
                <w:bCs/>
              </w:rPr>
            </w:pPr>
            <w:r>
              <w:rPr>
                <w:rFonts w:ascii="Arial Narrow" w:hAnsi="Arial Narrow" w:cs="Arial"/>
                <w:bCs/>
              </w:rPr>
              <w:t>(Yawkey 3, 5)</w:t>
            </w:r>
          </w:p>
        </w:tc>
        <w:tc>
          <w:tcPr>
            <w:tcW w:w="990" w:type="dxa"/>
            <w:tcBorders>
              <w:top w:val="single" w:sz="4" w:space="0" w:color="auto"/>
              <w:bottom w:val="single" w:sz="4" w:space="0" w:color="auto"/>
              <w:right w:val="single" w:sz="12" w:space="0" w:color="auto"/>
            </w:tcBorders>
            <w:vAlign w:val="center"/>
          </w:tcPr>
          <w:p w14:paraId="52247186" w14:textId="77777777" w:rsidR="00CF454C" w:rsidRPr="0067020C" w:rsidRDefault="00CF454C" w:rsidP="00082DA7">
            <w:pPr>
              <w:jc w:val="center"/>
              <w:rPr>
                <w:rFonts w:ascii="Arial Narrow" w:hAnsi="Arial Narrow" w:cs="Arial"/>
                <w:bCs/>
              </w:rPr>
            </w:pPr>
            <w:r w:rsidRPr="0067020C">
              <w:rPr>
                <w:rFonts w:ascii="Arial Narrow" w:hAnsi="Arial Narrow" w:cs="Arial"/>
                <w:bCs/>
              </w:rPr>
              <w:t>63</w:t>
            </w:r>
          </w:p>
        </w:tc>
      </w:tr>
      <w:tr w:rsidR="00CF454C" w:rsidRPr="0067020C" w14:paraId="1D055B57" w14:textId="77777777" w:rsidTr="00F17996">
        <w:trPr>
          <w:jc w:val="center"/>
        </w:trPr>
        <w:tc>
          <w:tcPr>
            <w:tcW w:w="2865" w:type="dxa"/>
            <w:tcBorders>
              <w:top w:val="nil"/>
              <w:left w:val="single" w:sz="12" w:space="0" w:color="auto"/>
              <w:bottom w:val="nil"/>
              <w:right w:val="single" w:sz="12" w:space="0" w:color="auto"/>
            </w:tcBorders>
          </w:tcPr>
          <w:p w14:paraId="0D9798F3"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0BD35FB9" w14:textId="77777777" w:rsidR="00CF454C" w:rsidRDefault="00CF454C" w:rsidP="00082DA7">
            <w:pPr>
              <w:rPr>
                <w:rFonts w:ascii="Arial Narrow" w:hAnsi="Arial Narrow" w:cs="Arial"/>
                <w:bCs/>
              </w:rPr>
            </w:pPr>
            <w:r w:rsidRPr="002D0509">
              <w:rPr>
                <w:rFonts w:ascii="Arial Narrow" w:hAnsi="Arial Narrow" w:cs="Arial"/>
                <w:bCs/>
              </w:rPr>
              <w:t>Pediatrics/PICU</w:t>
            </w:r>
          </w:p>
          <w:p w14:paraId="470BED96" w14:textId="77777777" w:rsidR="00CF454C" w:rsidRPr="002D0509" w:rsidRDefault="00CF454C" w:rsidP="00082DA7">
            <w:pPr>
              <w:rPr>
                <w:rFonts w:ascii="Arial Narrow" w:hAnsi="Arial Narrow" w:cs="Arial"/>
                <w:bCs/>
              </w:rPr>
            </w:pPr>
            <w:r>
              <w:rPr>
                <w:rFonts w:ascii="Arial Narrow" w:hAnsi="Arial Narrow" w:cs="Arial"/>
                <w:bCs/>
              </w:rPr>
              <w:t>(Yawkey 5)</w:t>
            </w:r>
          </w:p>
        </w:tc>
        <w:tc>
          <w:tcPr>
            <w:tcW w:w="990" w:type="dxa"/>
            <w:tcBorders>
              <w:top w:val="single" w:sz="4" w:space="0" w:color="auto"/>
              <w:bottom w:val="single" w:sz="4" w:space="0" w:color="auto"/>
              <w:right w:val="single" w:sz="12" w:space="0" w:color="auto"/>
            </w:tcBorders>
            <w:vAlign w:val="center"/>
          </w:tcPr>
          <w:p w14:paraId="2FA661DE" w14:textId="77777777" w:rsidR="00CF454C" w:rsidRPr="002D0509" w:rsidRDefault="00CF454C" w:rsidP="00082DA7">
            <w:pPr>
              <w:jc w:val="center"/>
              <w:rPr>
                <w:rFonts w:ascii="Arial Narrow" w:hAnsi="Arial Narrow" w:cs="Arial"/>
                <w:bCs/>
              </w:rPr>
            </w:pPr>
            <w:r w:rsidRPr="002D0509">
              <w:rPr>
                <w:rFonts w:ascii="Arial Narrow" w:hAnsi="Arial Narrow" w:cs="Arial"/>
                <w:bCs/>
              </w:rPr>
              <w:t>18</w:t>
            </w:r>
          </w:p>
        </w:tc>
      </w:tr>
      <w:tr w:rsidR="00CF454C" w:rsidRPr="0067020C" w14:paraId="73F157CD" w14:textId="77777777" w:rsidTr="00F17996">
        <w:trPr>
          <w:jc w:val="center"/>
        </w:trPr>
        <w:tc>
          <w:tcPr>
            <w:tcW w:w="2865" w:type="dxa"/>
            <w:tcBorders>
              <w:top w:val="nil"/>
              <w:left w:val="single" w:sz="12" w:space="0" w:color="auto"/>
              <w:bottom w:val="nil"/>
              <w:right w:val="single" w:sz="12" w:space="0" w:color="auto"/>
            </w:tcBorders>
          </w:tcPr>
          <w:p w14:paraId="718DDC57"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6A4AD73C" w14:textId="77777777" w:rsidR="00CF454C" w:rsidRDefault="00CF454C" w:rsidP="00082DA7">
            <w:pPr>
              <w:rPr>
                <w:rFonts w:ascii="Arial Narrow" w:hAnsi="Arial Narrow" w:cs="Arial"/>
                <w:bCs/>
              </w:rPr>
            </w:pPr>
            <w:r w:rsidRPr="002D0509">
              <w:rPr>
                <w:rFonts w:ascii="Arial Narrow" w:hAnsi="Arial Narrow" w:cs="Arial"/>
                <w:bCs/>
              </w:rPr>
              <w:t>Maternity/OB</w:t>
            </w:r>
          </w:p>
          <w:p w14:paraId="54300CB6" w14:textId="77777777" w:rsidR="00CF454C" w:rsidRPr="002D0509" w:rsidRDefault="00CF454C" w:rsidP="00082DA7">
            <w:pPr>
              <w:rPr>
                <w:rFonts w:ascii="Arial Narrow" w:hAnsi="Arial Narrow" w:cs="Arial"/>
                <w:bCs/>
              </w:rPr>
            </w:pPr>
            <w:r>
              <w:rPr>
                <w:rFonts w:ascii="Arial Narrow" w:hAnsi="Arial Narrow" w:cs="Arial"/>
                <w:bCs/>
              </w:rPr>
              <w:t>(Yawkey 4)</w:t>
            </w:r>
          </w:p>
        </w:tc>
        <w:tc>
          <w:tcPr>
            <w:tcW w:w="990" w:type="dxa"/>
            <w:tcBorders>
              <w:top w:val="single" w:sz="4" w:space="0" w:color="auto"/>
              <w:bottom w:val="single" w:sz="4" w:space="0" w:color="auto"/>
              <w:right w:val="single" w:sz="12" w:space="0" w:color="auto"/>
            </w:tcBorders>
            <w:vAlign w:val="center"/>
          </w:tcPr>
          <w:p w14:paraId="52647BE1" w14:textId="77777777" w:rsidR="00CF454C" w:rsidRPr="002D0509" w:rsidRDefault="00CF454C" w:rsidP="00082DA7">
            <w:pPr>
              <w:jc w:val="center"/>
              <w:rPr>
                <w:rFonts w:ascii="Arial Narrow" w:hAnsi="Arial Narrow" w:cs="Arial"/>
                <w:bCs/>
              </w:rPr>
            </w:pPr>
            <w:r w:rsidRPr="002D0509">
              <w:rPr>
                <w:rFonts w:ascii="Arial Narrow" w:hAnsi="Arial Narrow" w:cs="Arial"/>
                <w:bCs/>
              </w:rPr>
              <w:t>30</w:t>
            </w:r>
          </w:p>
        </w:tc>
      </w:tr>
      <w:tr w:rsidR="00CF454C" w:rsidRPr="0067020C" w14:paraId="038E7305" w14:textId="77777777" w:rsidTr="00F17996">
        <w:trPr>
          <w:jc w:val="center"/>
        </w:trPr>
        <w:tc>
          <w:tcPr>
            <w:tcW w:w="2865" w:type="dxa"/>
            <w:tcBorders>
              <w:top w:val="nil"/>
              <w:left w:val="single" w:sz="12" w:space="0" w:color="auto"/>
              <w:bottom w:val="nil"/>
              <w:right w:val="single" w:sz="12" w:space="0" w:color="auto"/>
            </w:tcBorders>
          </w:tcPr>
          <w:p w14:paraId="0CC2575A"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169DBF2F" w14:textId="77777777" w:rsidR="00CF454C" w:rsidRDefault="00CF454C" w:rsidP="00082DA7">
            <w:pPr>
              <w:rPr>
                <w:rFonts w:ascii="Arial Narrow" w:hAnsi="Arial Narrow" w:cs="Arial"/>
                <w:bCs/>
              </w:rPr>
            </w:pPr>
            <w:r w:rsidRPr="0067020C">
              <w:rPr>
                <w:rFonts w:ascii="Arial Narrow" w:hAnsi="Arial Narrow" w:cs="Arial"/>
                <w:bCs/>
              </w:rPr>
              <w:t>NICU</w:t>
            </w:r>
          </w:p>
          <w:p w14:paraId="3CBC3D59" w14:textId="77777777" w:rsidR="00CF454C" w:rsidRPr="0067020C" w:rsidRDefault="00CF454C" w:rsidP="00082DA7">
            <w:pPr>
              <w:rPr>
                <w:rFonts w:ascii="Arial Narrow" w:hAnsi="Arial Narrow" w:cs="Arial"/>
                <w:bCs/>
              </w:rPr>
            </w:pPr>
            <w:r>
              <w:rPr>
                <w:rFonts w:ascii="Arial Narrow" w:hAnsi="Arial Narrow" w:cs="Arial"/>
                <w:bCs/>
              </w:rPr>
              <w:t>(Yawkey 4)</w:t>
            </w:r>
          </w:p>
        </w:tc>
        <w:tc>
          <w:tcPr>
            <w:tcW w:w="990" w:type="dxa"/>
            <w:tcBorders>
              <w:top w:val="single" w:sz="4" w:space="0" w:color="auto"/>
              <w:bottom w:val="single" w:sz="4" w:space="0" w:color="auto"/>
              <w:right w:val="single" w:sz="12" w:space="0" w:color="auto"/>
            </w:tcBorders>
            <w:vAlign w:val="center"/>
          </w:tcPr>
          <w:p w14:paraId="1C8A5FEB" w14:textId="77777777" w:rsidR="00CF454C" w:rsidRPr="0067020C" w:rsidRDefault="00CF454C" w:rsidP="00082DA7">
            <w:pPr>
              <w:jc w:val="center"/>
              <w:rPr>
                <w:rFonts w:ascii="Arial Narrow" w:hAnsi="Arial Narrow" w:cs="Arial"/>
                <w:bCs/>
              </w:rPr>
            </w:pPr>
            <w:r w:rsidRPr="0067020C">
              <w:rPr>
                <w:rFonts w:ascii="Arial Narrow" w:hAnsi="Arial Narrow" w:cs="Arial"/>
                <w:bCs/>
              </w:rPr>
              <w:t>15</w:t>
            </w:r>
          </w:p>
        </w:tc>
      </w:tr>
      <w:tr w:rsidR="00CF454C" w:rsidRPr="0067020C" w14:paraId="06F10B73" w14:textId="77777777" w:rsidTr="00F17996">
        <w:trPr>
          <w:jc w:val="center"/>
        </w:trPr>
        <w:tc>
          <w:tcPr>
            <w:tcW w:w="2865" w:type="dxa"/>
            <w:tcBorders>
              <w:top w:val="nil"/>
              <w:left w:val="single" w:sz="12" w:space="0" w:color="auto"/>
              <w:bottom w:val="nil"/>
              <w:right w:val="single" w:sz="12" w:space="0" w:color="auto"/>
            </w:tcBorders>
          </w:tcPr>
          <w:p w14:paraId="0ADF4695"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32A38BB6" w14:textId="77777777" w:rsidR="00CF454C" w:rsidRDefault="00CF454C" w:rsidP="00082DA7">
            <w:pPr>
              <w:rPr>
                <w:rFonts w:ascii="Arial Narrow" w:hAnsi="Arial Narrow" w:cs="Arial"/>
                <w:bCs/>
                <w:color w:val="000000" w:themeColor="text1"/>
              </w:rPr>
            </w:pPr>
            <w:r w:rsidRPr="0067020C">
              <w:rPr>
                <w:rFonts w:ascii="Arial Narrow" w:hAnsi="Arial Narrow" w:cs="Arial"/>
                <w:bCs/>
                <w:color w:val="000000" w:themeColor="text1"/>
              </w:rPr>
              <w:t>Psych</w:t>
            </w:r>
          </w:p>
          <w:p w14:paraId="473386D4" w14:textId="77777777" w:rsidR="00CF454C" w:rsidRPr="003073A5" w:rsidRDefault="00CF454C" w:rsidP="00082DA7">
            <w:pPr>
              <w:rPr>
                <w:rFonts w:ascii="Arial Narrow" w:hAnsi="Arial Narrow" w:cs="Arial"/>
                <w:bCs/>
                <w:color w:val="000000" w:themeColor="text1"/>
              </w:rPr>
            </w:pPr>
            <w:r>
              <w:rPr>
                <w:rFonts w:ascii="Arial Narrow" w:hAnsi="Arial Narrow" w:cs="Arial"/>
                <w:bCs/>
                <w:color w:val="000000" w:themeColor="text1"/>
              </w:rPr>
              <w:t>(Out of Service)</w:t>
            </w:r>
          </w:p>
        </w:tc>
        <w:tc>
          <w:tcPr>
            <w:tcW w:w="990" w:type="dxa"/>
            <w:tcBorders>
              <w:top w:val="single" w:sz="4" w:space="0" w:color="auto"/>
              <w:bottom w:val="single" w:sz="4" w:space="0" w:color="auto"/>
              <w:right w:val="single" w:sz="12" w:space="0" w:color="auto"/>
            </w:tcBorders>
            <w:vAlign w:val="center"/>
          </w:tcPr>
          <w:p w14:paraId="1EC85852" w14:textId="77777777" w:rsidR="00CF454C" w:rsidRPr="0067020C" w:rsidRDefault="00CF454C" w:rsidP="00082DA7">
            <w:pPr>
              <w:jc w:val="center"/>
              <w:rPr>
                <w:rFonts w:ascii="Arial Narrow" w:hAnsi="Arial Narrow" w:cs="Arial"/>
                <w:bCs/>
              </w:rPr>
            </w:pPr>
            <w:r w:rsidRPr="0067020C">
              <w:rPr>
                <w:rFonts w:ascii="Arial Narrow" w:hAnsi="Arial Narrow" w:cs="Arial"/>
                <w:bCs/>
              </w:rPr>
              <w:t>0</w:t>
            </w:r>
          </w:p>
        </w:tc>
      </w:tr>
      <w:tr w:rsidR="00CF454C" w:rsidRPr="0067020C" w14:paraId="6D025CBA" w14:textId="77777777" w:rsidTr="00F17996">
        <w:trPr>
          <w:jc w:val="center"/>
        </w:trPr>
        <w:tc>
          <w:tcPr>
            <w:tcW w:w="2865" w:type="dxa"/>
            <w:tcBorders>
              <w:top w:val="nil"/>
              <w:left w:val="single" w:sz="12" w:space="0" w:color="auto"/>
              <w:bottom w:val="nil"/>
              <w:right w:val="single" w:sz="12" w:space="0" w:color="auto"/>
            </w:tcBorders>
          </w:tcPr>
          <w:p w14:paraId="6850DD18"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013EC2E8" w14:textId="77777777" w:rsidR="00CF454C" w:rsidRDefault="00CF454C" w:rsidP="00082DA7">
            <w:pPr>
              <w:rPr>
                <w:rFonts w:ascii="Arial Narrow" w:hAnsi="Arial Narrow" w:cs="Arial"/>
                <w:bCs/>
                <w:color w:val="000000" w:themeColor="text1"/>
              </w:rPr>
            </w:pPr>
            <w:r w:rsidRPr="0067020C">
              <w:rPr>
                <w:rFonts w:ascii="Arial Narrow" w:hAnsi="Arial Narrow" w:cs="Arial"/>
                <w:bCs/>
                <w:color w:val="000000" w:themeColor="text1"/>
              </w:rPr>
              <w:t>Chronic Care</w:t>
            </w:r>
          </w:p>
          <w:p w14:paraId="5FC7E1F2" w14:textId="77777777" w:rsidR="00CF454C" w:rsidRPr="0067020C" w:rsidRDefault="00CF454C" w:rsidP="00082DA7">
            <w:pPr>
              <w:rPr>
                <w:rFonts w:ascii="Arial Narrow" w:hAnsi="Arial Narrow" w:cs="Arial"/>
                <w:bCs/>
                <w:color w:val="000000" w:themeColor="text1"/>
              </w:rPr>
            </w:pPr>
            <w:r>
              <w:rPr>
                <w:rFonts w:ascii="Arial Narrow" w:hAnsi="Arial Narrow" w:cs="Arial"/>
                <w:bCs/>
                <w:color w:val="000000" w:themeColor="text1"/>
              </w:rPr>
              <w:t>(Out of Service)</w:t>
            </w:r>
          </w:p>
        </w:tc>
        <w:tc>
          <w:tcPr>
            <w:tcW w:w="990" w:type="dxa"/>
            <w:tcBorders>
              <w:top w:val="single" w:sz="4" w:space="0" w:color="auto"/>
              <w:bottom w:val="single" w:sz="4" w:space="0" w:color="auto"/>
              <w:right w:val="single" w:sz="12" w:space="0" w:color="auto"/>
            </w:tcBorders>
            <w:vAlign w:val="center"/>
          </w:tcPr>
          <w:p w14:paraId="1233EC71" w14:textId="77777777" w:rsidR="00CF454C" w:rsidRPr="0067020C" w:rsidRDefault="00CF454C" w:rsidP="00082DA7">
            <w:pPr>
              <w:jc w:val="center"/>
              <w:rPr>
                <w:rFonts w:ascii="Arial Narrow" w:hAnsi="Arial Narrow" w:cs="Arial"/>
                <w:bCs/>
              </w:rPr>
            </w:pPr>
            <w:r w:rsidRPr="0067020C">
              <w:rPr>
                <w:rFonts w:ascii="Arial Narrow" w:hAnsi="Arial Narrow" w:cs="Arial"/>
                <w:bCs/>
              </w:rPr>
              <w:t>0</w:t>
            </w:r>
          </w:p>
        </w:tc>
      </w:tr>
      <w:tr w:rsidR="00CF454C" w:rsidRPr="0067020C" w14:paraId="0D246EFE" w14:textId="77777777" w:rsidTr="00F17996">
        <w:trPr>
          <w:jc w:val="center"/>
        </w:trPr>
        <w:tc>
          <w:tcPr>
            <w:tcW w:w="2865" w:type="dxa"/>
            <w:tcBorders>
              <w:top w:val="nil"/>
              <w:left w:val="single" w:sz="12" w:space="0" w:color="auto"/>
              <w:bottom w:val="nil"/>
              <w:right w:val="single" w:sz="12" w:space="0" w:color="auto"/>
            </w:tcBorders>
          </w:tcPr>
          <w:p w14:paraId="0EAC35D2"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7F9982A4" w14:textId="77777777" w:rsidR="00CF454C" w:rsidRPr="0067020C" w:rsidRDefault="00CF454C" w:rsidP="00082DA7">
            <w:pPr>
              <w:rPr>
                <w:rFonts w:ascii="Arial Narrow" w:hAnsi="Arial Narrow" w:cs="Arial"/>
                <w:b/>
                <w:color w:val="000000" w:themeColor="text1"/>
              </w:rPr>
            </w:pPr>
            <w:r w:rsidRPr="0067020C">
              <w:rPr>
                <w:rFonts w:ascii="Arial Narrow" w:hAnsi="Arial Narrow" w:cs="Arial"/>
                <w:b/>
                <w:color w:val="000000" w:themeColor="text1"/>
              </w:rPr>
              <w:t>Total Beds</w:t>
            </w:r>
          </w:p>
        </w:tc>
        <w:tc>
          <w:tcPr>
            <w:tcW w:w="990" w:type="dxa"/>
            <w:tcBorders>
              <w:top w:val="single" w:sz="4" w:space="0" w:color="auto"/>
              <w:bottom w:val="single" w:sz="4" w:space="0" w:color="auto"/>
              <w:right w:val="single" w:sz="12" w:space="0" w:color="auto"/>
            </w:tcBorders>
            <w:vAlign w:val="center"/>
          </w:tcPr>
          <w:p w14:paraId="3F35C71D" w14:textId="77777777" w:rsidR="00CF454C" w:rsidRPr="0067020C" w:rsidRDefault="00CF454C" w:rsidP="00082DA7">
            <w:pPr>
              <w:jc w:val="center"/>
              <w:rPr>
                <w:rFonts w:ascii="Arial Narrow" w:hAnsi="Arial Narrow" w:cs="Arial"/>
                <w:b/>
              </w:rPr>
            </w:pPr>
            <w:r w:rsidRPr="0067020C">
              <w:rPr>
                <w:rFonts w:ascii="Arial Narrow" w:hAnsi="Arial Narrow" w:cs="Arial"/>
                <w:b/>
              </w:rPr>
              <w:t>45</w:t>
            </w:r>
            <w:r>
              <w:rPr>
                <w:rFonts w:ascii="Arial Narrow" w:hAnsi="Arial Narrow" w:cs="Arial"/>
                <w:b/>
              </w:rPr>
              <w:t>3</w:t>
            </w:r>
          </w:p>
        </w:tc>
      </w:tr>
      <w:tr w:rsidR="00CF454C" w:rsidRPr="0067020C" w14:paraId="1EC458EC" w14:textId="77777777" w:rsidTr="00F17996">
        <w:trPr>
          <w:jc w:val="center"/>
        </w:trPr>
        <w:tc>
          <w:tcPr>
            <w:tcW w:w="2865" w:type="dxa"/>
            <w:tcBorders>
              <w:top w:val="nil"/>
              <w:left w:val="single" w:sz="12" w:space="0" w:color="auto"/>
              <w:bottom w:val="nil"/>
              <w:right w:val="single" w:sz="12" w:space="0" w:color="auto"/>
            </w:tcBorders>
          </w:tcPr>
          <w:p w14:paraId="49C2B661"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tcBorders>
          </w:tcPr>
          <w:p w14:paraId="4DDB723E" w14:textId="77777777" w:rsidR="00CF454C" w:rsidRPr="00CD470A" w:rsidRDefault="00CF454C" w:rsidP="00082DA7">
            <w:pPr>
              <w:rPr>
                <w:rFonts w:ascii="Arial Narrow" w:hAnsi="Arial Narrow" w:cs="Arial"/>
                <w:bCs/>
                <w:color w:val="000000" w:themeColor="text1"/>
              </w:rPr>
            </w:pPr>
            <w:r w:rsidRPr="00CD470A">
              <w:rPr>
                <w:rFonts w:ascii="Arial Narrow" w:hAnsi="Arial Narrow" w:cs="Arial"/>
                <w:bCs/>
                <w:color w:val="000000" w:themeColor="text1"/>
              </w:rPr>
              <w:t>Nursery Bassinets</w:t>
            </w:r>
          </w:p>
          <w:p w14:paraId="76BA878A" w14:textId="77777777" w:rsidR="00CF454C" w:rsidRPr="0067020C" w:rsidRDefault="00CF454C" w:rsidP="00082DA7">
            <w:pPr>
              <w:rPr>
                <w:rFonts w:ascii="Arial Narrow" w:hAnsi="Arial Narrow" w:cs="Arial"/>
                <w:b/>
                <w:color w:val="000000" w:themeColor="text1"/>
              </w:rPr>
            </w:pPr>
            <w:r w:rsidRPr="00CD470A">
              <w:rPr>
                <w:rFonts w:ascii="Arial Narrow" w:hAnsi="Arial Narrow" w:cs="Arial"/>
                <w:bCs/>
              </w:rPr>
              <w:t>(Yawkey 4)</w:t>
            </w:r>
          </w:p>
        </w:tc>
        <w:tc>
          <w:tcPr>
            <w:tcW w:w="990" w:type="dxa"/>
            <w:tcBorders>
              <w:top w:val="single" w:sz="4" w:space="0" w:color="auto"/>
              <w:bottom w:val="single" w:sz="4" w:space="0" w:color="auto"/>
              <w:right w:val="single" w:sz="12" w:space="0" w:color="auto"/>
            </w:tcBorders>
            <w:vAlign w:val="center"/>
          </w:tcPr>
          <w:p w14:paraId="6CEEC339" w14:textId="77777777" w:rsidR="00CF454C" w:rsidRPr="0067020C" w:rsidRDefault="00CF454C" w:rsidP="00082DA7">
            <w:pPr>
              <w:jc w:val="center"/>
              <w:rPr>
                <w:rFonts w:ascii="Arial Narrow" w:hAnsi="Arial Narrow" w:cs="Arial"/>
                <w:b/>
              </w:rPr>
            </w:pPr>
            <w:r w:rsidRPr="0067020C">
              <w:rPr>
                <w:rFonts w:ascii="Arial Narrow" w:hAnsi="Arial Narrow" w:cs="Arial"/>
                <w:bCs/>
              </w:rPr>
              <w:t>21</w:t>
            </w:r>
          </w:p>
        </w:tc>
      </w:tr>
      <w:tr w:rsidR="00CF454C" w:rsidRPr="0067020C" w14:paraId="339A1896" w14:textId="77777777" w:rsidTr="00F17996">
        <w:trPr>
          <w:jc w:val="center"/>
        </w:trPr>
        <w:tc>
          <w:tcPr>
            <w:tcW w:w="2865" w:type="dxa"/>
            <w:tcBorders>
              <w:top w:val="nil"/>
              <w:left w:val="single" w:sz="12" w:space="0" w:color="auto"/>
              <w:bottom w:val="single" w:sz="12" w:space="0" w:color="auto"/>
              <w:right w:val="single" w:sz="12" w:space="0" w:color="auto"/>
            </w:tcBorders>
          </w:tcPr>
          <w:p w14:paraId="6D9408E8"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12" w:space="0" w:color="auto"/>
            </w:tcBorders>
          </w:tcPr>
          <w:p w14:paraId="6326AECE" w14:textId="77777777" w:rsidR="00CF454C" w:rsidRPr="0067020C" w:rsidRDefault="00CF454C" w:rsidP="00082DA7">
            <w:pPr>
              <w:rPr>
                <w:rFonts w:ascii="Arial Narrow" w:hAnsi="Arial Narrow" w:cs="Arial"/>
                <w:b/>
                <w:color w:val="000000" w:themeColor="text1"/>
              </w:rPr>
            </w:pPr>
            <w:r w:rsidRPr="0067020C">
              <w:rPr>
                <w:rFonts w:ascii="Arial Narrow" w:hAnsi="Arial Narrow" w:cs="Arial"/>
                <w:b/>
                <w:color w:val="000000" w:themeColor="text1"/>
              </w:rPr>
              <w:t>Total Beds + Bassinets</w:t>
            </w:r>
          </w:p>
        </w:tc>
        <w:tc>
          <w:tcPr>
            <w:tcW w:w="990" w:type="dxa"/>
            <w:tcBorders>
              <w:top w:val="single" w:sz="4" w:space="0" w:color="auto"/>
              <w:bottom w:val="single" w:sz="12" w:space="0" w:color="auto"/>
              <w:right w:val="single" w:sz="12" w:space="0" w:color="auto"/>
            </w:tcBorders>
            <w:vAlign w:val="center"/>
          </w:tcPr>
          <w:p w14:paraId="5E0CFEDC" w14:textId="77777777" w:rsidR="00CF454C" w:rsidRPr="0067020C" w:rsidRDefault="00CF454C" w:rsidP="00082DA7">
            <w:pPr>
              <w:jc w:val="center"/>
              <w:rPr>
                <w:rFonts w:ascii="Arial Narrow" w:hAnsi="Arial Narrow" w:cs="Arial"/>
                <w:b/>
              </w:rPr>
            </w:pPr>
            <w:r w:rsidRPr="0067020C">
              <w:rPr>
                <w:rFonts w:ascii="Arial Narrow" w:hAnsi="Arial Narrow" w:cs="Arial"/>
                <w:b/>
              </w:rPr>
              <w:t>47</w:t>
            </w:r>
            <w:r>
              <w:rPr>
                <w:rFonts w:ascii="Arial Narrow" w:hAnsi="Arial Narrow" w:cs="Arial"/>
                <w:b/>
              </w:rPr>
              <w:t>4</w:t>
            </w:r>
          </w:p>
        </w:tc>
      </w:tr>
      <w:tr w:rsidR="00CF454C" w:rsidRPr="0067020C" w14:paraId="18C07CA4" w14:textId="77777777" w:rsidTr="00082DA7">
        <w:trPr>
          <w:trHeight w:val="50"/>
          <w:jc w:val="center"/>
        </w:trPr>
        <w:tc>
          <w:tcPr>
            <w:tcW w:w="2865" w:type="dxa"/>
            <w:tcBorders>
              <w:top w:val="single" w:sz="12" w:space="0" w:color="auto"/>
              <w:left w:val="single" w:sz="12" w:space="0" w:color="auto"/>
              <w:right w:val="single" w:sz="12" w:space="0" w:color="auto"/>
            </w:tcBorders>
          </w:tcPr>
          <w:p w14:paraId="39AE0417" w14:textId="2DDFDACA" w:rsidR="00CF454C" w:rsidRPr="00563770" w:rsidRDefault="00CF454C" w:rsidP="00082DA7">
            <w:pPr>
              <w:jc w:val="both"/>
              <w:rPr>
                <w:rFonts w:ascii="Arial Narrow" w:hAnsi="Arial Narrow" w:cs="Arial"/>
                <w:b/>
              </w:rPr>
            </w:pPr>
            <w:r w:rsidRPr="00563770">
              <w:rPr>
                <w:rFonts w:ascii="Arial Narrow" w:hAnsi="Arial Narrow" w:cs="Arial"/>
                <w:b/>
              </w:rPr>
              <w:t>Single Occupancy Rooms</w:t>
            </w:r>
            <w:r w:rsidRPr="00563770">
              <w:rPr>
                <w:rStyle w:val="EndnoteReference"/>
                <w:rFonts w:ascii="Arial Narrow" w:hAnsi="Arial Narrow" w:cs="Arial"/>
                <w:b/>
              </w:rPr>
              <w:endnoteReference w:id="2"/>
            </w:r>
          </w:p>
        </w:tc>
        <w:tc>
          <w:tcPr>
            <w:tcW w:w="6120" w:type="dxa"/>
            <w:gridSpan w:val="2"/>
            <w:tcBorders>
              <w:top w:val="single" w:sz="12" w:space="0" w:color="auto"/>
              <w:left w:val="single" w:sz="12" w:space="0" w:color="auto"/>
              <w:right w:val="single" w:sz="12" w:space="0" w:color="auto"/>
            </w:tcBorders>
            <w:vAlign w:val="center"/>
          </w:tcPr>
          <w:p w14:paraId="63DFB8C6" w14:textId="146FCBC9" w:rsidR="00CF454C" w:rsidRPr="00563770" w:rsidRDefault="00224D25" w:rsidP="00082DA7">
            <w:pPr>
              <w:ind w:right="255"/>
              <w:jc w:val="right"/>
              <w:rPr>
                <w:rFonts w:ascii="Arial Narrow" w:hAnsi="Arial Narrow" w:cs="Arial"/>
                <w:bCs/>
              </w:rPr>
            </w:pPr>
            <w:r>
              <w:rPr>
                <w:rFonts w:ascii="Arial Narrow" w:hAnsi="Arial Narrow" w:cs="Arial"/>
                <w:b/>
              </w:rPr>
              <w:t>26</w:t>
            </w:r>
            <w:r w:rsidR="00A40D50">
              <w:rPr>
                <w:rFonts w:ascii="Arial Narrow" w:hAnsi="Arial Narrow" w:cs="Arial"/>
                <w:b/>
              </w:rPr>
              <w:t>9</w:t>
            </w:r>
          </w:p>
        </w:tc>
      </w:tr>
      <w:tr w:rsidR="00CF454C" w:rsidRPr="0067020C" w14:paraId="6F610BFC" w14:textId="77777777" w:rsidTr="00082DA7">
        <w:trPr>
          <w:trHeight w:val="50"/>
          <w:jc w:val="center"/>
        </w:trPr>
        <w:tc>
          <w:tcPr>
            <w:tcW w:w="2865" w:type="dxa"/>
            <w:tcBorders>
              <w:top w:val="single" w:sz="12" w:space="0" w:color="auto"/>
              <w:left w:val="single" w:sz="12" w:space="0" w:color="auto"/>
              <w:right w:val="single" w:sz="12" w:space="0" w:color="auto"/>
            </w:tcBorders>
          </w:tcPr>
          <w:p w14:paraId="2B7A6AF5" w14:textId="21A85253" w:rsidR="00CF454C" w:rsidRPr="00563770" w:rsidRDefault="00CF454C" w:rsidP="00082DA7">
            <w:pPr>
              <w:jc w:val="both"/>
              <w:rPr>
                <w:rFonts w:ascii="Arial Narrow" w:hAnsi="Arial Narrow" w:cs="Arial"/>
                <w:b/>
              </w:rPr>
            </w:pPr>
            <w:r w:rsidRPr="00563770">
              <w:rPr>
                <w:rFonts w:ascii="Arial Narrow" w:hAnsi="Arial Narrow" w:cs="Arial"/>
                <w:b/>
              </w:rPr>
              <w:t>Double Occupancy Rooms</w:t>
            </w:r>
          </w:p>
        </w:tc>
        <w:tc>
          <w:tcPr>
            <w:tcW w:w="6120" w:type="dxa"/>
            <w:gridSpan w:val="2"/>
            <w:tcBorders>
              <w:top w:val="single" w:sz="12" w:space="0" w:color="auto"/>
              <w:left w:val="single" w:sz="12" w:space="0" w:color="auto"/>
              <w:right w:val="single" w:sz="12" w:space="0" w:color="auto"/>
            </w:tcBorders>
            <w:vAlign w:val="center"/>
          </w:tcPr>
          <w:p w14:paraId="12660882" w14:textId="77777777" w:rsidR="00CF454C" w:rsidRPr="00563770" w:rsidRDefault="00CF454C" w:rsidP="00082DA7">
            <w:pPr>
              <w:ind w:right="255"/>
              <w:jc w:val="right"/>
              <w:rPr>
                <w:rFonts w:ascii="Arial Narrow" w:hAnsi="Arial Narrow" w:cs="Arial"/>
                <w:bCs/>
              </w:rPr>
            </w:pPr>
            <w:r w:rsidRPr="00563770">
              <w:rPr>
                <w:rFonts w:ascii="Arial Narrow" w:hAnsi="Arial Narrow" w:cs="Arial"/>
                <w:b/>
              </w:rPr>
              <w:t>90</w:t>
            </w:r>
          </w:p>
        </w:tc>
      </w:tr>
      <w:tr w:rsidR="00CF454C" w:rsidRPr="0067020C" w14:paraId="69AB3FA5" w14:textId="77777777" w:rsidTr="00F17996">
        <w:trPr>
          <w:trHeight w:val="258"/>
          <w:jc w:val="center"/>
        </w:trPr>
        <w:tc>
          <w:tcPr>
            <w:tcW w:w="2865" w:type="dxa"/>
            <w:tcBorders>
              <w:top w:val="single" w:sz="12" w:space="0" w:color="auto"/>
              <w:left w:val="single" w:sz="12" w:space="0" w:color="auto"/>
              <w:bottom w:val="nil"/>
              <w:right w:val="single" w:sz="12" w:space="0" w:color="auto"/>
            </w:tcBorders>
          </w:tcPr>
          <w:p w14:paraId="7915BB8E" w14:textId="77777777" w:rsidR="00CF454C" w:rsidRPr="0067020C" w:rsidRDefault="00CF454C" w:rsidP="00082DA7">
            <w:pPr>
              <w:jc w:val="both"/>
              <w:rPr>
                <w:rFonts w:ascii="Arial Narrow" w:hAnsi="Arial Narrow" w:cs="Arial"/>
                <w:b/>
              </w:rPr>
            </w:pPr>
            <w:r w:rsidRPr="0067020C">
              <w:rPr>
                <w:rFonts w:ascii="Arial Narrow" w:hAnsi="Arial Narrow" w:cs="Arial"/>
                <w:b/>
              </w:rPr>
              <w:t>Code Yellow Beds</w:t>
            </w:r>
          </w:p>
        </w:tc>
        <w:tc>
          <w:tcPr>
            <w:tcW w:w="5130" w:type="dxa"/>
            <w:tcBorders>
              <w:top w:val="single" w:sz="12" w:space="0" w:color="auto"/>
              <w:left w:val="single" w:sz="12" w:space="0" w:color="auto"/>
              <w:bottom w:val="single" w:sz="4" w:space="0" w:color="auto"/>
              <w:right w:val="single" w:sz="4" w:space="0" w:color="auto"/>
            </w:tcBorders>
          </w:tcPr>
          <w:p w14:paraId="51C91DE9" w14:textId="77777777" w:rsidR="00CF454C" w:rsidRPr="00084088" w:rsidRDefault="00CF454C" w:rsidP="00082DA7">
            <w:pPr>
              <w:rPr>
                <w:rFonts w:ascii="Arial Narrow" w:hAnsi="Arial Narrow" w:cs="Arial"/>
                <w:bCs/>
              </w:rPr>
            </w:pPr>
            <w:r w:rsidRPr="00084088">
              <w:rPr>
                <w:rFonts w:ascii="Arial Narrow" w:hAnsi="Arial Narrow" w:cs="Arial"/>
                <w:bCs/>
              </w:rPr>
              <w:t>Yawkey 3W</w:t>
            </w:r>
          </w:p>
        </w:tc>
        <w:tc>
          <w:tcPr>
            <w:tcW w:w="990" w:type="dxa"/>
            <w:tcBorders>
              <w:top w:val="single" w:sz="12" w:space="0" w:color="auto"/>
              <w:left w:val="single" w:sz="4" w:space="0" w:color="auto"/>
              <w:bottom w:val="single" w:sz="4" w:space="0" w:color="auto"/>
              <w:right w:val="single" w:sz="12" w:space="0" w:color="auto"/>
            </w:tcBorders>
          </w:tcPr>
          <w:p w14:paraId="2B8D6011" w14:textId="77777777" w:rsidR="00CF454C" w:rsidRPr="00084088" w:rsidRDefault="00CF454C" w:rsidP="00082DA7">
            <w:pPr>
              <w:jc w:val="center"/>
              <w:rPr>
                <w:rFonts w:ascii="Arial Narrow" w:hAnsi="Arial Narrow" w:cs="Arial"/>
                <w:bCs/>
              </w:rPr>
            </w:pPr>
            <w:r>
              <w:rPr>
                <w:rFonts w:ascii="Arial Narrow" w:hAnsi="Arial Narrow" w:cs="Arial"/>
                <w:bCs/>
              </w:rPr>
              <w:t>7</w:t>
            </w:r>
          </w:p>
        </w:tc>
      </w:tr>
      <w:tr w:rsidR="00CF454C" w:rsidRPr="0067020C" w14:paraId="3D6C91AD" w14:textId="77777777" w:rsidTr="00F17996">
        <w:trPr>
          <w:trHeight w:val="252"/>
          <w:jc w:val="center"/>
        </w:trPr>
        <w:tc>
          <w:tcPr>
            <w:tcW w:w="2865" w:type="dxa"/>
            <w:tcBorders>
              <w:top w:val="nil"/>
              <w:left w:val="single" w:sz="12" w:space="0" w:color="auto"/>
              <w:bottom w:val="nil"/>
              <w:right w:val="single" w:sz="12" w:space="0" w:color="auto"/>
            </w:tcBorders>
          </w:tcPr>
          <w:p w14:paraId="69B5841E"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right w:val="single" w:sz="4" w:space="0" w:color="auto"/>
            </w:tcBorders>
          </w:tcPr>
          <w:p w14:paraId="739A514E" w14:textId="77777777" w:rsidR="00CF454C" w:rsidRDefault="00CF454C" w:rsidP="00082DA7">
            <w:pPr>
              <w:rPr>
                <w:rFonts w:ascii="Arial Narrow" w:hAnsi="Arial Narrow" w:cs="Arial"/>
                <w:bCs/>
              </w:rPr>
            </w:pPr>
            <w:r>
              <w:rPr>
                <w:rFonts w:ascii="Arial Narrow" w:hAnsi="Arial Narrow" w:cs="Arial"/>
                <w:bCs/>
              </w:rPr>
              <w:t xml:space="preserve">Yawkey </w:t>
            </w:r>
            <w:r w:rsidRPr="009525F3">
              <w:rPr>
                <w:rFonts w:ascii="Arial Narrow" w:hAnsi="Arial Narrow" w:cs="Arial"/>
                <w:bCs/>
              </w:rPr>
              <w:t>4E</w:t>
            </w:r>
          </w:p>
        </w:tc>
        <w:tc>
          <w:tcPr>
            <w:tcW w:w="990" w:type="dxa"/>
            <w:tcBorders>
              <w:top w:val="single" w:sz="4" w:space="0" w:color="auto"/>
              <w:left w:val="single" w:sz="4" w:space="0" w:color="auto"/>
              <w:bottom w:val="single" w:sz="4" w:space="0" w:color="auto"/>
              <w:right w:val="single" w:sz="12" w:space="0" w:color="auto"/>
            </w:tcBorders>
          </w:tcPr>
          <w:p w14:paraId="022E1872" w14:textId="77777777" w:rsidR="00CF454C" w:rsidRDefault="00CF454C" w:rsidP="00082DA7">
            <w:pPr>
              <w:jc w:val="center"/>
              <w:rPr>
                <w:rFonts w:ascii="Arial Narrow" w:hAnsi="Arial Narrow" w:cs="Arial"/>
                <w:bCs/>
              </w:rPr>
            </w:pPr>
            <w:r>
              <w:rPr>
                <w:rFonts w:ascii="Arial Narrow" w:hAnsi="Arial Narrow" w:cs="Arial"/>
                <w:bCs/>
              </w:rPr>
              <w:t>5</w:t>
            </w:r>
          </w:p>
        </w:tc>
      </w:tr>
      <w:tr w:rsidR="00CF454C" w:rsidRPr="0067020C" w14:paraId="6772B3ED" w14:textId="77777777" w:rsidTr="00F17996">
        <w:trPr>
          <w:trHeight w:val="252"/>
          <w:jc w:val="center"/>
        </w:trPr>
        <w:tc>
          <w:tcPr>
            <w:tcW w:w="2865" w:type="dxa"/>
            <w:tcBorders>
              <w:top w:val="nil"/>
              <w:left w:val="single" w:sz="12" w:space="0" w:color="auto"/>
              <w:bottom w:val="nil"/>
              <w:right w:val="single" w:sz="12" w:space="0" w:color="auto"/>
            </w:tcBorders>
          </w:tcPr>
          <w:p w14:paraId="091D5F89"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right w:val="single" w:sz="4" w:space="0" w:color="auto"/>
            </w:tcBorders>
          </w:tcPr>
          <w:p w14:paraId="46E6D267" w14:textId="77777777" w:rsidR="00CF454C" w:rsidRDefault="00CF454C" w:rsidP="00082DA7">
            <w:pPr>
              <w:rPr>
                <w:rFonts w:ascii="Arial Narrow" w:hAnsi="Arial Narrow" w:cs="Arial"/>
                <w:bCs/>
              </w:rPr>
            </w:pPr>
            <w:r>
              <w:rPr>
                <w:rFonts w:ascii="Arial Narrow" w:hAnsi="Arial Narrow" w:cs="Arial"/>
                <w:bCs/>
              </w:rPr>
              <w:t xml:space="preserve">Yawkey </w:t>
            </w:r>
            <w:r w:rsidRPr="009525F3">
              <w:rPr>
                <w:rFonts w:ascii="Arial Narrow" w:hAnsi="Arial Narrow" w:cs="Arial"/>
                <w:bCs/>
              </w:rPr>
              <w:t>4W</w:t>
            </w:r>
          </w:p>
        </w:tc>
        <w:tc>
          <w:tcPr>
            <w:tcW w:w="990" w:type="dxa"/>
            <w:tcBorders>
              <w:top w:val="single" w:sz="4" w:space="0" w:color="auto"/>
              <w:left w:val="single" w:sz="4" w:space="0" w:color="auto"/>
              <w:bottom w:val="single" w:sz="4" w:space="0" w:color="auto"/>
              <w:right w:val="single" w:sz="12" w:space="0" w:color="auto"/>
            </w:tcBorders>
          </w:tcPr>
          <w:p w14:paraId="202285C6" w14:textId="77777777" w:rsidR="00CF454C" w:rsidRDefault="00CF454C" w:rsidP="00082DA7">
            <w:pPr>
              <w:jc w:val="center"/>
              <w:rPr>
                <w:rFonts w:ascii="Arial Narrow" w:hAnsi="Arial Narrow" w:cs="Arial"/>
                <w:bCs/>
              </w:rPr>
            </w:pPr>
            <w:r>
              <w:rPr>
                <w:rFonts w:ascii="Arial Narrow" w:hAnsi="Arial Narrow" w:cs="Arial"/>
                <w:bCs/>
              </w:rPr>
              <w:t>10</w:t>
            </w:r>
          </w:p>
        </w:tc>
      </w:tr>
      <w:tr w:rsidR="00CF454C" w:rsidRPr="0067020C" w14:paraId="7277B5F2" w14:textId="77777777" w:rsidTr="00F17996">
        <w:trPr>
          <w:trHeight w:val="252"/>
          <w:jc w:val="center"/>
        </w:trPr>
        <w:tc>
          <w:tcPr>
            <w:tcW w:w="2865" w:type="dxa"/>
            <w:tcBorders>
              <w:top w:val="nil"/>
              <w:left w:val="single" w:sz="12" w:space="0" w:color="auto"/>
              <w:bottom w:val="nil"/>
              <w:right w:val="single" w:sz="12" w:space="0" w:color="auto"/>
            </w:tcBorders>
          </w:tcPr>
          <w:p w14:paraId="366D7160"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right w:val="single" w:sz="4" w:space="0" w:color="auto"/>
            </w:tcBorders>
          </w:tcPr>
          <w:p w14:paraId="1FA34765" w14:textId="77777777" w:rsidR="00CF454C" w:rsidRDefault="00CF454C" w:rsidP="00082DA7">
            <w:pPr>
              <w:rPr>
                <w:rFonts w:ascii="Arial Narrow" w:hAnsi="Arial Narrow" w:cs="Arial"/>
                <w:bCs/>
              </w:rPr>
            </w:pPr>
            <w:r>
              <w:rPr>
                <w:rFonts w:ascii="Arial Narrow" w:hAnsi="Arial Narrow" w:cs="Arial"/>
                <w:bCs/>
              </w:rPr>
              <w:t xml:space="preserve">Yawkey </w:t>
            </w:r>
            <w:r w:rsidRPr="009525F3">
              <w:rPr>
                <w:rFonts w:ascii="Arial Narrow" w:hAnsi="Arial Narrow" w:cs="Arial"/>
                <w:bCs/>
              </w:rPr>
              <w:t>5W</w:t>
            </w:r>
          </w:p>
        </w:tc>
        <w:tc>
          <w:tcPr>
            <w:tcW w:w="990" w:type="dxa"/>
            <w:tcBorders>
              <w:top w:val="single" w:sz="4" w:space="0" w:color="auto"/>
              <w:left w:val="single" w:sz="4" w:space="0" w:color="auto"/>
              <w:bottom w:val="single" w:sz="4" w:space="0" w:color="auto"/>
              <w:right w:val="single" w:sz="12" w:space="0" w:color="auto"/>
            </w:tcBorders>
          </w:tcPr>
          <w:p w14:paraId="55F6A729" w14:textId="77777777" w:rsidR="00CF454C" w:rsidRDefault="00CF454C" w:rsidP="00082DA7">
            <w:pPr>
              <w:jc w:val="center"/>
              <w:rPr>
                <w:rFonts w:ascii="Arial Narrow" w:hAnsi="Arial Narrow" w:cs="Arial"/>
                <w:bCs/>
              </w:rPr>
            </w:pPr>
            <w:r>
              <w:rPr>
                <w:rFonts w:ascii="Arial Narrow" w:hAnsi="Arial Narrow" w:cs="Arial"/>
                <w:bCs/>
              </w:rPr>
              <w:t>3</w:t>
            </w:r>
          </w:p>
        </w:tc>
      </w:tr>
      <w:tr w:rsidR="00CF454C" w:rsidRPr="0067020C" w14:paraId="1582F018" w14:textId="77777777" w:rsidTr="00F17996">
        <w:trPr>
          <w:trHeight w:val="252"/>
          <w:jc w:val="center"/>
        </w:trPr>
        <w:tc>
          <w:tcPr>
            <w:tcW w:w="2865" w:type="dxa"/>
            <w:tcBorders>
              <w:top w:val="nil"/>
              <w:left w:val="single" w:sz="12" w:space="0" w:color="auto"/>
              <w:bottom w:val="nil"/>
              <w:right w:val="single" w:sz="12" w:space="0" w:color="auto"/>
            </w:tcBorders>
          </w:tcPr>
          <w:p w14:paraId="758BEDE3"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right w:val="single" w:sz="4" w:space="0" w:color="auto"/>
            </w:tcBorders>
          </w:tcPr>
          <w:p w14:paraId="143209BD" w14:textId="77777777" w:rsidR="00CF454C" w:rsidRDefault="00CF454C" w:rsidP="00082DA7">
            <w:pPr>
              <w:rPr>
                <w:rFonts w:ascii="Arial Narrow" w:hAnsi="Arial Narrow" w:cs="Arial"/>
                <w:bCs/>
              </w:rPr>
            </w:pPr>
            <w:r>
              <w:rPr>
                <w:rFonts w:ascii="Arial Narrow" w:hAnsi="Arial Narrow" w:cs="Arial"/>
                <w:bCs/>
              </w:rPr>
              <w:t xml:space="preserve">Yawkey </w:t>
            </w:r>
            <w:r w:rsidRPr="009525F3">
              <w:rPr>
                <w:rFonts w:ascii="Arial Narrow" w:hAnsi="Arial Narrow" w:cs="Arial"/>
                <w:bCs/>
              </w:rPr>
              <w:t>7W</w:t>
            </w:r>
          </w:p>
        </w:tc>
        <w:tc>
          <w:tcPr>
            <w:tcW w:w="990" w:type="dxa"/>
            <w:tcBorders>
              <w:top w:val="single" w:sz="4" w:space="0" w:color="auto"/>
              <w:left w:val="single" w:sz="4" w:space="0" w:color="auto"/>
              <w:bottom w:val="single" w:sz="4" w:space="0" w:color="auto"/>
              <w:right w:val="single" w:sz="12" w:space="0" w:color="auto"/>
            </w:tcBorders>
          </w:tcPr>
          <w:p w14:paraId="5EAC5D44" w14:textId="77777777" w:rsidR="00CF454C" w:rsidRDefault="00CF454C" w:rsidP="00082DA7">
            <w:pPr>
              <w:jc w:val="center"/>
              <w:rPr>
                <w:rFonts w:ascii="Arial Narrow" w:hAnsi="Arial Narrow" w:cs="Arial"/>
                <w:bCs/>
              </w:rPr>
            </w:pPr>
            <w:r>
              <w:rPr>
                <w:rFonts w:ascii="Arial Narrow" w:hAnsi="Arial Narrow" w:cs="Arial"/>
                <w:bCs/>
              </w:rPr>
              <w:t>4</w:t>
            </w:r>
          </w:p>
        </w:tc>
      </w:tr>
      <w:tr w:rsidR="00CF454C" w:rsidRPr="0067020C" w14:paraId="6F8077D7" w14:textId="77777777" w:rsidTr="00F17996">
        <w:trPr>
          <w:trHeight w:val="252"/>
          <w:jc w:val="center"/>
        </w:trPr>
        <w:tc>
          <w:tcPr>
            <w:tcW w:w="2865" w:type="dxa"/>
            <w:tcBorders>
              <w:top w:val="nil"/>
              <w:left w:val="single" w:sz="12" w:space="0" w:color="auto"/>
              <w:bottom w:val="nil"/>
              <w:right w:val="single" w:sz="12" w:space="0" w:color="auto"/>
            </w:tcBorders>
          </w:tcPr>
          <w:p w14:paraId="5B417BE5"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right w:val="single" w:sz="4" w:space="0" w:color="auto"/>
            </w:tcBorders>
          </w:tcPr>
          <w:p w14:paraId="7A3ADC5A" w14:textId="77777777" w:rsidR="00CF454C" w:rsidRDefault="00CF454C" w:rsidP="00082DA7">
            <w:pPr>
              <w:rPr>
                <w:rFonts w:ascii="Arial Narrow" w:hAnsi="Arial Narrow" w:cs="Arial"/>
                <w:bCs/>
              </w:rPr>
            </w:pPr>
            <w:r>
              <w:rPr>
                <w:rFonts w:ascii="Arial Narrow" w:hAnsi="Arial Narrow" w:cs="Arial"/>
                <w:bCs/>
              </w:rPr>
              <w:t xml:space="preserve">ED </w:t>
            </w:r>
            <w:r w:rsidRPr="00084088">
              <w:rPr>
                <w:rFonts w:ascii="Arial Narrow" w:hAnsi="Arial Narrow" w:cs="Arial"/>
                <w:bCs/>
              </w:rPr>
              <w:t>Pod E</w:t>
            </w:r>
          </w:p>
        </w:tc>
        <w:tc>
          <w:tcPr>
            <w:tcW w:w="990" w:type="dxa"/>
            <w:tcBorders>
              <w:top w:val="single" w:sz="4" w:space="0" w:color="auto"/>
              <w:left w:val="single" w:sz="4" w:space="0" w:color="auto"/>
              <w:bottom w:val="single" w:sz="4" w:space="0" w:color="auto"/>
              <w:right w:val="single" w:sz="12" w:space="0" w:color="auto"/>
            </w:tcBorders>
          </w:tcPr>
          <w:p w14:paraId="3F245292" w14:textId="77777777" w:rsidR="00CF454C" w:rsidRDefault="00CF454C" w:rsidP="00082DA7">
            <w:pPr>
              <w:jc w:val="center"/>
              <w:rPr>
                <w:rFonts w:ascii="Arial Narrow" w:hAnsi="Arial Narrow" w:cs="Arial"/>
                <w:bCs/>
              </w:rPr>
            </w:pPr>
            <w:r>
              <w:rPr>
                <w:rFonts w:ascii="Arial Narrow" w:hAnsi="Arial Narrow" w:cs="Arial"/>
                <w:bCs/>
              </w:rPr>
              <w:t>13</w:t>
            </w:r>
          </w:p>
        </w:tc>
      </w:tr>
      <w:tr w:rsidR="00CF454C" w:rsidRPr="0067020C" w14:paraId="0104EF30" w14:textId="77777777" w:rsidTr="00F17996">
        <w:trPr>
          <w:trHeight w:val="252"/>
          <w:jc w:val="center"/>
        </w:trPr>
        <w:tc>
          <w:tcPr>
            <w:tcW w:w="2865" w:type="dxa"/>
            <w:tcBorders>
              <w:top w:val="nil"/>
              <w:left w:val="single" w:sz="12" w:space="0" w:color="auto"/>
              <w:bottom w:val="single" w:sz="12" w:space="0" w:color="auto"/>
              <w:right w:val="single" w:sz="12" w:space="0" w:color="auto"/>
            </w:tcBorders>
          </w:tcPr>
          <w:p w14:paraId="2E8253EA"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12" w:space="0" w:color="auto"/>
              <w:right w:val="single" w:sz="4" w:space="0" w:color="auto"/>
            </w:tcBorders>
          </w:tcPr>
          <w:p w14:paraId="58DA058F" w14:textId="77777777" w:rsidR="00CF454C" w:rsidRPr="00084088" w:rsidRDefault="00CF454C" w:rsidP="00082DA7">
            <w:pPr>
              <w:rPr>
                <w:rFonts w:ascii="Arial Narrow" w:hAnsi="Arial Narrow" w:cs="Arial"/>
                <w:b/>
              </w:rPr>
            </w:pPr>
            <w:r w:rsidRPr="00084088">
              <w:rPr>
                <w:rFonts w:ascii="Arial Narrow" w:hAnsi="Arial Narrow" w:cs="Arial"/>
                <w:b/>
              </w:rPr>
              <w:t>Total</w:t>
            </w:r>
          </w:p>
        </w:tc>
        <w:tc>
          <w:tcPr>
            <w:tcW w:w="990" w:type="dxa"/>
            <w:tcBorders>
              <w:top w:val="single" w:sz="4" w:space="0" w:color="auto"/>
              <w:left w:val="single" w:sz="4" w:space="0" w:color="auto"/>
              <w:bottom w:val="single" w:sz="12" w:space="0" w:color="auto"/>
              <w:right w:val="single" w:sz="12" w:space="0" w:color="auto"/>
            </w:tcBorders>
          </w:tcPr>
          <w:p w14:paraId="3F1418B7" w14:textId="77777777" w:rsidR="00CF454C" w:rsidRPr="00084088" w:rsidRDefault="00CF454C" w:rsidP="00082DA7">
            <w:pPr>
              <w:jc w:val="center"/>
              <w:rPr>
                <w:rFonts w:ascii="Arial Narrow" w:hAnsi="Arial Narrow" w:cs="Arial"/>
                <w:b/>
              </w:rPr>
            </w:pPr>
            <w:r w:rsidRPr="00084088">
              <w:rPr>
                <w:rFonts w:ascii="Arial Narrow" w:hAnsi="Arial Narrow" w:cs="Arial"/>
                <w:b/>
              </w:rPr>
              <w:t>42</w:t>
            </w:r>
          </w:p>
        </w:tc>
      </w:tr>
      <w:tr w:rsidR="00CF454C" w:rsidRPr="0067020C" w14:paraId="61CA3941" w14:textId="77777777" w:rsidTr="00F17996">
        <w:trPr>
          <w:trHeight w:val="123"/>
          <w:jc w:val="center"/>
        </w:trPr>
        <w:tc>
          <w:tcPr>
            <w:tcW w:w="2865" w:type="dxa"/>
            <w:tcBorders>
              <w:top w:val="single" w:sz="12" w:space="0" w:color="auto"/>
              <w:left w:val="single" w:sz="12" w:space="0" w:color="auto"/>
              <w:bottom w:val="nil"/>
              <w:right w:val="single" w:sz="12" w:space="0" w:color="auto"/>
            </w:tcBorders>
          </w:tcPr>
          <w:p w14:paraId="3558BB96" w14:textId="77777777" w:rsidR="00CF454C" w:rsidRPr="0067020C" w:rsidRDefault="00CF454C" w:rsidP="00082DA7">
            <w:pPr>
              <w:jc w:val="both"/>
              <w:rPr>
                <w:rFonts w:ascii="Arial Narrow" w:hAnsi="Arial Narrow" w:cs="Arial"/>
                <w:b/>
              </w:rPr>
            </w:pPr>
            <w:r w:rsidRPr="0067020C">
              <w:rPr>
                <w:rFonts w:ascii="Arial Narrow" w:hAnsi="Arial Narrow" w:cs="Arial"/>
                <w:b/>
              </w:rPr>
              <w:t>Beds Used for COVID-19 Surge</w:t>
            </w:r>
          </w:p>
        </w:tc>
        <w:tc>
          <w:tcPr>
            <w:tcW w:w="5130" w:type="dxa"/>
            <w:tcBorders>
              <w:top w:val="single" w:sz="12" w:space="0" w:color="auto"/>
              <w:left w:val="single" w:sz="12" w:space="0" w:color="auto"/>
              <w:bottom w:val="single" w:sz="4" w:space="0" w:color="auto"/>
              <w:right w:val="single" w:sz="4" w:space="0" w:color="auto"/>
            </w:tcBorders>
            <w:vAlign w:val="center"/>
          </w:tcPr>
          <w:p w14:paraId="28213758" w14:textId="77777777" w:rsidR="00CF454C" w:rsidRPr="00A66427" w:rsidRDefault="00CF454C" w:rsidP="00082DA7">
            <w:pPr>
              <w:rPr>
                <w:rFonts w:ascii="Arial Narrow" w:hAnsi="Arial Narrow" w:cs="Arial"/>
                <w:bCs/>
              </w:rPr>
            </w:pPr>
            <w:r w:rsidRPr="00A66427">
              <w:rPr>
                <w:rFonts w:ascii="Arial Narrow" w:hAnsi="Arial Narrow" w:cs="Arial"/>
                <w:bCs/>
              </w:rPr>
              <w:t>Yawkey 5</w:t>
            </w:r>
          </w:p>
        </w:tc>
        <w:tc>
          <w:tcPr>
            <w:tcW w:w="990" w:type="dxa"/>
            <w:tcBorders>
              <w:top w:val="single" w:sz="12" w:space="0" w:color="auto"/>
              <w:left w:val="single" w:sz="4" w:space="0" w:color="auto"/>
              <w:bottom w:val="single" w:sz="4" w:space="0" w:color="auto"/>
              <w:right w:val="single" w:sz="12" w:space="0" w:color="auto"/>
            </w:tcBorders>
            <w:vAlign w:val="center"/>
          </w:tcPr>
          <w:p w14:paraId="1D5505BF" w14:textId="77777777" w:rsidR="00CF454C" w:rsidRPr="00563770" w:rsidRDefault="00CF454C" w:rsidP="00082DA7">
            <w:pPr>
              <w:jc w:val="center"/>
              <w:rPr>
                <w:rFonts w:ascii="Arial Narrow" w:hAnsi="Arial Narrow" w:cs="Arial"/>
                <w:bCs/>
              </w:rPr>
            </w:pPr>
            <w:r w:rsidRPr="00563770">
              <w:rPr>
                <w:rFonts w:ascii="Arial Narrow" w:hAnsi="Arial Narrow" w:cs="Arial"/>
                <w:bCs/>
              </w:rPr>
              <w:t>8</w:t>
            </w:r>
          </w:p>
        </w:tc>
      </w:tr>
      <w:tr w:rsidR="00CF454C" w:rsidRPr="0067020C" w14:paraId="1A267C07" w14:textId="77777777" w:rsidTr="00F17996">
        <w:trPr>
          <w:trHeight w:val="70"/>
          <w:jc w:val="center"/>
        </w:trPr>
        <w:tc>
          <w:tcPr>
            <w:tcW w:w="2865" w:type="dxa"/>
            <w:tcBorders>
              <w:top w:val="nil"/>
              <w:left w:val="single" w:sz="12" w:space="0" w:color="auto"/>
              <w:bottom w:val="nil"/>
              <w:right w:val="single" w:sz="12" w:space="0" w:color="auto"/>
            </w:tcBorders>
          </w:tcPr>
          <w:p w14:paraId="26035209"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4" w:space="0" w:color="auto"/>
              <w:right w:val="single" w:sz="4" w:space="0" w:color="auto"/>
            </w:tcBorders>
            <w:vAlign w:val="center"/>
          </w:tcPr>
          <w:p w14:paraId="686EF623" w14:textId="77777777" w:rsidR="00CF454C" w:rsidRPr="00A66427" w:rsidRDefault="00CF454C" w:rsidP="00082DA7">
            <w:pPr>
              <w:rPr>
                <w:rFonts w:ascii="Arial Narrow" w:hAnsi="Arial Narrow" w:cs="Arial"/>
                <w:bCs/>
              </w:rPr>
            </w:pPr>
            <w:r w:rsidRPr="00A66427">
              <w:rPr>
                <w:rFonts w:ascii="Arial Narrow" w:hAnsi="Arial Narrow" w:cs="Arial"/>
                <w:bCs/>
              </w:rPr>
              <w:t>Yawkey 5</w:t>
            </w:r>
          </w:p>
        </w:tc>
        <w:tc>
          <w:tcPr>
            <w:tcW w:w="990" w:type="dxa"/>
            <w:tcBorders>
              <w:top w:val="single" w:sz="4" w:space="0" w:color="auto"/>
              <w:left w:val="single" w:sz="4" w:space="0" w:color="auto"/>
              <w:bottom w:val="single" w:sz="4" w:space="0" w:color="auto"/>
              <w:right w:val="single" w:sz="12" w:space="0" w:color="auto"/>
            </w:tcBorders>
            <w:vAlign w:val="center"/>
          </w:tcPr>
          <w:p w14:paraId="03E598E0" w14:textId="77777777" w:rsidR="00CF454C" w:rsidRPr="00563770" w:rsidRDefault="00CF454C" w:rsidP="00082DA7">
            <w:pPr>
              <w:jc w:val="center"/>
              <w:rPr>
                <w:rFonts w:ascii="Arial Narrow" w:hAnsi="Arial Narrow" w:cs="Arial"/>
                <w:bCs/>
              </w:rPr>
            </w:pPr>
            <w:r w:rsidRPr="00563770">
              <w:rPr>
                <w:rFonts w:ascii="Arial Narrow" w:hAnsi="Arial Narrow" w:cs="Arial"/>
                <w:bCs/>
              </w:rPr>
              <w:t>12</w:t>
            </w:r>
          </w:p>
        </w:tc>
      </w:tr>
      <w:tr w:rsidR="00CF454C" w:rsidRPr="0067020C" w14:paraId="2552B1B1" w14:textId="77777777" w:rsidTr="00F17996">
        <w:trPr>
          <w:trHeight w:val="125"/>
          <w:jc w:val="center"/>
        </w:trPr>
        <w:tc>
          <w:tcPr>
            <w:tcW w:w="2865" w:type="dxa"/>
            <w:tcBorders>
              <w:top w:val="nil"/>
              <w:left w:val="single" w:sz="12" w:space="0" w:color="auto"/>
              <w:bottom w:val="single" w:sz="12" w:space="0" w:color="auto"/>
              <w:right w:val="single" w:sz="12" w:space="0" w:color="auto"/>
            </w:tcBorders>
          </w:tcPr>
          <w:p w14:paraId="5170EA4A" w14:textId="77777777" w:rsidR="00CF454C" w:rsidRPr="0067020C" w:rsidRDefault="00CF454C" w:rsidP="00082DA7">
            <w:pPr>
              <w:jc w:val="both"/>
              <w:rPr>
                <w:rFonts w:ascii="Arial Narrow" w:hAnsi="Arial Narrow" w:cs="Arial"/>
                <w:b/>
              </w:rPr>
            </w:pPr>
          </w:p>
        </w:tc>
        <w:tc>
          <w:tcPr>
            <w:tcW w:w="5130" w:type="dxa"/>
            <w:tcBorders>
              <w:top w:val="single" w:sz="4" w:space="0" w:color="auto"/>
              <w:left w:val="single" w:sz="12" w:space="0" w:color="auto"/>
              <w:bottom w:val="single" w:sz="12" w:space="0" w:color="auto"/>
              <w:right w:val="single" w:sz="4" w:space="0" w:color="auto"/>
            </w:tcBorders>
            <w:vAlign w:val="center"/>
          </w:tcPr>
          <w:p w14:paraId="73D8F93D" w14:textId="77777777" w:rsidR="00CF454C" w:rsidRPr="00563770" w:rsidRDefault="00CF454C" w:rsidP="00082DA7">
            <w:pPr>
              <w:rPr>
                <w:rFonts w:ascii="Arial Narrow" w:hAnsi="Arial Narrow" w:cs="Arial"/>
                <w:b/>
              </w:rPr>
            </w:pPr>
            <w:r w:rsidRPr="00563770">
              <w:rPr>
                <w:rFonts w:ascii="Arial Narrow" w:hAnsi="Arial Narrow" w:cs="Arial"/>
                <w:b/>
              </w:rPr>
              <w:t>Total</w:t>
            </w:r>
          </w:p>
        </w:tc>
        <w:tc>
          <w:tcPr>
            <w:tcW w:w="990" w:type="dxa"/>
            <w:tcBorders>
              <w:top w:val="single" w:sz="4" w:space="0" w:color="auto"/>
              <w:left w:val="single" w:sz="4" w:space="0" w:color="auto"/>
              <w:bottom w:val="single" w:sz="12" w:space="0" w:color="auto"/>
              <w:right w:val="single" w:sz="12" w:space="0" w:color="auto"/>
            </w:tcBorders>
            <w:vAlign w:val="center"/>
          </w:tcPr>
          <w:p w14:paraId="65DE89A0" w14:textId="77777777" w:rsidR="00CF454C" w:rsidRPr="00563770" w:rsidRDefault="00CF454C" w:rsidP="00082DA7">
            <w:pPr>
              <w:jc w:val="center"/>
              <w:rPr>
                <w:rFonts w:ascii="Arial Narrow" w:hAnsi="Arial Narrow" w:cs="Arial"/>
                <w:b/>
              </w:rPr>
            </w:pPr>
            <w:r w:rsidRPr="00563770">
              <w:rPr>
                <w:rFonts w:ascii="Arial Narrow" w:hAnsi="Arial Narrow" w:cs="Arial"/>
                <w:b/>
              </w:rPr>
              <w:t>20</w:t>
            </w:r>
          </w:p>
        </w:tc>
      </w:tr>
    </w:tbl>
    <w:p w14:paraId="0CE61C18" w14:textId="77777777" w:rsidR="00D45D8E" w:rsidRPr="005A267B" w:rsidRDefault="00D45D8E" w:rsidP="00821848">
      <w:pPr>
        <w:spacing w:after="120"/>
        <w:jc w:val="both"/>
        <w:rPr>
          <w:rFonts w:ascii="Arial" w:hAnsi="Arial" w:cs="Arial"/>
          <w:bCs/>
        </w:rPr>
      </w:pPr>
    </w:p>
    <w:p w14:paraId="09EA868B" w14:textId="77777777" w:rsidR="00715918" w:rsidRPr="00BF6D53" w:rsidRDefault="00715918" w:rsidP="00F82ED2">
      <w:pPr>
        <w:pStyle w:val="ListParagraph"/>
        <w:numPr>
          <w:ilvl w:val="0"/>
          <w:numId w:val="29"/>
        </w:numPr>
        <w:contextualSpacing w:val="0"/>
        <w:jc w:val="both"/>
        <w:rPr>
          <w:rFonts w:ascii="Arial" w:hAnsi="Arial" w:cs="Arial"/>
          <w:bCs/>
        </w:rPr>
      </w:pPr>
      <w:r w:rsidRPr="00BF6D53">
        <w:rPr>
          <w:rFonts w:ascii="Arial" w:hAnsi="Arial" w:cs="Arial"/>
          <w:b/>
          <w:bCs/>
        </w:rPr>
        <w:t>Patient Panel</w:t>
      </w:r>
    </w:p>
    <w:p w14:paraId="115B69F7" w14:textId="12778687" w:rsidR="00E94A10" w:rsidRPr="00BF6D53" w:rsidRDefault="00E94A10" w:rsidP="0057322D">
      <w:pPr>
        <w:pStyle w:val="ListParagraph"/>
        <w:numPr>
          <w:ilvl w:val="1"/>
          <w:numId w:val="29"/>
        </w:numPr>
        <w:ind w:left="1080"/>
        <w:contextualSpacing w:val="0"/>
        <w:jc w:val="both"/>
        <w:rPr>
          <w:rFonts w:ascii="Arial" w:hAnsi="Arial" w:cs="Arial"/>
          <w:b/>
          <w:bCs/>
        </w:rPr>
      </w:pPr>
      <w:r w:rsidRPr="00BF6D53">
        <w:rPr>
          <w:rFonts w:ascii="Arial" w:hAnsi="Arial" w:cs="Arial"/>
          <w:b/>
          <w:bCs/>
        </w:rPr>
        <w:t>We note that the BMC System’s Patient Panel (see definition in 105 CMR 100) and the utilization data included 4 months of FY 2022. Please update that information with 6-9 months of data, as possible, ensuring that data tables/columns are clearly marked, the numbers where &lt; 11 are aggregated, and that they add up (per b., and c. below).</w:t>
      </w:r>
    </w:p>
    <w:p w14:paraId="4D9639FF" w14:textId="46BEF1F5" w:rsidR="00B26B4E" w:rsidRPr="007E7117" w:rsidRDefault="000A0033" w:rsidP="007E7117">
      <w:pPr>
        <w:spacing w:after="240"/>
        <w:jc w:val="both"/>
        <w:rPr>
          <w:rFonts w:ascii="Arial" w:hAnsi="Arial" w:cs="Arial"/>
          <w:bCs/>
        </w:rPr>
      </w:pPr>
      <w:r w:rsidRPr="00BF6D53">
        <w:rPr>
          <w:rFonts w:ascii="Arial" w:hAnsi="Arial" w:cs="Arial"/>
        </w:rPr>
        <w:t xml:space="preserve">Please </w:t>
      </w:r>
      <w:r w:rsidRPr="00BF6D53">
        <w:rPr>
          <w:rFonts w:ascii="Arial" w:hAnsi="Arial" w:cs="Arial"/>
          <w:bCs/>
        </w:rPr>
        <w:t xml:space="preserve">refer to Appendix A, which provides updated FY22 demographic data tables for BMC’s </w:t>
      </w:r>
      <w:r w:rsidR="007F6109">
        <w:rPr>
          <w:rFonts w:ascii="Arial" w:hAnsi="Arial" w:cs="Arial"/>
          <w:bCs/>
        </w:rPr>
        <w:t>p</w:t>
      </w:r>
      <w:r w:rsidRPr="00BF6D53">
        <w:rPr>
          <w:rFonts w:ascii="Arial" w:hAnsi="Arial" w:cs="Arial"/>
          <w:bCs/>
        </w:rPr>
        <w:t xml:space="preserve">atient </w:t>
      </w:r>
      <w:r w:rsidR="007F6109">
        <w:rPr>
          <w:rFonts w:ascii="Arial" w:hAnsi="Arial" w:cs="Arial"/>
          <w:bCs/>
        </w:rPr>
        <w:t>p</w:t>
      </w:r>
      <w:r w:rsidRPr="00BF6D53">
        <w:rPr>
          <w:rFonts w:ascii="Arial" w:hAnsi="Arial" w:cs="Arial"/>
          <w:bCs/>
        </w:rPr>
        <w:t>anel through July 2022</w:t>
      </w:r>
      <w:r w:rsidRPr="00BF6D53">
        <w:rPr>
          <w:rFonts w:ascii="Arial" w:hAnsi="Arial" w:cs="Arial"/>
        </w:rPr>
        <w:t xml:space="preserve">, and Appendix B, which provides </w:t>
      </w:r>
      <w:r w:rsidRPr="00BF6D53">
        <w:rPr>
          <w:rFonts w:ascii="Arial" w:hAnsi="Arial" w:cs="Arial"/>
          <w:bCs/>
        </w:rPr>
        <w:t>updated FY22 utilization data tables through July 2022</w:t>
      </w:r>
      <w:r w:rsidR="001E6524" w:rsidRPr="00BF6D53">
        <w:rPr>
          <w:rFonts w:ascii="Arial" w:hAnsi="Arial" w:cs="Arial"/>
          <w:bCs/>
        </w:rPr>
        <w:t>.</w:t>
      </w:r>
    </w:p>
    <w:p w14:paraId="141B870C" w14:textId="0B59DC0C" w:rsidR="00B84D89" w:rsidRDefault="009B74DA" w:rsidP="00F82ED2">
      <w:pPr>
        <w:pStyle w:val="ListParagraph"/>
        <w:numPr>
          <w:ilvl w:val="1"/>
          <w:numId w:val="29"/>
        </w:numPr>
        <w:ind w:left="1080"/>
        <w:contextualSpacing w:val="0"/>
        <w:jc w:val="both"/>
        <w:rPr>
          <w:rFonts w:ascii="Arial" w:hAnsi="Arial" w:cs="Arial"/>
          <w:b/>
          <w:bCs/>
        </w:rPr>
      </w:pPr>
      <w:r w:rsidRPr="005A267B">
        <w:rPr>
          <w:rFonts w:ascii="Arial" w:hAnsi="Arial" w:cs="Arial"/>
          <w:b/>
          <w:bCs/>
        </w:rPr>
        <w:t xml:space="preserve">Table 1: Under the Age demographic sections, the numbers do not add up to the total number of unique patients.  Could applicant please account for the difference? For </w:t>
      </w:r>
      <w:r w:rsidR="008124F5" w:rsidRPr="005A267B">
        <w:rPr>
          <w:rFonts w:ascii="Arial" w:hAnsi="Arial" w:cs="Arial"/>
          <w:b/>
          <w:bCs/>
        </w:rPr>
        <w:t>example,</w:t>
      </w:r>
      <w:r w:rsidRPr="005A267B">
        <w:rPr>
          <w:rFonts w:ascii="Arial" w:hAnsi="Arial" w:cs="Arial"/>
          <w:b/>
          <w:bCs/>
        </w:rPr>
        <w:t xml:space="preserve"> use an additional category (such as unknown). Numbers less than eleven should be aggregated into another logical </w:t>
      </w:r>
      <w:r w:rsidRPr="00B84D89">
        <w:rPr>
          <w:rFonts w:ascii="Arial" w:hAnsi="Arial" w:cs="Arial"/>
          <w:b/>
          <w:bCs/>
        </w:rPr>
        <w:t>category and identified as such.</w:t>
      </w:r>
    </w:p>
    <w:p w14:paraId="4B15BEAC" w14:textId="2E683AF1" w:rsidR="00690025" w:rsidRPr="00D758AD" w:rsidRDefault="00543EFB" w:rsidP="00F82ED2">
      <w:pPr>
        <w:spacing w:after="240"/>
        <w:jc w:val="both"/>
        <w:rPr>
          <w:rFonts w:ascii="Arial" w:hAnsi="Arial" w:cs="Arial"/>
        </w:rPr>
      </w:pPr>
      <w:r w:rsidRPr="00D758AD">
        <w:rPr>
          <w:rFonts w:ascii="Arial" w:hAnsi="Arial" w:cs="Arial"/>
        </w:rPr>
        <w:lastRenderedPageBreak/>
        <w:t xml:space="preserve">The Applicant inadvertently </w:t>
      </w:r>
      <w:r>
        <w:rPr>
          <w:rFonts w:ascii="Arial" w:hAnsi="Arial" w:cs="Arial"/>
        </w:rPr>
        <w:t>omitted the last row in the Age demographic section of Table 1 in its DoN Narrative</w:t>
      </w:r>
      <w:r w:rsidRPr="00D758AD">
        <w:rPr>
          <w:rFonts w:ascii="Arial" w:hAnsi="Arial" w:cs="Arial"/>
        </w:rPr>
        <w:t>. The difference</w:t>
      </w:r>
      <w:r>
        <w:rPr>
          <w:rFonts w:ascii="Arial" w:hAnsi="Arial" w:cs="Arial"/>
        </w:rPr>
        <w:t xml:space="preserve"> in the Age demographic section totals and the number of BMC Total Unique Patients for each fiscal year is attributable to this omission. The last row is now included in the revised Table 1 at Appendix A, which has also been updated for FY22 through July 2022, and the Age demographic section totals now match the number of BMC Total Unique Patients for each fiscal year</w:t>
      </w:r>
      <w:r w:rsidR="003C228D">
        <w:rPr>
          <w:rFonts w:ascii="Arial" w:hAnsi="Arial" w:cs="Arial"/>
        </w:rPr>
        <w:t xml:space="preserve">. </w:t>
      </w:r>
    </w:p>
    <w:p w14:paraId="4451B58A" w14:textId="4B764AAC" w:rsidR="009B74DA" w:rsidRPr="00B84D89" w:rsidRDefault="009B74DA" w:rsidP="00E675EF">
      <w:pPr>
        <w:pStyle w:val="ListParagraph"/>
        <w:numPr>
          <w:ilvl w:val="1"/>
          <w:numId w:val="29"/>
        </w:numPr>
        <w:ind w:left="1080"/>
        <w:contextualSpacing w:val="0"/>
        <w:jc w:val="both"/>
        <w:rPr>
          <w:rFonts w:ascii="Arial" w:hAnsi="Arial" w:cs="Arial"/>
          <w:b/>
          <w:bCs/>
        </w:rPr>
      </w:pPr>
      <w:r w:rsidRPr="00B84D89">
        <w:rPr>
          <w:rFonts w:ascii="Arial" w:hAnsi="Arial" w:cs="Arial"/>
          <w:b/>
          <w:bCs/>
        </w:rPr>
        <w:t xml:space="preserve">Table 6: (P. 6) Total Unique ICU Patients for FY19 is expressed at 3,751, however when the breakdown of towns </w:t>
      </w:r>
      <w:r w:rsidR="008124F5" w:rsidRPr="00B84D89">
        <w:rPr>
          <w:rFonts w:ascii="Arial" w:hAnsi="Arial" w:cs="Arial"/>
          <w:b/>
          <w:bCs/>
        </w:rPr>
        <w:t>is</w:t>
      </w:r>
      <w:r w:rsidRPr="00B84D89">
        <w:rPr>
          <w:rFonts w:ascii="Arial" w:hAnsi="Arial" w:cs="Arial"/>
          <w:b/>
          <w:bCs/>
        </w:rPr>
        <w:t xml:space="preserve"> added, it comes up to 3,781.  Please account for the difference. For </w:t>
      </w:r>
      <w:r w:rsidR="008124F5" w:rsidRPr="00B84D89">
        <w:rPr>
          <w:rFonts w:ascii="Arial" w:hAnsi="Arial" w:cs="Arial"/>
          <w:b/>
          <w:bCs/>
        </w:rPr>
        <w:t>example,</w:t>
      </w:r>
      <w:r w:rsidRPr="00B84D89">
        <w:rPr>
          <w:rFonts w:ascii="Arial" w:hAnsi="Arial" w:cs="Arial"/>
          <w:b/>
          <w:bCs/>
        </w:rPr>
        <w:t xml:space="preserve"> use an additional category (such as unknown). Numbers less than eleven should be aggregated into another logical category and identified as such.</w:t>
      </w:r>
    </w:p>
    <w:p w14:paraId="5F9A0479" w14:textId="75F4E9E4" w:rsidR="007E7117" w:rsidRDefault="00A831D3" w:rsidP="003A6452">
      <w:pPr>
        <w:spacing w:after="240"/>
        <w:jc w:val="both"/>
        <w:rPr>
          <w:rFonts w:ascii="Arial" w:hAnsi="Arial" w:cs="Arial"/>
          <w:bCs/>
        </w:rPr>
      </w:pPr>
      <w:r>
        <w:rPr>
          <w:rFonts w:ascii="Arial" w:hAnsi="Arial" w:cs="Arial"/>
          <w:bCs/>
        </w:rPr>
        <w:t xml:space="preserve">The difference between the expressed number of Total Unique ICU Patients in FY19 and the summation of the breakdown of cities/towns for FY19 is attributable to a typographical error. Specifically, the Applicant notes that it mistakenly listed the number of ICU patients from “All Other” geographic origins in FY19 as 1,552. This number should have been listed as 1,522. </w:t>
      </w:r>
      <w:r>
        <w:rPr>
          <w:rFonts w:ascii="Arial" w:hAnsi="Arial" w:cs="Arial"/>
        </w:rPr>
        <w:t xml:space="preserve">The Applicant has corrected this mistake in the revised Table 6 below. Accordingly, the expressed number of Total Unique ICU Patients now matches the summation of the breakdown of </w:t>
      </w:r>
      <w:r>
        <w:rPr>
          <w:rFonts w:ascii="Arial" w:hAnsi="Arial" w:cs="Arial"/>
          <w:bCs/>
        </w:rPr>
        <w:t>cities/towns for FY19.</w:t>
      </w:r>
    </w:p>
    <w:p w14:paraId="4FBDD008" w14:textId="7803FB47" w:rsidR="00971F26" w:rsidRPr="00E675EF" w:rsidRDefault="00971F26" w:rsidP="003A6452">
      <w:pPr>
        <w:spacing w:after="240"/>
        <w:jc w:val="both"/>
        <w:rPr>
          <w:rFonts w:ascii="Arial" w:hAnsi="Arial" w:cs="Arial"/>
          <w:bCs/>
        </w:rPr>
      </w:pPr>
      <w:r w:rsidRPr="00B87882">
        <w:rPr>
          <w:rFonts w:ascii="Arial Narrow" w:hAnsi="Arial Narrow" w:cs="Arial"/>
          <w:b/>
          <w:bCs/>
          <w:color w:val="FFFFFF"/>
          <w:shd w:val="clear" w:color="auto" w:fill="0070C0"/>
        </w:rPr>
        <w:t>Table 6 REVISED: BMC Medical/Surgical and ICU Patient Panel Demographics – Geographic Origin</w:t>
      </w:r>
    </w:p>
    <w:tbl>
      <w:tblPr>
        <w:tblStyle w:val="TableGrid"/>
        <w:tblW w:w="9263" w:type="dxa"/>
        <w:jc w:val="center"/>
        <w:tblLook w:val="04A0" w:firstRow="1" w:lastRow="0" w:firstColumn="1" w:lastColumn="0" w:noHBand="0" w:noVBand="1"/>
      </w:tblPr>
      <w:tblGrid>
        <w:gridCol w:w="2780"/>
        <w:gridCol w:w="808"/>
        <w:gridCol w:w="810"/>
        <w:gridCol w:w="810"/>
        <w:gridCol w:w="810"/>
        <w:gridCol w:w="810"/>
        <w:gridCol w:w="813"/>
        <w:gridCol w:w="810"/>
        <w:gridCol w:w="812"/>
      </w:tblGrid>
      <w:tr w:rsidR="00A831D3" w:rsidRPr="00B60325" w14:paraId="7DC9C890" w14:textId="77777777" w:rsidTr="00B87882">
        <w:trPr>
          <w:cantSplit/>
          <w:trHeight w:val="20"/>
          <w:tblHeader/>
          <w:jc w:val="center"/>
        </w:trPr>
        <w:tc>
          <w:tcPr>
            <w:tcW w:w="2780" w:type="dxa"/>
            <w:vMerge w:val="restart"/>
            <w:tcBorders>
              <w:top w:val="single" w:sz="12" w:space="0" w:color="auto"/>
              <w:left w:val="single" w:sz="12" w:space="0" w:color="auto"/>
            </w:tcBorders>
            <w:shd w:val="clear" w:color="auto" w:fill="8DA9DB"/>
            <w:vAlign w:val="center"/>
          </w:tcPr>
          <w:p w14:paraId="42482055" w14:textId="77777777" w:rsidR="00AC28A4" w:rsidRPr="00B60325" w:rsidRDefault="00AC28A4" w:rsidP="00542F75">
            <w:pPr>
              <w:rPr>
                <w:rFonts w:ascii="Arial Narrow" w:hAnsi="Arial Narrow" w:cs="Arial"/>
                <w:b/>
                <w:bCs/>
              </w:rPr>
            </w:pPr>
          </w:p>
        </w:tc>
        <w:tc>
          <w:tcPr>
            <w:tcW w:w="1618" w:type="dxa"/>
            <w:gridSpan w:val="2"/>
            <w:tcBorders>
              <w:top w:val="single" w:sz="12" w:space="0" w:color="auto"/>
            </w:tcBorders>
            <w:shd w:val="clear" w:color="auto" w:fill="8DA9DB"/>
            <w:vAlign w:val="center"/>
          </w:tcPr>
          <w:p w14:paraId="640D422F" w14:textId="77777777" w:rsidR="00AC28A4" w:rsidRPr="00B60325" w:rsidRDefault="00AC28A4" w:rsidP="00542F75">
            <w:pPr>
              <w:jc w:val="center"/>
              <w:rPr>
                <w:rFonts w:ascii="Arial Narrow" w:hAnsi="Arial Narrow" w:cs="Arial"/>
                <w:b/>
                <w:bCs/>
              </w:rPr>
            </w:pPr>
            <w:r w:rsidRPr="00B60325">
              <w:rPr>
                <w:rFonts w:ascii="Arial Narrow" w:hAnsi="Arial Narrow" w:cs="Arial"/>
                <w:b/>
                <w:bCs/>
                <w:color w:val="000000"/>
              </w:rPr>
              <w:t>FY19</w:t>
            </w:r>
          </w:p>
        </w:tc>
        <w:tc>
          <w:tcPr>
            <w:tcW w:w="1620" w:type="dxa"/>
            <w:gridSpan w:val="2"/>
            <w:tcBorders>
              <w:top w:val="single" w:sz="12" w:space="0" w:color="auto"/>
            </w:tcBorders>
            <w:shd w:val="clear" w:color="auto" w:fill="8DA9DB"/>
            <w:vAlign w:val="center"/>
          </w:tcPr>
          <w:p w14:paraId="6BB0E5BB" w14:textId="77777777" w:rsidR="00AC28A4" w:rsidRPr="00B60325" w:rsidRDefault="00AC28A4" w:rsidP="00542F75">
            <w:pPr>
              <w:jc w:val="center"/>
              <w:rPr>
                <w:rFonts w:ascii="Arial Narrow" w:hAnsi="Arial Narrow" w:cs="Arial"/>
                <w:b/>
                <w:bCs/>
              </w:rPr>
            </w:pPr>
            <w:r w:rsidRPr="00B60325">
              <w:rPr>
                <w:rFonts w:ascii="Arial Narrow" w:hAnsi="Arial Narrow" w:cs="Arial"/>
                <w:b/>
                <w:bCs/>
                <w:color w:val="000000"/>
              </w:rPr>
              <w:t>FY20</w:t>
            </w:r>
          </w:p>
        </w:tc>
        <w:tc>
          <w:tcPr>
            <w:tcW w:w="1623" w:type="dxa"/>
            <w:gridSpan w:val="2"/>
            <w:tcBorders>
              <w:top w:val="single" w:sz="12" w:space="0" w:color="auto"/>
            </w:tcBorders>
            <w:shd w:val="clear" w:color="auto" w:fill="8DA9DB"/>
            <w:vAlign w:val="center"/>
          </w:tcPr>
          <w:p w14:paraId="7C6A1CE8" w14:textId="77777777" w:rsidR="00AC28A4" w:rsidRPr="00B60325" w:rsidRDefault="00AC28A4" w:rsidP="00542F75">
            <w:pPr>
              <w:jc w:val="center"/>
              <w:rPr>
                <w:rFonts w:ascii="Arial Narrow" w:hAnsi="Arial Narrow" w:cs="Arial"/>
                <w:b/>
                <w:bCs/>
              </w:rPr>
            </w:pPr>
            <w:r w:rsidRPr="00B60325">
              <w:rPr>
                <w:rFonts w:ascii="Arial Narrow" w:hAnsi="Arial Narrow" w:cs="Arial"/>
                <w:b/>
                <w:bCs/>
                <w:color w:val="000000"/>
              </w:rPr>
              <w:t>FY21</w:t>
            </w:r>
          </w:p>
        </w:tc>
        <w:tc>
          <w:tcPr>
            <w:tcW w:w="1622" w:type="dxa"/>
            <w:gridSpan w:val="2"/>
            <w:tcBorders>
              <w:top w:val="single" w:sz="12" w:space="0" w:color="auto"/>
              <w:right w:val="single" w:sz="12" w:space="0" w:color="auto"/>
            </w:tcBorders>
            <w:shd w:val="clear" w:color="auto" w:fill="8DA9DB"/>
            <w:vAlign w:val="center"/>
          </w:tcPr>
          <w:p w14:paraId="0DE3F8BB" w14:textId="6FCC9F79" w:rsidR="00A831D3" w:rsidRPr="00B60325" w:rsidRDefault="00AC28A4" w:rsidP="00542F75">
            <w:pPr>
              <w:jc w:val="center"/>
              <w:rPr>
                <w:rFonts w:ascii="Arial Narrow" w:hAnsi="Arial Narrow" w:cs="Arial"/>
                <w:b/>
                <w:bCs/>
              </w:rPr>
            </w:pPr>
            <w:r w:rsidRPr="00B60325">
              <w:rPr>
                <w:rFonts w:ascii="Arial Narrow" w:hAnsi="Arial Narrow" w:cs="Arial"/>
                <w:b/>
                <w:bCs/>
                <w:color w:val="000000"/>
              </w:rPr>
              <w:t>FY22 YTD</w:t>
            </w:r>
            <w:r w:rsidR="00A831D3">
              <w:rPr>
                <w:rStyle w:val="EndnoteReference"/>
                <w:rFonts w:ascii="Arial Narrow" w:hAnsi="Arial Narrow" w:cs="Arial"/>
                <w:b/>
                <w:bCs/>
                <w:color w:val="000000"/>
              </w:rPr>
              <w:endnoteReference w:id="3"/>
            </w:r>
          </w:p>
        </w:tc>
      </w:tr>
      <w:tr w:rsidR="00A831D3" w:rsidRPr="00B60325" w14:paraId="22441616" w14:textId="77777777" w:rsidTr="00B87882">
        <w:trPr>
          <w:cantSplit/>
          <w:trHeight w:val="20"/>
          <w:tblHeader/>
          <w:jc w:val="center"/>
        </w:trPr>
        <w:tc>
          <w:tcPr>
            <w:tcW w:w="2780" w:type="dxa"/>
            <w:vMerge/>
            <w:tcBorders>
              <w:left w:val="single" w:sz="12" w:space="0" w:color="auto"/>
              <w:bottom w:val="single" w:sz="12" w:space="0" w:color="auto"/>
            </w:tcBorders>
            <w:shd w:val="clear" w:color="auto" w:fill="8DA9DB"/>
          </w:tcPr>
          <w:p w14:paraId="41204A14" w14:textId="77777777" w:rsidR="00A831D3" w:rsidRPr="00B60325" w:rsidRDefault="00A831D3" w:rsidP="00542F75">
            <w:pPr>
              <w:rPr>
                <w:rFonts w:ascii="Arial Narrow" w:hAnsi="Arial Narrow" w:cs="Arial"/>
                <w:b/>
                <w:bCs/>
              </w:rPr>
            </w:pPr>
          </w:p>
        </w:tc>
        <w:tc>
          <w:tcPr>
            <w:tcW w:w="808" w:type="dxa"/>
            <w:tcBorders>
              <w:bottom w:val="single" w:sz="12" w:space="0" w:color="auto"/>
            </w:tcBorders>
            <w:shd w:val="clear" w:color="auto" w:fill="8DA9DB"/>
            <w:vAlign w:val="center"/>
          </w:tcPr>
          <w:p w14:paraId="0EC6AE38"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Count</w:t>
            </w:r>
          </w:p>
        </w:tc>
        <w:tc>
          <w:tcPr>
            <w:tcW w:w="810" w:type="dxa"/>
            <w:tcBorders>
              <w:bottom w:val="single" w:sz="12" w:space="0" w:color="auto"/>
            </w:tcBorders>
            <w:shd w:val="clear" w:color="auto" w:fill="8DA9DB"/>
            <w:vAlign w:val="center"/>
          </w:tcPr>
          <w:p w14:paraId="771662B9"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w:t>
            </w:r>
          </w:p>
        </w:tc>
        <w:tc>
          <w:tcPr>
            <w:tcW w:w="810" w:type="dxa"/>
            <w:tcBorders>
              <w:bottom w:val="single" w:sz="12" w:space="0" w:color="auto"/>
            </w:tcBorders>
            <w:shd w:val="clear" w:color="auto" w:fill="8DA9DB"/>
            <w:vAlign w:val="center"/>
          </w:tcPr>
          <w:p w14:paraId="30D63EE1"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Count</w:t>
            </w:r>
          </w:p>
        </w:tc>
        <w:tc>
          <w:tcPr>
            <w:tcW w:w="810" w:type="dxa"/>
            <w:tcBorders>
              <w:bottom w:val="single" w:sz="12" w:space="0" w:color="auto"/>
            </w:tcBorders>
            <w:shd w:val="clear" w:color="auto" w:fill="8DA9DB"/>
            <w:vAlign w:val="center"/>
          </w:tcPr>
          <w:p w14:paraId="26371854"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w:t>
            </w:r>
          </w:p>
        </w:tc>
        <w:tc>
          <w:tcPr>
            <w:tcW w:w="810" w:type="dxa"/>
            <w:tcBorders>
              <w:bottom w:val="single" w:sz="12" w:space="0" w:color="auto"/>
            </w:tcBorders>
            <w:shd w:val="clear" w:color="auto" w:fill="8DA9DB"/>
            <w:vAlign w:val="center"/>
          </w:tcPr>
          <w:p w14:paraId="2AAD1925"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Count</w:t>
            </w:r>
          </w:p>
        </w:tc>
        <w:tc>
          <w:tcPr>
            <w:tcW w:w="813" w:type="dxa"/>
            <w:tcBorders>
              <w:bottom w:val="single" w:sz="12" w:space="0" w:color="auto"/>
            </w:tcBorders>
            <w:shd w:val="clear" w:color="auto" w:fill="8DA9DB"/>
            <w:vAlign w:val="center"/>
          </w:tcPr>
          <w:p w14:paraId="4DAA76FC"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w:t>
            </w:r>
          </w:p>
        </w:tc>
        <w:tc>
          <w:tcPr>
            <w:tcW w:w="810" w:type="dxa"/>
            <w:tcBorders>
              <w:bottom w:val="single" w:sz="12" w:space="0" w:color="auto"/>
            </w:tcBorders>
            <w:shd w:val="clear" w:color="auto" w:fill="8DA9DB"/>
            <w:vAlign w:val="center"/>
          </w:tcPr>
          <w:p w14:paraId="1FA37385"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Count</w:t>
            </w:r>
          </w:p>
        </w:tc>
        <w:tc>
          <w:tcPr>
            <w:tcW w:w="812" w:type="dxa"/>
            <w:tcBorders>
              <w:bottom w:val="single" w:sz="12" w:space="0" w:color="auto"/>
              <w:right w:val="single" w:sz="12" w:space="0" w:color="auto"/>
            </w:tcBorders>
            <w:shd w:val="clear" w:color="auto" w:fill="8DA9DB"/>
            <w:vAlign w:val="center"/>
          </w:tcPr>
          <w:p w14:paraId="5C938437" w14:textId="77777777" w:rsidR="00A831D3" w:rsidRPr="00B60325" w:rsidRDefault="00A831D3" w:rsidP="00542F75">
            <w:pPr>
              <w:jc w:val="center"/>
              <w:rPr>
                <w:rFonts w:ascii="Arial Narrow" w:hAnsi="Arial Narrow" w:cs="Arial"/>
                <w:b/>
                <w:bCs/>
              </w:rPr>
            </w:pPr>
            <w:r w:rsidRPr="00B60325">
              <w:rPr>
                <w:rFonts w:ascii="Arial Narrow" w:hAnsi="Arial Narrow" w:cs="Arial"/>
                <w:b/>
                <w:bCs/>
              </w:rPr>
              <w:t>%</w:t>
            </w:r>
          </w:p>
        </w:tc>
      </w:tr>
      <w:tr w:rsidR="00A831D3" w:rsidRPr="00B60325" w14:paraId="1EEF1BE3" w14:textId="77777777" w:rsidTr="00B87882">
        <w:trPr>
          <w:cantSplit/>
          <w:trHeight w:val="20"/>
          <w:jc w:val="center"/>
        </w:trPr>
        <w:tc>
          <w:tcPr>
            <w:tcW w:w="2780" w:type="dxa"/>
            <w:tcBorders>
              <w:top w:val="single" w:sz="12" w:space="0" w:color="auto"/>
              <w:left w:val="single" w:sz="12" w:space="0" w:color="auto"/>
            </w:tcBorders>
            <w:shd w:val="clear" w:color="auto" w:fill="BFBFBF"/>
            <w:vAlign w:val="center"/>
          </w:tcPr>
          <w:p w14:paraId="2910173F" w14:textId="77777777" w:rsidR="00A831D3" w:rsidRPr="00B60325" w:rsidRDefault="00A831D3" w:rsidP="0010559B">
            <w:pPr>
              <w:rPr>
                <w:rFonts w:ascii="Arial Narrow" w:hAnsi="Arial Narrow" w:cs="Arial"/>
              </w:rPr>
            </w:pPr>
            <w:r w:rsidRPr="00B60325">
              <w:rPr>
                <w:rFonts w:ascii="Arial Narrow" w:hAnsi="Arial Narrow" w:cs="Arial"/>
                <w:b/>
                <w:bCs/>
              </w:rPr>
              <w:t xml:space="preserve">Total </w:t>
            </w:r>
            <w:r w:rsidRPr="00520363">
              <w:rPr>
                <w:rFonts w:ascii="Arial Narrow" w:hAnsi="Arial Narrow" w:cs="Arial"/>
                <w:b/>
                <w:bCs/>
              </w:rPr>
              <w:t>Unique M/S Patients</w:t>
            </w:r>
            <w:r>
              <w:rPr>
                <w:rFonts w:ascii="ZWAdobeF" w:hAnsi="ZWAdobeF" w:cs="ZWAdobeF"/>
                <w:bCs/>
                <w:sz w:val="2"/>
                <w:szCs w:val="2"/>
              </w:rPr>
              <w:t>17F</w:t>
            </w:r>
            <w:r>
              <w:rPr>
                <w:rStyle w:val="EndnoteReference"/>
                <w:rFonts w:ascii="Arial Narrow" w:hAnsi="Arial Narrow" w:cs="Arial"/>
                <w:b/>
                <w:bCs/>
              </w:rPr>
              <w:endnoteReference w:id="4"/>
            </w:r>
          </w:p>
        </w:tc>
        <w:tc>
          <w:tcPr>
            <w:tcW w:w="808" w:type="dxa"/>
            <w:tcBorders>
              <w:top w:val="single" w:sz="12" w:space="0" w:color="auto"/>
            </w:tcBorders>
            <w:shd w:val="clear" w:color="auto" w:fill="BFBFBF"/>
            <w:vAlign w:val="center"/>
          </w:tcPr>
          <w:p w14:paraId="695889C6" w14:textId="14A93258" w:rsidR="00A831D3" w:rsidRPr="00B60325" w:rsidRDefault="00A831D3" w:rsidP="0010559B">
            <w:pPr>
              <w:jc w:val="right"/>
              <w:rPr>
                <w:rFonts w:ascii="Arial Narrow" w:hAnsi="Arial Narrow" w:cs="Arial"/>
              </w:rPr>
            </w:pPr>
            <w:r w:rsidRPr="00B60325">
              <w:rPr>
                <w:rFonts w:ascii="Arial Narrow" w:hAnsi="Arial Narrow" w:cs="Arial"/>
                <w:b/>
                <w:bCs/>
              </w:rPr>
              <w:t>11,719</w:t>
            </w:r>
          </w:p>
        </w:tc>
        <w:tc>
          <w:tcPr>
            <w:tcW w:w="810" w:type="dxa"/>
            <w:tcBorders>
              <w:top w:val="single" w:sz="12" w:space="0" w:color="auto"/>
            </w:tcBorders>
            <w:shd w:val="clear" w:color="auto" w:fill="BFBFBF"/>
            <w:vAlign w:val="center"/>
          </w:tcPr>
          <w:p w14:paraId="04AA727C" w14:textId="77777777" w:rsidR="00A831D3" w:rsidRPr="00B60325" w:rsidRDefault="00A831D3" w:rsidP="0010559B">
            <w:pPr>
              <w:jc w:val="right"/>
              <w:rPr>
                <w:rFonts w:ascii="Arial Narrow" w:hAnsi="Arial Narrow" w:cs="Arial"/>
              </w:rPr>
            </w:pPr>
          </w:p>
        </w:tc>
        <w:tc>
          <w:tcPr>
            <w:tcW w:w="810" w:type="dxa"/>
            <w:tcBorders>
              <w:top w:val="single" w:sz="12" w:space="0" w:color="auto"/>
            </w:tcBorders>
            <w:shd w:val="clear" w:color="auto" w:fill="BFBFBF"/>
            <w:vAlign w:val="center"/>
          </w:tcPr>
          <w:p w14:paraId="19F6B4B3" w14:textId="3F9FD60E" w:rsidR="00A831D3" w:rsidRPr="00B60325" w:rsidRDefault="00A831D3" w:rsidP="0010559B">
            <w:pPr>
              <w:jc w:val="right"/>
              <w:rPr>
                <w:rFonts w:ascii="Arial Narrow" w:hAnsi="Arial Narrow" w:cs="Arial"/>
              </w:rPr>
            </w:pPr>
            <w:r w:rsidRPr="00B60325">
              <w:rPr>
                <w:rFonts w:ascii="Arial Narrow" w:hAnsi="Arial Narrow" w:cs="Arial"/>
                <w:b/>
                <w:bCs/>
              </w:rPr>
              <w:t>10,541</w:t>
            </w:r>
          </w:p>
        </w:tc>
        <w:tc>
          <w:tcPr>
            <w:tcW w:w="810" w:type="dxa"/>
            <w:tcBorders>
              <w:top w:val="single" w:sz="12" w:space="0" w:color="auto"/>
            </w:tcBorders>
            <w:shd w:val="clear" w:color="auto" w:fill="BFBFBF"/>
            <w:vAlign w:val="center"/>
          </w:tcPr>
          <w:p w14:paraId="287EEC9A" w14:textId="77777777" w:rsidR="00A831D3" w:rsidRPr="00B60325" w:rsidRDefault="00A831D3" w:rsidP="0010559B">
            <w:pPr>
              <w:jc w:val="right"/>
              <w:rPr>
                <w:rFonts w:ascii="Arial Narrow" w:hAnsi="Arial Narrow" w:cs="Arial"/>
              </w:rPr>
            </w:pPr>
          </w:p>
        </w:tc>
        <w:tc>
          <w:tcPr>
            <w:tcW w:w="810" w:type="dxa"/>
            <w:tcBorders>
              <w:top w:val="single" w:sz="12" w:space="0" w:color="auto"/>
            </w:tcBorders>
            <w:shd w:val="clear" w:color="auto" w:fill="BFBFBF"/>
            <w:vAlign w:val="center"/>
          </w:tcPr>
          <w:p w14:paraId="2847A4EA" w14:textId="477760BA" w:rsidR="00A831D3" w:rsidRPr="00B60325" w:rsidRDefault="00A831D3" w:rsidP="0010559B">
            <w:pPr>
              <w:jc w:val="right"/>
              <w:rPr>
                <w:rFonts w:ascii="Arial Narrow" w:hAnsi="Arial Narrow" w:cs="Arial"/>
              </w:rPr>
            </w:pPr>
            <w:r w:rsidRPr="00B60325">
              <w:rPr>
                <w:rFonts w:ascii="Arial Narrow" w:hAnsi="Arial Narrow" w:cs="Arial"/>
                <w:b/>
                <w:bCs/>
              </w:rPr>
              <w:t>11,002</w:t>
            </w:r>
          </w:p>
        </w:tc>
        <w:tc>
          <w:tcPr>
            <w:tcW w:w="813" w:type="dxa"/>
            <w:tcBorders>
              <w:top w:val="single" w:sz="12" w:space="0" w:color="auto"/>
            </w:tcBorders>
            <w:shd w:val="clear" w:color="auto" w:fill="BFBFBF"/>
            <w:vAlign w:val="center"/>
          </w:tcPr>
          <w:p w14:paraId="5F8E7E19" w14:textId="77777777" w:rsidR="00A831D3" w:rsidRPr="00B60325" w:rsidRDefault="00A831D3" w:rsidP="0010559B">
            <w:pPr>
              <w:jc w:val="right"/>
              <w:rPr>
                <w:rFonts w:ascii="Arial Narrow" w:hAnsi="Arial Narrow" w:cs="Arial"/>
              </w:rPr>
            </w:pPr>
          </w:p>
        </w:tc>
        <w:tc>
          <w:tcPr>
            <w:tcW w:w="810" w:type="dxa"/>
            <w:tcBorders>
              <w:top w:val="single" w:sz="12" w:space="0" w:color="auto"/>
            </w:tcBorders>
            <w:shd w:val="clear" w:color="auto" w:fill="BFBFBF"/>
            <w:vAlign w:val="center"/>
          </w:tcPr>
          <w:p w14:paraId="78885DCB" w14:textId="61D2F002" w:rsidR="00A831D3" w:rsidRPr="00B60325" w:rsidRDefault="00A831D3" w:rsidP="0010559B">
            <w:pPr>
              <w:jc w:val="right"/>
              <w:rPr>
                <w:rFonts w:ascii="Arial Narrow" w:hAnsi="Arial Narrow" w:cs="Arial"/>
              </w:rPr>
            </w:pPr>
            <w:r w:rsidRPr="00B60325">
              <w:rPr>
                <w:rFonts w:ascii="Arial Narrow" w:hAnsi="Arial Narrow" w:cs="Arial"/>
                <w:b/>
                <w:bCs/>
              </w:rPr>
              <w:t>2,970</w:t>
            </w:r>
          </w:p>
        </w:tc>
        <w:tc>
          <w:tcPr>
            <w:tcW w:w="812" w:type="dxa"/>
            <w:tcBorders>
              <w:top w:val="single" w:sz="12" w:space="0" w:color="auto"/>
              <w:right w:val="single" w:sz="12" w:space="0" w:color="auto"/>
            </w:tcBorders>
            <w:shd w:val="clear" w:color="auto" w:fill="BFBFBF"/>
            <w:vAlign w:val="center"/>
          </w:tcPr>
          <w:p w14:paraId="22833759" w14:textId="77777777" w:rsidR="00A831D3" w:rsidRPr="00B60325" w:rsidRDefault="00A831D3" w:rsidP="0010559B">
            <w:pPr>
              <w:jc w:val="right"/>
              <w:rPr>
                <w:rFonts w:ascii="Arial Narrow" w:hAnsi="Arial Narrow" w:cs="Arial"/>
              </w:rPr>
            </w:pPr>
          </w:p>
        </w:tc>
      </w:tr>
      <w:tr w:rsidR="00A831D3" w:rsidRPr="00B60325" w14:paraId="6AC03F9C" w14:textId="77777777" w:rsidTr="00B87882">
        <w:trPr>
          <w:cantSplit/>
          <w:trHeight w:val="20"/>
          <w:jc w:val="center"/>
        </w:trPr>
        <w:tc>
          <w:tcPr>
            <w:tcW w:w="2780" w:type="dxa"/>
            <w:tcBorders>
              <w:left w:val="single" w:sz="12" w:space="0" w:color="auto"/>
            </w:tcBorders>
            <w:vAlign w:val="center"/>
          </w:tcPr>
          <w:p w14:paraId="560DA30A" w14:textId="77777777" w:rsidR="00A831D3" w:rsidRPr="00B60325" w:rsidRDefault="00A831D3" w:rsidP="00D54718">
            <w:pPr>
              <w:rPr>
                <w:rFonts w:ascii="Arial Narrow" w:hAnsi="Arial Narrow" w:cs="Arial"/>
              </w:rPr>
            </w:pPr>
            <w:r w:rsidRPr="00B60325">
              <w:rPr>
                <w:rFonts w:ascii="Arial Narrow" w:hAnsi="Arial Narrow" w:cs="Arial"/>
              </w:rPr>
              <w:t xml:space="preserve">Dorchester </w:t>
            </w:r>
          </w:p>
        </w:tc>
        <w:tc>
          <w:tcPr>
            <w:tcW w:w="808" w:type="dxa"/>
            <w:vAlign w:val="center"/>
          </w:tcPr>
          <w:p w14:paraId="64348CB9" w14:textId="39856EE1" w:rsidR="00A831D3" w:rsidRPr="00B60325" w:rsidRDefault="00A831D3" w:rsidP="00D54718">
            <w:pPr>
              <w:jc w:val="right"/>
              <w:rPr>
                <w:rFonts w:ascii="Arial Narrow" w:hAnsi="Arial Narrow" w:cs="Arial"/>
              </w:rPr>
            </w:pPr>
            <w:r w:rsidRPr="00B60325">
              <w:rPr>
                <w:rFonts w:ascii="Arial Narrow" w:hAnsi="Arial Narrow" w:cs="Arial"/>
              </w:rPr>
              <w:t xml:space="preserve">2,242 </w:t>
            </w:r>
          </w:p>
        </w:tc>
        <w:tc>
          <w:tcPr>
            <w:tcW w:w="810" w:type="dxa"/>
            <w:vAlign w:val="center"/>
          </w:tcPr>
          <w:p w14:paraId="4F078A18" w14:textId="243DA6F0" w:rsidR="00A831D3" w:rsidRPr="00B60325" w:rsidRDefault="00A831D3" w:rsidP="00D54718">
            <w:pPr>
              <w:jc w:val="right"/>
              <w:rPr>
                <w:rFonts w:ascii="Arial Narrow" w:hAnsi="Arial Narrow" w:cs="Arial"/>
              </w:rPr>
            </w:pPr>
            <w:r w:rsidRPr="00B60325">
              <w:rPr>
                <w:rFonts w:ascii="Arial Narrow" w:hAnsi="Arial Narrow" w:cs="Arial"/>
              </w:rPr>
              <w:t>19.1%</w:t>
            </w:r>
          </w:p>
        </w:tc>
        <w:tc>
          <w:tcPr>
            <w:tcW w:w="810" w:type="dxa"/>
            <w:vAlign w:val="center"/>
          </w:tcPr>
          <w:p w14:paraId="6F49A258" w14:textId="0B387311" w:rsidR="00A831D3" w:rsidRPr="00B60325" w:rsidRDefault="00A831D3" w:rsidP="00D54718">
            <w:pPr>
              <w:jc w:val="right"/>
              <w:rPr>
                <w:rFonts w:ascii="Arial Narrow" w:hAnsi="Arial Narrow" w:cs="Arial"/>
              </w:rPr>
            </w:pPr>
            <w:r w:rsidRPr="00B60325">
              <w:rPr>
                <w:rFonts w:ascii="Arial Narrow" w:hAnsi="Arial Narrow" w:cs="Arial"/>
              </w:rPr>
              <w:t xml:space="preserve">2,243 </w:t>
            </w:r>
          </w:p>
        </w:tc>
        <w:tc>
          <w:tcPr>
            <w:tcW w:w="810" w:type="dxa"/>
            <w:vAlign w:val="center"/>
          </w:tcPr>
          <w:p w14:paraId="76E5EBD2" w14:textId="7B2F12C0" w:rsidR="00A831D3" w:rsidRPr="00B60325" w:rsidRDefault="00A831D3" w:rsidP="00D54718">
            <w:pPr>
              <w:jc w:val="right"/>
              <w:rPr>
                <w:rFonts w:ascii="Arial Narrow" w:hAnsi="Arial Narrow" w:cs="Arial"/>
              </w:rPr>
            </w:pPr>
            <w:r w:rsidRPr="00B60325">
              <w:rPr>
                <w:rFonts w:ascii="Arial Narrow" w:hAnsi="Arial Narrow" w:cs="Arial"/>
              </w:rPr>
              <w:t>21.3%</w:t>
            </w:r>
          </w:p>
        </w:tc>
        <w:tc>
          <w:tcPr>
            <w:tcW w:w="810" w:type="dxa"/>
            <w:vAlign w:val="center"/>
          </w:tcPr>
          <w:p w14:paraId="6D94E02E" w14:textId="1495C179" w:rsidR="00A831D3" w:rsidRPr="00B60325" w:rsidRDefault="00A831D3" w:rsidP="00D54718">
            <w:pPr>
              <w:jc w:val="right"/>
              <w:rPr>
                <w:rFonts w:ascii="Arial Narrow" w:hAnsi="Arial Narrow" w:cs="Arial"/>
              </w:rPr>
            </w:pPr>
            <w:r w:rsidRPr="00B60325">
              <w:rPr>
                <w:rFonts w:ascii="Arial Narrow" w:hAnsi="Arial Narrow" w:cs="Arial"/>
              </w:rPr>
              <w:t xml:space="preserve">2,361 </w:t>
            </w:r>
          </w:p>
        </w:tc>
        <w:tc>
          <w:tcPr>
            <w:tcW w:w="813" w:type="dxa"/>
            <w:vAlign w:val="center"/>
          </w:tcPr>
          <w:p w14:paraId="03693F86" w14:textId="449B147C" w:rsidR="00A831D3" w:rsidRPr="00B60325" w:rsidRDefault="00A831D3" w:rsidP="00D54718">
            <w:pPr>
              <w:jc w:val="right"/>
              <w:rPr>
                <w:rFonts w:ascii="Arial Narrow" w:hAnsi="Arial Narrow" w:cs="Arial"/>
              </w:rPr>
            </w:pPr>
            <w:r w:rsidRPr="00B60325">
              <w:rPr>
                <w:rFonts w:ascii="Arial Narrow" w:hAnsi="Arial Narrow" w:cs="Arial"/>
              </w:rPr>
              <w:t>21.5%</w:t>
            </w:r>
          </w:p>
        </w:tc>
        <w:tc>
          <w:tcPr>
            <w:tcW w:w="810" w:type="dxa"/>
            <w:vAlign w:val="center"/>
          </w:tcPr>
          <w:p w14:paraId="77B6A010" w14:textId="649D40DB" w:rsidR="00A831D3" w:rsidRPr="00B60325" w:rsidRDefault="00A831D3" w:rsidP="00D54718">
            <w:pPr>
              <w:jc w:val="right"/>
              <w:rPr>
                <w:rFonts w:ascii="Arial Narrow" w:hAnsi="Arial Narrow" w:cs="Arial"/>
              </w:rPr>
            </w:pPr>
            <w:r w:rsidRPr="00B60325">
              <w:rPr>
                <w:rFonts w:ascii="Arial Narrow" w:hAnsi="Arial Narrow" w:cs="Arial"/>
              </w:rPr>
              <w:t xml:space="preserve">652 </w:t>
            </w:r>
          </w:p>
        </w:tc>
        <w:tc>
          <w:tcPr>
            <w:tcW w:w="812" w:type="dxa"/>
            <w:tcBorders>
              <w:right w:val="single" w:sz="12" w:space="0" w:color="auto"/>
            </w:tcBorders>
            <w:vAlign w:val="center"/>
          </w:tcPr>
          <w:p w14:paraId="34278258" w14:textId="1AC0CEBD" w:rsidR="00A831D3" w:rsidRPr="00B60325" w:rsidRDefault="00A831D3" w:rsidP="00D54718">
            <w:pPr>
              <w:jc w:val="right"/>
              <w:rPr>
                <w:rFonts w:ascii="Arial Narrow" w:hAnsi="Arial Narrow" w:cs="Arial"/>
              </w:rPr>
            </w:pPr>
            <w:r w:rsidRPr="00B60325">
              <w:rPr>
                <w:rFonts w:ascii="Arial Narrow" w:hAnsi="Arial Narrow" w:cs="Arial"/>
              </w:rPr>
              <w:t>22.0%</w:t>
            </w:r>
          </w:p>
        </w:tc>
      </w:tr>
      <w:tr w:rsidR="00A831D3" w:rsidRPr="00B60325" w14:paraId="2039A3B0" w14:textId="77777777" w:rsidTr="00B87882">
        <w:trPr>
          <w:cantSplit/>
          <w:trHeight w:val="20"/>
          <w:jc w:val="center"/>
        </w:trPr>
        <w:tc>
          <w:tcPr>
            <w:tcW w:w="2780" w:type="dxa"/>
            <w:tcBorders>
              <w:left w:val="single" w:sz="12" w:space="0" w:color="auto"/>
            </w:tcBorders>
            <w:vAlign w:val="center"/>
          </w:tcPr>
          <w:p w14:paraId="6C55351C" w14:textId="77777777" w:rsidR="00A831D3" w:rsidRPr="00B60325" w:rsidRDefault="00A831D3" w:rsidP="00D54718">
            <w:pPr>
              <w:rPr>
                <w:rFonts w:ascii="Arial Narrow" w:hAnsi="Arial Narrow" w:cs="Arial"/>
              </w:rPr>
            </w:pPr>
            <w:r w:rsidRPr="00B60325">
              <w:rPr>
                <w:rFonts w:ascii="Arial Narrow" w:hAnsi="Arial Narrow" w:cs="Arial"/>
              </w:rPr>
              <w:t>Boston</w:t>
            </w:r>
          </w:p>
        </w:tc>
        <w:tc>
          <w:tcPr>
            <w:tcW w:w="808" w:type="dxa"/>
            <w:vAlign w:val="center"/>
          </w:tcPr>
          <w:p w14:paraId="1BE37387" w14:textId="1A8605B3" w:rsidR="00A831D3" w:rsidRPr="00B60325" w:rsidRDefault="00A831D3" w:rsidP="00D54718">
            <w:pPr>
              <w:jc w:val="right"/>
              <w:rPr>
                <w:rFonts w:ascii="Arial Narrow" w:hAnsi="Arial Narrow" w:cs="Arial"/>
              </w:rPr>
            </w:pPr>
            <w:r w:rsidRPr="00B60325">
              <w:rPr>
                <w:rFonts w:ascii="Arial Narrow" w:hAnsi="Arial Narrow" w:cs="Arial"/>
              </w:rPr>
              <w:t xml:space="preserve">1,762 </w:t>
            </w:r>
          </w:p>
        </w:tc>
        <w:tc>
          <w:tcPr>
            <w:tcW w:w="810" w:type="dxa"/>
            <w:vAlign w:val="center"/>
          </w:tcPr>
          <w:p w14:paraId="7FD3BB5C" w14:textId="5A78116D" w:rsidR="00A831D3" w:rsidRPr="00B60325" w:rsidRDefault="00A831D3" w:rsidP="00D54718">
            <w:pPr>
              <w:jc w:val="right"/>
              <w:rPr>
                <w:rFonts w:ascii="Arial Narrow" w:hAnsi="Arial Narrow" w:cs="Arial"/>
              </w:rPr>
            </w:pPr>
            <w:r w:rsidRPr="00B60325">
              <w:rPr>
                <w:rFonts w:ascii="Arial Narrow" w:hAnsi="Arial Narrow" w:cs="Arial"/>
              </w:rPr>
              <w:t>15.0%</w:t>
            </w:r>
          </w:p>
        </w:tc>
        <w:tc>
          <w:tcPr>
            <w:tcW w:w="810" w:type="dxa"/>
            <w:vAlign w:val="center"/>
          </w:tcPr>
          <w:p w14:paraId="78C7B6E6" w14:textId="25AC448D" w:rsidR="00A831D3" w:rsidRPr="00B60325" w:rsidRDefault="00A831D3" w:rsidP="00D54718">
            <w:pPr>
              <w:jc w:val="right"/>
              <w:rPr>
                <w:rFonts w:ascii="Arial Narrow" w:hAnsi="Arial Narrow" w:cs="Arial"/>
              </w:rPr>
            </w:pPr>
            <w:r w:rsidRPr="00B60325">
              <w:rPr>
                <w:rFonts w:ascii="Arial Narrow" w:hAnsi="Arial Narrow" w:cs="Arial"/>
              </w:rPr>
              <w:t xml:space="preserve">1,819 </w:t>
            </w:r>
          </w:p>
        </w:tc>
        <w:tc>
          <w:tcPr>
            <w:tcW w:w="810" w:type="dxa"/>
            <w:vAlign w:val="center"/>
          </w:tcPr>
          <w:p w14:paraId="20C086C6" w14:textId="7D27EC9F" w:rsidR="00A831D3" w:rsidRPr="00B60325" w:rsidRDefault="00A831D3" w:rsidP="00D54718">
            <w:pPr>
              <w:jc w:val="right"/>
              <w:rPr>
                <w:rFonts w:ascii="Arial Narrow" w:hAnsi="Arial Narrow" w:cs="Arial"/>
              </w:rPr>
            </w:pPr>
            <w:r w:rsidRPr="00B60325">
              <w:rPr>
                <w:rFonts w:ascii="Arial Narrow" w:hAnsi="Arial Narrow" w:cs="Arial"/>
              </w:rPr>
              <w:t>17.3%</w:t>
            </w:r>
          </w:p>
        </w:tc>
        <w:tc>
          <w:tcPr>
            <w:tcW w:w="810" w:type="dxa"/>
            <w:vAlign w:val="center"/>
          </w:tcPr>
          <w:p w14:paraId="14FF1F17" w14:textId="42787175" w:rsidR="00A831D3" w:rsidRPr="00B60325" w:rsidRDefault="00A831D3" w:rsidP="00D54718">
            <w:pPr>
              <w:jc w:val="right"/>
              <w:rPr>
                <w:rFonts w:ascii="Arial Narrow" w:hAnsi="Arial Narrow" w:cs="Arial"/>
              </w:rPr>
            </w:pPr>
            <w:r w:rsidRPr="00B60325">
              <w:rPr>
                <w:rFonts w:ascii="Arial Narrow" w:hAnsi="Arial Narrow" w:cs="Arial"/>
              </w:rPr>
              <w:t xml:space="preserve">1,644 </w:t>
            </w:r>
          </w:p>
        </w:tc>
        <w:tc>
          <w:tcPr>
            <w:tcW w:w="813" w:type="dxa"/>
            <w:vAlign w:val="center"/>
          </w:tcPr>
          <w:p w14:paraId="1A5881EF" w14:textId="62F81147" w:rsidR="00A831D3" w:rsidRPr="00B60325" w:rsidRDefault="00A831D3" w:rsidP="00D54718">
            <w:pPr>
              <w:jc w:val="right"/>
              <w:rPr>
                <w:rFonts w:ascii="Arial Narrow" w:hAnsi="Arial Narrow" w:cs="Arial"/>
              </w:rPr>
            </w:pPr>
            <w:r w:rsidRPr="00B60325">
              <w:rPr>
                <w:rFonts w:ascii="Arial Narrow" w:hAnsi="Arial Narrow" w:cs="Arial"/>
              </w:rPr>
              <w:t>14.9%</w:t>
            </w:r>
          </w:p>
        </w:tc>
        <w:tc>
          <w:tcPr>
            <w:tcW w:w="810" w:type="dxa"/>
            <w:vAlign w:val="center"/>
          </w:tcPr>
          <w:p w14:paraId="507D79BA" w14:textId="78AD4D96" w:rsidR="00A831D3" w:rsidRPr="00B60325" w:rsidRDefault="00A831D3" w:rsidP="00D54718">
            <w:pPr>
              <w:jc w:val="right"/>
              <w:rPr>
                <w:rFonts w:ascii="Arial Narrow" w:hAnsi="Arial Narrow" w:cs="Arial"/>
              </w:rPr>
            </w:pPr>
            <w:r w:rsidRPr="00B60325">
              <w:rPr>
                <w:rFonts w:ascii="Arial Narrow" w:hAnsi="Arial Narrow" w:cs="Arial"/>
              </w:rPr>
              <w:t xml:space="preserve">468 </w:t>
            </w:r>
          </w:p>
        </w:tc>
        <w:tc>
          <w:tcPr>
            <w:tcW w:w="812" w:type="dxa"/>
            <w:tcBorders>
              <w:right w:val="single" w:sz="12" w:space="0" w:color="auto"/>
            </w:tcBorders>
            <w:vAlign w:val="center"/>
          </w:tcPr>
          <w:p w14:paraId="78B3AE7B" w14:textId="617B751D" w:rsidR="00A831D3" w:rsidRPr="00B60325" w:rsidRDefault="00A831D3" w:rsidP="00D54718">
            <w:pPr>
              <w:jc w:val="right"/>
              <w:rPr>
                <w:rFonts w:ascii="Arial Narrow" w:hAnsi="Arial Narrow" w:cs="Arial"/>
              </w:rPr>
            </w:pPr>
            <w:r w:rsidRPr="00B60325">
              <w:rPr>
                <w:rFonts w:ascii="Arial Narrow" w:hAnsi="Arial Narrow" w:cs="Arial"/>
              </w:rPr>
              <w:t>15.8%</w:t>
            </w:r>
          </w:p>
        </w:tc>
      </w:tr>
      <w:tr w:rsidR="00A831D3" w:rsidRPr="00B60325" w14:paraId="2839A152" w14:textId="77777777" w:rsidTr="00B87882">
        <w:trPr>
          <w:cantSplit/>
          <w:trHeight w:val="20"/>
          <w:jc w:val="center"/>
        </w:trPr>
        <w:tc>
          <w:tcPr>
            <w:tcW w:w="2780" w:type="dxa"/>
            <w:tcBorders>
              <w:left w:val="single" w:sz="12" w:space="0" w:color="auto"/>
            </w:tcBorders>
            <w:vAlign w:val="center"/>
          </w:tcPr>
          <w:p w14:paraId="5E496C48" w14:textId="77777777" w:rsidR="00A831D3" w:rsidRPr="00B60325" w:rsidRDefault="00A831D3" w:rsidP="00D54718">
            <w:pPr>
              <w:rPr>
                <w:rFonts w:ascii="Arial Narrow" w:hAnsi="Arial Narrow" w:cs="Arial"/>
              </w:rPr>
            </w:pPr>
            <w:r w:rsidRPr="00B60325">
              <w:rPr>
                <w:rFonts w:ascii="Arial Narrow" w:hAnsi="Arial Narrow" w:cs="Arial"/>
              </w:rPr>
              <w:t>Roxbury</w:t>
            </w:r>
          </w:p>
        </w:tc>
        <w:tc>
          <w:tcPr>
            <w:tcW w:w="808" w:type="dxa"/>
            <w:vAlign w:val="center"/>
          </w:tcPr>
          <w:p w14:paraId="41CBDBB9" w14:textId="7BBC7183" w:rsidR="00A831D3" w:rsidRPr="00B60325" w:rsidRDefault="00A831D3" w:rsidP="00D54718">
            <w:pPr>
              <w:jc w:val="right"/>
              <w:rPr>
                <w:rFonts w:ascii="Arial Narrow" w:hAnsi="Arial Narrow" w:cs="Arial"/>
              </w:rPr>
            </w:pPr>
            <w:r w:rsidRPr="00B60325">
              <w:rPr>
                <w:rFonts w:ascii="Arial Narrow" w:hAnsi="Arial Narrow" w:cs="Arial"/>
              </w:rPr>
              <w:t xml:space="preserve">751 </w:t>
            </w:r>
          </w:p>
        </w:tc>
        <w:tc>
          <w:tcPr>
            <w:tcW w:w="810" w:type="dxa"/>
            <w:vAlign w:val="center"/>
          </w:tcPr>
          <w:p w14:paraId="44B932AE" w14:textId="63BD8E86" w:rsidR="00A831D3" w:rsidRPr="00B60325" w:rsidRDefault="00A831D3" w:rsidP="00D54718">
            <w:pPr>
              <w:jc w:val="right"/>
              <w:rPr>
                <w:rFonts w:ascii="Arial Narrow" w:hAnsi="Arial Narrow" w:cs="Arial"/>
              </w:rPr>
            </w:pPr>
            <w:r w:rsidRPr="00B60325">
              <w:rPr>
                <w:rFonts w:ascii="Arial Narrow" w:hAnsi="Arial Narrow" w:cs="Arial"/>
              </w:rPr>
              <w:t>6.4%</w:t>
            </w:r>
          </w:p>
        </w:tc>
        <w:tc>
          <w:tcPr>
            <w:tcW w:w="810" w:type="dxa"/>
            <w:vAlign w:val="center"/>
          </w:tcPr>
          <w:p w14:paraId="0FDA1B53" w14:textId="0E044942" w:rsidR="00A831D3" w:rsidRPr="00B60325" w:rsidRDefault="00A831D3" w:rsidP="00D54718">
            <w:pPr>
              <w:jc w:val="right"/>
              <w:rPr>
                <w:rFonts w:ascii="Arial Narrow" w:hAnsi="Arial Narrow" w:cs="Arial"/>
              </w:rPr>
            </w:pPr>
            <w:r w:rsidRPr="00B60325">
              <w:rPr>
                <w:rFonts w:ascii="Arial Narrow" w:hAnsi="Arial Narrow" w:cs="Arial"/>
              </w:rPr>
              <w:t xml:space="preserve">770 </w:t>
            </w:r>
          </w:p>
        </w:tc>
        <w:tc>
          <w:tcPr>
            <w:tcW w:w="810" w:type="dxa"/>
            <w:vAlign w:val="center"/>
          </w:tcPr>
          <w:p w14:paraId="3D56F806" w14:textId="6F6C9AE5" w:rsidR="00A831D3" w:rsidRPr="00B60325" w:rsidRDefault="00A831D3" w:rsidP="00D54718">
            <w:pPr>
              <w:jc w:val="right"/>
              <w:rPr>
                <w:rFonts w:ascii="Arial Narrow" w:hAnsi="Arial Narrow" w:cs="Arial"/>
              </w:rPr>
            </w:pPr>
            <w:r w:rsidRPr="00B60325">
              <w:rPr>
                <w:rFonts w:ascii="Arial Narrow" w:hAnsi="Arial Narrow" w:cs="Arial"/>
              </w:rPr>
              <w:t>7.3%</w:t>
            </w:r>
          </w:p>
        </w:tc>
        <w:tc>
          <w:tcPr>
            <w:tcW w:w="810" w:type="dxa"/>
            <w:vAlign w:val="center"/>
          </w:tcPr>
          <w:p w14:paraId="4C75D2D9" w14:textId="10BF51A6" w:rsidR="00A831D3" w:rsidRPr="00B60325" w:rsidRDefault="00A831D3" w:rsidP="00D54718">
            <w:pPr>
              <w:jc w:val="right"/>
              <w:rPr>
                <w:rFonts w:ascii="Arial Narrow" w:hAnsi="Arial Narrow" w:cs="Arial"/>
              </w:rPr>
            </w:pPr>
            <w:r w:rsidRPr="00B60325">
              <w:rPr>
                <w:rFonts w:ascii="Arial Narrow" w:hAnsi="Arial Narrow" w:cs="Arial"/>
              </w:rPr>
              <w:t xml:space="preserve">762 </w:t>
            </w:r>
          </w:p>
        </w:tc>
        <w:tc>
          <w:tcPr>
            <w:tcW w:w="813" w:type="dxa"/>
            <w:vAlign w:val="center"/>
          </w:tcPr>
          <w:p w14:paraId="5F26B269" w14:textId="6186D4BB" w:rsidR="00A831D3" w:rsidRPr="00B60325" w:rsidRDefault="00A831D3" w:rsidP="00D54718">
            <w:pPr>
              <w:jc w:val="right"/>
              <w:rPr>
                <w:rFonts w:ascii="Arial Narrow" w:hAnsi="Arial Narrow" w:cs="Arial"/>
              </w:rPr>
            </w:pPr>
            <w:r w:rsidRPr="00B60325">
              <w:rPr>
                <w:rFonts w:ascii="Arial Narrow" w:hAnsi="Arial Narrow" w:cs="Arial"/>
              </w:rPr>
              <w:t>6.9%</w:t>
            </w:r>
          </w:p>
        </w:tc>
        <w:tc>
          <w:tcPr>
            <w:tcW w:w="810" w:type="dxa"/>
            <w:vAlign w:val="center"/>
          </w:tcPr>
          <w:p w14:paraId="6A974F57" w14:textId="53C5D15E" w:rsidR="00A831D3" w:rsidRPr="00B60325" w:rsidRDefault="00A831D3" w:rsidP="00D54718">
            <w:pPr>
              <w:jc w:val="right"/>
              <w:rPr>
                <w:rFonts w:ascii="Arial Narrow" w:hAnsi="Arial Narrow" w:cs="Arial"/>
              </w:rPr>
            </w:pPr>
            <w:r w:rsidRPr="00B60325">
              <w:rPr>
                <w:rFonts w:ascii="Arial Narrow" w:hAnsi="Arial Narrow" w:cs="Arial"/>
              </w:rPr>
              <w:t xml:space="preserve">216 </w:t>
            </w:r>
          </w:p>
        </w:tc>
        <w:tc>
          <w:tcPr>
            <w:tcW w:w="812" w:type="dxa"/>
            <w:tcBorders>
              <w:right w:val="single" w:sz="12" w:space="0" w:color="auto"/>
            </w:tcBorders>
            <w:vAlign w:val="center"/>
          </w:tcPr>
          <w:p w14:paraId="49CBBDB5" w14:textId="35D1338A" w:rsidR="00A831D3" w:rsidRPr="00B60325" w:rsidRDefault="00A831D3" w:rsidP="00D54718">
            <w:pPr>
              <w:jc w:val="right"/>
              <w:rPr>
                <w:rFonts w:ascii="Arial Narrow" w:hAnsi="Arial Narrow" w:cs="Arial"/>
              </w:rPr>
            </w:pPr>
            <w:r w:rsidRPr="00B60325">
              <w:rPr>
                <w:rFonts w:ascii="Arial Narrow" w:hAnsi="Arial Narrow" w:cs="Arial"/>
              </w:rPr>
              <w:t>7.3%</w:t>
            </w:r>
          </w:p>
        </w:tc>
      </w:tr>
      <w:tr w:rsidR="00A831D3" w:rsidRPr="00B60325" w14:paraId="24891A3B" w14:textId="77777777" w:rsidTr="00B87882">
        <w:trPr>
          <w:cantSplit/>
          <w:trHeight w:val="20"/>
          <w:jc w:val="center"/>
        </w:trPr>
        <w:tc>
          <w:tcPr>
            <w:tcW w:w="2780" w:type="dxa"/>
            <w:tcBorders>
              <w:left w:val="single" w:sz="12" w:space="0" w:color="auto"/>
            </w:tcBorders>
            <w:vAlign w:val="center"/>
          </w:tcPr>
          <w:p w14:paraId="45EE9517" w14:textId="77777777" w:rsidR="00A831D3" w:rsidRPr="00B60325" w:rsidRDefault="00A831D3" w:rsidP="00D54718">
            <w:pPr>
              <w:rPr>
                <w:rFonts w:ascii="Arial Narrow" w:hAnsi="Arial Narrow" w:cs="Arial"/>
              </w:rPr>
            </w:pPr>
            <w:r w:rsidRPr="00B60325">
              <w:rPr>
                <w:rFonts w:ascii="Arial Narrow" w:hAnsi="Arial Narrow" w:cs="Arial"/>
              </w:rPr>
              <w:t xml:space="preserve">Brockton </w:t>
            </w:r>
          </w:p>
        </w:tc>
        <w:tc>
          <w:tcPr>
            <w:tcW w:w="808" w:type="dxa"/>
            <w:vAlign w:val="center"/>
          </w:tcPr>
          <w:p w14:paraId="6CDA6613" w14:textId="2D83C3F9" w:rsidR="00A831D3" w:rsidRPr="00B60325" w:rsidRDefault="00A831D3" w:rsidP="00D54718">
            <w:pPr>
              <w:jc w:val="right"/>
              <w:rPr>
                <w:rFonts w:ascii="Arial Narrow" w:hAnsi="Arial Narrow" w:cs="Arial"/>
              </w:rPr>
            </w:pPr>
            <w:r w:rsidRPr="00B60325">
              <w:rPr>
                <w:rFonts w:ascii="Arial Narrow" w:hAnsi="Arial Narrow" w:cs="Arial"/>
              </w:rPr>
              <w:t xml:space="preserve">415 </w:t>
            </w:r>
          </w:p>
        </w:tc>
        <w:tc>
          <w:tcPr>
            <w:tcW w:w="810" w:type="dxa"/>
            <w:vAlign w:val="center"/>
          </w:tcPr>
          <w:p w14:paraId="118AD520" w14:textId="6B8BD9B9" w:rsidR="00A831D3" w:rsidRPr="00B60325" w:rsidRDefault="00A831D3" w:rsidP="00D54718">
            <w:pPr>
              <w:jc w:val="right"/>
              <w:rPr>
                <w:rFonts w:ascii="Arial Narrow" w:hAnsi="Arial Narrow" w:cs="Arial"/>
              </w:rPr>
            </w:pPr>
            <w:r w:rsidRPr="00B60325">
              <w:rPr>
                <w:rFonts w:ascii="Arial Narrow" w:hAnsi="Arial Narrow" w:cs="Arial"/>
              </w:rPr>
              <w:t>3.5%</w:t>
            </w:r>
          </w:p>
        </w:tc>
        <w:tc>
          <w:tcPr>
            <w:tcW w:w="810" w:type="dxa"/>
            <w:vAlign w:val="center"/>
          </w:tcPr>
          <w:p w14:paraId="161EE799" w14:textId="19F3143E" w:rsidR="00A831D3" w:rsidRPr="00B60325" w:rsidRDefault="00A831D3" w:rsidP="00D54718">
            <w:pPr>
              <w:jc w:val="right"/>
              <w:rPr>
                <w:rFonts w:ascii="Arial Narrow" w:hAnsi="Arial Narrow" w:cs="Arial"/>
              </w:rPr>
            </w:pPr>
            <w:r w:rsidRPr="00B60325">
              <w:rPr>
                <w:rFonts w:ascii="Arial Narrow" w:hAnsi="Arial Narrow" w:cs="Arial"/>
              </w:rPr>
              <w:t xml:space="preserve">395 </w:t>
            </w:r>
          </w:p>
        </w:tc>
        <w:tc>
          <w:tcPr>
            <w:tcW w:w="810" w:type="dxa"/>
            <w:vAlign w:val="center"/>
          </w:tcPr>
          <w:p w14:paraId="3AA78A2F" w14:textId="7B0021C4" w:rsidR="00A831D3" w:rsidRPr="00B60325" w:rsidRDefault="00A831D3" w:rsidP="00D54718">
            <w:pPr>
              <w:jc w:val="right"/>
              <w:rPr>
                <w:rFonts w:ascii="Arial Narrow" w:hAnsi="Arial Narrow" w:cs="Arial"/>
              </w:rPr>
            </w:pPr>
            <w:r w:rsidRPr="00B60325">
              <w:rPr>
                <w:rFonts w:ascii="Arial Narrow" w:hAnsi="Arial Narrow" w:cs="Arial"/>
              </w:rPr>
              <w:t>3.7%</w:t>
            </w:r>
          </w:p>
        </w:tc>
        <w:tc>
          <w:tcPr>
            <w:tcW w:w="810" w:type="dxa"/>
            <w:vAlign w:val="center"/>
          </w:tcPr>
          <w:p w14:paraId="486D105B" w14:textId="0F200760" w:rsidR="00A831D3" w:rsidRPr="00B60325" w:rsidRDefault="00A831D3" w:rsidP="00D54718">
            <w:pPr>
              <w:jc w:val="right"/>
              <w:rPr>
                <w:rFonts w:ascii="Arial Narrow" w:hAnsi="Arial Narrow" w:cs="Arial"/>
              </w:rPr>
            </w:pPr>
            <w:r w:rsidRPr="00B60325">
              <w:rPr>
                <w:rFonts w:ascii="Arial Narrow" w:hAnsi="Arial Narrow" w:cs="Arial"/>
              </w:rPr>
              <w:t xml:space="preserve">387 </w:t>
            </w:r>
          </w:p>
        </w:tc>
        <w:tc>
          <w:tcPr>
            <w:tcW w:w="813" w:type="dxa"/>
            <w:vAlign w:val="center"/>
          </w:tcPr>
          <w:p w14:paraId="1B194063" w14:textId="37F02695" w:rsidR="00A831D3" w:rsidRPr="00B60325" w:rsidRDefault="00A831D3" w:rsidP="00D54718">
            <w:pPr>
              <w:jc w:val="right"/>
              <w:rPr>
                <w:rFonts w:ascii="Arial Narrow" w:hAnsi="Arial Narrow" w:cs="Arial"/>
              </w:rPr>
            </w:pPr>
            <w:r w:rsidRPr="00B60325">
              <w:rPr>
                <w:rFonts w:ascii="Arial Narrow" w:hAnsi="Arial Narrow" w:cs="Arial"/>
              </w:rPr>
              <w:t>3.5%</w:t>
            </w:r>
          </w:p>
        </w:tc>
        <w:tc>
          <w:tcPr>
            <w:tcW w:w="810" w:type="dxa"/>
            <w:vAlign w:val="center"/>
          </w:tcPr>
          <w:p w14:paraId="32C7DAD3" w14:textId="415749DC" w:rsidR="00A831D3" w:rsidRPr="00B60325" w:rsidRDefault="00A831D3" w:rsidP="00D54718">
            <w:pPr>
              <w:jc w:val="right"/>
              <w:rPr>
                <w:rFonts w:ascii="Arial Narrow" w:hAnsi="Arial Narrow" w:cs="Arial"/>
              </w:rPr>
            </w:pPr>
            <w:r w:rsidRPr="00B60325">
              <w:rPr>
                <w:rFonts w:ascii="Arial Narrow" w:hAnsi="Arial Narrow" w:cs="Arial"/>
              </w:rPr>
              <w:t xml:space="preserve">92 </w:t>
            </w:r>
          </w:p>
        </w:tc>
        <w:tc>
          <w:tcPr>
            <w:tcW w:w="812" w:type="dxa"/>
            <w:tcBorders>
              <w:right w:val="single" w:sz="12" w:space="0" w:color="auto"/>
            </w:tcBorders>
            <w:vAlign w:val="center"/>
          </w:tcPr>
          <w:p w14:paraId="3822A7B8" w14:textId="7E9E18DC" w:rsidR="00A831D3" w:rsidRPr="00B60325" w:rsidRDefault="00A831D3" w:rsidP="00D54718">
            <w:pPr>
              <w:jc w:val="right"/>
              <w:rPr>
                <w:rFonts w:ascii="Arial Narrow" w:hAnsi="Arial Narrow" w:cs="Arial"/>
              </w:rPr>
            </w:pPr>
            <w:r w:rsidRPr="00B60325">
              <w:rPr>
                <w:rFonts w:ascii="Arial Narrow" w:hAnsi="Arial Narrow" w:cs="Arial"/>
              </w:rPr>
              <w:t>3.1%</w:t>
            </w:r>
          </w:p>
        </w:tc>
      </w:tr>
      <w:tr w:rsidR="00A831D3" w:rsidRPr="00B60325" w14:paraId="0CAD6D92" w14:textId="77777777" w:rsidTr="00B87882">
        <w:trPr>
          <w:cantSplit/>
          <w:trHeight w:val="20"/>
          <w:jc w:val="center"/>
        </w:trPr>
        <w:tc>
          <w:tcPr>
            <w:tcW w:w="2780" w:type="dxa"/>
            <w:tcBorders>
              <w:left w:val="single" w:sz="12" w:space="0" w:color="auto"/>
            </w:tcBorders>
            <w:vAlign w:val="center"/>
          </w:tcPr>
          <w:p w14:paraId="3AC021DA" w14:textId="77777777" w:rsidR="00A831D3" w:rsidRPr="00B60325" w:rsidRDefault="00A831D3" w:rsidP="00D54718">
            <w:pPr>
              <w:rPr>
                <w:rFonts w:ascii="Arial Narrow" w:hAnsi="Arial Narrow" w:cs="Arial"/>
              </w:rPr>
            </w:pPr>
            <w:r w:rsidRPr="00B60325">
              <w:rPr>
                <w:rFonts w:ascii="Arial Narrow" w:hAnsi="Arial Narrow" w:cs="Arial"/>
              </w:rPr>
              <w:t xml:space="preserve">Mattapan </w:t>
            </w:r>
          </w:p>
        </w:tc>
        <w:tc>
          <w:tcPr>
            <w:tcW w:w="808" w:type="dxa"/>
            <w:vAlign w:val="center"/>
          </w:tcPr>
          <w:p w14:paraId="77DF688E" w14:textId="575F2E18" w:rsidR="00A831D3" w:rsidRPr="00B60325" w:rsidRDefault="00A831D3" w:rsidP="00D54718">
            <w:pPr>
              <w:jc w:val="right"/>
              <w:rPr>
                <w:rFonts w:ascii="Arial Narrow" w:hAnsi="Arial Narrow" w:cs="Arial"/>
              </w:rPr>
            </w:pPr>
            <w:r w:rsidRPr="00B60325">
              <w:rPr>
                <w:rFonts w:ascii="Arial Narrow" w:hAnsi="Arial Narrow" w:cs="Arial"/>
              </w:rPr>
              <w:t xml:space="preserve">399 </w:t>
            </w:r>
          </w:p>
        </w:tc>
        <w:tc>
          <w:tcPr>
            <w:tcW w:w="810" w:type="dxa"/>
            <w:vAlign w:val="center"/>
          </w:tcPr>
          <w:p w14:paraId="50BB10E9" w14:textId="1114EEFF" w:rsidR="00A831D3" w:rsidRPr="00B60325" w:rsidRDefault="00A831D3" w:rsidP="00D54718">
            <w:pPr>
              <w:jc w:val="right"/>
              <w:rPr>
                <w:rFonts w:ascii="Arial Narrow" w:hAnsi="Arial Narrow" w:cs="Arial"/>
              </w:rPr>
            </w:pPr>
            <w:r w:rsidRPr="00B60325">
              <w:rPr>
                <w:rFonts w:ascii="Arial Narrow" w:hAnsi="Arial Narrow" w:cs="Arial"/>
              </w:rPr>
              <w:t>3.4%</w:t>
            </w:r>
          </w:p>
        </w:tc>
        <w:tc>
          <w:tcPr>
            <w:tcW w:w="810" w:type="dxa"/>
            <w:vAlign w:val="center"/>
          </w:tcPr>
          <w:p w14:paraId="3384A844" w14:textId="7B17C2B4" w:rsidR="00A831D3" w:rsidRPr="00B60325" w:rsidRDefault="00A831D3" w:rsidP="00D54718">
            <w:pPr>
              <w:jc w:val="right"/>
              <w:rPr>
                <w:rFonts w:ascii="Arial Narrow" w:hAnsi="Arial Narrow" w:cs="Arial"/>
              </w:rPr>
            </w:pPr>
            <w:r w:rsidRPr="00B60325">
              <w:rPr>
                <w:rFonts w:ascii="Arial Narrow" w:hAnsi="Arial Narrow" w:cs="Arial"/>
              </w:rPr>
              <w:t xml:space="preserve">361 </w:t>
            </w:r>
          </w:p>
        </w:tc>
        <w:tc>
          <w:tcPr>
            <w:tcW w:w="810" w:type="dxa"/>
            <w:vAlign w:val="center"/>
          </w:tcPr>
          <w:p w14:paraId="03380895" w14:textId="541BF000" w:rsidR="00A831D3" w:rsidRPr="00B60325" w:rsidRDefault="00A831D3" w:rsidP="00D54718">
            <w:pPr>
              <w:jc w:val="right"/>
              <w:rPr>
                <w:rFonts w:ascii="Arial Narrow" w:hAnsi="Arial Narrow" w:cs="Arial"/>
              </w:rPr>
            </w:pPr>
            <w:r w:rsidRPr="00B60325">
              <w:rPr>
                <w:rFonts w:ascii="Arial Narrow" w:hAnsi="Arial Narrow" w:cs="Arial"/>
              </w:rPr>
              <w:t>3.4%</w:t>
            </w:r>
          </w:p>
        </w:tc>
        <w:tc>
          <w:tcPr>
            <w:tcW w:w="810" w:type="dxa"/>
            <w:vAlign w:val="center"/>
          </w:tcPr>
          <w:p w14:paraId="17ADE15F" w14:textId="13FECE52" w:rsidR="00A831D3" w:rsidRPr="00B60325" w:rsidRDefault="00A831D3" w:rsidP="00D54718">
            <w:pPr>
              <w:jc w:val="right"/>
              <w:rPr>
                <w:rFonts w:ascii="Arial Narrow" w:hAnsi="Arial Narrow" w:cs="Arial"/>
              </w:rPr>
            </w:pPr>
            <w:r w:rsidRPr="00B60325">
              <w:rPr>
                <w:rFonts w:ascii="Arial Narrow" w:hAnsi="Arial Narrow" w:cs="Arial"/>
              </w:rPr>
              <w:t xml:space="preserve">409 </w:t>
            </w:r>
          </w:p>
        </w:tc>
        <w:tc>
          <w:tcPr>
            <w:tcW w:w="813" w:type="dxa"/>
            <w:vAlign w:val="center"/>
          </w:tcPr>
          <w:p w14:paraId="04ABB78F" w14:textId="2C0407B2" w:rsidR="00A831D3" w:rsidRPr="00B60325" w:rsidRDefault="00A831D3" w:rsidP="00D54718">
            <w:pPr>
              <w:jc w:val="right"/>
              <w:rPr>
                <w:rFonts w:ascii="Arial Narrow" w:hAnsi="Arial Narrow" w:cs="Arial"/>
              </w:rPr>
            </w:pPr>
            <w:r w:rsidRPr="00B60325">
              <w:rPr>
                <w:rFonts w:ascii="Arial Narrow" w:hAnsi="Arial Narrow" w:cs="Arial"/>
              </w:rPr>
              <w:t>3.7%</w:t>
            </w:r>
          </w:p>
        </w:tc>
        <w:tc>
          <w:tcPr>
            <w:tcW w:w="810" w:type="dxa"/>
            <w:vAlign w:val="center"/>
          </w:tcPr>
          <w:p w14:paraId="4AAD9C5A" w14:textId="155B8E91" w:rsidR="00A831D3" w:rsidRPr="00B60325" w:rsidRDefault="00A831D3" w:rsidP="00D54718">
            <w:pPr>
              <w:jc w:val="right"/>
              <w:rPr>
                <w:rFonts w:ascii="Arial Narrow" w:hAnsi="Arial Narrow" w:cs="Arial"/>
              </w:rPr>
            </w:pPr>
            <w:r w:rsidRPr="00B60325">
              <w:rPr>
                <w:rFonts w:ascii="Arial Narrow" w:hAnsi="Arial Narrow" w:cs="Arial"/>
              </w:rPr>
              <w:t xml:space="preserve">95 </w:t>
            </w:r>
          </w:p>
        </w:tc>
        <w:tc>
          <w:tcPr>
            <w:tcW w:w="812" w:type="dxa"/>
            <w:tcBorders>
              <w:right w:val="single" w:sz="12" w:space="0" w:color="auto"/>
            </w:tcBorders>
            <w:vAlign w:val="center"/>
          </w:tcPr>
          <w:p w14:paraId="0153F367" w14:textId="6427E0BD" w:rsidR="00A831D3" w:rsidRPr="00B60325" w:rsidRDefault="00A831D3" w:rsidP="00D54718">
            <w:pPr>
              <w:jc w:val="right"/>
              <w:rPr>
                <w:rFonts w:ascii="Arial Narrow" w:hAnsi="Arial Narrow" w:cs="Arial"/>
              </w:rPr>
            </w:pPr>
            <w:r w:rsidRPr="00B60325">
              <w:rPr>
                <w:rFonts w:ascii="Arial Narrow" w:hAnsi="Arial Narrow" w:cs="Arial"/>
              </w:rPr>
              <w:t>3.2%</w:t>
            </w:r>
          </w:p>
        </w:tc>
      </w:tr>
      <w:tr w:rsidR="00A831D3" w:rsidRPr="00B60325" w14:paraId="404FC27E" w14:textId="77777777" w:rsidTr="00B87882">
        <w:trPr>
          <w:cantSplit/>
          <w:trHeight w:val="20"/>
          <w:jc w:val="center"/>
        </w:trPr>
        <w:tc>
          <w:tcPr>
            <w:tcW w:w="2780" w:type="dxa"/>
            <w:tcBorders>
              <w:left w:val="single" w:sz="12" w:space="0" w:color="auto"/>
            </w:tcBorders>
            <w:vAlign w:val="center"/>
          </w:tcPr>
          <w:p w14:paraId="74512186" w14:textId="77777777" w:rsidR="00A831D3" w:rsidRPr="00B60325" w:rsidRDefault="00A831D3" w:rsidP="00D54718">
            <w:pPr>
              <w:rPr>
                <w:rFonts w:ascii="Arial Narrow" w:hAnsi="Arial Narrow" w:cs="Arial"/>
              </w:rPr>
            </w:pPr>
            <w:r w:rsidRPr="00B60325">
              <w:rPr>
                <w:rFonts w:ascii="Arial Narrow" w:hAnsi="Arial Narrow" w:cs="Arial"/>
              </w:rPr>
              <w:t>Quincy</w:t>
            </w:r>
          </w:p>
        </w:tc>
        <w:tc>
          <w:tcPr>
            <w:tcW w:w="808" w:type="dxa"/>
            <w:vAlign w:val="center"/>
          </w:tcPr>
          <w:p w14:paraId="678012D1" w14:textId="4E0325DB" w:rsidR="00A831D3" w:rsidRPr="00B60325" w:rsidRDefault="00A831D3" w:rsidP="00D54718">
            <w:pPr>
              <w:jc w:val="right"/>
              <w:rPr>
                <w:rFonts w:ascii="Arial Narrow" w:hAnsi="Arial Narrow" w:cs="Arial"/>
              </w:rPr>
            </w:pPr>
            <w:r w:rsidRPr="00B60325">
              <w:rPr>
                <w:rFonts w:ascii="Arial Narrow" w:hAnsi="Arial Narrow" w:cs="Arial"/>
              </w:rPr>
              <w:t xml:space="preserve">357 </w:t>
            </w:r>
          </w:p>
        </w:tc>
        <w:tc>
          <w:tcPr>
            <w:tcW w:w="810" w:type="dxa"/>
            <w:vAlign w:val="center"/>
          </w:tcPr>
          <w:p w14:paraId="375ECB32" w14:textId="6F208F42" w:rsidR="00A831D3" w:rsidRPr="00B60325" w:rsidRDefault="00A831D3" w:rsidP="00D54718">
            <w:pPr>
              <w:jc w:val="right"/>
              <w:rPr>
                <w:rFonts w:ascii="Arial Narrow" w:hAnsi="Arial Narrow" w:cs="Arial"/>
              </w:rPr>
            </w:pPr>
            <w:r w:rsidRPr="00B60325">
              <w:rPr>
                <w:rFonts w:ascii="Arial Narrow" w:hAnsi="Arial Narrow" w:cs="Arial"/>
              </w:rPr>
              <w:t>3.0%</w:t>
            </w:r>
          </w:p>
        </w:tc>
        <w:tc>
          <w:tcPr>
            <w:tcW w:w="810" w:type="dxa"/>
            <w:vAlign w:val="center"/>
          </w:tcPr>
          <w:p w14:paraId="4AA60CE3" w14:textId="53D2CC49" w:rsidR="00A831D3" w:rsidRPr="00B60325" w:rsidRDefault="00A831D3" w:rsidP="00D54718">
            <w:pPr>
              <w:jc w:val="right"/>
              <w:rPr>
                <w:rFonts w:ascii="Arial Narrow" w:hAnsi="Arial Narrow" w:cs="Arial"/>
              </w:rPr>
            </w:pPr>
            <w:r w:rsidRPr="00B60325">
              <w:rPr>
                <w:rFonts w:ascii="Arial Narrow" w:hAnsi="Arial Narrow" w:cs="Arial"/>
              </w:rPr>
              <w:t xml:space="preserve">314 </w:t>
            </w:r>
          </w:p>
        </w:tc>
        <w:tc>
          <w:tcPr>
            <w:tcW w:w="810" w:type="dxa"/>
            <w:vAlign w:val="center"/>
          </w:tcPr>
          <w:p w14:paraId="5F49447E" w14:textId="1F1E5181" w:rsidR="00A831D3" w:rsidRPr="00B60325" w:rsidRDefault="00A831D3" w:rsidP="00D54718">
            <w:pPr>
              <w:jc w:val="right"/>
              <w:rPr>
                <w:rFonts w:ascii="Arial Narrow" w:hAnsi="Arial Narrow" w:cs="Arial"/>
              </w:rPr>
            </w:pPr>
            <w:r w:rsidRPr="00B60325">
              <w:rPr>
                <w:rFonts w:ascii="Arial Narrow" w:hAnsi="Arial Narrow" w:cs="Arial"/>
              </w:rPr>
              <w:t>3.0%</w:t>
            </w:r>
          </w:p>
        </w:tc>
        <w:tc>
          <w:tcPr>
            <w:tcW w:w="810" w:type="dxa"/>
            <w:vAlign w:val="center"/>
          </w:tcPr>
          <w:p w14:paraId="18D5826C" w14:textId="765C3E37" w:rsidR="00A831D3" w:rsidRPr="00B60325" w:rsidRDefault="00A831D3" w:rsidP="00D54718">
            <w:pPr>
              <w:jc w:val="right"/>
              <w:rPr>
                <w:rFonts w:ascii="Arial Narrow" w:hAnsi="Arial Narrow" w:cs="Arial"/>
              </w:rPr>
            </w:pPr>
            <w:r w:rsidRPr="00B60325">
              <w:rPr>
                <w:rFonts w:ascii="Arial Narrow" w:hAnsi="Arial Narrow" w:cs="Arial"/>
              </w:rPr>
              <w:t xml:space="preserve">361 </w:t>
            </w:r>
          </w:p>
        </w:tc>
        <w:tc>
          <w:tcPr>
            <w:tcW w:w="813" w:type="dxa"/>
            <w:vAlign w:val="center"/>
          </w:tcPr>
          <w:p w14:paraId="51F92B3F" w14:textId="60E4CB68" w:rsidR="00A831D3" w:rsidRPr="00B60325" w:rsidRDefault="00A831D3" w:rsidP="00D54718">
            <w:pPr>
              <w:jc w:val="right"/>
              <w:rPr>
                <w:rFonts w:ascii="Arial Narrow" w:hAnsi="Arial Narrow" w:cs="Arial"/>
              </w:rPr>
            </w:pPr>
            <w:r w:rsidRPr="00B60325">
              <w:rPr>
                <w:rFonts w:ascii="Arial Narrow" w:hAnsi="Arial Narrow" w:cs="Arial"/>
              </w:rPr>
              <w:t>3.3%</w:t>
            </w:r>
          </w:p>
        </w:tc>
        <w:tc>
          <w:tcPr>
            <w:tcW w:w="810" w:type="dxa"/>
            <w:vAlign w:val="center"/>
          </w:tcPr>
          <w:p w14:paraId="5EFCEAB3" w14:textId="219A62BC" w:rsidR="00A831D3" w:rsidRPr="00B60325" w:rsidRDefault="00A831D3" w:rsidP="00D54718">
            <w:pPr>
              <w:jc w:val="right"/>
              <w:rPr>
                <w:rFonts w:ascii="Arial Narrow" w:hAnsi="Arial Narrow" w:cs="Arial"/>
              </w:rPr>
            </w:pPr>
            <w:r w:rsidRPr="00B60325">
              <w:rPr>
                <w:rFonts w:ascii="Arial Narrow" w:hAnsi="Arial Narrow" w:cs="Arial"/>
              </w:rPr>
              <w:t xml:space="preserve">85 </w:t>
            </w:r>
          </w:p>
        </w:tc>
        <w:tc>
          <w:tcPr>
            <w:tcW w:w="812" w:type="dxa"/>
            <w:tcBorders>
              <w:right w:val="single" w:sz="12" w:space="0" w:color="auto"/>
            </w:tcBorders>
            <w:vAlign w:val="center"/>
          </w:tcPr>
          <w:p w14:paraId="27C4B490" w14:textId="07633370" w:rsidR="00A831D3" w:rsidRPr="00B60325" w:rsidRDefault="00A831D3" w:rsidP="00D54718">
            <w:pPr>
              <w:jc w:val="right"/>
              <w:rPr>
                <w:rFonts w:ascii="Arial Narrow" w:hAnsi="Arial Narrow" w:cs="Arial"/>
              </w:rPr>
            </w:pPr>
            <w:r w:rsidRPr="00B60325">
              <w:rPr>
                <w:rFonts w:ascii="Arial Narrow" w:hAnsi="Arial Narrow" w:cs="Arial"/>
              </w:rPr>
              <w:t>2.9%</w:t>
            </w:r>
          </w:p>
        </w:tc>
      </w:tr>
      <w:tr w:rsidR="00A831D3" w:rsidRPr="00B60325" w14:paraId="2917D78D" w14:textId="77777777" w:rsidTr="00B87882">
        <w:trPr>
          <w:cantSplit/>
          <w:trHeight w:val="20"/>
          <w:jc w:val="center"/>
        </w:trPr>
        <w:tc>
          <w:tcPr>
            <w:tcW w:w="2780" w:type="dxa"/>
            <w:tcBorders>
              <w:left w:val="single" w:sz="12" w:space="0" w:color="auto"/>
            </w:tcBorders>
            <w:vAlign w:val="center"/>
          </w:tcPr>
          <w:p w14:paraId="4EE52EDE" w14:textId="77777777" w:rsidR="00A831D3" w:rsidRPr="00B60325" w:rsidRDefault="00A831D3" w:rsidP="00D54718">
            <w:pPr>
              <w:rPr>
                <w:rFonts w:ascii="Arial Narrow" w:hAnsi="Arial Narrow" w:cs="Arial"/>
              </w:rPr>
            </w:pPr>
            <w:r w:rsidRPr="00B60325">
              <w:rPr>
                <w:rFonts w:ascii="Arial Narrow" w:hAnsi="Arial Narrow" w:cs="Arial"/>
              </w:rPr>
              <w:t xml:space="preserve">Hyde Park </w:t>
            </w:r>
          </w:p>
        </w:tc>
        <w:tc>
          <w:tcPr>
            <w:tcW w:w="808" w:type="dxa"/>
            <w:vAlign w:val="center"/>
          </w:tcPr>
          <w:p w14:paraId="4943E559" w14:textId="6C4DCD55" w:rsidR="00A831D3" w:rsidRPr="00B60325" w:rsidRDefault="00A831D3" w:rsidP="00D54718">
            <w:pPr>
              <w:jc w:val="right"/>
              <w:rPr>
                <w:rFonts w:ascii="Arial Narrow" w:hAnsi="Arial Narrow" w:cs="Arial"/>
              </w:rPr>
            </w:pPr>
            <w:r w:rsidRPr="00B60325">
              <w:rPr>
                <w:rFonts w:ascii="Arial Narrow" w:hAnsi="Arial Narrow" w:cs="Arial"/>
              </w:rPr>
              <w:t xml:space="preserve">278 </w:t>
            </w:r>
          </w:p>
        </w:tc>
        <w:tc>
          <w:tcPr>
            <w:tcW w:w="810" w:type="dxa"/>
            <w:vAlign w:val="center"/>
          </w:tcPr>
          <w:p w14:paraId="4CC253FC" w14:textId="2F1515C3" w:rsidR="00A831D3" w:rsidRPr="00B60325" w:rsidRDefault="00A831D3" w:rsidP="00D54718">
            <w:pPr>
              <w:jc w:val="right"/>
              <w:rPr>
                <w:rFonts w:ascii="Arial Narrow" w:hAnsi="Arial Narrow" w:cs="Arial"/>
              </w:rPr>
            </w:pPr>
            <w:r w:rsidRPr="00B60325">
              <w:rPr>
                <w:rFonts w:ascii="Arial Narrow" w:hAnsi="Arial Narrow" w:cs="Arial"/>
              </w:rPr>
              <w:t>2.4%</w:t>
            </w:r>
          </w:p>
        </w:tc>
        <w:tc>
          <w:tcPr>
            <w:tcW w:w="810" w:type="dxa"/>
            <w:vAlign w:val="center"/>
          </w:tcPr>
          <w:p w14:paraId="561CBD6B" w14:textId="6AE4EEFC" w:rsidR="00A831D3" w:rsidRPr="00B60325" w:rsidRDefault="00A831D3" w:rsidP="00D54718">
            <w:pPr>
              <w:jc w:val="right"/>
              <w:rPr>
                <w:rFonts w:ascii="Arial Narrow" w:hAnsi="Arial Narrow" w:cs="Arial"/>
              </w:rPr>
            </w:pPr>
            <w:r w:rsidRPr="00B60325">
              <w:rPr>
                <w:rFonts w:ascii="Arial Narrow" w:hAnsi="Arial Narrow" w:cs="Arial"/>
              </w:rPr>
              <w:t xml:space="preserve">250 </w:t>
            </w:r>
          </w:p>
        </w:tc>
        <w:tc>
          <w:tcPr>
            <w:tcW w:w="810" w:type="dxa"/>
            <w:vAlign w:val="center"/>
          </w:tcPr>
          <w:p w14:paraId="279B87AA" w14:textId="06832936" w:rsidR="00A831D3" w:rsidRPr="00B60325" w:rsidRDefault="00A831D3" w:rsidP="00D54718">
            <w:pPr>
              <w:jc w:val="right"/>
              <w:rPr>
                <w:rFonts w:ascii="Arial Narrow" w:hAnsi="Arial Narrow" w:cs="Arial"/>
              </w:rPr>
            </w:pPr>
            <w:r w:rsidRPr="00B60325">
              <w:rPr>
                <w:rFonts w:ascii="Arial Narrow" w:hAnsi="Arial Narrow" w:cs="Arial"/>
              </w:rPr>
              <w:t>2.4%</w:t>
            </w:r>
          </w:p>
        </w:tc>
        <w:tc>
          <w:tcPr>
            <w:tcW w:w="810" w:type="dxa"/>
            <w:vAlign w:val="center"/>
          </w:tcPr>
          <w:p w14:paraId="14B05DC7" w14:textId="111D191A" w:rsidR="00A831D3" w:rsidRPr="00B60325" w:rsidRDefault="00A831D3" w:rsidP="00D54718">
            <w:pPr>
              <w:jc w:val="right"/>
              <w:rPr>
                <w:rFonts w:ascii="Arial Narrow" w:hAnsi="Arial Narrow" w:cs="Arial"/>
              </w:rPr>
            </w:pPr>
            <w:r w:rsidRPr="00B60325">
              <w:rPr>
                <w:rFonts w:ascii="Arial Narrow" w:hAnsi="Arial Narrow" w:cs="Arial"/>
              </w:rPr>
              <w:t xml:space="preserve">264 </w:t>
            </w:r>
          </w:p>
        </w:tc>
        <w:tc>
          <w:tcPr>
            <w:tcW w:w="813" w:type="dxa"/>
            <w:vAlign w:val="center"/>
          </w:tcPr>
          <w:p w14:paraId="4D0A46AD" w14:textId="78968E18" w:rsidR="00A831D3" w:rsidRPr="00B60325" w:rsidRDefault="00A831D3" w:rsidP="00D54718">
            <w:pPr>
              <w:jc w:val="right"/>
              <w:rPr>
                <w:rFonts w:ascii="Arial Narrow" w:hAnsi="Arial Narrow" w:cs="Arial"/>
              </w:rPr>
            </w:pPr>
            <w:r w:rsidRPr="00B60325">
              <w:rPr>
                <w:rFonts w:ascii="Arial Narrow" w:hAnsi="Arial Narrow" w:cs="Arial"/>
              </w:rPr>
              <w:t>2.4%</w:t>
            </w:r>
          </w:p>
        </w:tc>
        <w:tc>
          <w:tcPr>
            <w:tcW w:w="810" w:type="dxa"/>
            <w:vAlign w:val="center"/>
          </w:tcPr>
          <w:p w14:paraId="1E463B35" w14:textId="2C2F385D" w:rsidR="00A831D3" w:rsidRPr="00B60325" w:rsidRDefault="00A831D3" w:rsidP="00D54718">
            <w:pPr>
              <w:jc w:val="right"/>
              <w:rPr>
                <w:rFonts w:ascii="Arial Narrow" w:hAnsi="Arial Narrow" w:cs="Arial"/>
              </w:rPr>
            </w:pPr>
            <w:r w:rsidRPr="00B60325">
              <w:rPr>
                <w:rFonts w:ascii="Arial Narrow" w:hAnsi="Arial Narrow" w:cs="Arial"/>
              </w:rPr>
              <w:t xml:space="preserve">79 </w:t>
            </w:r>
          </w:p>
        </w:tc>
        <w:tc>
          <w:tcPr>
            <w:tcW w:w="812" w:type="dxa"/>
            <w:tcBorders>
              <w:right w:val="single" w:sz="12" w:space="0" w:color="auto"/>
            </w:tcBorders>
            <w:vAlign w:val="center"/>
          </w:tcPr>
          <w:p w14:paraId="075A2A5D" w14:textId="4249327F" w:rsidR="00A831D3" w:rsidRPr="00B60325" w:rsidRDefault="00A831D3" w:rsidP="00D54718">
            <w:pPr>
              <w:jc w:val="right"/>
              <w:rPr>
                <w:rFonts w:ascii="Arial Narrow" w:hAnsi="Arial Narrow" w:cs="Arial"/>
              </w:rPr>
            </w:pPr>
            <w:r w:rsidRPr="00B60325">
              <w:rPr>
                <w:rFonts w:ascii="Arial Narrow" w:hAnsi="Arial Narrow" w:cs="Arial"/>
              </w:rPr>
              <w:t>2.7%</w:t>
            </w:r>
          </w:p>
        </w:tc>
      </w:tr>
      <w:tr w:rsidR="00A831D3" w:rsidRPr="00B60325" w14:paraId="65224C31" w14:textId="77777777" w:rsidTr="00B87882">
        <w:trPr>
          <w:cantSplit/>
          <w:trHeight w:val="20"/>
          <w:jc w:val="center"/>
        </w:trPr>
        <w:tc>
          <w:tcPr>
            <w:tcW w:w="2780" w:type="dxa"/>
            <w:tcBorders>
              <w:left w:val="single" w:sz="12" w:space="0" w:color="auto"/>
            </w:tcBorders>
            <w:vAlign w:val="center"/>
          </w:tcPr>
          <w:p w14:paraId="12B504AE" w14:textId="77777777" w:rsidR="00A831D3" w:rsidRPr="00B60325" w:rsidRDefault="00A831D3" w:rsidP="00D54718">
            <w:pPr>
              <w:rPr>
                <w:rFonts w:ascii="Arial Narrow" w:hAnsi="Arial Narrow" w:cs="Arial"/>
              </w:rPr>
            </w:pPr>
            <w:r w:rsidRPr="00B60325">
              <w:rPr>
                <w:rFonts w:ascii="Arial Narrow" w:hAnsi="Arial Narrow" w:cs="Arial"/>
              </w:rPr>
              <w:t xml:space="preserve">Revere </w:t>
            </w:r>
          </w:p>
        </w:tc>
        <w:tc>
          <w:tcPr>
            <w:tcW w:w="808" w:type="dxa"/>
            <w:vAlign w:val="center"/>
          </w:tcPr>
          <w:p w14:paraId="4581537D" w14:textId="14D16485" w:rsidR="00A831D3" w:rsidRPr="00B60325" w:rsidRDefault="00A831D3" w:rsidP="00D54718">
            <w:pPr>
              <w:jc w:val="right"/>
              <w:rPr>
                <w:rFonts w:ascii="Arial Narrow" w:hAnsi="Arial Narrow" w:cs="Arial"/>
              </w:rPr>
            </w:pPr>
            <w:r w:rsidRPr="00B60325">
              <w:rPr>
                <w:rFonts w:ascii="Arial Narrow" w:hAnsi="Arial Narrow" w:cs="Arial"/>
              </w:rPr>
              <w:t xml:space="preserve">219 </w:t>
            </w:r>
          </w:p>
        </w:tc>
        <w:tc>
          <w:tcPr>
            <w:tcW w:w="810" w:type="dxa"/>
            <w:vAlign w:val="center"/>
          </w:tcPr>
          <w:p w14:paraId="0D6CB8CE" w14:textId="5C20FC25" w:rsidR="00A831D3" w:rsidRPr="00B60325" w:rsidRDefault="00A831D3" w:rsidP="00D54718">
            <w:pPr>
              <w:jc w:val="right"/>
              <w:rPr>
                <w:rFonts w:ascii="Arial Narrow" w:hAnsi="Arial Narrow" w:cs="Arial"/>
              </w:rPr>
            </w:pPr>
            <w:r w:rsidRPr="00B60325">
              <w:rPr>
                <w:rFonts w:ascii="Arial Narrow" w:hAnsi="Arial Narrow" w:cs="Arial"/>
              </w:rPr>
              <w:t>1.9%</w:t>
            </w:r>
          </w:p>
        </w:tc>
        <w:tc>
          <w:tcPr>
            <w:tcW w:w="810" w:type="dxa"/>
            <w:vAlign w:val="center"/>
          </w:tcPr>
          <w:p w14:paraId="1EFA7AE0" w14:textId="62B5A64C" w:rsidR="00A831D3" w:rsidRPr="00B60325" w:rsidRDefault="00A831D3" w:rsidP="00D54718">
            <w:pPr>
              <w:jc w:val="right"/>
              <w:rPr>
                <w:rFonts w:ascii="Arial Narrow" w:hAnsi="Arial Narrow" w:cs="Arial"/>
              </w:rPr>
            </w:pPr>
            <w:r w:rsidRPr="00B60325">
              <w:rPr>
                <w:rFonts w:ascii="Arial Narrow" w:hAnsi="Arial Narrow" w:cs="Arial"/>
              </w:rPr>
              <w:t xml:space="preserve">185 </w:t>
            </w:r>
          </w:p>
        </w:tc>
        <w:tc>
          <w:tcPr>
            <w:tcW w:w="810" w:type="dxa"/>
            <w:vAlign w:val="center"/>
          </w:tcPr>
          <w:p w14:paraId="0A489428" w14:textId="03EDB805" w:rsidR="00A831D3" w:rsidRPr="00B60325" w:rsidRDefault="00A831D3" w:rsidP="00D54718">
            <w:pPr>
              <w:jc w:val="right"/>
              <w:rPr>
                <w:rFonts w:ascii="Arial Narrow" w:hAnsi="Arial Narrow" w:cs="Arial"/>
              </w:rPr>
            </w:pPr>
            <w:r w:rsidRPr="00B60325">
              <w:rPr>
                <w:rFonts w:ascii="Arial Narrow" w:hAnsi="Arial Narrow" w:cs="Arial"/>
              </w:rPr>
              <w:t>1.8%</w:t>
            </w:r>
          </w:p>
        </w:tc>
        <w:tc>
          <w:tcPr>
            <w:tcW w:w="810" w:type="dxa"/>
            <w:vAlign w:val="center"/>
          </w:tcPr>
          <w:p w14:paraId="1D687F86" w14:textId="4CA14CE2" w:rsidR="00A831D3" w:rsidRPr="00B60325" w:rsidRDefault="00A831D3" w:rsidP="00D54718">
            <w:pPr>
              <w:jc w:val="right"/>
              <w:rPr>
                <w:rFonts w:ascii="Arial Narrow" w:hAnsi="Arial Narrow" w:cs="Arial"/>
              </w:rPr>
            </w:pPr>
            <w:r w:rsidRPr="00B60325">
              <w:rPr>
                <w:rFonts w:ascii="Arial Narrow" w:hAnsi="Arial Narrow" w:cs="Arial"/>
              </w:rPr>
              <w:t xml:space="preserve">199 </w:t>
            </w:r>
          </w:p>
        </w:tc>
        <w:tc>
          <w:tcPr>
            <w:tcW w:w="813" w:type="dxa"/>
            <w:vAlign w:val="center"/>
          </w:tcPr>
          <w:p w14:paraId="4CF10BF9" w14:textId="5ED1CDB0" w:rsidR="00A831D3" w:rsidRPr="00B60325" w:rsidRDefault="00A831D3" w:rsidP="00D54718">
            <w:pPr>
              <w:jc w:val="right"/>
              <w:rPr>
                <w:rFonts w:ascii="Arial Narrow" w:hAnsi="Arial Narrow" w:cs="Arial"/>
              </w:rPr>
            </w:pPr>
            <w:r w:rsidRPr="00B60325">
              <w:rPr>
                <w:rFonts w:ascii="Arial Narrow" w:hAnsi="Arial Narrow" w:cs="Arial"/>
              </w:rPr>
              <w:t>1.8%</w:t>
            </w:r>
          </w:p>
        </w:tc>
        <w:tc>
          <w:tcPr>
            <w:tcW w:w="810" w:type="dxa"/>
            <w:vAlign w:val="center"/>
          </w:tcPr>
          <w:p w14:paraId="5665368F" w14:textId="145DD4B1" w:rsidR="00A831D3" w:rsidRPr="00B60325" w:rsidRDefault="00A831D3" w:rsidP="00D54718">
            <w:pPr>
              <w:jc w:val="right"/>
              <w:rPr>
                <w:rFonts w:ascii="Arial Narrow" w:hAnsi="Arial Narrow" w:cs="Arial"/>
              </w:rPr>
            </w:pPr>
            <w:r w:rsidRPr="00B60325">
              <w:rPr>
                <w:rFonts w:ascii="Arial Narrow" w:hAnsi="Arial Narrow" w:cs="Arial"/>
              </w:rPr>
              <w:t xml:space="preserve">43 </w:t>
            </w:r>
          </w:p>
        </w:tc>
        <w:tc>
          <w:tcPr>
            <w:tcW w:w="812" w:type="dxa"/>
            <w:tcBorders>
              <w:right w:val="single" w:sz="12" w:space="0" w:color="auto"/>
            </w:tcBorders>
            <w:vAlign w:val="center"/>
          </w:tcPr>
          <w:p w14:paraId="03EAE365" w14:textId="3D5CE6F2" w:rsidR="00A831D3" w:rsidRPr="00B60325" w:rsidRDefault="00A831D3" w:rsidP="00D54718">
            <w:pPr>
              <w:jc w:val="right"/>
              <w:rPr>
                <w:rFonts w:ascii="Arial Narrow" w:hAnsi="Arial Narrow" w:cs="Arial"/>
              </w:rPr>
            </w:pPr>
            <w:r w:rsidRPr="00B60325">
              <w:rPr>
                <w:rFonts w:ascii="Arial Narrow" w:hAnsi="Arial Narrow" w:cs="Arial"/>
              </w:rPr>
              <w:t>1.4%</w:t>
            </w:r>
          </w:p>
        </w:tc>
      </w:tr>
      <w:tr w:rsidR="00A831D3" w:rsidRPr="00B60325" w14:paraId="7E8214C2" w14:textId="77777777" w:rsidTr="00B87882">
        <w:trPr>
          <w:cantSplit/>
          <w:trHeight w:val="20"/>
          <w:jc w:val="center"/>
        </w:trPr>
        <w:tc>
          <w:tcPr>
            <w:tcW w:w="2780" w:type="dxa"/>
            <w:tcBorders>
              <w:left w:val="single" w:sz="12" w:space="0" w:color="auto"/>
            </w:tcBorders>
            <w:vAlign w:val="center"/>
          </w:tcPr>
          <w:p w14:paraId="6FD1DDF9" w14:textId="77777777" w:rsidR="00A831D3" w:rsidRPr="00B60325" w:rsidRDefault="00A831D3" w:rsidP="00D54718">
            <w:pPr>
              <w:rPr>
                <w:rFonts w:ascii="Arial Narrow" w:hAnsi="Arial Narrow" w:cs="Arial"/>
              </w:rPr>
            </w:pPr>
            <w:r w:rsidRPr="00B60325">
              <w:rPr>
                <w:rFonts w:ascii="Arial Narrow" w:hAnsi="Arial Narrow" w:cs="Arial"/>
              </w:rPr>
              <w:t>Chelsea</w:t>
            </w:r>
          </w:p>
        </w:tc>
        <w:tc>
          <w:tcPr>
            <w:tcW w:w="808" w:type="dxa"/>
            <w:vAlign w:val="center"/>
          </w:tcPr>
          <w:p w14:paraId="613D820E" w14:textId="20A4041A" w:rsidR="00A831D3" w:rsidRPr="00B60325" w:rsidRDefault="00A831D3" w:rsidP="00D54718">
            <w:pPr>
              <w:jc w:val="right"/>
              <w:rPr>
                <w:rFonts w:ascii="Arial Narrow" w:hAnsi="Arial Narrow" w:cs="Arial"/>
              </w:rPr>
            </w:pPr>
            <w:r w:rsidRPr="00B60325">
              <w:rPr>
                <w:rFonts w:ascii="Arial Narrow" w:hAnsi="Arial Narrow" w:cs="Arial"/>
              </w:rPr>
              <w:t xml:space="preserve">214 </w:t>
            </w:r>
          </w:p>
        </w:tc>
        <w:tc>
          <w:tcPr>
            <w:tcW w:w="810" w:type="dxa"/>
            <w:vAlign w:val="center"/>
          </w:tcPr>
          <w:p w14:paraId="0FB342CF" w14:textId="1E3720BB" w:rsidR="00A831D3" w:rsidRPr="00B60325" w:rsidRDefault="00A831D3" w:rsidP="00D54718">
            <w:pPr>
              <w:jc w:val="right"/>
              <w:rPr>
                <w:rFonts w:ascii="Arial Narrow" w:hAnsi="Arial Narrow" w:cs="Arial"/>
              </w:rPr>
            </w:pPr>
            <w:r w:rsidRPr="00B60325">
              <w:rPr>
                <w:rFonts w:ascii="Arial Narrow" w:hAnsi="Arial Narrow" w:cs="Arial"/>
              </w:rPr>
              <w:t>1.8%</w:t>
            </w:r>
          </w:p>
        </w:tc>
        <w:tc>
          <w:tcPr>
            <w:tcW w:w="810" w:type="dxa"/>
            <w:vAlign w:val="center"/>
          </w:tcPr>
          <w:p w14:paraId="6B16AC01" w14:textId="535F3F1F" w:rsidR="00A831D3" w:rsidRPr="00B60325" w:rsidRDefault="00A831D3" w:rsidP="00D54718">
            <w:pPr>
              <w:jc w:val="right"/>
              <w:rPr>
                <w:rFonts w:ascii="Arial Narrow" w:hAnsi="Arial Narrow" w:cs="Arial"/>
              </w:rPr>
            </w:pPr>
            <w:r w:rsidRPr="00B60325">
              <w:rPr>
                <w:rFonts w:ascii="Arial Narrow" w:hAnsi="Arial Narrow" w:cs="Arial"/>
              </w:rPr>
              <w:t xml:space="preserve">218 </w:t>
            </w:r>
          </w:p>
        </w:tc>
        <w:tc>
          <w:tcPr>
            <w:tcW w:w="810" w:type="dxa"/>
            <w:vAlign w:val="center"/>
          </w:tcPr>
          <w:p w14:paraId="5FD19407" w14:textId="53857A9D" w:rsidR="00A831D3" w:rsidRPr="00B60325" w:rsidRDefault="00A831D3" w:rsidP="00D54718">
            <w:pPr>
              <w:jc w:val="right"/>
              <w:rPr>
                <w:rFonts w:ascii="Arial Narrow" w:hAnsi="Arial Narrow" w:cs="Arial"/>
              </w:rPr>
            </w:pPr>
            <w:r w:rsidRPr="00B60325">
              <w:rPr>
                <w:rFonts w:ascii="Arial Narrow" w:hAnsi="Arial Narrow" w:cs="Arial"/>
              </w:rPr>
              <w:t>2.1%</w:t>
            </w:r>
          </w:p>
        </w:tc>
        <w:tc>
          <w:tcPr>
            <w:tcW w:w="810" w:type="dxa"/>
            <w:vAlign w:val="center"/>
          </w:tcPr>
          <w:p w14:paraId="0628BF84" w14:textId="0438F965" w:rsidR="00A831D3" w:rsidRPr="00B60325" w:rsidRDefault="00A831D3" w:rsidP="00D54718">
            <w:pPr>
              <w:jc w:val="right"/>
              <w:rPr>
                <w:rFonts w:ascii="Arial Narrow" w:hAnsi="Arial Narrow" w:cs="Arial"/>
              </w:rPr>
            </w:pPr>
            <w:r w:rsidRPr="00B60325">
              <w:rPr>
                <w:rFonts w:ascii="Arial Narrow" w:hAnsi="Arial Narrow" w:cs="Arial"/>
              </w:rPr>
              <w:t xml:space="preserve">199 </w:t>
            </w:r>
          </w:p>
        </w:tc>
        <w:tc>
          <w:tcPr>
            <w:tcW w:w="813" w:type="dxa"/>
            <w:vAlign w:val="center"/>
          </w:tcPr>
          <w:p w14:paraId="6447DECD" w14:textId="3B9058CC" w:rsidR="00A831D3" w:rsidRPr="00B60325" w:rsidRDefault="00A831D3" w:rsidP="00D54718">
            <w:pPr>
              <w:jc w:val="right"/>
              <w:rPr>
                <w:rFonts w:ascii="Arial Narrow" w:hAnsi="Arial Narrow" w:cs="Arial"/>
              </w:rPr>
            </w:pPr>
            <w:r w:rsidRPr="00B60325">
              <w:rPr>
                <w:rFonts w:ascii="Arial Narrow" w:hAnsi="Arial Narrow" w:cs="Arial"/>
              </w:rPr>
              <w:t>1.8%</w:t>
            </w:r>
          </w:p>
        </w:tc>
        <w:tc>
          <w:tcPr>
            <w:tcW w:w="810" w:type="dxa"/>
            <w:vAlign w:val="center"/>
          </w:tcPr>
          <w:p w14:paraId="343B52FD" w14:textId="674EC828" w:rsidR="00A831D3" w:rsidRPr="00B60325" w:rsidRDefault="00A831D3" w:rsidP="00D54718">
            <w:pPr>
              <w:jc w:val="right"/>
              <w:rPr>
                <w:rFonts w:ascii="Arial Narrow" w:hAnsi="Arial Narrow" w:cs="Arial"/>
              </w:rPr>
            </w:pPr>
            <w:r w:rsidRPr="00B60325">
              <w:rPr>
                <w:rFonts w:ascii="Arial Narrow" w:hAnsi="Arial Narrow" w:cs="Arial"/>
              </w:rPr>
              <w:t xml:space="preserve">39 </w:t>
            </w:r>
          </w:p>
        </w:tc>
        <w:tc>
          <w:tcPr>
            <w:tcW w:w="812" w:type="dxa"/>
            <w:tcBorders>
              <w:right w:val="single" w:sz="12" w:space="0" w:color="auto"/>
            </w:tcBorders>
            <w:vAlign w:val="center"/>
          </w:tcPr>
          <w:p w14:paraId="62EB78B1" w14:textId="3F01A618" w:rsidR="00A831D3" w:rsidRPr="00B60325" w:rsidRDefault="00A831D3" w:rsidP="00D54718">
            <w:pPr>
              <w:jc w:val="right"/>
              <w:rPr>
                <w:rFonts w:ascii="Arial Narrow" w:hAnsi="Arial Narrow" w:cs="Arial"/>
              </w:rPr>
            </w:pPr>
            <w:r w:rsidRPr="00B60325">
              <w:rPr>
                <w:rFonts w:ascii="Arial Narrow" w:hAnsi="Arial Narrow" w:cs="Arial"/>
              </w:rPr>
              <w:t>1.3%</w:t>
            </w:r>
          </w:p>
        </w:tc>
      </w:tr>
      <w:tr w:rsidR="00A831D3" w:rsidRPr="00B60325" w14:paraId="011D4A3B" w14:textId="77777777" w:rsidTr="00B87882">
        <w:trPr>
          <w:cantSplit/>
          <w:trHeight w:val="20"/>
          <w:jc w:val="center"/>
        </w:trPr>
        <w:tc>
          <w:tcPr>
            <w:tcW w:w="2780" w:type="dxa"/>
            <w:tcBorders>
              <w:left w:val="single" w:sz="12" w:space="0" w:color="auto"/>
            </w:tcBorders>
            <w:vAlign w:val="center"/>
          </w:tcPr>
          <w:p w14:paraId="5F635D59" w14:textId="77777777" w:rsidR="00A831D3" w:rsidRPr="00B60325" w:rsidRDefault="00A831D3" w:rsidP="00D54718">
            <w:pPr>
              <w:rPr>
                <w:rFonts w:ascii="Arial Narrow" w:hAnsi="Arial Narrow" w:cs="Arial"/>
              </w:rPr>
            </w:pPr>
            <w:r w:rsidRPr="00B60325">
              <w:rPr>
                <w:rFonts w:ascii="Arial Narrow" w:hAnsi="Arial Narrow" w:cs="Arial"/>
              </w:rPr>
              <w:t xml:space="preserve">Jamaica Plain </w:t>
            </w:r>
          </w:p>
        </w:tc>
        <w:tc>
          <w:tcPr>
            <w:tcW w:w="808" w:type="dxa"/>
            <w:vAlign w:val="center"/>
          </w:tcPr>
          <w:p w14:paraId="0200F760" w14:textId="69151450" w:rsidR="00A831D3" w:rsidRPr="00B60325" w:rsidRDefault="00A831D3" w:rsidP="00D54718">
            <w:pPr>
              <w:jc w:val="right"/>
              <w:rPr>
                <w:rFonts w:ascii="Arial Narrow" w:hAnsi="Arial Narrow" w:cs="Arial"/>
              </w:rPr>
            </w:pPr>
            <w:r w:rsidRPr="00B60325">
              <w:rPr>
                <w:rFonts w:ascii="Arial Narrow" w:hAnsi="Arial Narrow" w:cs="Arial"/>
              </w:rPr>
              <w:t xml:space="preserve">208 </w:t>
            </w:r>
          </w:p>
        </w:tc>
        <w:tc>
          <w:tcPr>
            <w:tcW w:w="810" w:type="dxa"/>
            <w:vAlign w:val="center"/>
          </w:tcPr>
          <w:p w14:paraId="7A1EE1C2" w14:textId="214C95F4" w:rsidR="00A831D3" w:rsidRPr="00B60325" w:rsidRDefault="00A831D3" w:rsidP="00D54718">
            <w:pPr>
              <w:jc w:val="right"/>
              <w:rPr>
                <w:rFonts w:ascii="Arial Narrow" w:hAnsi="Arial Narrow" w:cs="Arial"/>
              </w:rPr>
            </w:pPr>
            <w:r w:rsidRPr="00B60325">
              <w:rPr>
                <w:rFonts w:ascii="Arial Narrow" w:hAnsi="Arial Narrow" w:cs="Arial"/>
              </w:rPr>
              <w:t>1.8%</w:t>
            </w:r>
          </w:p>
        </w:tc>
        <w:tc>
          <w:tcPr>
            <w:tcW w:w="810" w:type="dxa"/>
            <w:vAlign w:val="center"/>
          </w:tcPr>
          <w:p w14:paraId="0DC7BF0D" w14:textId="28086C5D" w:rsidR="00A831D3" w:rsidRPr="00B60325" w:rsidRDefault="00A831D3" w:rsidP="00D54718">
            <w:pPr>
              <w:jc w:val="right"/>
              <w:rPr>
                <w:rFonts w:ascii="Arial Narrow" w:hAnsi="Arial Narrow" w:cs="Arial"/>
              </w:rPr>
            </w:pPr>
            <w:r w:rsidRPr="00B60325">
              <w:rPr>
                <w:rFonts w:ascii="Arial Narrow" w:hAnsi="Arial Narrow" w:cs="Arial"/>
              </w:rPr>
              <w:t xml:space="preserve">217 </w:t>
            </w:r>
          </w:p>
        </w:tc>
        <w:tc>
          <w:tcPr>
            <w:tcW w:w="810" w:type="dxa"/>
            <w:vAlign w:val="center"/>
          </w:tcPr>
          <w:p w14:paraId="42F90B99" w14:textId="24710671" w:rsidR="00A831D3" w:rsidRPr="00B60325" w:rsidRDefault="00A831D3" w:rsidP="00D54718">
            <w:pPr>
              <w:jc w:val="right"/>
              <w:rPr>
                <w:rFonts w:ascii="Arial Narrow" w:hAnsi="Arial Narrow" w:cs="Arial"/>
              </w:rPr>
            </w:pPr>
            <w:r w:rsidRPr="00B60325">
              <w:rPr>
                <w:rFonts w:ascii="Arial Narrow" w:hAnsi="Arial Narrow" w:cs="Arial"/>
              </w:rPr>
              <w:t>2.1%</w:t>
            </w:r>
          </w:p>
        </w:tc>
        <w:tc>
          <w:tcPr>
            <w:tcW w:w="810" w:type="dxa"/>
            <w:vAlign w:val="center"/>
          </w:tcPr>
          <w:p w14:paraId="673EB70F" w14:textId="666F766F" w:rsidR="00A831D3" w:rsidRPr="00B60325" w:rsidRDefault="00A831D3" w:rsidP="00D54718">
            <w:pPr>
              <w:jc w:val="right"/>
              <w:rPr>
                <w:rFonts w:ascii="Arial Narrow" w:hAnsi="Arial Narrow" w:cs="Arial"/>
              </w:rPr>
            </w:pPr>
            <w:r w:rsidRPr="00B60325">
              <w:rPr>
                <w:rFonts w:ascii="Arial Narrow" w:hAnsi="Arial Narrow" w:cs="Arial"/>
              </w:rPr>
              <w:t xml:space="preserve">193 </w:t>
            </w:r>
          </w:p>
        </w:tc>
        <w:tc>
          <w:tcPr>
            <w:tcW w:w="813" w:type="dxa"/>
            <w:vAlign w:val="center"/>
          </w:tcPr>
          <w:p w14:paraId="6C01A96A" w14:textId="17EC8242" w:rsidR="00A831D3" w:rsidRPr="00B60325" w:rsidRDefault="00A831D3" w:rsidP="00D54718">
            <w:pPr>
              <w:jc w:val="right"/>
              <w:rPr>
                <w:rFonts w:ascii="Arial Narrow" w:hAnsi="Arial Narrow" w:cs="Arial"/>
              </w:rPr>
            </w:pPr>
            <w:r w:rsidRPr="00B60325">
              <w:rPr>
                <w:rFonts w:ascii="Arial Narrow" w:hAnsi="Arial Narrow" w:cs="Arial"/>
              </w:rPr>
              <w:t>1.8%</w:t>
            </w:r>
          </w:p>
        </w:tc>
        <w:tc>
          <w:tcPr>
            <w:tcW w:w="810" w:type="dxa"/>
            <w:vAlign w:val="center"/>
          </w:tcPr>
          <w:p w14:paraId="16CD4816" w14:textId="320F824B" w:rsidR="00A831D3" w:rsidRPr="00B60325" w:rsidRDefault="00A831D3" w:rsidP="00D54718">
            <w:pPr>
              <w:jc w:val="right"/>
              <w:rPr>
                <w:rFonts w:ascii="Arial Narrow" w:hAnsi="Arial Narrow" w:cs="Arial"/>
              </w:rPr>
            </w:pPr>
            <w:r w:rsidRPr="00B60325">
              <w:rPr>
                <w:rFonts w:ascii="Arial Narrow" w:hAnsi="Arial Narrow" w:cs="Arial"/>
              </w:rPr>
              <w:t xml:space="preserve">55 </w:t>
            </w:r>
          </w:p>
        </w:tc>
        <w:tc>
          <w:tcPr>
            <w:tcW w:w="812" w:type="dxa"/>
            <w:tcBorders>
              <w:bottom w:val="single" w:sz="4" w:space="0" w:color="auto"/>
              <w:right w:val="single" w:sz="12" w:space="0" w:color="auto"/>
            </w:tcBorders>
            <w:vAlign w:val="center"/>
          </w:tcPr>
          <w:p w14:paraId="5C534224" w14:textId="434AE2B8" w:rsidR="00A831D3" w:rsidRPr="00B60325" w:rsidRDefault="00A831D3" w:rsidP="00D54718">
            <w:pPr>
              <w:jc w:val="right"/>
              <w:rPr>
                <w:rFonts w:ascii="Arial Narrow" w:hAnsi="Arial Narrow" w:cs="Arial"/>
              </w:rPr>
            </w:pPr>
            <w:r w:rsidRPr="00B60325">
              <w:rPr>
                <w:rFonts w:ascii="Arial Narrow" w:hAnsi="Arial Narrow" w:cs="Arial"/>
              </w:rPr>
              <w:t>1.9%</w:t>
            </w:r>
          </w:p>
        </w:tc>
      </w:tr>
      <w:tr w:rsidR="00A831D3" w:rsidRPr="00B60325" w14:paraId="162EAE15" w14:textId="77777777" w:rsidTr="00B87882">
        <w:trPr>
          <w:cantSplit/>
          <w:trHeight w:val="20"/>
          <w:jc w:val="center"/>
        </w:trPr>
        <w:tc>
          <w:tcPr>
            <w:tcW w:w="2780" w:type="dxa"/>
            <w:tcBorders>
              <w:left w:val="single" w:sz="12" w:space="0" w:color="auto"/>
              <w:bottom w:val="single" w:sz="12" w:space="0" w:color="auto"/>
            </w:tcBorders>
            <w:vAlign w:val="center"/>
          </w:tcPr>
          <w:p w14:paraId="5BB5632B" w14:textId="77777777" w:rsidR="00A831D3" w:rsidRPr="00B60325" w:rsidRDefault="00A831D3" w:rsidP="00D54718">
            <w:pPr>
              <w:rPr>
                <w:rFonts w:ascii="Arial Narrow" w:hAnsi="Arial Narrow" w:cs="Arial"/>
              </w:rPr>
            </w:pPr>
            <w:r w:rsidRPr="00B60325">
              <w:rPr>
                <w:rFonts w:ascii="Arial Narrow" w:hAnsi="Arial Narrow" w:cs="Arial"/>
              </w:rPr>
              <w:t>All Other</w:t>
            </w:r>
          </w:p>
        </w:tc>
        <w:tc>
          <w:tcPr>
            <w:tcW w:w="808" w:type="dxa"/>
            <w:tcBorders>
              <w:bottom w:val="single" w:sz="12" w:space="0" w:color="auto"/>
            </w:tcBorders>
            <w:vAlign w:val="center"/>
          </w:tcPr>
          <w:p w14:paraId="58AA4921" w14:textId="3555BB51" w:rsidR="00A831D3" w:rsidRPr="00B60325" w:rsidRDefault="00A831D3" w:rsidP="00D54718">
            <w:pPr>
              <w:jc w:val="right"/>
              <w:rPr>
                <w:rFonts w:ascii="Arial Narrow" w:hAnsi="Arial Narrow" w:cs="Arial"/>
              </w:rPr>
            </w:pPr>
            <w:r w:rsidRPr="00B60325">
              <w:rPr>
                <w:rFonts w:ascii="Arial Narrow" w:hAnsi="Arial Narrow" w:cs="Arial"/>
              </w:rPr>
              <w:t xml:space="preserve">4,874 </w:t>
            </w:r>
          </w:p>
        </w:tc>
        <w:tc>
          <w:tcPr>
            <w:tcW w:w="810" w:type="dxa"/>
            <w:tcBorders>
              <w:bottom w:val="single" w:sz="12" w:space="0" w:color="auto"/>
            </w:tcBorders>
            <w:vAlign w:val="center"/>
          </w:tcPr>
          <w:p w14:paraId="17C45A7F" w14:textId="576891C6" w:rsidR="00A831D3" w:rsidRPr="00B60325" w:rsidRDefault="00A831D3" w:rsidP="00D54718">
            <w:pPr>
              <w:jc w:val="right"/>
              <w:rPr>
                <w:rFonts w:ascii="Arial Narrow" w:hAnsi="Arial Narrow" w:cs="Arial"/>
              </w:rPr>
            </w:pPr>
            <w:r w:rsidRPr="00B60325">
              <w:rPr>
                <w:rFonts w:ascii="Arial Narrow" w:hAnsi="Arial Narrow" w:cs="Arial"/>
              </w:rPr>
              <w:t>41.6%</w:t>
            </w:r>
          </w:p>
        </w:tc>
        <w:tc>
          <w:tcPr>
            <w:tcW w:w="810" w:type="dxa"/>
            <w:tcBorders>
              <w:bottom w:val="single" w:sz="12" w:space="0" w:color="auto"/>
            </w:tcBorders>
            <w:vAlign w:val="center"/>
          </w:tcPr>
          <w:p w14:paraId="62D07601" w14:textId="4D16FA83" w:rsidR="00A831D3" w:rsidRPr="00B60325" w:rsidRDefault="00A831D3" w:rsidP="00D54718">
            <w:pPr>
              <w:jc w:val="right"/>
              <w:rPr>
                <w:rFonts w:ascii="Arial Narrow" w:hAnsi="Arial Narrow" w:cs="Arial"/>
              </w:rPr>
            </w:pPr>
            <w:r w:rsidRPr="00B60325">
              <w:rPr>
                <w:rFonts w:ascii="Arial Narrow" w:hAnsi="Arial Narrow" w:cs="Arial"/>
              </w:rPr>
              <w:t xml:space="preserve">3,769 </w:t>
            </w:r>
          </w:p>
        </w:tc>
        <w:tc>
          <w:tcPr>
            <w:tcW w:w="810" w:type="dxa"/>
            <w:tcBorders>
              <w:bottom w:val="single" w:sz="12" w:space="0" w:color="auto"/>
            </w:tcBorders>
            <w:vAlign w:val="center"/>
          </w:tcPr>
          <w:p w14:paraId="724BE338" w14:textId="4E186BFE" w:rsidR="00A831D3" w:rsidRPr="00B60325" w:rsidRDefault="00A831D3" w:rsidP="00D54718">
            <w:pPr>
              <w:jc w:val="right"/>
              <w:rPr>
                <w:rFonts w:ascii="Arial Narrow" w:hAnsi="Arial Narrow" w:cs="Arial"/>
              </w:rPr>
            </w:pPr>
            <w:r w:rsidRPr="00B60325">
              <w:rPr>
                <w:rFonts w:ascii="Arial Narrow" w:hAnsi="Arial Narrow" w:cs="Arial"/>
              </w:rPr>
              <w:t>35.8%</w:t>
            </w:r>
          </w:p>
        </w:tc>
        <w:tc>
          <w:tcPr>
            <w:tcW w:w="810" w:type="dxa"/>
            <w:tcBorders>
              <w:bottom w:val="single" w:sz="12" w:space="0" w:color="auto"/>
            </w:tcBorders>
            <w:vAlign w:val="center"/>
          </w:tcPr>
          <w:p w14:paraId="6458D9E5" w14:textId="37A83885" w:rsidR="00A831D3" w:rsidRPr="00B60325" w:rsidRDefault="00A831D3" w:rsidP="00D54718">
            <w:pPr>
              <w:jc w:val="right"/>
              <w:rPr>
                <w:rFonts w:ascii="Arial Narrow" w:hAnsi="Arial Narrow" w:cs="Arial"/>
              </w:rPr>
            </w:pPr>
            <w:r w:rsidRPr="00B60325">
              <w:rPr>
                <w:rFonts w:ascii="Arial Narrow" w:hAnsi="Arial Narrow" w:cs="Arial"/>
              </w:rPr>
              <w:t xml:space="preserve">4,223 </w:t>
            </w:r>
          </w:p>
        </w:tc>
        <w:tc>
          <w:tcPr>
            <w:tcW w:w="813" w:type="dxa"/>
            <w:tcBorders>
              <w:bottom w:val="single" w:sz="12" w:space="0" w:color="auto"/>
            </w:tcBorders>
            <w:vAlign w:val="center"/>
          </w:tcPr>
          <w:p w14:paraId="3FAC1E74" w14:textId="7E7F4290" w:rsidR="00A831D3" w:rsidRPr="00B60325" w:rsidRDefault="00A831D3" w:rsidP="00D54718">
            <w:pPr>
              <w:jc w:val="right"/>
              <w:rPr>
                <w:rFonts w:ascii="Arial Narrow" w:hAnsi="Arial Narrow" w:cs="Arial"/>
              </w:rPr>
            </w:pPr>
            <w:r w:rsidRPr="00B60325">
              <w:rPr>
                <w:rFonts w:ascii="Arial Narrow" w:hAnsi="Arial Narrow" w:cs="Arial"/>
              </w:rPr>
              <w:t>38.4%</w:t>
            </w:r>
          </w:p>
        </w:tc>
        <w:tc>
          <w:tcPr>
            <w:tcW w:w="810" w:type="dxa"/>
            <w:tcBorders>
              <w:bottom w:val="single" w:sz="12" w:space="0" w:color="auto"/>
            </w:tcBorders>
            <w:vAlign w:val="center"/>
          </w:tcPr>
          <w:p w14:paraId="49191012" w14:textId="1DB19FAA" w:rsidR="00A831D3" w:rsidRPr="00B60325" w:rsidRDefault="00A831D3" w:rsidP="00D54718">
            <w:pPr>
              <w:jc w:val="right"/>
              <w:rPr>
                <w:rFonts w:ascii="Arial Narrow" w:hAnsi="Arial Narrow" w:cs="Arial"/>
              </w:rPr>
            </w:pPr>
            <w:r w:rsidRPr="00B60325">
              <w:rPr>
                <w:rFonts w:ascii="Arial Narrow" w:hAnsi="Arial Narrow" w:cs="Arial"/>
              </w:rPr>
              <w:t xml:space="preserve">1,146 </w:t>
            </w:r>
          </w:p>
        </w:tc>
        <w:tc>
          <w:tcPr>
            <w:tcW w:w="812" w:type="dxa"/>
            <w:tcBorders>
              <w:top w:val="single" w:sz="4" w:space="0" w:color="auto"/>
              <w:bottom w:val="single" w:sz="12" w:space="0" w:color="auto"/>
              <w:right w:val="single" w:sz="12" w:space="0" w:color="auto"/>
            </w:tcBorders>
            <w:vAlign w:val="center"/>
          </w:tcPr>
          <w:p w14:paraId="618A6AC3" w14:textId="3B604715" w:rsidR="00A831D3" w:rsidRPr="00B60325" w:rsidRDefault="00A831D3" w:rsidP="00D54718">
            <w:pPr>
              <w:jc w:val="right"/>
              <w:rPr>
                <w:rFonts w:ascii="Arial Narrow" w:hAnsi="Arial Narrow" w:cs="Arial"/>
              </w:rPr>
            </w:pPr>
            <w:r w:rsidRPr="00B60325">
              <w:rPr>
                <w:rFonts w:ascii="Arial Narrow" w:hAnsi="Arial Narrow" w:cs="Arial"/>
              </w:rPr>
              <w:t>38.6%</w:t>
            </w:r>
          </w:p>
        </w:tc>
      </w:tr>
      <w:tr w:rsidR="00A831D3" w:rsidRPr="00B60325" w14:paraId="49ACA359" w14:textId="77777777" w:rsidTr="00B87882">
        <w:trPr>
          <w:cantSplit/>
          <w:trHeight w:val="20"/>
          <w:jc w:val="center"/>
        </w:trPr>
        <w:tc>
          <w:tcPr>
            <w:tcW w:w="2780" w:type="dxa"/>
            <w:tcBorders>
              <w:top w:val="single" w:sz="12" w:space="0" w:color="auto"/>
              <w:left w:val="single" w:sz="12" w:space="0" w:color="auto"/>
            </w:tcBorders>
            <w:shd w:val="clear" w:color="auto" w:fill="BFBFBF"/>
            <w:vAlign w:val="center"/>
          </w:tcPr>
          <w:p w14:paraId="17D91D0B" w14:textId="77777777" w:rsidR="00A831D3" w:rsidRPr="00882C41" w:rsidRDefault="00A831D3" w:rsidP="00990989">
            <w:pPr>
              <w:rPr>
                <w:rFonts w:ascii="Arial Narrow" w:hAnsi="Arial Narrow" w:cs="Arial"/>
              </w:rPr>
            </w:pPr>
            <w:r w:rsidRPr="00882C41">
              <w:rPr>
                <w:rFonts w:ascii="Arial Narrow" w:hAnsi="Arial Narrow" w:cs="Arial"/>
                <w:b/>
                <w:bCs/>
              </w:rPr>
              <w:t>Total Unique ICU Patients</w:t>
            </w:r>
            <w:r>
              <w:rPr>
                <w:rFonts w:ascii="ZWAdobeF" w:hAnsi="ZWAdobeF" w:cs="ZWAdobeF"/>
                <w:bCs/>
                <w:sz w:val="2"/>
                <w:szCs w:val="2"/>
              </w:rPr>
              <w:t>18F</w:t>
            </w:r>
            <w:r>
              <w:rPr>
                <w:rStyle w:val="EndnoteReference"/>
                <w:rFonts w:ascii="Arial Narrow" w:hAnsi="Arial Narrow" w:cs="Arial"/>
                <w:b/>
                <w:bCs/>
              </w:rPr>
              <w:endnoteReference w:id="5"/>
            </w:r>
          </w:p>
        </w:tc>
        <w:tc>
          <w:tcPr>
            <w:tcW w:w="808" w:type="dxa"/>
            <w:tcBorders>
              <w:top w:val="single" w:sz="12" w:space="0" w:color="auto"/>
            </w:tcBorders>
            <w:shd w:val="clear" w:color="auto" w:fill="BFBFBF"/>
            <w:vAlign w:val="center"/>
          </w:tcPr>
          <w:p w14:paraId="7F3BF86C" w14:textId="06AE2170" w:rsidR="00A831D3" w:rsidRPr="00882C41" w:rsidRDefault="00A831D3" w:rsidP="00990989">
            <w:pPr>
              <w:jc w:val="right"/>
              <w:rPr>
                <w:rFonts w:ascii="Arial Narrow" w:hAnsi="Arial Narrow" w:cs="Arial"/>
              </w:rPr>
            </w:pPr>
            <w:r w:rsidRPr="0061787F">
              <w:rPr>
                <w:rFonts w:ascii="Arial Narrow" w:hAnsi="Arial Narrow" w:cs="Arial"/>
                <w:b/>
                <w:bCs/>
              </w:rPr>
              <w:t>3,751</w:t>
            </w:r>
          </w:p>
        </w:tc>
        <w:tc>
          <w:tcPr>
            <w:tcW w:w="810" w:type="dxa"/>
            <w:tcBorders>
              <w:top w:val="single" w:sz="12" w:space="0" w:color="auto"/>
            </w:tcBorders>
            <w:shd w:val="clear" w:color="auto" w:fill="BFBFBF"/>
            <w:vAlign w:val="center"/>
          </w:tcPr>
          <w:p w14:paraId="3AB647BD" w14:textId="77777777" w:rsidR="00A831D3" w:rsidRPr="00882C41" w:rsidRDefault="00A831D3" w:rsidP="00990989">
            <w:pPr>
              <w:jc w:val="right"/>
              <w:rPr>
                <w:rFonts w:ascii="Arial Narrow" w:hAnsi="Arial Narrow" w:cs="Arial"/>
              </w:rPr>
            </w:pPr>
          </w:p>
        </w:tc>
        <w:tc>
          <w:tcPr>
            <w:tcW w:w="810" w:type="dxa"/>
            <w:tcBorders>
              <w:top w:val="single" w:sz="12" w:space="0" w:color="auto"/>
            </w:tcBorders>
            <w:shd w:val="clear" w:color="auto" w:fill="BFBFBF"/>
            <w:vAlign w:val="center"/>
          </w:tcPr>
          <w:p w14:paraId="7DEAE4EA" w14:textId="42D2C015" w:rsidR="00A831D3" w:rsidRPr="00882C41" w:rsidRDefault="00A831D3" w:rsidP="00990989">
            <w:pPr>
              <w:jc w:val="right"/>
              <w:rPr>
                <w:rFonts w:ascii="Arial Narrow" w:hAnsi="Arial Narrow" w:cs="Arial"/>
              </w:rPr>
            </w:pPr>
            <w:r w:rsidRPr="0061787F">
              <w:rPr>
                <w:rFonts w:ascii="Arial Narrow" w:hAnsi="Arial Narrow" w:cs="Arial"/>
                <w:b/>
                <w:bCs/>
              </w:rPr>
              <w:t>3,291</w:t>
            </w:r>
          </w:p>
        </w:tc>
        <w:tc>
          <w:tcPr>
            <w:tcW w:w="810" w:type="dxa"/>
            <w:tcBorders>
              <w:top w:val="single" w:sz="12" w:space="0" w:color="auto"/>
            </w:tcBorders>
            <w:shd w:val="clear" w:color="auto" w:fill="BFBFBF"/>
            <w:vAlign w:val="center"/>
          </w:tcPr>
          <w:p w14:paraId="375CDB3F" w14:textId="77777777" w:rsidR="00A831D3" w:rsidRPr="00882C41" w:rsidRDefault="00A831D3" w:rsidP="00990989">
            <w:pPr>
              <w:jc w:val="right"/>
              <w:rPr>
                <w:rFonts w:ascii="Arial Narrow" w:hAnsi="Arial Narrow" w:cs="Arial"/>
              </w:rPr>
            </w:pPr>
          </w:p>
        </w:tc>
        <w:tc>
          <w:tcPr>
            <w:tcW w:w="810" w:type="dxa"/>
            <w:tcBorders>
              <w:top w:val="single" w:sz="12" w:space="0" w:color="auto"/>
            </w:tcBorders>
            <w:shd w:val="clear" w:color="auto" w:fill="BFBFBF"/>
            <w:vAlign w:val="center"/>
          </w:tcPr>
          <w:p w14:paraId="0053CBA5" w14:textId="1FF2A568" w:rsidR="00A831D3" w:rsidRPr="00882C41" w:rsidRDefault="00A831D3" w:rsidP="00990989">
            <w:pPr>
              <w:jc w:val="right"/>
              <w:rPr>
                <w:rFonts w:ascii="Arial Narrow" w:hAnsi="Arial Narrow" w:cs="Arial"/>
              </w:rPr>
            </w:pPr>
            <w:r w:rsidRPr="0061787F">
              <w:rPr>
                <w:rFonts w:ascii="Arial Narrow" w:hAnsi="Arial Narrow" w:cs="Arial"/>
                <w:b/>
                <w:bCs/>
              </w:rPr>
              <w:t>3,403</w:t>
            </w:r>
          </w:p>
        </w:tc>
        <w:tc>
          <w:tcPr>
            <w:tcW w:w="813" w:type="dxa"/>
            <w:tcBorders>
              <w:top w:val="single" w:sz="12" w:space="0" w:color="auto"/>
            </w:tcBorders>
            <w:shd w:val="clear" w:color="auto" w:fill="BFBFBF"/>
            <w:vAlign w:val="center"/>
          </w:tcPr>
          <w:p w14:paraId="29B81E8F" w14:textId="77777777" w:rsidR="00A831D3" w:rsidRPr="00882C41" w:rsidRDefault="00A831D3" w:rsidP="00990989">
            <w:pPr>
              <w:jc w:val="right"/>
              <w:rPr>
                <w:rFonts w:ascii="Arial Narrow" w:hAnsi="Arial Narrow" w:cs="Arial"/>
              </w:rPr>
            </w:pPr>
          </w:p>
        </w:tc>
        <w:tc>
          <w:tcPr>
            <w:tcW w:w="810" w:type="dxa"/>
            <w:tcBorders>
              <w:top w:val="single" w:sz="12" w:space="0" w:color="auto"/>
            </w:tcBorders>
            <w:shd w:val="clear" w:color="auto" w:fill="BFBFBF"/>
            <w:vAlign w:val="center"/>
          </w:tcPr>
          <w:p w14:paraId="17790E79" w14:textId="7B5409F9" w:rsidR="00A831D3" w:rsidRPr="00882C41" w:rsidRDefault="00A831D3" w:rsidP="00990989">
            <w:pPr>
              <w:jc w:val="right"/>
              <w:rPr>
                <w:rFonts w:ascii="Arial Narrow" w:hAnsi="Arial Narrow" w:cs="Arial"/>
              </w:rPr>
            </w:pPr>
            <w:r w:rsidRPr="0061787F">
              <w:rPr>
                <w:rFonts w:ascii="Arial Narrow" w:hAnsi="Arial Narrow" w:cs="Arial"/>
                <w:b/>
                <w:bCs/>
              </w:rPr>
              <w:t>895</w:t>
            </w:r>
          </w:p>
        </w:tc>
        <w:tc>
          <w:tcPr>
            <w:tcW w:w="812" w:type="dxa"/>
            <w:tcBorders>
              <w:top w:val="single" w:sz="12" w:space="0" w:color="auto"/>
              <w:right w:val="single" w:sz="12" w:space="0" w:color="auto"/>
            </w:tcBorders>
            <w:shd w:val="clear" w:color="auto" w:fill="BFBFBF"/>
            <w:vAlign w:val="center"/>
          </w:tcPr>
          <w:p w14:paraId="1A2CF480" w14:textId="77777777" w:rsidR="00A831D3" w:rsidRPr="00882C41" w:rsidRDefault="00A831D3" w:rsidP="00990989">
            <w:pPr>
              <w:jc w:val="right"/>
              <w:rPr>
                <w:rFonts w:ascii="Arial Narrow" w:hAnsi="Arial Narrow" w:cs="Arial"/>
              </w:rPr>
            </w:pPr>
          </w:p>
        </w:tc>
      </w:tr>
      <w:tr w:rsidR="00A831D3" w:rsidRPr="00B60325" w14:paraId="6036B1F4" w14:textId="77777777" w:rsidTr="00B87882">
        <w:trPr>
          <w:cantSplit/>
          <w:trHeight w:val="20"/>
          <w:jc w:val="center"/>
        </w:trPr>
        <w:tc>
          <w:tcPr>
            <w:tcW w:w="2780" w:type="dxa"/>
            <w:tcBorders>
              <w:left w:val="single" w:sz="12" w:space="0" w:color="auto"/>
            </w:tcBorders>
            <w:vAlign w:val="center"/>
          </w:tcPr>
          <w:p w14:paraId="7F0366CB" w14:textId="77777777" w:rsidR="00A831D3" w:rsidRPr="00B60325" w:rsidRDefault="00A831D3" w:rsidP="009B1B93">
            <w:pPr>
              <w:rPr>
                <w:rFonts w:ascii="Arial Narrow" w:hAnsi="Arial Narrow" w:cs="Arial"/>
              </w:rPr>
            </w:pPr>
            <w:r w:rsidRPr="00B60325">
              <w:rPr>
                <w:rFonts w:ascii="Arial Narrow" w:hAnsi="Arial Narrow" w:cs="Arial"/>
              </w:rPr>
              <w:t xml:space="preserve">Dorchester </w:t>
            </w:r>
          </w:p>
        </w:tc>
        <w:tc>
          <w:tcPr>
            <w:tcW w:w="808" w:type="dxa"/>
            <w:vAlign w:val="center"/>
          </w:tcPr>
          <w:p w14:paraId="408B754E" w14:textId="26888472" w:rsidR="00A831D3" w:rsidRDefault="00A831D3" w:rsidP="009B1B93">
            <w:pPr>
              <w:jc w:val="right"/>
              <w:rPr>
                <w:rFonts w:ascii="Arial Narrow" w:hAnsi="Arial Narrow" w:cs="Arial"/>
              </w:rPr>
            </w:pPr>
            <w:r>
              <w:rPr>
                <w:rFonts w:ascii="Arial Narrow" w:hAnsi="Arial Narrow" w:cs="Arial"/>
              </w:rPr>
              <w:t>715</w:t>
            </w:r>
            <w:r w:rsidRPr="00B60325">
              <w:rPr>
                <w:rFonts w:ascii="Arial Narrow" w:hAnsi="Arial Narrow" w:cs="Arial"/>
              </w:rPr>
              <w:t xml:space="preserve"> </w:t>
            </w:r>
          </w:p>
        </w:tc>
        <w:tc>
          <w:tcPr>
            <w:tcW w:w="810" w:type="dxa"/>
            <w:vAlign w:val="center"/>
          </w:tcPr>
          <w:p w14:paraId="411FF90B" w14:textId="6D0B7DAC" w:rsidR="00A831D3" w:rsidRDefault="00A831D3" w:rsidP="009B1B93">
            <w:pPr>
              <w:jc w:val="right"/>
              <w:rPr>
                <w:rFonts w:ascii="Arial Narrow" w:hAnsi="Arial Narrow" w:cs="Arial"/>
              </w:rPr>
            </w:pPr>
            <w:r>
              <w:rPr>
                <w:rFonts w:ascii="Arial Narrow" w:hAnsi="Arial Narrow" w:cs="Arial"/>
              </w:rPr>
              <w:t>19.1</w:t>
            </w:r>
            <w:r w:rsidRPr="00B60325">
              <w:rPr>
                <w:rFonts w:ascii="Arial Narrow" w:hAnsi="Arial Narrow" w:cs="Arial"/>
              </w:rPr>
              <w:t>%</w:t>
            </w:r>
          </w:p>
        </w:tc>
        <w:tc>
          <w:tcPr>
            <w:tcW w:w="810" w:type="dxa"/>
            <w:vAlign w:val="center"/>
          </w:tcPr>
          <w:p w14:paraId="02A1EE52" w14:textId="165C7FC6" w:rsidR="00A831D3" w:rsidRDefault="00A831D3" w:rsidP="009B1B93">
            <w:pPr>
              <w:jc w:val="right"/>
              <w:rPr>
                <w:rFonts w:ascii="Arial Narrow" w:hAnsi="Arial Narrow" w:cs="Arial"/>
              </w:rPr>
            </w:pPr>
            <w:r>
              <w:rPr>
                <w:rFonts w:ascii="Arial Narrow" w:hAnsi="Arial Narrow" w:cs="Arial"/>
              </w:rPr>
              <w:t>725</w:t>
            </w:r>
            <w:r w:rsidRPr="00B60325">
              <w:rPr>
                <w:rFonts w:ascii="Arial Narrow" w:hAnsi="Arial Narrow" w:cs="Arial"/>
              </w:rPr>
              <w:t xml:space="preserve"> </w:t>
            </w:r>
          </w:p>
        </w:tc>
        <w:tc>
          <w:tcPr>
            <w:tcW w:w="810" w:type="dxa"/>
            <w:vAlign w:val="center"/>
          </w:tcPr>
          <w:p w14:paraId="194072AB" w14:textId="5D81DB81" w:rsidR="00A831D3" w:rsidRDefault="00A831D3" w:rsidP="009B1B93">
            <w:pPr>
              <w:jc w:val="right"/>
              <w:rPr>
                <w:rFonts w:ascii="Arial Narrow" w:hAnsi="Arial Narrow" w:cs="Arial"/>
              </w:rPr>
            </w:pPr>
            <w:r>
              <w:rPr>
                <w:rFonts w:ascii="Arial Narrow" w:hAnsi="Arial Narrow" w:cs="Arial"/>
              </w:rPr>
              <w:t>22.0</w:t>
            </w:r>
            <w:r w:rsidRPr="00B60325">
              <w:rPr>
                <w:rFonts w:ascii="Arial Narrow" w:hAnsi="Arial Narrow" w:cs="Arial"/>
              </w:rPr>
              <w:t>%</w:t>
            </w:r>
          </w:p>
        </w:tc>
        <w:tc>
          <w:tcPr>
            <w:tcW w:w="810" w:type="dxa"/>
            <w:vAlign w:val="center"/>
          </w:tcPr>
          <w:p w14:paraId="587BCA69" w14:textId="6B9570F5" w:rsidR="00A831D3" w:rsidRDefault="00A831D3" w:rsidP="009B1B93">
            <w:pPr>
              <w:jc w:val="right"/>
              <w:rPr>
                <w:rFonts w:ascii="Arial Narrow" w:hAnsi="Arial Narrow" w:cs="Arial"/>
              </w:rPr>
            </w:pPr>
            <w:r>
              <w:rPr>
                <w:rFonts w:ascii="Arial Narrow" w:hAnsi="Arial Narrow" w:cs="Arial"/>
              </w:rPr>
              <w:t>695</w:t>
            </w:r>
          </w:p>
        </w:tc>
        <w:tc>
          <w:tcPr>
            <w:tcW w:w="813" w:type="dxa"/>
            <w:vAlign w:val="center"/>
          </w:tcPr>
          <w:p w14:paraId="20110925" w14:textId="35EF150F" w:rsidR="00A831D3" w:rsidRDefault="00A831D3" w:rsidP="009B1B93">
            <w:pPr>
              <w:jc w:val="right"/>
              <w:rPr>
                <w:rFonts w:ascii="Arial Narrow" w:hAnsi="Arial Narrow" w:cs="Arial"/>
              </w:rPr>
            </w:pPr>
            <w:r>
              <w:rPr>
                <w:rFonts w:ascii="Arial Narrow" w:hAnsi="Arial Narrow" w:cs="Arial"/>
              </w:rPr>
              <w:t>20.4</w:t>
            </w:r>
            <w:r w:rsidRPr="00B60325">
              <w:rPr>
                <w:rFonts w:ascii="Arial Narrow" w:hAnsi="Arial Narrow" w:cs="Arial"/>
              </w:rPr>
              <w:t>%</w:t>
            </w:r>
          </w:p>
        </w:tc>
        <w:tc>
          <w:tcPr>
            <w:tcW w:w="810" w:type="dxa"/>
            <w:vAlign w:val="center"/>
          </w:tcPr>
          <w:p w14:paraId="4898929A" w14:textId="3146744B" w:rsidR="00A831D3" w:rsidRDefault="00A831D3" w:rsidP="009B1B93">
            <w:pPr>
              <w:jc w:val="right"/>
              <w:rPr>
                <w:rFonts w:ascii="Arial Narrow" w:hAnsi="Arial Narrow" w:cs="Arial"/>
              </w:rPr>
            </w:pPr>
            <w:r>
              <w:rPr>
                <w:rFonts w:ascii="Arial Narrow" w:hAnsi="Arial Narrow" w:cs="Arial"/>
              </w:rPr>
              <w:t>186</w:t>
            </w:r>
          </w:p>
        </w:tc>
        <w:tc>
          <w:tcPr>
            <w:tcW w:w="812" w:type="dxa"/>
            <w:tcBorders>
              <w:right w:val="single" w:sz="12" w:space="0" w:color="auto"/>
            </w:tcBorders>
            <w:vAlign w:val="center"/>
          </w:tcPr>
          <w:p w14:paraId="203D06B3" w14:textId="428956B2" w:rsidR="00A831D3" w:rsidRDefault="00A831D3" w:rsidP="009B1B93">
            <w:pPr>
              <w:jc w:val="right"/>
              <w:rPr>
                <w:rFonts w:ascii="Arial Narrow" w:hAnsi="Arial Narrow" w:cs="Arial"/>
              </w:rPr>
            </w:pPr>
            <w:r>
              <w:rPr>
                <w:rFonts w:ascii="Arial Narrow" w:hAnsi="Arial Narrow" w:cs="Arial"/>
              </w:rPr>
              <w:t>20.8</w:t>
            </w:r>
            <w:r w:rsidRPr="00B60325">
              <w:rPr>
                <w:rFonts w:ascii="Arial Narrow" w:hAnsi="Arial Narrow" w:cs="Arial"/>
              </w:rPr>
              <w:t>%</w:t>
            </w:r>
          </w:p>
        </w:tc>
      </w:tr>
      <w:tr w:rsidR="00A831D3" w:rsidRPr="00B60325" w14:paraId="727C44BD" w14:textId="77777777" w:rsidTr="00B87882">
        <w:trPr>
          <w:cantSplit/>
          <w:trHeight w:val="20"/>
          <w:jc w:val="center"/>
        </w:trPr>
        <w:tc>
          <w:tcPr>
            <w:tcW w:w="2780" w:type="dxa"/>
            <w:tcBorders>
              <w:left w:val="single" w:sz="12" w:space="0" w:color="auto"/>
            </w:tcBorders>
            <w:vAlign w:val="center"/>
          </w:tcPr>
          <w:p w14:paraId="2D55CEEF" w14:textId="77777777" w:rsidR="00A831D3" w:rsidRPr="00B60325" w:rsidRDefault="00A831D3" w:rsidP="009B1B93">
            <w:pPr>
              <w:rPr>
                <w:rFonts w:ascii="Arial Narrow" w:hAnsi="Arial Narrow" w:cs="Arial"/>
              </w:rPr>
            </w:pPr>
            <w:r w:rsidRPr="00B60325">
              <w:rPr>
                <w:rFonts w:ascii="Arial Narrow" w:hAnsi="Arial Narrow" w:cs="Arial"/>
              </w:rPr>
              <w:t>Boston</w:t>
            </w:r>
          </w:p>
        </w:tc>
        <w:tc>
          <w:tcPr>
            <w:tcW w:w="808" w:type="dxa"/>
            <w:vAlign w:val="center"/>
          </w:tcPr>
          <w:p w14:paraId="4FF072E0" w14:textId="2222A101" w:rsidR="00A831D3" w:rsidRDefault="00A831D3" w:rsidP="009B1B93">
            <w:pPr>
              <w:jc w:val="right"/>
              <w:rPr>
                <w:rFonts w:ascii="Arial Narrow" w:hAnsi="Arial Narrow" w:cs="Arial"/>
              </w:rPr>
            </w:pPr>
            <w:r>
              <w:rPr>
                <w:rFonts w:ascii="Arial Narrow" w:hAnsi="Arial Narrow" w:cs="Arial"/>
              </w:rPr>
              <w:t>575</w:t>
            </w:r>
            <w:r w:rsidRPr="00B60325">
              <w:rPr>
                <w:rFonts w:ascii="Arial Narrow" w:hAnsi="Arial Narrow" w:cs="Arial"/>
              </w:rPr>
              <w:t xml:space="preserve"> </w:t>
            </w:r>
          </w:p>
        </w:tc>
        <w:tc>
          <w:tcPr>
            <w:tcW w:w="810" w:type="dxa"/>
            <w:vAlign w:val="center"/>
          </w:tcPr>
          <w:p w14:paraId="5673E339" w14:textId="562C2FFB" w:rsidR="00A831D3" w:rsidRDefault="00A831D3" w:rsidP="009B1B93">
            <w:pPr>
              <w:jc w:val="right"/>
              <w:rPr>
                <w:rFonts w:ascii="Arial Narrow" w:hAnsi="Arial Narrow" w:cs="Arial"/>
              </w:rPr>
            </w:pPr>
            <w:r>
              <w:rPr>
                <w:rFonts w:ascii="Arial Narrow" w:hAnsi="Arial Narrow" w:cs="Arial"/>
              </w:rPr>
              <w:t>15.3</w:t>
            </w:r>
            <w:r w:rsidRPr="00B60325">
              <w:rPr>
                <w:rFonts w:ascii="Arial Narrow" w:hAnsi="Arial Narrow" w:cs="Arial"/>
              </w:rPr>
              <w:t>%</w:t>
            </w:r>
          </w:p>
        </w:tc>
        <w:tc>
          <w:tcPr>
            <w:tcW w:w="810" w:type="dxa"/>
            <w:vAlign w:val="center"/>
          </w:tcPr>
          <w:p w14:paraId="36E0F878" w14:textId="53B88B1C" w:rsidR="00A831D3" w:rsidRDefault="00A831D3" w:rsidP="009B1B93">
            <w:pPr>
              <w:jc w:val="right"/>
              <w:rPr>
                <w:rFonts w:ascii="Arial Narrow" w:hAnsi="Arial Narrow" w:cs="Arial"/>
              </w:rPr>
            </w:pPr>
            <w:r>
              <w:rPr>
                <w:rFonts w:ascii="Arial Narrow" w:hAnsi="Arial Narrow" w:cs="Arial"/>
              </w:rPr>
              <w:t>510</w:t>
            </w:r>
            <w:r w:rsidRPr="00B60325">
              <w:rPr>
                <w:rFonts w:ascii="Arial Narrow" w:hAnsi="Arial Narrow" w:cs="Arial"/>
              </w:rPr>
              <w:t xml:space="preserve"> </w:t>
            </w:r>
          </w:p>
        </w:tc>
        <w:tc>
          <w:tcPr>
            <w:tcW w:w="810" w:type="dxa"/>
            <w:vAlign w:val="center"/>
          </w:tcPr>
          <w:p w14:paraId="6FA8E99C" w14:textId="260F54D6" w:rsidR="00A831D3" w:rsidRDefault="00A831D3" w:rsidP="009B1B93">
            <w:pPr>
              <w:jc w:val="right"/>
              <w:rPr>
                <w:rFonts w:ascii="Arial Narrow" w:hAnsi="Arial Narrow" w:cs="Arial"/>
              </w:rPr>
            </w:pPr>
            <w:r>
              <w:rPr>
                <w:rFonts w:ascii="Arial Narrow" w:hAnsi="Arial Narrow" w:cs="Arial"/>
              </w:rPr>
              <w:t>15.5</w:t>
            </w:r>
            <w:r w:rsidRPr="00B60325">
              <w:rPr>
                <w:rFonts w:ascii="Arial Narrow" w:hAnsi="Arial Narrow" w:cs="Arial"/>
              </w:rPr>
              <w:t>%</w:t>
            </w:r>
          </w:p>
        </w:tc>
        <w:tc>
          <w:tcPr>
            <w:tcW w:w="810" w:type="dxa"/>
            <w:vAlign w:val="center"/>
          </w:tcPr>
          <w:p w14:paraId="3E16F398" w14:textId="7F9AEFE4" w:rsidR="00A831D3" w:rsidRDefault="00A831D3" w:rsidP="009B1B93">
            <w:pPr>
              <w:jc w:val="right"/>
              <w:rPr>
                <w:rFonts w:ascii="Arial Narrow" w:hAnsi="Arial Narrow" w:cs="Arial"/>
              </w:rPr>
            </w:pPr>
            <w:r>
              <w:rPr>
                <w:rFonts w:ascii="Arial Narrow" w:hAnsi="Arial Narrow" w:cs="Arial"/>
              </w:rPr>
              <w:t>503</w:t>
            </w:r>
          </w:p>
        </w:tc>
        <w:tc>
          <w:tcPr>
            <w:tcW w:w="813" w:type="dxa"/>
            <w:vAlign w:val="center"/>
          </w:tcPr>
          <w:p w14:paraId="118BD3AE" w14:textId="5E3B5B35" w:rsidR="00A831D3" w:rsidRDefault="00A831D3" w:rsidP="009B1B93">
            <w:pPr>
              <w:jc w:val="right"/>
              <w:rPr>
                <w:rFonts w:ascii="Arial Narrow" w:hAnsi="Arial Narrow" w:cs="Arial"/>
              </w:rPr>
            </w:pPr>
            <w:r>
              <w:rPr>
                <w:rFonts w:ascii="Arial Narrow" w:hAnsi="Arial Narrow" w:cs="Arial"/>
              </w:rPr>
              <w:t>14.8</w:t>
            </w:r>
            <w:r w:rsidRPr="00B60325">
              <w:rPr>
                <w:rFonts w:ascii="Arial Narrow" w:hAnsi="Arial Narrow" w:cs="Arial"/>
              </w:rPr>
              <w:t>%</w:t>
            </w:r>
          </w:p>
        </w:tc>
        <w:tc>
          <w:tcPr>
            <w:tcW w:w="810" w:type="dxa"/>
            <w:vAlign w:val="center"/>
          </w:tcPr>
          <w:p w14:paraId="3C447C4C" w14:textId="3B16A190" w:rsidR="00A831D3" w:rsidRDefault="00A831D3" w:rsidP="009B1B93">
            <w:pPr>
              <w:jc w:val="right"/>
              <w:rPr>
                <w:rFonts w:ascii="Arial Narrow" w:hAnsi="Arial Narrow" w:cs="Arial"/>
              </w:rPr>
            </w:pPr>
            <w:r>
              <w:rPr>
                <w:rFonts w:ascii="Arial Narrow" w:hAnsi="Arial Narrow" w:cs="Arial"/>
              </w:rPr>
              <w:t>147</w:t>
            </w:r>
          </w:p>
        </w:tc>
        <w:tc>
          <w:tcPr>
            <w:tcW w:w="812" w:type="dxa"/>
            <w:tcBorders>
              <w:right w:val="single" w:sz="12" w:space="0" w:color="auto"/>
            </w:tcBorders>
            <w:vAlign w:val="center"/>
          </w:tcPr>
          <w:p w14:paraId="2A615164" w14:textId="4D2DB5F5" w:rsidR="00A831D3" w:rsidRDefault="00A831D3" w:rsidP="009B1B93">
            <w:pPr>
              <w:jc w:val="right"/>
              <w:rPr>
                <w:rFonts w:ascii="Arial Narrow" w:hAnsi="Arial Narrow" w:cs="Arial"/>
              </w:rPr>
            </w:pPr>
            <w:r>
              <w:rPr>
                <w:rFonts w:ascii="Arial Narrow" w:hAnsi="Arial Narrow" w:cs="Arial"/>
              </w:rPr>
              <w:t>16.4</w:t>
            </w:r>
            <w:r w:rsidRPr="00B60325">
              <w:rPr>
                <w:rFonts w:ascii="Arial Narrow" w:hAnsi="Arial Narrow" w:cs="Arial"/>
              </w:rPr>
              <w:t>%</w:t>
            </w:r>
          </w:p>
        </w:tc>
      </w:tr>
      <w:tr w:rsidR="00A831D3" w:rsidRPr="00B60325" w14:paraId="29A15BB6" w14:textId="77777777" w:rsidTr="00B87882">
        <w:trPr>
          <w:cantSplit/>
          <w:trHeight w:val="20"/>
          <w:jc w:val="center"/>
        </w:trPr>
        <w:tc>
          <w:tcPr>
            <w:tcW w:w="2780" w:type="dxa"/>
            <w:tcBorders>
              <w:left w:val="single" w:sz="12" w:space="0" w:color="auto"/>
            </w:tcBorders>
            <w:vAlign w:val="center"/>
          </w:tcPr>
          <w:p w14:paraId="2465F794" w14:textId="77777777" w:rsidR="00A831D3" w:rsidRPr="00B60325" w:rsidRDefault="00A831D3" w:rsidP="009B1B93">
            <w:pPr>
              <w:rPr>
                <w:rFonts w:ascii="Arial Narrow" w:hAnsi="Arial Narrow" w:cs="Arial"/>
              </w:rPr>
            </w:pPr>
            <w:r w:rsidRPr="00B60325">
              <w:rPr>
                <w:rFonts w:ascii="Arial Narrow" w:hAnsi="Arial Narrow" w:cs="Arial"/>
              </w:rPr>
              <w:t>Roxbury</w:t>
            </w:r>
          </w:p>
        </w:tc>
        <w:tc>
          <w:tcPr>
            <w:tcW w:w="808" w:type="dxa"/>
            <w:vAlign w:val="center"/>
          </w:tcPr>
          <w:p w14:paraId="76D7B869" w14:textId="3BD308F7" w:rsidR="00A831D3" w:rsidRDefault="00A831D3" w:rsidP="009B1B93">
            <w:pPr>
              <w:jc w:val="right"/>
              <w:rPr>
                <w:rFonts w:ascii="Arial Narrow" w:hAnsi="Arial Narrow" w:cs="Arial"/>
              </w:rPr>
            </w:pPr>
            <w:r>
              <w:rPr>
                <w:rFonts w:ascii="Arial Narrow" w:hAnsi="Arial Narrow" w:cs="Arial"/>
              </w:rPr>
              <w:t>251</w:t>
            </w:r>
            <w:r w:rsidRPr="00B60325">
              <w:rPr>
                <w:rFonts w:ascii="Arial Narrow" w:hAnsi="Arial Narrow" w:cs="Arial"/>
              </w:rPr>
              <w:t xml:space="preserve"> </w:t>
            </w:r>
          </w:p>
        </w:tc>
        <w:tc>
          <w:tcPr>
            <w:tcW w:w="810" w:type="dxa"/>
            <w:vAlign w:val="center"/>
          </w:tcPr>
          <w:p w14:paraId="4CCA9791" w14:textId="22003432" w:rsidR="00A831D3" w:rsidRDefault="00A831D3" w:rsidP="009B1B93">
            <w:pPr>
              <w:jc w:val="right"/>
              <w:rPr>
                <w:rFonts w:ascii="Arial Narrow" w:hAnsi="Arial Narrow" w:cs="Arial"/>
              </w:rPr>
            </w:pPr>
            <w:r>
              <w:rPr>
                <w:rFonts w:ascii="Arial Narrow" w:hAnsi="Arial Narrow" w:cs="Arial"/>
              </w:rPr>
              <w:t>6.7</w:t>
            </w:r>
            <w:r w:rsidRPr="00B60325">
              <w:rPr>
                <w:rFonts w:ascii="Arial Narrow" w:hAnsi="Arial Narrow" w:cs="Arial"/>
              </w:rPr>
              <w:t>%</w:t>
            </w:r>
          </w:p>
        </w:tc>
        <w:tc>
          <w:tcPr>
            <w:tcW w:w="810" w:type="dxa"/>
            <w:vAlign w:val="center"/>
          </w:tcPr>
          <w:p w14:paraId="13258699" w14:textId="15DDBFC9" w:rsidR="00A831D3" w:rsidRDefault="00A831D3" w:rsidP="009B1B93">
            <w:pPr>
              <w:jc w:val="right"/>
              <w:rPr>
                <w:rFonts w:ascii="Arial Narrow" w:hAnsi="Arial Narrow" w:cs="Arial"/>
              </w:rPr>
            </w:pPr>
            <w:r>
              <w:rPr>
                <w:rFonts w:ascii="Arial Narrow" w:hAnsi="Arial Narrow" w:cs="Arial"/>
              </w:rPr>
              <w:t>258</w:t>
            </w:r>
            <w:r w:rsidRPr="00B60325">
              <w:rPr>
                <w:rFonts w:ascii="Arial Narrow" w:hAnsi="Arial Narrow" w:cs="Arial"/>
              </w:rPr>
              <w:t xml:space="preserve"> </w:t>
            </w:r>
          </w:p>
        </w:tc>
        <w:tc>
          <w:tcPr>
            <w:tcW w:w="810" w:type="dxa"/>
            <w:vAlign w:val="center"/>
          </w:tcPr>
          <w:p w14:paraId="21A944CB" w14:textId="3A8471F1" w:rsidR="00A831D3" w:rsidRDefault="00A831D3" w:rsidP="009B1B93">
            <w:pPr>
              <w:jc w:val="right"/>
              <w:rPr>
                <w:rFonts w:ascii="Arial Narrow" w:hAnsi="Arial Narrow" w:cs="Arial"/>
              </w:rPr>
            </w:pPr>
            <w:r>
              <w:rPr>
                <w:rFonts w:ascii="Arial Narrow" w:hAnsi="Arial Narrow" w:cs="Arial"/>
              </w:rPr>
              <w:t>7.8</w:t>
            </w:r>
            <w:r w:rsidRPr="00B60325">
              <w:rPr>
                <w:rFonts w:ascii="Arial Narrow" w:hAnsi="Arial Narrow" w:cs="Arial"/>
              </w:rPr>
              <w:t>%</w:t>
            </w:r>
          </w:p>
        </w:tc>
        <w:tc>
          <w:tcPr>
            <w:tcW w:w="810" w:type="dxa"/>
            <w:vAlign w:val="center"/>
          </w:tcPr>
          <w:p w14:paraId="75C0F5D6" w14:textId="493E3EE5" w:rsidR="00A831D3" w:rsidRDefault="00A831D3" w:rsidP="009B1B93">
            <w:pPr>
              <w:jc w:val="right"/>
              <w:rPr>
                <w:rFonts w:ascii="Arial Narrow" w:hAnsi="Arial Narrow" w:cs="Arial"/>
              </w:rPr>
            </w:pPr>
            <w:r>
              <w:rPr>
                <w:rFonts w:ascii="Arial Narrow" w:hAnsi="Arial Narrow" w:cs="Arial"/>
              </w:rPr>
              <w:t>232</w:t>
            </w:r>
          </w:p>
        </w:tc>
        <w:tc>
          <w:tcPr>
            <w:tcW w:w="813" w:type="dxa"/>
            <w:vAlign w:val="center"/>
          </w:tcPr>
          <w:p w14:paraId="06A407A2" w14:textId="3592F66C" w:rsidR="00A831D3" w:rsidRDefault="00A831D3" w:rsidP="009B1B93">
            <w:pPr>
              <w:jc w:val="right"/>
              <w:rPr>
                <w:rFonts w:ascii="Arial Narrow" w:hAnsi="Arial Narrow" w:cs="Arial"/>
              </w:rPr>
            </w:pPr>
            <w:r>
              <w:rPr>
                <w:rFonts w:ascii="Arial Narrow" w:hAnsi="Arial Narrow" w:cs="Arial"/>
              </w:rPr>
              <w:t>6.8</w:t>
            </w:r>
            <w:r w:rsidRPr="00B60325">
              <w:rPr>
                <w:rFonts w:ascii="Arial Narrow" w:hAnsi="Arial Narrow" w:cs="Arial"/>
              </w:rPr>
              <w:t>%</w:t>
            </w:r>
          </w:p>
        </w:tc>
        <w:tc>
          <w:tcPr>
            <w:tcW w:w="810" w:type="dxa"/>
            <w:vAlign w:val="center"/>
          </w:tcPr>
          <w:p w14:paraId="5DC5931D" w14:textId="5AABBB56" w:rsidR="00A831D3" w:rsidRDefault="00A831D3" w:rsidP="009B1B93">
            <w:pPr>
              <w:jc w:val="right"/>
              <w:rPr>
                <w:rFonts w:ascii="Arial Narrow" w:hAnsi="Arial Narrow" w:cs="Arial"/>
              </w:rPr>
            </w:pPr>
            <w:r>
              <w:rPr>
                <w:rFonts w:ascii="Arial Narrow" w:hAnsi="Arial Narrow" w:cs="Arial"/>
              </w:rPr>
              <w:t>64</w:t>
            </w:r>
          </w:p>
        </w:tc>
        <w:tc>
          <w:tcPr>
            <w:tcW w:w="812" w:type="dxa"/>
            <w:tcBorders>
              <w:right w:val="single" w:sz="12" w:space="0" w:color="auto"/>
            </w:tcBorders>
            <w:vAlign w:val="center"/>
          </w:tcPr>
          <w:p w14:paraId="7FA9A163" w14:textId="46679BC3" w:rsidR="00A831D3" w:rsidRDefault="00A831D3" w:rsidP="009B1B93">
            <w:pPr>
              <w:jc w:val="right"/>
              <w:rPr>
                <w:rFonts w:ascii="Arial Narrow" w:hAnsi="Arial Narrow" w:cs="Arial"/>
              </w:rPr>
            </w:pPr>
            <w:r>
              <w:rPr>
                <w:rFonts w:ascii="Arial Narrow" w:hAnsi="Arial Narrow" w:cs="Arial"/>
              </w:rPr>
              <w:t>7.2</w:t>
            </w:r>
            <w:r w:rsidRPr="00B60325">
              <w:rPr>
                <w:rFonts w:ascii="Arial Narrow" w:hAnsi="Arial Narrow" w:cs="Arial"/>
              </w:rPr>
              <w:t>%</w:t>
            </w:r>
          </w:p>
        </w:tc>
      </w:tr>
      <w:tr w:rsidR="00A831D3" w:rsidRPr="00B60325" w14:paraId="4FA55EF6" w14:textId="77777777" w:rsidTr="00B87882">
        <w:trPr>
          <w:cantSplit/>
          <w:trHeight w:val="20"/>
          <w:jc w:val="center"/>
        </w:trPr>
        <w:tc>
          <w:tcPr>
            <w:tcW w:w="2780" w:type="dxa"/>
            <w:tcBorders>
              <w:left w:val="single" w:sz="12" w:space="0" w:color="auto"/>
            </w:tcBorders>
            <w:vAlign w:val="center"/>
          </w:tcPr>
          <w:p w14:paraId="2E481BA0" w14:textId="77777777" w:rsidR="00A831D3" w:rsidRPr="00B60325" w:rsidRDefault="00A831D3" w:rsidP="009B1B93">
            <w:pPr>
              <w:rPr>
                <w:rFonts w:ascii="Arial Narrow" w:hAnsi="Arial Narrow" w:cs="Arial"/>
              </w:rPr>
            </w:pPr>
            <w:r w:rsidRPr="00B60325">
              <w:rPr>
                <w:rFonts w:ascii="Arial Narrow" w:hAnsi="Arial Narrow" w:cs="Arial"/>
              </w:rPr>
              <w:t xml:space="preserve">Brockton </w:t>
            </w:r>
          </w:p>
        </w:tc>
        <w:tc>
          <w:tcPr>
            <w:tcW w:w="808" w:type="dxa"/>
            <w:vAlign w:val="center"/>
          </w:tcPr>
          <w:p w14:paraId="1F58A00B" w14:textId="246704EA" w:rsidR="00A831D3" w:rsidRDefault="00A831D3" w:rsidP="009B1B93">
            <w:pPr>
              <w:jc w:val="right"/>
              <w:rPr>
                <w:rFonts w:ascii="Arial Narrow" w:hAnsi="Arial Narrow" w:cs="Arial"/>
              </w:rPr>
            </w:pPr>
            <w:r>
              <w:rPr>
                <w:rFonts w:ascii="Arial Narrow" w:hAnsi="Arial Narrow" w:cs="Arial"/>
              </w:rPr>
              <w:t>150</w:t>
            </w:r>
            <w:r w:rsidRPr="00B60325">
              <w:rPr>
                <w:rFonts w:ascii="Arial Narrow" w:hAnsi="Arial Narrow" w:cs="Arial"/>
              </w:rPr>
              <w:t xml:space="preserve"> </w:t>
            </w:r>
          </w:p>
        </w:tc>
        <w:tc>
          <w:tcPr>
            <w:tcW w:w="810" w:type="dxa"/>
            <w:vAlign w:val="center"/>
          </w:tcPr>
          <w:p w14:paraId="26009473" w14:textId="36BA416B" w:rsidR="00A831D3" w:rsidRDefault="00A831D3" w:rsidP="009B1B93">
            <w:pPr>
              <w:jc w:val="right"/>
              <w:rPr>
                <w:rFonts w:ascii="Arial Narrow" w:hAnsi="Arial Narrow" w:cs="Arial"/>
              </w:rPr>
            </w:pPr>
            <w:r>
              <w:rPr>
                <w:rFonts w:ascii="Arial Narrow" w:hAnsi="Arial Narrow" w:cs="Arial"/>
              </w:rPr>
              <w:t>4.0</w:t>
            </w:r>
            <w:r w:rsidRPr="00B60325">
              <w:rPr>
                <w:rFonts w:ascii="Arial Narrow" w:hAnsi="Arial Narrow" w:cs="Arial"/>
              </w:rPr>
              <w:t>%</w:t>
            </w:r>
          </w:p>
        </w:tc>
        <w:tc>
          <w:tcPr>
            <w:tcW w:w="810" w:type="dxa"/>
            <w:vAlign w:val="center"/>
          </w:tcPr>
          <w:p w14:paraId="7F4BBA11" w14:textId="37D3B622" w:rsidR="00A831D3" w:rsidRDefault="00A831D3" w:rsidP="009B1B93">
            <w:pPr>
              <w:jc w:val="right"/>
              <w:rPr>
                <w:rFonts w:ascii="Arial Narrow" w:hAnsi="Arial Narrow" w:cs="Arial"/>
              </w:rPr>
            </w:pPr>
            <w:r>
              <w:rPr>
                <w:rFonts w:ascii="Arial Narrow" w:hAnsi="Arial Narrow" w:cs="Arial"/>
              </w:rPr>
              <w:t>146</w:t>
            </w:r>
            <w:r w:rsidRPr="00B60325">
              <w:rPr>
                <w:rFonts w:ascii="Arial Narrow" w:hAnsi="Arial Narrow" w:cs="Arial"/>
              </w:rPr>
              <w:t xml:space="preserve"> </w:t>
            </w:r>
          </w:p>
        </w:tc>
        <w:tc>
          <w:tcPr>
            <w:tcW w:w="810" w:type="dxa"/>
            <w:vAlign w:val="center"/>
          </w:tcPr>
          <w:p w14:paraId="172E2A85" w14:textId="07CF3175" w:rsidR="00A831D3" w:rsidRDefault="00A831D3" w:rsidP="009B1B93">
            <w:pPr>
              <w:jc w:val="right"/>
              <w:rPr>
                <w:rFonts w:ascii="Arial Narrow" w:hAnsi="Arial Narrow" w:cs="Arial"/>
              </w:rPr>
            </w:pPr>
            <w:r>
              <w:rPr>
                <w:rFonts w:ascii="Arial Narrow" w:hAnsi="Arial Narrow" w:cs="Arial"/>
              </w:rPr>
              <w:t>4.4</w:t>
            </w:r>
            <w:r w:rsidRPr="00B60325">
              <w:rPr>
                <w:rFonts w:ascii="Arial Narrow" w:hAnsi="Arial Narrow" w:cs="Arial"/>
              </w:rPr>
              <w:t>%</w:t>
            </w:r>
          </w:p>
        </w:tc>
        <w:tc>
          <w:tcPr>
            <w:tcW w:w="810" w:type="dxa"/>
            <w:vAlign w:val="center"/>
          </w:tcPr>
          <w:p w14:paraId="6121EC08" w14:textId="1BAD4122" w:rsidR="00A831D3" w:rsidRDefault="00A831D3" w:rsidP="009B1B93">
            <w:pPr>
              <w:jc w:val="right"/>
              <w:rPr>
                <w:rFonts w:ascii="Arial Narrow" w:hAnsi="Arial Narrow" w:cs="Arial"/>
              </w:rPr>
            </w:pPr>
            <w:r>
              <w:rPr>
                <w:rFonts w:ascii="Arial Narrow" w:hAnsi="Arial Narrow" w:cs="Arial"/>
              </w:rPr>
              <w:t>134</w:t>
            </w:r>
          </w:p>
        </w:tc>
        <w:tc>
          <w:tcPr>
            <w:tcW w:w="813" w:type="dxa"/>
            <w:vAlign w:val="center"/>
          </w:tcPr>
          <w:p w14:paraId="6D68E631" w14:textId="37742291" w:rsidR="00A831D3" w:rsidRDefault="00A831D3" w:rsidP="009B1B93">
            <w:pPr>
              <w:jc w:val="right"/>
              <w:rPr>
                <w:rFonts w:ascii="Arial Narrow" w:hAnsi="Arial Narrow" w:cs="Arial"/>
              </w:rPr>
            </w:pPr>
            <w:r>
              <w:rPr>
                <w:rFonts w:ascii="Arial Narrow" w:hAnsi="Arial Narrow" w:cs="Arial"/>
              </w:rPr>
              <w:t>3.9</w:t>
            </w:r>
            <w:r w:rsidRPr="00B60325">
              <w:rPr>
                <w:rFonts w:ascii="Arial Narrow" w:hAnsi="Arial Narrow" w:cs="Arial"/>
              </w:rPr>
              <w:t>%</w:t>
            </w:r>
          </w:p>
        </w:tc>
        <w:tc>
          <w:tcPr>
            <w:tcW w:w="810" w:type="dxa"/>
            <w:vAlign w:val="center"/>
          </w:tcPr>
          <w:p w14:paraId="6C53C63B" w14:textId="3F2781A8" w:rsidR="00A831D3" w:rsidRDefault="00A831D3" w:rsidP="009B1B93">
            <w:pPr>
              <w:jc w:val="right"/>
              <w:rPr>
                <w:rFonts w:ascii="Arial Narrow" w:hAnsi="Arial Narrow" w:cs="Arial"/>
              </w:rPr>
            </w:pPr>
            <w:r>
              <w:rPr>
                <w:rFonts w:ascii="Arial Narrow" w:hAnsi="Arial Narrow" w:cs="Arial"/>
              </w:rPr>
              <w:t>32</w:t>
            </w:r>
          </w:p>
        </w:tc>
        <w:tc>
          <w:tcPr>
            <w:tcW w:w="812" w:type="dxa"/>
            <w:tcBorders>
              <w:right w:val="single" w:sz="12" w:space="0" w:color="auto"/>
            </w:tcBorders>
            <w:vAlign w:val="center"/>
          </w:tcPr>
          <w:p w14:paraId="64E8BCF1" w14:textId="1E6299D2" w:rsidR="00A831D3" w:rsidRDefault="00A831D3" w:rsidP="009B1B93">
            <w:pPr>
              <w:jc w:val="right"/>
              <w:rPr>
                <w:rFonts w:ascii="Arial Narrow" w:hAnsi="Arial Narrow" w:cs="Arial"/>
              </w:rPr>
            </w:pPr>
            <w:r>
              <w:rPr>
                <w:rFonts w:ascii="Arial Narrow" w:hAnsi="Arial Narrow" w:cs="Arial"/>
              </w:rPr>
              <w:t>3.6</w:t>
            </w:r>
            <w:r w:rsidRPr="00B60325">
              <w:rPr>
                <w:rFonts w:ascii="Arial Narrow" w:hAnsi="Arial Narrow" w:cs="Arial"/>
              </w:rPr>
              <w:t>%</w:t>
            </w:r>
          </w:p>
        </w:tc>
      </w:tr>
      <w:tr w:rsidR="00A831D3" w:rsidRPr="00B60325" w14:paraId="07FA1006" w14:textId="77777777" w:rsidTr="00B87882">
        <w:trPr>
          <w:cantSplit/>
          <w:trHeight w:val="20"/>
          <w:jc w:val="center"/>
        </w:trPr>
        <w:tc>
          <w:tcPr>
            <w:tcW w:w="2780" w:type="dxa"/>
            <w:tcBorders>
              <w:left w:val="single" w:sz="12" w:space="0" w:color="auto"/>
            </w:tcBorders>
            <w:vAlign w:val="center"/>
          </w:tcPr>
          <w:p w14:paraId="1638F569" w14:textId="77777777" w:rsidR="00A831D3" w:rsidRPr="00B60325" w:rsidRDefault="00A831D3" w:rsidP="009B1B93">
            <w:pPr>
              <w:rPr>
                <w:rFonts w:ascii="Arial Narrow" w:hAnsi="Arial Narrow" w:cs="Arial"/>
              </w:rPr>
            </w:pPr>
            <w:r w:rsidRPr="00B60325">
              <w:rPr>
                <w:rFonts w:ascii="Arial Narrow" w:hAnsi="Arial Narrow" w:cs="Arial"/>
              </w:rPr>
              <w:t>Quincy</w:t>
            </w:r>
          </w:p>
        </w:tc>
        <w:tc>
          <w:tcPr>
            <w:tcW w:w="808" w:type="dxa"/>
            <w:vAlign w:val="center"/>
          </w:tcPr>
          <w:p w14:paraId="222B8228" w14:textId="58DC8F82" w:rsidR="00A831D3" w:rsidRDefault="00A831D3" w:rsidP="009B1B93">
            <w:pPr>
              <w:jc w:val="right"/>
              <w:rPr>
                <w:rFonts w:ascii="Arial Narrow" w:hAnsi="Arial Narrow" w:cs="Arial"/>
              </w:rPr>
            </w:pPr>
            <w:r>
              <w:rPr>
                <w:rFonts w:ascii="Arial Narrow" w:hAnsi="Arial Narrow" w:cs="Arial"/>
              </w:rPr>
              <w:t>132</w:t>
            </w:r>
            <w:r w:rsidRPr="00B60325">
              <w:rPr>
                <w:rFonts w:ascii="Arial Narrow" w:hAnsi="Arial Narrow" w:cs="Arial"/>
              </w:rPr>
              <w:t xml:space="preserve"> </w:t>
            </w:r>
          </w:p>
        </w:tc>
        <w:tc>
          <w:tcPr>
            <w:tcW w:w="810" w:type="dxa"/>
            <w:vAlign w:val="center"/>
          </w:tcPr>
          <w:p w14:paraId="7A2CF72B" w14:textId="0FBDF3BF" w:rsidR="00A831D3" w:rsidRDefault="00A831D3" w:rsidP="009B1B93">
            <w:pPr>
              <w:jc w:val="right"/>
              <w:rPr>
                <w:rFonts w:ascii="Arial Narrow" w:hAnsi="Arial Narrow" w:cs="Arial"/>
              </w:rPr>
            </w:pPr>
            <w:r>
              <w:rPr>
                <w:rFonts w:ascii="Arial Narrow" w:hAnsi="Arial Narrow" w:cs="Arial"/>
              </w:rPr>
              <w:t>3.5</w:t>
            </w:r>
            <w:r w:rsidRPr="00B60325">
              <w:rPr>
                <w:rFonts w:ascii="Arial Narrow" w:hAnsi="Arial Narrow" w:cs="Arial"/>
              </w:rPr>
              <w:t>%</w:t>
            </w:r>
          </w:p>
        </w:tc>
        <w:tc>
          <w:tcPr>
            <w:tcW w:w="810" w:type="dxa"/>
            <w:vAlign w:val="center"/>
          </w:tcPr>
          <w:p w14:paraId="2A132721" w14:textId="009CC853" w:rsidR="00A831D3" w:rsidRDefault="00A831D3" w:rsidP="009B1B93">
            <w:pPr>
              <w:jc w:val="right"/>
              <w:rPr>
                <w:rFonts w:ascii="Arial Narrow" w:hAnsi="Arial Narrow" w:cs="Arial"/>
              </w:rPr>
            </w:pPr>
            <w:r>
              <w:rPr>
                <w:rFonts w:ascii="Arial Narrow" w:hAnsi="Arial Narrow" w:cs="Arial"/>
              </w:rPr>
              <w:t>120</w:t>
            </w:r>
            <w:r w:rsidRPr="00B60325">
              <w:rPr>
                <w:rFonts w:ascii="Arial Narrow" w:hAnsi="Arial Narrow" w:cs="Arial"/>
              </w:rPr>
              <w:t xml:space="preserve"> </w:t>
            </w:r>
          </w:p>
        </w:tc>
        <w:tc>
          <w:tcPr>
            <w:tcW w:w="810" w:type="dxa"/>
            <w:vAlign w:val="center"/>
          </w:tcPr>
          <w:p w14:paraId="3BD0F63A" w14:textId="1FF7BFA6" w:rsidR="00A831D3" w:rsidRDefault="00A831D3" w:rsidP="009B1B93">
            <w:pPr>
              <w:jc w:val="right"/>
              <w:rPr>
                <w:rFonts w:ascii="Arial Narrow" w:hAnsi="Arial Narrow" w:cs="Arial"/>
              </w:rPr>
            </w:pPr>
            <w:r>
              <w:rPr>
                <w:rFonts w:ascii="Arial Narrow" w:hAnsi="Arial Narrow" w:cs="Arial"/>
              </w:rPr>
              <w:t>3.6</w:t>
            </w:r>
            <w:r w:rsidRPr="00B60325">
              <w:rPr>
                <w:rFonts w:ascii="Arial Narrow" w:hAnsi="Arial Narrow" w:cs="Arial"/>
              </w:rPr>
              <w:t>%</w:t>
            </w:r>
          </w:p>
        </w:tc>
        <w:tc>
          <w:tcPr>
            <w:tcW w:w="810" w:type="dxa"/>
            <w:vAlign w:val="center"/>
          </w:tcPr>
          <w:p w14:paraId="5A82F5B9" w14:textId="10012330" w:rsidR="00A831D3" w:rsidRDefault="00A831D3" w:rsidP="009B1B93">
            <w:pPr>
              <w:jc w:val="right"/>
              <w:rPr>
                <w:rFonts w:ascii="Arial Narrow" w:hAnsi="Arial Narrow" w:cs="Arial"/>
              </w:rPr>
            </w:pPr>
            <w:r>
              <w:rPr>
                <w:rFonts w:ascii="Arial Narrow" w:hAnsi="Arial Narrow" w:cs="Arial"/>
              </w:rPr>
              <w:t>133</w:t>
            </w:r>
          </w:p>
        </w:tc>
        <w:tc>
          <w:tcPr>
            <w:tcW w:w="813" w:type="dxa"/>
            <w:vAlign w:val="center"/>
          </w:tcPr>
          <w:p w14:paraId="6D198E33" w14:textId="698FF698" w:rsidR="00A831D3" w:rsidRDefault="00A831D3" w:rsidP="009B1B93">
            <w:pPr>
              <w:jc w:val="right"/>
              <w:rPr>
                <w:rFonts w:ascii="Arial Narrow" w:hAnsi="Arial Narrow" w:cs="Arial"/>
              </w:rPr>
            </w:pPr>
            <w:r>
              <w:rPr>
                <w:rFonts w:ascii="Arial Narrow" w:hAnsi="Arial Narrow" w:cs="Arial"/>
              </w:rPr>
              <w:t>3.9</w:t>
            </w:r>
            <w:r w:rsidRPr="00B60325">
              <w:rPr>
                <w:rFonts w:ascii="Arial Narrow" w:hAnsi="Arial Narrow" w:cs="Arial"/>
              </w:rPr>
              <w:t>%</w:t>
            </w:r>
          </w:p>
        </w:tc>
        <w:tc>
          <w:tcPr>
            <w:tcW w:w="810" w:type="dxa"/>
            <w:vAlign w:val="center"/>
          </w:tcPr>
          <w:p w14:paraId="08712C1F" w14:textId="75F42F76" w:rsidR="00A831D3" w:rsidRDefault="00A831D3" w:rsidP="009B1B93">
            <w:pPr>
              <w:jc w:val="right"/>
              <w:rPr>
                <w:rFonts w:ascii="Arial Narrow" w:hAnsi="Arial Narrow" w:cs="Arial"/>
              </w:rPr>
            </w:pPr>
            <w:r>
              <w:rPr>
                <w:rFonts w:ascii="Arial Narrow" w:hAnsi="Arial Narrow" w:cs="Arial"/>
              </w:rPr>
              <w:t>29</w:t>
            </w:r>
          </w:p>
        </w:tc>
        <w:tc>
          <w:tcPr>
            <w:tcW w:w="812" w:type="dxa"/>
            <w:tcBorders>
              <w:right w:val="single" w:sz="12" w:space="0" w:color="auto"/>
            </w:tcBorders>
            <w:vAlign w:val="center"/>
          </w:tcPr>
          <w:p w14:paraId="78B662D2" w14:textId="784D3644" w:rsidR="00A831D3" w:rsidRDefault="00A831D3" w:rsidP="009B1B93">
            <w:pPr>
              <w:jc w:val="right"/>
              <w:rPr>
                <w:rFonts w:ascii="Arial Narrow" w:hAnsi="Arial Narrow" w:cs="Arial"/>
              </w:rPr>
            </w:pPr>
            <w:r>
              <w:rPr>
                <w:rFonts w:ascii="Arial Narrow" w:hAnsi="Arial Narrow" w:cs="Arial"/>
              </w:rPr>
              <w:t>3.2</w:t>
            </w:r>
            <w:r w:rsidRPr="00B60325">
              <w:rPr>
                <w:rFonts w:ascii="Arial Narrow" w:hAnsi="Arial Narrow" w:cs="Arial"/>
              </w:rPr>
              <w:t>%</w:t>
            </w:r>
          </w:p>
        </w:tc>
      </w:tr>
      <w:tr w:rsidR="00A831D3" w:rsidRPr="00B60325" w14:paraId="48AB9A44" w14:textId="77777777" w:rsidTr="00B87882">
        <w:trPr>
          <w:cantSplit/>
          <w:trHeight w:val="20"/>
          <w:jc w:val="center"/>
        </w:trPr>
        <w:tc>
          <w:tcPr>
            <w:tcW w:w="2780" w:type="dxa"/>
            <w:tcBorders>
              <w:left w:val="single" w:sz="12" w:space="0" w:color="auto"/>
            </w:tcBorders>
            <w:vAlign w:val="center"/>
          </w:tcPr>
          <w:p w14:paraId="1F4561DD" w14:textId="77777777" w:rsidR="00A831D3" w:rsidRPr="00B60325" w:rsidRDefault="00A831D3" w:rsidP="009B1B93">
            <w:pPr>
              <w:rPr>
                <w:rFonts w:ascii="Arial Narrow" w:hAnsi="Arial Narrow" w:cs="Arial"/>
              </w:rPr>
            </w:pPr>
            <w:r>
              <w:rPr>
                <w:rFonts w:ascii="Arial Narrow" w:hAnsi="Arial Narrow" w:cs="Arial"/>
              </w:rPr>
              <w:t>Mattapan</w:t>
            </w:r>
          </w:p>
        </w:tc>
        <w:tc>
          <w:tcPr>
            <w:tcW w:w="808" w:type="dxa"/>
            <w:vAlign w:val="center"/>
          </w:tcPr>
          <w:p w14:paraId="43C83127" w14:textId="2067EC6B" w:rsidR="00A831D3" w:rsidRDefault="00A831D3" w:rsidP="009B1B93">
            <w:pPr>
              <w:jc w:val="right"/>
              <w:rPr>
                <w:rFonts w:ascii="Arial Narrow" w:hAnsi="Arial Narrow" w:cs="Arial"/>
              </w:rPr>
            </w:pPr>
            <w:r>
              <w:rPr>
                <w:rFonts w:ascii="Arial Narrow" w:hAnsi="Arial Narrow" w:cs="Arial"/>
              </w:rPr>
              <w:t>125</w:t>
            </w:r>
            <w:r w:rsidRPr="00B60325">
              <w:rPr>
                <w:rFonts w:ascii="Arial Narrow" w:hAnsi="Arial Narrow" w:cs="Arial"/>
              </w:rPr>
              <w:t xml:space="preserve"> </w:t>
            </w:r>
          </w:p>
        </w:tc>
        <w:tc>
          <w:tcPr>
            <w:tcW w:w="810" w:type="dxa"/>
            <w:vAlign w:val="center"/>
          </w:tcPr>
          <w:p w14:paraId="72128526" w14:textId="76FEE33C" w:rsidR="00A831D3" w:rsidRDefault="00A831D3" w:rsidP="009B1B93">
            <w:pPr>
              <w:jc w:val="right"/>
              <w:rPr>
                <w:rFonts w:ascii="Arial Narrow" w:hAnsi="Arial Narrow" w:cs="Arial"/>
              </w:rPr>
            </w:pPr>
            <w:r>
              <w:rPr>
                <w:rFonts w:ascii="Arial Narrow" w:hAnsi="Arial Narrow" w:cs="Arial"/>
              </w:rPr>
              <w:t>3.3</w:t>
            </w:r>
            <w:r w:rsidRPr="00B60325">
              <w:rPr>
                <w:rFonts w:ascii="Arial Narrow" w:hAnsi="Arial Narrow" w:cs="Arial"/>
              </w:rPr>
              <w:t>%</w:t>
            </w:r>
          </w:p>
        </w:tc>
        <w:tc>
          <w:tcPr>
            <w:tcW w:w="810" w:type="dxa"/>
            <w:vAlign w:val="center"/>
          </w:tcPr>
          <w:p w14:paraId="4B8AF6CB" w14:textId="2C954845" w:rsidR="00A831D3" w:rsidRDefault="00A831D3" w:rsidP="009B1B93">
            <w:pPr>
              <w:jc w:val="right"/>
              <w:rPr>
                <w:rFonts w:ascii="Arial Narrow" w:hAnsi="Arial Narrow" w:cs="Arial"/>
              </w:rPr>
            </w:pPr>
            <w:r>
              <w:rPr>
                <w:rFonts w:ascii="Arial Narrow" w:hAnsi="Arial Narrow" w:cs="Arial"/>
              </w:rPr>
              <w:t>106</w:t>
            </w:r>
            <w:r w:rsidRPr="00B60325">
              <w:rPr>
                <w:rFonts w:ascii="Arial Narrow" w:hAnsi="Arial Narrow" w:cs="Arial"/>
              </w:rPr>
              <w:t xml:space="preserve"> </w:t>
            </w:r>
          </w:p>
        </w:tc>
        <w:tc>
          <w:tcPr>
            <w:tcW w:w="810" w:type="dxa"/>
            <w:vAlign w:val="center"/>
          </w:tcPr>
          <w:p w14:paraId="2D2AAA7B" w14:textId="52AF32BD" w:rsidR="00A831D3" w:rsidRDefault="00A831D3" w:rsidP="009B1B93">
            <w:pPr>
              <w:jc w:val="right"/>
              <w:rPr>
                <w:rFonts w:ascii="Arial Narrow" w:hAnsi="Arial Narrow" w:cs="Arial"/>
              </w:rPr>
            </w:pPr>
            <w:r>
              <w:rPr>
                <w:rFonts w:ascii="Arial Narrow" w:hAnsi="Arial Narrow" w:cs="Arial"/>
              </w:rPr>
              <w:t>3.2</w:t>
            </w:r>
            <w:r w:rsidRPr="00B60325">
              <w:rPr>
                <w:rFonts w:ascii="Arial Narrow" w:hAnsi="Arial Narrow" w:cs="Arial"/>
              </w:rPr>
              <w:t>%</w:t>
            </w:r>
          </w:p>
        </w:tc>
        <w:tc>
          <w:tcPr>
            <w:tcW w:w="810" w:type="dxa"/>
            <w:vAlign w:val="center"/>
          </w:tcPr>
          <w:p w14:paraId="58DAF744" w14:textId="26E18080" w:rsidR="00A831D3" w:rsidRDefault="00A831D3" w:rsidP="009B1B93">
            <w:pPr>
              <w:jc w:val="right"/>
              <w:rPr>
                <w:rFonts w:ascii="Arial Narrow" w:hAnsi="Arial Narrow" w:cs="Arial"/>
              </w:rPr>
            </w:pPr>
            <w:r>
              <w:rPr>
                <w:rFonts w:ascii="Arial Narrow" w:hAnsi="Arial Narrow" w:cs="Arial"/>
              </w:rPr>
              <w:t>126</w:t>
            </w:r>
          </w:p>
        </w:tc>
        <w:tc>
          <w:tcPr>
            <w:tcW w:w="813" w:type="dxa"/>
            <w:vAlign w:val="center"/>
          </w:tcPr>
          <w:p w14:paraId="634CC996" w14:textId="39074873" w:rsidR="00A831D3" w:rsidRDefault="00A831D3" w:rsidP="009B1B93">
            <w:pPr>
              <w:jc w:val="right"/>
              <w:rPr>
                <w:rFonts w:ascii="Arial Narrow" w:hAnsi="Arial Narrow" w:cs="Arial"/>
              </w:rPr>
            </w:pPr>
            <w:r>
              <w:rPr>
                <w:rFonts w:ascii="Arial Narrow" w:hAnsi="Arial Narrow" w:cs="Arial"/>
              </w:rPr>
              <w:t>3.7</w:t>
            </w:r>
            <w:r w:rsidRPr="00B60325">
              <w:rPr>
                <w:rFonts w:ascii="Arial Narrow" w:hAnsi="Arial Narrow" w:cs="Arial"/>
              </w:rPr>
              <w:t>%</w:t>
            </w:r>
          </w:p>
        </w:tc>
        <w:tc>
          <w:tcPr>
            <w:tcW w:w="810" w:type="dxa"/>
            <w:vAlign w:val="center"/>
          </w:tcPr>
          <w:p w14:paraId="13DE7030" w14:textId="4CB35530" w:rsidR="00A831D3" w:rsidRDefault="00A831D3" w:rsidP="009B1B93">
            <w:pPr>
              <w:jc w:val="right"/>
              <w:rPr>
                <w:rFonts w:ascii="Arial Narrow" w:hAnsi="Arial Narrow" w:cs="Arial"/>
              </w:rPr>
            </w:pPr>
            <w:r>
              <w:rPr>
                <w:rFonts w:ascii="Arial Narrow" w:hAnsi="Arial Narrow" w:cs="Arial"/>
              </w:rPr>
              <w:t>28</w:t>
            </w:r>
          </w:p>
        </w:tc>
        <w:tc>
          <w:tcPr>
            <w:tcW w:w="812" w:type="dxa"/>
            <w:tcBorders>
              <w:right w:val="single" w:sz="12" w:space="0" w:color="auto"/>
            </w:tcBorders>
            <w:vAlign w:val="center"/>
          </w:tcPr>
          <w:p w14:paraId="57829C1B" w14:textId="76509D49" w:rsidR="00A831D3" w:rsidRDefault="00A831D3" w:rsidP="009B1B93">
            <w:pPr>
              <w:jc w:val="right"/>
              <w:rPr>
                <w:rFonts w:ascii="Arial Narrow" w:hAnsi="Arial Narrow" w:cs="Arial"/>
              </w:rPr>
            </w:pPr>
            <w:r>
              <w:rPr>
                <w:rFonts w:ascii="Arial Narrow" w:hAnsi="Arial Narrow" w:cs="Arial"/>
              </w:rPr>
              <w:t>3.1</w:t>
            </w:r>
            <w:r w:rsidRPr="00B60325">
              <w:rPr>
                <w:rFonts w:ascii="Arial Narrow" w:hAnsi="Arial Narrow" w:cs="Arial"/>
              </w:rPr>
              <w:t>%</w:t>
            </w:r>
          </w:p>
        </w:tc>
      </w:tr>
      <w:tr w:rsidR="00A831D3" w:rsidRPr="00B60325" w14:paraId="6E8EA2AB" w14:textId="77777777" w:rsidTr="00B87882">
        <w:trPr>
          <w:cantSplit/>
          <w:trHeight w:val="20"/>
          <w:jc w:val="center"/>
        </w:trPr>
        <w:tc>
          <w:tcPr>
            <w:tcW w:w="2780" w:type="dxa"/>
            <w:tcBorders>
              <w:left w:val="single" w:sz="12" w:space="0" w:color="auto"/>
            </w:tcBorders>
            <w:vAlign w:val="center"/>
          </w:tcPr>
          <w:p w14:paraId="7A49F01A" w14:textId="77777777" w:rsidR="00A831D3" w:rsidRPr="00B60325" w:rsidRDefault="00A831D3" w:rsidP="009B1B93">
            <w:pPr>
              <w:rPr>
                <w:rFonts w:ascii="Arial Narrow" w:hAnsi="Arial Narrow" w:cs="Arial"/>
              </w:rPr>
            </w:pPr>
            <w:r w:rsidRPr="00B60325">
              <w:rPr>
                <w:rFonts w:ascii="Arial Narrow" w:hAnsi="Arial Narrow" w:cs="Arial"/>
              </w:rPr>
              <w:t xml:space="preserve">Hyde Park </w:t>
            </w:r>
          </w:p>
        </w:tc>
        <w:tc>
          <w:tcPr>
            <w:tcW w:w="808" w:type="dxa"/>
            <w:vAlign w:val="center"/>
          </w:tcPr>
          <w:p w14:paraId="018D07A4" w14:textId="0E0230B2" w:rsidR="00A831D3" w:rsidRDefault="00A831D3" w:rsidP="009B1B93">
            <w:pPr>
              <w:jc w:val="right"/>
              <w:rPr>
                <w:rFonts w:ascii="Arial Narrow" w:hAnsi="Arial Narrow" w:cs="Arial"/>
              </w:rPr>
            </w:pPr>
            <w:r>
              <w:rPr>
                <w:rFonts w:ascii="Arial Narrow" w:hAnsi="Arial Narrow" w:cs="Arial"/>
              </w:rPr>
              <w:t>84</w:t>
            </w:r>
            <w:r w:rsidRPr="00B60325">
              <w:rPr>
                <w:rFonts w:ascii="Arial Narrow" w:hAnsi="Arial Narrow" w:cs="Arial"/>
              </w:rPr>
              <w:t xml:space="preserve"> </w:t>
            </w:r>
          </w:p>
        </w:tc>
        <w:tc>
          <w:tcPr>
            <w:tcW w:w="810" w:type="dxa"/>
            <w:vAlign w:val="center"/>
          </w:tcPr>
          <w:p w14:paraId="1A6ACB2A" w14:textId="409F0608" w:rsidR="00A831D3" w:rsidRDefault="00A831D3" w:rsidP="009B1B93">
            <w:pPr>
              <w:jc w:val="right"/>
              <w:rPr>
                <w:rFonts w:ascii="Arial Narrow" w:hAnsi="Arial Narrow" w:cs="Arial"/>
              </w:rPr>
            </w:pPr>
            <w:r>
              <w:rPr>
                <w:rFonts w:ascii="Arial Narrow" w:hAnsi="Arial Narrow" w:cs="Arial"/>
              </w:rPr>
              <w:t>2.2</w:t>
            </w:r>
            <w:r w:rsidRPr="00B60325">
              <w:rPr>
                <w:rFonts w:ascii="Arial Narrow" w:hAnsi="Arial Narrow" w:cs="Arial"/>
              </w:rPr>
              <w:t>%</w:t>
            </w:r>
          </w:p>
        </w:tc>
        <w:tc>
          <w:tcPr>
            <w:tcW w:w="810" w:type="dxa"/>
            <w:vAlign w:val="center"/>
          </w:tcPr>
          <w:p w14:paraId="0E00C0A9" w14:textId="223EAF9B" w:rsidR="00A831D3" w:rsidRDefault="00A831D3" w:rsidP="009B1B93">
            <w:pPr>
              <w:jc w:val="right"/>
              <w:rPr>
                <w:rFonts w:ascii="Arial Narrow" w:hAnsi="Arial Narrow" w:cs="Arial"/>
              </w:rPr>
            </w:pPr>
            <w:r>
              <w:rPr>
                <w:rFonts w:ascii="Arial Narrow" w:hAnsi="Arial Narrow" w:cs="Arial"/>
              </w:rPr>
              <w:t>62</w:t>
            </w:r>
            <w:r w:rsidRPr="00B60325">
              <w:rPr>
                <w:rFonts w:ascii="Arial Narrow" w:hAnsi="Arial Narrow" w:cs="Arial"/>
              </w:rPr>
              <w:t xml:space="preserve"> </w:t>
            </w:r>
          </w:p>
        </w:tc>
        <w:tc>
          <w:tcPr>
            <w:tcW w:w="810" w:type="dxa"/>
            <w:vAlign w:val="center"/>
          </w:tcPr>
          <w:p w14:paraId="4DEBCD6D" w14:textId="0A2935AA" w:rsidR="00A831D3" w:rsidRDefault="00A831D3" w:rsidP="009B1B93">
            <w:pPr>
              <w:jc w:val="right"/>
              <w:rPr>
                <w:rFonts w:ascii="Arial Narrow" w:hAnsi="Arial Narrow" w:cs="Arial"/>
              </w:rPr>
            </w:pPr>
            <w:r>
              <w:rPr>
                <w:rFonts w:ascii="Arial Narrow" w:hAnsi="Arial Narrow" w:cs="Arial"/>
              </w:rPr>
              <w:t>1.9</w:t>
            </w:r>
            <w:r w:rsidRPr="00B60325">
              <w:rPr>
                <w:rFonts w:ascii="Arial Narrow" w:hAnsi="Arial Narrow" w:cs="Arial"/>
              </w:rPr>
              <w:t>%</w:t>
            </w:r>
          </w:p>
        </w:tc>
        <w:tc>
          <w:tcPr>
            <w:tcW w:w="810" w:type="dxa"/>
            <w:vAlign w:val="center"/>
          </w:tcPr>
          <w:p w14:paraId="6A34AF5E" w14:textId="173441E8" w:rsidR="00A831D3" w:rsidRDefault="00A831D3" w:rsidP="009B1B93">
            <w:pPr>
              <w:jc w:val="right"/>
              <w:rPr>
                <w:rFonts w:ascii="Arial Narrow" w:hAnsi="Arial Narrow" w:cs="Arial"/>
              </w:rPr>
            </w:pPr>
            <w:r>
              <w:rPr>
                <w:rFonts w:ascii="Arial Narrow" w:hAnsi="Arial Narrow" w:cs="Arial"/>
              </w:rPr>
              <w:t>61</w:t>
            </w:r>
          </w:p>
        </w:tc>
        <w:tc>
          <w:tcPr>
            <w:tcW w:w="813" w:type="dxa"/>
            <w:vAlign w:val="center"/>
          </w:tcPr>
          <w:p w14:paraId="0238865D" w14:textId="54A86A88" w:rsidR="00A831D3" w:rsidRDefault="00A831D3" w:rsidP="009B1B93">
            <w:pPr>
              <w:jc w:val="right"/>
              <w:rPr>
                <w:rFonts w:ascii="Arial Narrow" w:hAnsi="Arial Narrow" w:cs="Arial"/>
              </w:rPr>
            </w:pPr>
            <w:r>
              <w:rPr>
                <w:rFonts w:ascii="Arial Narrow" w:hAnsi="Arial Narrow" w:cs="Arial"/>
              </w:rPr>
              <w:t>1.8</w:t>
            </w:r>
            <w:r w:rsidRPr="00B60325">
              <w:rPr>
                <w:rFonts w:ascii="Arial Narrow" w:hAnsi="Arial Narrow" w:cs="Arial"/>
              </w:rPr>
              <w:t>%</w:t>
            </w:r>
          </w:p>
        </w:tc>
        <w:tc>
          <w:tcPr>
            <w:tcW w:w="810" w:type="dxa"/>
            <w:vAlign w:val="center"/>
          </w:tcPr>
          <w:p w14:paraId="4D874FC3" w14:textId="4BA3F1D3" w:rsidR="00A831D3" w:rsidRDefault="00A831D3" w:rsidP="009B1B93">
            <w:pPr>
              <w:jc w:val="right"/>
              <w:rPr>
                <w:rFonts w:ascii="Arial Narrow" w:hAnsi="Arial Narrow" w:cs="Arial"/>
              </w:rPr>
            </w:pPr>
            <w:r>
              <w:rPr>
                <w:rFonts w:ascii="Arial Narrow" w:hAnsi="Arial Narrow" w:cs="Arial"/>
              </w:rPr>
              <w:t>16</w:t>
            </w:r>
          </w:p>
        </w:tc>
        <w:tc>
          <w:tcPr>
            <w:tcW w:w="812" w:type="dxa"/>
            <w:tcBorders>
              <w:right w:val="single" w:sz="12" w:space="0" w:color="auto"/>
            </w:tcBorders>
            <w:vAlign w:val="center"/>
          </w:tcPr>
          <w:p w14:paraId="5B0BCB99" w14:textId="4D807E2E" w:rsidR="00A831D3" w:rsidRDefault="00A831D3" w:rsidP="009B1B93">
            <w:pPr>
              <w:jc w:val="right"/>
              <w:rPr>
                <w:rFonts w:ascii="Arial Narrow" w:hAnsi="Arial Narrow" w:cs="Arial"/>
              </w:rPr>
            </w:pPr>
            <w:r>
              <w:rPr>
                <w:rFonts w:ascii="Arial Narrow" w:hAnsi="Arial Narrow" w:cs="Arial"/>
              </w:rPr>
              <w:t>1.8</w:t>
            </w:r>
            <w:r w:rsidRPr="00B60325">
              <w:rPr>
                <w:rFonts w:ascii="Arial Narrow" w:hAnsi="Arial Narrow" w:cs="Arial"/>
              </w:rPr>
              <w:t>%</w:t>
            </w:r>
          </w:p>
        </w:tc>
      </w:tr>
      <w:tr w:rsidR="00A831D3" w:rsidRPr="00B60325" w14:paraId="0F220110" w14:textId="77777777" w:rsidTr="00B87882">
        <w:trPr>
          <w:cantSplit/>
          <w:trHeight w:val="20"/>
          <w:jc w:val="center"/>
        </w:trPr>
        <w:tc>
          <w:tcPr>
            <w:tcW w:w="2780" w:type="dxa"/>
            <w:tcBorders>
              <w:left w:val="single" w:sz="12" w:space="0" w:color="auto"/>
            </w:tcBorders>
            <w:vAlign w:val="center"/>
          </w:tcPr>
          <w:p w14:paraId="71035E26" w14:textId="77777777" w:rsidR="00A831D3" w:rsidRPr="00B60325" w:rsidRDefault="00A831D3" w:rsidP="009B1B93">
            <w:pPr>
              <w:rPr>
                <w:rFonts w:ascii="Arial Narrow" w:hAnsi="Arial Narrow" w:cs="Arial"/>
              </w:rPr>
            </w:pPr>
            <w:r>
              <w:rPr>
                <w:rFonts w:ascii="Arial Narrow" w:hAnsi="Arial Narrow" w:cs="Arial"/>
              </w:rPr>
              <w:t>Randolph</w:t>
            </w:r>
            <w:r w:rsidRPr="00B60325">
              <w:rPr>
                <w:rFonts w:ascii="Arial Narrow" w:hAnsi="Arial Narrow" w:cs="Arial"/>
              </w:rPr>
              <w:t xml:space="preserve"> </w:t>
            </w:r>
          </w:p>
        </w:tc>
        <w:tc>
          <w:tcPr>
            <w:tcW w:w="808" w:type="dxa"/>
            <w:vAlign w:val="center"/>
          </w:tcPr>
          <w:p w14:paraId="293FC487" w14:textId="1A874E95" w:rsidR="00A831D3" w:rsidRDefault="00A831D3" w:rsidP="009B1B93">
            <w:pPr>
              <w:jc w:val="right"/>
              <w:rPr>
                <w:rFonts w:ascii="Arial Narrow" w:hAnsi="Arial Narrow" w:cs="Arial"/>
              </w:rPr>
            </w:pPr>
            <w:r>
              <w:rPr>
                <w:rFonts w:ascii="Arial Narrow" w:hAnsi="Arial Narrow" w:cs="Arial"/>
              </w:rPr>
              <w:t>69</w:t>
            </w:r>
            <w:r w:rsidRPr="00B60325">
              <w:rPr>
                <w:rFonts w:ascii="Arial Narrow" w:hAnsi="Arial Narrow" w:cs="Arial"/>
              </w:rPr>
              <w:t xml:space="preserve"> </w:t>
            </w:r>
          </w:p>
        </w:tc>
        <w:tc>
          <w:tcPr>
            <w:tcW w:w="810" w:type="dxa"/>
            <w:vAlign w:val="center"/>
          </w:tcPr>
          <w:p w14:paraId="0E63381A" w14:textId="1948E07A" w:rsidR="00A831D3" w:rsidRDefault="00A831D3" w:rsidP="009B1B93">
            <w:pPr>
              <w:jc w:val="right"/>
              <w:rPr>
                <w:rFonts w:ascii="Arial Narrow" w:hAnsi="Arial Narrow" w:cs="Arial"/>
              </w:rPr>
            </w:pPr>
            <w:r>
              <w:rPr>
                <w:rFonts w:ascii="Arial Narrow" w:hAnsi="Arial Narrow" w:cs="Arial"/>
              </w:rPr>
              <w:t>1.8</w:t>
            </w:r>
            <w:r w:rsidRPr="00B60325">
              <w:rPr>
                <w:rFonts w:ascii="Arial Narrow" w:hAnsi="Arial Narrow" w:cs="Arial"/>
              </w:rPr>
              <w:t>%</w:t>
            </w:r>
          </w:p>
        </w:tc>
        <w:tc>
          <w:tcPr>
            <w:tcW w:w="810" w:type="dxa"/>
            <w:vAlign w:val="center"/>
          </w:tcPr>
          <w:p w14:paraId="0F6BF4BF" w14:textId="586E59F3" w:rsidR="00A831D3" w:rsidRDefault="00A831D3" w:rsidP="009B1B93">
            <w:pPr>
              <w:jc w:val="right"/>
              <w:rPr>
                <w:rFonts w:ascii="Arial Narrow" w:hAnsi="Arial Narrow" w:cs="Arial"/>
              </w:rPr>
            </w:pPr>
            <w:r>
              <w:rPr>
                <w:rFonts w:ascii="Arial Narrow" w:hAnsi="Arial Narrow" w:cs="Arial"/>
              </w:rPr>
              <w:t>50</w:t>
            </w:r>
            <w:r w:rsidRPr="00B60325">
              <w:rPr>
                <w:rFonts w:ascii="Arial Narrow" w:hAnsi="Arial Narrow" w:cs="Arial"/>
              </w:rPr>
              <w:t xml:space="preserve"> </w:t>
            </w:r>
          </w:p>
        </w:tc>
        <w:tc>
          <w:tcPr>
            <w:tcW w:w="810" w:type="dxa"/>
            <w:vAlign w:val="center"/>
          </w:tcPr>
          <w:p w14:paraId="3B98F8D0" w14:textId="1B7E8D85" w:rsidR="00A831D3" w:rsidRDefault="00A831D3" w:rsidP="009B1B93">
            <w:pPr>
              <w:jc w:val="right"/>
              <w:rPr>
                <w:rFonts w:ascii="Arial Narrow" w:hAnsi="Arial Narrow" w:cs="Arial"/>
              </w:rPr>
            </w:pPr>
            <w:r>
              <w:rPr>
                <w:rFonts w:ascii="Arial Narrow" w:hAnsi="Arial Narrow" w:cs="Arial"/>
              </w:rPr>
              <w:t>1.5</w:t>
            </w:r>
            <w:r w:rsidRPr="00B60325">
              <w:rPr>
                <w:rFonts w:ascii="Arial Narrow" w:hAnsi="Arial Narrow" w:cs="Arial"/>
              </w:rPr>
              <w:t>%</w:t>
            </w:r>
          </w:p>
        </w:tc>
        <w:tc>
          <w:tcPr>
            <w:tcW w:w="810" w:type="dxa"/>
            <w:vAlign w:val="center"/>
          </w:tcPr>
          <w:p w14:paraId="768E0A97" w14:textId="056CEEE8" w:rsidR="00A831D3" w:rsidRDefault="00A831D3" w:rsidP="009B1B93">
            <w:pPr>
              <w:jc w:val="right"/>
              <w:rPr>
                <w:rFonts w:ascii="Arial Narrow" w:hAnsi="Arial Narrow" w:cs="Arial"/>
              </w:rPr>
            </w:pPr>
            <w:r>
              <w:rPr>
                <w:rFonts w:ascii="Arial Narrow" w:hAnsi="Arial Narrow" w:cs="Arial"/>
              </w:rPr>
              <w:t>48</w:t>
            </w:r>
          </w:p>
        </w:tc>
        <w:tc>
          <w:tcPr>
            <w:tcW w:w="813" w:type="dxa"/>
            <w:vAlign w:val="center"/>
          </w:tcPr>
          <w:p w14:paraId="42394A8D" w14:textId="44C55A60" w:rsidR="00A831D3" w:rsidRDefault="00A831D3" w:rsidP="009B1B93">
            <w:pPr>
              <w:jc w:val="right"/>
              <w:rPr>
                <w:rFonts w:ascii="Arial Narrow" w:hAnsi="Arial Narrow" w:cs="Arial"/>
              </w:rPr>
            </w:pPr>
            <w:r>
              <w:rPr>
                <w:rFonts w:ascii="Arial Narrow" w:hAnsi="Arial Narrow" w:cs="Arial"/>
              </w:rPr>
              <w:t>1.4</w:t>
            </w:r>
            <w:r w:rsidRPr="00B60325">
              <w:rPr>
                <w:rFonts w:ascii="Arial Narrow" w:hAnsi="Arial Narrow" w:cs="Arial"/>
              </w:rPr>
              <w:t>%</w:t>
            </w:r>
          </w:p>
        </w:tc>
        <w:tc>
          <w:tcPr>
            <w:tcW w:w="810" w:type="dxa"/>
            <w:vAlign w:val="center"/>
          </w:tcPr>
          <w:p w14:paraId="2AEDDB44" w14:textId="58E1A290" w:rsidR="00A831D3" w:rsidRDefault="00A831D3" w:rsidP="009B1B93">
            <w:pPr>
              <w:jc w:val="right"/>
              <w:rPr>
                <w:rFonts w:ascii="Arial Narrow" w:hAnsi="Arial Narrow" w:cs="Arial"/>
              </w:rPr>
            </w:pPr>
            <w:r>
              <w:rPr>
                <w:rFonts w:ascii="Arial Narrow" w:hAnsi="Arial Narrow" w:cs="Arial"/>
              </w:rPr>
              <w:t>15</w:t>
            </w:r>
          </w:p>
        </w:tc>
        <w:tc>
          <w:tcPr>
            <w:tcW w:w="812" w:type="dxa"/>
            <w:tcBorders>
              <w:right w:val="single" w:sz="12" w:space="0" w:color="auto"/>
            </w:tcBorders>
            <w:vAlign w:val="center"/>
          </w:tcPr>
          <w:p w14:paraId="02018398" w14:textId="50D878C0" w:rsidR="00A831D3" w:rsidRDefault="00A831D3" w:rsidP="009B1B93">
            <w:pPr>
              <w:jc w:val="right"/>
              <w:rPr>
                <w:rFonts w:ascii="Arial Narrow" w:hAnsi="Arial Narrow" w:cs="Arial"/>
              </w:rPr>
            </w:pPr>
            <w:r>
              <w:rPr>
                <w:rFonts w:ascii="Arial Narrow" w:hAnsi="Arial Narrow" w:cs="Arial"/>
              </w:rPr>
              <w:t>1.7</w:t>
            </w:r>
            <w:r w:rsidRPr="00B60325">
              <w:rPr>
                <w:rFonts w:ascii="Arial Narrow" w:hAnsi="Arial Narrow" w:cs="Arial"/>
              </w:rPr>
              <w:t>%</w:t>
            </w:r>
          </w:p>
        </w:tc>
      </w:tr>
      <w:tr w:rsidR="00A831D3" w:rsidRPr="00B60325" w14:paraId="5F801FDD" w14:textId="77777777" w:rsidTr="00B87882">
        <w:trPr>
          <w:cantSplit/>
          <w:trHeight w:val="20"/>
          <w:jc w:val="center"/>
        </w:trPr>
        <w:tc>
          <w:tcPr>
            <w:tcW w:w="2780" w:type="dxa"/>
            <w:tcBorders>
              <w:left w:val="single" w:sz="12" w:space="0" w:color="auto"/>
            </w:tcBorders>
            <w:vAlign w:val="center"/>
          </w:tcPr>
          <w:p w14:paraId="268F880D" w14:textId="77777777" w:rsidR="00A831D3" w:rsidRPr="00B60325" w:rsidRDefault="00A831D3" w:rsidP="009B1B93">
            <w:pPr>
              <w:rPr>
                <w:rFonts w:ascii="Arial Narrow" w:hAnsi="Arial Narrow" w:cs="Arial"/>
              </w:rPr>
            </w:pPr>
            <w:r w:rsidRPr="00B60325">
              <w:rPr>
                <w:rFonts w:ascii="Arial Narrow" w:hAnsi="Arial Narrow" w:cs="Arial"/>
              </w:rPr>
              <w:t xml:space="preserve">Jamaica Plain </w:t>
            </w:r>
            <w:r>
              <w:rPr>
                <w:rFonts w:ascii="Arial Narrow" w:hAnsi="Arial Narrow" w:cs="Arial"/>
              </w:rPr>
              <w:t xml:space="preserve">&amp; </w:t>
            </w:r>
            <w:r w:rsidRPr="00B60325">
              <w:rPr>
                <w:rFonts w:ascii="Arial Narrow" w:hAnsi="Arial Narrow" w:cs="Arial"/>
              </w:rPr>
              <w:t>Chelsea</w:t>
            </w:r>
          </w:p>
        </w:tc>
        <w:tc>
          <w:tcPr>
            <w:tcW w:w="808" w:type="dxa"/>
            <w:vAlign w:val="center"/>
          </w:tcPr>
          <w:p w14:paraId="6B631EE8" w14:textId="7A44E3B2" w:rsidR="00A831D3" w:rsidRDefault="00A831D3" w:rsidP="009B1B93">
            <w:pPr>
              <w:jc w:val="right"/>
              <w:rPr>
                <w:rFonts w:ascii="Arial Narrow" w:hAnsi="Arial Narrow" w:cs="Arial"/>
              </w:rPr>
            </w:pPr>
            <w:r>
              <w:rPr>
                <w:rFonts w:ascii="Arial Narrow" w:hAnsi="Arial Narrow" w:cs="Arial"/>
              </w:rPr>
              <w:t>128</w:t>
            </w:r>
            <w:r w:rsidRPr="00B60325">
              <w:rPr>
                <w:rFonts w:ascii="Arial Narrow" w:hAnsi="Arial Narrow" w:cs="Arial"/>
              </w:rPr>
              <w:t xml:space="preserve"> </w:t>
            </w:r>
          </w:p>
        </w:tc>
        <w:tc>
          <w:tcPr>
            <w:tcW w:w="810" w:type="dxa"/>
            <w:vAlign w:val="center"/>
          </w:tcPr>
          <w:p w14:paraId="54A58F5C" w14:textId="13CA190A" w:rsidR="00A831D3" w:rsidRDefault="00A831D3" w:rsidP="009B1B93">
            <w:pPr>
              <w:jc w:val="right"/>
              <w:rPr>
                <w:rFonts w:ascii="Arial Narrow" w:hAnsi="Arial Narrow" w:cs="Arial"/>
              </w:rPr>
            </w:pPr>
            <w:r>
              <w:rPr>
                <w:rFonts w:ascii="Arial Narrow" w:hAnsi="Arial Narrow" w:cs="Arial"/>
              </w:rPr>
              <w:t>3.4</w:t>
            </w:r>
            <w:r w:rsidRPr="00B60325">
              <w:rPr>
                <w:rFonts w:ascii="Arial Narrow" w:hAnsi="Arial Narrow" w:cs="Arial"/>
              </w:rPr>
              <w:t>%</w:t>
            </w:r>
          </w:p>
        </w:tc>
        <w:tc>
          <w:tcPr>
            <w:tcW w:w="810" w:type="dxa"/>
            <w:vAlign w:val="center"/>
          </w:tcPr>
          <w:p w14:paraId="6E79979B" w14:textId="6EFF9693" w:rsidR="00A831D3" w:rsidRDefault="00A831D3" w:rsidP="009B1B93">
            <w:pPr>
              <w:jc w:val="right"/>
              <w:rPr>
                <w:rFonts w:ascii="Arial Narrow" w:hAnsi="Arial Narrow" w:cs="Arial"/>
              </w:rPr>
            </w:pPr>
            <w:r>
              <w:rPr>
                <w:rFonts w:ascii="Arial Narrow" w:hAnsi="Arial Narrow" w:cs="Arial"/>
              </w:rPr>
              <w:t>127</w:t>
            </w:r>
            <w:r w:rsidRPr="00B60325">
              <w:rPr>
                <w:rFonts w:ascii="Arial Narrow" w:hAnsi="Arial Narrow" w:cs="Arial"/>
              </w:rPr>
              <w:t xml:space="preserve"> </w:t>
            </w:r>
          </w:p>
        </w:tc>
        <w:tc>
          <w:tcPr>
            <w:tcW w:w="810" w:type="dxa"/>
            <w:vAlign w:val="center"/>
          </w:tcPr>
          <w:p w14:paraId="49BA17AF" w14:textId="6BC58377" w:rsidR="00A831D3" w:rsidRDefault="00A831D3" w:rsidP="009B1B93">
            <w:pPr>
              <w:jc w:val="right"/>
              <w:rPr>
                <w:rFonts w:ascii="Arial Narrow" w:hAnsi="Arial Narrow" w:cs="Arial"/>
              </w:rPr>
            </w:pPr>
            <w:r>
              <w:rPr>
                <w:rFonts w:ascii="Arial Narrow" w:hAnsi="Arial Narrow" w:cs="Arial"/>
              </w:rPr>
              <w:t>3.9</w:t>
            </w:r>
            <w:r w:rsidRPr="00B60325">
              <w:rPr>
                <w:rFonts w:ascii="Arial Narrow" w:hAnsi="Arial Narrow" w:cs="Arial"/>
              </w:rPr>
              <w:t>%</w:t>
            </w:r>
          </w:p>
        </w:tc>
        <w:tc>
          <w:tcPr>
            <w:tcW w:w="810" w:type="dxa"/>
            <w:vAlign w:val="center"/>
          </w:tcPr>
          <w:p w14:paraId="032B7084" w14:textId="338369A0" w:rsidR="00A831D3" w:rsidRDefault="00A831D3" w:rsidP="009B1B93">
            <w:pPr>
              <w:jc w:val="right"/>
              <w:rPr>
                <w:rFonts w:ascii="Arial Narrow" w:hAnsi="Arial Narrow" w:cs="Arial"/>
              </w:rPr>
            </w:pPr>
            <w:r>
              <w:rPr>
                <w:rFonts w:ascii="Arial Narrow" w:hAnsi="Arial Narrow" w:cs="Arial"/>
              </w:rPr>
              <w:t>100</w:t>
            </w:r>
          </w:p>
        </w:tc>
        <w:tc>
          <w:tcPr>
            <w:tcW w:w="813" w:type="dxa"/>
            <w:vAlign w:val="center"/>
          </w:tcPr>
          <w:p w14:paraId="3488268F" w14:textId="39CB2D9B" w:rsidR="00A831D3" w:rsidRDefault="00A831D3" w:rsidP="009B1B93">
            <w:pPr>
              <w:jc w:val="right"/>
              <w:rPr>
                <w:rFonts w:ascii="Arial Narrow" w:hAnsi="Arial Narrow" w:cs="Arial"/>
              </w:rPr>
            </w:pPr>
            <w:r>
              <w:rPr>
                <w:rFonts w:ascii="Arial Narrow" w:hAnsi="Arial Narrow" w:cs="Arial"/>
              </w:rPr>
              <w:t>2.9</w:t>
            </w:r>
            <w:r w:rsidRPr="00B60325">
              <w:rPr>
                <w:rFonts w:ascii="Arial Narrow" w:hAnsi="Arial Narrow" w:cs="Arial"/>
              </w:rPr>
              <w:t>%</w:t>
            </w:r>
          </w:p>
        </w:tc>
        <w:tc>
          <w:tcPr>
            <w:tcW w:w="810" w:type="dxa"/>
            <w:vAlign w:val="center"/>
          </w:tcPr>
          <w:p w14:paraId="663C150A" w14:textId="44610DF0" w:rsidR="00A831D3" w:rsidRDefault="00A831D3" w:rsidP="009B1B93">
            <w:pPr>
              <w:jc w:val="right"/>
              <w:rPr>
                <w:rFonts w:ascii="Arial Narrow" w:hAnsi="Arial Narrow" w:cs="Arial"/>
              </w:rPr>
            </w:pPr>
            <w:r>
              <w:rPr>
                <w:rFonts w:ascii="Arial Narrow" w:hAnsi="Arial Narrow" w:cs="Arial"/>
              </w:rPr>
              <w:t>14</w:t>
            </w:r>
          </w:p>
        </w:tc>
        <w:tc>
          <w:tcPr>
            <w:tcW w:w="812" w:type="dxa"/>
            <w:tcBorders>
              <w:right w:val="single" w:sz="12" w:space="0" w:color="auto"/>
            </w:tcBorders>
            <w:vAlign w:val="center"/>
          </w:tcPr>
          <w:p w14:paraId="2A00105A" w14:textId="41ADC1F8" w:rsidR="00A831D3" w:rsidRDefault="00A831D3" w:rsidP="009B1B93">
            <w:pPr>
              <w:jc w:val="right"/>
              <w:rPr>
                <w:rFonts w:ascii="Arial Narrow" w:hAnsi="Arial Narrow" w:cs="Arial"/>
              </w:rPr>
            </w:pPr>
            <w:r>
              <w:rPr>
                <w:rFonts w:ascii="Arial Narrow" w:hAnsi="Arial Narrow" w:cs="Arial"/>
              </w:rPr>
              <w:t>1.6</w:t>
            </w:r>
            <w:r w:rsidRPr="00B60325">
              <w:rPr>
                <w:rFonts w:ascii="Arial Narrow" w:hAnsi="Arial Narrow" w:cs="Arial"/>
              </w:rPr>
              <w:t>%</w:t>
            </w:r>
          </w:p>
        </w:tc>
      </w:tr>
      <w:tr w:rsidR="00A831D3" w:rsidRPr="00B60325" w14:paraId="5C45327B" w14:textId="77777777" w:rsidTr="00B87882">
        <w:trPr>
          <w:cantSplit/>
          <w:trHeight w:val="20"/>
          <w:jc w:val="center"/>
        </w:trPr>
        <w:tc>
          <w:tcPr>
            <w:tcW w:w="2780" w:type="dxa"/>
            <w:tcBorders>
              <w:left w:val="single" w:sz="12" w:space="0" w:color="auto"/>
              <w:bottom w:val="single" w:sz="12" w:space="0" w:color="auto"/>
            </w:tcBorders>
            <w:vAlign w:val="center"/>
          </w:tcPr>
          <w:p w14:paraId="515352F3" w14:textId="77777777" w:rsidR="00A831D3" w:rsidRPr="00B60325" w:rsidRDefault="00A831D3" w:rsidP="009B1B93">
            <w:pPr>
              <w:rPr>
                <w:rFonts w:ascii="Arial Narrow" w:hAnsi="Arial Narrow" w:cs="Arial"/>
              </w:rPr>
            </w:pPr>
            <w:r w:rsidRPr="00B60325">
              <w:rPr>
                <w:rFonts w:ascii="Arial Narrow" w:hAnsi="Arial Narrow" w:cs="Arial"/>
              </w:rPr>
              <w:t>All Other</w:t>
            </w:r>
          </w:p>
        </w:tc>
        <w:tc>
          <w:tcPr>
            <w:tcW w:w="808" w:type="dxa"/>
            <w:tcBorders>
              <w:bottom w:val="single" w:sz="12" w:space="0" w:color="auto"/>
            </w:tcBorders>
            <w:vAlign w:val="center"/>
          </w:tcPr>
          <w:p w14:paraId="04A2232D" w14:textId="40DCA0D1" w:rsidR="00A831D3" w:rsidRDefault="00A831D3" w:rsidP="009B1B93">
            <w:pPr>
              <w:jc w:val="right"/>
              <w:rPr>
                <w:rFonts w:ascii="Arial Narrow" w:hAnsi="Arial Narrow" w:cs="Arial"/>
              </w:rPr>
            </w:pPr>
            <w:r>
              <w:rPr>
                <w:rFonts w:ascii="Arial Narrow" w:hAnsi="Arial Narrow" w:cs="Arial"/>
              </w:rPr>
              <w:t>1,522</w:t>
            </w:r>
            <w:r w:rsidRPr="00B60325">
              <w:rPr>
                <w:rFonts w:ascii="Arial Narrow" w:hAnsi="Arial Narrow" w:cs="Arial"/>
              </w:rPr>
              <w:t xml:space="preserve"> </w:t>
            </w:r>
          </w:p>
        </w:tc>
        <w:tc>
          <w:tcPr>
            <w:tcW w:w="810" w:type="dxa"/>
            <w:tcBorders>
              <w:bottom w:val="single" w:sz="12" w:space="0" w:color="auto"/>
            </w:tcBorders>
            <w:vAlign w:val="center"/>
          </w:tcPr>
          <w:p w14:paraId="5B2C223A" w14:textId="3598AAE8" w:rsidR="00A831D3" w:rsidRDefault="00A831D3" w:rsidP="009B1B93">
            <w:pPr>
              <w:jc w:val="right"/>
              <w:rPr>
                <w:rFonts w:ascii="Arial Narrow" w:hAnsi="Arial Narrow" w:cs="Arial"/>
              </w:rPr>
            </w:pPr>
            <w:r>
              <w:rPr>
                <w:rFonts w:ascii="Arial Narrow" w:hAnsi="Arial Narrow" w:cs="Arial"/>
              </w:rPr>
              <w:t>40.6</w:t>
            </w:r>
            <w:r w:rsidRPr="00B60325">
              <w:rPr>
                <w:rFonts w:ascii="Arial Narrow" w:hAnsi="Arial Narrow" w:cs="Arial"/>
              </w:rPr>
              <w:t>%</w:t>
            </w:r>
          </w:p>
        </w:tc>
        <w:tc>
          <w:tcPr>
            <w:tcW w:w="810" w:type="dxa"/>
            <w:tcBorders>
              <w:bottom w:val="single" w:sz="12" w:space="0" w:color="auto"/>
            </w:tcBorders>
            <w:vAlign w:val="center"/>
          </w:tcPr>
          <w:p w14:paraId="472A03B4" w14:textId="29FB3BEC" w:rsidR="00A831D3" w:rsidRDefault="00A831D3" w:rsidP="009B1B93">
            <w:pPr>
              <w:jc w:val="right"/>
              <w:rPr>
                <w:rFonts w:ascii="Arial Narrow" w:hAnsi="Arial Narrow" w:cs="Arial"/>
              </w:rPr>
            </w:pPr>
            <w:r>
              <w:rPr>
                <w:rFonts w:ascii="Arial Narrow" w:hAnsi="Arial Narrow" w:cs="Arial"/>
              </w:rPr>
              <w:t>1,187</w:t>
            </w:r>
            <w:r w:rsidRPr="00B60325">
              <w:rPr>
                <w:rFonts w:ascii="Arial Narrow" w:hAnsi="Arial Narrow" w:cs="Arial"/>
              </w:rPr>
              <w:t xml:space="preserve"> </w:t>
            </w:r>
          </w:p>
        </w:tc>
        <w:tc>
          <w:tcPr>
            <w:tcW w:w="810" w:type="dxa"/>
            <w:tcBorders>
              <w:bottom w:val="single" w:sz="12" w:space="0" w:color="auto"/>
            </w:tcBorders>
            <w:vAlign w:val="center"/>
          </w:tcPr>
          <w:p w14:paraId="31DCFB2A" w14:textId="17F7BA38" w:rsidR="00A831D3" w:rsidRDefault="00A831D3" w:rsidP="009B1B93">
            <w:pPr>
              <w:jc w:val="right"/>
              <w:rPr>
                <w:rFonts w:ascii="Arial Narrow" w:hAnsi="Arial Narrow" w:cs="Arial"/>
              </w:rPr>
            </w:pPr>
            <w:r>
              <w:rPr>
                <w:rFonts w:ascii="Arial Narrow" w:hAnsi="Arial Narrow" w:cs="Arial"/>
              </w:rPr>
              <w:t>36.1</w:t>
            </w:r>
            <w:r w:rsidRPr="00B60325">
              <w:rPr>
                <w:rFonts w:ascii="Arial Narrow" w:hAnsi="Arial Narrow" w:cs="Arial"/>
              </w:rPr>
              <w:t>%</w:t>
            </w:r>
          </w:p>
        </w:tc>
        <w:tc>
          <w:tcPr>
            <w:tcW w:w="810" w:type="dxa"/>
            <w:tcBorders>
              <w:bottom w:val="single" w:sz="12" w:space="0" w:color="auto"/>
            </w:tcBorders>
            <w:vAlign w:val="center"/>
          </w:tcPr>
          <w:p w14:paraId="059C4DE2" w14:textId="0E6BF677" w:rsidR="00A831D3" w:rsidRDefault="00A831D3" w:rsidP="009B1B93">
            <w:pPr>
              <w:jc w:val="right"/>
              <w:rPr>
                <w:rFonts w:ascii="Arial Narrow" w:hAnsi="Arial Narrow" w:cs="Arial"/>
              </w:rPr>
            </w:pPr>
            <w:r>
              <w:rPr>
                <w:rFonts w:ascii="Arial Narrow" w:hAnsi="Arial Narrow" w:cs="Arial"/>
              </w:rPr>
              <w:t>1,371</w:t>
            </w:r>
            <w:r w:rsidRPr="00B60325">
              <w:rPr>
                <w:rFonts w:ascii="Arial Narrow" w:hAnsi="Arial Narrow" w:cs="Arial"/>
              </w:rPr>
              <w:t xml:space="preserve"> </w:t>
            </w:r>
          </w:p>
        </w:tc>
        <w:tc>
          <w:tcPr>
            <w:tcW w:w="813" w:type="dxa"/>
            <w:tcBorders>
              <w:bottom w:val="single" w:sz="12" w:space="0" w:color="auto"/>
            </w:tcBorders>
            <w:vAlign w:val="center"/>
          </w:tcPr>
          <w:p w14:paraId="58647F7D" w14:textId="101370F2" w:rsidR="00A831D3" w:rsidRDefault="00A831D3" w:rsidP="009B1B93">
            <w:pPr>
              <w:jc w:val="right"/>
              <w:rPr>
                <w:rFonts w:ascii="Arial Narrow" w:hAnsi="Arial Narrow" w:cs="Arial"/>
              </w:rPr>
            </w:pPr>
            <w:r>
              <w:rPr>
                <w:rFonts w:ascii="Arial Narrow" w:hAnsi="Arial Narrow" w:cs="Arial"/>
              </w:rPr>
              <w:t>40.3</w:t>
            </w:r>
            <w:r w:rsidRPr="00B60325">
              <w:rPr>
                <w:rFonts w:ascii="Arial Narrow" w:hAnsi="Arial Narrow" w:cs="Arial"/>
              </w:rPr>
              <w:t>%</w:t>
            </w:r>
          </w:p>
        </w:tc>
        <w:tc>
          <w:tcPr>
            <w:tcW w:w="810" w:type="dxa"/>
            <w:tcBorders>
              <w:bottom w:val="single" w:sz="12" w:space="0" w:color="auto"/>
            </w:tcBorders>
            <w:vAlign w:val="center"/>
          </w:tcPr>
          <w:p w14:paraId="227BB494" w14:textId="49433BD8" w:rsidR="00A831D3" w:rsidRDefault="00A831D3" w:rsidP="009B1B93">
            <w:pPr>
              <w:jc w:val="right"/>
              <w:rPr>
                <w:rFonts w:ascii="Arial Narrow" w:hAnsi="Arial Narrow" w:cs="Arial"/>
              </w:rPr>
            </w:pPr>
            <w:r>
              <w:rPr>
                <w:rFonts w:ascii="Arial Narrow" w:hAnsi="Arial Narrow" w:cs="Arial"/>
              </w:rPr>
              <w:t>364</w:t>
            </w:r>
            <w:r w:rsidRPr="00B60325">
              <w:rPr>
                <w:rFonts w:ascii="Arial Narrow" w:hAnsi="Arial Narrow" w:cs="Arial"/>
              </w:rPr>
              <w:t xml:space="preserve"> </w:t>
            </w:r>
          </w:p>
        </w:tc>
        <w:tc>
          <w:tcPr>
            <w:tcW w:w="812" w:type="dxa"/>
            <w:tcBorders>
              <w:bottom w:val="single" w:sz="12" w:space="0" w:color="auto"/>
              <w:right w:val="single" w:sz="12" w:space="0" w:color="auto"/>
            </w:tcBorders>
            <w:vAlign w:val="center"/>
          </w:tcPr>
          <w:p w14:paraId="7ECB6741" w14:textId="6033BC17" w:rsidR="00A831D3" w:rsidRDefault="00A831D3" w:rsidP="009B1B93">
            <w:pPr>
              <w:jc w:val="right"/>
              <w:rPr>
                <w:rFonts w:ascii="Arial Narrow" w:hAnsi="Arial Narrow" w:cs="Arial"/>
              </w:rPr>
            </w:pPr>
            <w:r>
              <w:rPr>
                <w:rFonts w:ascii="Arial Narrow" w:hAnsi="Arial Narrow" w:cs="Arial"/>
              </w:rPr>
              <w:t>40.7</w:t>
            </w:r>
            <w:r w:rsidRPr="00B60325">
              <w:rPr>
                <w:rFonts w:ascii="Arial Narrow" w:hAnsi="Arial Narrow" w:cs="Arial"/>
              </w:rPr>
              <w:t>%</w:t>
            </w:r>
          </w:p>
        </w:tc>
      </w:tr>
    </w:tbl>
    <w:p w14:paraId="0BE7FE5B" w14:textId="516AF20C" w:rsidR="00A831D3" w:rsidRDefault="00A831D3" w:rsidP="0045422A">
      <w:pPr>
        <w:spacing w:after="120"/>
        <w:jc w:val="both"/>
        <w:rPr>
          <w:rFonts w:ascii="Arial" w:hAnsi="Arial" w:cs="Arial"/>
          <w:bCs/>
        </w:rPr>
      </w:pPr>
      <w:r>
        <w:rPr>
          <w:rFonts w:ascii="Arial" w:hAnsi="Arial" w:cs="Arial"/>
          <w:bCs/>
        </w:rPr>
        <w:t xml:space="preserve"> </w:t>
      </w:r>
    </w:p>
    <w:p w14:paraId="0ED4A389" w14:textId="77777777" w:rsidR="00A40D50" w:rsidRPr="00AC28A4" w:rsidRDefault="00A40D50" w:rsidP="0045422A">
      <w:pPr>
        <w:spacing w:after="120"/>
        <w:jc w:val="both"/>
        <w:rPr>
          <w:rFonts w:ascii="Arial" w:hAnsi="Arial" w:cs="Arial"/>
          <w:bCs/>
        </w:rPr>
      </w:pPr>
    </w:p>
    <w:p w14:paraId="72FEAAA4" w14:textId="200B59BE" w:rsidR="00A831D3" w:rsidRPr="00BF6D53" w:rsidRDefault="00A831D3" w:rsidP="003A6452">
      <w:pPr>
        <w:pStyle w:val="ListParagraph"/>
        <w:numPr>
          <w:ilvl w:val="0"/>
          <w:numId w:val="29"/>
        </w:numPr>
        <w:contextualSpacing w:val="0"/>
        <w:jc w:val="both"/>
        <w:rPr>
          <w:rFonts w:ascii="Arial" w:hAnsi="Arial" w:cs="Arial"/>
          <w:b/>
        </w:rPr>
      </w:pPr>
      <w:r w:rsidRPr="00BF6D53">
        <w:rPr>
          <w:rFonts w:ascii="Arial" w:hAnsi="Arial" w:cs="Arial"/>
          <w:b/>
        </w:rPr>
        <w:lastRenderedPageBreak/>
        <w:t>In addition to the information provided in Tables 12 and 15, please provide patient days for each year.</w:t>
      </w:r>
    </w:p>
    <w:p w14:paraId="2A06B03A" w14:textId="33532A64" w:rsidR="00A831D3" w:rsidRDefault="000A527C" w:rsidP="00FA0911">
      <w:pPr>
        <w:spacing w:after="240"/>
        <w:jc w:val="both"/>
        <w:rPr>
          <w:rFonts w:ascii="Arial" w:hAnsi="Arial" w:cs="Arial"/>
        </w:rPr>
      </w:pPr>
      <w:r w:rsidRPr="00BF6D53">
        <w:rPr>
          <w:rFonts w:ascii="Arial" w:hAnsi="Arial" w:cs="Arial"/>
        </w:rPr>
        <w:t xml:space="preserve">Please </w:t>
      </w:r>
      <w:r w:rsidRPr="00BF6D53">
        <w:rPr>
          <w:rFonts w:ascii="Arial" w:hAnsi="Arial" w:cs="Arial"/>
          <w:bCs/>
        </w:rPr>
        <w:t>refer to Appendix B for a revised Table 12</w:t>
      </w:r>
      <w:r w:rsidRPr="00BF6D53">
        <w:rPr>
          <w:rFonts w:ascii="Arial" w:hAnsi="Arial" w:cs="Arial"/>
        </w:rPr>
        <w:t>, which has also been updated for FY22 through July 2022</w:t>
      </w:r>
      <w:r>
        <w:rPr>
          <w:rFonts w:ascii="Arial" w:hAnsi="Arial" w:cs="Arial"/>
        </w:rPr>
        <w:t xml:space="preserve"> as requested by the Department</w:t>
      </w:r>
      <w:r w:rsidRPr="00BF6D53">
        <w:rPr>
          <w:rFonts w:ascii="Arial" w:hAnsi="Arial" w:cs="Arial"/>
        </w:rPr>
        <w:t>. Please see below for a revised Table</w:t>
      </w:r>
      <w:r w:rsidRPr="00CF2575">
        <w:rPr>
          <w:rFonts w:ascii="Arial" w:hAnsi="Arial" w:cs="Arial"/>
        </w:rPr>
        <w:t xml:space="preserve"> 15. Please note that </w:t>
      </w:r>
      <w:r w:rsidRPr="00852476">
        <w:rPr>
          <w:rFonts w:ascii="Arial" w:hAnsi="Arial" w:cs="Arial"/>
        </w:rPr>
        <w:t xml:space="preserve">for purposes of this DoN Application, patient days = census days. Please refer to </w:t>
      </w:r>
      <w:r w:rsidR="00860716">
        <w:rPr>
          <w:rFonts w:ascii="Arial" w:hAnsi="Arial" w:cs="Arial"/>
        </w:rPr>
        <w:t>endnotes</w:t>
      </w:r>
      <w:r w:rsidRPr="00852476">
        <w:rPr>
          <w:rFonts w:ascii="Arial" w:hAnsi="Arial" w:cs="Arial"/>
        </w:rPr>
        <w:t xml:space="preserve"> 4 and 6 for further explanation</w:t>
      </w:r>
      <w:r w:rsidR="00A831D3" w:rsidRPr="00852476">
        <w:rPr>
          <w:rFonts w:ascii="Arial" w:hAnsi="Arial" w:cs="Arial"/>
        </w:rPr>
        <w:t>.</w:t>
      </w:r>
    </w:p>
    <w:p w14:paraId="188E1EFD" w14:textId="028648E8" w:rsidR="00B87882" w:rsidRDefault="00B87882" w:rsidP="00FA0911">
      <w:pPr>
        <w:spacing w:after="240"/>
        <w:jc w:val="both"/>
        <w:rPr>
          <w:rFonts w:ascii="Arial" w:hAnsi="Arial" w:cs="Arial"/>
        </w:rPr>
      </w:pPr>
      <w:r w:rsidRPr="00B87882">
        <w:rPr>
          <w:rFonts w:ascii="Arial Narrow" w:hAnsi="Arial Narrow" w:cs="Arial"/>
          <w:b/>
          <w:bCs/>
          <w:color w:val="FFFFFF"/>
          <w:shd w:val="clear" w:color="auto" w:fill="0070C0"/>
        </w:rPr>
        <w:t>Table 15 REVISED: BMC Inpatient Bed Projected Demand and Utilization</w:t>
      </w:r>
    </w:p>
    <w:tbl>
      <w:tblPr>
        <w:tblStyle w:val="TableGrid"/>
        <w:tblW w:w="0" w:type="auto"/>
        <w:jc w:val="center"/>
        <w:tblLook w:val="04A0" w:firstRow="1" w:lastRow="0" w:firstColumn="1" w:lastColumn="0" w:noHBand="0" w:noVBand="1"/>
      </w:tblPr>
      <w:tblGrid>
        <w:gridCol w:w="2418"/>
        <w:gridCol w:w="1207"/>
        <w:gridCol w:w="1207"/>
        <w:gridCol w:w="1207"/>
        <w:gridCol w:w="1207"/>
        <w:gridCol w:w="1207"/>
      </w:tblGrid>
      <w:tr w:rsidR="00A831D3" w14:paraId="35BFACE8" w14:textId="77777777" w:rsidTr="000473D6">
        <w:trPr>
          <w:cantSplit/>
          <w:tblHeader/>
          <w:jc w:val="center"/>
        </w:trPr>
        <w:tc>
          <w:tcPr>
            <w:tcW w:w="2418" w:type="dxa"/>
            <w:tcBorders>
              <w:left w:val="single" w:sz="12" w:space="0" w:color="auto"/>
              <w:right w:val="single" w:sz="4" w:space="0" w:color="auto"/>
            </w:tcBorders>
            <w:shd w:val="clear" w:color="auto" w:fill="8DA9DB"/>
          </w:tcPr>
          <w:p w14:paraId="36CDDE43" w14:textId="77777777" w:rsidR="00A831D3" w:rsidRPr="00C06DC9" w:rsidRDefault="00A831D3" w:rsidP="00F23A9F">
            <w:pPr>
              <w:pStyle w:val="NormalWeb"/>
              <w:spacing w:before="0" w:beforeAutospacing="0" w:after="0" w:afterAutospacing="0"/>
              <w:jc w:val="center"/>
              <w:rPr>
                <w:rFonts w:ascii="Arial Narrow" w:hAnsi="Arial Narrow" w:cs="Arial"/>
                <w:b/>
                <w:bCs/>
                <w:sz w:val="22"/>
                <w:szCs w:val="22"/>
              </w:rPr>
            </w:pPr>
          </w:p>
        </w:tc>
        <w:tc>
          <w:tcPr>
            <w:tcW w:w="1207" w:type="dxa"/>
            <w:tcBorders>
              <w:left w:val="single" w:sz="4" w:space="0" w:color="auto"/>
              <w:bottom w:val="single" w:sz="4" w:space="0" w:color="auto"/>
              <w:right w:val="single" w:sz="4" w:space="0" w:color="auto"/>
            </w:tcBorders>
            <w:shd w:val="clear" w:color="auto" w:fill="8DA9DB"/>
          </w:tcPr>
          <w:p w14:paraId="12D47EB8" w14:textId="77777777" w:rsidR="00A831D3" w:rsidRPr="00C06DC9" w:rsidRDefault="00A831D3" w:rsidP="00F23A9F">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FY24</w:t>
            </w:r>
          </w:p>
        </w:tc>
        <w:tc>
          <w:tcPr>
            <w:tcW w:w="1207" w:type="dxa"/>
            <w:tcBorders>
              <w:left w:val="single" w:sz="4" w:space="0" w:color="auto"/>
              <w:bottom w:val="single" w:sz="4" w:space="0" w:color="auto"/>
            </w:tcBorders>
            <w:shd w:val="clear" w:color="auto" w:fill="8DA9DB"/>
          </w:tcPr>
          <w:p w14:paraId="7D0E0C2B" w14:textId="77777777" w:rsidR="00A831D3" w:rsidRPr="00C06DC9" w:rsidRDefault="00A831D3" w:rsidP="00F23A9F">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FY25</w:t>
            </w:r>
          </w:p>
        </w:tc>
        <w:tc>
          <w:tcPr>
            <w:tcW w:w="1207" w:type="dxa"/>
            <w:tcBorders>
              <w:bottom w:val="single" w:sz="4" w:space="0" w:color="auto"/>
              <w:right w:val="single" w:sz="4" w:space="0" w:color="auto"/>
            </w:tcBorders>
            <w:shd w:val="clear" w:color="auto" w:fill="8DA9DB"/>
          </w:tcPr>
          <w:p w14:paraId="1EF5B7B9" w14:textId="77777777" w:rsidR="00A831D3" w:rsidRPr="00C06DC9" w:rsidRDefault="00A831D3" w:rsidP="00F23A9F">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FY26</w:t>
            </w:r>
          </w:p>
        </w:tc>
        <w:tc>
          <w:tcPr>
            <w:tcW w:w="1207" w:type="dxa"/>
            <w:tcBorders>
              <w:bottom w:val="single" w:sz="4" w:space="0" w:color="auto"/>
              <w:right w:val="single" w:sz="4" w:space="0" w:color="auto"/>
            </w:tcBorders>
            <w:shd w:val="clear" w:color="auto" w:fill="8DA9DB"/>
            <w:vAlign w:val="center"/>
          </w:tcPr>
          <w:p w14:paraId="5395EF79" w14:textId="77777777" w:rsidR="00A831D3" w:rsidRPr="00C06DC9" w:rsidRDefault="00A831D3" w:rsidP="00F23A9F">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FY27</w:t>
            </w:r>
          </w:p>
        </w:tc>
        <w:tc>
          <w:tcPr>
            <w:tcW w:w="1207" w:type="dxa"/>
            <w:tcBorders>
              <w:left w:val="single" w:sz="4" w:space="0" w:color="auto"/>
              <w:bottom w:val="single" w:sz="4" w:space="0" w:color="auto"/>
              <w:right w:val="single" w:sz="12" w:space="0" w:color="auto"/>
            </w:tcBorders>
            <w:shd w:val="clear" w:color="auto" w:fill="8DA9DB"/>
            <w:vAlign w:val="center"/>
          </w:tcPr>
          <w:p w14:paraId="3A10E8CC" w14:textId="77777777" w:rsidR="00A831D3" w:rsidRPr="00C06DC9" w:rsidRDefault="00A831D3" w:rsidP="00F23A9F">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FY28</w:t>
            </w:r>
          </w:p>
        </w:tc>
      </w:tr>
      <w:tr w:rsidR="00B87882" w14:paraId="14A55BF3" w14:textId="77777777" w:rsidTr="00C5018E">
        <w:trPr>
          <w:cantSplit/>
          <w:jc w:val="center"/>
        </w:trPr>
        <w:tc>
          <w:tcPr>
            <w:tcW w:w="2418" w:type="dxa"/>
            <w:tcBorders>
              <w:left w:val="single" w:sz="12" w:space="0" w:color="auto"/>
              <w:right w:val="nil"/>
            </w:tcBorders>
            <w:shd w:val="clear" w:color="auto" w:fill="BFBFBF"/>
            <w:vAlign w:val="center"/>
          </w:tcPr>
          <w:p w14:paraId="2905ECFE" w14:textId="77777777" w:rsidR="00B87882" w:rsidRPr="00B674A0" w:rsidRDefault="00B87882" w:rsidP="00F23A9F">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Medical/Surgical Beds</w:t>
            </w:r>
            <w:r>
              <w:rPr>
                <w:rFonts w:ascii="ZWAdobeF" w:hAnsi="ZWAdobeF" w:cs="ZWAdobeF"/>
                <w:bCs/>
                <w:sz w:val="2"/>
                <w:szCs w:val="2"/>
              </w:rPr>
              <w:t>48F</w:t>
            </w:r>
            <w:r>
              <w:rPr>
                <w:rStyle w:val="EndnoteReference"/>
                <w:rFonts w:ascii="Arial Narrow" w:hAnsi="Arial Narrow" w:cs="Arial"/>
                <w:b/>
                <w:bCs/>
                <w:sz w:val="22"/>
                <w:szCs w:val="22"/>
              </w:rPr>
              <w:endnoteReference w:id="6"/>
            </w:r>
            <w:r w:rsidRPr="00F55FF2">
              <w:rPr>
                <w:rFonts w:ascii="Arial Narrow" w:hAnsi="Arial Narrow" w:cs="Arial"/>
                <w:b/>
                <w:bCs/>
                <w:sz w:val="22"/>
                <w:szCs w:val="22"/>
                <w:vertAlign w:val="superscript"/>
              </w:rPr>
              <w:t>,</w:t>
            </w:r>
            <w:r>
              <w:rPr>
                <w:rFonts w:ascii="ZWAdobeF" w:hAnsi="ZWAdobeF" w:cs="ZWAdobeF"/>
                <w:bCs/>
                <w:sz w:val="2"/>
                <w:szCs w:val="2"/>
              </w:rPr>
              <w:t>49F</w:t>
            </w:r>
            <w:r>
              <w:rPr>
                <w:rStyle w:val="EndnoteReference"/>
                <w:rFonts w:ascii="Arial Narrow" w:hAnsi="Arial Narrow" w:cs="Arial"/>
                <w:b/>
                <w:bCs/>
                <w:sz w:val="22"/>
                <w:szCs w:val="22"/>
              </w:rPr>
              <w:endnoteReference w:id="7"/>
            </w:r>
          </w:p>
        </w:tc>
        <w:tc>
          <w:tcPr>
            <w:tcW w:w="1207" w:type="dxa"/>
            <w:tcBorders>
              <w:left w:val="nil"/>
              <w:right w:val="nil"/>
            </w:tcBorders>
            <w:shd w:val="clear" w:color="auto" w:fill="BFBFBF"/>
            <w:vAlign w:val="center"/>
          </w:tcPr>
          <w:p w14:paraId="636181FF" w14:textId="77777777" w:rsidR="00B87882" w:rsidRPr="00B674A0" w:rsidRDefault="00B87882"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nil"/>
            </w:tcBorders>
            <w:shd w:val="clear" w:color="auto" w:fill="BFBFBF"/>
            <w:vAlign w:val="center"/>
          </w:tcPr>
          <w:p w14:paraId="2EC4F68B" w14:textId="77777777" w:rsidR="00B87882" w:rsidRPr="00B674A0" w:rsidRDefault="00B87882"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nil"/>
            </w:tcBorders>
            <w:shd w:val="clear" w:color="auto" w:fill="BFBFBF"/>
            <w:vAlign w:val="center"/>
          </w:tcPr>
          <w:p w14:paraId="55330358" w14:textId="77777777" w:rsidR="00B87882" w:rsidRPr="00B674A0" w:rsidRDefault="00B87882"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nil"/>
            </w:tcBorders>
            <w:shd w:val="clear" w:color="auto" w:fill="BFBFBF"/>
            <w:vAlign w:val="center"/>
          </w:tcPr>
          <w:p w14:paraId="2114206F" w14:textId="77777777" w:rsidR="00B87882" w:rsidRPr="00B674A0" w:rsidRDefault="00B87882"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single" w:sz="12" w:space="0" w:color="auto"/>
            </w:tcBorders>
            <w:shd w:val="clear" w:color="auto" w:fill="BFBFBF"/>
            <w:vAlign w:val="center"/>
          </w:tcPr>
          <w:p w14:paraId="15590F1C" w14:textId="2312F321" w:rsidR="00B87882" w:rsidRPr="00B674A0" w:rsidRDefault="00B87882" w:rsidP="00F23A9F">
            <w:pPr>
              <w:pStyle w:val="NormalWeb"/>
              <w:spacing w:before="0" w:beforeAutospacing="0" w:after="0" w:afterAutospacing="0"/>
              <w:rPr>
                <w:rFonts w:ascii="Arial Narrow" w:hAnsi="Arial Narrow" w:cs="Arial"/>
                <w:b/>
                <w:bCs/>
                <w:sz w:val="22"/>
                <w:szCs w:val="22"/>
              </w:rPr>
            </w:pPr>
          </w:p>
        </w:tc>
      </w:tr>
      <w:tr w:rsidR="00A831D3" w14:paraId="618D65A3" w14:textId="77777777" w:rsidTr="00C5018E">
        <w:trPr>
          <w:cantSplit/>
          <w:jc w:val="center"/>
        </w:trPr>
        <w:tc>
          <w:tcPr>
            <w:tcW w:w="2418" w:type="dxa"/>
            <w:tcBorders>
              <w:left w:val="single" w:sz="12" w:space="0" w:color="auto"/>
              <w:right w:val="single" w:sz="4" w:space="0" w:color="auto"/>
            </w:tcBorders>
          </w:tcPr>
          <w:p w14:paraId="26C5244A"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Unique Patients</w:t>
            </w:r>
          </w:p>
        </w:tc>
        <w:tc>
          <w:tcPr>
            <w:tcW w:w="1207" w:type="dxa"/>
            <w:tcBorders>
              <w:left w:val="single" w:sz="4" w:space="0" w:color="auto"/>
              <w:right w:val="single" w:sz="4" w:space="0" w:color="auto"/>
            </w:tcBorders>
            <w:vAlign w:val="center"/>
          </w:tcPr>
          <w:p w14:paraId="740DE865" w14:textId="4465AA12"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13,144</w:t>
            </w:r>
          </w:p>
        </w:tc>
        <w:tc>
          <w:tcPr>
            <w:tcW w:w="1207" w:type="dxa"/>
            <w:tcBorders>
              <w:left w:val="single" w:sz="4" w:space="0" w:color="auto"/>
            </w:tcBorders>
            <w:shd w:val="clear" w:color="auto" w:fill="auto"/>
            <w:vAlign w:val="center"/>
          </w:tcPr>
          <w:p w14:paraId="54996FC3" w14:textId="5847E09D"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13,776</w:t>
            </w:r>
          </w:p>
        </w:tc>
        <w:tc>
          <w:tcPr>
            <w:tcW w:w="1207" w:type="dxa"/>
            <w:tcBorders>
              <w:right w:val="single" w:sz="4" w:space="0" w:color="auto"/>
            </w:tcBorders>
            <w:shd w:val="clear" w:color="auto" w:fill="auto"/>
            <w:vAlign w:val="center"/>
          </w:tcPr>
          <w:p w14:paraId="1D617C76" w14:textId="610F050B"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14,015</w:t>
            </w:r>
          </w:p>
        </w:tc>
        <w:tc>
          <w:tcPr>
            <w:tcW w:w="1207" w:type="dxa"/>
            <w:tcBorders>
              <w:right w:val="single" w:sz="4" w:space="0" w:color="auto"/>
            </w:tcBorders>
          </w:tcPr>
          <w:p w14:paraId="3FF06E91" w14:textId="1D28AF05"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Style w:val="CommentReference"/>
                <w:rFonts w:ascii="Arial Narrow" w:hAnsi="Arial Narrow"/>
                <w:sz w:val="22"/>
                <w:szCs w:val="22"/>
              </w:rPr>
              <w:t>14,015</w:t>
            </w:r>
          </w:p>
        </w:tc>
        <w:tc>
          <w:tcPr>
            <w:tcW w:w="1207" w:type="dxa"/>
            <w:tcBorders>
              <w:left w:val="single" w:sz="4" w:space="0" w:color="auto"/>
              <w:right w:val="single" w:sz="12" w:space="0" w:color="auto"/>
            </w:tcBorders>
            <w:shd w:val="clear" w:color="auto" w:fill="auto"/>
          </w:tcPr>
          <w:p w14:paraId="05CE9742" w14:textId="6F1FA6AC"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Style w:val="CommentReference"/>
                <w:rFonts w:ascii="Arial Narrow" w:hAnsi="Arial Narrow"/>
                <w:sz w:val="22"/>
                <w:szCs w:val="22"/>
              </w:rPr>
              <w:t>14,015</w:t>
            </w:r>
          </w:p>
        </w:tc>
      </w:tr>
      <w:tr w:rsidR="00A831D3" w14:paraId="2B63DB39" w14:textId="77777777" w:rsidTr="00C5018E">
        <w:trPr>
          <w:cantSplit/>
          <w:jc w:val="center"/>
        </w:trPr>
        <w:tc>
          <w:tcPr>
            <w:tcW w:w="2418" w:type="dxa"/>
            <w:tcBorders>
              <w:left w:val="single" w:sz="12" w:space="0" w:color="auto"/>
              <w:right w:val="single" w:sz="4" w:space="0" w:color="auto"/>
            </w:tcBorders>
          </w:tcPr>
          <w:p w14:paraId="088113EE"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Visits</w:t>
            </w:r>
          </w:p>
        </w:tc>
        <w:tc>
          <w:tcPr>
            <w:tcW w:w="1207" w:type="dxa"/>
            <w:tcBorders>
              <w:left w:val="single" w:sz="4" w:space="0" w:color="auto"/>
              <w:right w:val="single" w:sz="4" w:space="0" w:color="auto"/>
            </w:tcBorders>
            <w:vAlign w:val="center"/>
          </w:tcPr>
          <w:p w14:paraId="5AE652A6" w14:textId="2E39D604"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17,821</w:t>
            </w:r>
          </w:p>
        </w:tc>
        <w:tc>
          <w:tcPr>
            <w:tcW w:w="1207" w:type="dxa"/>
            <w:tcBorders>
              <w:left w:val="single" w:sz="4" w:space="0" w:color="auto"/>
            </w:tcBorders>
            <w:shd w:val="clear" w:color="auto" w:fill="auto"/>
            <w:vAlign w:val="center"/>
          </w:tcPr>
          <w:p w14:paraId="50FD8531" w14:textId="16993A3D"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18,542</w:t>
            </w:r>
          </w:p>
        </w:tc>
        <w:tc>
          <w:tcPr>
            <w:tcW w:w="1207" w:type="dxa"/>
            <w:tcBorders>
              <w:right w:val="single" w:sz="4" w:space="0" w:color="auto"/>
            </w:tcBorders>
            <w:shd w:val="clear" w:color="auto" w:fill="auto"/>
            <w:vAlign w:val="center"/>
          </w:tcPr>
          <w:p w14:paraId="28EB8F4E" w14:textId="5788BC92"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18,815</w:t>
            </w:r>
          </w:p>
        </w:tc>
        <w:tc>
          <w:tcPr>
            <w:tcW w:w="1207" w:type="dxa"/>
            <w:tcBorders>
              <w:right w:val="single" w:sz="4" w:space="0" w:color="auto"/>
            </w:tcBorders>
          </w:tcPr>
          <w:p w14:paraId="6FE56964" w14:textId="1178616E"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18,815</w:t>
            </w:r>
          </w:p>
        </w:tc>
        <w:tc>
          <w:tcPr>
            <w:tcW w:w="1207" w:type="dxa"/>
            <w:tcBorders>
              <w:left w:val="single" w:sz="4" w:space="0" w:color="auto"/>
              <w:right w:val="single" w:sz="12" w:space="0" w:color="auto"/>
            </w:tcBorders>
            <w:shd w:val="clear" w:color="auto" w:fill="auto"/>
          </w:tcPr>
          <w:p w14:paraId="4F091B29" w14:textId="3E406877"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18,815</w:t>
            </w:r>
          </w:p>
        </w:tc>
      </w:tr>
      <w:tr w:rsidR="00A831D3" w14:paraId="76A2A7FC" w14:textId="77777777" w:rsidTr="00C5018E">
        <w:trPr>
          <w:cantSplit/>
          <w:jc w:val="center"/>
        </w:trPr>
        <w:tc>
          <w:tcPr>
            <w:tcW w:w="2418" w:type="dxa"/>
            <w:tcBorders>
              <w:left w:val="single" w:sz="12" w:space="0" w:color="auto"/>
              <w:right w:val="single" w:sz="4" w:space="0" w:color="auto"/>
            </w:tcBorders>
          </w:tcPr>
          <w:p w14:paraId="30DDDFB1"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Discharges</w:t>
            </w:r>
          </w:p>
        </w:tc>
        <w:tc>
          <w:tcPr>
            <w:tcW w:w="1207" w:type="dxa"/>
            <w:tcBorders>
              <w:left w:val="single" w:sz="4" w:space="0" w:color="auto"/>
              <w:right w:val="single" w:sz="4" w:space="0" w:color="auto"/>
            </w:tcBorders>
            <w:vAlign w:val="center"/>
          </w:tcPr>
          <w:p w14:paraId="4ADB55CD" w14:textId="08B0FD67"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15,072</w:t>
            </w:r>
          </w:p>
        </w:tc>
        <w:tc>
          <w:tcPr>
            <w:tcW w:w="1207" w:type="dxa"/>
            <w:tcBorders>
              <w:left w:val="single" w:sz="4" w:space="0" w:color="auto"/>
            </w:tcBorders>
            <w:shd w:val="clear" w:color="auto" w:fill="auto"/>
            <w:vAlign w:val="center"/>
          </w:tcPr>
          <w:p w14:paraId="5B7784C5" w14:textId="64FC01CA"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15,674</w:t>
            </w:r>
          </w:p>
        </w:tc>
        <w:tc>
          <w:tcPr>
            <w:tcW w:w="1207" w:type="dxa"/>
            <w:tcBorders>
              <w:right w:val="single" w:sz="4" w:space="0" w:color="auto"/>
            </w:tcBorders>
            <w:shd w:val="clear" w:color="auto" w:fill="auto"/>
            <w:vAlign w:val="center"/>
          </w:tcPr>
          <w:p w14:paraId="132D579B" w14:textId="77F3115B"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15,901</w:t>
            </w:r>
          </w:p>
        </w:tc>
        <w:tc>
          <w:tcPr>
            <w:tcW w:w="1207" w:type="dxa"/>
            <w:tcBorders>
              <w:right w:val="single" w:sz="4" w:space="0" w:color="auto"/>
            </w:tcBorders>
          </w:tcPr>
          <w:p w14:paraId="4D868736" w14:textId="3797F4E2"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15,901</w:t>
            </w:r>
          </w:p>
        </w:tc>
        <w:tc>
          <w:tcPr>
            <w:tcW w:w="1207" w:type="dxa"/>
            <w:tcBorders>
              <w:left w:val="single" w:sz="4" w:space="0" w:color="auto"/>
              <w:right w:val="single" w:sz="12" w:space="0" w:color="auto"/>
            </w:tcBorders>
            <w:shd w:val="clear" w:color="auto" w:fill="auto"/>
            <w:vAlign w:val="center"/>
          </w:tcPr>
          <w:p w14:paraId="3CFDFB68" w14:textId="48C0C103"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15,901</w:t>
            </w:r>
          </w:p>
        </w:tc>
      </w:tr>
      <w:tr w:rsidR="00A831D3" w14:paraId="7B812FE3" w14:textId="77777777" w:rsidTr="00C5018E">
        <w:trPr>
          <w:cantSplit/>
          <w:jc w:val="center"/>
        </w:trPr>
        <w:tc>
          <w:tcPr>
            <w:tcW w:w="2418" w:type="dxa"/>
            <w:tcBorders>
              <w:left w:val="single" w:sz="12" w:space="0" w:color="auto"/>
              <w:right w:val="single" w:sz="4" w:space="0" w:color="auto"/>
            </w:tcBorders>
          </w:tcPr>
          <w:p w14:paraId="59135B44"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Case Weight</w:t>
            </w:r>
          </w:p>
        </w:tc>
        <w:tc>
          <w:tcPr>
            <w:tcW w:w="1207" w:type="dxa"/>
            <w:tcBorders>
              <w:left w:val="single" w:sz="4" w:space="0" w:color="auto"/>
              <w:right w:val="single" w:sz="4" w:space="0" w:color="auto"/>
            </w:tcBorders>
            <w:vAlign w:val="center"/>
          </w:tcPr>
          <w:p w14:paraId="56A12F1F" w14:textId="547808C3"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24,868</w:t>
            </w:r>
          </w:p>
        </w:tc>
        <w:tc>
          <w:tcPr>
            <w:tcW w:w="1207" w:type="dxa"/>
            <w:tcBorders>
              <w:left w:val="single" w:sz="4" w:space="0" w:color="auto"/>
            </w:tcBorders>
            <w:shd w:val="clear" w:color="auto" w:fill="auto"/>
            <w:vAlign w:val="center"/>
          </w:tcPr>
          <w:p w14:paraId="009995ED" w14:textId="2221C14A"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25,861</w:t>
            </w:r>
          </w:p>
        </w:tc>
        <w:tc>
          <w:tcPr>
            <w:tcW w:w="1207" w:type="dxa"/>
            <w:tcBorders>
              <w:right w:val="single" w:sz="4" w:space="0" w:color="auto"/>
            </w:tcBorders>
            <w:shd w:val="clear" w:color="auto" w:fill="auto"/>
            <w:vAlign w:val="center"/>
          </w:tcPr>
          <w:p w14:paraId="1F195A86" w14:textId="320062DD"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26,237</w:t>
            </w:r>
          </w:p>
        </w:tc>
        <w:tc>
          <w:tcPr>
            <w:tcW w:w="1207" w:type="dxa"/>
            <w:tcBorders>
              <w:right w:val="single" w:sz="4" w:space="0" w:color="auto"/>
            </w:tcBorders>
          </w:tcPr>
          <w:p w14:paraId="2AB28DB7" w14:textId="72397577"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26,237</w:t>
            </w:r>
          </w:p>
        </w:tc>
        <w:tc>
          <w:tcPr>
            <w:tcW w:w="1207" w:type="dxa"/>
            <w:tcBorders>
              <w:left w:val="single" w:sz="4" w:space="0" w:color="auto"/>
              <w:right w:val="single" w:sz="12" w:space="0" w:color="auto"/>
            </w:tcBorders>
            <w:shd w:val="clear" w:color="auto" w:fill="auto"/>
            <w:vAlign w:val="center"/>
          </w:tcPr>
          <w:p w14:paraId="1EF36BF4" w14:textId="6A9E3DD6"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26,237</w:t>
            </w:r>
          </w:p>
        </w:tc>
      </w:tr>
      <w:tr w:rsidR="00A831D3" w14:paraId="4B2ECA82" w14:textId="77777777" w:rsidTr="00C5018E">
        <w:trPr>
          <w:cantSplit/>
          <w:jc w:val="center"/>
        </w:trPr>
        <w:tc>
          <w:tcPr>
            <w:tcW w:w="2418" w:type="dxa"/>
            <w:tcBorders>
              <w:left w:val="single" w:sz="12" w:space="0" w:color="auto"/>
              <w:right w:val="single" w:sz="4" w:space="0" w:color="auto"/>
            </w:tcBorders>
          </w:tcPr>
          <w:p w14:paraId="26172186"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CMI</w:t>
            </w:r>
          </w:p>
        </w:tc>
        <w:tc>
          <w:tcPr>
            <w:tcW w:w="1207" w:type="dxa"/>
            <w:tcBorders>
              <w:left w:val="single" w:sz="4" w:space="0" w:color="auto"/>
              <w:right w:val="single" w:sz="4" w:space="0" w:color="auto"/>
            </w:tcBorders>
            <w:vAlign w:val="center"/>
          </w:tcPr>
          <w:p w14:paraId="606DCBE6" w14:textId="33F06F08"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left w:val="single" w:sz="4" w:space="0" w:color="auto"/>
            </w:tcBorders>
            <w:shd w:val="clear" w:color="auto" w:fill="auto"/>
            <w:vAlign w:val="center"/>
          </w:tcPr>
          <w:p w14:paraId="6F341590" w14:textId="1E58E47C"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right w:val="single" w:sz="4" w:space="0" w:color="auto"/>
            </w:tcBorders>
            <w:shd w:val="clear" w:color="auto" w:fill="auto"/>
            <w:vAlign w:val="center"/>
          </w:tcPr>
          <w:p w14:paraId="3C2C1B71" w14:textId="2DED8895"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right w:val="single" w:sz="4" w:space="0" w:color="auto"/>
            </w:tcBorders>
          </w:tcPr>
          <w:p w14:paraId="032587B6" w14:textId="107BABB7"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left w:val="single" w:sz="4" w:space="0" w:color="auto"/>
              <w:right w:val="single" w:sz="12" w:space="0" w:color="auto"/>
            </w:tcBorders>
            <w:shd w:val="clear" w:color="auto" w:fill="auto"/>
            <w:vAlign w:val="center"/>
          </w:tcPr>
          <w:p w14:paraId="51D3F36F" w14:textId="409D2FD7"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r>
      <w:tr w:rsidR="00A831D3" w14:paraId="17E2C7BD" w14:textId="77777777" w:rsidTr="00C5018E">
        <w:trPr>
          <w:cantSplit/>
          <w:jc w:val="center"/>
        </w:trPr>
        <w:tc>
          <w:tcPr>
            <w:tcW w:w="2418" w:type="dxa"/>
            <w:tcBorders>
              <w:left w:val="single" w:sz="12" w:space="0" w:color="auto"/>
              <w:right w:val="single" w:sz="4" w:space="0" w:color="auto"/>
            </w:tcBorders>
          </w:tcPr>
          <w:p w14:paraId="5D1BBE42"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ALOS</w:t>
            </w:r>
          </w:p>
        </w:tc>
        <w:tc>
          <w:tcPr>
            <w:tcW w:w="1207" w:type="dxa"/>
            <w:tcBorders>
              <w:left w:val="single" w:sz="4" w:space="0" w:color="auto"/>
              <w:right w:val="single" w:sz="4" w:space="0" w:color="auto"/>
            </w:tcBorders>
            <w:vAlign w:val="center"/>
          </w:tcPr>
          <w:p w14:paraId="0C5ECC70" w14:textId="02F3EC6F"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5.28</w:t>
            </w:r>
          </w:p>
        </w:tc>
        <w:tc>
          <w:tcPr>
            <w:tcW w:w="1207" w:type="dxa"/>
            <w:tcBorders>
              <w:left w:val="single" w:sz="4" w:space="0" w:color="auto"/>
            </w:tcBorders>
            <w:shd w:val="clear" w:color="auto" w:fill="auto"/>
            <w:vAlign w:val="center"/>
          </w:tcPr>
          <w:p w14:paraId="2BD58BBA" w14:textId="4C371FDE"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5.33</w:t>
            </w:r>
          </w:p>
        </w:tc>
        <w:tc>
          <w:tcPr>
            <w:tcW w:w="1207" w:type="dxa"/>
            <w:tcBorders>
              <w:right w:val="single" w:sz="4" w:space="0" w:color="auto"/>
            </w:tcBorders>
            <w:shd w:val="clear" w:color="auto" w:fill="auto"/>
            <w:vAlign w:val="center"/>
          </w:tcPr>
          <w:p w14:paraId="3A5E2A66" w14:textId="7EF19965"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5.34</w:t>
            </w:r>
          </w:p>
        </w:tc>
        <w:tc>
          <w:tcPr>
            <w:tcW w:w="1207" w:type="dxa"/>
            <w:tcBorders>
              <w:right w:val="single" w:sz="4" w:space="0" w:color="auto"/>
            </w:tcBorders>
          </w:tcPr>
          <w:p w14:paraId="498D5E00" w14:textId="52DD1525"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5.34</w:t>
            </w:r>
          </w:p>
        </w:tc>
        <w:tc>
          <w:tcPr>
            <w:tcW w:w="1207" w:type="dxa"/>
            <w:tcBorders>
              <w:left w:val="single" w:sz="4" w:space="0" w:color="auto"/>
              <w:right w:val="single" w:sz="12" w:space="0" w:color="auto"/>
            </w:tcBorders>
            <w:shd w:val="clear" w:color="auto" w:fill="auto"/>
            <w:vAlign w:val="center"/>
          </w:tcPr>
          <w:p w14:paraId="4F5C02C3" w14:textId="1E1472C1"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5.34</w:t>
            </w:r>
          </w:p>
        </w:tc>
      </w:tr>
      <w:tr w:rsidR="00A831D3" w14:paraId="0AD7BFE9" w14:textId="77777777" w:rsidTr="00C5018E">
        <w:trPr>
          <w:cantSplit/>
          <w:jc w:val="center"/>
        </w:trPr>
        <w:tc>
          <w:tcPr>
            <w:tcW w:w="2418" w:type="dxa"/>
            <w:tcBorders>
              <w:left w:val="single" w:sz="12" w:space="0" w:color="auto"/>
              <w:right w:val="single" w:sz="4" w:space="0" w:color="auto"/>
            </w:tcBorders>
          </w:tcPr>
          <w:p w14:paraId="7215496A"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Occupancy</w:t>
            </w:r>
          </w:p>
        </w:tc>
        <w:tc>
          <w:tcPr>
            <w:tcW w:w="1207" w:type="dxa"/>
            <w:tcBorders>
              <w:left w:val="single" w:sz="4" w:space="0" w:color="auto"/>
              <w:right w:val="single" w:sz="4" w:space="0" w:color="auto"/>
            </w:tcBorders>
            <w:vAlign w:val="center"/>
          </w:tcPr>
          <w:p w14:paraId="35AE6AB5" w14:textId="6D60FD03"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83.4%</w:t>
            </w:r>
          </w:p>
        </w:tc>
        <w:tc>
          <w:tcPr>
            <w:tcW w:w="1207" w:type="dxa"/>
            <w:tcBorders>
              <w:left w:val="single" w:sz="4" w:space="0" w:color="auto"/>
            </w:tcBorders>
            <w:shd w:val="clear" w:color="auto" w:fill="auto"/>
            <w:vAlign w:val="center"/>
          </w:tcPr>
          <w:p w14:paraId="7F407DB0" w14:textId="2CCB9D45"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86.1%</w:t>
            </w:r>
          </w:p>
        </w:tc>
        <w:tc>
          <w:tcPr>
            <w:tcW w:w="1207" w:type="dxa"/>
            <w:tcBorders>
              <w:right w:val="single" w:sz="4" w:space="0" w:color="auto"/>
            </w:tcBorders>
            <w:shd w:val="clear" w:color="auto" w:fill="auto"/>
            <w:vAlign w:val="center"/>
          </w:tcPr>
          <w:p w14:paraId="6822C444" w14:textId="00C92167"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87.1%</w:t>
            </w:r>
          </w:p>
        </w:tc>
        <w:tc>
          <w:tcPr>
            <w:tcW w:w="1207" w:type="dxa"/>
            <w:tcBorders>
              <w:right w:val="single" w:sz="4" w:space="0" w:color="auto"/>
            </w:tcBorders>
          </w:tcPr>
          <w:p w14:paraId="18D0644F" w14:textId="5CF4B7C4"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87.1%</w:t>
            </w:r>
          </w:p>
        </w:tc>
        <w:tc>
          <w:tcPr>
            <w:tcW w:w="1207" w:type="dxa"/>
            <w:tcBorders>
              <w:left w:val="single" w:sz="4" w:space="0" w:color="auto"/>
              <w:right w:val="single" w:sz="12" w:space="0" w:color="auto"/>
            </w:tcBorders>
            <w:shd w:val="clear" w:color="auto" w:fill="auto"/>
            <w:vAlign w:val="center"/>
          </w:tcPr>
          <w:p w14:paraId="0DA4EAFE" w14:textId="716CB563" w:rsidR="00A831D3" w:rsidRPr="003366FB" w:rsidRDefault="00A831D3" w:rsidP="00A2453E">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87.1%</w:t>
            </w:r>
          </w:p>
        </w:tc>
      </w:tr>
      <w:tr w:rsidR="00A831D3" w14:paraId="14E2F63B" w14:textId="77777777" w:rsidTr="00C5018E">
        <w:trPr>
          <w:cantSplit/>
          <w:jc w:val="center"/>
        </w:trPr>
        <w:tc>
          <w:tcPr>
            <w:tcW w:w="2418" w:type="dxa"/>
            <w:tcBorders>
              <w:left w:val="single" w:sz="12" w:space="0" w:color="auto"/>
              <w:right w:val="single" w:sz="4" w:space="0" w:color="auto"/>
            </w:tcBorders>
          </w:tcPr>
          <w:p w14:paraId="11E9F283" w14:textId="77777777" w:rsidR="00A831D3" w:rsidRPr="00B674A0" w:rsidRDefault="00A831D3" w:rsidP="00A2453E">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Patient Days</w:t>
            </w:r>
          </w:p>
        </w:tc>
        <w:tc>
          <w:tcPr>
            <w:tcW w:w="1207" w:type="dxa"/>
            <w:tcBorders>
              <w:left w:val="single" w:sz="4" w:space="0" w:color="auto"/>
              <w:bottom w:val="single" w:sz="4" w:space="0" w:color="auto"/>
              <w:right w:val="single" w:sz="4" w:space="0" w:color="auto"/>
            </w:tcBorders>
            <w:vAlign w:val="center"/>
          </w:tcPr>
          <w:p w14:paraId="57094D27" w14:textId="6C4913E8" w:rsidR="00A831D3" w:rsidRPr="003366FB" w:rsidRDefault="00A831D3" w:rsidP="00A2453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118,118</w:t>
            </w:r>
          </w:p>
        </w:tc>
        <w:tc>
          <w:tcPr>
            <w:tcW w:w="1207" w:type="dxa"/>
            <w:tcBorders>
              <w:left w:val="single" w:sz="4" w:space="0" w:color="auto"/>
              <w:bottom w:val="single" w:sz="4" w:space="0" w:color="auto"/>
            </w:tcBorders>
            <w:shd w:val="clear" w:color="auto" w:fill="auto"/>
            <w:vAlign w:val="center"/>
          </w:tcPr>
          <w:p w14:paraId="1AE1A889" w14:textId="35ED5D55" w:rsidR="00A831D3" w:rsidRPr="003366FB" w:rsidRDefault="00A831D3" w:rsidP="00A2453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121,950</w:t>
            </w:r>
          </w:p>
        </w:tc>
        <w:tc>
          <w:tcPr>
            <w:tcW w:w="1207" w:type="dxa"/>
            <w:tcBorders>
              <w:bottom w:val="single" w:sz="4" w:space="0" w:color="auto"/>
              <w:right w:val="single" w:sz="4" w:space="0" w:color="auto"/>
            </w:tcBorders>
            <w:shd w:val="clear" w:color="auto" w:fill="auto"/>
            <w:vAlign w:val="center"/>
          </w:tcPr>
          <w:p w14:paraId="5E0B61AA" w14:textId="3623DA03" w:rsidR="00A831D3" w:rsidRPr="003366FB" w:rsidRDefault="00A831D3" w:rsidP="00A2453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123,399</w:t>
            </w:r>
          </w:p>
        </w:tc>
        <w:tc>
          <w:tcPr>
            <w:tcW w:w="1207" w:type="dxa"/>
            <w:tcBorders>
              <w:bottom w:val="single" w:sz="4" w:space="0" w:color="auto"/>
              <w:right w:val="single" w:sz="4" w:space="0" w:color="auto"/>
            </w:tcBorders>
          </w:tcPr>
          <w:p w14:paraId="75AEA50D" w14:textId="04AAED13" w:rsidR="00A831D3" w:rsidRPr="003366FB" w:rsidRDefault="00A831D3" w:rsidP="00A2453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123,399</w:t>
            </w:r>
          </w:p>
        </w:tc>
        <w:tc>
          <w:tcPr>
            <w:tcW w:w="1207" w:type="dxa"/>
            <w:tcBorders>
              <w:left w:val="single" w:sz="4" w:space="0" w:color="auto"/>
              <w:bottom w:val="single" w:sz="4" w:space="0" w:color="auto"/>
              <w:right w:val="single" w:sz="12" w:space="0" w:color="auto"/>
            </w:tcBorders>
            <w:shd w:val="clear" w:color="auto" w:fill="auto"/>
            <w:vAlign w:val="center"/>
          </w:tcPr>
          <w:p w14:paraId="47FECBF3" w14:textId="6AB6A2EE" w:rsidR="00A831D3" w:rsidRPr="003366FB" w:rsidRDefault="00A831D3" w:rsidP="00A2453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123,399</w:t>
            </w:r>
          </w:p>
        </w:tc>
      </w:tr>
      <w:tr w:rsidR="00B87882" w14:paraId="2772003C" w14:textId="77777777" w:rsidTr="00C5018E">
        <w:trPr>
          <w:cantSplit/>
          <w:jc w:val="center"/>
        </w:trPr>
        <w:tc>
          <w:tcPr>
            <w:tcW w:w="2418" w:type="dxa"/>
            <w:tcBorders>
              <w:left w:val="single" w:sz="12" w:space="0" w:color="auto"/>
              <w:right w:val="nil"/>
            </w:tcBorders>
            <w:shd w:val="clear" w:color="auto" w:fill="BFBFBF"/>
            <w:vAlign w:val="center"/>
          </w:tcPr>
          <w:p w14:paraId="79FE058D" w14:textId="77777777" w:rsidR="00B87882" w:rsidRPr="00C06DC9" w:rsidRDefault="00B87882" w:rsidP="00F23A9F">
            <w:pPr>
              <w:pStyle w:val="NormalWeb"/>
              <w:spacing w:before="0" w:beforeAutospacing="0" w:after="0" w:afterAutospacing="0"/>
              <w:rPr>
                <w:rFonts w:ascii="Arial Narrow" w:hAnsi="Arial Narrow" w:cs="Arial"/>
                <w:sz w:val="22"/>
                <w:szCs w:val="22"/>
              </w:rPr>
            </w:pPr>
            <w:r>
              <w:rPr>
                <w:rFonts w:ascii="Arial Narrow" w:hAnsi="Arial Narrow" w:cs="Arial"/>
                <w:b/>
                <w:bCs/>
                <w:sz w:val="22"/>
                <w:szCs w:val="22"/>
              </w:rPr>
              <w:t>ICU Beds</w:t>
            </w:r>
            <w:r>
              <w:rPr>
                <w:rFonts w:ascii="ZWAdobeF" w:hAnsi="ZWAdobeF" w:cs="ZWAdobeF"/>
                <w:bCs/>
                <w:sz w:val="2"/>
                <w:szCs w:val="2"/>
              </w:rPr>
              <w:t>50F</w:t>
            </w:r>
            <w:r>
              <w:rPr>
                <w:rStyle w:val="EndnoteReference"/>
                <w:rFonts w:ascii="Arial Narrow" w:hAnsi="Arial Narrow" w:cs="Arial"/>
                <w:b/>
                <w:bCs/>
                <w:sz w:val="22"/>
                <w:szCs w:val="22"/>
              </w:rPr>
              <w:endnoteReference w:id="8"/>
            </w:r>
          </w:p>
        </w:tc>
        <w:tc>
          <w:tcPr>
            <w:tcW w:w="1207" w:type="dxa"/>
            <w:tcBorders>
              <w:left w:val="nil"/>
              <w:right w:val="nil"/>
            </w:tcBorders>
            <w:shd w:val="clear" w:color="auto" w:fill="BFBFBF"/>
            <w:vAlign w:val="center"/>
          </w:tcPr>
          <w:p w14:paraId="2127FB58" w14:textId="77777777" w:rsidR="00B87882" w:rsidRPr="00C06DC9" w:rsidRDefault="00B87882" w:rsidP="00F23A9F">
            <w:pPr>
              <w:pStyle w:val="NormalWeb"/>
              <w:spacing w:before="0" w:beforeAutospacing="0" w:after="0" w:afterAutospacing="0"/>
              <w:rPr>
                <w:rFonts w:ascii="Arial Narrow" w:hAnsi="Arial Narrow" w:cs="Arial"/>
                <w:sz w:val="22"/>
                <w:szCs w:val="22"/>
              </w:rPr>
            </w:pPr>
          </w:p>
        </w:tc>
        <w:tc>
          <w:tcPr>
            <w:tcW w:w="1207" w:type="dxa"/>
            <w:tcBorders>
              <w:left w:val="nil"/>
              <w:right w:val="nil"/>
            </w:tcBorders>
            <w:shd w:val="clear" w:color="auto" w:fill="BFBFBF"/>
            <w:vAlign w:val="center"/>
          </w:tcPr>
          <w:p w14:paraId="15E22208" w14:textId="77777777" w:rsidR="00B87882" w:rsidRPr="00C06DC9" w:rsidRDefault="00B87882" w:rsidP="00F23A9F">
            <w:pPr>
              <w:pStyle w:val="NormalWeb"/>
              <w:spacing w:before="0" w:beforeAutospacing="0" w:after="0" w:afterAutospacing="0"/>
              <w:rPr>
                <w:rFonts w:ascii="Arial Narrow" w:hAnsi="Arial Narrow" w:cs="Arial"/>
                <w:sz w:val="22"/>
                <w:szCs w:val="22"/>
              </w:rPr>
            </w:pPr>
          </w:p>
        </w:tc>
        <w:tc>
          <w:tcPr>
            <w:tcW w:w="1207" w:type="dxa"/>
            <w:tcBorders>
              <w:left w:val="nil"/>
              <w:right w:val="nil"/>
            </w:tcBorders>
            <w:shd w:val="clear" w:color="auto" w:fill="BFBFBF"/>
            <w:vAlign w:val="center"/>
          </w:tcPr>
          <w:p w14:paraId="1F405630" w14:textId="77777777" w:rsidR="00B87882" w:rsidRPr="00C06DC9" w:rsidRDefault="00B87882" w:rsidP="00F23A9F">
            <w:pPr>
              <w:pStyle w:val="NormalWeb"/>
              <w:spacing w:before="0" w:beforeAutospacing="0" w:after="0" w:afterAutospacing="0"/>
              <w:rPr>
                <w:rFonts w:ascii="Arial Narrow" w:hAnsi="Arial Narrow" w:cs="Arial"/>
                <w:sz w:val="22"/>
                <w:szCs w:val="22"/>
              </w:rPr>
            </w:pPr>
          </w:p>
        </w:tc>
        <w:tc>
          <w:tcPr>
            <w:tcW w:w="1207" w:type="dxa"/>
            <w:tcBorders>
              <w:left w:val="nil"/>
              <w:right w:val="nil"/>
            </w:tcBorders>
            <w:shd w:val="clear" w:color="auto" w:fill="BFBFBF"/>
            <w:vAlign w:val="center"/>
          </w:tcPr>
          <w:p w14:paraId="02373BA5" w14:textId="77777777" w:rsidR="00B87882" w:rsidRPr="00C06DC9" w:rsidRDefault="00B87882" w:rsidP="00F23A9F">
            <w:pPr>
              <w:pStyle w:val="NormalWeb"/>
              <w:spacing w:before="0" w:beforeAutospacing="0" w:after="0" w:afterAutospacing="0"/>
              <w:rPr>
                <w:rFonts w:ascii="Arial Narrow" w:hAnsi="Arial Narrow" w:cs="Arial"/>
                <w:sz w:val="22"/>
                <w:szCs w:val="22"/>
              </w:rPr>
            </w:pPr>
          </w:p>
        </w:tc>
        <w:tc>
          <w:tcPr>
            <w:tcW w:w="1207" w:type="dxa"/>
            <w:tcBorders>
              <w:left w:val="nil"/>
              <w:right w:val="single" w:sz="12" w:space="0" w:color="auto"/>
            </w:tcBorders>
            <w:shd w:val="clear" w:color="auto" w:fill="BFBFBF"/>
            <w:vAlign w:val="center"/>
          </w:tcPr>
          <w:p w14:paraId="620CFDD0" w14:textId="21BD65FB" w:rsidR="00B87882" w:rsidRPr="00C06DC9" w:rsidRDefault="00B87882" w:rsidP="00F23A9F">
            <w:pPr>
              <w:pStyle w:val="NormalWeb"/>
              <w:spacing w:before="0" w:beforeAutospacing="0" w:after="0" w:afterAutospacing="0"/>
              <w:rPr>
                <w:rFonts w:ascii="Arial Narrow" w:hAnsi="Arial Narrow" w:cs="Arial"/>
                <w:sz w:val="22"/>
                <w:szCs w:val="22"/>
              </w:rPr>
            </w:pPr>
          </w:p>
        </w:tc>
      </w:tr>
      <w:tr w:rsidR="00A56D79" w14:paraId="3BA7F4A3" w14:textId="77777777" w:rsidTr="00C5018E">
        <w:trPr>
          <w:cantSplit/>
          <w:jc w:val="center"/>
        </w:trPr>
        <w:tc>
          <w:tcPr>
            <w:tcW w:w="2418" w:type="dxa"/>
            <w:tcBorders>
              <w:left w:val="single" w:sz="12" w:space="0" w:color="auto"/>
              <w:right w:val="single" w:sz="4" w:space="0" w:color="auto"/>
            </w:tcBorders>
          </w:tcPr>
          <w:p w14:paraId="5B7FD84F"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Unique Patients</w:t>
            </w:r>
          </w:p>
        </w:tc>
        <w:tc>
          <w:tcPr>
            <w:tcW w:w="1207" w:type="dxa"/>
            <w:tcBorders>
              <w:left w:val="single" w:sz="4" w:space="0" w:color="auto"/>
              <w:right w:val="single" w:sz="4" w:space="0" w:color="auto"/>
            </w:tcBorders>
            <w:vAlign w:val="center"/>
          </w:tcPr>
          <w:p w14:paraId="529A38B9" w14:textId="3B4F230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3,948</w:t>
            </w:r>
          </w:p>
        </w:tc>
        <w:tc>
          <w:tcPr>
            <w:tcW w:w="1207" w:type="dxa"/>
            <w:tcBorders>
              <w:left w:val="single" w:sz="4" w:space="0" w:color="auto"/>
            </w:tcBorders>
            <w:shd w:val="clear" w:color="auto" w:fill="auto"/>
            <w:vAlign w:val="center"/>
          </w:tcPr>
          <w:p w14:paraId="017EEBE0" w14:textId="3F649EB9"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4,105</w:t>
            </w:r>
          </w:p>
        </w:tc>
        <w:tc>
          <w:tcPr>
            <w:tcW w:w="1207" w:type="dxa"/>
            <w:tcBorders>
              <w:right w:val="single" w:sz="4" w:space="0" w:color="auto"/>
            </w:tcBorders>
            <w:shd w:val="clear" w:color="auto" w:fill="auto"/>
            <w:vAlign w:val="center"/>
          </w:tcPr>
          <w:p w14:paraId="7D2B9B9B" w14:textId="6E699CDC"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4,114</w:t>
            </w:r>
          </w:p>
        </w:tc>
        <w:tc>
          <w:tcPr>
            <w:tcW w:w="1207" w:type="dxa"/>
            <w:tcBorders>
              <w:right w:val="single" w:sz="4" w:space="0" w:color="auto"/>
            </w:tcBorders>
          </w:tcPr>
          <w:p w14:paraId="0CFD8219" w14:textId="55CCA980"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4,114</w:t>
            </w:r>
          </w:p>
        </w:tc>
        <w:tc>
          <w:tcPr>
            <w:tcW w:w="1207" w:type="dxa"/>
            <w:tcBorders>
              <w:left w:val="single" w:sz="4" w:space="0" w:color="auto"/>
              <w:right w:val="single" w:sz="12" w:space="0" w:color="auto"/>
            </w:tcBorders>
            <w:shd w:val="clear" w:color="auto" w:fill="auto"/>
            <w:vAlign w:val="center"/>
          </w:tcPr>
          <w:p w14:paraId="7474B09A" w14:textId="432EE21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4,114</w:t>
            </w:r>
          </w:p>
        </w:tc>
      </w:tr>
      <w:tr w:rsidR="00A56D79" w14:paraId="0F536B72" w14:textId="77777777" w:rsidTr="00C5018E">
        <w:trPr>
          <w:cantSplit/>
          <w:jc w:val="center"/>
        </w:trPr>
        <w:tc>
          <w:tcPr>
            <w:tcW w:w="2418" w:type="dxa"/>
            <w:tcBorders>
              <w:left w:val="single" w:sz="12" w:space="0" w:color="auto"/>
              <w:right w:val="single" w:sz="4" w:space="0" w:color="auto"/>
            </w:tcBorders>
          </w:tcPr>
          <w:p w14:paraId="3560F23F"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Visits</w:t>
            </w:r>
          </w:p>
        </w:tc>
        <w:tc>
          <w:tcPr>
            <w:tcW w:w="1207" w:type="dxa"/>
            <w:tcBorders>
              <w:left w:val="single" w:sz="4" w:space="0" w:color="auto"/>
              <w:right w:val="single" w:sz="4" w:space="0" w:color="auto"/>
            </w:tcBorders>
            <w:vAlign w:val="center"/>
          </w:tcPr>
          <w:p w14:paraId="633A3D57" w14:textId="7B35D09A"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4,327</w:t>
            </w:r>
          </w:p>
        </w:tc>
        <w:tc>
          <w:tcPr>
            <w:tcW w:w="1207" w:type="dxa"/>
            <w:tcBorders>
              <w:left w:val="single" w:sz="4" w:space="0" w:color="auto"/>
            </w:tcBorders>
            <w:shd w:val="clear" w:color="auto" w:fill="auto"/>
            <w:vAlign w:val="center"/>
          </w:tcPr>
          <w:p w14:paraId="4C50265F" w14:textId="76D6FB80"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4,497</w:t>
            </w:r>
          </w:p>
        </w:tc>
        <w:tc>
          <w:tcPr>
            <w:tcW w:w="1207" w:type="dxa"/>
            <w:tcBorders>
              <w:right w:val="single" w:sz="4" w:space="0" w:color="auto"/>
            </w:tcBorders>
            <w:shd w:val="clear" w:color="auto" w:fill="auto"/>
            <w:vAlign w:val="center"/>
          </w:tcPr>
          <w:p w14:paraId="39DCD657" w14:textId="07F771D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4,506</w:t>
            </w:r>
          </w:p>
        </w:tc>
        <w:tc>
          <w:tcPr>
            <w:tcW w:w="1207" w:type="dxa"/>
            <w:tcBorders>
              <w:right w:val="single" w:sz="4" w:space="0" w:color="auto"/>
            </w:tcBorders>
          </w:tcPr>
          <w:p w14:paraId="68179A8D" w14:textId="0D380391"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4,506</w:t>
            </w:r>
          </w:p>
        </w:tc>
        <w:tc>
          <w:tcPr>
            <w:tcW w:w="1207" w:type="dxa"/>
            <w:tcBorders>
              <w:left w:val="single" w:sz="4" w:space="0" w:color="auto"/>
              <w:right w:val="single" w:sz="12" w:space="0" w:color="auto"/>
            </w:tcBorders>
            <w:shd w:val="clear" w:color="auto" w:fill="auto"/>
            <w:vAlign w:val="center"/>
          </w:tcPr>
          <w:p w14:paraId="6C90EFFB" w14:textId="0B84560F"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4,506</w:t>
            </w:r>
          </w:p>
        </w:tc>
      </w:tr>
      <w:tr w:rsidR="00A56D79" w14:paraId="09011DC3" w14:textId="77777777" w:rsidTr="00C5018E">
        <w:trPr>
          <w:cantSplit/>
          <w:jc w:val="center"/>
        </w:trPr>
        <w:tc>
          <w:tcPr>
            <w:tcW w:w="2418" w:type="dxa"/>
            <w:tcBorders>
              <w:left w:val="single" w:sz="12" w:space="0" w:color="auto"/>
              <w:right w:val="single" w:sz="4" w:space="0" w:color="auto"/>
            </w:tcBorders>
          </w:tcPr>
          <w:p w14:paraId="0E4DA040"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Discharges</w:t>
            </w:r>
          </w:p>
        </w:tc>
        <w:tc>
          <w:tcPr>
            <w:tcW w:w="1207" w:type="dxa"/>
            <w:tcBorders>
              <w:left w:val="single" w:sz="4" w:space="0" w:color="auto"/>
              <w:right w:val="single" w:sz="4" w:space="0" w:color="auto"/>
            </w:tcBorders>
            <w:vAlign w:val="center"/>
          </w:tcPr>
          <w:p w14:paraId="530974B1" w14:textId="1003E4D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4,046</w:t>
            </w:r>
          </w:p>
        </w:tc>
        <w:tc>
          <w:tcPr>
            <w:tcW w:w="1207" w:type="dxa"/>
            <w:tcBorders>
              <w:left w:val="single" w:sz="4" w:space="0" w:color="auto"/>
            </w:tcBorders>
            <w:shd w:val="clear" w:color="auto" w:fill="auto"/>
            <w:vAlign w:val="center"/>
          </w:tcPr>
          <w:p w14:paraId="2CCE820B" w14:textId="5D556985"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4,204</w:t>
            </w:r>
          </w:p>
        </w:tc>
        <w:tc>
          <w:tcPr>
            <w:tcW w:w="1207" w:type="dxa"/>
            <w:tcBorders>
              <w:right w:val="single" w:sz="4" w:space="0" w:color="auto"/>
            </w:tcBorders>
            <w:shd w:val="clear" w:color="auto" w:fill="auto"/>
            <w:vAlign w:val="center"/>
          </w:tcPr>
          <w:p w14:paraId="095FAE60" w14:textId="00937C6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4,213</w:t>
            </w:r>
          </w:p>
        </w:tc>
        <w:tc>
          <w:tcPr>
            <w:tcW w:w="1207" w:type="dxa"/>
            <w:tcBorders>
              <w:right w:val="single" w:sz="4" w:space="0" w:color="auto"/>
            </w:tcBorders>
          </w:tcPr>
          <w:p w14:paraId="36B14C34" w14:textId="25549A7D"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4,213</w:t>
            </w:r>
          </w:p>
        </w:tc>
        <w:tc>
          <w:tcPr>
            <w:tcW w:w="1207" w:type="dxa"/>
            <w:tcBorders>
              <w:left w:val="single" w:sz="4" w:space="0" w:color="auto"/>
              <w:right w:val="single" w:sz="12" w:space="0" w:color="auto"/>
            </w:tcBorders>
            <w:shd w:val="clear" w:color="auto" w:fill="auto"/>
            <w:vAlign w:val="center"/>
          </w:tcPr>
          <w:p w14:paraId="4AC52AA0" w14:textId="506C2841"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4,213</w:t>
            </w:r>
          </w:p>
        </w:tc>
      </w:tr>
      <w:tr w:rsidR="00A56D79" w14:paraId="75B23369" w14:textId="77777777" w:rsidTr="00C5018E">
        <w:trPr>
          <w:cantSplit/>
          <w:jc w:val="center"/>
        </w:trPr>
        <w:tc>
          <w:tcPr>
            <w:tcW w:w="2418" w:type="dxa"/>
            <w:tcBorders>
              <w:left w:val="single" w:sz="12" w:space="0" w:color="auto"/>
              <w:right w:val="single" w:sz="4" w:space="0" w:color="auto"/>
            </w:tcBorders>
          </w:tcPr>
          <w:p w14:paraId="0ADF68F5"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Case Weight</w:t>
            </w:r>
          </w:p>
        </w:tc>
        <w:tc>
          <w:tcPr>
            <w:tcW w:w="1207" w:type="dxa"/>
            <w:tcBorders>
              <w:left w:val="single" w:sz="4" w:space="0" w:color="auto"/>
              <w:right w:val="single" w:sz="4" w:space="0" w:color="auto"/>
            </w:tcBorders>
            <w:vAlign w:val="center"/>
          </w:tcPr>
          <w:p w14:paraId="37CA2B70" w14:textId="23B1D0FF"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13,191</w:t>
            </w:r>
          </w:p>
        </w:tc>
        <w:tc>
          <w:tcPr>
            <w:tcW w:w="1207" w:type="dxa"/>
            <w:tcBorders>
              <w:left w:val="single" w:sz="4" w:space="0" w:color="auto"/>
            </w:tcBorders>
            <w:shd w:val="clear" w:color="auto" w:fill="auto"/>
            <w:vAlign w:val="center"/>
          </w:tcPr>
          <w:p w14:paraId="61F13683" w14:textId="095B91F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13,706</w:t>
            </w:r>
          </w:p>
        </w:tc>
        <w:tc>
          <w:tcPr>
            <w:tcW w:w="1207" w:type="dxa"/>
            <w:tcBorders>
              <w:right w:val="single" w:sz="4" w:space="0" w:color="auto"/>
            </w:tcBorders>
            <w:shd w:val="clear" w:color="auto" w:fill="auto"/>
            <w:vAlign w:val="center"/>
          </w:tcPr>
          <w:p w14:paraId="7DC51CB9" w14:textId="2A63E60F"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13,734</w:t>
            </w:r>
          </w:p>
        </w:tc>
        <w:tc>
          <w:tcPr>
            <w:tcW w:w="1207" w:type="dxa"/>
            <w:tcBorders>
              <w:right w:val="single" w:sz="4" w:space="0" w:color="auto"/>
            </w:tcBorders>
          </w:tcPr>
          <w:p w14:paraId="0DEBDCF2" w14:textId="4C5A43AA"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13,734</w:t>
            </w:r>
          </w:p>
        </w:tc>
        <w:tc>
          <w:tcPr>
            <w:tcW w:w="1207" w:type="dxa"/>
            <w:tcBorders>
              <w:left w:val="single" w:sz="4" w:space="0" w:color="auto"/>
              <w:right w:val="single" w:sz="12" w:space="0" w:color="auto"/>
            </w:tcBorders>
            <w:shd w:val="clear" w:color="auto" w:fill="auto"/>
            <w:vAlign w:val="center"/>
          </w:tcPr>
          <w:p w14:paraId="2C87ED95" w14:textId="3B6CC49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13,734</w:t>
            </w:r>
          </w:p>
        </w:tc>
      </w:tr>
      <w:tr w:rsidR="00A56D79" w14:paraId="7AE17DB9" w14:textId="77777777" w:rsidTr="00C5018E">
        <w:trPr>
          <w:cantSplit/>
          <w:jc w:val="center"/>
        </w:trPr>
        <w:tc>
          <w:tcPr>
            <w:tcW w:w="2418" w:type="dxa"/>
            <w:tcBorders>
              <w:left w:val="single" w:sz="12" w:space="0" w:color="auto"/>
              <w:right w:val="single" w:sz="4" w:space="0" w:color="auto"/>
            </w:tcBorders>
          </w:tcPr>
          <w:p w14:paraId="506B2B85"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CMI</w:t>
            </w:r>
          </w:p>
        </w:tc>
        <w:tc>
          <w:tcPr>
            <w:tcW w:w="1207" w:type="dxa"/>
            <w:tcBorders>
              <w:left w:val="single" w:sz="4" w:space="0" w:color="auto"/>
              <w:right w:val="single" w:sz="4" w:space="0" w:color="auto"/>
            </w:tcBorders>
            <w:vAlign w:val="center"/>
          </w:tcPr>
          <w:p w14:paraId="3A716835" w14:textId="133CF352"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left w:val="single" w:sz="4" w:space="0" w:color="auto"/>
            </w:tcBorders>
            <w:shd w:val="clear" w:color="auto" w:fill="auto"/>
            <w:vAlign w:val="center"/>
          </w:tcPr>
          <w:p w14:paraId="2BB77965" w14:textId="10177516"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right w:val="single" w:sz="4" w:space="0" w:color="auto"/>
            </w:tcBorders>
            <w:shd w:val="clear" w:color="auto" w:fill="auto"/>
            <w:vAlign w:val="center"/>
          </w:tcPr>
          <w:p w14:paraId="38B8DDC0" w14:textId="0E15D2F6"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right w:val="single" w:sz="4" w:space="0" w:color="auto"/>
            </w:tcBorders>
          </w:tcPr>
          <w:p w14:paraId="271FE239" w14:textId="2F1C74C4"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left w:val="single" w:sz="4" w:space="0" w:color="auto"/>
              <w:right w:val="single" w:sz="12" w:space="0" w:color="auto"/>
            </w:tcBorders>
            <w:shd w:val="clear" w:color="auto" w:fill="auto"/>
            <w:vAlign w:val="center"/>
          </w:tcPr>
          <w:p w14:paraId="0D366586" w14:textId="45BCE45D"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r>
      <w:tr w:rsidR="00A56D79" w14:paraId="29F4ECFB" w14:textId="77777777" w:rsidTr="00C5018E">
        <w:trPr>
          <w:cantSplit/>
          <w:jc w:val="center"/>
        </w:trPr>
        <w:tc>
          <w:tcPr>
            <w:tcW w:w="2418" w:type="dxa"/>
            <w:tcBorders>
              <w:left w:val="single" w:sz="12" w:space="0" w:color="auto"/>
              <w:right w:val="single" w:sz="4" w:space="0" w:color="auto"/>
            </w:tcBorders>
          </w:tcPr>
          <w:p w14:paraId="37A11D51"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ALOS</w:t>
            </w:r>
          </w:p>
        </w:tc>
        <w:tc>
          <w:tcPr>
            <w:tcW w:w="1207" w:type="dxa"/>
            <w:tcBorders>
              <w:left w:val="single" w:sz="4" w:space="0" w:color="auto"/>
              <w:right w:val="single" w:sz="4" w:space="0" w:color="auto"/>
            </w:tcBorders>
            <w:vAlign w:val="center"/>
          </w:tcPr>
          <w:p w14:paraId="3AEE70B0" w14:textId="3D47EC98"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left w:val="single" w:sz="4" w:space="0" w:color="auto"/>
            </w:tcBorders>
            <w:shd w:val="clear" w:color="auto" w:fill="auto"/>
            <w:vAlign w:val="center"/>
          </w:tcPr>
          <w:p w14:paraId="6865D59E" w14:textId="0A366A29"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right w:val="single" w:sz="4" w:space="0" w:color="auto"/>
            </w:tcBorders>
            <w:shd w:val="clear" w:color="auto" w:fill="auto"/>
            <w:vAlign w:val="center"/>
          </w:tcPr>
          <w:p w14:paraId="25C10BC1" w14:textId="05C4EBC1"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right w:val="single" w:sz="4" w:space="0" w:color="auto"/>
            </w:tcBorders>
          </w:tcPr>
          <w:p w14:paraId="79ECC087" w14:textId="650EB77E"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left w:val="single" w:sz="4" w:space="0" w:color="auto"/>
              <w:right w:val="single" w:sz="12" w:space="0" w:color="auto"/>
            </w:tcBorders>
            <w:shd w:val="clear" w:color="auto" w:fill="auto"/>
            <w:vAlign w:val="center"/>
          </w:tcPr>
          <w:p w14:paraId="0AA2FDF2" w14:textId="6AD96DE9"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r>
      <w:tr w:rsidR="00A56D79" w14:paraId="548EECC4" w14:textId="77777777" w:rsidTr="00C5018E">
        <w:trPr>
          <w:cantSplit/>
          <w:jc w:val="center"/>
        </w:trPr>
        <w:tc>
          <w:tcPr>
            <w:tcW w:w="2418" w:type="dxa"/>
            <w:tcBorders>
              <w:left w:val="single" w:sz="12" w:space="0" w:color="auto"/>
              <w:right w:val="single" w:sz="4" w:space="0" w:color="auto"/>
            </w:tcBorders>
          </w:tcPr>
          <w:p w14:paraId="34341846"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Occupancy</w:t>
            </w:r>
          </w:p>
        </w:tc>
        <w:tc>
          <w:tcPr>
            <w:tcW w:w="1207" w:type="dxa"/>
            <w:tcBorders>
              <w:left w:val="single" w:sz="4" w:space="0" w:color="auto"/>
              <w:right w:val="single" w:sz="4" w:space="0" w:color="auto"/>
            </w:tcBorders>
            <w:vAlign w:val="center"/>
          </w:tcPr>
          <w:p w14:paraId="4D940D05" w14:textId="53AF4E11"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79.4%</w:t>
            </w:r>
          </w:p>
        </w:tc>
        <w:tc>
          <w:tcPr>
            <w:tcW w:w="1207" w:type="dxa"/>
            <w:tcBorders>
              <w:left w:val="single" w:sz="4" w:space="0" w:color="auto"/>
            </w:tcBorders>
            <w:shd w:val="clear" w:color="auto" w:fill="auto"/>
            <w:vAlign w:val="center"/>
          </w:tcPr>
          <w:p w14:paraId="43C45F9E" w14:textId="0F25B30C"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85.0%</w:t>
            </w:r>
          </w:p>
        </w:tc>
        <w:tc>
          <w:tcPr>
            <w:tcW w:w="1207" w:type="dxa"/>
            <w:tcBorders>
              <w:right w:val="single" w:sz="4" w:space="0" w:color="auto"/>
            </w:tcBorders>
            <w:shd w:val="clear" w:color="auto" w:fill="auto"/>
            <w:vAlign w:val="center"/>
          </w:tcPr>
          <w:p w14:paraId="5F951254" w14:textId="5D257040"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85.2%</w:t>
            </w:r>
          </w:p>
        </w:tc>
        <w:tc>
          <w:tcPr>
            <w:tcW w:w="1207" w:type="dxa"/>
            <w:tcBorders>
              <w:right w:val="single" w:sz="4" w:space="0" w:color="auto"/>
            </w:tcBorders>
          </w:tcPr>
          <w:p w14:paraId="74ED09DD" w14:textId="1D31DF9B"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85.2%</w:t>
            </w:r>
          </w:p>
        </w:tc>
        <w:tc>
          <w:tcPr>
            <w:tcW w:w="1207" w:type="dxa"/>
            <w:tcBorders>
              <w:left w:val="single" w:sz="4" w:space="0" w:color="auto"/>
              <w:right w:val="single" w:sz="12" w:space="0" w:color="auto"/>
            </w:tcBorders>
            <w:shd w:val="clear" w:color="auto" w:fill="auto"/>
            <w:vAlign w:val="center"/>
          </w:tcPr>
          <w:p w14:paraId="44A04BF6" w14:textId="6FD459AA" w:rsidR="00A56D79" w:rsidRPr="003366FB" w:rsidRDefault="00A56D79" w:rsidP="00A56D79">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85.2%</w:t>
            </w:r>
          </w:p>
        </w:tc>
      </w:tr>
      <w:tr w:rsidR="00A56D79" w14:paraId="7BB40854" w14:textId="77777777" w:rsidTr="00C5018E">
        <w:trPr>
          <w:cantSplit/>
          <w:jc w:val="center"/>
        </w:trPr>
        <w:tc>
          <w:tcPr>
            <w:tcW w:w="2418" w:type="dxa"/>
            <w:tcBorders>
              <w:left w:val="single" w:sz="12" w:space="0" w:color="auto"/>
              <w:right w:val="single" w:sz="4" w:space="0" w:color="auto"/>
            </w:tcBorders>
          </w:tcPr>
          <w:p w14:paraId="0A1DF139" w14:textId="77777777" w:rsidR="00A56D79" w:rsidRPr="00B674A0" w:rsidRDefault="00A56D79" w:rsidP="00A56D79">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Patient Days</w:t>
            </w:r>
          </w:p>
        </w:tc>
        <w:tc>
          <w:tcPr>
            <w:tcW w:w="1207" w:type="dxa"/>
            <w:tcBorders>
              <w:left w:val="single" w:sz="4" w:space="0" w:color="auto"/>
              <w:bottom w:val="single" w:sz="4" w:space="0" w:color="auto"/>
              <w:right w:val="single" w:sz="4" w:space="0" w:color="auto"/>
            </w:tcBorders>
            <w:vAlign w:val="center"/>
          </w:tcPr>
          <w:p w14:paraId="39BBDF44" w14:textId="25ADC66D" w:rsidR="00A56D79" w:rsidRPr="003366FB" w:rsidRDefault="00A56D79" w:rsidP="00A56D79">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21,163</w:t>
            </w:r>
          </w:p>
        </w:tc>
        <w:tc>
          <w:tcPr>
            <w:tcW w:w="1207" w:type="dxa"/>
            <w:tcBorders>
              <w:left w:val="single" w:sz="4" w:space="0" w:color="auto"/>
              <w:bottom w:val="single" w:sz="4" w:space="0" w:color="auto"/>
            </w:tcBorders>
            <w:shd w:val="clear" w:color="auto" w:fill="auto"/>
            <w:vAlign w:val="center"/>
          </w:tcPr>
          <w:p w14:paraId="7770F915" w14:textId="6413C613" w:rsidR="00A56D79" w:rsidRPr="003366FB" w:rsidRDefault="00A56D79" w:rsidP="00A56D79">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22,655</w:t>
            </w:r>
          </w:p>
        </w:tc>
        <w:tc>
          <w:tcPr>
            <w:tcW w:w="1207" w:type="dxa"/>
            <w:tcBorders>
              <w:bottom w:val="single" w:sz="4" w:space="0" w:color="auto"/>
              <w:right w:val="single" w:sz="4" w:space="0" w:color="auto"/>
            </w:tcBorders>
            <w:shd w:val="clear" w:color="auto" w:fill="auto"/>
            <w:vAlign w:val="center"/>
          </w:tcPr>
          <w:p w14:paraId="4410A279" w14:textId="2C64BA88" w:rsidR="00A56D79" w:rsidRPr="003366FB" w:rsidRDefault="00A56D79" w:rsidP="00A56D79">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22,711</w:t>
            </w:r>
          </w:p>
        </w:tc>
        <w:tc>
          <w:tcPr>
            <w:tcW w:w="1207" w:type="dxa"/>
            <w:tcBorders>
              <w:bottom w:val="single" w:sz="4" w:space="0" w:color="auto"/>
              <w:right w:val="single" w:sz="4" w:space="0" w:color="auto"/>
            </w:tcBorders>
          </w:tcPr>
          <w:p w14:paraId="4D35E1EF" w14:textId="60CBF8A8" w:rsidR="00A56D79" w:rsidRPr="003366FB" w:rsidRDefault="00A56D79" w:rsidP="00A56D79">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22,711</w:t>
            </w:r>
          </w:p>
        </w:tc>
        <w:tc>
          <w:tcPr>
            <w:tcW w:w="1207" w:type="dxa"/>
            <w:tcBorders>
              <w:left w:val="single" w:sz="4" w:space="0" w:color="auto"/>
              <w:bottom w:val="single" w:sz="4" w:space="0" w:color="auto"/>
              <w:right w:val="single" w:sz="12" w:space="0" w:color="auto"/>
            </w:tcBorders>
            <w:shd w:val="clear" w:color="auto" w:fill="auto"/>
            <w:vAlign w:val="center"/>
          </w:tcPr>
          <w:p w14:paraId="27296FD5" w14:textId="3C08F835" w:rsidR="00A56D79" w:rsidRPr="003366FB" w:rsidRDefault="00A56D79" w:rsidP="00A56D79">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22,711</w:t>
            </w:r>
          </w:p>
        </w:tc>
      </w:tr>
      <w:tr w:rsidR="005D3911" w14:paraId="4395382C" w14:textId="77777777" w:rsidTr="00C5018E">
        <w:trPr>
          <w:cantSplit/>
          <w:jc w:val="center"/>
        </w:trPr>
        <w:tc>
          <w:tcPr>
            <w:tcW w:w="2418" w:type="dxa"/>
            <w:tcBorders>
              <w:left w:val="single" w:sz="12" w:space="0" w:color="auto"/>
              <w:right w:val="nil"/>
            </w:tcBorders>
            <w:shd w:val="clear" w:color="auto" w:fill="BFBFBF"/>
            <w:vAlign w:val="center"/>
          </w:tcPr>
          <w:p w14:paraId="28C8A657" w14:textId="77777777" w:rsidR="005D3911" w:rsidRPr="00B674A0" w:rsidRDefault="005D3911" w:rsidP="00F23A9F">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Combined Beds</w:t>
            </w:r>
          </w:p>
        </w:tc>
        <w:tc>
          <w:tcPr>
            <w:tcW w:w="1207" w:type="dxa"/>
            <w:tcBorders>
              <w:left w:val="nil"/>
              <w:right w:val="nil"/>
            </w:tcBorders>
            <w:shd w:val="clear" w:color="auto" w:fill="BFBFBF"/>
            <w:vAlign w:val="center"/>
          </w:tcPr>
          <w:p w14:paraId="34A22C6D" w14:textId="77777777" w:rsidR="005D3911" w:rsidRPr="00B674A0" w:rsidRDefault="005D3911"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nil"/>
            </w:tcBorders>
            <w:shd w:val="clear" w:color="auto" w:fill="BFBFBF"/>
            <w:vAlign w:val="center"/>
          </w:tcPr>
          <w:p w14:paraId="4C8F1CC0" w14:textId="77777777" w:rsidR="005D3911" w:rsidRPr="00B674A0" w:rsidRDefault="005D3911"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nil"/>
            </w:tcBorders>
            <w:shd w:val="clear" w:color="auto" w:fill="BFBFBF"/>
            <w:vAlign w:val="center"/>
          </w:tcPr>
          <w:p w14:paraId="294ED2B5" w14:textId="77777777" w:rsidR="005D3911" w:rsidRPr="00B674A0" w:rsidRDefault="005D3911"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nil"/>
            </w:tcBorders>
            <w:shd w:val="clear" w:color="auto" w:fill="BFBFBF"/>
            <w:vAlign w:val="center"/>
          </w:tcPr>
          <w:p w14:paraId="4FF6453E" w14:textId="77777777" w:rsidR="005D3911" w:rsidRPr="00B674A0" w:rsidRDefault="005D3911" w:rsidP="00F23A9F">
            <w:pPr>
              <w:pStyle w:val="NormalWeb"/>
              <w:spacing w:before="0" w:beforeAutospacing="0" w:after="0" w:afterAutospacing="0"/>
              <w:rPr>
                <w:rFonts w:ascii="Arial Narrow" w:hAnsi="Arial Narrow" w:cs="Arial"/>
                <w:b/>
                <w:bCs/>
                <w:sz w:val="22"/>
                <w:szCs w:val="22"/>
              </w:rPr>
            </w:pPr>
          </w:p>
        </w:tc>
        <w:tc>
          <w:tcPr>
            <w:tcW w:w="1207" w:type="dxa"/>
            <w:tcBorders>
              <w:left w:val="nil"/>
              <w:right w:val="single" w:sz="12" w:space="0" w:color="auto"/>
            </w:tcBorders>
            <w:shd w:val="clear" w:color="auto" w:fill="BFBFBF"/>
            <w:vAlign w:val="center"/>
          </w:tcPr>
          <w:p w14:paraId="44B0896F" w14:textId="45A6BDB5" w:rsidR="005D3911" w:rsidRPr="00B674A0" w:rsidRDefault="005D3911" w:rsidP="00F23A9F">
            <w:pPr>
              <w:pStyle w:val="NormalWeb"/>
              <w:spacing w:before="0" w:beforeAutospacing="0" w:after="0" w:afterAutospacing="0"/>
              <w:rPr>
                <w:rFonts w:ascii="Arial Narrow" w:hAnsi="Arial Narrow" w:cs="Arial"/>
                <w:b/>
                <w:bCs/>
                <w:sz w:val="22"/>
                <w:szCs w:val="22"/>
              </w:rPr>
            </w:pPr>
          </w:p>
        </w:tc>
      </w:tr>
      <w:tr w:rsidR="00570EEE" w14:paraId="13F16D15" w14:textId="77777777" w:rsidTr="00C5018E">
        <w:trPr>
          <w:cantSplit/>
          <w:jc w:val="center"/>
        </w:trPr>
        <w:tc>
          <w:tcPr>
            <w:tcW w:w="2418" w:type="dxa"/>
            <w:tcBorders>
              <w:left w:val="single" w:sz="12" w:space="0" w:color="auto"/>
              <w:right w:val="single" w:sz="4" w:space="0" w:color="auto"/>
            </w:tcBorders>
          </w:tcPr>
          <w:p w14:paraId="4E98C973"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Unique Patients</w:t>
            </w:r>
          </w:p>
        </w:tc>
        <w:tc>
          <w:tcPr>
            <w:tcW w:w="1207" w:type="dxa"/>
            <w:tcBorders>
              <w:left w:val="single" w:sz="4" w:space="0" w:color="auto"/>
              <w:right w:val="single" w:sz="4" w:space="0" w:color="auto"/>
            </w:tcBorders>
            <w:vAlign w:val="center"/>
          </w:tcPr>
          <w:p w14:paraId="567515F8" w14:textId="1458427D"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17,092</w:t>
            </w:r>
          </w:p>
        </w:tc>
        <w:tc>
          <w:tcPr>
            <w:tcW w:w="1207" w:type="dxa"/>
            <w:tcBorders>
              <w:left w:val="single" w:sz="4" w:space="0" w:color="auto"/>
            </w:tcBorders>
            <w:shd w:val="clear" w:color="auto" w:fill="auto"/>
            <w:vAlign w:val="center"/>
          </w:tcPr>
          <w:p w14:paraId="64D8B916" w14:textId="02E4BC42"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17,882</w:t>
            </w:r>
          </w:p>
        </w:tc>
        <w:tc>
          <w:tcPr>
            <w:tcW w:w="1207" w:type="dxa"/>
            <w:tcBorders>
              <w:right w:val="single" w:sz="4" w:space="0" w:color="auto"/>
            </w:tcBorders>
            <w:shd w:val="clear" w:color="auto" w:fill="auto"/>
            <w:vAlign w:val="center"/>
          </w:tcPr>
          <w:p w14:paraId="694173B5" w14:textId="343AB529"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18,129</w:t>
            </w:r>
          </w:p>
        </w:tc>
        <w:tc>
          <w:tcPr>
            <w:tcW w:w="1207" w:type="dxa"/>
            <w:tcBorders>
              <w:right w:val="single" w:sz="4" w:space="0" w:color="auto"/>
            </w:tcBorders>
          </w:tcPr>
          <w:p w14:paraId="0F00C41E" w14:textId="2887B4F1" w:rsidR="00570EEE" w:rsidRPr="00C06DC9" w:rsidRDefault="00570EEE" w:rsidP="00570EEE">
            <w:pPr>
              <w:pStyle w:val="NormalWeb"/>
              <w:spacing w:before="0" w:beforeAutospacing="0" w:after="0" w:afterAutospacing="0"/>
              <w:jc w:val="center"/>
              <w:rPr>
                <w:rStyle w:val="CommentReference"/>
                <w:rFonts w:ascii="Arial Narrow" w:hAnsi="Arial Narrow"/>
                <w:sz w:val="22"/>
                <w:szCs w:val="22"/>
              </w:rPr>
            </w:pPr>
            <w:r w:rsidRPr="00C06DC9">
              <w:rPr>
                <w:rFonts w:ascii="Arial Narrow" w:hAnsi="Arial Narrow" w:cs="Arial"/>
                <w:sz w:val="22"/>
                <w:szCs w:val="22"/>
              </w:rPr>
              <w:t>18,129</w:t>
            </w:r>
          </w:p>
        </w:tc>
        <w:tc>
          <w:tcPr>
            <w:tcW w:w="1207" w:type="dxa"/>
            <w:tcBorders>
              <w:left w:val="single" w:sz="4" w:space="0" w:color="auto"/>
              <w:right w:val="single" w:sz="12" w:space="0" w:color="auto"/>
            </w:tcBorders>
            <w:shd w:val="clear" w:color="auto" w:fill="auto"/>
          </w:tcPr>
          <w:p w14:paraId="2B7072D0" w14:textId="0EFCFD22"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18,129</w:t>
            </w:r>
          </w:p>
        </w:tc>
      </w:tr>
      <w:tr w:rsidR="00570EEE" w14:paraId="19B9293E" w14:textId="77777777" w:rsidTr="00C5018E">
        <w:trPr>
          <w:cantSplit/>
          <w:jc w:val="center"/>
        </w:trPr>
        <w:tc>
          <w:tcPr>
            <w:tcW w:w="2418" w:type="dxa"/>
            <w:tcBorders>
              <w:left w:val="single" w:sz="12" w:space="0" w:color="auto"/>
              <w:right w:val="single" w:sz="4" w:space="0" w:color="auto"/>
            </w:tcBorders>
          </w:tcPr>
          <w:p w14:paraId="2FF2781A"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Visits</w:t>
            </w:r>
          </w:p>
        </w:tc>
        <w:tc>
          <w:tcPr>
            <w:tcW w:w="1207" w:type="dxa"/>
            <w:tcBorders>
              <w:left w:val="single" w:sz="4" w:space="0" w:color="auto"/>
              <w:right w:val="single" w:sz="4" w:space="0" w:color="auto"/>
            </w:tcBorders>
            <w:vAlign w:val="center"/>
          </w:tcPr>
          <w:p w14:paraId="03F63D23" w14:textId="63C0B438"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22,148</w:t>
            </w:r>
          </w:p>
        </w:tc>
        <w:tc>
          <w:tcPr>
            <w:tcW w:w="1207" w:type="dxa"/>
            <w:tcBorders>
              <w:left w:val="single" w:sz="4" w:space="0" w:color="auto"/>
            </w:tcBorders>
            <w:shd w:val="clear" w:color="auto" w:fill="auto"/>
            <w:vAlign w:val="center"/>
          </w:tcPr>
          <w:p w14:paraId="18942A54" w14:textId="7FBD0DE0"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w:t>
            </w:r>
            <w:r>
              <w:rPr>
                <w:rFonts w:ascii="Arial Narrow" w:hAnsi="Arial Narrow" w:cs="Arial"/>
                <w:sz w:val="22"/>
                <w:szCs w:val="22"/>
              </w:rPr>
              <w:t>3</w:t>
            </w:r>
            <w:r w:rsidRPr="00C06DC9">
              <w:rPr>
                <w:rFonts w:ascii="Arial Narrow" w:hAnsi="Arial Narrow" w:cs="Arial"/>
                <w:sz w:val="22"/>
                <w:szCs w:val="22"/>
              </w:rPr>
              <w:t>,</w:t>
            </w:r>
            <w:r>
              <w:rPr>
                <w:rFonts w:ascii="Arial Narrow" w:hAnsi="Arial Narrow" w:cs="Arial"/>
                <w:sz w:val="22"/>
                <w:szCs w:val="22"/>
              </w:rPr>
              <w:t>039</w:t>
            </w:r>
          </w:p>
        </w:tc>
        <w:tc>
          <w:tcPr>
            <w:tcW w:w="1207" w:type="dxa"/>
            <w:tcBorders>
              <w:right w:val="single" w:sz="4" w:space="0" w:color="auto"/>
            </w:tcBorders>
            <w:shd w:val="clear" w:color="auto" w:fill="auto"/>
            <w:vAlign w:val="center"/>
          </w:tcPr>
          <w:p w14:paraId="07289E5A" w14:textId="75E0DE68"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23,</w:t>
            </w:r>
            <w:r>
              <w:rPr>
                <w:rFonts w:ascii="Arial Narrow" w:hAnsi="Arial Narrow" w:cs="Arial"/>
                <w:sz w:val="22"/>
                <w:szCs w:val="22"/>
              </w:rPr>
              <w:t>321</w:t>
            </w:r>
          </w:p>
        </w:tc>
        <w:tc>
          <w:tcPr>
            <w:tcW w:w="1207" w:type="dxa"/>
            <w:tcBorders>
              <w:right w:val="single" w:sz="4" w:space="0" w:color="auto"/>
            </w:tcBorders>
          </w:tcPr>
          <w:p w14:paraId="3C4FA143" w14:textId="63CE3F65" w:rsidR="00570EEE" w:rsidRPr="00C06DC9" w:rsidRDefault="00570EEE" w:rsidP="00570EEE">
            <w:pPr>
              <w:pStyle w:val="NormalWeb"/>
              <w:spacing w:before="0" w:beforeAutospacing="0" w:after="0" w:afterAutospacing="0"/>
              <w:jc w:val="center"/>
              <w:rPr>
                <w:rStyle w:val="CommentReference"/>
                <w:rFonts w:ascii="Arial Narrow" w:hAnsi="Arial Narrow"/>
                <w:sz w:val="22"/>
                <w:szCs w:val="22"/>
              </w:rPr>
            </w:pPr>
            <w:r w:rsidRPr="00C06DC9">
              <w:rPr>
                <w:rFonts w:ascii="Arial Narrow" w:hAnsi="Arial Narrow" w:cs="Arial"/>
                <w:sz w:val="22"/>
                <w:szCs w:val="22"/>
              </w:rPr>
              <w:t>23,321</w:t>
            </w:r>
          </w:p>
        </w:tc>
        <w:tc>
          <w:tcPr>
            <w:tcW w:w="1207" w:type="dxa"/>
            <w:tcBorders>
              <w:left w:val="single" w:sz="4" w:space="0" w:color="auto"/>
              <w:right w:val="single" w:sz="12" w:space="0" w:color="auto"/>
            </w:tcBorders>
            <w:shd w:val="clear" w:color="auto" w:fill="auto"/>
          </w:tcPr>
          <w:p w14:paraId="55EA5484" w14:textId="42C3A0ED"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23,321</w:t>
            </w:r>
          </w:p>
        </w:tc>
      </w:tr>
      <w:tr w:rsidR="00570EEE" w14:paraId="04BEB5C4" w14:textId="77777777" w:rsidTr="00C5018E">
        <w:trPr>
          <w:cantSplit/>
          <w:jc w:val="center"/>
        </w:trPr>
        <w:tc>
          <w:tcPr>
            <w:tcW w:w="2418" w:type="dxa"/>
            <w:tcBorders>
              <w:left w:val="single" w:sz="12" w:space="0" w:color="auto"/>
              <w:right w:val="single" w:sz="4" w:space="0" w:color="auto"/>
            </w:tcBorders>
          </w:tcPr>
          <w:p w14:paraId="6F6FE877"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Discharges</w:t>
            </w:r>
          </w:p>
        </w:tc>
        <w:tc>
          <w:tcPr>
            <w:tcW w:w="1207" w:type="dxa"/>
            <w:tcBorders>
              <w:left w:val="single" w:sz="4" w:space="0" w:color="auto"/>
              <w:right w:val="single" w:sz="4" w:space="0" w:color="auto"/>
            </w:tcBorders>
            <w:vAlign w:val="center"/>
          </w:tcPr>
          <w:p w14:paraId="33361F3B" w14:textId="615D7C76"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19,118</w:t>
            </w:r>
          </w:p>
        </w:tc>
        <w:tc>
          <w:tcPr>
            <w:tcW w:w="1207" w:type="dxa"/>
            <w:tcBorders>
              <w:left w:val="single" w:sz="4" w:space="0" w:color="auto"/>
            </w:tcBorders>
            <w:shd w:val="clear" w:color="auto" w:fill="auto"/>
            <w:vAlign w:val="center"/>
          </w:tcPr>
          <w:p w14:paraId="3E58F9F8" w14:textId="7CF680A8"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19,878</w:t>
            </w:r>
          </w:p>
        </w:tc>
        <w:tc>
          <w:tcPr>
            <w:tcW w:w="1207" w:type="dxa"/>
            <w:tcBorders>
              <w:right w:val="single" w:sz="4" w:space="0" w:color="auto"/>
            </w:tcBorders>
            <w:shd w:val="clear" w:color="auto" w:fill="auto"/>
            <w:vAlign w:val="center"/>
          </w:tcPr>
          <w:p w14:paraId="767A6945" w14:textId="3D985DF0"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20,114</w:t>
            </w:r>
          </w:p>
        </w:tc>
        <w:tc>
          <w:tcPr>
            <w:tcW w:w="1207" w:type="dxa"/>
            <w:tcBorders>
              <w:right w:val="single" w:sz="4" w:space="0" w:color="auto"/>
            </w:tcBorders>
          </w:tcPr>
          <w:p w14:paraId="51257586" w14:textId="792D9849"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20,114</w:t>
            </w:r>
          </w:p>
        </w:tc>
        <w:tc>
          <w:tcPr>
            <w:tcW w:w="1207" w:type="dxa"/>
            <w:tcBorders>
              <w:left w:val="single" w:sz="4" w:space="0" w:color="auto"/>
              <w:right w:val="single" w:sz="12" w:space="0" w:color="auto"/>
            </w:tcBorders>
            <w:shd w:val="clear" w:color="auto" w:fill="auto"/>
            <w:vAlign w:val="center"/>
          </w:tcPr>
          <w:p w14:paraId="251A8074" w14:textId="3728AB66"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20,114</w:t>
            </w:r>
          </w:p>
        </w:tc>
      </w:tr>
      <w:tr w:rsidR="00570EEE" w14:paraId="7402FD60" w14:textId="77777777" w:rsidTr="00C5018E">
        <w:trPr>
          <w:cantSplit/>
          <w:jc w:val="center"/>
        </w:trPr>
        <w:tc>
          <w:tcPr>
            <w:tcW w:w="2418" w:type="dxa"/>
            <w:tcBorders>
              <w:left w:val="single" w:sz="12" w:space="0" w:color="auto"/>
              <w:right w:val="single" w:sz="4" w:space="0" w:color="auto"/>
            </w:tcBorders>
          </w:tcPr>
          <w:p w14:paraId="234FC897"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Case Weight</w:t>
            </w:r>
          </w:p>
        </w:tc>
        <w:tc>
          <w:tcPr>
            <w:tcW w:w="1207" w:type="dxa"/>
            <w:tcBorders>
              <w:left w:val="single" w:sz="4" w:space="0" w:color="auto"/>
              <w:right w:val="single" w:sz="4" w:space="0" w:color="auto"/>
            </w:tcBorders>
            <w:vAlign w:val="center"/>
          </w:tcPr>
          <w:p w14:paraId="46CF1F06" w14:textId="0BB4DEF6"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38,059</w:t>
            </w:r>
          </w:p>
        </w:tc>
        <w:tc>
          <w:tcPr>
            <w:tcW w:w="1207" w:type="dxa"/>
            <w:tcBorders>
              <w:left w:val="single" w:sz="4" w:space="0" w:color="auto"/>
            </w:tcBorders>
            <w:shd w:val="clear" w:color="auto" w:fill="auto"/>
            <w:vAlign w:val="center"/>
          </w:tcPr>
          <w:p w14:paraId="12E5FEAD" w14:textId="33D29E7E"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39,567</w:t>
            </w:r>
          </w:p>
        </w:tc>
        <w:tc>
          <w:tcPr>
            <w:tcW w:w="1207" w:type="dxa"/>
            <w:tcBorders>
              <w:right w:val="single" w:sz="4" w:space="0" w:color="auto"/>
            </w:tcBorders>
            <w:shd w:val="clear" w:color="auto" w:fill="auto"/>
            <w:vAlign w:val="center"/>
          </w:tcPr>
          <w:p w14:paraId="1C67EFFE" w14:textId="3C62F65B"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39,970</w:t>
            </w:r>
          </w:p>
        </w:tc>
        <w:tc>
          <w:tcPr>
            <w:tcW w:w="1207" w:type="dxa"/>
            <w:tcBorders>
              <w:right w:val="single" w:sz="4" w:space="0" w:color="auto"/>
            </w:tcBorders>
          </w:tcPr>
          <w:p w14:paraId="5A6E9F24" w14:textId="62CCFAA7"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39,970</w:t>
            </w:r>
          </w:p>
        </w:tc>
        <w:tc>
          <w:tcPr>
            <w:tcW w:w="1207" w:type="dxa"/>
            <w:tcBorders>
              <w:left w:val="single" w:sz="4" w:space="0" w:color="auto"/>
              <w:right w:val="single" w:sz="12" w:space="0" w:color="auto"/>
            </w:tcBorders>
            <w:shd w:val="clear" w:color="auto" w:fill="auto"/>
            <w:vAlign w:val="center"/>
          </w:tcPr>
          <w:p w14:paraId="60DC06F0" w14:textId="052C10D3"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39,970</w:t>
            </w:r>
          </w:p>
        </w:tc>
      </w:tr>
      <w:tr w:rsidR="00570EEE" w14:paraId="7A0965AB" w14:textId="77777777" w:rsidTr="00C5018E">
        <w:trPr>
          <w:cantSplit/>
          <w:jc w:val="center"/>
        </w:trPr>
        <w:tc>
          <w:tcPr>
            <w:tcW w:w="2418" w:type="dxa"/>
            <w:tcBorders>
              <w:left w:val="single" w:sz="12" w:space="0" w:color="auto"/>
              <w:right w:val="single" w:sz="4" w:space="0" w:color="auto"/>
            </w:tcBorders>
          </w:tcPr>
          <w:p w14:paraId="31BF4410"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CMI</w:t>
            </w:r>
          </w:p>
        </w:tc>
        <w:tc>
          <w:tcPr>
            <w:tcW w:w="1207" w:type="dxa"/>
            <w:tcBorders>
              <w:left w:val="single" w:sz="4" w:space="0" w:color="auto"/>
              <w:right w:val="single" w:sz="4" w:space="0" w:color="auto"/>
            </w:tcBorders>
            <w:vAlign w:val="center"/>
          </w:tcPr>
          <w:p w14:paraId="11A2DAC7" w14:textId="1569E18B"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left w:val="single" w:sz="4" w:space="0" w:color="auto"/>
            </w:tcBorders>
            <w:shd w:val="clear" w:color="auto" w:fill="auto"/>
            <w:vAlign w:val="center"/>
          </w:tcPr>
          <w:p w14:paraId="2FAFCA47" w14:textId="4BDF4829"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right w:val="single" w:sz="4" w:space="0" w:color="auto"/>
            </w:tcBorders>
            <w:shd w:val="clear" w:color="auto" w:fill="auto"/>
            <w:vAlign w:val="center"/>
          </w:tcPr>
          <w:p w14:paraId="05EFD24C" w14:textId="6773F25C"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right w:val="single" w:sz="4" w:space="0" w:color="auto"/>
            </w:tcBorders>
          </w:tcPr>
          <w:p w14:paraId="5C63728B" w14:textId="4DCAE56B"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left w:val="single" w:sz="4" w:space="0" w:color="auto"/>
              <w:right w:val="single" w:sz="12" w:space="0" w:color="auto"/>
            </w:tcBorders>
            <w:shd w:val="clear" w:color="auto" w:fill="auto"/>
            <w:vAlign w:val="center"/>
          </w:tcPr>
          <w:p w14:paraId="6E2E1C87" w14:textId="7B31A086"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r>
      <w:tr w:rsidR="00570EEE" w14:paraId="1058AA68" w14:textId="77777777" w:rsidTr="00C5018E">
        <w:trPr>
          <w:cantSplit/>
          <w:jc w:val="center"/>
        </w:trPr>
        <w:tc>
          <w:tcPr>
            <w:tcW w:w="2418" w:type="dxa"/>
            <w:tcBorders>
              <w:left w:val="single" w:sz="12" w:space="0" w:color="auto"/>
              <w:right w:val="single" w:sz="4" w:space="0" w:color="auto"/>
            </w:tcBorders>
          </w:tcPr>
          <w:p w14:paraId="558E506C"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ALOS</w:t>
            </w:r>
          </w:p>
        </w:tc>
        <w:tc>
          <w:tcPr>
            <w:tcW w:w="1207" w:type="dxa"/>
            <w:tcBorders>
              <w:left w:val="single" w:sz="4" w:space="0" w:color="auto"/>
              <w:right w:val="single" w:sz="4" w:space="0" w:color="auto"/>
            </w:tcBorders>
            <w:vAlign w:val="center"/>
          </w:tcPr>
          <w:p w14:paraId="4FB03073" w14:textId="1B671DAE"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6.95</w:t>
            </w:r>
          </w:p>
        </w:tc>
        <w:tc>
          <w:tcPr>
            <w:tcW w:w="1207" w:type="dxa"/>
            <w:tcBorders>
              <w:left w:val="single" w:sz="4" w:space="0" w:color="auto"/>
            </w:tcBorders>
            <w:shd w:val="clear" w:color="auto" w:fill="auto"/>
            <w:vAlign w:val="center"/>
          </w:tcPr>
          <w:p w14:paraId="353F973A" w14:textId="02EB6E80"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6.98</w:t>
            </w:r>
          </w:p>
        </w:tc>
        <w:tc>
          <w:tcPr>
            <w:tcW w:w="1207" w:type="dxa"/>
            <w:tcBorders>
              <w:right w:val="single" w:sz="4" w:space="0" w:color="auto"/>
            </w:tcBorders>
            <w:shd w:val="clear" w:color="auto" w:fill="auto"/>
            <w:vAlign w:val="center"/>
          </w:tcPr>
          <w:p w14:paraId="639951AD" w14:textId="5C0BDCB6"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6.97</w:t>
            </w:r>
          </w:p>
        </w:tc>
        <w:tc>
          <w:tcPr>
            <w:tcW w:w="1207" w:type="dxa"/>
            <w:tcBorders>
              <w:right w:val="single" w:sz="4" w:space="0" w:color="auto"/>
            </w:tcBorders>
          </w:tcPr>
          <w:p w14:paraId="0BDF503D" w14:textId="1B2E243E"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6.97</w:t>
            </w:r>
          </w:p>
        </w:tc>
        <w:tc>
          <w:tcPr>
            <w:tcW w:w="1207" w:type="dxa"/>
            <w:tcBorders>
              <w:left w:val="single" w:sz="4" w:space="0" w:color="auto"/>
              <w:right w:val="single" w:sz="12" w:space="0" w:color="auto"/>
            </w:tcBorders>
            <w:shd w:val="clear" w:color="auto" w:fill="auto"/>
            <w:vAlign w:val="center"/>
          </w:tcPr>
          <w:p w14:paraId="1115E757" w14:textId="7CBCB6F1"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6.97</w:t>
            </w:r>
          </w:p>
        </w:tc>
      </w:tr>
      <w:tr w:rsidR="00570EEE" w14:paraId="0B7D42B2" w14:textId="77777777" w:rsidTr="00C5018E">
        <w:trPr>
          <w:cantSplit/>
          <w:jc w:val="center"/>
        </w:trPr>
        <w:tc>
          <w:tcPr>
            <w:tcW w:w="2418" w:type="dxa"/>
            <w:tcBorders>
              <w:left w:val="single" w:sz="12" w:space="0" w:color="auto"/>
              <w:right w:val="single" w:sz="4" w:space="0" w:color="auto"/>
            </w:tcBorders>
          </w:tcPr>
          <w:p w14:paraId="348E1B4B" w14:textId="77777777" w:rsidR="00570EEE" w:rsidRPr="00B674A0" w:rsidRDefault="00570EEE" w:rsidP="00570EEE">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Occupancy</w:t>
            </w:r>
          </w:p>
        </w:tc>
        <w:tc>
          <w:tcPr>
            <w:tcW w:w="1207" w:type="dxa"/>
            <w:tcBorders>
              <w:left w:val="single" w:sz="4" w:space="0" w:color="auto"/>
              <w:right w:val="single" w:sz="4" w:space="0" w:color="auto"/>
            </w:tcBorders>
            <w:vAlign w:val="center"/>
          </w:tcPr>
          <w:p w14:paraId="4AB9D8F9" w14:textId="4FDB8F43"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2</w:t>
            </w:r>
            <w:r w:rsidRPr="00C06DC9">
              <w:rPr>
                <w:rFonts w:ascii="Arial Narrow" w:hAnsi="Arial Narrow" w:cs="Arial"/>
                <w:sz w:val="22"/>
                <w:szCs w:val="22"/>
              </w:rPr>
              <w:t>.</w:t>
            </w:r>
            <w:r>
              <w:rPr>
                <w:rFonts w:ascii="Arial Narrow" w:hAnsi="Arial Narrow" w:cs="Arial"/>
                <w:sz w:val="22"/>
                <w:szCs w:val="22"/>
              </w:rPr>
              <w:t>8</w:t>
            </w:r>
            <w:r w:rsidRPr="00C06DC9">
              <w:rPr>
                <w:rFonts w:ascii="Arial Narrow" w:hAnsi="Arial Narrow" w:cs="Arial"/>
                <w:sz w:val="22"/>
                <w:szCs w:val="22"/>
              </w:rPr>
              <w:t>%</w:t>
            </w:r>
          </w:p>
        </w:tc>
        <w:tc>
          <w:tcPr>
            <w:tcW w:w="1207" w:type="dxa"/>
            <w:tcBorders>
              <w:left w:val="single" w:sz="4" w:space="0" w:color="auto"/>
            </w:tcBorders>
            <w:shd w:val="clear" w:color="auto" w:fill="auto"/>
            <w:vAlign w:val="center"/>
          </w:tcPr>
          <w:p w14:paraId="56C5A24C" w14:textId="53BD2232"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5</w:t>
            </w:r>
            <w:r w:rsidRPr="00C06DC9">
              <w:rPr>
                <w:rFonts w:ascii="Arial Narrow" w:hAnsi="Arial Narrow" w:cs="Arial"/>
                <w:sz w:val="22"/>
                <w:szCs w:val="22"/>
              </w:rPr>
              <w:t>.</w:t>
            </w:r>
            <w:r>
              <w:rPr>
                <w:rFonts w:ascii="Arial Narrow" w:hAnsi="Arial Narrow" w:cs="Arial"/>
                <w:sz w:val="22"/>
                <w:szCs w:val="22"/>
              </w:rPr>
              <w:t>9</w:t>
            </w:r>
            <w:r w:rsidRPr="00C06DC9">
              <w:rPr>
                <w:rFonts w:ascii="Arial Narrow" w:hAnsi="Arial Narrow" w:cs="Arial"/>
                <w:sz w:val="22"/>
                <w:szCs w:val="22"/>
              </w:rPr>
              <w:t>%</w:t>
            </w:r>
          </w:p>
        </w:tc>
        <w:tc>
          <w:tcPr>
            <w:tcW w:w="1207" w:type="dxa"/>
            <w:tcBorders>
              <w:right w:val="single" w:sz="4" w:space="0" w:color="auto"/>
            </w:tcBorders>
            <w:shd w:val="clear" w:color="auto" w:fill="auto"/>
            <w:vAlign w:val="center"/>
          </w:tcPr>
          <w:p w14:paraId="76F00F47" w14:textId="35D5A524"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6</w:t>
            </w:r>
            <w:r w:rsidRPr="00C06DC9">
              <w:rPr>
                <w:rFonts w:ascii="Arial Narrow" w:hAnsi="Arial Narrow" w:cs="Arial"/>
                <w:sz w:val="22"/>
                <w:szCs w:val="22"/>
              </w:rPr>
              <w:t>.8%</w:t>
            </w:r>
          </w:p>
        </w:tc>
        <w:tc>
          <w:tcPr>
            <w:tcW w:w="1207" w:type="dxa"/>
            <w:tcBorders>
              <w:right w:val="single" w:sz="4" w:space="0" w:color="auto"/>
            </w:tcBorders>
          </w:tcPr>
          <w:p w14:paraId="7287168B" w14:textId="3E15F8C1"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6</w:t>
            </w:r>
            <w:r w:rsidRPr="00C06DC9">
              <w:rPr>
                <w:rFonts w:ascii="Arial Narrow" w:hAnsi="Arial Narrow" w:cs="Arial"/>
                <w:sz w:val="22"/>
                <w:szCs w:val="22"/>
              </w:rPr>
              <w:t>.8%</w:t>
            </w:r>
          </w:p>
        </w:tc>
        <w:tc>
          <w:tcPr>
            <w:tcW w:w="1207" w:type="dxa"/>
            <w:tcBorders>
              <w:left w:val="single" w:sz="4" w:space="0" w:color="auto"/>
              <w:right w:val="single" w:sz="12" w:space="0" w:color="auto"/>
            </w:tcBorders>
            <w:shd w:val="clear" w:color="auto" w:fill="auto"/>
            <w:vAlign w:val="center"/>
          </w:tcPr>
          <w:p w14:paraId="4378C729" w14:textId="2B02362D" w:rsidR="00570EEE" w:rsidRPr="00C06DC9" w:rsidRDefault="00570EEE" w:rsidP="00570EEE">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6</w:t>
            </w:r>
            <w:r w:rsidRPr="00C06DC9">
              <w:rPr>
                <w:rFonts w:ascii="Arial Narrow" w:hAnsi="Arial Narrow" w:cs="Arial"/>
                <w:sz w:val="22"/>
                <w:szCs w:val="22"/>
              </w:rPr>
              <w:t>.8%</w:t>
            </w:r>
          </w:p>
        </w:tc>
      </w:tr>
      <w:tr w:rsidR="0045422A" w14:paraId="5F36BF0E" w14:textId="77777777" w:rsidTr="00C5018E">
        <w:trPr>
          <w:cantSplit/>
          <w:jc w:val="center"/>
        </w:trPr>
        <w:tc>
          <w:tcPr>
            <w:tcW w:w="2418" w:type="dxa"/>
            <w:tcBorders>
              <w:left w:val="single" w:sz="12" w:space="0" w:color="auto"/>
              <w:bottom w:val="single" w:sz="12" w:space="0" w:color="auto"/>
              <w:right w:val="single" w:sz="4" w:space="0" w:color="auto"/>
            </w:tcBorders>
          </w:tcPr>
          <w:p w14:paraId="5F744F20" w14:textId="77777777" w:rsidR="0045422A" w:rsidRPr="00B674A0" w:rsidRDefault="0045422A" w:rsidP="0045422A">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Patient Days</w:t>
            </w:r>
          </w:p>
        </w:tc>
        <w:tc>
          <w:tcPr>
            <w:tcW w:w="1207" w:type="dxa"/>
            <w:tcBorders>
              <w:left w:val="single" w:sz="4" w:space="0" w:color="auto"/>
              <w:bottom w:val="single" w:sz="12" w:space="0" w:color="auto"/>
              <w:right w:val="single" w:sz="4" w:space="0" w:color="auto"/>
            </w:tcBorders>
            <w:vAlign w:val="center"/>
          </w:tcPr>
          <w:p w14:paraId="0C0C5BC4" w14:textId="4A3788A8" w:rsidR="0045422A" w:rsidRPr="00C06DC9" w:rsidRDefault="0045422A" w:rsidP="0045422A">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139,282</w:t>
            </w:r>
          </w:p>
        </w:tc>
        <w:tc>
          <w:tcPr>
            <w:tcW w:w="1207" w:type="dxa"/>
            <w:tcBorders>
              <w:left w:val="single" w:sz="4" w:space="0" w:color="auto"/>
              <w:bottom w:val="single" w:sz="12" w:space="0" w:color="auto"/>
            </w:tcBorders>
            <w:shd w:val="clear" w:color="auto" w:fill="auto"/>
            <w:vAlign w:val="center"/>
          </w:tcPr>
          <w:p w14:paraId="51291936" w14:textId="58184760" w:rsidR="0045422A" w:rsidRPr="00C06DC9" w:rsidRDefault="0045422A" w:rsidP="0045422A">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144,605</w:t>
            </w:r>
          </w:p>
        </w:tc>
        <w:tc>
          <w:tcPr>
            <w:tcW w:w="1207" w:type="dxa"/>
            <w:tcBorders>
              <w:bottom w:val="single" w:sz="12" w:space="0" w:color="auto"/>
              <w:right w:val="single" w:sz="4" w:space="0" w:color="auto"/>
            </w:tcBorders>
            <w:shd w:val="clear" w:color="auto" w:fill="auto"/>
            <w:vAlign w:val="center"/>
          </w:tcPr>
          <w:p w14:paraId="30B9107F" w14:textId="10727D84" w:rsidR="0045422A" w:rsidRPr="00C06DC9" w:rsidRDefault="0045422A" w:rsidP="0045422A">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146,110</w:t>
            </w:r>
          </w:p>
        </w:tc>
        <w:tc>
          <w:tcPr>
            <w:tcW w:w="1207" w:type="dxa"/>
            <w:tcBorders>
              <w:bottom w:val="single" w:sz="12" w:space="0" w:color="auto"/>
              <w:right w:val="single" w:sz="4" w:space="0" w:color="auto"/>
            </w:tcBorders>
          </w:tcPr>
          <w:p w14:paraId="46BAB6D9" w14:textId="7D308C6C" w:rsidR="0045422A" w:rsidRPr="00C06DC9" w:rsidRDefault="0045422A" w:rsidP="0045422A">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146,110</w:t>
            </w:r>
          </w:p>
        </w:tc>
        <w:tc>
          <w:tcPr>
            <w:tcW w:w="1207" w:type="dxa"/>
            <w:tcBorders>
              <w:left w:val="single" w:sz="4" w:space="0" w:color="auto"/>
              <w:bottom w:val="single" w:sz="12" w:space="0" w:color="auto"/>
              <w:right w:val="single" w:sz="12" w:space="0" w:color="auto"/>
            </w:tcBorders>
            <w:shd w:val="clear" w:color="auto" w:fill="auto"/>
            <w:vAlign w:val="center"/>
          </w:tcPr>
          <w:p w14:paraId="04056D17" w14:textId="5C8E0313" w:rsidR="0045422A" w:rsidRPr="00C06DC9" w:rsidRDefault="0045422A" w:rsidP="0045422A">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146,110</w:t>
            </w:r>
          </w:p>
        </w:tc>
      </w:tr>
    </w:tbl>
    <w:p w14:paraId="14E76F47" w14:textId="77777777" w:rsidR="001D7E29" w:rsidRPr="00FB09D5" w:rsidRDefault="001D7E29" w:rsidP="0045422A">
      <w:pPr>
        <w:spacing w:after="120"/>
        <w:jc w:val="both"/>
        <w:rPr>
          <w:rFonts w:ascii="Arial" w:hAnsi="Arial" w:cs="Arial"/>
          <w:bCs/>
        </w:rPr>
      </w:pPr>
    </w:p>
    <w:p w14:paraId="294CF5F5" w14:textId="5F8F4443" w:rsidR="009032E4" w:rsidRPr="00046A98" w:rsidRDefault="0064499E" w:rsidP="00046A98">
      <w:pPr>
        <w:pStyle w:val="ListParagraph"/>
        <w:numPr>
          <w:ilvl w:val="0"/>
          <w:numId w:val="29"/>
        </w:numPr>
        <w:contextualSpacing w:val="0"/>
        <w:jc w:val="both"/>
        <w:rPr>
          <w:rFonts w:ascii="Arial" w:hAnsi="Arial" w:cs="Arial"/>
          <w:b/>
        </w:rPr>
      </w:pPr>
      <w:bookmarkStart w:id="0" w:name="_Hlk112255239"/>
      <w:r w:rsidRPr="00046A98">
        <w:rPr>
          <w:rFonts w:ascii="Arial" w:hAnsi="Arial" w:cs="Arial"/>
          <w:b/>
        </w:rPr>
        <w:t xml:space="preserve">Explain </w:t>
      </w:r>
      <w:r w:rsidR="009032E4" w:rsidRPr="00046A98">
        <w:rPr>
          <w:rFonts w:ascii="Arial" w:hAnsi="Arial" w:cs="Arial"/>
          <w:b/>
        </w:rPr>
        <w:t>the following:</w:t>
      </w:r>
    </w:p>
    <w:p w14:paraId="09BB4210" w14:textId="7E2F64BF" w:rsidR="009032E4" w:rsidRDefault="00B34854" w:rsidP="00046A98">
      <w:pPr>
        <w:pStyle w:val="ListParagraph"/>
        <w:numPr>
          <w:ilvl w:val="0"/>
          <w:numId w:val="31"/>
        </w:numPr>
        <w:contextualSpacing w:val="0"/>
        <w:jc w:val="both"/>
        <w:rPr>
          <w:rFonts w:ascii="Arial" w:hAnsi="Arial" w:cs="Arial"/>
          <w:b/>
        </w:rPr>
      </w:pPr>
      <w:r w:rsidRPr="00046A98">
        <w:rPr>
          <w:rFonts w:ascii="Arial" w:hAnsi="Arial" w:cs="Arial"/>
          <w:b/>
        </w:rPr>
        <w:t>Case Weight</w:t>
      </w:r>
      <w:r w:rsidR="0064499E" w:rsidRPr="00046A98">
        <w:rPr>
          <w:rFonts w:ascii="Arial" w:hAnsi="Arial" w:cs="Arial"/>
          <w:b/>
        </w:rPr>
        <w:t xml:space="preserve"> numbers used in tables 11, 12, and 15.</w:t>
      </w:r>
    </w:p>
    <w:p w14:paraId="7B38F9BB" w14:textId="772F842F" w:rsidR="00046A98" w:rsidRPr="005032FA" w:rsidRDefault="00E97B3B" w:rsidP="003B6FC7">
      <w:pPr>
        <w:spacing w:after="240"/>
        <w:jc w:val="both"/>
        <w:rPr>
          <w:rFonts w:ascii="Arial" w:hAnsi="Arial" w:cs="Arial"/>
          <w:bCs/>
        </w:rPr>
      </w:pPr>
      <w:r>
        <w:rPr>
          <w:rFonts w:ascii="Arial" w:hAnsi="Arial" w:cs="Arial"/>
          <w:bCs/>
        </w:rPr>
        <w:t xml:space="preserve">The Centers for Medicare &amp; Medicaid Services (“CMS”) </w:t>
      </w:r>
      <w:r w:rsidRPr="005032FA">
        <w:rPr>
          <w:rFonts w:ascii="Arial" w:hAnsi="Arial" w:cs="Arial"/>
          <w:bCs/>
        </w:rPr>
        <w:t xml:space="preserve">assigns a case weight to each </w:t>
      </w:r>
      <w:r>
        <w:rPr>
          <w:rFonts w:ascii="Arial" w:hAnsi="Arial" w:cs="Arial"/>
          <w:bCs/>
        </w:rPr>
        <w:t>Diagnostic Related Grouping (“</w:t>
      </w:r>
      <w:r w:rsidRPr="005032FA">
        <w:rPr>
          <w:rFonts w:ascii="Arial" w:hAnsi="Arial" w:cs="Arial"/>
          <w:bCs/>
        </w:rPr>
        <w:t>DRG</w:t>
      </w:r>
      <w:r>
        <w:rPr>
          <w:rFonts w:ascii="Arial" w:hAnsi="Arial" w:cs="Arial"/>
          <w:bCs/>
        </w:rPr>
        <w:t>”)</w:t>
      </w:r>
      <w:r w:rsidRPr="005032FA">
        <w:rPr>
          <w:rFonts w:ascii="Arial" w:hAnsi="Arial" w:cs="Arial"/>
          <w:bCs/>
        </w:rPr>
        <w:t xml:space="preserve"> and BMC assigns, through documentation and coding review, a DRG to each inpatient account. Total case weight is the aggregate sum of all DRG case weights. The case weight is used to determine </w:t>
      </w:r>
      <w:r>
        <w:rPr>
          <w:rFonts w:ascii="Arial" w:hAnsi="Arial" w:cs="Arial"/>
          <w:bCs/>
        </w:rPr>
        <w:t>H</w:t>
      </w:r>
      <w:r w:rsidRPr="005032FA">
        <w:rPr>
          <w:rFonts w:ascii="Arial" w:hAnsi="Arial" w:cs="Arial"/>
          <w:bCs/>
        </w:rPr>
        <w:t xml:space="preserve">ospital reimbursement rates for Medicare and Medicaid patients but is also an indicator of </w:t>
      </w:r>
      <w:r w:rsidRPr="005032FA">
        <w:rPr>
          <w:rFonts w:ascii="Arial" w:hAnsi="Arial" w:cs="Arial"/>
          <w:bCs/>
        </w:rPr>
        <w:lastRenderedPageBreak/>
        <w:t>patient acuity and severity, as more resource intense patients will be assigned a DRG that has a proportionally higher case weight</w:t>
      </w:r>
      <w:r w:rsidR="003B6FC7" w:rsidRPr="005032FA">
        <w:rPr>
          <w:rFonts w:ascii="Arial" w:hAnsi="Arial" w:cs="Arial"/>
          <w:bCs/>
        </w:rPr>
        <w:t>.</w:t>
      </w:r>
    </w:p>
    <w:p w14:paraId="0D1102AF" w14:textId="3494F036" w:rsidR="00055942" w:rsidRPr="00046A98" w:rsidRDefault="00055942" w:rsidP="00046A98">
      <w:pPr>
        <w:pStyle w:val="ListParagraph"/>
        <w:numPr>
          <w:ilvl w:val="0"/>
          <w:numId w:val="31"/>
        </w:numPr>
        <w:contextualSpacing w:val="0"/>
        <w:jc w:val="both"/>
        <w:rPr>
          <w:rFonts w:ascii="Arial" w:hAnsi="Arial" w:cs="Arial"/>
          <w:b/>
        </w:rPr>
      </w:pPr>
      <w:r w:rsidRPr="00046A98">
        <w:rPr>
          <w:rFonts w:ascii="Arial" w:hAnsi="Arial" w:cs="Arial"/>
          <w:b/>
        </w:rPr>
        <w:t>P. 34 THRIVE</w:t>
      </w:r>
      <w:r w:rsidR="0064499E" w:rsidRPr="00046A98">
        <w:rPr>
          <w:rFonts w:ascii="Arial" w:hAnsi="Arial" w:cs="Arial"/>
          <w:b/>
        </w:rPr>
        <w:t xml:space="preserve"> if it is an acronym, what does it stand for?</w:t>
      </w:r>
    </w:p>
    <w:bookmarkEnd w:id="0"/>
    <w:p w14:paraId="25030A81" w14:textId="2E1FD669" w:rsidR="00596309" w:rsidRPr="00046A98" w:rsidRDefault="00512162" w:rsidP="00991765">
      <w:pPr>
        <w:spacing w:after="240"/>
        <w:jc w:val="both"/>
        <w:rPr>
          <w:rFonts w:ascii="Times New Roman" w:eastAsia="Times New Roman" w:hAnsi="Times New Roman" w:cs="Times New Roman"/>
          <w:sz w:val="24"/>
          <w:szCs w:val="24"/>
        </w:rPr>
      </w:pPr>
      <w:r>
        <w:rPr>
          <w:rFonts w:ascii="Arial" w:hAnsi="Arial" w:cs="Arial"/>
          <w:bCs/>
        </w:rPr>
        <w:t xml:space="preserve">THRIVE is an acronym that stands for </w:t>
      </w:r>
      <w:r w:rsidRPr="00046A98">
        <w:rPr>
          <w:rFonts w:ascii="Arial" w:hAnsi="Arial" w:cs="Arial"/>
          <w:bCs/>
        </w:rPr>
        <w:t xml:space="preserve">Tool for Health &amp; Resilience </w:t>
      </w:r>
      <w:proofErr w:type="gramStart"/>
      <w:r w:rsidRPr="00046A98">
        <w:rPr>
          <w:rFonts w:ascii="Arial" w:hAnsi="Arial" w:cs="Arial"/>
          <w:bCs/>
        </w:rPr>
        <w:t>In</w:t>
      </w:r>
      <w:proofErr w:type="gramEnd"/>
      <w:r w:rsidRPr="00046A98">
        <w:rPr>
          <w:rFonts w:ascii="Arial" w:hAnsi="Arial" w:cs="Arial"/>
          <w:bCs/>
        </w:rPr>
        <w:t xml:space="preserve"> Vulnerable Environments</w:t>
      </w:r>
      <w:r w:rsidR="00046A98">
        <w:rPr>
          <w:rFonts w:ascii="Arial" w:hAnsi="Arial" w:cs="Arial"/>
          <w:bCs/>
        </w:rPr>
        <w:t>.</w:t>
      </w:r>
    </w:p>
    <w:p w14:paraId="589B5BED" w14:textId="50D00CDA" w:rsidR="001D7C2C" w:rsidRPr="002331AB" w:rsidRDefault="0045317B" w:rsidP="00991765">
      <w:pPr>
        <w:pStyle w:val="ListParagraph"/>
        <w:numPr>
          <w:ilvl w:val="0"/>
          <w:numId w:val="29"/>
        </w:numPr>
        <w:contextualSpacing w:val="0"/>
        <w:jc w:val="both"/>
        <w:rPr>
          <w:rFonts w:ascii="Arial" w:hAnsi="Arial" w:cs="Arial"/>
          <w:b/>
        </w:rPr>
      </w:pPr>
      <w:r w:rsidRPr="002331AB">
        <w:rPr>
          <w:rFonts w:ascii="Arial" w:hAnsi="Arial" w:cs="Arial"/>
          <w:b/>
        </w:rPr>
        <w:t xml:space="preserve">The Application states that </w:t>
      </w:r>
      <w:r w:rsidR="008E455C" w:rsidRPr="002331AB">
        <w:rPr>
          <w:rFonts w:ascii="Arial" w:hAnsi="Arial" w:cs="Arial"/>
          <w:b/>
        </w:rPr>
        <w:t xml:space="preserve">BMC </w:t>
      </w:r>
      <w:r w:rsidRPr="002331AB">
        <w:rPr>
          <w:rFonts w:ascii="Arial" w:hAnsi="Arial" w:cs="Arial"/>
          <w:b/>
        </w:rPr>
        <w:t>requires</w:t>
      </w:r>
      <w:r w:rsidR="00E94723" w:rsidRPr="002331AB">
        <w:rPr>
          <w:rFonts w:ascii="Arial" w:hAnsi="Arial" w:cs="Arial"/>
          <w:b/>
        </w:rPr>
        <w:t xml:space="preserve"> </w:t>
      </w:r>
      <w:r w:rsidR="00055942" w:rsidRPr="002331AB">
        <w:rPr>
          <w:rFonts w:ascii="Arial" w:hAnsi="Arial" w:cs="Arial"/>
          <w:b/>
        </w:rPr>
        <w:t>325</w:t>
      </w:r>
      <w:r w:rsidR="008E455C" w:rsidRPr="002331AB">
        <w:rPr>
          <w:rFonts w:ascii="Arial" w:hAnsi="Arial" w:cs="Arial"/>
          <w:b/>
        </w:rPr>
        <w:t xml:space="preserve"> </w:t>
      </w:r>
      <w:r w:rsidR="00E94723" w:rsidRPr="002331AB">
        <w:rPr>
          <w:rFonts w:ascii="Arial" w:hAnsi="Arial" w:cs="Arial"/>
          <w:b/>
        </w:rPr>
        <w:t>M/S</w:t>
      </w:r>
      <w:r w:rsidRPr="002331AB">
        <w:rPr>
          <w:rFonts w:ascii="Arial" w:hAnsi="Arial" w:cs="Arial"/>
          <w:b/>
        </w:rPr>
        <w:t xml:space="preserve"> beds </w:t>
      </w:r>
      <w:r w:rsidR="00510EC8" w:rsidRPr="002331AB">
        <w:rPr>
          <w:rFonts w:ascii="Arial" w:hAnsi="Arial" w:cs="Arial"/>
          <w:b/>
        </w:rPr>
        <w:t xml:space="preserve">to meet Patient Panel need </w:t>
      </w:r>
      <w:r w:rsidR="00AE0C95" w:rsidRPr="002331AB">
        <w:rPr>
          <w:rFonts w:ascii="Arial" w:hAnsi="Arial" w:cs="Arial"/>
          <w:b/>
        </w:rPr>
        <w:t>(pg.</w:t>
      </w:r>
      <w:r w:rsidR="00055942" w:rsidRPr="002331AB">
        <w:rPr>
          <w:rFonts w:ascii="Arial" w:hAnsi="Arial" w:cs="Arial"/>
          <w:b/>
        </w:rPr>
        <w:t>1</w:t>
      </w:r>
      <w:r w:rsidR="00597369" w:rsidRPr="002331AB">
        <w:rPr>
          <w:rFonts w:ascii="Arial" w:hAnsi="Arial" w:cs="Arial"/>
          <w:b/>
        </w:rPr>
        <w:t>6)</w:t>
      </w:r>
      <w:r w:rsidR="00182533" w:rsidRPr="002331AB">
        <w:rPr>
          <w:rFonts w:ascii="Arial" w:hAnsi="Arial" w:cs="Arial"/>
          <w:b/>
        </w:rPr>
        <w:t xml:space="preserve">. </w:t>
      </w:r>
      <w:r w:rsidR="00327EAC" w:rsidRPr="002331AB">
        <w:rPr>
          <w:rFonts w:ascii="Arial" w:hAnsi="Arial" w:cs="Arial"/>
          <w:b/>
        </w:rPr>
        <w:t xml:space="preserve">In addition, the Applicant determined need for the Proposed Project based on the historical utilization metrics, including patient days, </w:t>
      </w:r>
      <w:r w:rsidR="00722F8A" w:rsidRPr="002331AB">
        <w:rPr>
          <w:rFonts w:ascii="Arial" w:hAnsi="Arial" w:cs="Arial"/>
          <w:b/>
        </w:rPr>
        <w:t xml:space="preserve">increased </w:t>
      </w:r>
      <w:r w:rsidR="00327EAC" w:rsidRPr="002331AB">
        <w:rPr>
          <w:rFonts w:ascii="Arial" w:hAnsi="Arial" w:cs="Arial"/>
          <w:b/>
        </w:rPr>
        <w:t xml:space="preserve">ED boarding, </w:t>
      </w:r>
      <w:r w:rsidR="00722F8A" w:rsidRPr="002331AB">
        <w:rPr>
          <w:rFonts w:ascii="Arial" w:hAnsi="Arial" w:cs="Arial"/>
          <w:b/>
        </w:rPr>
        <w:t>increased case weight</w:t>
      </w:r>
      <w:r w:rsidR="00327EAC" w:rsidRPr="002331AB">
        <w:rPr>
          <w:rFonts w:ascii="Arial" w:hAnsi="Arial" w:cs="Arial"/>
          <w:b/>
        </w:rPr>
        <w:t xml:space="preserve">, projected growth of its existing Patient Panel </w:t>
      </w:r>
      <w:r w:rsidR="00722F8A" w:rsidRPr="002331AB">
        <w:rPr>
          <w:rFonts w:ascii="Arial" w:hAnsi="Arial" w:cs="Arial"/>
          <w:b/>
        </w:rPr>
        <w:t>and the aging population.</w:t>
      </w:r>
      <w:r w:rsidR="00327EAC" w:rsidRPr="002331AB">
        <w:rPr>
          <w:rFonts w:ascii="Arial" w:hAnsi="Arial" w:cs="Arial"/>
          <w:b/>
        </w:rPr>
        <w:t xml:space="preserve"> </w:t>
      </w:r>
    </w:p>
    <w:p w14:paraId="7EFDA806" w14:textId="7B7B02FC" w:rsidR="00991765" w:rsidRPr="002331AB" w:rsidRDefault="001D7C2C" w:rsidP="00991765">
      <w:pPr>
        <w:pStyle w:val="ListParagraph"/>
        <w:numPr>
          <w:ilvl w:val="1"/>
          <w:numId w:val="29"/>
        </w:numPr>
        <w:ind w:left="1080"/>
        <w:contextualSpacing w:val="0"/>
        <w:jc w:val="both"/>
        <w:rPr>
          <w:rFonts w:ascii="Arial" w:hAnsi="Arial" w:cs="Arial"/>
          <w:b/>
        </w:rPr>
      </w:pPr>
      <w:r w:rsidRPr="002331AB">
        <w:rPr>
          <w:rFonts w:ascii="Arial" w:hAnsi="Arial" w:cs="Arial"/>
          <w:b/>
        </w:rPr>
        <w:t xml:space="preserve">What methodology was used to determine that </w:t>
      </w:r>
      <w:r w:rsidR="008E455C" w:rsidRPr="002331AB">
        <w:rPr>
          <w:rFonts w:ascii="Arial" w:hAnsi="Arial" w:cs="Arial"/>
          <w:b/>
        </w:rPr>
        <w:t xml:space="preserve">that number of </w:t>
      </w:r>
      <w:r w:rsidRPr="002331AB">
        <w:rPr>
          <w:rFonts w:ascii="Arial" w:hAnsi="Arial" w:cs="Arial"/>
          <w:b/>
        </w:rPr>
        <w:t>beds were</w:t>
      </w:r>
      <w:r w:rsidR="008E455C" w:rsidRPr="002331AB">
        <w:rPr>
          <w:rFonts w:ascii="Arial" w:hAnsi="Arial" w:cs="Arial"/>
          <w:b/>
        </w:rPr>
        <w:t xml:space="preserve"> required</w:t>
      </w:r>
      <w:r w:rsidRPr="002331AB">
        <w:rPr>
          <w:rFonts w:ascii="Arial" w:hAnsi="Arial" w:cs="Arial"/>
          <w:b/>
        </w:rPr>
        <w:t>?</w:t>
      </w:r>
      <w:r w:rsidR="00055942" w:rsidRPr="002331AB">
        <w:rPr>
          <w:rFonts w:ascii="Arial" w:hAnsi="Arial" w:cs="Arial"/>
          <w:b/>
        </w:rPr>
        <w:t xml:space="preserve"> Please provide the calculations the led to this conclusion.</w:t>
      </w:r>
    </w:p>
    <w:p w14:paraId="392E7429" w14:textId="51C8A885" w:rsidR="00991765" w:rsidRDefault="006C2D83" w:rsidP="00830BDE">
      <w:pPr>
        <w:spacing w:after="240"/>
        <w:jc w:val="both"/>
        <w:rPr>
          <w:rFonts w:ascii="Arial" w:hAnsi="Arial" w:cs="Arial"/>
          <w:bCs/>
        </w:rPr>
      </w:pPr>
      <w:r>
        <w:rPr>
          <w:rFonts w:ascii="Arial" w:hAnsi="Arial" w:cs="Arial"/>
          <w:bCs/>
        </w:rPr>
        <w:t>T</w:t>
      </w:r>
      <w:r w:rsidRPr="004C45E1">
        <w:rPr>
          <w:rFonts w:ascii="Arial" w:hAnsi="Arial" w:cs="Arial"/>
          <w:bCs/>
        </w:rPr>
        <w:t xml:space="preserve">o arrive at the total number for net new </w:t>
      </w:r>
      <w:r>
        <w:rPr>
          <w:rFonts w:ascii="Arial" w:hAnsi="Arial" w:cs="Arial"/>
          <w:bCs/>
        </w:rPr>
        <w:t xml:space="preserve">inpatient </w:t>
      </w:r>
      <w:r w:rsidRPr="004C45E1">
        <w:rPr>
          <w:rFonts w:ascii="Arial" w:hAnsi="Arial" w:cs="Arial"/>
          <w:bCs/>
        </w:rPr>
        <w:t>beds</w:t>
      </w:r>
      <w:r>
        <w:rPr>
          <w:rFonts w:ascii="Arial" w:hAnsi="Arial" w:cs="Arial"/>
          <w:bCs/>
        </w:rPr>
        <w:t xml:space="preserve"> required at BMC</w:t>
      </w:r>
      <w:r w:rsidRPr="004C45E1">
        <w:rPr>
          <w:rFonts w:ascii="Arial" w:hAnsi="Arial" w:cs="Arial"/>
          <w:bCs/>
        </w:rPr>
        <w:t xml:space="preserve">, the Applicant calculated demand from two sources – unmet surgical demand and unmet </w:t>
      </w:r>
      <w:r>
        <w:rPr>
          <w:rFonts w:ascii="Arial" w:hAnsi="Arial" w:cs="Arial"/>
          <w:bCs/>
        </w:rPr>
        <w:t>emergency department (“</w:t>
      </w:r>
      <w:r w:rsidRPr="004C45E1">
        <w:rPr>
          <w:rFonts w:ascii="Arial" w:hAnsi="Arial" w:cs="Arial"/>
          <w:bCs/>
        </w:rPr>
        <w:t>ED</w:t>
      </w:r>
      <w:r>
        <w:rPr>
          <w:rFonts w:ascii="Arial" w:hAnsi="Arial" w:cs="Arial"/>
          <w:bCs/>
        </w:rPr>
        <w:t>”)</w:t>
      </w:r>
      <w:r w:rsidRPr="004C45E1">
        <w:rPr>
          <w:rFonts w:ascii="Arial" w:hAnsi="Arial" w:cs="Arial"/>
          <w:bCs/>
        </w:rPr>
        <w:t xml:space="preserve"> demand</w:t>
      </w:r>
      <w:r>
        <w:rPr>
          <w:rFonts w:ascii="Arial" w:hAnsi="Arial" w:cs="Arial"/>
          <w:bCs/>
        </w:rPr>
        <w:t xml:space="preserve">. The need factors discussed throughout the DoN Narrative – including, but not limited to, historical utilization metrics, patient days, increased ED boarding, increased case weight, and projected growth of the existing </w:t>
      </w:r>
      <w:r w:rsidR="00FE7E42">
        <w:rPr>
          <w:rFonts w:ascii="Arial" w:hAnsi="Arial" w:cs="Arial"/>
          <w:bCs/>
        </w:rPr>
        <w:t>p</w:t>
      </w:r>
      <w:r>
        <w:rPr>
          <w:rFonts w:ascii="Arial" w:hAnsi="Arial" w:cs="Arial"/>
          <w:bCs/>
        </w:rPr>
        <w:t xml:space="preserve">atient </w:t>
      </w:r>
      <w:r w:rsidR="00FE7E42">
        <w:rPr>
          <w:rFonts w:ascii="Arial" w:hAnsi="Arial" w:cs="Arial"/>
          <w:bCs/>
        </w:rPr>
        <w:t>p</w:t>
      </w:r>
      <w:r>
        <w:rPr>
          <w:rFonts w:ascii="Arial" w:hAnsi="Arial" w:cs="Arial"/>
          <w:bCs/>
        </w:rPr>
        <w:t>anel and the aging population – impact these demand calculations. The tables below outline the data discussed herein</w:t>
      </w:r>
      <w:r w:rsidR="00830BDE">
        <w:rPr>
          <w:rFonts w:ascii="Arial" w:hAnsi="Arial" w:cs="Arial"/>
          <w:bCs/>
        </w:rPr>
        <w:t>.</w:t>
      </w:r>
    </w:p>
    <w:tbl>
      <w:tblPr>
        <w:tblpPr w:leftFromText="180" w:rightFromText="180" w:vertAnchor="text" w:tblpXSpec="center" w:tblpY="1"/>
        <w:tblOverlap w:val="never"/>
        <w:tblW w:w="11145" w:type="dxa"/>
        <w:tblLayout w:type="fixed"/>
        <w:tblLook w:val="04A0" w:firstRow="1" w:lastRow="0" w:firstColumn="1" w:lastColumn="0" w:noHBand="0" w:noVBand="1"/>
      </w:tblPr>
      <w:tblGrid>
        <w:gridCol w:w="1515"/>
        <w:gridCol w:w="990"/>
        <w:gridCol w:w="720"/>
        <w:gridCol w:w="630"/>
        <w:gridCol w:w="720"/>
        <w:gridCol w:w="630"/>
        <w:gridCol w:w="720"/>
        <w:gridCol w:w="630"/>
        <w:gridCol w:w="720"/>
        <w:gridCol w:w="540"/>
        <w:gridCol w:w="720"/>
        <w:gridCol w:w="630"/>
        <w:gridCol w:w="720"/>
        <w:gridCol w:w="540"/>
        <w:gridCol w:w="720"/>
      </w:tblGrid>
      <w:tr w:rsidR="003C7AF5" w:rsidRPr="00934586" w14:paraId="372A6CE9" w14:textId="77777777" w:rsidTr="0080535D">
        <w:trPr>
          <w:cantSplit/>
          <w:trHeight w:val="50"/>
          <w:tblHeader/>
        </w:trPr>
        <w:tc>
          <w:tcPr>
            <w:tcW w:w="1515" w:type="dxa"/>
            <w:tcBorders>
              <w:top w:val="single" w:sz="12" w:space="0" w:color="auto"/>
              <w:left w:val="single" w:sz="12" w:space="0" w:color="auto"/>
              <w:right w:val="single" w:sz="4" w:space="0" w:color="auto"/>
            </w:tcBorders>
            <w:shd w:val="clear" w:color="000000" w:fill="F2F2F2"/>
            <w:vAlign w:val="bottom"/>
          </w:tcPr>
          <w:p w14:paraId="474EA027" w14:textId="77777777" w:rsidR="003C7AF5" w:rsidRDefault="003C7AF5" w:rsidP="00431E19">
            <w:pPr>
              <w:tabs>
                <w:tab w:val="left" w:pos="330"/>
              </w:tabs>
              <w:spacing w:after="0" w:line="240" w:lineRule="auto"/>
              <w:ind w:left="-30"/>
              <w:rPr>
                <w:rFonts w:ascii="Arial Narrow" w:eastAsia="Times New Roman" w:hAnsi="Arial Narrow" w:cs="Arial"/>
                <w:b/>
                <w:bCs/>
                <w:color w:val="000000"/>
              </w:rPr>
            </w:pPr>
            <w:r>
              <w:rPr>
                <w:rFonts w:ascii="Arial Narrow" w:eastAsia="Times New Roman" w:hAnsi="Arial Narrow" w:cs="Arial"/>
                <w:b/>
                <w:bCs/>
                <w:color w:val="000000"/>
              </w:rPr>
              <w:t>Service</w:t>
            </w:r>
          </w:p>
        </w:tc>
        <w:tc>
          <w:tcPr>
            <w:tcW w:w="990" w:type="dxa"/>
            <w:tcBorders>
              <w:top w:val="single" w:sz="12" w:space="0" w:color="auto"/>
              <w:left w:val="single" w:sz="12" w:space="0" w:color="auto"/>
              <w:right w:val="single" w:sz="4" w:space="0" w:color="auto"/>
            </w:tcBorders>
            <w:shd w:val="clear" w:color="000000" w:fill="F2F2F2"/>
            <w:vAlign w:val="center"/>
          </w:tcPr>
          <w:p w14:paraId="2E62DAC6" w14:textId="77777777" w:rsidR="003C7AF5"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Projected Volume at Ramp</w:t>
            </w:r>
          </w:p>
        </w:tc>
        <w:tc>
          <w:tcPr>
            <w:tcW w:w="2070" w:type="dxa"/>
            <w:gridSpan w:val="3"/>
            <w:tcBorders>
              <w:top w:val="single" w:sz="12" w:space="0" w:color="auto"/>
              <w:left w:val="single" w:sz="12" w:space="0" w:color="auto"/>
              <w:bottom w:val="single" w:sz="4" w:space="0" w:color="auto"/>
              <w:right w:val="single" w:sz="12" w:space="0" w:color="auto"/>
            </w:tcBorders>
            <w:shd w:val="clear" w:color="auto" w:fill="F2F2F2"/>
            <w:vAlign w:val="center"/>
          </w:tcPr>
          <w:p w14:paraId="216FB945" w14:textId="77777777" w:rsidR="003C7AF5" w:rsidRPr="00934586" w:rsidRDefault="003C7AF5" w:rsidP="00082DA7">
            <w:pPr>
              <w:spacing w:after="0" w:line="240" w:lineRule="auto"/>
              <w:jc w:val="center"/>
              <w:rPr>
                <w:rFonts w:ascii="Arial Narrow" w:eastAsia="Times New Roman" w:hAnsi="Arial Narrow" w:cs="Arial"/>
                <w:b/>
                <w:bCs/>
                <w:color w:val="000000"/>
              </w:rPr>
            </w:pPr>
            <w:r>
              <w:rPr>
                <w:rFonts w:ascii="Arial Narrow" w:eastAsia="Times New Roman" w:hAnsi="Arial Narrow" w:cs="Arial"/>
                <w:b/>
                <w:bCs/>
                <w:color w:val="000000"/>
              </w:rPr>
              <w:t>Projected Census Days</w:t>
            </w:r>
            <w:r>
              <w:rPr>
                <w:rStyle w:val="EndnoteReference"/>
                <w:rFonts w:ascii="Arial Narrow" w:eastAsia="Times New Roman" w:hAnsi="Arial Narrow" w:cs="Arial"/>
                <w:b/>
                <w:bCs/>
                <w:color w:val="000000"/>
              </w:rPr>
              <w:endnoteReference w:id="9"/>
            </w:r>
          </w:p>
        </w:tc>
        <w:tc>
          <w:tcPr>
            <w:tcW w:w="630" w:type="dxa"/>
            <w:tcBorders>
              <w:top w:val="single" w:sz="12" w:space="0" w:color="auto"/>
              <w:left w:val="single" w:sz="12" w:space="0" w:color="auto"/>
              <w:right w:val="single" w:sz="12" w:space="0" w:color="auto"/>
            </w:tcBorders>
            <w:shd w:val="clear" w:color="000000" w:fill="F2F2F2"/>
            <w:vAlign w:val="center"/>
          </w:tcPr>
          <w:p w14:paraId="56234FA7" w14:textId="77777777" w:rsidR="003C7AF5"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ALOS</w:t>
            </w:r>
            <w:r>
              <w:rPr>
                <w:rStyle w:val="EndnoteReference"/>
                <w:rFonts w:ascii="Arial Narrow" w:eastAsia="Times New Roman" w:hAnsi="Arial Narrow" w:cs="Arial"/>
                <w:b/>
                <w:bCs/>
                <w:color w:val="000000"/>
              </w:rPr>
              <w:endnoteReference w:id="10"/>
            </w:r>
          </w:p>
        </w:tc>
        <w:tc>
          <w:tcPr>
            <w:tcW w:w="3330" w:type="dxa"/>
            <w:gridSpan w:val="5"/>
            <w:tcBorders>
              <w:top w:val="single" w:sz="12" w:space="0" w:color="auto"/>
              <w:left w:val="single" w:sz="12" w:space="0" w:color="auto"/>
              <w:bottom w:val="single" w:sz="4" w:space="0" w:color="auto"/>
              <w:right w:val="single" w:sz="12" w:space="0" w:color="auto"/>
            </w:tcBorders>
            <w:shd w:val="clear" w:color="000000" w:fill="F2F2F2"/>
            <w:vAlign w:val="center"/>
          </w:tcPr>
          <w:p w14:paraId="23B38D5D" w14:textId="77777777" w:rsidR="003C7AF5" w:rsidRPr="00934586" w:rsidRDefault="003C7AF5" w:rsidP="00082DA7">
            <w:pPr>
              <w:spacing w:after="0" w:line="240" w:lineRule="auto"/>
              <w:jc w:val="center"/>
              <w:rPr>
                <w:rFonts w:ascii="Arial Narrow" w:eastAsia="Times New Roman" w:hAnsi="Arial Narrow" w:cs="Arial"/>
                <w:b/>
                <w:bCs/>
                <w:color w:val="000000"/>
              </w:rPr>
            </w:pPr>
            <w:r>
              <w:rPr>
                <w:rFonts w:ascii="Arial Narrow" w:eastAsia="Times New Roman" w:hAnsi="Arial Narrow" w:cs="Arial"/>
                <w:b/>
                <w:bCs/>
                <w:color w:val="000000"/>
              </w:rPr>
              <w:t>Historical Patient Days</w:t>
            </w:r>
          </w:p>
        </w:tc>
        <w:tc>
          <w:tcPr>
            <w:tcW w:w="2610" w:type="dxa"/>
            <w:gridSpan w:val="4"/>
            <w:tcBorders>
              <w:top w:val="single" w:sz="12" w:space="0" w:color="auto"/>
              <w:left w:val="single" w:sz="12" w:space="0" w:color="auto"/>
              <w:bottom w:val="single" w:sz="4" w:space="0" w:color="auto"/>
              <w:right w:val="single" w:sz="12" w:space="0" w:color="auto"/>
            </w:tcBorders>
            <w:shd w:val="clear" w:color="000000" w:fill="F2F2F2"/>
            <w:vAlign w:val="center"/>
          </w:tcPr>
          <w:p w14:paraId="3A42FE81" w14:textId="77777777" w:rsidR="003C7AF5" w:rsidRPr="00934586" w:rsidRDefault="003C7AF5" w:rsidP="00082DA7">
            <w:pPr>
              <w:spacing w:after="0" w:line="240" w:lineRule="auto"/>
              <w:jc w:val="center"/>
              <w:rPr>
                <w:rFonts w:ascii="Arial Narrow" w:eastAsia="Times New Roman" w:hAnsi="Arial Narrow" w:cs="Arial"/>
                <w:b/>
                <w:bCs/>
                <w:color w:val="000000"/>
              </w:rPr>
            </w:pPr>
            <w:r>
              <w:rPr>
                <w:rFonts w:ascii="Arial Narrow" w:eastAsia="Times New Roman" w:hAnsi="Arial Narrow" w:cs="Arial"/>
                <w:b/>
                <w:bCs/>
                <w:color w:val="000000"/>
              </w:rPr>
              <w:t>Historical Patient Days Per Discharge</w:t>
            </w:r>
            <w:r>
              <w:rPr>
                <w:rStyle w:val="EndnoteReference"/>
                <w:rFonts w:ascii="Arial Narrow" w:eastAsia="Times New Roman" w:hAnsi="Arial Narrow" w:cs="Arial"/>
                <w:b/>
                <w:bCs/>
                <w:color w:val="000000"/>
              </w:rPr>
              <w:endnoteReference w:id="11"/>
            </w:r>
          </w:p>
        </w:tc>
      </w:tr>
      <w:tr w:rsidR="003C7AF5" w:rsidRPr="00934586" w14:paraId="7BF588E3" w14:textId="77777777" w:rsidTr="0080535D">
        <w:trPr>
          <w:cantSplit/>
          <w:trHeight w:val="144"/>
          <w:tblHeader/>
        </w:trPr>
        <w:tc>
          <w:tcPr>
            <w:tcW w:w="1515" w:type="dxa"/>
            <w:tcBorders>
              <w:left w:val="single" w:sz="12" w:space="0" w:color="auto"/>
              <w:bottom w:val="single" w:sz="4" w:space="0" w:color="auto"/>
              <w:right w:val="single" w:sz="4" w:space="0" w:color="auto"/>
            </w:tcBorders>
            <w:shd w:val="clear" w:color="000000" w:fill="F2F2F2"/>
          </w:tcPr>
          <w:p w14:paraId="71A0FC82" w14:textId="77777777" w:rsidR="003C7AF5" w:rsidRDefault="003C7AF5" w:rsidP="00082DA7">
            <w:pPr>
              <w:tabs>
                <w:tab w:val="left" w:pos="330"/>
              </w:tabs>
              <w:spacing w:after="0" w:line="240" w:lineRule="auto"/>
              <w:ind w:left="-30"/>
              <w:rPr>
                <w:rFonts w:ascii="Arial Narrow" w:eastAsia="Times New Roman" w:hAnsi="Arial Narrow" w:cs="Arial"/>
                <w:b/>
                <w:bCs/>
                <w:color w:val="000000"/>
              </w:rPr>
            </w:pPr>
          </w:p>
        </w:tc>
        <w:tc>
          <w:tcPr>
            <w:tcW w:w="990" w:type="dxa"/>
            <w:tcBorders>
              <w:left w:val="single" w:sz="12" w:space="0" w:color="auto"/>
              <w:bottom w:val="single" w:sz="4" w:space="0" w:color="auto"/>
              <w:right w:val="single" w:sz="4" w:space="0" w:color="auto"/>
            </w:tcBorders>
            <w:shd w:val="clear" w:color="000000" w:fill="F2F2F2"/>
            <w:vAlign w:val="center"/>
          </w:tcPr>
          <w:p w14:paraId="48040D93" w14:textId="77777777" w:rsidR="003C7AF5" w:rsidRPr="00934586" w:rsidRDefault="003C7AF5" w:rsidP="00082DA7">
            <w:pPr>
              <w:spacing w:after="0" w:line="240" w:lineRule="auto"/>
              <w:jc w:val="center"/>
              <w:rPr>
                <w:rFonts w:ascii="Arial Narrow" w:eastAsia="Times New Roman" w:hAnsi="Arial Narrow" w:cs="Arial"/>
                <w:b/>
                <w:bCs/>
                <w:color w:val="000000"/>
              </w:rPr>
            </w:pPr>
          </w:p>
        </w:tc>
        <w:tc>
          <w:tcPr>
            <w:tcW w:w="720" w:type="dxa"/>
            <w:tcBorders>
              <w:top w:val="single" w:sz="4" w:space="0" w:color="auto"/>
              <w:left w:val="single" w:sz="12" w:space="0" w:color="auto"/>
              <w:bottom w:val="single" w:sz="4" w:space="0" w:color="auto"/>
              <w:right w:val="single" w:sz="4" w:space="0" w:color="auto"/>
            </w:tcBorders>
            <w:shd w:val="clear" w:color="auto" w:fill="F2F2F2"/>
            <w:vAlign w:val="center"/>
          </w:tcPr>
          <w:p w14:paraId="5E898E1A" w14:textId="77777777" w:rsidR="003C7AF5"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M/S</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tcPr>
          <w:p w14:paraId="5E1D6325" w14:textId="77777777" w:rsidR="003C7AF5" w:rsidRDefault="003C7AF5" w:rsidP="00082DA7">
            <w:pPr>
              <w:spacing w:after="0" w:line="240" w:lineRule="auto"/>
              <w:ind w:left="-104" w:right="-105"/>
              <w:jc w:val="center"/>
              <w:rPr>
                <w:rFonts w:ascii="Arial Narrow" w:eastAsia="Times New Roman" w:hAnsi="Arial Narrow" w:cs="Arial"/>
                <w:b/>
                <w:bCs/>
                <w:color w:val="000000"/>
              </w:rPr>
            </w:pPr>
            <w:r>
              <w:rPr>
                <w:rFonts w:ascii="Arial Narrow" w:eastAsia="Times New Roman" w:hAnsi="Arial Narrow" w:cs="Arial"/>
                <w:b/>
                <w:bCs/>
                <w:color w:val="000000"/>
              </w:rPr>
              <w:t>ICU</w:t>
            </w:r>
          </w:p>
        </w:tc>
        <w:tc>
          <w:tcPr>
            <w:tcW w:w="720" w:type="dxa"/>
            <w:tcBorders>
              <w:top w:val="single" w:sz="4" w:space="0" w:color="auto"/>
              <w:left w:val="single" w:sz="4" w:space="0" w:color="auto"/>
              <w:bottom w:val="single" w:sz="4" w:space="0" w:color="auto"/>
              <w:right w:val="single" w:sz="12" w:space="0" w:color="auto"/>
            </w:tcBorders>
            <w:shd w:val="clear" w:color="auto" w:fill="F2F2F2"/>
            <w:vAlign w:val="center"/>
          </w:tcPr>
          <w:p w14:paraId="28716B45" w14:textId="77777777" w:rsidR="003C7AF5" w:rsidRPr="00C62251" w:rsidRDefault="003C7AF5" w:rsidP="00082DA7">
            <w:pPr>
              <w:spacing w:after="0" w:line="240" w:lineRule="auto"/>
              <w:ind w:left="-104" w:right="-105"/>
              <w:jc w:val="center"/>
              <w:rPr>
                <w:rFonts w:ascii="Arial Narrow" w:eastAsia="Times New Roman" w:hAnsi="Arial Narrow" w:cs="Arial"/>
                <w:b/>
                <w:bCs/>
                <w:color w:val="000000"/>
              </w:rPr>
            </w:pPr>
            <w:r w:rsidRPr="00C62251">
              <w:rPr>
                <w:rFonts w:ascii="Arial Narrow" w:eastAsia="Times New Roman" w:hAnsi="Arial Narrow" w:cs="Arial"/>
                <w:b/>
                <w:bCs/>
                <w:color w:val="000000"/>
              </w:rPr>
              <w:t>Total</w:t>
            </w:r>
          </w:p>
        </w:tc>
        <w:tc>
          <w:tcPr>
            <w:tcW w:w="630" w:type="dxa"/>
            <w:tcBorders>
              <w:left w:val="single" w:sz="12" w:space="0" w:color="auto"/>
              <w:bottom w:val="single" w:sz="12" w:space="0" w:color="auto"/>
              <w:right w:val="single" w:sz="12" w:space="0" w:color="auto"/>
            </w:tcBorders>
            <w:shd w:val="clear" w:color="000000" w:fill="F2F2F2"/>
          </w:tcPr>
          <w:p w14:paraId="222CEDF7" w14:textId="77777777" w:rsidR="003C7AF5" w:rsidRPr="00934586" w:rsidRDefault="003C7AF5" w:rsidP="00082DA7">
            <w:pPr>
              <w:spacing w:after="0" w:line="240" w:lineRule="auto"/>
              <w:jc w:val="center"/>
              <w:rPr>
                <w:rFonts w:ascii="Arial Narrow" w:eastAsia="Times New Roman" w:hAnsi="Arial Narrow" w:cs="Arial"/>
                <w:color w:val="000000"/>
              </w:rPr>
            </w:pPr>
          </w:p>
        </w:tc>
        <w:tc>
          <w:tcPr>
            <w:tcW w:w="720" w:type="dxa"/>
            <w:tcBorders>
              <w:top w:val="single" w:sz="4" w:space="0" w:color="auto"/>
              <w:left w:val="single" w:sz="12" w:space="0" w:color="auto"/>
              <w:bottom w:val="single" w:sz="4" w:space="0" w:color="auto"/>
              <w:right w:val="single" w:sz="4" w:space="0" w:color="auto"/>
            </w:tcBorders>
            <w:shd w:val="clear" w:color="auto" w:fill="F2F2F2"/>
            <w:vAlign w:val="center"/>
          </w:tcPr>
          <w:p w14:paraId="30B1E38A" w14:textId="77777777" w:rsidR="003C7AF5" w:rsidRPr="00A10A80" w:rsidRDefault="003C7AF5" w:rsidP="00082DA7">
            <w:pPr>
              <w:spacing w:after="0" w:line="240" w:lineRule="auto"/>
              <w:ind w:left="-105" w:right="-105"/>
              <w:jc w:val="center"/>
              <w:rPr>
                <w:rFonts w:ascii="Arial Narrow" w:eastAsia="Times New Roman" w:hAnsi="Arial Narrow" w:cs="Arial"/>
                <w:b/>
                <w:bCs/>
                <w:color w:val="000000"/>
              </w:rPr>
            </w:pPr>
            <w:r w:rsidRPr="00A10A80">
              <w:rPr>
                <w:rFonts w:ascii="Arial Narrow" w:eastAsia="Times New Roman" w:hAnsi="Arial Narrow" w:cs="Arial"/>
                <w:b/>
                <w:bCs/>
                <w:color w:val="000000"/>
              </w:rPr>
              <w:t>Volume</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tcPr>
          <w:p w14:paraId="3372F190" w14:textId="77777777" w:rsidR="003C7AF5" w:rsidRDefault="003C7AF5" w:rsidP="00082DA7">
            <w:pPr>
              <w:spacing w:after="0" w:line="240" w:lineRule="auto"/>
              <w:ind w:left="-104" w:right="-90"/>
              <w:jc w:val="center"/>
              <w:rPr>
                <w:rFonts w:ascii="Arial Narrow" w:eastAsia="Times New Roman" w:hAnsi="Arial Narrow" w:cs="Arial"/>
                <w:b/>
                <w:bCs/>
                <w:color w:val="000000"/>
              </w:rPr>
            </w:pPr>
            <w:r w:rsidRPr="00A10A80">
              <w:rPr>
                <w:rFonts w:ascii="Arial Narrow" w:eastAsia="Times New Roman" w:hAnsi="Arial Narrow" w:cs="Arial"/>
                <w:b/>
                <w:bCs/>
                <w:color w:val="000000"/>
              </w:rPr>
              <w:t>#</w:t>
            </w:r>
            <w:r>
              <w:rPr>
                <w:rFonts w:ascii="Arial Narrow" w:eastAsia="Times New Roman" w:hAnsi="Arial Narrow" w:cs="Arial"/>
                <w:b/>
                <w:bCs/>
                <w:color w:val="000000"/>
              </w:rPr>
              <w:t xml:space="preserve"> </w:t>
            </w:r>
            <w:r w:rsidRPr="00A10A80">
              <w:rPr>
                <w:rFonts w:ascii="Arial Narrow" w:eastAsia="Times New Roman" w:hAnsi="Arial Narrow" w:cs="Arial"/>
                <w:b/>
                <w:bCs/>
                <w:color w:val="000000"/>
              </w:rPr>
              <w:t>M</w:t>
            </w:r>
            <w:r>
              <w:rPr>
                <w:rFonts w:ascii="Arial Narrow" w:eastAsia="Times New Roman" w:hAnsi="Arial Narrow" w:cs="Arial"/>
                <w:b/>
                <w:bCs/>
                <w:color w:val="000000"/>
              </w:rPr>
              <w:t>/</w:t>
            </w:r>
            <w:r w:rsidRPr="00A10A80">
              <w:rPr>
                <w:rFonts w:ascii="Arial Narrow" w:eastAsia="Times New Roman" w:hAnsi="Arial Narrow" w:cs="Arial"/>
                <w:b/>
                <w:bCs/>
                <w:color w:val="000000"/>
              </w:rPr>
              <w:t>S</w:t>
            </w:r>
          </w:p>
          <w:p w14:paraId="5BA9DF47" w14:textId="77777777" w:rsidR="003C7AF5" w:rsidRPr="00A10A80" w:rsidRDefault="003C7AF5" w:rsidP="00082DA7">
            <w:pPr>
              <w:spacing w:after="0" w:line="240" w:lineRule="auto"/>
              <w:ind w:left="-104" w:right="-90"/>
              <w:jc w:val="center"/>
              <w:rPr>
                <w:rFonts w:ascii="Arial Narrow" w:eastAsia="Times New Roman" w:hAnsi="Arial Narrow" w:cs="Arial"/>
                <w:b/>
                <w:bCs/>
                <w:color w:val="000000"/>
              </w:rPr>
            </w:pPr>
            <w:r w:rsidRPr="00A10A80">
              <w:rPr>
                <w:rFonts w:ascii="Arial Narrow" w:eastAsia="Times New Roman" w:hAnsi="Arial Narrow" w:cs="Arial"/>
                <w:b/>
                <w:bCs/>
                <w:color w:val="000000"/>
              </w:rPr>
              <w:t>Days</w:t>
            </w:r>
          </w:p>
        </w:tc>
        <w:tc>
          <w:tcPr>
            <w:tcW w:w="720" w:type="dxa"/>
            <w:tcBorders>
              <w:top w:val="single" w:sz="4" w:space="0" w:color="auto"/>
              <w:left w:val="nil"/>
              <w:bottom w:val="single" w:sz="4" w:space="0" w:color="auto"/>
              <w:right w:val="single" w:sz="4" w:space="0" w:color="auto"/>
            </w:tcBorders>
            <w:shd w:val="clear" w:color="auto" w:fill="F2F2F2"/>
            <w:vAlign w:val="center"/>
          </w:tcPr>
          <w:p w14:paraId="1EE788F4" w14:textId="77777777" w:rsidR="003C7AF5" w:rsidRPr="00A10A80" w:rsidRDefault="003C7AF5" w:rsidP="00082DA7">
            <w:pPr>
              <w:spacing w:after="0" w:line="240" w:lineRule="auto"/>
              <w:ind w:left="-134" w:right="-100"/>
              <w:jc w:val="center"/>
              <w:rPr>
                <w:rFonts w:ascii="Arial Narrow" w:eastAsia="Times New Roman" w:hAnsi="Arial Narrow" w:cs="Arial"/>
                <w:b/>
                <w:bCs/>
                <w:color w:val="000000"/>
              </w:rPr>
            </w:pPr>
            <w:r w:rsidRPr="00A10A80">
              <w:rPr>
                <w:rFonts w:ascii="Arial Narrow" w:eastAsia="Times New Roman" w:hAnsi="Arial Narrow" w:cs="Arial"/>
                <w:b/>
                <w:bCs/>
                <w:color w:val="000000"/>
              </w:rPr>
              <w:t># IMCU Days</w:t>
            </w:r>
          </w:p>
        </w:tc>
        <w:tc>
          <w:tcPr>
            <w:tcW w:w="540" w:type="dxa"/>
            <w:tcBorders>
              <w:top w:val="single" w:sz="4" w:space="0" w:color="auto"/>
              <w:left w:val="nil"/>
              <w:bottom w:val="single" w:sz="4" w:space="0" w:color="auto"/>
              <w:right w:val="single" w:sz="4" w:space="0" w:color="auto"/>
            </w:tcBorders>
            <w:shd w:val="clear" w:color="auto" w:fill="F2F2F2"/>
            <w:vAlign w:val="center"/>
          </w:tcPr>
          <w:p w14:paraId="337DAA2B" w14:textId="77777777" w:rsidR="003C7AF5" w:rsidRPr="00A10A80"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 ICU Days</w:t>
            </w:r>
          </w:p>
        </w:tc>
        <w:tc>
          <w:tcPr>
            <w:tcW w:w="720" w:type="dxa"/>
            <w:tcBorders>
              <w:top w:val="single" w:sz="4" w:space="0" w:color="auto"/>
              <w:left w:val="nil"/>
              <w:bottom w:val="single" w:sz="4" w:space="0" w:color="auto"/>
              <w:right w:val="single" w:sz="12" w:space="0" w:color="auto"/>
            </w:tcBorders>
            <w:shd w:val="clear" w:color="auto" w:fill="F2F2F2"/>
            <w:vAlign w:val="center"/>
          </w:tcPr>
          <w:p w14:paraId="76F60FEE" w14:textId="77777777" w:rsidR="003C7AF5" w:rsidRPr="00A10A80"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 Other Patient Days</w:t>
            </w:r>
          </w:p>
        </w:tc>
        <w:tc>
          <w:tcPr>
            <w:tcW w:w="630" w:type="dxa"/>
            <w:tcBorders>
              <w:top w:val="single" w:sz="4" w:space="0" w:color="auto"/>
              <w:left w:val="single" w:sz="12" w:space="0" w:color="auto"/>
              <w:bottom w:val="single" w:sz="4" w:space="0" w:color="auto"/>
              <w:right w:val="single" w:sz="4" w:space="0" w:color="auto"/>
            </w:tcBorders>
            <w:shd w:val="clear" w:color="auto" w:fill="F2F2F2"/>
            <w:vAlign w:val="center"/>
          </w:tcPr>
          <w:p w14:paraId="58CE1545" w14:textId="77777777" w:rsidR="003C7AF5" w:rsidRDefault="003C7AF5" w:rsidP="00082DA7">
            <w:pPr>
              <w:spacing w:after="0" w:line="240" w:lineRule="auto"/>
              <w:ind w:left="-104" w:right="-90"/>
              <w:jc w:val="center"/>
              <w:rPr>
                <w:rFonts w:ascii="Arial Narrow" w:eastAsia="Times New Roman" w:hAnsi="Arial Narrow" w:cs="Arial"/>
                <w:b/>
                <w:bCs/>
                <w:color w:val="000000"/>
              </w:rPr>
            </w:pPr>
            <w:r w:rsidRPr="00A10A80">
              <w:rPr>
                <w:rFonts w:ascii="Arial Narrow" w:eastAsia="Times New Roman" w:hAnsi="Arial Narrow" w:cs="Arial"/>
                <w:b/>
                <w:bCs/>
                <w:color w:val="000000"/>
              </w:rPr>
              <w:t>#</w:t>
            </w:r>
            <w:r>
              <w:rPr>
                <w:rFonts w:ascii="Arial Narrow" w:eastAsia="Times New Roman" w:hAnsi="Arial Narrow" w:cs="Arial"/>
                <w:b/>
                <w:bCs/>
                <w:color w:val="000000"/>
              </w:rPr>
              <w:t xml:space="preserve"> </w:t>
            </w:r>
            <w:r w:rsidRPr="00A10A80">
              <w:rPr>
                <w:rFonts w:ascii="Arial Narrow" w:eastAsia="Times New Roman" w:hAnsi="Arial Narrow" w:cs="Arial"/>
                <w:b/>
                <w:bCs/>
                <w:color w:val="000000"/>
              </w:rPr>
              <w:t>M</w:t>
            </w:r>
            <w:r>
              <w:rPr>
                <w:rFonts w:ascii="Arial Narrow" w:eastAsia="Times New Roman" w:hAnsi="Arial Narrow" w:cs="Arial"/>
                <w:b/>
                <w:bCs/>
                <w:color w:val="000000"/>
              </w:rPr>
              <w:t>/</w:t>
            </w:r>
            <w:r w:rsidRPr="00A10A80">
              <w:rPr>
                <w:rFonts w:ascii="Arial Narrow" w:eastAsia="Times New Roman" w:hAnsi="Arial Narrow" w:cs="Arial"/>
                <w:b/>
                <w:bCs/>
                <w:color w:val="000000"/>
              </w:rPr>
              <w:t>S</w:t>
            </w:r>
          </w:p>
          <w:p w14:paraId="7512E2FC" w14:textId="77777777" w:rsidR="003C7AF5" w:rsidRPr="00934586" w:rsidRDefault="003C7AF5" w:rsidP="00082DA7">
            <w:pPr>
              <w:spacing w:after="0" w:line="240" w:lineRule="auto"/>
              <w:ind w:left="-105" w:right="-180"/>
              <w:jc w:val="center"/>
              <w:rPr>
                <w:rFonts w:ascii="Arial Narrow" w:eastAsia="Times New Roman" w:hAnsi="Arial Narrow" w:cs="Arial"/>
                <w:color w:val="000000"/>
              </w:rPr>
            </w:pPr>
            <w:r w:rsidRPr="00A10A80">
              <w:rPr>
                <w:rFonts w:ascii="Arial Narrow" w:eastAsia="Times New Roman" w:hAnsi="Arial Narrow" w:cs="Arial"/>
                <w:b/>
                <w:bCs/>
                <w:color w:val="000000"/>
              </w:rPr>
              <w:t>Days</w:t>
            </w:r>
          </w:p>
        </w:tc>
        <w:tc>
          <w:tcPr>
            <w:tcW w:w="720" w:type="dxa"/>
            <w:tcBorders>
              <w:top w:val="single" w:sz="4" w:space="0" w:color="auto"/>
              <w:left w:val="nil"/>
              <w:bottom w:val="single" w:sz="12" w:space="0" w:color="auto"/>
              <w:right w:val="single" w:sz="4" w:space="0" w:color="auto"/>
            </w:tcBorders>
            <w:shd w:val="clear" w:color="auto" w:fill="F2F2F2"/>
            <w:vAlign w:val="center"/>
          </w:tcPr>
          <w:p w14:paraId="709AE577" w14:textId="77777777" w:rsidR="003C7AF5" w:rsidRPr="00934586" w:rsidRDefault="003C7AF5" w:rsidP="00082DA7">
            <w:pPr>
              <w:spacing w:after="0" w:line="240" w:lineRule="auto"/>
              <w:ind w:left="-194" w:right="-115"/>
              <w:jc w:val="center"/>
              <w:rPr>
                <w:rFonts w:ascii="Arial Narrow" w:eastAsia="Times New Roman" w:hAnsi="Arial Narrow" w:cs="Arial"/>
                <w:color w:val="000000"/>
              </w:rPr>
            </w:pPr>
            <w:r w:rsidRPr="00A10A80">
              <w:rPr>
                <w:rFonts w:ascii="Arial Narrow" w:eastAsia="Times New Roman" w:hAnsi="Arial Narrow" w:cs="Arial"/>
                <w:b/>
                <w:bCs/>
                <w:color w:val="000000"/>
              </w:rPr>
              <w:t># IMCU Days</w:t>
            </w:r>
          </w:p>
        </w:tc>
        <w:tc>
          <w:tcPr>
            <w:tcW w:w="540" w:type="dxa"/>
            <w:tcBorders>
              <w:top w:val="single" w:sz="4" w:space="0" w:color="auto"/>
              <w:left w:val="nil"/>
              <w:bottom w:val="single" w:sz="12" w:space="0" w:color="auto"/>
              <w:right w:val="single" w:sz="4" w:space="0" w:color="auto"/>
            </w:tcBorders>
            <w:shd w:val="clear" w:color="auto" w:fill="F2F2F2"/>
            <w:vAlign w:val="center"/>
          </w:tcPr>
          <w:p w14:paraId="0161F341" w14:textId="77777777" w:rsidR="003C7AF5" w:rsidRPr="00934586" w:rsidRDefault="003C7AF5" w:rsidP="00082DA7">
            <w:pPr>
              <w:spacing w:after="0" w:line="240" w:lineRule="auto"/>
              <w:ind w:left="-104" w:right="-105"/>
              <w:jc w:val="center"/>
              <w:rPr>
                <w:rFonts w:ascii="Arial Narrow" w:eastAsia="Times New Roman" w:hAnsi="Arial Narrow" w:cs="Arial"/>
                <w:color w:val="000000"/>
              </w:rPr>
            </w:pPr>
            <w:r>
              <w:rPr>
                <w:rFonts w:ascii="Arial Narrow" w:eastAsia="Times New Roman" w:hAnsi="Arial Narrow" w:cs="Arial"/>
                <w:b/>
                <w:bCs/>
                <w:color w:val="000000"/>
              </w:rPr>
              <w:t># ICU Days</w:t>
            </w:r>
          </w:p>
        </w:tc>
        <w:tc>
          <w:tcPr>
            <w:tcW w:w="720" w:type="dxa"/>
            <w:tcBorders>
              <w:top w:val="single" w:sz="4" w:space="0" w:color="auto"/>
              <w:left w:val="single" w:sz="4" w:space="0" w:color="auto"/>
              <w:bottom w:val="single" w:sz="12" w:space="0" w:color="auto"/>
              <w:right w:val="single" w:sz="12" w:space="0" w:color="auto"/>
            </w:tcBorders>
            <w:shd w:val="clear" w:color="auto" w:fill="F2F2F2"/>
            <w:vAlign w:val="center"/>
          </w:tcPr>
          <w:p w14:paraId="25BDC32E" w14:textId="77777777" w:rsidR="003C7AF5" w:rsidRPr="00934586" w:rsidRDefault="003C7AF5" w:rsidP="00082DA7">
            <w:pPr>
              <w:spacing w:after="0" w:line="240" w:lineRule="auto"/>
              <w:ind w:left="-104" w:right="-105"/>
              <w:jc w:val="center"/>
              <w:rPr>
                <w:rFonts w:ascii="Arial Narrow" w:eastAsia="Times New Roman" w:hAnsi="Arial Narrow" w:cs="Arial"/>
                <w:color w:val="000000"/>
              </w:rPr>
            </w:pPr>
            <w:r>
              <w:rPr>
                <w:rFonts w:ascii="Arial Narrow" w:eastAsia="Times New Roman" w:hAnsi="Arial Narrow" w:cs="Arial"/>
                <w:b/>
                <w:bCs/>
                <w:color w:val="000000"/>
              </w:rPr>
              <w:t># Other Patient Days</w:t>
            </w:r>
          </w:p>
        </w:tc>
      </w:tr>
      <w:tr w:rsidR="003C7AF5" w:rsidRPr="00934586" w14:paraId="73758B3B" w14:textId="77777777" w:rsidTr="00B140F0">
        <w:trPr>
          <w:cantSplit/>
          <w:trHeight w:val="144"/>
        </w:trPr>
        <w:tc>
          <w:tcPr>
            <w:tcW w:w="1515" w:type="dxa"/>
            <w:tcBorders>
              <w:top w:val="single" w:sz="12" w:space="0" w:color="auto"/>
              <w:left w:val="single" w:sz="12" w:space="0" w:color="auto"/>
              <w:bottom w:val="single" w:sz="4" w:space="0" w:color="auto"/>
              <w:right w:val="single" w:sz="4" w:space="0" w:color="auto"/>
            </w:tcBorders>
          </w:tcPr>
          <w:p w14:paraId="15915541" w14:textId="77777777" w:rsidR="003C7AF5" w:rsidRPr="00934586" w:rsidRDefault="003C7AF5" w:rsidP="00082DA7">
            <w:pPr>
              <w:spacing w:after="0" w:line="240" w:lineRule="auto"/>
              <w:ind w:left="-30" w:right="-105"/>
              <w:rPr>
                <w:rFonts w:ascii="Arial Narrow" w:eastAsia="Times New Roman" w:hAnsi="Arial Narrow" w:cs="Arial"/>
                <w:b/>
                <w:bCs/>
                <w:color w:val="000000"/>
              </w:rPr>
            </w:pPr>
            <w:r>
              <w:rPr>
                <w:rFonts w:ascii="Arial Narrow" w:eastAsia="Times New Roman" w:hAnsi="Arial Narrow" w:cs="Arial"/>
                <w:b/>
                <w:bCs/>
                <w:color w:val="000000"/>
              </w:rPr>
              <w:t xml:space="preserve">Surgical </w:t>
            </w:r>
          </w:p>
        </w:tc>
        <w:tc>
          <w:tcPr>
            <w:tcW w:w="990" w:type="dxa"/>
            <w:tcBorders>
              <w:top w:val="single" w:sz="12" w:space="0" w:color="auto"/>
              <w:left w:val="single" w:sz="12" w:space="0" w:color="auto"/>
              <w:bottom w:val="single" w:sz="4" w:space="0" w:color="auto"/>
              <w:right w:val="single" w:sz="4" w:space="0" w:color="auto"/>
            </w:tcBorders>
            <w:vAlign w:val="center"/>
          </w:tcPr>
          <w:p w14:paraId="03806653" w14:textId="77777777" w:rsidR="003C7AF5" w:rsidRPr="00934586" w:rsidRDefault="003C7AF5" w:rsidP="00082DA7">
            <w:pPr>
              <w:spacing w:after="0" w:line="240" w:lineRule="auto"/>
              <w:jc w:val="center"/>
              <w:rPr>
                <w:rFonts w:ascii="Arial Narrow" w:eastAsia="Times New Roman" w:hAnsi="Arial Narrow" w:cs="Arial"/>
                <w:b/>
                <w:bCs/>
                <w:color w:val="000000"/>
              </w:rPr>
            </w:pPr>
            <w:r>
              <w:rPr>
                <w:rFonts w:ascii="Arial Narrow" w:eastAsia="Times New Roman" w:hAnsi="Arial Narrow" w:cs="Arial"/>
                <w:b/>
                <w:bCs/>
                <w:color w:val="000000"/>
              </w:rPr>
              <w:t>1,457</w:t>
            </w:r>
          </w:p>
        </w:tc>
        <w:tc>
          <w:tcPr>
            <w:tcW w:w="720" w:type="dxa"/>
            <w:tcBorders>
              <w:top w:val="single" w:sz="12" w:space="0" w:color="auto"/>
              <w:left w:val="single" w:sz="12" w:space="0" w:color="auto"/>
              <w:bottom w:val="single" w:sz="4" w:space="0" w:color="auto"/>
              <w:right w:val="single" w:sz="4" w:space="0" w:color="auto"/>
            </w:tcBorders>
            <w:vAlign w:val="center"/>
          </w:tcPr>
          <w:p w14:paraId="6FE22B1B" w14:textId="77777777" w:rsidR="003C7AF5" w:rsidRPr="00934586"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8,521</w:t>
            </w:r>
          </w:p>
        </w:tc>
        <w:tc>
          <w:tcPr>
            <w:tcW w:w="630" w:type="dxa"/>
            <w:tcBorders>
              <w:top w:val="single" w:sz="12" w:space="0" w:color="auto"/>
              <w:left w:val="single" w:sz="4" w:space="0" w:color="auto"/>
              <w:bottom w:val="single" w:sz="4" w:space="0" w:color="auto"/>
              <w:right w:val="single" w:sz="4" w:space="0" w:color="auto"/>
            </w:tcBorders>
            <w:vAlign w:val="center"/>
          </w:tcPr>
          <w:p w14:paraId="529CAA69" w14:textId="77777777" w:rsidR="003C7AF5" w:rsidRPr="0003332F" w:rsidRDefault="003C7AF5" w:rsidP="00082DA7">
            <w:pPr>
              <w:spacing w:after="0" w:line="240" w:lineRule="auto"/>
              <w:ind w:left="-104" w:right="-105"/>
              <w:jc w:val="center"/>
              <w:rPr>
                <w:rFonts w:ascii="Arial Narrow" w:eastAsia="Times New Roman" w:hAnsi="Arial Narrow" w:cs="Arial"/>
                <w:b/>
                <w:bCs/>
                <w:color w:val="000000"/>
              </w:rPr>
            </w:pPr>
            <w:r w:rsidRPr="0003332F">
              <w:rPr>
                <w:rFonts w:ascii="Arial Narrow" w:eastAsia="Times New Roman" w:hAnsi="Arial Narrow" w:cs="Arial"/>
                <w:b/>
                <w:bCs/>
                <w:color w:val="000000"/>
              </w:rPr>
              <w:t>2</w:t>
            </w:r>
            <w:r>
              <w:rPr>
                <w:rFonts w:ascii="Arial Narrow" w:eastAsia="Times New Roman" w:hAnsi="Arial Narrow" w:cs="Arial"/>
                <w:b/>
                <w:bCs/>
                <w:color w:val="000000"/>
              </w:rPr>
              <w:t>,</w:t>
            </w:r>
            <w:r w:rsidRPr="0003332F">
              <w:rPr>
                <w:rFonts w:ascii="Arial Narrow" w:eastAsia="Times New Roman" w:hAnsi="Arial Narrow" w:cs="Arial"/>
                <w:b/>
                <w:bCs/>
                <w:color w:val="000000"/>
              </w:rPr>
              <w:t>726</w:t>
            </w:r>
          </w:p>
        </w:tc>
        <w:tc>
          <w:tcPr>
            <w:tcW w:w="720" w:type="dxa"/>
            <w:tcBorders>
              <w:top w:val="single" w:sz="12" w:space="0" w:color="auto"/>
              <w:left w:val="single" w:sz="4" w:space="0" w:color="auto"/>
              <w:bottom w:val="single" w:sz="4" w:space="0" w:color="auto"/>
              <w:right w:val="single" w:sz="12" w:space="0" w:color="auto"/>
            </w:tcBorders>
            <w:shd w:val="clear" w:color="auto" w:fill="auto"/>
            <w:vAlign w:val="center"/>
          </w:tcPr>
          <w:p w14:paraId="5F4264DF" w14:textId="77777777" w:rsidR="003C7AF5" w:rsidRPr="0003332F" w:rsidRDefault="003C7AF5" w:rsidP="00082DA7">
            <w:pPr>
              <w:spacing w:after="0" w:line="240" w:lineRule="auto"/>
              <w:ind w:left="-104" w:right="-105"/>
              <w:jc w:val="center"/>
              <w:rPr>
                <w:rFonts w:ascii="Arial Narrow" w:eastAsia="Times New Roman" w:hAnsi="Arial Narrow" w:cs="Arial"/>
                <w:b/>
                <w:bCs/>
                <w:color w:val="000000"/>
              </w:rPr>
            </w:pPr>
            <w:r w:rsidRPr="0003332F">
              <w:rPr>
                <w:rFonts w:ascii="Arial Narrow" w:eastAsia="Times New Roman" w:hAnsi="Arial Narrow" w:cs="Arial"/>
                <w:b/>
                <w:bCs/>
                <w:color w:val="000000"/>
              </w:rPr>
              <w:t>11</w:t>
            </w:r>
            <w:r>
              <w:rPr>
                <w:rFonts w:ascii="Arial Narrow" w:eastAsia="Times New Roman" w:hAnsi="Arial Narrow" w:cs="Arial"/>
                <w:b/>
                <w:bCs/>
                <w:color w:val="000000"/>
              </w:rPr>
              <w:t>,</w:t>
            </w:r>
            <w:r w:rsidRPr="0003332F">
              <w:rPr>
                <w:rFonts w:ascii="Arial Narrow" w:eastAsia="Times New Roman" w:hAnsi="Arial Narrow" w:cs="Arial"/>
                <w:b/>
                <w:bCs/>
                <w:color w:val="000000"/>
              </w:rPr>
              <w:t>247</w:t>
            </w:r>
          </w:p>
        </w:tc>
        <w:tc>
          <w:tcPr>
            <w:tcW w:w="630" w:type="dxa"/>
            <w:tcBorders>
              <w:top w:val="single" w:sz="12" w:space="0" w:color="auto"/>
              <w:left w:val="single" w:sz="12" w:space="0" w:color="auto"/>
              <w:bottom w:val="single" w:sz="4" w:space="0" w:color="auto"/>
              <w:right w:val="single" w:sz="12" w:space="0" w:color="auto"/>
            </w:tcBorders>
          </w:tcPr>
          <w:p w14:paraId="112499FA" w14:textId="77777777" w:rsidR="003C7AF5" w:rsidRPr="0003332F" w:rsidRDefault="003C7AF5" w:rsidP="00082DA7">
            <w:pPr>
              <w:spacing w:after="0" w:line="240" w:lineRule="auto"/>
              <w:jc w:val="center"/>
              <w:rPr>
                <w:rFonts w:ascii="Arial Narrow" w:eastAsia="Times New Roman" w:hAnsi="Arial Narrow" w:cs="Arial"/>
                <w:b/>
                <w:bCs/>
                <w:color w:val="000000"/>
              </w:rPr>
            </w:pPr>
            <w:r w:rsidRPr="0003332F">
              <w:rPr>
                <w:rFonts w:ascii="Arial Narrow" w:eastAsia="Times New Roman" w:hAnsi="Arial Narrow" w:cs="Arial"/>
                <w:b/>
                <w:bCs/>
                <w:color w:val="000000"/>
              </w:rPr>
              <w:t>7.7</w:t>
            </w:r>
          </w:p>
        </w:tc>
        <w:tc>
          <w:tcPr>
            <w:tcW w:w="720" w:type="dxa"/>
            <w:tcBorders>
              <w:top w:val="single" w:sz="12" w:space="0" w:color="auto"/>
              <w:left w:val="single" w:sz="12" w:space="0" w:color="auto"/>
              <w:bottom w:val="single" w:sz="4" w:space="0" w:color="auto"/>
              <w:right w:val="single" w:sz="4" w:space="0" w:color="auto"/>
            </w:tcBorders>
            <w:shd w:val="clear" w:color="auto" w:fill="auto"/>
          </w:tcPr>
          <w:p w14:paraId="4433D2ED" w14:textId="77777777" w:rsidR="003C7AF5" w:rsidRPr="00093CBC" w:rsidRDefault="003C7AF5" w:rsidP="00082DA7">
            <w:pPr>
              <w:spacing w:after="0" w:line="240" w:lineRule="auto"/>
              <w:ind w:left="-105" w:right="-105"/>
              <w:jc w:val="center"/>
              <w:rPr>
                <w:rFonts w:ascii="Arial Narrow" w:eastAsia="Times New Roman" w:hAnsi="Arial Narrow" w:cs="Arial"/>
                <w:b/>
                <w:bCs/>
                <w:color w:val="000000"/>
              </w:rPr>
            </w:pPr>
            <w:r w:rsidRPr="00093CBC">
              <w:rPr>
                <w:rFonts w:ascii="Arial Narrow" w:eastAsia="Times New Roman" w:hAnsi="Arial Narrow" w:cs="Arial"/>
                <w:b/>
                <w:bCs/>
                <w:color w:val="000000"/>
              </w:rPr>
              <w:t>3,333</w:t>
            </w:r>
          </w:p>
        </w:tc>
        <w:tc>
          <w:tcPr>
            <w:tcW w:w="630" w:type="dxa"/>
            <w:tcBorders>
              <w:top w:val="single" w:sz="12" w:space="0" w:color="auto"/>
              <w:left w:val="single" w:sz="4" w:space="0" w:color="auto"/>
              <w:bottom w:val="single" w:sz="4" w:space="0" w:color="auto"/>
              <w:right w:val="single" w:sz="4" w:space="0" w:color="auto"/>
            </w:tcBorders>
            <w:shd w:val="clear" w:color="auto" w:fill="auto"/>
          </w:tcPr>
          <w:p w14:paraId="132FB667" w14:textId="77777777" w:rsidR="003C7AF5" w:rsidRPr="00093CBC" w:rsidRDefault="003C7AF5" w:rsidP="00082DA7">
            <w:pPr>
              <w:spacing w:after="0" w:line="240" w:lineRule="auto"/>
              <w:ind w:left="-104" w:right="-90"/>
              <w:jc w:val="center"/>
              <w:rPr>
                <w:rFonts w:ascii="Arial Narrow" w:eastAsia="Times New Roman" w:hAnsi="Arial Narrow" w:cs="Arial"/>
                <w:b/>
                <w:bCs/>
                <w:color w:val="000000"/>
              </w:rPr>
            </w:pPr>
            <w:r>
              <w:rPr>
                <w:rFonts w:ascii="Arial Narrow" w:eastAsia="Times New Roman" w:hAnsi="Arial Narrow" w:cs="Arial"/>
                <w:b/>
                <w:bCs/>
                <w:color w:val="000000"/>
              </w:rPr>
              <w:t>5,542</w:t>
            </w:r>
          </w:p>
        </w:tc>
        <w:tc>
          <w:tcPr>
            <w:tcW w:w="720" w:type="dxa"/>
            <w:tcBorders>
              <w:top w:val="single" w:sz="12" w:space="0" w:color="auto"/>
              <w:left w:val="nil"/>
              <w:bottom w:val="single" w:sz="4" w:space="0" w:color="auto"/>
              <w:right w:val="single" w:sz="4" w:space="0" w:color="auto"/>
            </w:tcBorders>
            <w:shd w:val="clear" w:color="auto" w:fill="auto"/>
          </w:tcPr>
          <w:p w14:paraId="28753AE7"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4,649</w:t>
            </w:r>
          </w:p>
        </w:tc>
        <w:tc>
          <w:tcPr>
            <w:tcW w:w="540" w:type="dxa"/>
            <w:tcBorders>
              <w:top w:val="single" w:sz="12" w:space="0" w:color="auto"/>
              <w:left w:val="nil"/>
              <w:bottom w:val="single" w:sz="4" w:space="0" w:color="auto"/>
              <w:right w:val="single" w:sz="4" w:space="0" w:color="auto"/>
            </w:tcBorders>
            <w:shd w:val="clear" w:color="auto" w:fill="auto"/>
          </w:tcPr>
          <w:p w14:paraId="34616D36"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3,041</w:t>
            </w:r>
          </w:p>
        </w:tc>
        <w:tc>
          <w:tcPr>
            <w:tcW w:w="720" w:type="dxa"/>
            <w:tcBorders>
              <w:top w:val="single" w:sz="12" w:space="0" w:color="auto"/>
              <w:left w:val="nil"/>
              <w:bottom w:val="single" w:sz="4" w:space="0" w:color="auto"/>
              <w:right w:val="single" w:sz="12" w:space="0" w:color="auto"/>
            </w:tcBorders>
            <w:shd w:val="clear" w:color="auto" w:fill="auto"/>
          </w:tcPr>
          <w:p w14:paraId="18A77A6D"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5,017</w:t>
            </w:r>
          </w:p>
        </w:tc>
        <w:tc>
          <w:tcPr>
            <w:tcW w:w="630" w:type="dxa"/>
            <w:tcBorders>
              <w:top w:val="single" w:sz="12" w:space="0" w:color="auto"/>
              <w:left w:val="single" w:sz="12" w:space="0" w:color="auto"/>
              <w:bottom w:val="single" w:sz="4" w:space="0" w:color="auto"/>
              <w:right w:val="single" w:sz="4" w:space="0" w:color="auto"/>
            </w:tcBorders>
            <w:shd w:val="clear" w:color="auto" w:fill="auto"/>
          </w:tcPr>
          <w:p w14:paraId="6C1057D9" w14:textId="77777777" w:rsidR="003C7AF5" w:rsidRPr="00D7640E" w:rsidRDefault="003C7AF5" w:rsidP="00082DA7">
            <w:pPr>
              <w:spacing w:after="0" w:line="240" w:lineRule="auto"/>
              <w:ind w:left="-105" w:right="-180"/>
              <w:jc w:val="center"/>
              <w:rPr>
                <w:rFonts w:ascii="Arial Narrow" w:eastAsia="Times New Roman" w:hAnsi="Arial Narrow" w:cs="Arial"/>
                <w:b/>
                <w:bCs/>
                <w:color w:val="000000"/>
              </w:rPr>
            </w:pPr>
            <w:r w:rsidRPr="00D7640E">
              <w:rPr>
                <w:rFonts w:ascii="Arial Narrow" w:eastAsia="Times New Roman" w:hAnsi="Arial Narrow" w:cs="Arial"/>
                <w:b/>
                <w:bCs/>
                <w:color w:val="000000"/>
              </w:rPr>
              <w:t>1.66</w:t>
            </w:r>
          </w:p>
        </w:tc>
        <w:tc>
          <w:tcPr>
            <w:tcW w:w="720" w:type="dxa"/>
            <w:tcBorders>
              <w:top w:val="single" w:sz="12" w:space="0" w:color="auto"/>
              <w:left w:val="nil"/>
              <w:bottom w:val="single" w:sz="4" w:space="0" w:color="auto"/>
              <w:right w:val="single" w:sz="4" w:space="0" w:color="auto"/>
            </w:tcBorders>
            <w:shd w:val="clear" w:color="auto" w:fill="auto"/>
          </w:tcPr>
          <w:p w14:paraId="4A071F23" w14:textId="77777777" w:rsidR="003C7AF5" w:rsidRPr="00D7640E" w:rsidRDefault="003C7AF5" w:rsidP="00082DA7">
            <w:pPr>
              <w:spacing w:after="0" w:line="240" w:lineRule="auto"/>
              <w:ind w:left="-104" w:right="-150"/>
              <w:jc w:val="center"/>
              <w:rPr>
                <w:rFonts w:ascii="Arial Narrow" w:eastAsia="Times New Roman" w:hAnsi="Arial Narrow" w:cs="Arial"/>
                <w:b/>
                <w:bCs/>
                <w:color w:val="000000"/>
              </w:rPr>
            </w:pPr>
            <w:r w:rsidRPr="00D7640E">
              <w:rPr>
                <w:rFonts w:ascii="Arial Narrow" w:eastAsia="Times New Roman" w:hAnsi="Arial Narrow" w:cs="Arial"/>
                <w:b/>
                <w:bCs/>
                <w:color w:val="000000"/>
              </w:rPr>
              <w:t>1.39</w:t>
            </w:r>
          </w:p>
        </w:tc>
        <w:tc>
          <w:tcPr>
            <w:tcW w:w="540" w:type="dxa"/>
            <w:tcBorders>
              <w:top w:val="single" w:sz="12" w:space="0" w:color="auto"/>
              <w:left w:val="nil"/>
              <w:bottom w:val="single" w:sz="4" w:space="0" w:color="auto"/>
              <w:right w:val="single" w:sz="4" w:space="0" w:color="auto"/>
            </w:tcBorders>
            <w:shd w:val="clear" w:color="auto" w:fill="auto"/>
          </w:tcPr>
          <w:p w14:paraId="0E424C92" w14:textId="77777777" w:rsidR="003C7AF5" w:rsidRPr="00D7640E" w:rsidRDefault="003C7AF5" w:rsidP="00082DA7">
            <w:pPr>
              <w:spacing w:after="0" w:line="240" w:lineRule="auto"/>
              <w:ind w:left="-104" w:right="-105"/>
              <w:jc w:val="center"/>
              <w:rPr>
                <w:rFonts w:ascii="Arial Narrow" w:eastAsia="Times New Roman" w:hAnsi="Arial Narrow" w:cs="Arial"/>
                <w:b/>
                <w:bCs/>
                <w:color w:val="000000"/>
              </w:rPr>
            </w:pPr>
            <w:r w:rsidRPr="00D7640E">
              <w:rPr>
                <w:rFonts w:ascii="Arial Narrow" w:eastAsia="Times New Roman" w:hAnsi="Arial Narrow" w:cs="Arial"/>
                <w:b/>
                <w:bCs/>
                <w:color w:val="000000"/>
              </w:rPr>
              <w:t>0.91</w:t>
            </w:r>
          </w:p>
        </w:tc>
        <w:tc>
          <w:tcPr>
            <w:tcW w:w="720" w:type="dxa"/>
            <w:tcBorders>
              <w:top w:val="single" w:sz="12" w:space="0" w:color="auto"/>
              <w:left w:val="single" w:sz="4" w:space="0" w:color="auto"/>
              <w:bottom w:val="single" w:sz="4" w:space="0" w:color="auto"/>
              <w:right w:val="single" w:sz="12" w:space="0" w:color="auto"/>
            </w:tcBorders>
            <w:shd w:val="clear" w:color="auto" w:fill="auto"/>
          </w:tcPr>
          <w:p w14:paraId="20804220" w14:textId="77777777" w:rsidR="003C7AF5" w:rsidRPr="00D7640E" w:rsidRDefault="003C7AF5" w:rsidP="00082DA7">
            <w:pPr>
              <w:spacing w:after="0" w:line="240" w:lineRule="auto"/>
              <w:ind w:left="-104" w:right="-105"/>
              <w:jc w:val="center"/>
              <w:rPr>
                <w:rFonts w:ascii="Arial Narrow" w:eastAsia="Times New Roman" w:hAnsi="Arial Narrow" w:cs="Arial"/>
                <w:b/>
                <w:bCs/>
                <w:color w:val="000000"/>
              </w:rPr>
            </w:pPr>
            <w:r w:rsidRPr="00D7640E">
              <w:rPr>
                <w:rFonts w:ascii="Arial Narrow" w:eastAsia="Times New Roman" w:hAnsi="Arial Narrow" w:cs="Arial"/>
                <w:b/>
                <w:bCs/>
                <w:color w:val="000000"/>
              </w:rPr>
              <w:t>1.51</w:t>
            </w:r>
          </w:p>
        </w:tc>
      </w:tr>
      <w:tr w:rsidR="003C7AF5" w:rsidRPr="00934586" w14:paraId="41194E91"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7F6B4CD1"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Bariatric</w:t>
            </w:r>
          </w:p>
        </w:tc>
        <w:tc>
          <w:tcPr>
            <w:tcW w:w="990" w:type="dxa"/>
            <w:tcBorders>
              <w:top w:val="single" w:sz="4" w:space="0" w:color="auto"/>
              <w:left w:val="single" w:sz="12" w:space="0" w:color="auto"/>
              <w:bottom w:val="single" w:sz="4" w:space="0" w:color="auto"/>
              <w:right w:val="single" w:sz="4" w:space="0" w:color="auto"/>
            </w:tcBorders>
            <w:vAlign w:val="center"/>
          </w:tcPr>
          <w:p w14:paraId="526EEDD4"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80</w:t>
            </w:r>
          </w:p>
        </w:tc>
        <w:tc>
          <w:tcPr>
            <w:tcW w:w="720" w:type="dxa"/>
            <w:tcBorders>
              <w:top w:val="single" w:sz="4" w:space="0" w:color="auto"/>
              <w:left w:val="single" w:sz="12" w:space="0" w:color="auto"/>
              <w:bottom w:val="single" w:sz="4" w:space="0" w:color="auto"/>
              <w:right w:val="single" w:sz="4" w:space="0" w:color="auto"/>
            </w:tcBorders>
            <w:vAlign w:val="center"/>
          </w:tcPr>
          <w:p w14:paraId="04A6BA42"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234</w:t>
            </w:r>
          </w:p>
        </w:tc>
        <w:tc>
          <w:tcPr>
            <w:tcW w:w="630" w:type="dxa"/>
            <w:tcBorders>
              <w:top w:val="single" w:sz="4" w:space="0" w:color="auto"/>
              <w:left w:val="single" w:sz="4" w:space="0" w:color="auto"/>
              <w:bottom w:val="single" w:sz="4" w:space="0" w:color="auto"/>
              <w:right w:val="single" w:sz="4" w:space="0" w:color="auto"/>
            </w:tcBorders>
            <w:vAlign w:val="center"/>
          </w:tcPr>
          <w:p w14:paraId="0B441A18"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1</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4EA9D353"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235</w:t>
            </w:r>
          </w:p>
        </w:tc>
        <w:tc>
          <w:tcPr>
            <w:tcW w:w="630" w:type="dxa"/>
            <w:tcBorders>
              <w:top w:val="single" w:sz="4" w:space="0" w:color="auto"/>
              <w:left w:val="single" w:sz="12" w:space="0" w:color="auto"/>
              <w:bottom w:val="single" w:sz="4" w:space="0" w:color="auto"/>
              <w:right w:val="single" w:sz="12" w:space="0" w:color="auto"/>
            </w:tcBorders>
          </w:tcPr>
          <w:p w14:paraId="641CF15D"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3.0</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4564714C"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206</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95B5BC2"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456</w:t>
            </w:r>
          </w:p>
        </w:tc>
        <w:tc>
          <w:tcPr>
            <w:tcW w:w="720" w:type="dxa"/>
            <w:tcBorders>
              <w:top w:val="single" w:sz="4" w:space="0" w:color="auto"/>
              <w:left w:val="nil"/>
              <w:bottom w:val="single" w:sz="4" w:space="0" w:color="auto"/>
              <w:right w:val="single" w:sz="4" w:space="0" w:color="auto"/>
            </w:tcBorders>
            <w:shd w:val="clear" w:color="auto" w:fill="auto"/>
          </w:tcPr>
          <w:p w14:paraId="00DBF194"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84</w:t>
            </w:r>
          </w:p>
        </w:tc>
        <w:tc>
          <w:tcPr>
            <w:tcW w:w="540" w:type="dxa"/>
            <w:tcBorders>
              <w:top w:val="single" w:sz="4" w:space="0" w:color="auto"/>
              <w:left w:val="nil"/>
              <w:bottom w:val="single" w:sz="4" w:space="0" w:color="auto"/>
              <w:right w:val="single" w:sz="4" w:space="0" w:color="auto"/>
            </w:tcBorders>
            <w:shd w:val="clear" w:color="auto" w:fill="auto"/>
          </w:tcPr>
          <w:p w14:paraId="10CF74EA"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3</w:t>
            </w:r>
          </w:p>
        </w:tc>
        <w:tc>
          <w:tcPr>
            <w:tcW w:w="720" w:type="dxa"/>
            <w:tcBorders>
              <w:top w:val="single" w:sz="4" w:space="0" w:color="auto"/>
              <w:left w:val="nil"/>
              <w:bottom w:val="single" w:sz="4" w:space="0" w:color="auto"/>
              <w:right w:val="single" w:sz="12" w:space="0" w:color="auto"/>
            </w:tcBorders>
            <w:shd w:val="clear" w:color="auto" w:fill="auto"/>
          </w:tcPr>
          <w:p w14:paraId="01C4E6B1"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66</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79D2BD52"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2.21</w:t>
            </w:r>
          </w:p>
        </w:tc>
        <w:tc>
          <w:tcPr>
            <w:tcW w:w="720" w:type="dxa"/>
            <w:tcBorders>
              <w:top w:val="single" w:sz="4" w:space="0" w:color="auto"/>
              <w:left w:val="nil"/>
              <w:bottom w:val="single" w:sz="4" w:space="0" w:color="auto"/>
              <w:right w:val="single" w:sz="4" w:space="0" w:color="auto"/>
            </w:tcBorders>
            <w:shd w:val="clear" w:color="auto" w:fill="auto"/>
          </w:tcPr>
          <w:p w14:paraId="24B5F103"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0.41</w:t>
            </w:r>
          </w:p>
        </w:tc>
        <w:tc>
          <w:tcPr>
            <w:tcW w:w="540" w:type="dxa"/>
            <w:tcBorders>
              <w:top w:val="single" w:sz="4" w:space="0" w:color="auto"/>
              <w:left w:val="nil"/>
              <w:bottom w:val="single" w:sz="4" w:space="0" w:color="auto"/>
              <w:right w:val="single" w:sz="4" w:space="0" w:color="auto"/>
            </w:tcBorders>
            <w:shd w:val="clear" w:color="auto" w:fill="auto"/>
          </w:tcPr>
          <w:p w14:paraId="72EBB669"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0.01</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57C1CE6F"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0.32</w:t>
            </w:r>
          </w:p>
        </w:tc>
      </w:tr>
      <w:tr w:rsidR="003C7AF5" w:rsidRPr="00934586" w14:paraId="469E940B"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02E7ED24"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Cardiac Surgery</w:t>
            </w:r>
          </w:p>
        </w:tc>
        <w:tc>
          <w:tcPr>
            <w:tcW w:w="990" w:type="dxa"/>
            <w:tcBorders>
              <w:top w:val="single" w:sz="4" w:space="0" w:color="auto"/>
              <w:left w:val="single" w:sz="12" w:space="0" w:color="auto"/>
              <w:bottom w:val="single" w:sz="4" w:space="0" w:color="auto"/>
              <w:right w:val="single" w:sz="4" w:space="0" w:color="auto"/>
            </w:tcBorders>
            <w:vAlign w:val="center"/>
          </w:tcPr>
          <w:p w14:paraId="1681371A"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86</w:t>
            </w:r>
          </w:p>
        </w:tc>
        <w:tc>
          <w:tcPr>
            <w:tcW w:w="720" w:type="dxa"/>
            <w:tcBorders>
              <w:top w:val="single" w:sz="4" w:space="0" w:color="auto"/>
              <w:left w:val="single" w:sz="12" w:space="0" w:color="auto"/>
              <w:bottom w:val="single" w:sz="4" w:space="0" w:color="auto"/>
              <w:right w:val="single" w:sz="4" w:space="0" w:color="auto"/>
            </w:tcBorders>
            <w:vAlign w:val="center"/>
          </w:tcPr>
          <w:p w14:paraId="762B9CB0"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658</w:t>
            </w:r>
          </w:p>
        </w:tc>
        <w:tc>
          <w:tcPr>
            <w:tcW w:w="630" w:type="dxa"/>
            <w:tcBorders>
              <w:top w:val="single" w:sz="4" w:space="0" w:color="auto"/>
              <w:left w:val="single" w:sz="4" w:space="0" w:color="auto"/>
              <w:bottom w:val="single" w:sz="4" w:space="0" w:color="auto"/>
              <w:right w:val="single" w:sz="4" w:space="0" w:color="auto"/>
            </w:tcBorders>
            <w:vAlign w:val="center"/>
          </w:tcPr>
          <w:p w14:paraId="0226FE48"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428</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2CF5CAD4"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1,086</w:t>
            </w:r>
          </w:p>
        </w:tc>
        <w:tc>
          <w:tcPr>
            <w:tcW w:w="630" w:type="dxa"/>
            <w:tcBorders>
              <w:top w:val="single" w:sz="4" w:space="0" w:color="auto"/>
              <w:left w:val="single" w:sz="12" w:space="0" w:color="auto"/>
              <w:bottom w:val="single" w:sz="4" w:space="0" w:color="auto"/>
              <w:right w:val="single" w:sz="12" w:space="0" w:color="auto"/>
            </w:tcBorders>
          </w:tcPr>
          <w:p w14:paraId="6C72E31C"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12.7</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0E7F8D94"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70</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E672987"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115</w:t>
            </w:r>
          </w:p>
        </w:tc>
        <w:tc>
          <w:tcPr>
            <w:tcW w:w="720" w:type="dxa"/>
            <w:tcBorders>
              <w:top w:val="single" w:sz="4" w:space="0" w:color="auto"/>
              <w:left w:val="nil"/>
              <w:bottom w:val="single" w:sz="4" w:space="0" w:color="auto"/>
              <w:right w:val="single" w:sz="4" w:space="0" w:color="auto"/>
            </w:tcBorders>
            <w:shd w:val="clear" w:color="auto" w:fill="auto"/>
          </w:tcPr>
          <w:p w14:paraId="66B0F3D0"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413</w:t>
            </w:r>
          </w:p>
        </w:tc>
        <w:tc>
          <w:tcPr>
            <w:tcW w:w="540" w:type="dxa"/>
            <w:tcBorders>
              <w:top w:val="single" w:sz="4" w:space="0" w:color="auto"/>
              <w:left w:val="nil"/>
              <w:bottom w:val="single" w:sz="4" w:space="0" w:color="auto"/>
              <w:right w:val="single" w:sz="4" w:space="0" w:color="auto"/>
            </w:tcBorders>
            <w:shd w:val="clear" w:color="auto" w:fill="auto"/>
          </w:tcPr>
          <w:p w14:paraId="2D864F40"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350</w:t>
            </w:r>
          </w:p>
        </w:tc>
        <w:tc>
          <w:tcPr>
            <w:tcW w:w="720" w:type="dxa"/>
            <w:tcBorders>
              <w:top w:val="single" w:sz="4" w:space="0" w:color="auto"/>
              <w:left w:val="nil"/>
              <w:bottom w:val="single" w:sz="4" w:space="0" w:color="auto"/>
              <w:right w:val="single" w:sz="12" w:space="0" w:color="auto"/>
            </w:tcBorders>
            <w:shd w:val="clear" w:color="auto" w:fill="auto"/>
          </w:tcPr>
          <w:p w14:paraId="149B182E"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1CFB4C98"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1.64</w:t>
            </w:r>
          </w:p>
        </w:tc>
        <w:tc>
          <w:tcPr>
            <w:tcW w:w="720" w:type="dxa"/>
            <w:tcBorders>
              <w:top w:val="single" w:sz="4" w:space="0" w:color="auto"/>
              <w:left w:val="nil"/>
              <w:bottom w:val="single" w:sz="4" w:space="0" w:color="auto"/>
              <w:right w:val="single" w:sz="4" w:space="0" w:color="auto"/>
            </w:tcBorders>
            <w:shd w:val="clear" w:color="auto" w:fill="auto"/>
          </w:tcPr>
          <w:p w14:paraId="6FB61950"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5.90</w:t>
            </w:r>
          </w:p>
        </w:tc>
        <w:tc>
          <w:tcPr>
            <w:tcW w:w="540" w:type="dxa"/>
            <w:tcBorders>
              <w:top w:val="single" w:sz="4" w:space="0" w:color="auto"/>
              <w:left w:val="nil"/>
              <w:bottom w:val="single" w:sz="4" w:space="0" w:color="auto"/>
              <w:right w:val="single" w:sz="4" w:space="0" w:color="auto"/>
            </w:tcBorders>
            <w:shd w:val="clear" w:color="auto" w:fill="auto"/>
          </w:tcPr>
          <w:p w14:paraId="37F617CF"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5.00</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76FC42E0"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0.16</w:t>
            </w:r>
          </w:p>
        </w:tc>
      </w:tr>
      <w:tr w:rsidR="003C7AF5" w:rsidRPr="00934586" w14:paraId="1CDDF398"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4CA24FD3"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Colorectal</w:t>
            </w:r>
          </w:p>
        </w:tc>
        <w:tc>
          <w:tcPr>
            <w:tcW w:w="990" w:type="dxa"/>
            <w:tcBorders>
              <w:top w:val="single" w:sz="4" w:space="0" w:color="auto"/>
              <w:left w:val="single" w:sz="12" w:space="0" w:color="auto"/>
              <w:bottom w:val="single" w:sz="4" w:space="0" w:color="auto"/>
              <w:right w:val="single" w:sz="4" w:space="0" w:color="auto"/>
            </w:tcBorders>
            <w:vAlign w:val="center"/>
          </w:tcPr>
          <w:p w14:paraId="09DD25BA"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84</w:t>
            </w:r>
          </w:p>
        </w:tc>
        <w:tc>
          <w:tcPr>
            <w:tcW w:w="720" w:type="dxa"/>
            <w:tcBorders>
              <w:top w:val="single" w:sz="4" w:space="0" w:color="auto"/>
              <w:left w:val="single" w:sz="12" w:space="0" w:color="auto"/>
              <w:bottom w:val="single" w:sz="4" w:space="0" w:color="auto"/>
              <w:right w:val="single" w:sz="4" w:space="0" w:color="auto"/>
            </w:tcBorders>
            <w:vAlign w:val="center"/>
          </w:tcPr>
          <w:p w14:paraId="03FCFC68"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583</w:t>
            </w:r>
          </w:p>
        </w:tc>
        <w:tc>
          <w:tcPr>
            <w:tcW w:w="630" w:type="dxa"/>
            <w:tcBorders>
              <w:top w:val="single" w:sz="4" w:space="0" w:color="auto"/>
              <w:left w:val="single" w:sz="4" w:space="0" w:color="auto"/>
              <w:bottom w:val="single" w:sz="4" w:space="0" w:color="auto"/>
              <w:right w:val="single" w:sz="4" w:space="0" w:color="auto"/>
            </w:tcBorders>
            <w:vAlign w:val="center"/>
          </w:tcPr>
          <w:p w14:paraId="1B6BDF3A"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40</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145F6573"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623</w:t>
            </w:r>
          </w:p>
        </w:tc>
        <w:tc>
          <w:tcPr>
            <w:tcW w:w="630" w:type="dxa"/>
            <w:tcBorders>
              <w:top w:val="single" w:sz="4" w:space="0" w:color="auto"/>
              <w:left w:val="single" w:sz="12" w:space="0" w:color="auto"/>
              <w:bottom w:val="single" w:sz="4" w:space="0" w:color="auto"/>
              <w:right w:val="single" w:sz="12" w:space="0" w:color="auto"/>
            </w:tcBorders>
          </w:tcPr>
          <w:p w14:paraId="2AC3BB27"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7.4</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31EFA0DC"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132</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0FADBA8"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528</w:t>
            </w:r>
          </w:p>
        </w:tc>
        <w:tc>
          <w:tcPr>
            <w:tcW w:w="720" w:type="dxa"/>
            <w:tcBorders>
              <w:top w:val="single" w:sz="4" w:space="0" w:color="auto"/>
              <w:left w:val="nil"/>
              <w:bottom w:val="single" w:sz="4" w:space="0" w:color="auto"/>
              <w:right w:val="single" w:sz="4" w:space="0" w:color="auto"/>
            </w:tcBorders>
            <w:shd w:val="clear" w:color="auto" w:fill="auto"/>
          </w:tcPr>
          <w:p w14:paraId="42C99DAA"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350</w:t>
            </w:r>
          </w:p>
        </w:tc>
        <w:tc>
          <w:tcPr>
            <w:tcW w:w="540" w:type="dxa"/>
            <w:tcBorders>
              <w:top w:val="single" w:sz="4" w:space="0" w:color="auto"/>
              <w:left w:val="nil"/>
              <w:bottom w:val="single" w:sz="4" w:space="0" w:color="auto"/>
              <w:right w:val="single" w:sz="4" w:space="0" w:color="auto"/>
            </w:tcBorders>
            <w:shd w:val="clear" w:color="auto" w:fill="auto"/>
          </w:tcPr>
          <w:p w14:paraId="4BB2503C"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63</w:t>
            </w:r>
          </w:p>
        </w:tc>
        <w:tc>
          <w:tcPr>
            <w:tcW w:w="720" w:type="dxa"/>
            <w:tcBorders>
              <w:top w:val="single" w:sz="4" w:space="0" w:color="auto"/>
              <w:left w:val="nil"/>
              <w:bottom w:val="single" w:sz="4" w:space="0" w:color="auto"/>
              <w:right w:val="single" w:sz="12" w:space="0" w:color="auto"/>
            </w:tcBorders>
            <w:shd w:val="clear" w:color="auto" w:fill="auto"/>
          </w:tcPr>
          <w:p w14:paraId="12BCE099"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34</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7300F60A"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4.00</w:t>
            </w:r>
          </w:p>
        </w:tc>
        <w:tc>
          <w:tcPr>
            <w:tcW w:w="720" w:type="dxa"/>
            <w:tcBorders>
              <w:top w:val="single" w:sz="4" w:space="0" w:color="auto"/>
              <w:left w:val="nil"/>
              <w:bottom w:val="single" w:sz="4" w:space="0" w:color="auto"/>
              <w:right w:val="single" w:sz="4" w:space="0" w:color="auto"/>
            </w:tcBorders>
            <w:shd w:val="clear" w:color="auto" w:fill="auto"/>
          </w:tcPr>
          <w:p w14:paraId="06EBE123"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2.65</w:t>
            </w:r>
          </w:p>
        </w:tc>
        <w:tc>
          <w:tcPr>
            <w:tcW w:w="540" w:type="dxa"/>
            <w:tcBorders>
              <w:top w:val="single" w:sz="4" w:space="0" w:color="auto"/>
              <w:left w:val="nil"/>
              <w:bottom w:val="single" w:sz="4" w:space="0" w:color="auto"/>
              <w:right w:val="single" w:sz="4" w:space="0" w:color="auto"/>
            </w:tcBorders>
            <w:shd w:val="clear" w:color="auto" w:fill="auto"/>
          </w:tcPr>
          <w:p w14:paraId="2228A6CD"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0.48</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0C93CAF6"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0.26</w:t>
            </w:r>
          </w:p>
        </w:tc>
      </w:tr>
      <w:tr w:rsidR="003C7AF5" w:rsidRPr="00934586" w14:paraId="72A6CF07"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09D6D8DA"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Neurosurgery</w:t>
            </w:r>
          </w:p>
        </w:tc>
        <w:tc>
          <w:tcPr>
            <w:tcW w:w="990" w:type="dxa"/>
            <w:tcBorders>
              <w:top w:val="single" w:sz="4" w:space="0" w:color="auto"/>
              <w:left w:val="single" w:sz="12" w:space="0" w:color="auto"/>
              <w:bottom w:val="single" w:sz="4" w:space="0" w:color="auto"/>
              <w:right w:val="single" w:sz="4" w:space="0" w:color="auto"/>
            </w:tcBorders>
            <w:vAlign w:val="center"/>
          </w:tcPr>
          <w:p w14:paraId="1249D361"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218</w:t>
            </w:r>
          </w:p>
        </w:tc>
        <w:tc>
          <w:tcPr>
            <w:tcW w:w="720" w:type="dxa"/>
            <w:tcBorders>
              <w:top w:val="single" w:sz="4" w:space="0" w:color="auto"/>
              <w:left w:val="single" w:sz="12" w:space="0" w:color="auto"/>
              <w:bottom w:val="single" w:sz="4" w:space="0" w:color="auto"/>
              <w:right w:val="single" w:sz="4" w:space="0" w:color="auto"/>
            </w:tcBorders>
            <w:vAlign w:val="center"/>
          </w:tcPr>
          <w:p w14:paraId="353EDBD9"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2,093</w:t>
            </w:r>
          </w:p>
        </w:tc>
        <w:tc>
          <w:tcPr>
            <w:tcW w:w="630" w:type="dxa"/>
            <w:tcBorders>
              <w:top w:val="single" w:sz="4" w:space="0" w:color="auto"/>
              <w:left w:val="single" w:sz="4" w:space="0" w:color="auto"/>
              <w:bottom w:val="single" w:sz="4" w:space="0" w:color="auto"/>
              <w:right w:val="single" w:sz="4" w:space="0" w:color="auto"/>
            </w:tcBorders>
            <w:vAlign w:val="center"/>
          </w:tcPr>
          <w:p w14:paraId="4784E2BB"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1,423</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4FFB040A"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3,516</w:t>
            </w:r>
          </w:p>
        </w:tc>
        <w:tc>
          <w:tcPr>
            <w:tcW w:w="630" w:type="dxa"/>
            <w:tcBorders>
              <w:top w:val="single" w:sz="4" w:space="0" w:color="auto"/>
              <w:left w:val="single" w:sz="12" w:space="0" w:color="auto"/>
              <w:bottom w:val="single" w:sz="4" w:space="0" w:color="auto"/>
              <w:right w:val="single" w:sz="12" w:space="0" w:color="auto"/>
            </w:tcBorders>
          </w:tcPr>
          <w:p w14:paraId="6BD6C0E2"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16.1</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28B2825B"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176</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33FB865"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55</w:t>
            </w:r>
          </w:p>
        </w:tc>
        <w:tc>
          <w:tcPr>
            <w:tcW w:w="720" w:type="dxa"/>
            <w:tcBorders>
              <w:top w:val="single" w:sz="4" w:space="0" w:color="auto"/>
              <w:left w:val="nil"/>
              <w:bottom w:val="single" w:sz="4" w:space="0" w:color="auto"/>
              <w:right w:val="single" w:sz="4" w:space="0" w:color="auto"/>
            </w:tcBorders>
            <w:shd w:val="clear" w:color="auto" w:fill="auto"/>
          </w:tcPr>
          <w:p w14:paraId="1E91E4A4"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1,600</w:t>
            </w:r>
          </w:p>
        </w:tc>
        <w:tc>
          <w:tcPr>
            <w:tcW w:w="540" w:type="dxa"/>
            <w:tcBorders>
              <w:top w:val="single" w:sz="4" w:space="0" w:color="auto"/>
              <w:left w:val="nil"/>
              <w:bottom w:val="single" w:sz="4" w:space="0" w:color="auto"/>
              <w:right w:val="single" w:sz="4" w:space="0" w:color="auto"/>
            </w:tcBorders>
            <w:shd w:val="clear" w:color="auto" w:fill="auto"/>
          </w:tcPr>
          <w:p w14:paraId="5DFD3B46"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1,150</w:t>
            </w:r>
          </w:p>
        </w:tc>
        <w:tc>
          <w:tcPr>
            <w:tcW w:w="720" w:type="dxa"/>
            <w:tcBorders>
              <w:top w:val="single" w:sz="4" w:space="0" w:color="auto"/>
              <w:left w:val="nil"/>
              <w:bottom w:val="single" w:sz="4" w:space="0" w:color="auto"/>
              <w:right w:val="single" w:sz="12" w:space="0" w:color="auto"/>
            </w:tcBorders>
            <w:shd w:val="clear" w:color="auto" w:fill="auto"/>
          </w:tcPr>
          <w:p w14:paraId="56D7C226"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36</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2E3FFDDA"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0.31</w:t>
            </w:r>
          </w:p>
        </w:tc>
        <w:tc>
          <w:tcPr>
            <w:tcW w:w="720" w:type="dxa"/>
            <w:tcBorders>
              <w:top w:val="single" w:sz="4" w:space="0" w:color="auto"/>
              <w:left w:val="nil"/>
              <w:bottom w:val="single" w:sz="4" w:space="0" w:color="auto"/>
              <w:right w:val="single" w:sz="4" w:space="0" w:color="auto"/>
            </w:tcBorders>
            <w:shd w:val="clear" w:color="auto" w:fill="auto"/>
          </w:tcPr>
          <w:p w14:paraId="67FA6A10"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9.09</w:t>
            </w:r>
          </w:p>
        </w:tc>
        <w:tc>
          <w:tcPr>
            <w:tcW w:w="540" w:type="dxa"/>
            <w:tcBorders>
              <w:top w:val="single" w:sz="4" w:space="0" w:color="auto"/>
              <w:left w:val="nil"/>
              <w:bottom w:val="single" w:sz="4" w:space="0" w:color="auto"/>
              <w:right w:val="single" w:sz="4" w:space="0" w:color="auto"/>
            </w:tcBorders>
            <w:shd w:val="clear" w:color="auto" w:fill="auto"/>
          </w:tcPr>
          <w:p w14:paraId="0CC3C7CD"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6.53</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4DD4AABC"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0.20</w:t>
            </w:r>
          </w:p>
        </w:tc>
      </w:tr>
      <w:tr w:rsidR="003C7AF5" w:rsidRPr="00934586" w14:paraId="402FD17B"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04612C7E"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OB/GYN</w:t>
            </w:r>
          </w:p>
        </w:tc>
        <w:tc>
          <w:tcPr>
            <w:tcW w:w="990" w:type="dxa"/>
            <w:tcBorders>
              <w:top w:val="single" w:sz="4" w:space="0" w:color="auto"/>
              <w:left w:val="single" w:sz="12" w:space="0" w:color="auto"/>
              <w:bottom w:val="single" w:sz="4" w:space="0" w:color="auto"/>
              <w:right w:val="single" w:sz="4" w:space="0" w:color="auto"/>
            </w:tcBorders>
            <w:vAlign w:val="center"/>
          </w:tcPr>
          <w:p w14:paraId="1EF49573"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43</w:t>
            </w:r>
          </w:p>
        </w:tc>
        <w:tc>
          <w:tcPr>
            <w:tcW w:w="720" w:type="dxa"/>
            <w:tcBorders>
              <w:top w:val="single" w:sz="4" w:space="0" w:color="auto"/>
              <w:left w:val="single" w:sz="12" w:space="0" w:color="auto"/>
              <w:bottom w:val="single" w:sz="4" w:space="0" w:color="auto"/>
              <w:right w:val="single" w:sz="4" w:space="0" w:color="auto"/>
            </w:tcBorders>
            <w:vAlign w:val="center"/>
          </w:tcPr>
          <w:p w14:paraId="28160EAE"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140</w:t>
            </w:r>
          </w:p>
        </w:tc>
        <w:tc>
          <w:tcPr>
            <w:tcW w:w="630" w:type="dxa"/>
            <w:tcBorders>
              <w:top w:val="single" w:sz="4" w:space="0" w:color="auto"/>
              <w:left w:val="single" w:sz="4" w:space="0" w:color="auto"/>
              <w:bottom w:val="single" w:sz="4" w:space="0" w:color="auto"/>
              <w:right w:val="single" w:sz="4" w:space="0" w:color="auto"/>
            </w:tcBorders>
            <w:vAlign w:val="center"/>
          </w:tcPr>
          <w:p w14:paraId="713E0200"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1</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72DF9D34"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141</w:t>
            </w:r>
          </w:p>
        </w:tc>
        <w:tc>
          <w:tcPr>
            <w:tcW w:w="630" w:type="dxa"/>
            <w:tcBorders>
              <w:top w:val="single" w:sz="4" w:space="0" w:color="auto"/>
              <w:left w:val="single" w:sz="12" w:space="0" w:color="auto"/>
              <w:bottom w:val="single" w:sz="4" w:space="0" w:color="auto"/>
              <w:right w:val="single" w:sz="12" w:space="0" w:color="auto"/>
            </w:tcBorders>
          </w:tcPr>
          <w:p w14:paraId="079EC09E"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3.3</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70501016"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1,545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862004"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386</w:t>
            </w:r>
          </w:p>
        </w:tc>
        <w:tc>
          <w:tcPr>
            <w:tcW w:w="720" w:type="dxa"/>
            <w:tcBorders>
              <w:top w:val="single" w:sz="4" w:space="0" w:color="auto"/>
              <w:left w:val="nil"/>
              <w:bottom w:val="single" w:sz="4" w:space="0" w:color="auto"/>
              <w:right w:val="single" w:sz="4" w:space="0" w:color="auto"/>
            </w:tcBorders>
            <w:shd w:val="clear" w:color="auto" w:fill="auto"/>
          </w:tcPr>
          <w:p w14:paraId="16871565"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46</w:t>
            </w:r>
          </w:p>
        </w:tc>
        <w:tc>
          <w:tcPr>
            <w:tcW w:w="540" w:type="dxa"/>
            <w:tcBorders>
              <w:top w:val="single" w:sz="4" w:space="0" w:color="auto"/>
              <w:left w:val="nil"/>
              <w:bottom w:val="single" w:sz="4" w:space="0" w:color="auto"/>
              <w:right w:val="single" w:sz="4" w:space="0" w:color="auto"/>
            </w:tcBorders>
            <w:shd w:val="clear" w:color="auto" w:fill="auto"/>
          </w:tcPr>
          <w:p w14:paraId="574C724C"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20</w:t>
            </w:r>
          </w:p>
        </w:tc>
        <w:tc>
          <w:tcPr>
            <w:tcW w:w="720" w:type="dxa"/>
            <w:tcBorders>
              <w:top w:val="single" w:sz="4" w:space="0" w:color="auto"/>
              <w:left w:val="nil"/>
              <w:bottom w:val="single" w:sz="4" w:space="0" w:color="auto"/>
              <w:right w:val="single" w:sz="12" w:space="0" w:color="auto"/>
            </w:tcBorders>
            <w:shd w:val="clear" w:color="auto" w:fill="auto"/>
          </w:tcPr>
          <w:p w14:paraId="2AC9A6B3"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4,614</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150CF9BF"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0.25</w:t>
            </w:r>
          </w:p>
        </w:tc>
        <w:tc>
          <w:tcPr>
            <w:tcW w:w="720" w:type="dxa"/>
            <w:tcBorders>
              <w:top w:val="single" w:sz="4" w:space="0" w:color="auto"/>
              <w:left w:val="nil"/>
              <w:bottom w:val="single" w:sz="4" w:space="0" w:color="auto"/>
              <w:right w:val="single" w:sz="4" w:space="0" w:color="auto"/>
            </w:tcBorders>
            <w:shd w:val="clear" w:color="auto" w:fill="auto"/>
          </w:tcPr>
          <w:p w14:paraId="2DD5CA43"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0.03</w:t>
            </w:r>
          </w:p>
        </w:tc>
        <w:tc>
          <w:tcPr>
            <w:tcW w:w="540" w:type="dxa"/>
            <w:tcBorders>
              <w:top w:val="single" w:sz="4" w:space="0" w:color="auto"/>
              <w:left w:val="nil"/>
              <w:bottom w:val="single" w:sz="4" w:space="0" w:color="auto"/>
              <w:right w:val="single" w:sz="4" w:space="0" w:color="auto"/>
            </w:tcBorders>
            <w:shd w:val="clear" w:color="auto" w:fill="auto"/>
          </w:tcPr>
          <w:p w14:paraId="7DBD36D1"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0.01</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5EECDEE5"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2.99</w:t>
            </w:r>
          </w:p>
        </w:tc>
      </w:tr>
      <w:tr w:rsidR="003C7AF5" w:rsidRPr="00934586" w14:paraId="2F685836"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058430CE"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Orthopaedics</w:t>
            </w:r>
          </w:p>
        </w:tc>
        <w:tc>
          <w:tcPr>
            <w:tcW w:w="990" w:type="dxa"/>
            <w:tcBorders>
              <w:top w:val="single" w:sz="4" w:space="0" w:color="auto"/>
              <w:left w:val="single" w:sz="12" w:space="0" w:color="auto"/>
              <w:bottom w:val="single" w:sz="4" w:space="0" w:color="auto"/>
              <w:right w:val="single" w:sz="4" w:space="0" w:color="auto"/>
            </w:tcBorders>
            <w:vAlign w:val="center"/>
          </w:tcPr>
          <w:p w14:paraId="3B510F80"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530</w:t>
            </w:r>
          </w:p>
        </w:tc>
        <w:tc>
          <w:tcPr>
            <w:tcW w:w="720" w:type="dxa"/>
            <w:tcBorders>
              <w:top w:val="single" w:sz="4" w:space="0" w:color="auto"/>
              <w:left w:val="single" w:sz="12" w:space="0" w:color="auto"/>
              <w:bottom w:val="single" w:sz="4" w:space="0" w:color="auto"/>
              <w:right w:val="single" w:sz="4" w:space="0" w:color="auto"/>
            </w:tcBorders>
            <w:vAlign w:val="center"/>
          </w:tcPr>
          <w:p w14:paraId="2FCC71F9"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2,373</w:t>
            </w:r>
          </w:p>
        </w:tc>
        <w:tc>
          <w:tcPr>
            <w:tcW w:w="630" w:type="dxa"/>
            <w:tcBorders>
              <w:top w:val="single" w:sz="4" w:space="0" w:color="auto"/>
              <w:left w:val="single" w:sz="4" w:space="0" w:color="auto"/>
              <w:bottom w:val="single" w:sz="4" w:space="0" w:color="auto"/>
              <w:right w:val="single" w:sz="4" w:space="0" w:color="auto"/>
            </w:tcBorders>
            <w:vAlign w:val="center"/>
          </w:tcPr>
          <w:p w14:paraId="513D3A71"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112</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34F7EADA"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2,485</w:t>
            </w:r>
          </w:p>
        </w:tc>
        <w:tc>
          <w:tcPr>
            <w:tcW w:w="630" w:type="dxa"/>
            <w:tcBorders>
              <w:top w:val="single" w:sz="4" w:space="0" w:color="auto"/>
              <w:left w:val="single" w:sz="12" w:space="0" w:color="auto"/>
              <w:bottom w:val="single" w:sz="4" w:space="0" w:color="auto"/>
              <w:right w:val="single" w:sz="12" w:space="0" w:color="auto"/>
            </w:tcBorders>
          </w:tcPr>
          <w:p w14:paraId="25F972F5"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4.7</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6DBBD899"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485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A715D3E"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2,000</w:t>
            </w:r>
          </w:p>
        </w:tc>
        <w:tc>
          <w:tcPr>
            <w:tcW w:w="720" w:type="dxa"/>
            <w:tcBorders>
              <w:top w:val="single" w:sz="4" w:space="0" w:color="auto"/>
              <w:left w:val="nil"/>
              <w:bottom w:val="single" w:sz="4" w:space="0" w:color="auto"/>
              <w:right w:val="single" w:sz="4" w:space="0" w:color="auto"/>
            </w:tcBorders>
            <w:shd w:val="clear" w:color="auto" w:fill="auto"/>
          </w:tcPr>
          <w:p w14:paraId="4A12F082"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106</w:t>
            </w:r>
          </w:p>
        </w:tc>
        <w:tc>
          <w:tcPr>
            <w:tcW w:w="540" w:type="dxa"/>
            <w:tcBorders>
              <w:top w:val="single" w:sz="4" w:space="0" w:color="auto"/>
              <w:left w:val="nil"/>
              <w:bottom w:val="single" w:sz="4" w:space="0" w:color="auto"/>
              <w:right w:val="single" w:sz="4" w:space="0" w:color="auto"/>
            </w:tcBorders>
            <w:shd w:val="clear" w:color="auto" w:fill="auto"/>
          </w:tcPr>
          <w:p w14:paraId="53A19506"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103</w:t>
            </w:r>
          </w:p>
        </w:tc>
        <w:tc>
          <w:tcPr>
            <w:tcW w:w="720" w:type="dxa"/>
            <w:tcBorders>
              <w:top w:val="single" w:sz="4" w:space="0" w:color="auto"/>
              <w:left w:val="nil"/>
              <w:bottom w:val="single" w:sz="4" w:space="0" w:color="auto"/>
              <w:right w:val="single" w:sz="12" w:space="0" w:color="auto"/>
            </w:tcBorders>
            <w:shd w:val="clear" w:color="auto" w:fill="auto"/>
          </w:tcPr>
          <w:p w14:paraId="78DEF34C"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67</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1C28AEEF"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4.12</w:t>
            </w:r>
          </w:p>
        </w:tc>
        <w:tc>
          <w:tcPr>
            <w:tcW w:w="720" w:type="dxa"/>
            <w:tcBorders>
              <w:top w:val="single" w:sz="4" w:space="0" w:color="auto"/>
              <w:left w:val="nil"/>
              <w:bottom w:val="single" w:sz="4" w:space="0" w:color="auto"/>
              <w:right w:val="single" w:sz="4" w:space="0" w:color="auto"/>
            </w:tcBorders>
            <w:shd w:val="clear" w:color="auto" w:fill="auto"/>
          </w:tcPr>
          <w:p w14:paraId="5FCBD845"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0.22</w:t>
            </w:r>
          </w:p>
        </w:tc>
        <w:tc>
          <w:tcPr>
            <w:tcW w:w="540" w:type="dxa"/>
            <w:tcBorders>
              <w:top w:val="single" w:sz="4" w:space="0" w:color="auto"/>
              <w:left w:val="nil"/>
              <w:bottom w:val="single" w:sz="4" w:space="0" w:color="auto"/>
              <w:right w:val="single" w:sz="4" w:space="0" w:color="auto"/>
            </w:tcBorders>
            <w:shd w:val="clear" w:color="auto" w:fill="auto"/>
          </w:tcPr>
          <w:p w14:paraId="2A34B9EA"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0.21</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43CD2099"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0.14</w:t>
            </w:r>
          </w:p>
        </w:tc>
      </w:tr>
      <w:tr w:rsidR="003C7AF5" w:rsidRPr="00934586" w14:paraId="466D7ADC"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510CE629"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Thoracic Surgery</w:t>
            </w:r>
          </w:p>
        </w:tc>
        <w:tc>
          <w:tcPr>
            <w:tcW w:w="990" w:type="dxa"/>
            <w:tcBorders>
              <w:top w:val="single" w:sz="4" w:space="0" w:color="auto"/>
              <w:left w:val="single" w:sz="12" w:space="0" w:color="auto"/>
              <w:bottom w:val="single" w:sz="4" w:space="0" w:color="auto"/>
              <w:right w:val="single" w:sz="4" w:space="0" w:color="auto"/>
            </w:tcBorders>
            <w:vAlign w:val="center"/>
          </w:tcPr>
          <w:p w14:paraId="76E684DD"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93</w:t>
            </w:r>
          </w:p>
        </w:tc>
        <w:tc>
          <w:tcPr>
            <w:tcW w:w="720" w:type="dxa"/>
            <w:tcBorders>
              <w:top w:val="single" w:sz="4" w:space="0" w:color="auto"/>
              <w:left w:val="single" w:sz="12" w:space="0" w:color="auto"/>
              <w:bottom w:val="single" w:sz="4" w:space="0" w:color="auto"/>
              <w:right w:val="single" w:sz="4" w:space="0" w:color="auto"/>
            </w:tcBorders>
            <w:vAlign w:val="center"/>
          </w:tcPr>
          <w:p w14:paraId="0484078D"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516</w:t>
            </w:r>
          </w:p>
        </w:tc>
        <w:tc>
          <w:tcPr>
            <w:tcW w:w="630" w:type="dxa"/>
            <w:tcBorders>
              <w:top w:val="single" w:sz="4" w:space="0" w:color="auto"/>
              <w:left w:val="single" w:sz="4" w:space="0" w:color="auto"/>
              <w:bottom w:val="single" w:sz="4" w:space="0" w:color="auto"/>
              <w:right w:val="single" w:sz="4" w:space="0" w:color="auto"/>
            </w:tcBorders>
            <w:vAlign w:val="center"/>
          </w:tcPr>
          <w:p w14:paraId="58226A0A"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72</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3B4AD5DA"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588</w:t>
            </w:r>
          </w:p>
        </w:tc>
        <w:tc>
          <w:tcPr>
            <w:tcW w:w="630" w:type="dxa"/>
            <w:tcBorders>
              <w:top w:val="single" w:sz="4" w:space="0" w:color="auto"/>
              <w:left w:val="single" w:sz="12" w:space="0" w:color="auto"/>
              <w:bottom w:val="single" w:sz="4" w:space="0" w:color="auto"/>
              <w:right w:val="single" w:sz="12" w:space="0" w:color="auto"/>
            </w:tcBorders>
          </w:tcPr>
          <w:p w14:paraId="40FAEC54"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6.3</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75492E13"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71</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3798DC2"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37</w:t>
            </w:r>
          </w:p>
        </w:tc>
        <w:tc>
          <w:tcPr>
            <w:tcW w:w="720" w:type="dxa"/>
            <w:tcBorders>
              <w:top w:val="single" w:sz="4" w:space="0" w:color="auto"/>
              <w:left w:val="nil"/>
              <w:bottom w:val="single" w:sz="4" w:space="0" w:color="auto"/>
              <w:right w:val="single" w:sz="4" w:space="0" w:color="auto"/>
            </w:tcBorders>
            <w:shd w:val="clear" w:color="auto" w:fill="auto"/>
          </w:tcPr>
          <w:p w14:paraId="394012E2"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350</w:t>
            </w:r>
          </w:p>
        </w:tc>
        <w:tc>
          <w:tcPr>
            <w:tcW w:w="540" w:type="dxa"/>
            <w:tcBorders>
              <w:top w:val="single" w:sz="4" w:space="0" w:color="auto"/>
              <w:left w:val="nil"/>
              <w:bottom w:val="single" w:sz="4" w:space="0" w:color="auto"/>
              <w:right w:val="single" w:sz="4" w:space="0" w:color="auto"/>
            </w:tcBorders>
            <w:shd w:val="clear" w:color="auto" w:fill="auto"/>
          </w:tcPr>
          <w:p w14:paraId="6A2145E9"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55</w:t>
            </w:r>
          </w:p>
        </w:tc>
        <w:tc>
          <w:tcPr>
            <w:tcW w:w="720" w:type="dxa"/>
            <w:tcBorders>
              <w:top w:val="single" w:sz="4" w:space="0" w:color="auto"/>
              <w:left w:val="nil"/>
              <w:bottom w:val="single" w:sz="4" w:space="0" w:color="auto"/>
              <w:right w:val="single" w:sz="12" w:space="0" w:color="auto"/>
            </w:tcBorders>
            <w:shd w:val="clear" w:color="auto" w:fill="auto"/>
          </w:tcPr>
          <w:p w14:paraId="1983E55F"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7</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74032C4C"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0.52</w:t>
            </w:r>
          </w:p>
        </w:tc>
        <w:tc>
          <w:tcPr>
            <w:tcW w:w="720" w:type="dxa"/>
            <w:tcBorders>
              <w:top w:val="single" w:sz="4" w:space="0" w:color="auto"/>
              <w:left w:val="nil"/>
              <w:bottom w:val="single" w:sz="4" w:space="0" w:color="auto"/>
              <w:right w:val="single" w:sz="4" w:space="0" w:color="auto"/>
            </w:tcBorders>
            <w:shd w:val="clear" w:color="auto" w:fill="auto"/>
          </w:tcPr>
          <w:p w14:paraId="38C7680E"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4.93</w:t>
            </w:r>
          </w:p>
        </w:tc>
        <w:tc>
          <w:tcPr>
            <w:tcW w:w="540" w:type="dxa"/>
            <w:tcBorders>
              <w:top w:val="single" w:sz="4" w:space="0" w:color="auto"/>
              <w:left w:val="nil"/>
              <w:bottom w:val="single" w:sz="4" w:space="0" w:color="auto"/>
              <w:right w:val="single" w:sz="4" w:space="0" w:color="auto"/>
            </w:tcBorders>
            <w:shd w:val="clear" w:color="auto" w:fill="auto"/>
          </w:tcPr>
          <w:p w14:paraId="54EFB215"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0.77</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0A8FB709"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0.10</w:t>
            </w:r>
          </w:p>
        </w:tc>
      </w:tr>
      <w:tr w:rsidR="003C7AF5" w:rsidRPr="00934586" w14:paraId="7136CD5D"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710F124D" w14:textId="77777777" w:rsidR="003C7AF5" w:rsidRPr="008F27F3" w:rsidRDefault="003C7AF5" w:rsidP="00082DA7">
            <w:pPr>
              <w:spacing w:after="0" w:line="240" w:lineRule="auto"/>
              <w:ind w:left="-30" w:right="-105"/>
              <w:rPr>
                <w:rFonts w:ascii="Arial Narrow" w:eastAsia="Times New Roman" w:hAnsi="Arial Narrow" w:cs="Arial"/>
                <w:color w:val="000000"/>
              </w:rPr>
            </w:pPr>
            <w:r w:rsidRPr="008F27F3">
              <w:rPr>
                <w:rFonts w:ascii="Arial Narrow" w:eastAsia="Times New Roman" w:hAnsi="Arial Narrow" w:cs="Arial"/>
                <w:color w:val="000000"/>
              </w:rPr>
              <w:t>General/Trauma</w:t>
            </w:r>
          </w:p>
        </w:tc>
        <w:tc>
          <w:tcPr>
            <w:tcW w:w="990" w:type="dxa"/>
            <w:tcBorders>
              <w:top w:val="single" w:sz="4" w:space="0" w:color="auto"/>
              <w:left w:val="single" w:sz="12" w:space="0" w:color="auto"/>
              <w:bottom w:val="single" w:sz="4" w:space="0" w:color="auto"/>
              <w:right w:val="single" w:sz="4" w:space="0" w:color="auto"/>
            </w:tcBorders>
            <w:vAlign w:val="center"/>
          </w:tcPr>
          <w:p w14:paraId="6A3DFFA4"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324</w:t>
            </w:r>
          </w:p>
        </w:tc>
        <w:tc>
          <w:tcPr>
            <w:tcW w:w="720" w:type="dxa"/>
            <w:tcBorders>
              <w:top w:val="single" w:sz="4" w:space="0" w:color="auto"/>
              <w:left w:val="single" w:sz="12" w:space="0" w:color="auto"/>
              <w:bottom w:val="single" w:sz="4" w:space="0" w:color="auto"/>
              <w:right w:val="single" w:sz="4" w:space="0" w:color="auto"/>
            </w:tcBorders>
            <w:vAlign w:val="center"/>
          </w:tcPr>
          <w:p w14:paraId="67853787" w14:textId="77777777" w:rsidR="003C7AF5" w:rsidRPr="001C049F" w:rsidRDefault="003C7AF5" w:rsidP="00082DA7">
            <w:pPr>
              <w:spacing w:after="0" w:line="240" w:lineRule="auto"/>
              <w:ind w:left="-105" w:right="-105"/>
              <w:jc w:val="center"/>
              <w:rPr>
                <w:rFonts w:ascii="Arial Narrow" w:eastAsia="Times New Roman" w:hAnsi="Arial Narrow" w:cs="Arial"/>
                <w:color w:val="000000"/>
              </w:rPr>
            </w:pPr>
            <w:r w:rsidRPr="001C049F">
              <w:rPr>
                <w:rFonts w:ascii="Arial Narrow" w:eastAsia="Times New Roman" w:hAnsi="Arial Narrow" w:cs="Arial"/>
                <w:color w:val="000000"/>
              </w:rPr>
              <w:t>1,924</w:t>
            </w:r>
          </w:p>
        </w:tc>
        <w:tc>
          <w:tcPr>
            <w:tcW w:w="630" w:type="dxa"/>
            <w:tcBorders>
              <w:top w:val="single" w:sz="4" w:space="0" w:color="auto"/>
              <w:left w:val="single" w:sz="4" w:space="0" w:color="auto"/>
              <w:bottom w:val="single" w:sz="4" w:space="0" w:color="auto"/>
              <w:right w:val="single" w:sz="4" w:space="0" w:color="auto"/>
            </w:tcBorders>
            <w:vAlign w:val="center"/>
          </w:tcPr>
          <w:p w14:paraId="7CB02708"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649</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0CD65AD1" w14:textId="77777777" w:rsidR="003C7AF5" w:rsidRPr="001C049F" w:rsidRDefault="003C7AF5" w:rsidP="00082DA7">
            <w:pPr>
              <w:spacing w:after="0" w:line="240" w:lineRule="auto"/>
              <w:ind w:left="-104" w:right="-105"/>
              <w:jc w:val="center"/>
              <w:rPr>
                <w:rFonts w:ascii="Arial Narrow" w:eastAsia="Times New Roman" w:hAnsi="Arial Narrow" w:cs="Arial"/>
                <w:color w:val="000000"/>
              </w:rPr>
            </w:pPr>
            <w:r w:rsidRPr="001C049F">
              <w:rPr>
                <w:rFonts w:ascii="Arial Narrow" w:eastAsia="Times New Roman" w:hAnsi="Arial Narrow" w:cs="Arial"/>
                <w:color w:val="000000"/>
              </w:rPr>
              <w:t>2,573</w:t>
            </w:r>
          </w:p>
        </w:tc>
        <w:tc>
          <w:tcPr>
            <w:tcW w:w="630" w:type="dxa"/>
            <w:tcBorders>
              <w:top w:val="single" w:sz="4" w:space="0" w:color="auto"/>
              <w:left w:val="single" w:sz="12" w:space="0" w:color="auto"/>
              <w:bottom w:val="single" w:sz="4" w:space="0" w:color="auto"/>
              <w:right w:val="single" w:sz="12" w:space="0" w:color="auto"/>
            </w:tcBorders>
          </w:tcPr>
          <w:p w14:paraId="1666AF9D" w14:textId="77777777" w:rsidR="003C7AF5" w:rsidRPr="001C049F" w:rsidRDefault="003C7AF5" w:rsidP="00082DA7">
            <w:pPr>
              <w:spacing w:after="0" w:line="240" w:lineRule="auto"/>
              <w:jc w:val="center"/>
              <w:rPr>
                <w:rFonts w:ascii="Arial Narrow" w:eastAsia="Times New Roman" w:hAnsi="Arial Narrow" w:cs="Arial"/>
                <w:color w:val="000000"/>
              </w:rPr>
            </w:pPr>
            <w:r w:rsidRPr="001C049F">
              <w:rPr>
                <w:rFonts w:ascii="Arial Narrow" w:eastAsia="Times New Roman" w:hAnsi="Arial Narrow" w:cs="Arial"/>
                <w:color w:val="000000"/>
              </w:rPr>
              <w:t>7.9</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7C6BC989" w14:textId="77777777" w:rsidR="003C7AF5" w:rsidRPr="00934586" w:rsidRDefault="003C7AF5"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color w:val="000000"/>
              </w:rPr>
              <w:t>648</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E1F931E" w14:textId="77777777" w:rsidR="003C7AF5" w:rsidRPr="00934586" w:rsidRDefault="003C7AF5" w:rsidP="00082DA7">
            <w:pPr>
              <w:spacing w:after="0" w:line="240" w:lineRule="auto"/>
              <w:ind w:left="-104" w:right="-90"/>
              <w:jc w:val="center"/>
              <w:rPr>
                <w:rFonts w:ascii="Arial Narrow" w:eastAsia="Times New Roman" w:hAnsi="Arial Narrow" w:cs="Arial"/>
                <w:color w:val="000000"/>
              </w:rPr>
            </w:pPr>
            <w:r>
              <w:rPr>
                <w:rFonts w:ascii="Arial Narrow" w:eastAsia="Times New Roman" w:hAnsi="Arial Narrow" w:cs="Arial"/>
                <w:color w:val="000000"/>
              </w:rPr>
              <w:t>1,965</w:t>
            </w:r>
          </w:p>
        </w:tc>
        <w:tc>
          <w:tcPr>
            <w:tcW w:w="720" w:type="dxa"/>
            <w:tcBorders>
              <w:top w:val="single" w:sz="4" w:space="0" w:color="auto"/>
              <w:left w:val="nil"/>
              <w:bottom w:val="single" w:sz="4" w:space="0" w:color="auto"/>
              <w:right w:val="single" w:sz="4" w:space="0" w:color="auto"/>
            </w:tcBorders>
            <w:shd w:val="clear" w:color="auto" w:fill="auto"/>
          </w:tcPr>
          <w:p w14:paraId="2C5BB39A"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1,700</w:t>
            </w:r>
          </w:p>
        </w:tc>
        <w:tc>
          <w:tcPr>
            <w:tcW w:w="540" w:type="dxa"/>
            <w:tcBorders>
              <w:top w:val="single" w:sz="4" w:space="0" w:color="auto"/>
              <w:left w:val="nil"/>
              <w:bottom w:val="single" w:sz="4" w:space="0" w:color="auto"/>
              <w:right w:val="single" w:sz="4" w:space="0" w:color="auto"/>
            </w:tcBorders>
            <w:shd w:val="clear" w:color="auto" w:fill="auto"/>
          </w:tcPr>
          <w:p w14:paraId="5505DC48"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1,297</w:t>
            </w:r>
          </w:p>
        </w:tc>
        <w:tc>
          <w:tcPr>
            <w:tcW w:w="720" w:type="dxa"/>
            <w:tcBorders>
              <w:top w:val="single" w:sz="4" w:space="0" w:color="auto"/>
              <w:left w:val="nil"/>
              <w:bottom w:val="single" w:sz="4" w:space="0" w:color="auto"/>
              <w:right w:val="single" w:sz="12" w:space="0" w:color="auto"/>
            </w:tcBorders>
            <w:shd w:val="clear" w:color="auto" w:fill="auto"/>
          </w:tcPr>
          <w:p w14:paraId="5CE09EFB" w14:textId="77777777" w:rsidR="003C7AF5" w:rsidRPr="00934586" w:rsidRDefault="003C7AF5" w:rsidP="00082DA7">
            <w:pPr>
              <w:spacing w:after="0" w:line="240" w:lineRule="auto"/>
              <w:ind w:left="-134" w:right="-100"/>
              <w:jc w:val="center"/>
              <w:rPr>
                <w:rFonts w:ascii="Arial Narrow" w:eastAsia="Times New Roman" w:hAnsi="Arial Narrow" w:cs="Arial"/>
                <w:color w:val="000000"/>
              </w:rPr>
            </w:pPr>
            <w:r>
              <w:rPr>
                <w:rFonts w:ascii="Arial Narrow" w:eastAsia="Times New Roman" w:hAnsi="Arial Narrow" w:cs="Arial"/>
                <w:color w:val="000000"/>
              </w:rPr>
              <w:t>182</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303FE172" w14:textId="77777777" w:rsidR="003C7AF5" w:rsidRPr="00D7640E" w:rsidRDefault="003C7AF5" w:rsidP="00082DA7">
            <w:pPr>
              <w:spacing w:after="0" w:line="240" w:lineRule="auto"/>
              <w:ind w:left="-105" w:right="-180"/>
              <w:jc w:val="center"/>
              <w:rPr>
                <w:rFonts w:ascii="Arial Narrow" w:eastAsia="Times New Roman" w:hAnsi="Arial Narrow" w:cs="Arial"/>
                <w:color w:val="000000"/>
              </w:rPr>
            </w:pPr>
            <w:r w:rsidRPr="00D7640E">
              <w:rPr>
                <w:rFonts w:ascii="Arial Narrow" w:eastAsia="Times New Roman" w:hAnsi="Arial Narrow" w:cs="Arial"/>
                <w:color w:val="000000"/>
              </w:rPr>
              <w:t>3.03</w:t>
            </w:r>
          </w:p>
        </w:tc>
        <w:tc>
          <w:tcPr>
            <w:tcW w:w="720" w:type="dxa"/>
            <w:tcBorders>
              <w:top w:val="single" w:sz="4" w:space="0" w:color="auto"/>
              <w:left w:val="nil"/>
              <w:bottom w:val="single" w:sz="4" w:space="0" w:color="auto"/>
              <w:right w:val="single" w:sz="4" w:space="0" w:color="auto"/>
            </w:tcBorders>
            <w:shd w:val="clear" w:color="auto" w:fill="auto"/>
          </w:tcPr>
          <w:p w14:paraId="1DB89939" w14:textId="77777777" w:rsidR="003C7AF5" w:rsidRPr="00D7640E" w:rsidRDefault="003C7AF5" w:rsidP="00082DA7">
            <w:pPr>
              <w:spacing w:after="0" w:line="240" w:lineRule="auto"/>
              <w:ind w:left="-104" w:right="-150"/>
              <w:jc w:val="center"/>
              <w:rPr>
                <w:rFonts w:ascii="Arial Narrow" w:eastAsia="Times New Roman" w:hAnsi="Arial Narrow" w:cs="Arial"/>
                <w:color w:val="000000"/>
              </w:rPr>
            </w:pPr>
            <w:r w:rsidRPr="00D7640E">
              <w:rPr>
                <w:rFonts w:ascii="Arial Narrow" w:eastAsia="Times New Roman" w:hAnsi="Arial Narrow" w:cs="Arial"/>
                <w:color w:val="000000"/>
              </w:rPr>
              <w:t>2.62</w:t>
            </w:r>
          </w:p>
        </w:tc>
        <w:tc>
          <w:tcPr>
            <w:tcW w:w="540" w:type="dxa"/>
            <w:tcBorders>
              <w:top w:val="single" w:sz="4" w:space="0" w:color="auto"/>
              <w:left w:val="nil"/>
              <w:bottom w:val="single" w:sz="4" w:space="0" w:color="auto"/>
              <w:right w:val="single" w:sz="4" w:space="0" w:color="auto"/>
            </w:tcBorders>
            <w:shd w:val="clear" w:color="auto" w:fill="auto"/>
          </w:tcPr>
          <w:p w14:paraId="4DDAEC22"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2.00</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62A1B8AE" w14:textId="77777777" w:rsidR="003C7AF5" w:rsidRPr="00D7640E" w:rsidRDefault="003C7AF5" w:rsidP="00082DA7">
            <w:pPr>
              <w:spacing w:after="0" w:line="240" w:lineRule="auto"/>
              <w:ind w:left="-104" w:right="-105"/>
              <w:jc w:val="center"/>
              <w:rPr>
                <w:rFonts w:ascii="Arial Narrow" w:eastAsia="Times New Roman" w:hAnsi="Arial Narrow" w:cs="Arial"/>
                <w:color w:val="000000"/>
              </w:rPr>
            </w:pPr>
            <w:r w:rsidRPr="00D7640E">
              <w:rPr>
                <w:rFonts w:ascii="Arial Narrow" w:eastAsia="Times New Roman" w:hAnsi="Arial Narrow" w:cs="Arial"/>
                <w:color w:val="000000"/>
              </w:rPr>
              <w:t>0.28</w:t>
            </w:r>
          </w:p>
        </w:tc>
      </w:tr>
      <w:tr w:rsidR="003C7AF5" w:rsidRPr="00934586" w14:paraId="39E5BB07" w14:textId="77777777" w:rsidTr="00B140F0">
        <w:trPr>
          <w:cantSplit/>
          <w:trHeight w:val="144"/>
        </w:trPr>
        <w:tc>
          <w:tcPr>
            <w:tcW w:w="1515" w:type="dxa"/>
            <w:tcBorders>
              <w:top w:val="single" w:sz="4" w:space="0" w:color="auto"/>
              <w:left w:val="single" w:sz="12" w:space="0" w:color="auto"/>
              <w:bottom w:val="single" w:sz="4" w:space="0" w:color="auto"/>
              <w:right w:val="single" w:sz="4" w:space="0" w:color="auto"/>
            </w:tcBorders>
          </w:tcPr>
          <w:p w14:paraId="5E71670A" w14:textId="77777777" w:rsidR="003C7AF5" w:rsidRPr="00934586" w:rsidRDefault="003C7AF5" w:rsidP="00082DA7">
            <w:pPr>
              <w:spacing w:after="0" w:line="240" w:lineRule="auto"/>
              <w:ind w:left="-30" w:right="-105"/>
              <w:rPr>
                <w:rFonts w:ascii="Arial Narrow" w:eastAsia="Times New Roman" w:hAnsi="Arial Narrow" w:cs="Arial"/>
                <w:b/>
                <w:bCs/>
                <w:color w:val="000000"/>
              </w:rPr>
            </w:pPr>
            <w:r>
              <w:rPr>
                <w:rFonts w:ascii="Arial Narrow" w:eastAsia="Times New Roman" w:hAnsi="Arial Narrow" w:cs="Arial"/>
                <w:b/>
                <w:bCs/>
                <w:color w:val="000000"/>
              </w:rPr>
              <w:t>Medical</w:t>
            </w:r>
          </w:p>
        </w:tc>
        <w:tc>
          <w:tcPr>
            <w:tcW w:w="990" w:type="dxa"/>
            <w:tcBorders>
              <w:top w:val="single" w:sz="4" w:space="0" w:color="auto"/>
              <w:left w:val="single" w:sz="12" w:space="0" w:color="auto"/>
              <w:bottom w:val="single" w:sz="4" w:space="0" w:color="auto"/>
              <w:right w:val="single" w:sz="4" w:space="0" w:color="auto"/>
            </w:tcBorders>
            <w:vAlign w:val="center"/>
          </w:tcPr>
          <w:p w14:paraId="3F8AC705" w14:textId="77777777" w:rsidR="003C7AF5" w:rsidRPr="00934586" w:rsidRDefault="003C7AF5" w:rsidP="00082DA7">
            <w:pPr>
              <w:spacing w:after="0" w:line="240" w:lineRule="auto"/>
              <w:jc w:val="center"/>
              <w:rPr>
                <w:rFonts w:ascii="Arial Narrow" w:eastAsia="Times New Roman" w:hAnsi="Arial Narrow" w:cs="Arial"/>
                <w:b/>
                <w:bCs/>
                <w:color w:val="000000"/>
              </w:rPr>
            </w:pPr>
            <w:r>
              <w:rPr>
                <w:rFonts w:ascii="Arial Narrow" w:eastAsia="Times New Roman" w:hAnsi="Arial Narrow" w:cs="Arial"/>
                <w:b/>
                <w:bCs/>
                <w:color w:val="000000"/>
              </w:rPr>
              <w:t>1,557</w:t>
            </w:r>
          </w:p>
        </w:tc>
        <w:tc>
          <w:tcPr>
            <w:tcW w:w="720" w:type="dxa"/>
            <w:tcBorders>
              <w:top w:val="single" w:sz="4" w:space="0" w:color="auto"/>
              <w:left w:val="single" w:sz="12" w:space="0" w:color="auto"/>
              <w:bottom w:val="single" w:sz="4" w:space="0" w:color="auto"/>
              <w:right w:val="single" w:sz="4" w:space="0" w:color="auto"/>
            </w:tcBorders>
            <w:vAlign w:val="center"/>
          </w:tcPr>
          <w:p w14:paraId="4A01E33B" w14:textId="77777777" w:rsidR="003C7AF5" w:rsidRPr="00934586"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9,973</w:t>
            </w:r>
          </w:p>
        </w:tc>
        <w:tc>
          <w:tcPr>
            <w:tcW w:w="630" w:type="dxa"/>
            <w:tcBorders>
              <w:top w:val="single" w:sz="4" w:space="0" w:color="auto"/>
              <w:left w:val="single" w:sz="4" w:space="0" w:color="auto"/>
              <w:bottom w:val="single" w:sz="4" w:space="0" w:color="auto"/>
              <w:right w:val="single" w:sz="4" w:space="0" w:color="auto"/>
            </w:tcBorders>
            <w:vAlign w:val="center"/>
          </w:tcPr>
          <w:p w14:paraId="45773529" w14:textId="77777777" w:rsidR="003C7AF5" w:rsidRPr="00934586" w:rsidRDefault="003C7AF5" w:rsidP="00082DA7">
            <w:pPr>
              <w:spacing w:after="0" w:line="240" w:lineRule="auto"/>
              <w:ind w:left="-104" w:right="-105"/>
              <w:jc w:val="center"/>
              <w:rPr>
                <w:rFonts w:ascii="Arial Narrow" w:eastAsia="Times New Roman" w:hAnsi="Arial Narrow" w:cs="Arial"/>
                <w:b/>
                <w:bCs/>
                <w:color w:val="000000"/>
              </w:rPr>
            </w:pPr>
            <w:r>
              <w:rPr>
                <w:rFonts w:ascii="Arial Narrow" w:eastAsia="Times New Roman" w:hAnsi="Arial Narrow" w:cs="Arial"/>
                <w:b/>
                <w:bCs/>
                <w:color w:val="000000"/>
              </w:rPr>
              <w:t>1,436</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14:paraId="093F40DC" w14:textId="77777777" w:rsidR="003C7AF5" w:rsidRPr="00C70F69" w:rsidRDefault="003C7AF5" w:rsidP="00082DA7">
            <w:pPr>
              <w:spacing w:after="0" w:line="240" w:lineRule="auto"/>
              <w:ind w:left="-104" w:right="-105"/>
              <w:jc w:val="center"/>
              <w:rPr>
                <w:rFonts w:ascii="Arial Narrow" w:eastAsia="Times New Roman" w:hAnsi="Arial Narrow" w:cs="Arial"/>
                <w:b/>
                <w:bCs/>
                <w:color w:val="000000"/>
              </w:rPr>
            </w:pPr>
            <w:r w:rsidRPr="00C70F69">
              <w:rPr>
                <w:rFonts w:ascii="Arial Narrow" w:eastAsia="Times New Roman" w:hAnsi="Arial Narrow" w:cs="Arial"/>
                <w:b/>
                <w:bCs/>
                <w:color w:val="000000"/>
              </w:rPr>
              <w:t>11,409</w:t>
            </w:r>
          </w:p>
        </w:tc>
        <w:tc>
          <w:tcPr>
            <w:tcW w:w="630" w:type="dxa"/>
            <w:tcBorders>
              <w:top w:val="single" w:sz="4" w:space="0" w:color="auto"/>
              <w:left w:val="single" w:sz="12" w:space="0" w:color="auto"/>
              <w:bottom w:val="single" w:sz="4" w:space="0" w:color="auto"/>
              <w:right w:val="single" w:sz="12" w:space="0" w:color="auto"/>
            </w:tcBorders>
          </w:tcPr>
          <w:p w14:paraId="5AA7FF07" w14:textId="77777777" w:rsidR="003C7AF5" w:rsidRPr="00C70F69" w:rsidRDefault="003C7AF5" w:rsidP="00082DA7">
            <w:pPr>
              <w:spacing w:after="0" w:line="240" w:lineRule="auto"/>
              <w:jc w:val="center"/>
              <w:rPr>
                <w:rFonts w:ascii="Arial Narrow" w:eastAsia="Times New Roman" w:hAnsi="Arial Narrow" w:cs="Arial"/>
                <w:b/>
                <w:bCs/>
                <w:color w:val="000000"/>
              </w:rPr>
            </w:pPr>
            <w:r w:rsidRPr="00C70F69">
              <w:rPr>
                <w:rFonts w:ascii="Arial Narrow" w:eastAsia="Times New Roman" w:hAnsi="Arial Narrow" w:cs="Arial"/>
                <w:b/>
                <w:bCs/>
                <w:color w:val="000000"/>
              </w:rPr>
              <w:t>7.3</w:t>
            </w:r>
          </w:p>
        </w:tc>
        <w:tc>
          <w:tcPr>
            <w:tcW w:w="720" w:type="dxa"/>
            <w:tcBorders>
              <w:top w:val="single" w:sz="4" w:space="0" w:color="auto"/>
              <w:left w:val="single" w:sz="12" w:space="0" w:color="auto"/>
              <w:bottom w:val="single" w:sz="4" w:space="0" w:color="auto"/>
              <w:right w:val="single" w:sz="4" w:space="0" w:color="auto"/>
            </w:tcBorders>
            <w:shd w:val="clear" w:color="auto" w:fill="auto"/>
          </w:tcPr>
          <w:p w14:paraId="79EF97D7" w14:textId="77777777" w:rsidR="003C7AF5" w:rsidRPr="00093CBC" w:rsidRDefault="003C7AF5" w:rsidP="00082DA7">
            <w:pPr>
              <w:spacing w:after="0" w:line="240" w:lineRule="auto"/>
              <w:ind w:left="-105" w:right="-105"/>
              <w:jc w:val="center"/>
              <w:rPr>
                <w:rFonts w:ascii="Arial Narrow" w:eastAsia="Times New Roman" w:hAnsi="Arial Narrow" w:cs="Arial"/>
                <w:b/>
                <w:bCs/>
                <w:color w:val="000000"/>
              </w:rPr>
            </w:pPr>
            <w:r w:rsidRPr="00093CBC">
              <w:rPr>
                <w:rFonts w:ascii="Arial Narrow" w:eastAsia="Times New Roman" w:hAnsi="Arial Narrow" w:cs="Arial"/>
                <w:b/>
                <w:bCs/>
                <w:color w:val="000000"/>
              </w:rPr>
              <w:t>6,552</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7A10D4F" w14:textId="77777777" w:rsidR="003C7AF5" w:rsidRPr="00093CBC" w:rsidRDefault="003C7AF5" w:rsidP="00082DA7">
            <w:pPr>
              <w:spacing w:after="0" w:line="240" w:lineRule="auto"/>
              <w:ind w:left="-104" w:right="-90"/>
              <w:jc w:val="center"/>
              <w:rPr>
                <w:rFonts w:ascii="Arial Narrow" w:eastAsia="Times New Roman" w:hAnsi="Arial Narrow" w:cs="Arial"/>
                <w:b/>
                <w:bCs/>
                <w:color w:val="000000"/>
              </w:rPr>
            </w:pPr>
            <w:r>
              <w:rPr>
                <w:rFonts w:ascii="Arial Narrow" w:eastAsia="Times New Roman" w:hAnsi="Arial Narrow" w:cs="Arial"/>
                <w:b/>
                <w:bCs/>
                <w:color w:val="000000"/>
              </w:rPr>
              <w:t>33,221</w:t>
            </w:r>
          </w:p>
        </w:tc>
        <w:tc>
          <w:tcPr>
            <w:tcW w:w="720" w:type="dxa"/>
            <w:tcBorders>
              <w:top w:val="single" w:sz="4" w:space="0" w:color="auto"/>
              <w:left w:val="nil"/>
              <w:bottom w:val="single" w:sz="4" w:space="0" w:color="auto"/>
              <w:right w:val="single" w:sz="4" w:space="0" w:color="auto"/>
            </w:tcBorders>
            <w:shd w:val="clear" w:color="auto" w:fill="auto"/>
          </w:tcPr>
          <w:p w14:paraId="788899CA"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5,975</w:t>
            </w:r>
          </w:p>
        </w:tc>
        <w:tc>
          <w:tcPr>
            <w:tcW w:w="540" w:type="dxa"/>
            <w:tcBorders>
              <w:top w:val="single" w:sz="4" w:space="0" w:color="auto"/>
              <w:left w:val="nil"/>
              <w:bottom w:val="single" w:sz="4" w:space="0" w:color="auto"/>
              <w:right w:val="single" w:sz="4" w:space="0" w:color="auto"/>
            </w:tcBorders>
            <w:shd w:val="clear" w:color="auto" w:fill="auto"/>
          </w:tcPr>
          <w:p w14:paraId="2B80D198"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6,044</w:t>
            </w:r>
          </w:p>
        </w:tc>
        <w:tc>
          <w:tcPr>
            <w:tcW w:w="720" w:type="dxa"/>
            <w:tcBorders>
              <w:top w:val="single" w:sz="4" w:space="0" w:color="auto"/>
              <w:left w:val="nil"/>
              <w:bottom w:val="single" w:sz="4" w:space="0" w:color="auto"/>
              <w:right w:val="single" w:sz="12" w:space="0" w:color="auto"/>
            </w:tcBorders>
            <w:shd w:val="clear" w:color="auto" w:fill="auto"/>
          </w:tcPr>
          <w:p w14:paraId="07F58DC3"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2,779</w:t>
            </w:r>
          </w:p>
        </w:tc>
        <w:tc>
          <w:tcPr>
            <w:tcW w:w="630" w:type="dxa"/>
            <w:tcBorders>
              <w:top w:val="single" w:sz="4" w:space="0" w:color="auto"/>
              <w:left w:val="single" w:sz="12" w:space="0" w:color="auto"/>
              <w:bottom w:val="single" w:sz="4" w:space="0" w:color="auto"/>
              <w:right w:val="single" w:sz="4" w:space="0" w:color="auto"/>
            </w:tcBorders>
            <w:shd w:val="clear" w:color="auto" w:fill="auto"/>
          </w:tcPr>
          <w:p w14:paraId="724C27A3" w14:textId="77777777" w:rsidR="003C7AF5" w:rsidRPr="00D7640E" w:rsidRDefault="003C7AF5" w:rsidP="00082DA7">
            <w:pPr>
              <w:spacing w:after="0" w:line="240" w:lineRule="auto"/>
              <w:ind w:left="-105" w:right="-180"/>
              <w:jc w:val="center"/>
              <w:rPr>
                <w:rFonts w:ascii="Arial Narrow" w:eastAsia="Times New Roman" w:hAnsi="Arial Narrow" w:cs="Arial"/>
                <w:b/>
                <w:bCs/>
                <w:color w:val="000000"/>
              </w:rPr>
            </w:pPr>
            <w:r w:rsidRPr="00D7640E">
              <w:rPr>
                <w:rFonts w:ascii="Arial Narrow" w:eastAsia="Times New Roman" w:hAnsi="Arial Narrow" w:cs="Arial"/>
                <w:b/>
                <w:bCs/>
                <w:color w:val="000000"/>
              </w:rPr>
              <w:t>5.07</w:t>
            </w:r>
          </w:p>
        </w:tc>
        <w:tc>
          <w:tcPr>
            <w:tcW w:w="720" w:type="dxa"/>
            <w:tcBorders>
              <w:top w:val="single" w:sz="4" w:space="0" w:color="auto"/>
              <w:left w:val="nil"/>
              <w:bottom w:val="single" w:sz="4" w:space="0" w:color="auto"/>
              <w:right w:val="single" w:sz="4" w:space="0" w:color="auto"/>
            </w:tcBorders>
            <w:shd w:val="clear" w:color="auto" w:fill="auto"/>
          </w:tcPr>
          <w:p w14:paraId="6E998216" w14:textId="77777777" w:rsidR="003C7AF5" w:rsidRPr="00D7640E" w:rsidRDefault="003C7AF5" w:rsidP="00082DA7">
            <w:pPr>
              <w:spacing w:after="0" w:line="240" w:lineRule="auto"/>
              <w:ind w:left="-104" w:right="-150"/>
              <w:jc w:val="center"/>
              <w:rPr>
                <w:rFonts w:ascii="Arial Narrow" w:eastAsia="Times New Roman" w:hAnsi="Arial Narrow" w:cs="Arial"/>
                <w:b/>
                <w:bCs/>
                <w:color w:val="000000"/>
              </w:rPr>
            </w:pPr>
            <w:r w:rsidRPr="00D7640E">
              <w:rPr>
                <w:rFonts w:ascii="Arial Narrow" w:eastAsia="Times New Roman" w:hAnsi="Arial Narrow" w:cs="Arial"/>
                <w:b/>
                <w:bCs/>
                <w:color w:val="000000"/>
              </w:rPr>
              <w:t>0.91</w:t>
            </w:r>
          </w:p>
        </w:tc>
        <w:tc>
          <w:tcPr>
            <w:tcW w:w="540" w:type="dxa"/>
            <w:tcBorders>
              <w:top w:val="single" w:sz="4" w:space="0" w:color="auto"/>
              <w:left w:val="nil"/>
              <w:bottom w:val="single" w:sz="4" w:space="0" w:color="auto"/>
              <w:right w:val="single" w:sz="4" w:space="0" w:color="auto"/>
            </w:tcBorders>
            <w:shd w:val="clear" w:color="auto" w:fill="auto"/>
          </w:tcPr>
          <w:p w14:paraId="12207929" w14:textId="77777777" w:rsidR="003C7AF5" w:rsidRPr="00D7640E" w:rsidRDefault="003C7AF5" w:rsidP="00082DA7">
            <w:pPr>
              <w:spacing w:after="0" w:line="240" w:lineRule="auto"/>
              <w:ind w:left="-104" w:right="-105"/>
              <w:jc w:val="center"/>
              <w:rPr>
                <w:rFonts w:ascii="Arial Narrow" w:eastAsia="Times New Roman" w:hAnsi="Arial Narrow" w:cs="Arial"/>
                <w:b/>
                <w:bCs/>
                <w:color w:val="000000"/>
              </w:rPr>
            </w:pPr>
            <w:r w:rsidRPr="00D7640E">
              <w:rPr>
                <w:rFonts w:ascii="Arial Narrow" w:eastAsia="Times New Roman" w:hAnsi="Arial Narrow" w:cs="Arial"/>
                <w:b/>
                <w:bCs/>
                <w:color w:val="000000"/>
              </w:rPr>
              <w:t>0.92</w:t>
            </w:r>
          </w:p>
        </w:tc>
        <w:tc>
          <w:tcPr>
            <w:tcW w:w="720" w:type="dxa"/>
            <w:tcBorders>
              <w:top w:val="single" w:sz="4" w:space="0" w:color="auto"/>
              <w:left w:val="single" w:sz="4" w:space="0" w:color="auto"/>
              <w:bottom w:val="single" w:sz="4" w:space="0" w:color="auto"/>
              <w:right w:val="single" w:sz="12" w:space="0" w:color="auto"/>
            </w:tcBorders>
            <w:shd w:val="clear" w:color="auto" w:fill="auto"/>
          </w:tcPr>
          <w:p w14:paraId="02D4D46B" w14:textId="77777777" w:rsidR="003C7AF5" w:rsidRPr="00D7640E" w:rsidRDefault="003C7AF5" w:rsidP="00082DA7">
            <w:pPr>
              <w:spacing w:after="0" w:line="240" w:lineRule="auto"/>
              <w:ind w:left="-104" w:right="-105"/>
              <w:jc w:val="center"/>
              <w:rPr>
                <w:rFonts w:ascii="Arial Narrow" w:eastAsia="Times New Roman" w:hAnsi="Arial Narrow" w:cs="Arial"/>
                <w:b/>
                <w:bCs/>
                <w:color w:val="000000"/>
              </w:rPr>
            </w:pPr>
            <w:r w:rsidRPr="00D7640E">
              <w:rPr>
                <w:rFonts w:ascii="Arial Narrow" w:eastAsia="Times New Roman" w:hAnsi="Arial Narrow" w:cs="Arial"/>
                <w:b/>
                <w:bCs/>
                <w:color w:val="000000"/>
              </w:rPr>
              <w:t>0.42</w:t>
            </w:r>
          </w:p>
        </w:tc>
      </w:tr>
      <w:tr w:rsidR="003C7AF5" w:rsidRPr="00934586" w14:paraId="54690152" w14:textId="77777777" w:rsidTr="00B140F0">
        <w:trPr>
          <w:cantSplit/>
          <w:trHeight w:val="144"/>
        </w:trPr>
        <w:tc>
          <w:tcPr>
            <w:tcW w:w="1515" w:type="dxa"/>
            <w:tcBorders>
              <w:top w:val="single" w:sz="4" w:space="0" w:color="auto"/>
              <w:left w:val="single" w:sz="12" w:space="0" w:color="auto"/>
              <w:bottom w:val="single" w:sz="12" w:space="0" w:color="auto"/>
              <w:right w:val="single" w:sz="4" w:space="0" w:color="auto"/>
            </w:tcBorders>
          </w:tcPr>
          <w:p w14:paraId="3D44D130" w14:textId="77777777" w:rsidR="003C7AF5" w:rsidRPr="00934586" w:rsidRDefault="003C7AF5" w:rsidP="00082DA7">
            <w:pPr>
              <w:spacing w:after="0" w:line="240" w:lineRule="auto"/>
              <w:ind w:left="-30" w:right="-105"/>
              <w:rPr>
                <w:rFonts w:ascii="Arial Narrow" w:eastAsia="Times New Roman" w:hAnsi="Arial Narrow" w:cs="Arial"/>
                <w:b/>
                <w:bCs/>
                <w:color w:val="000000"/>
              </w:rPr>
            </w:pPr>
            <w:r>
              <w:rPr>
                <w:rFonts w:ascii="Arial Narrow" w:eastAsia="Times New Roman" w:hAnsi="Arial Narrow" w:cs="Arial"/>
                <w:b/>
                <w:bCs/>
                <w:color w:val="000000"/>
              </w:rPr>
              <w:t>Total</w:t>
            </w:r>
          </w:p>
        </w:tc>
        <w:tc>
          <w:tcPr>
            <w:tcW w:w="990" w:type="dxa"/>
            <w:tcBorders>
              <w:top w:val="single" w:sz="4" w:space="0" w:color="auto"/>
              <w:left w:val="single" w:sz="12" w:space="0" w:color="auto"/>
              <w:bottom w:val="single" w:sz="12" w:space="0" w:color="auto"/>
              <w:right w:val="single" w:sz="4" w:space="0" w:color="auto"/>
            </w:tcBorders>
            <w:vAlign w:val="center"/>
          </w:tcPr>
          <w:p w14:paraId="141A0086" w14:textId="77777777" w:rsidR="003C7AF5" w:rsidRPr="00934586" w:rsidRDefault="003C7AF5" w:rsidP="00082DA7">
            <w:pPr>
              <w:spacing w:after="0" w:line="240" w:lineRule="auto"/>
              <w:jc w:val="center"/>
              <w:rPr>
                <w:rFonts w:ascii="Arial Narrow" w:eastAsia="Times New Roman" w:hAnsi="Arial Narrow" w:cs="Arial"/>
                <w:b/>
                <w:bCs/>
                <w:color w:val="000000"/>
              </w:rPr>
            </w:pPr>
            <w:r>
              <w:rPr>
                <w:rFonts w:ascii="Arial Narrow" w:eastAsia="Times New Roman" w:hAnsi="Arial Narrow" w:cs="Arial"/>
                <w:b/>
                <w:bCs/>
                <w:color w:val="000000"/>
              </w:rPr>
              <w:t>3,014</w:t>
            </w:r>
          </w:p>
        </w:tc>
        <w:tc>
          <w:tcPr>
            <w:tcW w:w="720" w:type="dxa"/>
            <w:tcBorders>
              <w:top w:val="single" w:sz="4" w:space="0" w:color="auto"/>
              <w:left w:val="single" w:sz="12" w:space="0" w:color="auto"/>
              <w:bottom w:val="single" w:sz="12" w:space="0" w:color="auto"/>
              <w:right w:val="single" w:sz="4" w:space="0" w:color="auto"/>
            </w:tcBorders>
            <w:vAlign w:val="center"/>
          </w:tcPr>
          <w:p w14:paraId="4492BF3D" w14:textId="77777777" w:rsidR="003C7AF5" w:rsidRPr="00934586"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18,494</w:t>
            </w:r>
          </w:p>
        </w:tc>
        <w:tc>
          <w:tcPr>
            <w:tcW w:w="630" w:type="dxa"/>
            <w:tcBorders>
              <w:top w:val="single" w:sz="4" w:space="0" w:color="auto"/>
              <w:left w:val="single" w:sz="4" w:space="0" w:color="auto"/>
              <w:bottom w:val="single" w:sz="12" w:space="0" w:color="auto"/>
              <w:right w:val="single" w:sz="4" w:space="0" w:color="auto"/>
            </w:tcBorders>
            <w:vAlign w:val="center"/>
          </w:tcPr>
          <w:p w14:paraId="4CBF6798" w14:textId="77777777" w:rsidR="003C7AF5" w:rsidRPr="00934586" w:rsidRDefault="003C7AF5" w:rsidP="00082DA7">
            <w:pPr>
              <w:spacing w:after="0" w:line="240" w:lineRule="auto"/>
              <w:ind w:left="-104" w:right="-105"/>
              <w:jc w:val="center"/>
              <w:rPr>
                <w:rFonts w:ascii="Arial Narrow" w:eastAsia="Times New Roman" w:hAnsi="Arial Narrow" w:cs="Arial"/>
                <w:b/>
                <w:bCs/>
                <w:color w:val="000000"/>
              </w:rPr>
            </w:pPr>
            <w:r>
              <w:rPr>
                <w:rFonts w:ascii="Arial Narrow" w:eastAsia="Times New Roman" w:hAnsi="Arial Narrow" w:cs="Arial"/>
                <w:b/>
                <w:bCs/>
                <w:color w:val="000000"/>
              </w:rPr>
              <w:t>4,162</w:t>
            </w:r>
          </w:p>
        </w:tc>
        <w:tc>
          <w:tcPr>
            <w:tcW w:w="720" w:type="dxa"/>
            <w:tcBorders>
              <w:top w:val="single" w:sz="4" w:space="0" w:color="auto"/>
              <w:left w:val="single" w:sz="4" w:space="0" w:color="auto"/>
              <w:bottom w:val="single" w:sz="12" w:space="0" w:color="auto"/>
              <w:right w:val="single" w:sz="12" w:space="0" w:color="auto"/>
            </w:tcBorders>
            <w:shd w:val="clear" w:color="auto" w:fill="auto"/>
            <w:vAlign w:val="center"/>
          </w:tcPr>
          <w:p w14:paraId="65F6034A" w14:textId="77777777" w:rsidR="003C7AF5" w:rsidRPr="00C70F69" w:rsidRDefault="003C7AF5" w:rsidP="00082DA7">
            <w:pPr>
              <w:spacing w:after="0" w:line="240" w:lineRule="auto"/>
              <w:ind w:left="-104" w:right="-105"/>
              <w:jc w:val="center"/>
              <w:rPr>
                <w:rFonts w:ascii="Arial Narrow" w:eastAsia="Times New Roman" w:hAnsi="Arial Narrow" w:cs="Arial"/>
                <w:b/>
                <w:bCs/>
                <w:color w:val="000000"/>
              </w:rPr>
            </w:pPr>
            <w:r w:rsidRPr="00C70F69">
              <w:rPr>
                <w:rFonts w:ascii="Arial Narrow" w:eastAsia="Times New Roman" w:hAnsi="Arial Narrow" w:cs="Arial"/>
                <w:b/>
                <w:bCs/>
                <w:color w:val="000000"/>
              </w:rPr>
              <w:t>22,656</w:t>
            </w:r>
          </w:p>
        </w:tc>
        <w:tc>
          <w:tcPr>
            <w:tcW w:w="630" w:type="dxa"/>
            <w:tcBorders>
              <w:top w:val="single" w:sz="4" w:space="0" w:color="auto"/>
              <w:left w:val="single" w:sz="12" w:space="0" w:color="auto"/>
              <w:bottom w:val="single" w:sz="12" w:space="0" w:color="auto"/>
              <w:right w:val="single" w:sz="12" w:space="0" w:color="auto"/>
            </w:tcBorders>
          </w:tcPr>
          <w:p w14:paraId="29E91C41" w14:textId="77777777" w:rsidR="003C7AF5" w:rsidRPr="00C70F69" w:rsidRDefault="003C7AF5" w:rsidP="00082DA7">
            <w:pPr>
              <w:spacing w:after="0" w:line="240" w:lineRule="auto"/>
              <w:jc w:val="center"/>
              <w:rPr>
                <w:rFonts w:ascii="Arial Narrow" w:eastAsia="Times New Roman" w:hAnsi="Arial Narrow" w:cs="Arial"/>
                <w:b/>
                <w:bCs/>
                <w:color w:val="000000"/>
              </w:rPr>
            </w:pPr>
            <w:r w:rsidRPr="00C70F69">
              <w:rPr>
                <w:rFonts w:ascii="Arial Narrow" w:eastAsia="Times New Roman" w:hAnsi="Arial Narrow" w:cs="Arial"/>
                <w:b/>
                <w:bCs/>
                <w:color w:val="000000"/>
              </w:rPr>
              <w:t>7.5</w:t>
            </w:r>
          </w:p>
        </w:tc>
        <w:tc>
          <w:tcPr>
            <w:tcW w:w="720" w:type="dxa"/>
            <w:tcBorders>
              <w:top w:val="single" w:sz="4" w:space="0" w:color="auto"/>
              <w:left w:val="single" w:sz="12" w:space="0" w:color="auto"/>
              <w:bottom w:val="single" w:sz="12" w:space="0" w:color="auto"/>
              <w:right w:val="single" w:sz="4" w:space="0" w:color="auto"/>
            </w:tcBorders>
            <w:shd w:val="clear" w:color="auto" w:fill="auto"/>
          </w:tcPr>
          <w:p w14:paraId="6EEDB271" w14:textId="77777777" w:rsidR="003C7AF5" w:rsidRPr="00093CBC" w:rsidRDefault="003C7AF5"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9,885</w:t>
            </w:r>
          </w:p>
        </w:tc>
        <w:tc>
          <w:tcPr>
            <w:tcW w:w="630" w:type="dxa"/>
            <w:tcBorders>
              <w:top w:val="single" w:sz="4" w:space="0" w:color="auto"/>
              <w:left w:val="single" w:sz="4" w:space="0" w:color="auto"/>
              <w:bottom w:val="single" w:sz="12" w:space="0" w:color="auto"/>
              <w:right w:val="single" w:sz="4" w:space="0" w:color="auto"/>
            </w:tcBorders>
            <w:shd w:val="clear" w:color="auto" w:fill="auto"/>
          </w:tcPr>
          <w:p w14:paraId="2FE3882C" w14:textId="77777777" w:rsidR="003C7AF5" w:rsidRPr="00093CBC" w:rsidRDefault="003C7AF5" w:rsidP="00082DA7">
            <w:pPr>
              <w:spacing w:after="0" w:line="240" w:lineRule="auto"/>
              <w:ind w:left="-104" w:right="-90"/>
              <w:jc w:val="center"/>
              <w:rPr>
                <w:rFonts w:ascii="Arial Narrow" w:eastAsia="Times New Roman" w:hAnsi="Arial Narrow" w:cs="Arial"/>
                <w:b/>
                <w:bCs/>
                <w:color w:val="000000"/>
              </w:rPr>
            </w:pPr>
            <w:r>
              <w:rPr>
                <w:rFonts w:ascii="Arial Narrow" w:eastAsia="Times New Roman" w:hAnsi="Arial Narrow" w:cs="Arial"/>
                <w:b/>
                <w:bCs/>
                <w:color w:val="000000"/>
              </w:rPr>
              <w:t>38,763</w:t>
            </w:r>
          </w:p>
        </w:tc>
        <w:tc>
          <w:tcPr>
            <w:tcW w:w="720" w:type="dxa"/>
            <w:tcBorders>
              <w:top w:val="single" w:sz="4" w:space="0" w:color="auto"/>
              <w:left w:val="nil"/>
              <w:bottom w:val="single" w:sz="12" w:space="0" w:color="auto"/>
              <w:right w:val="single" w:sz="4" w:space="0" w:color="auto"/>
            </w:tcBorders>
            <w:shd w:val="clear" w:color="auto" w:fill="auto"/>
          </w:tcPr>
          <w:p w14:paraId="46EBC1D9"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10,624</w:t>
            </w:r>
          </w:p>
        </w:tc>
        <w:tc>
          <w:tcPr>
            <w:tcW w:w="540" w:type="dxa"/>
            <w:tcBorders>
              <w:top w:val="single" w:sz="4" w:space="0" w:color="auto"/>
              <w:left w:val="nil"/>
              <w:bottom w:val="single" w:sz="12" w:space="0" w:color="auto"/>
              <w:right w:val="single" w:sz="4" w:space="0" w:color="auto"/>
            </w:tcBorders>
            <w:shd w:val="clear" w:color="auto" w:fill="auto"/>
          </w:tcPr>
          <w:p w14:paraId="5D786EB5"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9,085</w:t>
            </w:r>
          </w:p>
        </w:tc>
        <w:tc>
          <w:tcPr>
            <w:tcW w:w="720" w:type="dxa"/>
            <w:tcBorders>
              <w:top w:val="single" w:sz="4" w:space="0" w:color="auto"/>
              <w:left w:val="nil"/>
              <w:bottom w:val="single" w:sz="12" w:space="0" w:color="auto"/>
              <w:right w:val="single" w:sz="12" w:space="0" w:color="auto"/>
            </w:tcBorders>
            <w:shd w:val="clear" w:color="auto" w:fill="auto"/>
          </w:tcPr>
          <w:p w14:paraId="703BFD87" w14:textId="77777777" w:rsidR="003C7AF5" w:rsidRPr="00093CBC" w:rsidRDefault="003C7AF5" w:rsidP="00082DA7">
            <w:pPr>
              <w:spacing w:after="0" w:line="240" w:lineRule="auto"/>
              <w:ind w:left="-134" w:right="-100"/>
              <w:jc w:val="center"/>
              <w:rPr>
                <w:rFonts w:ascii="Arial Narrow" w:eastAsia="Times New Roman" w:hAnsi="Arial Narrow" w:cs="Arial"/>
                <w:b/>
                <w:bCs/>
                <w:color w:val="000000"/>
              </w:rPr>
            </w:pPr>
            <w:r>
              <w:rPr>
                <w:rFonts w:ascii="Arial Narrow" w:eastAsia="Times New Roman" w:hAnsi="Arial Narrow" w:cs="Arial"/>
                <w:b/>
                <w:bCs/>
                <w:color w:val="000000"/>
              </w:rPr>
              <w:t>7,796</w:t>
            </w:r>
          </w:p>
        </w:tc>
        <w:tc>
          <w:tcPr>
            <w:tcW w:w="630" w:type="dxa"/>
            <w:tcBorders>
              <w:top w:val="single" w:sz="4" w:space="0" w:color="auto"/>
              <w:left w:val="single" w:sz="12" w:space="0" w:color="auto"/>
              <w:bottom w:val="single" w:sz="12" w:space="0" w:color="auto"/>
              <w:right w:val="single" w:sz="4" w:space="0" w:color="auto"/>
            </w:tcBorders>
            <w:shd w:val="clear" w:color="auto" w:fill="auto"/>
          </w:tcPr>
          <w:p w14:paraId="487A13D6" w14:textId="77777777" w:rsidR="003C7AF5" w:rsidRPr="00D7640E" w:rsidRDefault="003C7AF5" w:rsidP="00082DA7">
            <w:pPr>
              <w:spacing w:after="0" w:line="240" w:lineRule="auto"/>
              <w:ind w:left="-105" w:right="-180"/>
              <w:jc w:val="center"/>
              <w:rPr>
                <w:rFonts w:ascii="Arial Narrow" w:eastAsia="Times New Roman" w:hAnsi="Arial Narrow" w:cs="Arial"/>
                <w:b/>
                <w:bCs/>
                <w:color w:val="000000"/>
              </w:rPr>
            </w:pPr>
            <w:r w:rsidRPr="00D7640E">
              <w:rPr>
                <w:rFonts w:ascii="Arial Narrow" w:eastAsia="Times New Roman" w:hAnsi="Arial Narrow" w:cs="Arial"/>
                <w:b/>
                <w:bCs/>
                <w:color w:val="000000"/>
              </w:rPr>
              <w:t>3.92</w:t>
            </w:r>
          </w:p>
        </w:tc>
        <w:tc>
          <w:tcPr>
            <w:tcW w:w="720" w:type="dxa"/>
            <w:tcBorders>
              <w:top w:val="single" w:sz="4" w:space="0" w:color="auto"/>
              <w:left w:val="nil"/>
              <w:bottom w:val="single" w:sz="12" w:space="0" w:color="auto"/>
              <w:right w:val="single" w:sz="4" w:space="0" w:color="auto"/>
            </w:tcBorders>
            <w:shd w:val="clear" w:color="auto" w:fill="auto"/>
          </w:tcPr>
          <w:p w14:paraId="0E57D2E2" w14:textId="77777777" w:rsidR="003C7AF5" w:rsidRPr="00D7640E" w:rsidRDefault="003C7AF5" w:rsidP="00082DA7">
            <w:pPr>
              <w:spacing w:after="0" w:line="240" w:lineRule="auto"/>
              <w:ind w:left="-104" w:right="-150"/>
              <w:jc w:val="center"/>
              <w:rPr>
                <w:rFonts w:ascii="Arial Narrow" w:eastAsia="Times New Roman" w:hAnsi="Arial Narrow" w:cs="Arial"/>
                <w:b/>
                <w:bCs/>
                <w:color w:val="000000"/>
              </w:rPr>
            </w:pPr>
            <w:r w:rsidRPr="00D7640E">
              <w:rPr>
                <w:rFonts w:ascii="Arial Narrow" w:eastAsia="Times New Roman" w:hAnsi="Arial Narrow" w:cs="Arial"/>
                <w:b/>
                <w:bCs/>
                <w:color w:val="000000"/>
              </w:rPr>
              <w:t>1.07</w:t>
            </w:r>
          </w:p>
        </w:tc>
        <w:tc>
          <w:tcPr>
            <w:tcW w:w="540" w:type="dxa"/>
            <w:tcBorders>
              <w:top w:val="single" w:sz="4" w:space="0" w:color="auto"/>
              <w:left w:val="nil"/>
              <w:bottom w:val="single" w:sz="12" w:space="0" w:color="auto"/>
              <w:right w:val="single" w:sz="4" w:space="0" w:color="auto"/>
            </w:tcBorders>
            <w:shd w:val="clear" w:color="auto" w:fill="auto"/>
          </w:tcPr>
          <w:p w14:paraId="5A41EF48" w14:textId="77777777" w:rsidR="003C7AF5" w:rsidRPr="00D7640E" w:rsidRDefault="003C7AF5" w:rsidP="00082DA7">
            <w:pPr>
              <w:spacing w:after="0" w:line="240" w:lineRule="auto"/>
              <w:ind w:left="-104" w:right="-105"/>
              <w:jc w:val="center"/>
              <w:rPr>
                <w:rFonts w:ascii="Arial Narrow" w:eastAsia="Times New Roman" w:hAnsi="Arial Narrow" w:cs="Arial"/>
                <w:b/>
                <w:bCs/>
                <w:color w:val="000000"/>
              </w:rPr>
            </w:pPr>
            <w:r w:rsidRPr="00D7640E">
              <w:rPr>
                <w:rFonts w:ascii="Arial Narrow" w:eastAsia="Times New Roman" w:hAnsi="Arial Narrow" w:cs="Arial"/>
                <w:b/>
                <w:bCs/>
                <w:color w:val="000000"/>
              </w:rPr>
              <w:t>0.92</w:t>
            </w:r>
          </w:p>
        </w:tc>
        <w:tc>
          <w:tcPr>
            <w:tcW w:w="720" w:type="dxa"/>
            <w:tcBorders>
              <w:top w:val="single" w:sz="4" w:space="0" w:color="auto"/>
              <w:left w:val="single" w:sz="4" w:space="0" w:color="auto"/>
              <w:bottom w:val="single" w:sz="12" w:space="0" w:color="auto"/>
              <w:right w:val="single" w:sz="12" w:space="0" w:color="auto"/>
            </w:tcBorders>
            <w:shd w:val="clear" w:color="auto" w:fill="auto"/>
          </w:tcPr>
          <w:p w14:paraId="2E858C6D" w14:textId="77777777" w:rsidR="003C7AF5" w:rsidRPr="00D7640E" w:rsidRDefault="003C7AF5" w:rsidP="00082DA7">
            <w:pPr>
              <w:spacing w:after="0" w:line="240" w:lineRule="auto"/>
              <w:ind w:left="-104" w:right="-105"/>
              <w:jc w:val="center"/>
              <w:rPr>
                <w:rFonts w:ascii="Arial Narrow" w:eastAsia="Times New Roman" w:hAnsi="Arial Narrow" w:cs="Arial"/>
                <w:b/>
                <w:bCs/>
                <w:color w:val="000000"/>
              </w:rPr>
            </w:pPr>
            <w:r w:rsidRPr="00D7640E">
              <w:rPr>
                <w:rFonts w:ascii="Arial Narrow" w:eastAsia="Times New Roman" w:hAnsi="Arial Narrow" w:cs="Arial"/>
                <w:b/>
                <w:bCs/>
                <w:color w:val="000000"/>
              </w:rPr>
              <w:t>0.79</w:t>
            </w:r>
          </w:p>
        </w:tc>
      </w:tr>
    </w:tbl>
    <w:p w14:paraId="6945FABE" w14:textId="5EB20475" w:rsidR="00830BDE" w:rsidRDefault="00830BDE" w:rsidP="00E47DFB">
      <w:pPr>
        <w:spacing w:after="120"/>
        <w:jc w:val="both"/>
        <w:rPr>
          <w:rFonts w:ascii="Arial" w:hAnsi="Arial" w:cs="Arial"/>
          <w:bCs/>
          <w:highlight w:val="yellow"/>
        </w:rPr>
      </w:pPr>
    </w:p>
    <w:tbl>
      <w:tblPr>
        <w:tblpPr w:leftFromText="180" w:rightFromText="180" w:vertAnchor="text" w:tblpXSpec="center" w:tblpY="1"/>
        <w:tblOverlap w:val="never"/>
        <w:tblW w:w="9615" w:type="dxa"/>
        <w:tblLayout w:type="fixed"/>
        <w:tblLook w:val="04A0" w:firstRow="1" w:lastRow="0" w:firstColumn="1" w:lastColumn="0" w:noHBand="0" w:noVBand="1"/>
      </w:tblPr>
      <w:tblGrid>
        <w:gridCol w:w="2505"/>
        <w:gridCol w:w="2370"/>
        <w:gridCol w:w="2370"/>
        <w:gridCol w:w="2370"/>
      </w:tblGrid>
      <w:tr w:rsidR="00E47DFB" w:rsidRPr="00934586" w14:paraId="7E990F43" w14:textId="77777777" w:rsidTr="0080535D">
        <w:trPr>
          <w:cantSplit/>
          <w:trHeight w:val="144"/>
          <w:tblHeader/>
        </w:trPr>
        <w:tc>
          <w:tcPr>
            <w:tcW w:w="2505" w:type="dxa"/>
            <w:vMerge w:val="restart"/>
            <w:tcBorders>
              <w:top w:val="single" w:sz="12" w:space="0" w:color="auto"/>
              <w:left w:val="single" w:sz="12" w:space="0" w:color="auto"/>
              <w:right w:val="single" w:sz="4" w:space="0" w:color="auto"/>
            </w:tcBorders>
            <w:shd w:val="clear" w:color="auto" w:fill="F2F2F2"/>
            <w:vAlign w:val="center"/>
          </w:tcPr>
          <w:p w14:paraId="3B8552D7" w14:textId="77777777" w:rsidR="00E47DFB" w:rsidRDefault="00E47DFB" w:rsidP="00082DA7">
            <w:pPr>
              <w:spacing w:after="0" w:line="240" w:lineRule="auto"/>
              <w:ind w:left="-30"/>
              <w:rPr>
                <w:rFonts w:ascii="Arial Narrow" w:eastAsia="Times New Roman" w:hAnsi="Arial Narrow" w:cs="Arial"/>
                <w:b/>
                <w:bCs/>
                <w:color w:val="000000"/>
              </w:rPr>
            </w:pPr>
            <w:r>
              <w:rPr>
                <w:rFonts w:ascii="Arial Narrow" w:eastAsia="Times New Roman" w:hAnsi="Arial Narrow" w:cs="Arial"/>
                <w:b/>
                <w:bCs/>
                <w:color w:val="000000"/>
              </w:rPr>
              <w:t>Service</w:t>
            </w:r>
          </w:p>
        </w:tc>
        <w:tc>
          <w:tcPr>
            <w:tcW w:w="7110" w:type="dxa"/>
            <w:gridSpan w:val="3"/>
            <w:tcBorders>
              <w:top w:val="single" w:sz="12" w:space="0" w:color="auto"/>
              <w:left w:val="single" w:sz="12" w:space="0" w:color="auto"/>
              <w:bottom w:val="single" w:sz="4" w:space="0" w:color="auto"/>
              <w:right w:val="single" w:sz="12" w:space="0" w:color="auto"/>
            </w:tcBorders>
            <w:shd w:val="clear" w:color="auto" w:fill="F2F2F2"/>
            <w:vAlign w:val="center"/>
          </w:tcPr>
          <w:p w14:paraId="04C7C339" w14:textId="77777777" w:rsidR="00E47DFB" w:rsidRPr="002C4289" w:rsidRDefault="00E47DFB" w:rsidP="00082DA7">
            <w:pPr>
              <w:spacing w:after="0" w:line="240" w:lineRule="auto"/>
              <w:ind w:left="-104" w:right="-105"/>
              <w:jc w:val="center"/>
              <w:rPr>
                <w:rFonts w:ascii="Arial Narrow" w:eastAsia="Times New Roman" w:hAnsi="Arial Narrow" w:cs="Arial"/>
                <w:b/>
                <w:bCs/>
                <w:color w:val="000000"/>
              </w:rPr>
            </w:pPr>
            <w:r>
              <w:rPr>
                <w:rFonts w:ascii="Arial Narrow" w:eastAsia="Times New Roman" w:hAnsi="Arial Narrow" w:cs="Arial"/>
                <w:b/>
                <w:bCs/>
                <w:color w:val="000000"/>
              </w:rPr>
              <w:t>Inpatient Bed Type</w:t>
            </w:r>
          </w:p>
        </w:tc>
      </w:tr>
      <w:tr w:rsidR="00E47DFB" w:rsidRPr="00934586" w14:paraId="7D587FD9" w14:textId="77777777" w:rsidTr="0080535D">
        <w:trPr>
          <w:cantSplit/>
          <w:trHeight w:val="144"/>
          <w:tblHeader/>
        </w:trPr>
        <w:tc>
          <w:tcPr>
            <w:tcW w:w="2505" w:type="dxa"/>
            <w:vMerge/>
            <w:tcBorders>
              <w:left w:val="single" w:sz="12" w:space="0" w:color="auto"/>
              <w:bottom w:val="single" w:sz="12" w:space="0" w:color="auto"/>
              <w:right w:val="single" w:sz="4" w:space="0" w:color="auto"/>
            </w:tcBorders>
            <w:shd w:val="clear" w:color="auto" w:fill="F2F2F2"/>
          </w:tcPr>
          <w:p w14:paraId="50EB67F6" w14:textId="77777777" w:rsidR="00E47DFB" w:rsidRDefault="00E47DFB" w:rsidP="00082DA7">
            <w:pPr>
              <w:spacing w:after="0" w:line="240" w:lineRule="auto"/>
              <w:ind w:left="-30"/>
              <w:rPr>
                <w:rFonts w:ascii="Arial Narrow" w:eastAsia="Times New Roman" w:hAnsi="Arial Narrow" w:cs="Arial"/>
                <w:b/>
                <w:bCs/>
                <w:color w:val="000000"/>
              </w:rPr>
            </w:pPr>
          </w:p>
        </w:tc>
        <w:tc>
          <w:tcPr>
            <w:tcW w:w="2370" w:type="dxa"/>
            <w:tcBorders>
              <w:top w:val="single" w:sz="4" w:space="0" w:color="auto"/>
              <w:left w:val="single" w:sz="12" w:space="0" w:color="auto"/>
              <w:bottom w:val="single" w:sz="12" w:space="0" w:color="auto"/>
              <w:right w:val="single" w:sz="4" w:space="0" w:color="auto"/>
            </w:tcBorders>
            <w:shd w:val="clear" w:color="auto" w:fill="F2F2F2"/>
            <w:vAlign w:val="center"/>
          </w:tcPr>
          <w:p w14:paraId="7200347C" w14:textId="77777777" w:rsidR="00E47DFB" w:rsidRDefault="00E47DFB" w:rsidP="00082DA7">
            <w:pPr>
              <w:spacing w:after="0" w:line="240" w:lineRule="auto"/>
              <w:ind w:left="-105" w:right="-105"/>
              <w:jc w:val="center"/>
              <w:rPr>
                <w:rFonts w:ascii="Arial Narrow" w:eastAsia="Times New Roman" w:hAnsi="Arial Narrow" w:cs="Arial"/>
                <w:b/>
                <w:bCs/>
                <w:color w:val="000000"/>
              </w:rPr>
            </w:pPr>
            <w:r>
              <w:rPr>
                <w:rFonts w:ascii="Arial Narrow" w:eastAsia="Times New Roman" w:hAnsi="Arial Narrow" w:cs="Arial"/>
                <w:b/>
                <w:bCs/>
                <w:color w:val="000000"/>
              </w:rPr>
              <w:t>M/S</w:t>
            </w:r>
            <w:r>
              <w:rPr>
                <w:rStyle w:val="EndnoteReference"/>
                <w:rFonts w:ascii="Arial Narrow" w:eastAsia="Times New Roman" w:hAnsi="Arial Narrow" w:cs="Arial"/>
                <w:b/>
                <w:bCs/>
                <w:color w:val="000000"/>
              </w:rPr>
              <w:endnoteReference w:id="12"/>
            </w:r>
          </w:p>
        </w:tc>
        <w:tc>
          <w:tcPr>
            <w:tcW w:w="2370" w:type="dxa"/>
            <w:tcBorders>
              <w:top w:val="single" w:sz="4" w:space="0" w:color="auto"/>
              <w:left w:val="single" w:sz="4" w:space="0" w:color="auto"/>
              <w:bottom w:val="single" w:sz="12" w:space="0" w:color="auto"/>
              <w:right w:val="single" w:sz="4" w:space="0" w:color="auto"/>
            </w:tcBorders>
            <w:shd w:val="clear" w:color="auto" w:fill="F2F2F2"/>
            <w:vAlign w:val="center"/>
          </w:tcPr>
          <w:p w14:paraId="0CEA7D60" w14:textId="77777777" w:rsidR="00E47DFB" w:rsidRDefault="00E47DFB" w:rsidP="00082DA7">
            <w:pPr>
              <w:spacing w:after="0" w:line="240" w:lineRule="auto"/>
              <w:ind w:left="-104" w:right="-105"/>
              <w:jc w:val="center"/>
              <w:rPr>
                <w:rFonts w:ascii="Arial Narrow" w:eastAsia="Times New Roman" w:hAnsi="Arial Narrow" w:cs="Arial"/>
                <w:b/>
                <w:bCs/>
                <w:color w:val="000000"/>
              </w:rPr>
            </w:pPr>
            <w:r>
              <w:rPr>
                <w:rFonts w:ascii="Arial Narrow" w:eastAsia="Times New Roman" w:hAnsi="Arial Narrow" w:cs="Arial"/>
                <w:b/>
                <w:bCs/>
                <w:color w:val="000000"/>
              </w:rPr>
              <w:t>ICU</w:t>
            </w:r>
            <w:r>
              <w:rPr>
                <w:rStyle w:val="EndnoteReference"/>
                <w:rFonts w:ascii="Arial Narrow" w:eastAsia="Times New Roman" w:hAnsi="Arial Narrow" w:cs="Arial"/>
                <w:b/>
                <w:bCs/>
                <w:color w:val="000000"/>
              </w:rPr>
              <w:endnoteReference w:id="13"/>
            </w:r>
          </w:p>
        </w:tc>
        <w:tc>
          <w:tcPr>
            <w:tcW w:w="2370" w:type="dxa"/>
            <w:tcBorders>
              <w:top w:val="single" w:sz="4" w:space="0" w:color="auto"/>
              <w:left w:val="single" w:sz="4" w:space="0" w:color="auto"/>
              <w:bottom w:val="single" w:sz="12" w:space="0" w:color="auto"/>
              <w:right w:val="single" w:sz="12" w:space="0" w:color="auto"/>
            </w:tcBorders>
            <w:shd w:val="clear" w:color="auto" w:fill="F2F2F2"/>
            <w:vAlign w:val="center"/>
          </w:tcPr>
          <w:p w14:paraId="1AD876F6" w14:textId="77777777" w:rsidR="00E47DFB" w:rsidRPr="002C4289" w:rsidRDefault="00E47DFB" w:rsidP="00082DA7">
            <w:pPr>
              <w:spacing w:after="0" w:line="240" w:lineRule="auto"/>
              <w:ind w:left="-104" w:right="-105"/>
              <w:jc w:val="center"/>
              <w:rPr>
                <w:rFonts w:ascii="Arial Narrow" w:eastAsia="Times New Roman" w:hAnsi="Arial Narrow" w:cs="Arial"/>
                <w:b/>
                <w:bCs/>
                <w:color w:val="000000"/>
                <w:highlight w:val="yellow"/>
              </w:rPr>
            </w:pPr>
            <w:r w:rsidRPr="002C4289">
              <w:rPr>
                <w:rFonts w:ascii="Arial Narrow" w:eastAsia="Times New Roman" w:hAnsi="Arial Narrow" w:cs="Arial"/>
                <w:b/>
                <w:bCs/>
                <w:color w:val="000000"/>
              </w:rPr>
              <w:t>Total</w:t>
            </w:r>
          </w:p>
        </w:tc>
      </w:tr>
      <w:tr w:rsidR="00E47DFB" w:rsidRPr="00934586" w14:paraId="3E6AD6F0" w14:textId="77777777" w:rsidTr="009D1445">
        <w:trPr>
          <w:cantSplit/>
          <w:trHeight w:val="144"/>
        </w:trPr>
        <w:tc>
          <w:tcPr>
            <w:tcW w:w="2505" w:type="dxa"/>
            <w:tcBorders>
              <w:top w:val="single" w:sz="12" w:space="0" w:color="auto"/>
              <w:left w:val="single" w:sz="12" w:space="0" w:color="auto"/>
              <w:bottom w:val="single" w:sz="4" w:space="0" w:color="auto"/>
              <w:right w:val="single" w:sz="4" w:space="0" w:color="auto"/>
            </w:tcBorders>
          </w:tcPr>
          <w:p w14:paraId="472DA8C9" w14:textId="77777777" w:rsidR="00E47DFB" w:rsidRDefault="00E47DFB" w:rsidP="00082DA7">
            <w:pPr>
              <w:spacing w:after="0" w:line="240" w:lineRule="auto"/>
              <w:ind w:left="-30"/>
              <w:rPr>
                <w:rFonts w:ascii="Arial Narrow" w:eastAsia="Times New Roman" w:hAnsi="Arial Narrow" w:cs="Arial"/>
                <w:b/>
                <w:bCs/>
                <w:color w:val="000000"/>
              </w:rPr>
            </w:pPr>
            <w:r w:rsidRPr="00381A3E">
              <w:rPr>
                <w:rFonts w:ascii="Arial Narrow" w:eastAsia="Times New Roman" w:hAnsi="Arial Narrow" w:cs="Arial"/>
                <w:color w:val="000000"/>
              </w:rPr>
              <w:t>Medical</w:t>
            </w:r>
          </w:p>
        </w:tc>
        <w:tc>
          <w:tcPr>
            <w:tcW w:w="2370" w:type="dxa"/>
            <w:tcBorders>
              <w:top w:val="single" w:sz="12" w:space="0" w:color="auto"/>
              <w:left w:val="single" w:sz="12" w:space="0" w:color="auto"/>
              <w:bottom w:val="single" w:sz="4" w:space="0" w:color="auto"/>
              <w:right w:val="single" w:sz="4" w:space="0" w:color="auto"/>
            </w:tcBorders>
            <w:vAlign w:val="center"/>
          </w:tcPr>
          <w:p w14:paraId="3DB0F1B9" w14:textId="77777777" w:rsidR="00E47DFB" w:rsidRPr="00511003" w:rsidRDefault="00E47DFB" w:rsidP="00082DA7">
            <w:pPr>
              <w:spacing w:after="0" w:line="240" w:lineRule="auto"/>
              <w:ind w:left="-105" w:right="-105"/>
              <w:jc w:val="center"/>
              <w:rPr>
                <w:rFonts w:ascii="Arial Narrow" w:eastAsia="Times New Roman" w:hAnsi="Arial Narrow" w:cs="Arial"/>
                <w:color w:val="000000"/>
              </w:rPr>
            </w:pPr>
            <w:r w:rsidRPr="00511003">
              <w:rPr>
                <w:rFonts w:ascii="Arial Narrow" w:eastAsia="Times New Roman" w:hAnsi="Arial Narrow" w:cs="Arial"/>
                <w:color w:val="000000"/>
              </w:rPr>
              <w:t>27.32</w:t>
            </w:r>
          </w:p>
        </w:tc>
        <w:tc>
          <w:tcPr>
            <w:tcW w:w="2370" w:type="dxa"/>
            <w:tcBorders>
              <w:top w:val="single" w:sz="12" w:space="0" w:color="auto"/>
              <w:left w:val="single" w:sz="4" w:space="0" w:color="auto"/>
              <w:bottom w:val="single" w:sz="4" w:space="0" w:color="auto"/>
              <w:right w:val="single" w:sz="4" w:space="0" w:color="auto"/>
            </w:tcBorders>
            <w:vAlign w:val="center"/>
          </w:tcPr>
          <w:p w14:paraId="483623B8" w14:textId="77777777" w:rsidR="00E47DFB" w:rsidRPr="00511003" w:rsidRDefault="00E47DFB" w:rsidP="00082DA7">
            <w:pPr>
              <w:spacing w:after="0" w:line="240" w:lineRule="auto"/>
              <w:ind w:left="-104" w:right="-105"/>
              <w:jc w:val="center"/>
              <w:rPr>
                <w:rFonts w:ascii="Arial Narrow" w:eastAsia="Times New Roman" w:hAnsi="Arial Narrow" w:cs="Arial"/>
                <w:color w:val="000000"/>
              </w:rPr>
            </w:pPr>
            <w:r w:rsidRPr="00511003">
              <w:rPr>
                <w:rFonts w:ascii="Arial Narrow" w:eastAsia="Times New Roman" w:hAnsi="Arial Narrow" w:cs="Arial"/>
                <w:color w:val="000000"/>
              </w:rPr>
              <w:t>3.93</w:t>
            </w:r>
          </w:p>
        </w:tc>
        <w:tc>
          <w:tcPr>
            <w:tcW w:w="2370" w:type="dxa"/>
            <w:tcBorders>
              <w:top w:val="single" w:sz="12" w:space="0" w:color="auto"/>
              <w:left w:val="single" w:sz="4" w:space="0" w:color="auto"/>
              <w:bottom w:val="single" w:sz="4" w:space="0" w:color="auto"/>
              <w:right w:val="single" w:sz="12" w:space="0" w:color="auto"/>
            </w:tcBorders>
            <w:shd w:val="clear" w:color="auto" w:fill="auto"/>
            <w:vAlign w:val="center"/>
          </w:tcPr>
          <w:p w14:paraId="600517B1" w14:textId="77777777" w:rsidR="00E47DFB" w:rsidRPr="00613FCE" w:rsidRDefault="00E47DFB" w:rsidP="00082DA7">
            <w:pPr>
              <w:spacing w:after="0" w:line="240" w:lineRule="auto"/>
              <w:ind w:left="-104" w:right="-105"/>
              <w:jc w:val="center"/>
              <w:rPr>
                <w:rFonts w:ascii="Arial Narrow" w:eastAsia="Times New Roman" w:hAnsi="Arial Narrow" w:cs="Arial"/>
                <w:color w:val="000000"/>
                <w:highlight w:val="yellow"/>
              </w:rPr>
            </w:pPr>
            <w:r w:rsidRPr="00511003">
              <w:rPr>
                <w:rFonts w:ascii="Arial Narrow" w:eastAsia="Times New Roman" w:hAnsi="Arial Narrow" w:cs="Arial"/>
                <w:color w:val="000000"/>
              </w:rPr>
              <w:t>31.26</w:t>
            </w:r>
          </w:p>
        </w:tc>
      </w:tr>
      <w:tr w:rsidR="00E47DFB" w:rsidRPr="00934586" w14:paraId="4A449B9F" w14:textId="77777777" w:rsidTr="009D1445">
        <w:trPr>
          <w:cantSplit/>
          <w:trHeight w:val="144"/>
        </w:trPr>
        <w:tc>
          <w:tcPr>
            <w:tcW w:w="2505" w:type="dxa"/>
            <w:tcBorders>
              <w:top w:val="single" w:sz="4" w:space="0" w:color="auto"/>
              <w:left w:val="single" w:sz="12" w:space="0" w:color="auto"/>
              <w:bottom w:val="single" w:sz="4" w:space="0" w:color="auto"/>
              <w:right w:val="single" w:sz="4" w:space="0" w:color="auto"/>
            </w:tcBorders>
          </w:tcPr>
          <w:p w14:paraId="23C495C6" w14:textId="77777777" w:rsidR="00E47DFB" w:rsidRDefault="00E47DFB" w:rsidP="00082DA7">
            <w:pPr>
              <w:spacing w:after="0" w:line="240" w:lineRule="auto"/>
              <w:ind w:left="-30"/>
              <w:rPr>
                <w:rFonts w:ascii="Arial Narrow" w:eastAsia="Times New Roman" w:hAnsi="Arial Narrow" w:cs="Arial"/>
                <w:b/>
                <w:bCs/>
                <w:color w:val="000000"/>
              </w:rPr>
            </w:pPr>
            <w:r w:rsidRPr="00381A3E">
              <w:rPr>
                <w:rFonts w:ascii="Arial Narrow" w:eastAsia="Times New Roman" w:hAnsi="Arial Narrow" w:cs="Arial"/>
                <w:color w:val="000000"/>
              </w:rPr>
              <w:t xml:space="preserve">Surgical </w:t>
            </w:r>
          </w:p>
        </w:tc>
        <w:tc>
          <w:tcPr>
            <w:tcW w:w="2370" w:type="dxa"/>
            <w:tcBorders>
              <w:top w:val="single" w:sz="4" w:space="0" w:color="auto"/>
              <w:left w:val="single" w:sz="12" w:space="0" w:color="auto"/>
              <w:bottom w:val="single" w:sz="4" w:space="0" w:color="auto"/>
              <w:right w:val="single" w:sz="4" w:space="0" w:color="auto"/>
            </w:tcBorders>
            <w:vAlign w:val="center"/>
          </w:tcPr>
          <w:p w14:paraId="47B28593" w14:textId="77777777" w:rsidR="00E47DFB" w:rsidRPr="00511003" w:rsidRDefault="00E47DFB" w:rsidP="00082DA7">
            <w:pPr>
              <w:spacing w:after="0" w:line="240" w:lineRule="auto"/>
              <w:ind w:left="-105" w:right="-105"/>
              <w:jc w:val="center"/>
              <w:rPr>
                <w:rFonts w:ascii="Arial Narrow" w:eastAsia="Times New Roman" w:hAnsi="Arial Narrow" w:cs="Arial"/>
                <w:color w:val="000000"/>
              </w:rPr>
            </w:pPr>
            <w:r w:rsidRPr="00511003">
              <w:rPr>
                <w:rFonts w:ascii="Arial Narrow" w:eastAsia="Times New Roman" w:hAnsi="Arial Narrow" w:cs="Arial"/>
                <w:color w:val="000000"/>
              </w:rPr>
              <w:t>23.35</w:t>
            </w:r>
          </w:p>
        </w:tc>
        <w:tc>
          <w:tcPr>
            <w:tcW w:w="2370" w:type="dxa"/>
            <w:tcBorders>
              <w:top w:val="single" w:sz="4" w:space="0" w:color="auto"/>
              <w:left w:val="single" w:sz="4" w:space="0" w:color="auto"/>
              <w:bottom w:val="single" w:sz="4" w:space="0" w:color="auto"/>
              <w:right w:val="single" w:sz="4" w:space="0" w:color="auto"/>
            </w:tcBorders>
            <w:vAlign w:val="center"/>
          </w:tcPr>
          <w:p w14:paraId="26BB3E88" w14:textId="77777777" w:rsidR="00E47DFB" w:rsidRPr="00511003" w:rsidRDefault="00E47DFB" w:rsidP="00082DA7">
            <w:pPr>
              <w:spacing w:after="0" w:line="240" w:lineRule="auto"/>
              <w:ind w:left="-104" w:right="-105"/>
              <w:jc w:val="center"/>
              <w:rPr>
                <w:rFonts w:ascii="Arial Narrow" w:eastAsia="Times New Roman" w:hAnsi="Arial Narrow" w:cs="Arial"/>
                <w:color w:val="000000"/>
              </w:rPr>
            </w:pPr>
            <w:r w:rsidRPr="00511003">
              <w:rPr>
                <w:rFonts w:ascii="Arial Narrow" w:eastAsia="Times New Roman" w:hAnsi="Arial Narrow" w:cs="Arial"/>
                <w:color w:val="000000"/>
              </w:rPr>
              <w:t>7.47</w:t>
            </w:r>
          </w:p>
        </w:tc>
        <w:tc>
          <w:tcPr>
            <w:tcW w:w="2370" w:type="dxa"/>
            <w:tcBorders>
              <w:top w:val="single" w:sz="4" w:space="0" w:color="auto"/>
              <w:left w:val="single" w:sz="4" w:space="0" w:color="auto"/>
              <w:bottom w:val="single" w:sz="4" w:space="0" w:color="auto"/>
              <w:right w:val="single" w:sz="12" w:space="0" w:color="auto"/>
            </w:tcBorders>
            <w:shd w:val="clear" w:color="auto" w:fill="auto"/>
            <w:vAlign w:val="center"/>
          </w:tcPr>
          <w:p w14:paraId="785AB0FC" w14:textId="77777777" w:rsidR="00E47DFB" w:rsidRPr="00613FCE" w:rsidRDefault="00E47DFB" w:rsidP="00082DA7">
            <w:pPr>
              <w:spacing w:after="0" w:line="240" w:lineRule="auto"/>
              <w:ind w:left="-104" w:right="-105"/>
              <w:jc w:val="center"/>
              <w:rPr>
                <w:rFonts w:ascii="Arial Narrow" w:eastAsia="Times New Roman" w:hAnsi="Arial Narrow" w:cs="Arial"/>
                <w:color w:val="000000"/>
                <w:highlight w:val="yellow"/>
              </w:rPr>
            </w:pPr>
            <w:r w:rsidRPr="00511003">
              <w:rPr>
                <w:rFonts w:ascii="Arial Narrow" w:eastAsia="Times New Roman" w:hAnsi="Arial Narrow" w:cs="Arial"/>
                <w:color w:val="000000"/>
              </w:rPr>
              <w:t>30.81</w:t>
            </w:r>
          </w:p>
        </w:tc>
      </w:tr>
      <w:tr w:rsidR="00E47DFB" w:rsidRPr="00934586" w14:paraId="75780D3F" w14:textId="77777777" w:rsidTr="009D1445">
        <w:trPr>
          <w:cantSplit/>
          <w:trHeight w:val="144"/>
        </w:trPr>
        <w:tc>
          <w:tcPr>
            <w:tcW w:w="2505" w:type="dxa"/>
            <w:tcBorders>
              <w:top w:val="single" w:sz="4" w:space="0" w:color="auto"/>
              <w:left w:val="single" w:sz="12" w:space="0" w:color="auto"/>
              <w:bottom w:val="single" w:sz="12" w:space="0" w:color="auto"/>
              <w:right w:val="single" w:sz="4" w:space="0" w:color="auto"/>
            </w:tcBorders>
            <w:vAlign w:val="center"/>
          </w:tcPr>
          <w:p w14:paraId="45130824" w14:textId="77777777" w:rsidR="00E47DFB" w:rsidRPr="00381A3E" w:rsidRDefault="00E47DFB" w:rsidP="00082DA7">
            <w:pPr>
              <w:spacing w:after="0" w:line="240" w:lineRule="auto"/>
              <w:ind w:left="-30"/>
              <w:rPr>
                <w:rFonts w:ascii="Arial Narrow" w:eastAsia="Times New Roman" w:hAnsi="Arial Narrow" w:cs="Arial"/>
                <w:color w:val="000000"/>
              </w:rPr>
            </w:pPr>
            <w:r>
              <w:rPr>
                <w:rFonts w:ascii="Arial Narrow" w:eastAsia="Times New Roman" w:hAnsi="Arial Narrow" w:cs="Arial"/>
                <w:b/>
                <w:bCs/>
                <w:color w:val="000000"/>
              </w:rPr>
              <w:t>Total Beds</w:t>
            </w:r>
          </w:p>
        </w:tc>
        <w:tc>
          <w:tcPr>
            <w:tcW w:w="2370" w:type="dxa"/>
            <w:tcBorders>
              <w:top w:val="single" w:sz="4" w:space="0" w:color="auto"/>
              <w:left w:val="single" w:sz="12" w:space="0" w:color="auto"/>
              <w:bottom w:val="single" w:sz="12" w:space="0" w:color="auto"/>
              <w:right w:val="single" w:sz="4" w:space="0" w:color="auto"/>
            </w:tcBorders>
            <w:vAlign w:val="center"/>
          </w:tcPr>
          <w:p w14:paraId="062C1DB4" w14:textId="77777777" w:rsidR="00E47DFB" w:rsidRPr="00511003" w:rsidRDefault="00E47DFB" w:rsidP="00082DA7">
            <w:pPr>
              <w:spacing w:after="0" w:line="240" w:lineRule="auto"/>
              <w:ind w:left="-105" w:right="-105"/>
              <w:jc w:val="center"/>
              <w:rPr>
                <w:rFonts w:ascii="Arial Narrow" w:eastAsia="Times New Roman" w:hAnsi="Arial Narrow" w:cs="Arial"/>
                <w:color w:val="000000"/>
              </w:rPr>
            </w:pPr>
            <w:r>
              <w:rPr>
                <w:rFonts w:ascii="Arial Narrow" w:eastAsia="Times New Roman" w:hAnsi="Arial Narrow" w:cs="Arial"/>
                <w:b/>
                <w:bCs/>
                <w:color w:val="000000"/>
              </w:rPr>
              <w:t>50.7</w:t>
            </w:r>
          </w:p>
        </w:tc>
        <w:tc>
          <w:tcPr>
            <w:tcW w:w="2370" w:type="dxa"/>
            <w:tcBorders>
              <w:top w:val="single" w:sz="4" w:space="0" w:color="auto"/>
              <w:left w:val="single" w:sz="4" w:space="0" w:color="auto"/>
              <w:bottom w:val="single" w:sz="12" w:space="0" w:color="auto"/>
              <w:right w:val="single" w:sz="4" w:space="0" w:color="auto"/>
            </w:tcBorders>
            <w:vAlign w:val="center"/>
          </w:tcPr>
          <w:p w14:paraId="657C46F3" w14:textId="77777777" w:rsidR="00E47DFB" w:rsidRPr="00511003" w:rsidRDefault="00E47DFB" w:rsidP="00082DA7">
            <w:pPr>
              <w:spacing w:after="0" w:line="240" w:lineRule="auto"/>
              <w:ind w:left="-104" w:right="-105"/>
              <w:jc w:val="center"/>
              <w:rPr>
                <w:rFonts w:ascii="Arial Narrow" w:eastAsia="Times New Roman" w:hAnsi="Arial Narrow" w:cs="Arial"/>
                <w:color w:val="000000"/>
              </w:rPr>
            </w:pPr>
            <w:r>
              <w:rPr>
                <w:rFonts w:ascii="Arial Narrow" w:eastAsia="Times New Roman" w:hAnsi="Arial Narrow" w:cs="Arial"/>
                <w:b/>
                <w:bCs/>
                <w:color w:val="000000"/>
              </w:rPr>
              <w:t>11.4</w:t>
            </w:r>
          </w:p>
        </w:tc>
        <w:tc>
          <w:tcPr>
            <w:tcW w:w="2370" w:type="dxa"/>
            <w:tcBorders>
              <w:top w:val="single" w:sz="4" w:space="0" w:color="auto"/>
              <w:left w:val="single" w:sz="4" w:space="0" w:color="auto"/>
              <w:bottom w:val="single" w:sz="12" w:space="0" w:color="auto"/>
              <w:right w:val="single" w:sz="12" w:space="0" w:color="auto"/>
            </w:tcBorders>
            <w:shd w:val="clear" w:color="auto" w:fill="auto"/>
            <w:vAlign w:val="center"/>
          </w:tcPr>
          <w:p w14:paraId="6BBAB9D5" w14:textId="77777777" w:rsidR="00E47DFB" w:rsidRPr="00511003" w:rsidRDefault="00E47DFB" w:rsidP="00082DA7">
            <w:pPr>
              <w:spacing w:after="0" w:line="240" w:lineRule="auto"/>
              <w:ind w:left="-104" w:right="-105"/>
              <w:jc w:val="center"/>
              <w:rPr>
                <w:rFonts w:ascii="Arial Narrow" w:eastAsia="Times New Roman" w:hAnsi="Arial Narrow" w:cs="Arial"/>
                <w:color w:val="000000"/>
              </w:rPr>
            </w:pPr>
            <w:r>
              <w:rPr>
                <w:rFonts w:ascii="Arial Narrow" w:eastAsia="Times New Roman" w:hAnsi="Arial Narrow" w:cs="Arial"/>
                <w:b/>
                <w:bCs/>
                <w:color w:val="000000"/>
              </w:rPr>
              <w:t>62.1</w:t>
            </w:r>
          </w:p>
        </w:tc>
      </w:tr>
    </w:tbl>
    <w:p w14:paraId="6E61DDC2" w14:textId="6F151421" w:rsidR="00E47DFB" w:rsidRDefault="00E47DFB" w:rsidP="00093977">
      <w:pPr>
        <w:spacing w:after="120"/>
        <w:jc w:val="both"/>
        <w:rPr>
          <w:rFonts w:ascii="Arial" w:hAnsi="Arial" w:cs="Arial"/>
          <w:bCs/>
          <w:highlight w:val="yellow"/>
        </w:rPr>
      </w:pPr>
    </w:p>
    <w:p w14:paraId="16B229C1" w14:textId="42BA6D68" w:rsidR="009C3EC6" w:rsidRDefault="00E92DE5" w:rsidP="00093977">
      <w:pPr>
        <w:jc w:val="both"/>
        <w:rPr>
          <w:rFonts w:ascii="Arial" w:hAnsi="Arial" w:cs="Arial"/>
          <w:bCs/>
        </w:rPr>
      </w:pPr>
      <w:proofErr w:type="gramStart"/>
      <w:r>
        <w:rPr>
          <w:rFonts w:ascii="Arial" w:hAnsi="Arial" w:cs="Arial"/>
          <w:bCs/>
        </w:rPr>
        <w:t>With regard to</w:t>
      </w:r>
      <w:proofErr w:type="gramEnd"/>
      <w:r>
        <w:rPr>
          <w:rFonts w:ascii="Arial" w:hAnsi="Arial" w:cs="Arial"/>
          <w:bCs/>
        </w:rPr>
        <w:t xml:space="preserve"> these data, the Applicant offers the following comments</w:t>
      </w:r>
      <w:r w:rsidR="009C3EC6">
        <w:rPr>
          <w:rFonts w:ascii="Arial" w:hAnsi="Arial" w:cs="Arial"/>
          <w:bCs/>
        </w:rPr>
        <w:t>:</w:t>
      </w:r>
    </w:p>
    <w:p w14:paraId="6D4FC852" w14:textId="00905E63" w:rsidR="003D4E19" w:rsidRPr="00586064" w:rsidRDefault="003D4E19" w:rsidP="003D4E19">
      <w:pPr>
        <w:pStyle w:val="ListParagraph"/>
        <w:numPr>
          <w:ilvl w:val="0"/>
          <w:numId w:val="46"/>
        </w:numPr>
        <w:spacing w:after="240"/>
        <w:contextualSpacing w:val="0"/>
        <w:jc w:val="both"/>
        <w:rPr>
          <w:rFonts w:ascii="Arial" w:hAnsi="Arial" w:cs="Arial"/>
          <w:bCs/>
        </w:rPr>
      </w:pPr>
      <w:r w:rsidRPr="004C45E1">
        <w:rPr>
          <w:rFonts w:ascii="Arial" w:hAnsi="Arial" w:cs="Arial"/>
          <w:bCs/>
          <w:u w:val="single"/>
        </w:rPr>
        <w:lastRenderedPageBreak/>
        <w:t>Unmet surgical demand</w:t>
      </w:r>
      <w:r w:rsidRPr="003E287C">
        <w:rPr>
          <w:rFonts w:ascii="Arial" w:hAnsi="Arial" w:cs="Arial"/>
          <w:bCs/>
        </w:rPr>
        <w:t xml:space="preserve"> </w:t>
      </w:r>
      <w:r w:rsidRPr="004C45E1">
        <w:rPr>
          <w:rFonts w:ascii="Arial" w:hAnsi="Arial" w:cs="Arial"/>
          <w:bCs/>
        </w:rPr>
        <w:t xml:space="preserve">– </w:t>
      </w:r>
      <w:r w:rsidR="0046723B" w:rsidRPr="004C45E1">
        <w:rPr>
          <w:rFonts w:ascii="Arial" w:hAnsi="Arial" w:cs="Arial"/>
          <w:bCs/>
        </w:rPr>
        <w:t>With regard to unmet surgical demand, the Applicant used market data (from the Advisory Board), internal leakage data from BMC’s Health Plan products, and internal access data to triangulate areas where BMC’s patients needed further access to treatment (e.g., neurosurgery). The Applicant then sought further detail in these areas from BMC’s existing clinical leaders to identify a short list of priority surgical hires (e.g., neuro/spine within neurosurgery). Based on BMC’s existing surgical data within the subspecialties that BMC is hiring in, the Applicant was able to estimate the outpatient visit volume, outpatient/inpatient surgical volume, and ancillary volume for all the new hires. This information could then be used to calculate bed days across the medical/surgical spectrum. Using data regarding the acuity of BMC’s anticipated patients based on the existing volume the Hospital does in these specialties, the Applicant was also able to split out the number of bed days by general medical/surgical, IMCU, and ICU (e.g., each surgical case results in X medical/surgical bed days, Y IMCU bed days, and Z ICU bed days). The Applicant applied constraints to this data (e.g., OR availability and demand for the service) to develop a final list of hires that the new beds and ORs could fit</w:t>
      </w:r>
      <w:r w:rsidRPr="004C45E1">
        <w:rPr>
          <w:rFonts w:ascii="Arial" w:hAnsi="Arial" w:cs="Arial"/>
          <w:bCs/>
        </w:rPr>
        <w:t xml:space="preserve">. </w:t>
      </w:r>
    </w:p>
    <w:p w14:paraId="28C4F67D" w14:textId="52CEC6B3" w:rsidR="003D4E19" w:rsidRPr="00203410" w:rsidRDefault="004B74F6" w:rsidP="003D4E19">
      <w:pPr>
        <w:pStyle w:val="ListParagraph"/>
        <w:spacing w:after="240"/>
        <w:contextualSpacing w:val="0"/>
        <w:jc w:val="both"/>
        <w:rPr>
          <w:rFonts w:ascii="Arial" w:hAnsi="Arial" w:cs="Arial"/>
          <w:bCs/>
        </w:rPr>
      </w:pPr>
      <w:r w:rsidRPr="004C45E1">
        <w:rPr>
          <w:rFonts w:ascii="Arial" w:hAnsi="Arial" w:cs="Arial"/>
          <w:bCs/>
        </w:rPr>
        <w:t xml:space="preserve">For surgical cases, the Applicant </w:t>
      </w:r>
      <w:r>
        <w:rPr>
          <w:rFonts w:ascii="Arial" w:hAnsi="Arial" w:cs="Arial"/>
          <w:bCs/>
        </w:rPr>
        <w:t>reviewed</w:t>
      </w:r>
      <w:r w:rsidRPr="004C45E1">
        <w:rPr>
          <w:rFonts w:ascii="Arial" w:hAnsi="Arial" w:cs="Arial"/>
          <w:bCs/>
        </w:rPr>
        <w:t xml:space="preserve"> the way bed days </w:t>
      </w:r>
      <w:r>
        <w:rPr>
          <w:rFonts w:ascii="Arial" w:hAnsi="Arial" w:cs="Arial"/>
          <w:bCs/>
        </w:rPr>
        <w:t xml:space="preserve">were </w:t>
      </w:r>
      <w:r w:rsidRPr="004C45E1">
        <w:rPr>
          <w:rFonts w:ascii="Arial" w:hAnsi="Arial" w:cs="Arial"/>
          <w:bCs/>
        </w:rPr>
        <w:t>broke</w:t>
      </w:r>
      <w:r>
        <w:rPr>
          <w:rFonts w:ascii="Arial" w:hAnsi="Arial" w:cs="Arial"/>
          <w:bCs/>
        </w:rPr>
        <w:t>n</w:t>
      </w:r>
      <w:r w:rsidRPr="004C45E1">
        <w:rPr>
          <w:rFonts w:ascii="Arial" w:hAnsi="Arial" w:cs="Arial"/>
          <w:bCs/>
        </w:rPr>
        <w:t xml:space="preserve"> out by specialty and </w:t>
      </w:r>
      <w:r>
        <w:rPr>
          <w:rFonts w:ascii="Arial" w:hAnsi="Arial" w:cs="Arial"/>
          <w:bCs/>
        </w:rPr>
        <w:t>ran these data</w:t>
      </w:r>
      <w:r w:rsidRPr="004C45E1">
        <w:rPr>
          <w:rFonts w:ascii="Arial" w:hAnsi="Arial" w:cs="Arial"/>
          <w:bCs/>
        </w:rPr>
        <w:t xml:space="preserve"> against the Hospital’s proposed list of hire</w:t>
      </w:r>
      <w:r>
        <w:rPr>
          <w:rFonts w:ascii="Arial" w:hAnsi="Arial" w:cs="Arial"/>
          <w:bCs/>
        </w:rPr>
        <w:t>s</w:t>
      </w:r>
      <w:r w:rsidRPr="004C45E1">
        <w:rPr>
          <w:rFonts w:ascii="Arial" w:hAnsi="Arial" w:cs="Arial"/>
          <w:bCs/>
        </w:rPr>
        <w:t xml:space="preserve">. For example, as described above, the Applicant calculated the number of neurosurgery cases the Hospital could add if it were to address unmet patient demand and hire more neurosurgeons. The Applicant then looked at the proportion of existing BMC neurosurgery bed days that fell into general medical/surgical, IMCU, and ICU categories. The Applicant did this on a specialty level to ensure that it was being </w:t>
      </w:r>
      <w:r w:rsidRPr="008551CB">
        <w:rPr>
          <w:rFonts w:ascii="Arial" w:hAnsi="Arial" w:cs="Arial"/>
          <w:bCs/>
        </w:rPr>
        <w:t xml:space="preserve">as granular as possible in estimating the breakdown of beds. Applying this proportion to the expected case volume, and therefore the expected beds required, </w:t>
      </w:r>
      <w:r w:rsidRPr="004C45E1">
        <w:rPr>
          <w:rFonts w:ascii="Arial" w:hAnsi="Arial" w:cs="Arial"/>
          <w:bCs/>
        </w:rPr>
        <w:t>the Applicant could</w:t>
      </w:r>
      <w:r w:rsidRPr="008551CB">
        <w:rPr>
          <w:rFonts w:ascii="Arial" w:hAnsi="Arial" w:cs="Arial"/>
          <w:bCs/>
        </w:rPr>
        <w:t xml:space="preserve"> see how many of each type of bed </w:t>
      </w:r>
      <w:r w:rsidRPr="004C45E1">
        <w:rPr>
          <w:rFonts w:ascii="Arial" w:hAnsi="Arial" w:cs="Arial"/>
          <w:bCs/>
        </w:rPr>
        <w:t>the Hospital</w:t>
      </w:r>
      <w:r w:rsidRPr="008551CB">
        <w:rPr>
          <w:rFonts w:ascii="Arial" w:hAnsi="Arial" w:cs="Arial"/>
          <w:bCs/>
        </w:rPr>
        <w:t xml:space="preserve"> would need. This exercise was performed for each specialty in which </w:t>
      </w:r>
      <w:r w:rsidRPr="004C45E1">
        <w:rPr>
          <w:rFonts w:ascii="Arial" w:hAnsi="Arial" w:cs="Arial"/>
          <w:bCs/>
        </w:rPr>
        <w:t xml:space="preserve">the </w:t>
      </w:r>
      <w:r w:rsidRPr="00203410">
        <w:rPr>
          <w:rFonts w:ascii="Arial" w:hAnsi="Arial" w:cs="Arial"/>
          <w:bCs/>
        </w:rPr>
        <w:t>Hospital was hiring</w:t>
      </w:r>
      <w:r w:rsidR="003D4E19" w:rsidRPr="00203410">
        <w:rPr>
          <w:rFonts w:ascii="Arial" w:hAnsi="Arial" w:cs="Arial"/>
          <w:bCs/>
        </w:rPr>
        <w:t>.</w:t>
      </w:r>
    </w:p>
    <w:p w14:paraId="2730E743" w14:textId="036CEBC4" w:rsidR="003D4E19" w:rsidRPr="00203410" w:rsidRDefault="00D70328" w:rsidP="003D4E19">
      <w:pPr>
        <w:pStyle w:val="ListParagraph"/>
        <w:spacing w:after="60"/>
        <w:contextualSpacing w:val="0"/>
        <w:jc w:val="both"/>
        <w:rPr>
          <w:rFonts w:ascii="Arial" w:hAnsi="Arial" w:cs="Arial"/>
          <w:bCs/>
        </w:rPr>
      </w:pPr>
      <w:r w:rsidRPr="00203410">
        <w:rPr>
          <w:rFonts w:ascii="Arial" w:hAnsi="Arial" w:cs="Arial"/>
          <w:bCs/>
        </w:rPr>
        <w:t>Based on these calculations, the Applicant expects</w:t>
      </w:r>
      <w:r w:rsidR="003D4E19" w:rsidRPr="00203410">
        <w:rPr>
          <w:rFonts w:ascii="Arial" w:hAnsi="Arial" w:cs="Arial"/>
          <w:bCs/>
        </w:rPr>
        <w:t>:</w:t>
      </w:r>
    </w:p>
    <w:p w14:paraId="1A24C49E" w14:textId="277FC8BD" w:rsidR="003D4E19" w:rsidRPr="00203410" w:rsidRDefault="00141583" w:rsidP="003D4E19">
      <w:pPr>
        <w:pStyle w:val="ListParagraph"/>
        <w:numPr>
          <w:ilvl w:val="0"/>
          <w:numId w:val="47"/>
        </w:numPr>
        <w:spacing w:after="60"/>
        <w:contextualSpacing w:val="0"/>
        <w:jc w:val="both"/>
        <w:rPr>
          <w:rFonts w:ascii="Arial" w:hAnsi="Arial" w:cs="Arial"/>
          <w:bCs/>
        </w:rPr>
      </w:pPr>
      <w:r w:rsidRPr="00203410">
        <w:rPr>
          <w:rFonts w:ascii="Arial" w:hAnsi="Arial" w:cs="Arial"/>
          <w:bCs/>
        </w:rPr>
        <w:t>1,457 additional (annual) surgical cases (across the medical/surgical, IMCU, and ICU spectrum post-surgery</w:t>
      </w:r>
      <w:proofErr w:type="gramStart"/>
      <w:r w:rsidR="003D4E19" w:rsidRPr="00203410">
        <w:rPr>
          <w:rFonts w:ascii="Arial" w:hAnsi="Arial" w:cs="Arial"/>
          <w:bCs/>
        </w:rPr>
        <w:t>);</w:t>
      </w:r>
      <w:proofErr w:type="gramEnd"/>
      <w:r w:rsidR="003D4E19" w:rsidRPr="00203410">
        <w:rPr>
          <w:rFonts w:ascii="Arial" w:hAnsi="Arial" w:cs="Arial"/>
          <w:bCs/>
        </w:rPr>
        <w:t xml:space="preserve"> </w:t>
      </w:r>
    </w:p>
    <w:p w14:paraId="0F979B9F" w14:textId="77124A02" w:rsidR="003D4E19" w:rsidRPr="00203410" w:rsidRDefault="00BD6DFD" w:rsidP="003D4E19">
      <w:pPr>
        <w:pStyle w:val="ListParagraph"/>
        <w:numPr>
          <w:ilvl w:val="0"/>
          <w:numId w:val="47"/>
        </w:numPr>
        <w:spacing w:after="60"/>
        <w:contextualSpacing w:val="0"/>
        <w:jc w:val="both"/>
        <w:rPr>
          <w:rFonts w:ascii="Arial" w:hAnsi="Arial" w:cs="Arial"/>
          <w:bCs/>
        </w:rPr>
      </w:pPr>
      <w:r w:rsidRPr="00203410">
        <w:rPr>
          <w:rFonts w:ascii="Arial" w:hAnsi="Arial" w:cs="Arial"/>
          <w:bCs/>
        </w:rPr>
        <w:t>A total of 11,247 incremental patient days for these patients, including 8,521 patient days for general medical/surgical patients and 2,756 patient days for ICU patients</w:t>
      </w:r>
      <w:r w:rsidR="003D4E19" w:rsidRPr="00203410">
        <w:rPr>
          <w:rFonts w:ascii="Arial" w:hAnsi="Arial" w:cs="Arial"/>
          <w:bCs/>
        </w:rPr>
        <w:t>; and</w:t>
      </w:r>
    </w:p>
    <w:p w14:paraId="4639DB68" w14:textId="11CF6BB2" w:rsidR="003D4E19" w:rsidRPr="00203410" w:rsidRDefault="00F86AD1" w:rsidP="003D4E19">
      <w:pPr>
        <w:pStyle w:val="ListParagraph"/>
        <w:numPr>
          <w:ilvl w:val="0"/>
          <w:numId w:val="47"/>
        </w:numPr>
        <w:spacing w:after="240"/>
        <w:contextualSpacing w:val="0"/>
        <w:jc w:val="both"/>
        <w:rPr>
          <w:rFonts w:ascii="Arial" w:hAnsi="Arial" w:cs="Arial"/>
          <w:bCs/>
        </w:rPr>
      </w:pPr>
      <w:r w:rsidRPr="00203410">
        <w:rPr>
          <w:rFonts w:ascii="Arial" w:hAnsi="Arial" w:cs="Arial"/>
          <w:bCs/>
        </w:rPr>
        <w:t>A need for ~23.4 additional general medical/surgical and IMCU beds and ~7.5 additional ICU beds to accommodate these patients</w:t>
      </w:r>
      <w:r w:rsidR="003D4E19" w:rsidRPr="00203410">
        <w:rPr>
          <w:rFonts w:ascii="Arial" w:hAnsi="Arial" w:cs="Arial"/>
          <w:bCs/>
        </w:rPr>
        <w:t>.</w:t>
      </w:r>
    </w:p>
    <w:p w14:paraId="1E047CA7" w14:textId="3B4D4679" w:rsidR="002331AB" w:rsidRDefault="002331AB" w:rsidP="002331AB">
      <w:pPr>
        <w:pStyle w:val="ListParagraph"/>
        <w:numPr>
          <w:ilvl w:val="0"/>
          <w:numId w:val="46"/>
        </w:numPr>
        <w:spacing w:after="60"/>
        <w:contextualSpacing w:val="0"/>
        <w:jc w:val="both"/>
        <w:rPr>
          <w:rFonts w:ascii="Arial" w:hAnsi="Arial" w:cs="Arial"/>
          <w:bCs/>
        </w:rPr>
      </w:pPr>
      <w:r>
        <w:rPr>
          <w:rFonts w:ascii="Arial" w:hAnsi="Arial" w:cs="Arial"/>
          <w:bCs/>
          <w:u w:val="single"/>
        </w:rPr>
        <w:t>U</w:t>
      </w:r>
      <w:r w:rsidRPr="003E287C">
        <w:rPr>
          <w:rFonts w:ascii="Arial" w:hAnsi="Arial" w:cs="Arial"/>
          <w:bCs/>
          <w:u w:val="single"/>
        </w:rPr>
        <w:t>nmet ED demand</w:t>
      </w:r>
      <w:r w:rsidRPr="003E287C">
        <w:rPr>
          <w:rFonts w:ascii="Arial" w:hAnsi="Arial" w:cs="Arial"/>
          <w:bCs/>
        </w:rPr>
        <w:t xml:space="preserve"> </w:t>
      </w:r>
      <w:r w:rsidRPr="004C45E1">
        <w:rPr>
          <w:rFonts w:ascii="Arial" w:hAnsi="Arial" w:cs="Arial"/>
          <w:bCs/>
        </w:rPr>
        <w:t>– T</w:t>
      </w:r>
      <w:r w:rsidRPr="00A17AA8">
        <w:rPr>
          <w:rFonts w:ascii="Arial" w:hAnsi="Arial" w:cs="Arial"/>
          <w:bCs/>
        </w:rPr>
        <w:t xml:space="preserve">o arrive at this figure, </w:t>
      </w:r>
      <w:r>
        <w:rPr>
          <w:rFonts w:ascii="Arial" w:hAnsi="Arial" w:cs="Arial"/>
          <w:bCs/>
        </w:rPr>
        <w:t>the Applicant reviewed</w:t>
      </w:r>
      <w:r w:rsidRPr="00A17AA8">
        <w:rPr>
          <w:rFonts w:ascii="Arial" w:hAnsi="Arial" w:cs="Arial"/>
          <w:bCs/>
        </w:rPr>
        <w:t xml:space="preserve"> </w:t>
      </w:r>
      <w:r>
        <w:rPr>
          <w:rFonts w:ascii="Arial" w:hAnsi="Arial" w:cs="Arial"/>
          <w:bCs/>
        </w:rPr>
        <w:t>BMC’s</w:t>
      </w:r>
      <w:r w:rsidRPr="00A17AA8">
        <w:rPr>
          <w:rFonts w:ascii="Arial" w:hAnsi="Arial" w:cs="Arial"/>
          <w:bCs/>
        </w:rPr>
        <w:t xml:space="preserve"> ED volume and the proportion of patients who visit the ED and leave without being seen</w:t>
      </w:r>
      <w:r>
        <w:rPr>
          <w:rFonts w:ascii="Arial" w:hAnsi="Arial" w:cs="Arial"/>
          <w:bCs/>
        </w:rPr>
        <w:t xml:space="preserve"> (“LWOBS”)</w:t>
      </w:r>
      <w:r w:rsidRPr="00A17AA8">
        <w:rPr>
          <w:rFonts w:ascii="Arial" w:hAnsi="Arial" w:cs="Arial"/>
          <w:bCs/>
        </w:rPr>
        <w:t xml:space="preserve">. </w:t>
      </w:r>
      <w:r>
        <w:rPr>
          <w:rFonts w:ascii="Arial" w:hAnsi="Arial" w:cs="Arial"/>
          <w:bCs/>
        </w:rPr>
        <w:t>The Hospital</w:t>
      </w:r>
      <w:r w:rsidRPr="00A17AA8">
        <w:rPr>
          <w:rFonts w:ascii="Arial" w:hAnsi="Arial" w:cs="Arial"/>
          <w:bCs/>
        </w:rPr>
        <w:t xml:space="preserve"> do</w:t>
      </w:r>
      <w:r>
        <w:rPr>
          <w:rFonts w:ascii="Arial" w:hAnsi="Arial" w:cs="Arial"/>
          <w:bCs/>
        </w:rPr>
        <w:t>es</w:t>
      </w:r>
      <w:r w:rsidRPr="00A17AA8">
        <w:rPr>
          <w:rFonts w:ascii="Arial" w:hAnsi="Arial" w:cs="Arial"/>
          <w:bCs/>
        </w:rPr>
        <w:t xml:space="preserve"> not have spare bed capacity </w:t>
      </w:r>
      <w:r>
        <w:rPr>
          <w:rFonts w:ascii="Arial" w:hAnsi="Arial" w:cs="Arial"/>
          <w:bCs/>
        </w:rPr>
        <w:t xml:space="preserve">and, therefore, </w:t>
      </w:r>
      <w:r w:rsidRPr="00A17AA8">
        <w:rPr>
          <w:rFonts w:ascii="Arial" w:hAnsi="Arial" w:cs="Arial"/>
          <w:bCs/>
        </w:rPr>
        <w:t xml:space="preserve">cannot see additional patients without adding beds. </w:t>
      </w:r>
      <w:r>
        <w:rPr>
          <w:rFonts w:ascii="Arial" w:hAnsi="Arial" w:cs="Arial"/>
          <w:bCs/>
        </w:rPr>
        <w:t>The Applicant</w:t>
      </w:r>
      <w:r w:rsidRPr="00A17AA8">
        <w:rPr>
          <w:rFonts w:ascii="Arial" w:hAnsi="Arial" w:cs="Arial"/>
          <w:bCs/>
        </w:rPr>
        <w:t xml:space="preserve"> calculated how many more patients </w:t>
      </w:r>
      <w:r>
        <w:rPr>
          <w:rFonts w:ascii="Arial" w:hAnsi="Arial" w:cs="Arial"/>
          <w:bCs/>
        </w:rPr>
        <w:t>the Hospital</w:t>
      </w:r>
      <w:r w:rsidRPr="00A17AA8">
        <w:rPr>
          <w:rFonts w:ascii="Arial" w:hAnsi="Arial" w:cs="Arial"/>
          <w:bCs/>
        </w:rPr>
        <w:t xml:space="preserve"> would need to see if </w:t>
      </w:r>
      <w:r w:rsidR="002F653B">
        <w:rPr>
          <w:rFonts w:ascii="Arial" w:hAnsi="Arial" w:cs="Arial"/>
          <w:bCs/>
        </w:rPr>
        <w:t>it</w:t>
      </w:r>
      <w:r w:rsidRPr="00A17AA8">
        <w:rPr>
          <w:rFonts w:ascii="Arial" w:hAnsi="Arial" w:cs="Arial"/>
          <w:bCs/>
        </w:rPr>
        <w:t xml:space="preserve"> were to bring </w:t>
      </w:r>
      <w:r w:rsidR="002F653B">
        <w:rPr>
          <w:rFonts w:ascii="Arial" w:hAnsi="Arial" w:cs="Arial"/>
          <w:bCs/>
        </w:rPr>
        <w:t xml:space="preserve">its </w:t>
      </w:r>
      <w:r w:rsidRPr="00A17AA8">
        <w:rPr>
          <w:rFonts w:ascii="Arial" w:hAnsi="Arial" w:cs="Arial"/>
          <w:bCs/>
        </w:rPr>
        <w:t xml:space="preserve">LWOBS rate down to national averages from current rates. </w:t>
      </w:r>
      <w:r>
        <w:rPr>
          <w:rFonts w:ascii="Arial" w:hAnsi="Arial" w:cs="Arial"/>
          <w:bCs/>
        </w:rPr>
        <w:t>The Applicant</w:t>
      </w:r>
      <w:r w:rsidRPr="00A17AA8">
        <w:rPr>
          <w:rFonts w:ascii="Arial" w:hAnsi="Arial" w:cs="Arial"/>
          <w:bCs/>
        </w:rPr>
        <w:t xml:space="preserve"> then used internal research to extrapolate additional admissions from these additionally seen patients (</w:t>
      </w:r>
      <w:r>
        <w:rPr>
          <w:rFonts w:ascii="Arial" w:hAnsi="Arial" w:cs="Arial"/>
          <w:bCs/>
        </w:rPr>
        <w:t>the Applicant</w:t>
      </w:r>
      <w:r w:rsidRPr="00A17AA8">
        <w:rPr>
          <w:rFonts w:ascii="Arial" w:hAnsi="Arial" w:cs="Arial"/>
          <w:bCs/>
        </w:rPr>
        <w:t xml:space="preserve"> ha</w:t>
      </w:r>
      <w:r>
        <w:rPr>
          <w:rFonts w:ascii="Arial" w:hAnsi="Arial" w:cs="Arial"/>
          <w:bCs/>
        </w:rPr>
        <w:t>s</w:t>
      </w:r>
      <w:r w:rsidRPr="00A17AA8">
        <w:rPr>
          <w:rFonts w:ascii="Arial" w:hAnsi="Arial" w:cs="Arial"/>
          <w:bCs/>
        </w:rPr>
        <w:t xml:space="preserve"> found that acuity does not differ much between patients that leave the ED v</w:t>
      </w:r>
      <w:r>
        <w:rPr>
          <w:rFonts w:ascii="Arial" w:hAnsi="Arial" w:cs="Arial"/>
          <w:bCs/>
        </w:rPr>
        <w:t>er</w:t>
      </w:r>
      <w:r w:rsidRPr="00A17AA8">
        <w:rPr>
          <w:rFonts w:ascii="Arial" w:hAnsi="Arial" w:cs="Arial"/>
          <w:bCs/>
        </w:rPr>
        <w:t>s</w:t>
      </w:r>
      <w:r>
        <w:rPr>
          <w:rFonts w:ascii="Arial" w:hAnsi="Arial" w:cs="Arial"/>
          <w:bCs/>
        </w:rPr>
        <w:t>us</w:t>
      </w:r>
      <w:r w:rsidRPr="00A17AA8">
        <w:rPr>
          <w:rFonts w:ascii="Arial" w:hAnsi="Arial" w:cs="Arial"/>
          <w:bCs/>
        </w:rPr>
        <w:t xml:space="preserve"> those who stay). Performing these calculations, </w:t>
      </w:r>
      <w:r>
        <w:rPr>
          <w:rFonts w:ascii="Arial" w:hAnsi="Arial" w:cs="Arial"/>
          <w:bCs/>
        </w:rPr>
        <w:t>the Applicant</w:t>
      </w:r>
      <w:r w:rsidRPr="00A17AA8">
        <w:rPr>
          <w:rFonts w:ascii="Arial" w:hAnsi="Arial" w:cs="Arial"/>
          <w:bCs/>
        </w:rPr>
        <w:t xml:space="preserve"> find</w:t>
      </w:r>
      <w:r>
        <w:rPr>
          <w:rFonts w:ascii="Arial" w:hAnsi="Arial" w:cs="Arial"/>
          <w:bCs/>
        </w:rPr>
        <w:t>s</w:t>
      </w:r>
      <w:r w:rsidRPr="00A17AA8">
        <w:rPr>
          <w:rFonts w:ascii="Arial" w:hAnsi="Arial" w:cs="Arial"/>
          <w:bCs/>
        </w:rPr>
        <w:t xml:space="preserve"> there is latent demand for</w:t>
      </w:r>
      <w:r>
        <w:rPr>
          <w:rFonts w:ascii="Arial" w:hAnsi="Arial" w:cs="Arial"/>
          <w:bCs/>
        </w:rPr>
        <w:t>:</w:t>
      </w:r>
    </w:p>
    <w:p w14:paraId="2D2EC1B9" w14:textId="77777777" w:rsidR="002331AB" w:rsidRPr="009E4DAA" w:rsidRDefault="002331AB" w:rsidP="002331AB">
      <w:pPr>
        <w:pStyle w:val="ListParagraph"/>
        <w:numPr>
          <w:ilvl w:val="0"/>
          <w:numId w:val="48"/>
        </w:numPr>
        <w:spacing w:after="60"/>
        <w:contextualSpacing w:val="0"/>
        <w:jc w:val="both"/>
        <w:rPr>
          <w:rFonts w:ascii="Arial" w:hAnsi="Arial" w:cs="Arial"/>
          <w:bCs/>
        </w:rPr>
      </w:pPr>
      <w:r w:rsidRPr="009E4DAA">
        <w:rPr>
          <w:rFonts w:ascii="Arial" w:hAnsi="Arial" w:cs="Arial"/>
          <w:bCs/>
        </w:rPr>
        <w:t xml:space="preserve">7,783 additional ED visits; and </w:t>
      </w:r>
    </w:p>
    <w:p w14:paraId="75CAB2BE" w14:textId="77777777" w:rsidR="002331AB" w:rsidRPr="009E4DAA" w:rsidRDefault="002331AB" w:rsidP="002331AB">
      <w:pPr>
        <w:pStyle w:val="ListParagraph"/>
        <w:numPr>
          <w:ilvl w:val="0"/>
          <w:numId w:val="48"/>
        </w:numPr>
        <w:spacing w:after="60"/>
        <w:contextualSpacing w:val="0"/>
        <w:jc w:val="both"/>
        <w:rPr>
          <w:rFonts w:ascii="Arial" w:hAnsi="Arial" w:cs="Arial"/>
          <w:bCs/>
        </w:rPr>
      </w:pPr>
      <w:r w:rsidRPr="009E4DAA">
        <w:rPr>
          <w:rFonts w:ascii="Arial" w:hAnsi="Arial" w:cs="Arial"/>
          <w:bCs/>
        </w:rPr>
        <w:t>1,557 additional admissions across the acuity spectrum assuming similar admit rate. These admissions then translate to:</w:t>
      </w:r>
    </w:p>
    <w:p w14:paraId="7C38095F" w14:textId="77777777" w:rsidR="002331AB" w:rsidRPr="009E4DAA" w:rsidRDefault="002331AB" w:rsidP="002331AB">
      <w:pPr>
        <w:pStyle w:val="ListParagraph"/>
        <w:numPr>
          <w:ilvl w:val="1"/>
          <w:numId w:val="48"/>
        </w:numPr>
        <w:spacing w:after="60"/>
        <w:contextualSpacing w:val="0"/>
        <w:jc w:val="both"/>
        <w:rPr>
          <w:rFonts w:ascii="Arial" w:hAnsi="Arial" w:cs="Arial"/>
          <w:bCs/>
        </w:rPr>
      </w:pPr>
      <w:r w:rsidRPr="009E4DAA">
        <w:rPr>
          <w:rFonts w:ascii="Arial" w:hAnsi="Arial" w:cs="Arial"/>
          <w:bCs/>
        </w:rPr>
        <w:lastRenderedPageBreak/>
        <w:t xml:space="preserve">11,409 bed days, of which 9,973 are general or IMCU medical/surgical and 1,436 are </w:t>
      </w:r>
      <w:proofErr w:type="gramStart"/>
      <w:r w:rsidRPr="009E4DAA">
        <w:rPr>
          <w:rFonts w:ascii="Arial" w:hAnsi="Arial" w:cs="Arial"/>
          <w:bCs/>
        </w:rPr>
        <w:t>ICU;</w:t>
      </w:r>
      <w:proofErr w:type="gramEnd"/>
      <w:r w:rsidRPr="009E4DAA">
        <w:rPr>
          <w:rFonts w:ascii="Arial" w:hAnsi="Arial" w:cs="Arial"/>
          <w:bCs/>
        </w:rPr>
        <w:t xml:space="preserve"> and </w:t>
      </w:r>
    </w:p>
    <w:p w14:paraId="0CCC8683" w14:textId="77777777" w:rsidR="002331AB" w:rsidRDefault="002331AB" w:rsidP="002331AB">
      <w:pPr>
        <w:pStyle w:val="ListParagraph"/>
        <w:numPr>
          <w:ilvl w:val="1"/>
          <w:numId w:val="48"/>
        </w:numPr>
        <w:spacing w:after="240"/>
        <w:contextualSpacing w:val="0"/>
        <w:jc w:val="both"/>
        <w:rPr>
          <w:rFonts w:ascii="Arial" w:hAnsi="Arial" w:cs="Arial"/>
          <w:bCs/>
        </w:rPr>
      </w:pPr>
      <w:r w:rsidRPr="009E4DAA">
        <w:rPr>
          <w:rFonts w:ascii="Arial" w:hAnsi="Arial" w:cs="Arial"/>
          <w:bCs/>
        </w:rPr>
        <w:t>~27.3 additional general and IMCU medical/surgical beds and ~3.9 additional ICU beds.</w:t>
      </w:r>
    </w:p>
    <w:p w14:paraId="4EE44363" w14:textId="50023A40" w:rsidR="009C3EC6" w:rsidRPr="00093977" w:rsidRDefault="002331AB" w:rsidP="00093977">
      <w:pPr>
        <w:spacing w:after="240"/>
        <w:jc w:val="both"/>
        <w:rPr>
          <w:rFonts w:ascii="Arial" w:hAnsi="Arial" w:cs="Arial"/>
        </w:rPr>
      </w:pPr>
      <w:r w:rsidRPr="00C07F80">
        <w:rPr>
          <w:rStyle w:val="markedcontent"/>
          <w:rFonts w:ascii="Arial" w:hAnsi="Arial" w:cs="Arial"/>
        </w:rPr>
        <w:t xml:space="preserve">In addition, the Applicant notes that the number </w:t>
      </w:r>
      <w:r>
        <w:rPr>
          <w:rStyle w:val="markedcontent"/>
          <w:rFonts w:ascii="Arial" w:hAnsi="Arial" w:cs="Arial"/>
        </w:rPr>
        <w:t>and types of</w:t>
      </w:r>
      <w:r w:rsidRPr="00C07F80">
        <w:rPr>
          <w:rStyle w:val="markedcontent"/>
          <w:rFonts w:ascii="Arial" w:hAnsi="Arial" w:cs="Arial"/>
        </w:rPr>
        <w:t xml:space="preserve"> beds w</w:t>
      </w:r>
      <w:r>
        <w:rPr>
          <w:rStyle w:val="markedcontent"/>
          <w:rFonts w:ascii="Arial" w:hAnsi="Arial" w:cs="Arial"/>
        </w:rPr>
        <w:t>ere</w:t>
      </w:r>
      <w:r w:rsidRPr="00C07F80">
        <w:rPr>
          <w:rStyle w:val="markedcontent"/>
          <w:rFonts w:ascii="Arial" w:hAnsi="Arial" w:cs="Arial"/>
        </w:rPr>
        <w:t xml:space="preserve"> influenced</w:t>
      </w:r>
      <w:r w:rsidRPr="00C07F80">
        <w:br/>
      </w:r>
      <w:r w:rsidRPr="00C07F80">
        <w:rPr>
          <w:rStyle w:val="markedcontent"/>
          <w:rFonts w:ascii="Arial" w:hAnsi="Arial" w:cs="Arial"/>
        </w:rPr>
        <w:t xml:space="preserve">in part by the physical layout of the existing campus. </w:t>
      </w:r>
      <w:r>
        <w:rPr>
          <w:rStyle w:val="markedcontent"/>
          <w:rFonts w:ascii="Arial" w:hAnsi="Arial" w:cs="Arial"/>
        </w:rPr>
        <w:t xml:space="preserve">As discussed in detail throughout the DoN Narrative, BMC is committed to a measured approach to campus design that prioritizes use of BMC’s existing square footage with strategic renovations and additions rather than building new. Consistent with this approach, the Hospital reviewed its current campus layout and determined that it could accommodate the needed inpatient beds through construction and renovation of the 5th and 6th floors of the existing Yawkey Building. Specifically, through this process, the Hospital determined that it could conservatively increase inpatient bed capacity through the addition of 22 medical/surgical beds on </w:t>
      </w:r>
      <w:r>
        <w:rPr>
          <w:rFonts w:ascii="Arial" w:hAnsi="Arial" w:cs="Arial"/>
        </w:rPr>
        <w:t xml:space="preserve">the </w:t>
      </w:r>
      <w:r w:rsidRPr="00305E0C">
        <w:rPr>
          <w:rFonts w:ascii="Arial" w:hAnsi="Arial" w:cs="Arial"/>
        </w:rPr>
        <w:t>5th floor</w:t>
      </w:r>
      <w:r>
        <w:rPr>
          <w:rFonts w:ascii="Arial" w:hAnsi="Arial" w:cs="Arial"/>
        </w:rPr>
        <w:t xml:space="preserve"> and 38 medical/surgical beds </w:t>
      </w:r>
      <w:r>
        <w:rPr>
          <w:rStyle w:val="markedcontent"/>
          <w:rFonts w:ascii="Arial" w:hAnsi="Arial" w:cs="Arial"/>
        </w:rPr>
        <w:t>and 10 ICU beds on the 6th floor</w:t>
      </w:r>
      <w:r w:rsidRPr="00773642">
        <w:rPr>
          <w:rStyle w:val="markedcontent"/>
          <w:rFonts w:ascii="Arial" w:hAnsi="Arial" w:cs="Arial"/>
        </w:rPr>
        <w:t xml:space="preserve">, and that such configuration would allow for </w:t>
      </w:r>
      <w:r w:rsidRPr="00093977">
        <w:rPr>
          <w:rStyle w:val="markedcontent"/>
          <w:rFonts w:ascii="Arial" w:hAnsi="Arial" w:cs="Arial"/>
        </w:rPr>
        <w:t xml:space="preserve">maximization of the space on these floors as well as accommodation of </w:t>
      </w:r>
      <w:r w:rsidR="00FE7E42">
        <w:rPr>
          <w:rStyle w:val="markedcontent"/>
          <w:rFonts w:ascii="Arial" w:hAnsi="Arial" w:cs="Arial"/>
        </w:rPr>
        <w:t>p</w:t>
      </w:r>
      <w:r w:rsidRPr="00093977">
        <w:rPr>
          <w:rStyle w:val="markedcontent"/>
          <w:rFonts w:ascii="Arial" w:hAnsi="Arial" w:cs="Arial"/>
        </w:rPr>
        <w:t xml:space="preserve">atient </w:t>
      </w:r>
      <w:r w:rsidR="00FE7E42">
        <w:rPr>
          <w:rStyle w:val="markedcontent"/>
          <w:rFonts w:ascii="Arial" w:hAnsi="Arial" w:cs="Arial"/>
        </w:rPr>
        <w:t>p</w:t>
      </w:r>
      <w:r w:rsidRPr="00093977">
        <w:rPr>
          <w:rStyle w:val="markedcontent"/>
          <w:rFonts w:ascii="Arial" w:hAnsi="Arial" w:cs="Arial"/>
        </w:rPr>
        <w:t xml:space="preserve">anel need. </w:t>
      </w:r>
    </w:p>
    <w:p w14:paraId="58373DBC" w14:textId="7CC07962" w:rsidR="008F4E1B" w:rsidRPr="00093977" w:rsidRDefault="008F4E1B" w:rsidP="00991765">
      <w:pPr>
        <w:pStyle w:val="ListParagraph"/>
        <w:numPr>
          <w:ilvl w:val="1"/>
          <w:numId w:val="29"/>
        </w:numPr>
        <w:ind w:left="1080"/>
        <w:contextualSpacing w:val="0"/>
        <w:jc w:val="both"/>
        <w:rPr>
          <w:rFonts w:ascii="Arial" w:hAnsi="Arial" w:cs="Arial"/>
          <w:b/>
        </w:rPr>
      </w:pPr>
      <w:r w:rsidRPr="00093977">
        <w:rPr>
          <w:rFonts w:ascii="Arial" w:hAnsi="Arial" w:cs="Arial"/>
          <w:b/>
        </w:rPr>
        <w:t xml:space="preserve">What plans do you have for </w:t>
      </w:r>
      <w:r w:rsidR="008E455C" w:rsidRPr="00093977">
        <w:rPr>
          <w:rFonts w:ascii="Arial" w:hAnsi="Arial" w:cs="Arial"/>
          <w:b/>
        </w:rPr>
        <w:t xml:space="preserve">ensuring adequate </w:t>
      </w:r>
      <w:r w:rsidRPr="00093977">
        <w:rPr>
          <w:rFonts w:ascii="Arial" w:hAnsi="Arial" w:cs="Arial"/>
          <w:b/>
        </w:rPr>
        <w:t xml:space="preserve">staffing </w:t>
      </w:r>
      <w:r w:rsidR="0064499E" w:rsidRPr="00093977">
        <w:rPr>
          <w:rFonts w:ascii="Arial" w:hAnsi="Arial" w:cs="Arial"/>
          <w:b/>
        </w:rPr>
        <w:t xml:space="preserve">for </w:t>
      </w:r>
      <w:r w:rsidRPr="00093977">
        <w:rPr>
          <w:rFonts w:ascii="Arial" w:hAnsi="Arial" w:cs="Arial"/>
          <w:b/>
        </w:rPr>
        <w:t xml:space="preserve">the </w:t>
      </w:r>
      <w:r w:rsidR="00055942" w:rsidRPr="00093977">
        <w:rPr>
          <w:rFonts w:ascii="Arial" w:hAnsi="Arial" w:cs="Arial"/>
          <w:b/>
        </w:rPr>
        <w:t xml:space="preserve">70 </w:t>
      </w:r>
      <w:r w:rsidRPr="00093977">
        <w:rPr>
          <w:rFonts w:ascii="Arial" w:hAnsi="Arial" w:cs="Arial"/>
          <w:b/>
        </w:rPr>
        <w:t xml:space="preserve">new M/S </w:t>
      </w:r>
      <w:r w:rsidR="00055942" w:rsidRPr="00093977">
        <w:rPr>
          <w:rFonts w:ascii="Arial" w:hAnsi="Arial" w:cs="Arial"/>
          <w:b/>
        </w:rPr>
        <w:t xml:space="preserve">and ICU </w:t>
      </w:r>
      <w:r w:rsidRPr="00093977">
        <w:rPr>
          <w:rFonts w:ascii="Arial" w:hAnsi="Arial" w:cs="Arial"/>
          <w:b/>
        </w:rPr>
        <w:t>beds?</w:t>
      </w:r>
    </w:p>
    <w:p w14:paraId="13222BF2" w14:textId="1E511C45" w:rsidR="00A614B8" w:rsidRPr="00BB2F84" w:rsidRDefault="00F71A0D" w:rsidP="00A614B8">
      <w:pPr>
        <w:spacing w:after="60"/>
        <w:jc w:val="both"/>
        <w:rPr>
          <w:rStyle w:val="markedcontent"/>
          <w:rFonts w:ascii="Arial" w:hAnsi="Arial" w:cs="Arial"/>
          <w:color w:val="000000" w:themeColor="text1"/>
        </w:rPr>
      </w:pPr>
      <w:r w:rsidRPr="00773642">
        <w:rPr>
          <w:rStyle w:val="markedcontent"/>
          <w:rFonts w:ascii="Arial" w:hAnsi="Arial" w:cs="Arial"/>
          <w:color w:val="000000" w:themeColor="text1"/>
        </w:rPr>
        <w:t>The Applicant appreciates the importance of adequate staffing to the success of the Proposed Project and to the ability of the Hospital to meet the needs of its</w:t>
      </w:r>
      <w:r w:rsidRPr="00773642">
        <w:rPr>
          <w:rFonts w:ascii="Arial" w:hAnsi="Arial" w:cs="Arial"/>
          <w:color w:val="000000" w:themeColor="text1"/>
        </w:rPr>
        <w:t xml:space="preserve"> </w:t>
      </w:r>
      <w:r w:rsidR="00FE7E42">
        <w:rPr>
          <w:rStyle w:val="markedcontent"/>
          <w:rFonts w:ascii="Arial" w:hAnsi="Arial" w:cs="Arial"/>
          <w:color w:val="000000" w:themeColor="text1"/>
        </w:rPr>
        <w:t>p</w:t>
      </w:r>
      <w:r w:rsidRPr="00773642">
        <w:rPr>
          <w:rStyle w:val="markedcontent"/>
          <w:rFonts w:ascii="Arial" w:hAnsi="Arial" w:cs="Arial"/>
          <w:color w:val="000000" w:themeColor="text1"/>
        </w:rPr>
        <w:t xml:space="preserve">atient </w:t>
      </w:r>
      <w:r w:rsidR="00FE7E42">
        <w:rPr>
          <w:rStyle w:val="markedcontent"/>
          <w:rFonts w:ascii="Arial" w:hAnsi="Arial" w:cs="Arial"/>
          <w:color w:val="000000" w:themeColor="text1"/>
        </w:rPr>
        <w:t>p</w:t>
      </w:r>
      <w:r w:rsidRPr="00773642">
        <w:rPr>
          <w:rStyle w:val="markedcontent"/>
          <w:rFonts w:ascii="Arial" w:hAnsi="Arial" w:cs="Arial"/>
          <w:color w:val="000000" w:themeColor="text1"/>
        </w:rPr>
        <w:t>anel. The Hospital is committed to investing in the future of the healthcare workforce in Greater Boston</w:t>
      </w:r>
      <w:r w:rsidRPr="00C16619">
        <w:rPr>
          <w:rStyle w:val="markedcontent"/>
          <w:rFonts w:ascii="Arial" w:hAnsi="Arial" w:cs="Arial"/>
          <w:color w:val="000000" w:themeColor="text1"/>
        </w:rPr>
        <w:t xml:space="preserve"> through recruitment efforts and by</w:t>
      </w:r>
      <w:r w:rsidRPr="00C16619">
        <w:rPr>
          <w:rFonts w:ascii="Arial" w:hAnsi="Arial" w:cs="Arial"/>
          <w:color w:val="000000" w:themeColor="text1"/>
        </w:rPr>
        <w:t xml:space="preserve"> </w:t>
      </w:r>
      <w:r w:rsidRPr="00C16619">
        <w:rPr>
          <w:rStyle w:val="markedcontent"/>
          <w:rFonts w:ascii="Arial" w:hAnsi="Arial" w:cs="Arial"/>
          <w:color w:val="000000" w:themeColor="text1"/>
        </w:rPr>
        <w:t>coordinating with educational training programs and maintaining clinical teaching</w:t>
      </w:r>
      <w:r w:rsidRPr="00C16619">
        <w:rPr>
          <w:rFonts w:ascii="Arial" w:hAnsi="Arial" w:cs="Arial"/>
          <w:color w:val="000000" w:themeColor="text1"/>
        </w:rPr>
        <w:t xml:space="preserve"> </w:t>
      </w:r>
      <w:r w:rsidRPr="00C16619">
        <w:rPr>
          <w:rStyle w:val="markedcontent"/>
          <w:rFonts w:ascii="Arial" w:hAnsi="Arial" w:cs="Arial"/>
          <w:color w:val="000000" w:themeColor="text1"/>
        </w:rPr>
        <w:t xml:space="preserve">affiliations with educational institutions to </w:t>
      </w:r>
      <w:r w:rsidRPr="00BB2F84">
        <w:rPr>
          <w:rStyle w:val="markedcontent"/>
          <w:rFonts w:ascii="Arial" w:hAnsi="Arial" w:cs="Arial"/>
          <w:color w:val="000000" w:themeColor="text1"/>
        </w:rPr>
        <w:t>provide clinical and technical rotations as well as residency and fellowship opportunities. Specifically, the Applicant highlights the following</w:t>
      </w:r>
      <w:r w:rsidR="00A614B8" w:rsidRPr="00BB2F84">
        <w:rPr>
          <w:rStyle w:val="markedcontent"/>
          <w:rFonts w:ascii="Arial" w:hAnsi="Arial" w:cs="Arial"/>
          <w:color w:val="000000" w:themeColor="text1"/>
        </w:rPr>
        <w:t>:</w:t>
      </w:r>
    </w:p>
    <w:p w14:paraId="20FCA095" w14:textId="424411E8" w:rsidR="00A614B8" w:rsidRPr="001A2E95" w:rsidRDefault="00A614B8" w:rsidP="00A614B8">
      <w:pPr>
        <w:pStyle w:val="ListParagraph"/>
        <w:numPr>
          <w:ilvl w:val="0"/>
          <w:numId w:val="49"/>
        </w:numPr>
        <w:spacing w:after="60"/>
        <w:contextualSpacing w:val="0"/>
        <w:jc w:val="both"/>
        <w:rPr>
          <w:rStyle w:val="markedcontent"/>
          <w:rFonts w:ascii="Arial" w:hAnsi="Arial" w:cs="Arial"/>
        </w:rPr>
      </w:pPr>
      <w:r w:rsidRPr="00BB2F84">
        <w:rPr>
          <w:rStyle w:val="markedcontent"/>
          <w:rFonts w:ascii="Arial" w:hAnsi="Arial" w:cs="Arial"/>
          <w:color w:val="000000" w:themeColor="text1"/>
        </w:rPr>
        <w:t xml:space="preserve">BMC is the principal teaching affiliate of Boston University School of Medicine and is devoted to training future </w:t>
      </w:r>
      <w:r w:rsidRPr="001A2E95">
        <w:rPr>
          <w:rStyle w:val="markedcontent"/>
          <w:rFonts w:ascii="Arial" w:hAnsi="Arial" w:cs="Arial"/>
        </w:rPr>
        <w:t xml:space="preserve">generations of healthcare professionals.  </w:t>
      </w:r>
    </w:p>
    <w:p w14:paraId="16A93A6A" w14:textId="77777777" w:rsidR="00A614B8" w:rsidRPr="001A2E95" w:rsidRDefault="00A614B8" w:rsidP="00A614B8">
      <w:pPr>
        <w:pStyle w:val="ListParagraph"/>
        <w:numPr>
          <w:ilvl w:val="0"/>
          <w:numId w:val="49"/>
        </w:numPr>
        <w:spacing w:after="60"/>
        <w:contextualSpacing w:val="0"/>
        <w:jc w:val="both"/>
        <w:rPr>
          <w:rStyle w:val="markedcontent"/>
          <w:rFonts w:ascii="Arial" w:hAnsi="Arial" w:cs="Arial"/>
        </w:rPr>
      </w:pPr>
      <w:r w:rsidRPr="001A2E95">
        <w:rPr>
          <w:rStyle w:val="markedcontent"/>
          <w:rFonts w:ascii="Arial" w:hAnsi="Arial" w:cs="Arial"/>
        </w:rPr>
        <w:t>BMC operates 61 residency training programs with 729 resident and fellowship positions.</w:t>
      </w:r>
    </w:p>
    <w:p w14:paraId="7532B684" w14:textId="517B159B" w:rsidR="00A614B8" w:rsidRPr="001A2E95" w:rsidRDefault="00A614B8" w:rsidP="00A614B8">
      <w:pPr>
        <w:pStyle w:val="ListParagraph"/>
        <w:numPr>
          <w:ilvl w:val="0"/>
          <w:numId w:val="49"/>
        </w:numPr>
        <w:spacing w:after="60"/>
        <w:contextualSpacing w:val="0"/>
        <w:jc w:val="both"/>
        <w:rPr>
          <w:rStyle w:val="markedcontent"/>
          <w:rFonts w:ascii="Arial" w:hAnsi="Arial" w:cs="Arial"/>
        </w:rPr>
      </w:pPr>
      <w:r w:rsidRPr="001A2E95">
        <w:rPr>
          <w:rStyle w:val="markedcontent"/>
          <w:rFonts w:ascii="Arial" w:hAnsi="Arial" w:cs="Arial"/>
        </w:rPr>
        <w:t>BMC is the sponsoring institution for 45 Accreditation Council for Graduate Medical Education</w:t>
      </w:r>
      <w:r w:rsidR="002B1CB7">
        <w:rPr>
          <w:rStyle w:val="markedcontent"/>
          <w:rFonts w:ascii="Arial" w:hAnsi="Arial" w:cs="Arial"/>
        </w:rPr>
        <w:t xml:space="preserve"> </w:t>
      </w:r>
      <w:r w:rsidRPr="001A2E95">
        <w:rPr>
          <w:rStyle w:val="markedcontent"/>
          <w:rFonts w:ascii="Arial" w:hAnsi="Arial" w:cs="Arial"/>
        </w:rPr>
        <w:t xml:space="preserve">accredited specialty and sub-specialty programs, participates in 4 pediatric programs sponsored by Boston </w:t>
      </w:r>
      <w:r w:rsidRPr="00196EF4">
        <w:rPr>
          <w:rStyle w:val="markedcontent"/>
          <w:rFonts w:ascii="Arial" w:hAnsi="Arial" w:cs="Arial"/>
        </w:rPr>
        <w:t xml:space="preserve">Children's Hospital, one neurosurgery program sponsored by Beth Israel Deaconess Medical Center, 2 </w:t>
      </w:r>
      <w:r w:rsidR="00196EF4" w:rsidRPr="00196EF4">
        <w:rPr>
          <w:rFonts w:ascii="Arial" w:hAnsi="Arial" w:cs="Arial"/>
        </w:rPr>
        <w:t xml:space="preserve">American Dental Association </w:t>
      </w:r>
      <w:r w:rsidRPr="00196EF4">
        <w:rPr>
          <w:rStyle w:val="markedcontent"/>
          <w:rFonts w:ascii="Arial" w:hAnsi="Arial" w:cs="Arial"/>
        </w:rPr>
        <w:t>accredited</w:t>
      </w:r>
      <w:r w:rsidRPr="001A2E95">
        <w:rPr>
          <w:rStyle w:val="markedcontent"/>
          <w:rFonts w:ascii="Arial" w:hAnsi="Arial" w:cs="Arial"/>
        </w:rPr>
        <w:t xml:space="preserve"> programs</w:t>
      </w:r>
      <w:r>
        <w:rPr>
          <w:rStyle w:val="markedcontent"/>
          <w:rFonts w:ascii="Arial" w:hAnsi="Arial" w:cs="Arial"/>
        </w:rPr>
        <w:t>,</w:t>
      </w:r>
      <w:r w:rsidRPr="001A2E95">
        <w:rPr>
          <w:rStyle w:val="markedcontent"/>
          <w:rFonts w:ascii="Arial" w:hAnsi="Arial" w:cs="Arial"/>
        </w:rPr>
        <w:t xml:space="preserve"> and one podiatric program accredited by the Council for Podiatric Medical Education. BMC is currently affiliated with 33 participating institutions. In addition, BMC supports 26 active nonstandard programs, programs for which there is no accreditation available.</w:t>
      </w:r>
    </w:p>
    <w:p w14:paraId="3590E721" w14:textId="5979FA63" w:rsidR="00A614B8" w:rsidRDefault="00A614B8" w:rsidP="00A614B8">
      <w:pPr>
        <w:pStyle w:val="ListParagraph"/>
        <w:numPr>
          <w:ilvl w:val="0"/>
          <w:numId w:val="49"/>
        </w:numPr>
        <w:spacing w:after="60"/>
        <w:contextualSpacing w:val="0"/>
        <w:jc w:val="both"/>
        <w:rPr>
          <w:rFonts w:ascii="Arial" w:eastAsia="Times New Roman" w:hAnsi="Arial" w:cs="Arial"/>
          <w:color w:val="000000"/>
        </w:rPr>
      </w:pPr>
      <w:r>
        <w:rPr>
          <w:rFonts w:ascii="Arial" w:eastAsia="Times New Roman" w:hAnsi="Arial" w:cs="Arial"/>
          <w:color w:val="000000"/>
        </w:rPr>
        <w:t xml:space="preserve">BMC maintains affiliations with schools locally, across the country, and online to provide rotations for various students, including nursing, social work, pharmacy, and others. Current examples include, but are not limited to, </w:t>
      </w:r>
      <w:r w:rsidR="00D738E0">
        <w:rPr>
          <w:rFonts w:ascii="Arial" w:eastAsia="Times New Roman" w:hAnsi="Arial" w:cs="Arial"/>
          <w:color w:val="000000"/>
        </w:rPr>
        <w:t>University of Phoenix, Massasoit Community College, Boston University, Bunker Hill Community College, Smith College and MCPHS University</w:t>
      </w:r>
      <w:r>
        <w:rPr>
          <w:rFonts w:ascii="Arial" w:eastAsia="Times New Roman" w:hAnsi="Arial" w:cs="Arial"/>
          <w:color w:val="000000"/>
        </w:rPr>
        <w:t>. If a student is enrolled at a school that is not currently affiliated with BMC, the Hospital is willing to establish an affiliation agreement to allow the student to complete their clinical rotation at BMC.</w:t>
      </w:r>
    </w:p>
    <w:p w14:paraId="12FFBC86" w14:textId="6DDA2AA7" w:rsidR="00A614B8" w:rsidRPr="001A2E95" w:rsidRDefault="00A614B8" w:rsidP="00A614B8">
      <w:pPr>
        <w:pStyle w:val="ListParagraph"/>
        <w:numPr>
          <w:ilvl w:val="0"/>
          <w:numId w:val="49"/>
        </w:numPr>
        <w:spacing w:after="60"/>
        <w:contextualSpacing w:val="0"/>
        <w:jc w:val="both"/>
        <w:rPr>
          <w:rFonts w:ascii="Arial" w:eastAsia="Times New Roman" w:hAnsi="Arial" w:cs="Arial"/>
          <w:color w:val="000000"/>
        </w:rPr>
      </w:pPr>
      <w:r w:rsidRPr="001A2E95">
        <w:rPr>
          <w:rFonts w:ascii="Arial" w:eastAsia="Times New Roman" w:hAnsi="Arial" w:cs="Arial"/>
          <w:color w:val="000000"/>
        </w:rPr>
        <w:t>BMC has a very competitive and highly regarded graduate RN residency program as well as unique programs for nurses who are transitioning from one area to another.</w:t>
      </w:r>
    </w:p>
    <w:p w14:paraId="77F02ADB" w14:textId="77777777" w:rsidR="00A614B8" w:rsidRPr="00BB2F84" w:rsidRDefault="00A614B8" w:rsidP="00A614B8">
      <w:pPr>
        <w:pStyle w:val="ListParagraph"/>
        <w:numPr>
          <w:ilvl w:val="0"/>
          <w:numId w:val="49"/>
        </w:numPr>
        <w:spacing w:after="60"/>
        <w:contextualSpacing w:val="0"/>
        <w:jc w:val="both"/>
        <w:rPr>
          <w:rStyle w:val="markedcontent"/>
          <w:rFonts w:ascii="Arial" w:hAnsi="Arial" w:cs="Arial"/>
          <w:color w:val="000000" w:themeColor="text1"/>
        </w:rPr>
      </w:pPr>
      <w:r w:rsidRPr="00BB2F84">
        <w:rPr>
          <w:rStyle w:val="markedcontent"/>
          <w:rFonts w:ascii="Arial" w:hAnsi="Arial" w:cs="Arial"/>
          <w:color w:val="000000" w:themeColor="text1"/>
        </w:rPr>
        <w:t>The Hospital offers the following nursing career development opportunities:</w:t>
      </w:r>
    </w:p>
    <w:p w14:paraId="53A90D04" w14:textId="77777777" w:rsidR="00A614B8" w:rsidRPr="00BB2F84" w:rsidRDefault="00A614B8" w:rsidP="00A614B8">
      <w:pPr>
        <w:pStyle w:val="ListParagraph"/>
        <w:numPr>
          <w:ilvl w:val="1"/>
          <w:numId w:val="49"/>
        </w:numPr>
        <w:spacing w:after="60"/>
        <w:contextualSpacing w:val="0"/>
        <w:jc w:val="both"/>
        <w:rPr>
          <w:rFonts w:ascii="Arial" w:hAnsi="Arial" w:cs="Arial"/>
          <w:color w:val="000000" w:themeColor="text1"/>
        </w:rPr>
      </w:pPr>
      <w:r w:rsidRPr="00BB2F84">
        <w:rPr>
          <w:rFonts w:ascii="Arial" w:eastAsia="Times New Roman" w:hAnsi="Arial" w:cs="Arial"/>
          <w:color w:val="000000"/>
        </w:rPr>
        <w:lastRenderedPageBreak/>
        <w:t>Scholarships: Available to assist the nurse in pursuing higher education or taking classes related to nursing, to further achievement of professional goals</w:t>
      </w:r>
    </w:p>
    <w:p w14:paraId="17653D3B" w14:textId="77777777" w:rsidR="00A614B8" w:rsidRPr="00BB2F84" w:rsidRDefault="00A614B8" w:rsidP="00A614B8">
      <w:pPr>
        <w:numPr>
          <w:ilvl w:val="1"/>
          <w:numId w:val="49"/>
        </w:numPr>
        <w:spacing w:after="60"/>
        <w:jc w:val="both"/>
        <w:rPr>
          <w:rFonts w:ascii="Arial" w:eastAsia="Times New Roman" w:hAnsi="Arial" w:cs="Arial"/>
          <w:color w:val="000000"/>
        </w:rPr>
      </w:pPr>
      <w:r w:rsidRPr="00BB2F84">
        <w:rPr>
          <w:rFonts w:ascii="Arial" w:eastAsia="Times New Roman" w:hAnsi="Arial" w:cs="Arial"/>
          <w:color w:val="000000"/>
        </w:rPr>
        <w:t>Up to $5,000 Tuition Reimbursement: Available for courses taken outside the institution, or for the pursuit of advanced degrees in the healthcare arena</w:t>
      </w:r>
      <w:r>
        <w:rPr>
          <w:rFonts w:ascii="Arial" w:eastAsia="Times New Roman" w:hAnsi="Arial" w:cs="Arial"/>
          <w:color w:val="000000"/>
        </w:rPr>
        <w:t>.</w:t>
      </w:r>
    </w:p>
    <w:p w14:paraId="21EAADB1" w14:textId="77777777" w:rsidR="00A614B8" w:rsidRPr="00BB2F84" w:rsidRDefault="00A614B8" w:rsidP="00A614B8">
      <w:pPr>
        <w:numPr>
          <w:ilvl w:val="1"/>
          <w:numId w:val="49"/>
        </w:numPr>
        <w:spacing w:after="60"/>
        <w:jc w:val="both"/>
        <w:rPr>
          <w:rFonts w:ascii="Arial" w:eastAsia="Times New Roman" w:hAnsi="Arial" w:cs="Arial"/>
          <w:color w:val="000000"/>
        </w:rPr>
      </w:pPr>
      <w:r w:rsidRPr="00BB2F84">
        <w:rPr>
          <w:rFonts w:ascii="Arial" w:eastAsia="Times New Roman" w:hAnsi="Arial" w:cs="Arial"/>
          <w:color w:val="000000"/>
        </w:rPr>
        <w:t>Specialty Certification: Staff is encouraged to become certified in their specialty, such as oncology certified nurses, med</w:t>
      </w:r>
      <w:r>
        <w:rPr>
          <w:rFonts w:ascii="Arial" w:eastAsia="Times New Roman" w:hAnsi="Arial" w:cs="Arial"/>
          <w:color w:val="000000"/>
        </w:rPr>
        <w:t>ical/s</w:t>
      </w:r>
      <w:r w:rsidRPr="00BB2F84">
        <w:rPr>
          <w:rFonts w:ascii="Arial" w:eastAsia="Times New Roman" w:hAnsi="Arial" w:cs="Arial"/>
          <w:color w:val="000000"/>
        </w:rPr>
        <w:t>urg</w:t>
      </w:r>
      <w:r>
        <w:rPr>
          <w:rFonts w:ascii="Arial" w:eastAsia="Times New Roman" w:hAnsi="Arial" w:cs="Arial"/>
          <w:color w:val="000000"/>
        </w:rPr>
        <w:t>ical</w:t>
      </w:r>
      <w:r w:rsidRPr="00BB2F84">
        <w:rPr>
          <w:rFonts w:ascii="Arial" w:eastAsia="Times New Roman" w:hAnsi="Arial" w:cs="Arial"/>
          <w:color w:val="000000"/>
        </w:rPr>
        <w:t xml:space="preserve">, critical </w:t>
      </w:r>
      <w:proofErr w:type="gramStart"/>
      <w:r w:rsidRPr="00BB2F84">
        <w:rPr>
          <w:rFonts w:ascii="Arial" w:eastAsia="Times New Roman" w:hAnsi="Arial" w:cs="Arial"/>
          <w:color w:val="000000"/>
        </w:rPr>
        <w:t>care</w:t>
      </w:r>
      <w:proofErr w:type="gramEnd"/>
      <w:r w:rsidRPr="00BB2F84">
        <w:rPr>
          <w:rFonts w:ascii="Arial" w:eastAsia="Times New Roman" w:hAnsi="Arial" w:cs="Arial"/>
          <w:color w:val="000000"/>
        </w:rPr>
        <w:t xml:space="preserve"> and emergency nursing</w:t>
      </w:r>
      <w:r>
        <w:rPr>
          <w:rFonts w:ascii="Arial" w:eastAsia="Times New Roman" w:hAnsi="Arial" w:cs="Arial"/>
          <w:color w:val="000000"/>
        </w:rPr>
        <w:t>.</w:t>
      </w:r>
    </w:p>
    <w:p w14:paraId="51BED57B" w14:textId="2701784F" w:rsidR="00A530E9" w:rsidRPr="00A614B8" w:rsidRDefault="00A614B8" w:rsidP="00991765">
      <w:pPr>
        <w:numPr>
          <w:ilvl w:val="1"/>
          <w:numId w:val="49"/>
        </w:numPr>
        <w:spacing w:after="240"/>
        <w:jc w:val="both"/>
        <w:rPr>
          <w:rFonts w:ascii="Arial" w:eastAsia="Times New Roman" w:hAnsi="Arial" w:cs="Arial"/>
          <w:color w:val="000000"/>
        </w:rPr>
      </w:pPr>
      <w:r w:rsidRPr="00BB2F84">
        <w:rPr>
          <w:rFonts w:ascii="Arial" w:eastAsia="Times New Roman" w:hAnsi="Arial" w:cs="Arial"/>
          <w:color w:val="000000"/>
        </w:rPr>
        <w:t xml:space="preserve">Up to $5,000 in Tuition Loan Repayment (pre-tax benefit): After satisfactorily completing 6 months of employment eligible for loan repayment when actively paying RN degree student loans (Associates or </w:t>
      </w:r>
      <w:proofErr w:type="gramStart"/>
      <w:r w:rsidRPr="00BB2F84">
        <w:rPr>
          <w:rFonts w:ascii="Arial" w:eastAsia="Times New Roman" w:hAnsi="Arial" w:cs="Arial"/>
          <w:color w:val="000000"/>
        </w:rPr>
        <w:t>Bachelor’s</w:t>
      </w:r>
      <w:proofErr w:type="gramEnd"/>
      <w:r w:rsidRPr="00BB2F84">
        <w:rPr>
          <w:rFonts w:ascii="Arial" w:eastAsia="Times New Roman" w:hAnsi="Arial" w:cs="Arial"/>
          <w:color w:val="000000"/>
        </w:rPr>
        <w:t xml:space="preserve"> degree in nursing).</w:t>
      </w:r>
    </w:p>
    <w:p w14:paraId="541C4FF2" w14:textId="3348FB0D" w:rsidR="00715918" w:rsidRPr="00991765" w:rsidRDefault="00293147" w:rsidP="00991765">
      <w:pPr>
        <w:pStyle w:val="ListParagraph"/>
        <w:numPr>
          <w:ilvl w:val="0"/>
          <w:numId w:val="29"/>
        </w:numPr>
        <w:contextualSpacing w:val="0"/>
        <w:jc w:val="both"/>
        <w:rPr>
          <w:rFonts w:ascii="Arial" w:hAnsi="Arial" w:cs="Arial"/>
          <w:b/>
        </w:rPr>
      </w:pPr>
      <w:bookmarkStart w:id="1" w:name="_Hlk113615619"/>
      <w:r w:rsidRPr="00991765">
        <w:rPr>
          <w:rFonts w:ascii="Arial" w:hAnsi="Arial" w:cs="Arial"/>
          <w:b/>
        </w:rPr>
        <w:t xml:space="preserve">The Applicant states that </w:t>
      </w:r>
      <w:r w:rsidR="001D1813" w:rsidRPr="00991765">
        <w:rPr>
          <w:rFonts w:ascii="Arial" w:hAnsi="Arial" w:cs="Arial"/>
          <w:b/>
        </w:rPr>
        <w:t>the Proposed Project will</w:t>
      </w:r>
      <w:r w:rsidR="00722F8A" w:rsidRPr="00991765">
        <w:rPr>
          <w:rFonts w:ascii="Arial" w:hAnsi="Arial" w:cs="Arial"/>
          <w:b/>
        </w:rPr>
        <w:t xml:space="preserve"> address</w:t>
      </w:r>
      <w:r w:rsidR="001D1813" w:rsidRPr="00991765">
        <w:rPr>
          <w:rFonts w:ascii="Arial" w:hAnsi="Arial" w:cs="Arial"/>
          <w:b/>
        </w:rPr>
        <w:t xml:space="preserve"> the demands of an aging population</w:t>
      </w:r>
      <w:r w:rsidR="00DE53D8" w:rsidRPr="00991765">
        <w:rPr>
          <w:rFonts w:ascii="Arial" w:hAnsi="Arial" w:cs="Arial"/>
          <w:b/>
        </w:rPr>
        <w:t xml:space="preserve">, and that </w:t>
      </w:r>
      <w:r w:rsidR="0026558B" w:rsidRPr="00991765">
        <w:rPr>
          <w:rFonts w:ascii="Arial" w:hAnsi="Arial" w:cs="Arial"/>
          <w:b/>
        </w:rPr>
        <w:t xml:space="preserve">older age cohorts </w:t>
      </w:r>
      <w:r w:rsidR="00A7342F" w:rsidRPr="00991765">
        <w:rPr>
          <w:rFonts w:ascii="Arial" w:hAnsi="Arial" w:cs="Arial"/>
          <w:b/>
        </w:rPr>
        <w:t>account for a higher percentage of M/S discharges, require a higher level of care and have longer lengths of stay (pg.9)</w:t>
      </w:r>
      <w:bookmarkEnd w:id="1"/>
      <w:r w:rsidR="00A7342F" w:rsidRPr="00991765">
        <w:rPr>
          <w:rFonts w:ascii="Arial" w:hAnsi="Arial" w:cs="Arial"/>
          <w:b/>
        </w:rPr>
        <w:t xml:space="preserve">. </w:t>
      </w:r>
    </w:p>
    <w:p w14:paraId="664C8DC5" w14:textId="3B567531" w:rsidR="00715918" w:rsidRPr="00991765" w:rsidRDefault="00715918" w:rsidP="00991765">
      <w:pPr>
        <w:pStyle w:val="ListParagraph"/>
        <w:numPr>
          <w:ilvl w:val="1"/>
          <w:numId w:val="29"/>
        </w:numPr>
        <w:ind w:left="1080"/>
        <w:contextualSpacing w:val="0"/>
        <w:jc w:val="both"/>
        <w:rPr>
          <w:rFonts w:ascii="Arial" w:hAnsi="Arial" w:cs="Arial"/>
          <w:b/>
        </w:rPr>
      </w:pPr>
      <w:bookmarkStart w:id="2" w:name="_Hlk113615630"/>
      <w:r w:rsidRPr="00991765">
        <w:rPr>
          <w:rFonts w:ascii="Arial" w:hAnsi="Arial" w:cs="Arial"/>
          <w:b/>
        </w:rPr>
        <w:t>What age-friendly measures will be incorporated into the design of the building</w:t>
      </w:r>
      <w:bookmarkEnd w:id="2"/>
      <w:r w:rsidRPr="00991765">
        <w:rPr>
          <w:rFonts w:ascii="Arial" w:hAnsi="Arial" w:cs="Arial"/>
          <w:b/>
        </w:rPr>
        <w:t>?</w:t>
      </w:r>
    </w:p>
    <w:p w14:paraId="74966E37" w14:textId="309BB57B" w:rsidR="003857B5" w:rsidRPr="00F07EF8" w:rsidRDefault="005726B9" w:rsidP="003857B5">
      <w:pPr>
        <w:spacing w:after="60"/>
        <w:jc w:val="both"/>
        <w:rPr>
          <w:rFonts w:ascii="Arial" w:hAnsi="Arial" w:cs="Arial"/>
        </w:rPr>
      </w:pPr>
      <w:r w:rsidRPr="00F07EF8">
        <w:rPr>
          <w:rFonts w:ascii="Arial" w:hAnsi="Arial" w:cs="Arial"/>
        </w:rPr>
        <w:t>There are several age-friendly measures that BMC is planning to incorporate into the design of the Proposed Project. Examples include, but may not be limited to, the following</w:t>
      </w:r>
      <w:r w:rsidR="003857B5" w:rsidRPr="00F07EF8">
        <w:rPr>
          <w:rFonts w:ascii="Arial" w:hAnsi="Arial" w:cs="Arial"/>
        </w:rPr>
        <w:t>:</w:t>
      </w:r>
    </w:p>
    <w:p w14:paraId="4A0F2F03" w14:textId="0DC24B8A" w:rsidR="003857B5" w:rsidRPr="00F07EF8" w:rsidRDefault="0034543C" w:rsidP="003857B5">
      <w:pPr>
        <w:pStyle w:val="ListParagraph"/>
        <w:numPr>
          <w:ilvl w:val="0"/>
          <w:numId w:val="41"/>
        </w:numPr>
        <w:spacing w:after="60"/>
        <w:contextualSpacing w:val="0"/>
        <w:jc w:val="both"/>
        <w:rPr>
          <w:rFonts w:ascii="Arial" w:hAnsi="Arial" w:cs="Arial"/>
        </w:rPr>
      </w:pPr>
      <w:r w:rsidRPr="00F07EF8">
        <w:rPr>
          <w:rFonts w:ascii="Arial" w:hAnsi="Arial" w:cs="Arial"/>
        </w:rPr>
        <w:t xml:space="preserve">A convenient, safe, and age-friendly patient drop-off area close to the front door with staff and wheelchairs available for additional </w:t>
      </w:r>
      <w:proofErr w:type="gramStart"/>
      <w:r w:rsidRPr="00F07EF8">
        <w:rPr>
          <w:rFonts w:ascii="Arial" w:hAnsi="Arial" w:cs="Arial"/>
        </w:rPr>
        <w:t>assistance</w:t>
      </w:r>
      <w:r w:rsidR="003857B5" w:rsidRPr="00F07EF8">
        <w:rPr>
          <w:rFonts w:ascii="Arial" w:hAnsi="Arial" w:cs="Arial"/>
        </w:rPr>
        <w:t>;</w:t>
      </w:r>
      <w:proofErr w:type="gramEnd"/>
    </w:p>
    <w:p w14:paraId="438B69D2" w14:textId="46639889" w:rsidR="003857B5" w:rsidRPr="00050BDE" w:rsidRDefault="00042358" w:rsidP="003857B5">
      <w:pPr>
        <w:pStyle w:val="ListParagraph"/>
        <w:numPr>
          <w:ilvl w:val="0"/>
          <w:numId w:val="41"/>
        </w:numPr>
        <w:spacing w:after="60"/>
        <w:contextualSpacing w:val="0"/>
        <w:jc w:val="both"/>
        <w:rPr>
          <w:rFonts w:ascii="Arial" w:hAnsi="Arial" w:cs="Arial"/>
        </w:rPr>
      </w:pPr>
      <w:r w:rsidRPr="00F07EF8">
        <w:rPr>
          <w:rFonts w:ascii="Arial" w:hAnsi="Arial" w:cs="Arial"/>
        </w:rPr>
        <w:t xml:space="preserve">Other exterior features, such as: an accessible ramp, smooth surface concrete rather than brick sidewalks, reconfiguration of the handicap parking lot adjacent to the Menino and Yawkey Building lobbies to ensure </w:t>
      </w:r>
      <w:r w:rsidRPr="006704E7">
        <w:rPr>
          <w:rFonts w:ascii="Arial" w:hAnsi="Arial" w:cs="Arial"/>
        </w:rPr>
        <w:t>Americans with Disabilities Act</w:t>
      </w:r>
      <w:r w:rsidRPr="00F07EF8">
        <w:rPr>
          <w:rFonts w:ascii="Arial" w:hAnsi="Arial" w:cs="Arial"/>
        </w:rPr>
        <w:t xml:space="preserve"> compliance, and expansion of the Hospital’s valet service to meet inpatient demand and accommodate</w:t>
      </w:r>
      <w:r>
        <w:rPr>
          <w:rFonts w:ascii="Arial" w:hAnsi="Arial" w:cs="Arial"/>
        </w:rPr>
        <w:t xml:space="preserve"> patients, including older patients, with mobility </w:t>
      </w:r>
      <w:proofErr w:type="gramStart"/>
      <w:r>
        <w:rPr>
          <w:rFonts w:ascii="Arial" w:hAnsi="Arial" w:cs="Arial"/>
        </w:rPr>
        <w:t>limitations</w:t>
      </w:r>
      <w:r w:rsidR="003857B5">
        <w:rPr>
          <w:rFonts w:ascii="Arial" w:hAnsi="Arial" w:cs="Arial"/>
        </w:rPr>
        <w:t>;</w:t>
      </w:r>
      <w:proofErr w:type="gramEnd"/>
    </w:p>
    <w:p w14:paraId="56676E10" w14:textId="62F11ABE" w:rsidR="003857B5" w:rsidRPr="004F43F8" w:rsidRDefault="00D45AB3" w:rsidP="003857B5">
      <w:pPr>
        <w:pStyle w:val="ListParagraph"/>
        <w:numPr>
          <w:ilvl w:val="0"/>
          <w:numId w:val="41"/>
        </w:numPr>
        <w:spacing w:after="60"/>
        <w:contextualSpacing w:val="0"/>
        <w:jc w:val="both"/>
        <w:rPr>
          <w:rFonts w:ascii="Arial" w:hAnsi="Arial" w:cs="Arial"/>
        </w:rPr>
      </w:pPr>
      <w:r>
        <w:rPr>
          <w:rFonts w:ascii="Arial" w:hAnsi="Arial" w:cs="Arial"/>
        </w:rPr>
        <w:t>Interior a</w:t>
      </w:r>
      <w:r w:rsidRPr="004F43F8">
        <w:rPr>
          <w:rFonts w:ascii="Arial" w:hAnsi="Arial" w:cs="Arial"/>
        </w:rPr>
        <w:t>rchitectural elements to assist with aging patient mobility, such as: patient assist auto-operated doors at all entry points to inpatient suites, wide doors and spacious corridors free of clutter that can accommodate patients with mobility devices, handrails in patient corridors,</w:t>
      </w:r>
      <w:r>
        <w:rPr>
          <w:rFonts w:ascii="Arial" w:hAnsi="Arial" w:cs="Arial"/>
        </w:rPr>
        <w:t xml:space="preserve"> sound absorption and blocking measures to minimize sound transmission between patient care rooms to ensure privacy and reduce noise, </w:t>
      </w:r>
      <w:r w:rsidRPr="004F43F8">
        <w:rPr>
          <w:rFonts w:ascii="Arial" w:hAnsi="Arial" w:cs="Arial"/>
        </w:rPr>
        <w:t>availability of patient lifts (ceiling mounted and portable Hoyer lifts) to assist in the safe transfer of patients, lighting level controls to allow for patient control of ambient and task lighting at bed</w:t>
      </w:r>
      <w:r>
        <w:rPr>
          <w:rFonts w:ascii="Arial" w:hAnsi="Arial" w:cs="Arial"/>
        </w:rPr>
        <w:t xml:space="preserve"> and to assist with navigation</w:t>
      </w:r>
      <w:r w:rsidRPr="004F43F8">
        <w:rPr>
          <w:rFonts w:ascii="Arial" w:hAnsi="Arial" w:cs="Arial"/>
        </w:rPr>
        <w:t xml:space="preserve">, handrails on footwalls in patient rooms to assist in getting to patient </w:t>
      </w:r>
      <w:r>
        <w:rPr>
          <w:rFonts w:ascii="Arial" w:hAnsi="Arial" w:cs="Arial"/>
        </w:rPr>
        <w:t>bathrooms</w:t>
      </w:r>
      <w:r w:rsidRPr="004F43F8">
        <w:rPr>
          <w:rFonts w:ascii="Arial" w:hAnsi="Arial" w:cs="Arial"/>
        </w:rPr>
        <w:t xml:space="preserve">, sliding doors to patient </w:t>
      </w:r>
      <w:r>
        <w:rPr>
          <w:rFonts w:ascii="Arial" w:hAnsi="Arial" w:cs="Arial"/>
        </w:rPr>
        <w:t>bathrooms</w:t>
      </w:r>
      <w:r w:rsidRPr="004F43F8">
        <w:rPr>
          <w:rFonts w:ascii="Arial" w:hAnsi="Arial" w:cs="Arial"/>
        </w:rPr>
        <w:t>, grab bars in patient toilet and shower rooms,</w:t>
      </w:r>
      <w:r>
        <w:rPr>
          <w:rFonts w:ascii="Arial" w:hAnsi="Arial" w:cs="Arial"/>
        </w:rPr>
        <w:t xml:space="preserve"> and strong contrast between wall and floor finishes around toilets in patient bathrooms to assist patients with vision challenges</w:t>
      </w:r>
      <w:r w:rsidR="003857B5">
        <w:rPr>
          <w:rFonts w:ascii="Arial" w:hAnsi="Arial" w:cs="Arial"/>
        </w:rPr>
        <w:t>;</w:t>
      </w:r>
    </w:p>
    <w:p w14:paraId="58F62E4F" w14:textId="0E2289A3" w:rsidR="003857B5" w:rsidRDefault="00F84BC8" w:rsidP="003857B5">
      <w:pPr>
        <w:pStyle w:val="ListParagraph"/>
        <w:numPr>
          <w:ilvl w:val="0"/>
          <w:numId w:val="41"/>
        </w:numPr>
        <w:spacing w:after="60"/>
        <w:contextualSpacing w:val="0"/>
        <w:jc w:val="both"/>
        <w:rPr>
          <w:rFonts w:ascii="Arial" w:hAnsi="Arial" w:cs="Arial"/>
        </w:rPr>
      </w:pPr>
      <w:r>
        <w:rPr>
          <w:rFonts w:ascii="Arial" w:hAnsi="Arial" w:cs="Arial"/>
        </w:rPr>
        <w:t>Comfortable accommodations for family members both inside inpatient rooms and in lounges, to ensure that family members can accompany and assist patients as desired and needed</w:t>
      </w:r>
      <w:r w:rsidR="003857B5">
        <w:rPr>
          <w:rFonts w:ascii="Arial" w:hAnsi="Arial" w:cs="Arial"/>
        </w:rPr>
        <w:t xml:space="preserve">; and </w:t>
      </w:r>
    </w:p>
    <w:p w14:paraId="775B6603" w14:textId="02D542ED" w:rsidR="003857B5" w:rsidRPr="00A85FE1" w:rsidRDefault="00824A52" w:rsidP="003857B5">
      <w:pPr>
        <w:pStyle w:val="ListParagraph"/>
        <w:numPr>
          <w:ilvl w:val="0"/>
          <w:numId w:val="41"/>
        </w:numPr>
        <w:spacing w:after="240"/>
        <w:contextualSpacing w:val="0"/>
        <w:jc w:val="both"/>
        <w:rPr>
          <w:rFonts w:ascii="Arial" w:hAnsi="Arial" w:cs="Arial"/>
        </w:rPr>
      </w:pPr>
      <w:r>
        <w:rPr>
          <w:rFonts w:ascii="Arial" w:hAnsi="Arial" w:cs="Arial"/>
        </w:rPr>
        <w:t xml:space="preserve">Translation/interpreter services and patient navigators to ensure patients have adequate support and assistance, as well as concierge transportation and prescription delivery services for certain patients, particularly older patients, to maximize patient comfort, </w:t>
      </w:r>
      <w:proofErr w:type="gramStart"/>
      <w:r>
        <w:rPr>
          <w:rFonts w:ascii="Arial" w:hAnsi="Arial" w:cs="Arial"/>
        </w:rPr>
        <w:t>safety</w:t>
      </w:r>
      <w:proofErr w:type="gramEnd"/>
      <w:r>
        <w:rPr>
          <w:rFonts w:ascii="Arial" w:hAnsi="Arial" w:cs="Arial"/>
        </w:rPr>
        <w:t xml:space="preserve"> and access</w:t>
      </w:r>
      <w:r w:rsidR="003857B5">
        <w:rPr>
          <w:rFonts w:ascii="Arial" w:hAnsi="Arial" w:cs="Arial"/>
        </w:rPr>
        <w:t>.</w:t>
      </w:r>
    </w:p>
    <w:p w14:paraId="08656EB7" w14:textId="0E9264D6" w:rsidR="003857B5" w:rsidRDefault="008561DE" w:rsidP="003857B5">
      <w:pPr>
        <w:spacing w:after="240"/>
        <w:jc w:val="both"/>
        <w:rPr>
          <w:rFonts w:ascii="Arial" w:hAnsi="Arial" w:cs="Arial"/>
        </w:rPr>
      </w:pPr>
      <w:r w:rsidRPr="006027CD">
        <w:rPr>
          <w:rFonts w:ascii="Arial" w:hAnsi="Arial" w:cs="Arial"/>
        </w:rPr>
        <w:t xml:space="preserve">The Applicant notes that design of the Proposed Project </w:t>
      </w:r>
      <w:r>
        <w:rPr>
          <w:rFonts w:ascii="Arial" w:hAnsi="Arial" w:cs="Arial"/>
        </w:rPr>
        <w:t>has</w:t>
      </w:r>
      <w:r w:rsidRPr="006027CD">
        <w:rPr>
          <w:rFonts w:ascii="Arial" w:hAnsi="Arial" w:cs="Arial"/>
        </w:rPr>
        <w:t xml:space="preserve"> been a collaborative effort involving Hospital staff, architectural consultants, and clinical </w:t>
      </w:r>
      <w:r>
        <w:rPr>
          <w:rFonts w:ascii="Arial" w:hAnsi="Arial" w:cs="Arial"/>
        </w:rPr>
        <w:t>contacts, among others. Three dimensional visual models have been built, reviewed, and revised according to feedback received. The Hospital will continue this iterative design process following DoN approval to ensure the safest, most comfortable, and most holistic care environment for its patients, including those in the older adult cohorts</w:t>
      </w:r>
      <w:r w:rsidR="003857B5">
        <w:rPr>
          <w:rFonts w:ascii="Arial" w:hAnsi="Arial" w:cs="Arial"/>
        </w:rPr>
        <w:t>.</w:t>
      </w:r>
    </w:p>
    <w:p w14:paraId="213323B6" w14:textId="41EDB8E9" w:rsidR="00A40D50" w:rsidRDefault="00A40D50" w:rsidP="003857B5">
      <w:pPr>
        <w:spacing w:after="240"/>
        <w:jc w:val="both"/>
        <w:rPr>
          <w:rFonts w:ascii="Arial" w:hAnsi="Arial" w:cs="Arial"/>
        </w:rPr>
      </w:pPr>
    </w:p>
    <w:p w14:paraId="57DB9A89" w14:textId="1EC45615" w:rsidR="00A40D50" w:rsidRDefault="00A40D50" w:rsidP="003857B5">
      <w:pPr>
        <w:spacing w:after="240"/>
        <w:jc w:val="both"/>
        <w:rPr>
          <w:rFonts w:ascii="Arial" w:hAnsi="Arial" w:cs="Arial"/>
        </w:rPr>
      </w:pPr>
    </w:p>
    <w:p w14:paraId="6D273513" w14:textId="77777777" w:rsidR="00A40D50" w:rsidRPr="00F41F3A" w:rsidRDefault="00A40D50" w:rsidP="003857B5">
      <w:pPr>
        <w:spacing w:after="240"/>
        <w:jc w:val="both"/>
        <w:rPr>
          <w:rFonts w:ascii="Arial" w:hAnsi="Arial" w:cs="Arial"/>
        </w:rPr>
      </w:pPr>
    </w:p>
    <w:p w14:paraId="41D6C87D" w14:textId="4A309F99" w:rsidR="00536B22" w:rsidRPr="00991765" w:rsidRDefault="00536B22" w:rsidP="00991765">
      <w:pPr>
        <w:pStyle w:val="ListParagraph"/>
        <w:numPr>
          <w:ilvl w:val="0"/>
          <w:numId w:val="29"/>
        </w:numPr>
        <w:tabs>
          <w:tab w:val="left" w:pos="4455"/>
        </w:tabs>
        <w:jc w:val="both"/>
        <w:rPr>
          <w:rFonts w:ascii="Arial" w:hAnsi="Arial" w:cs="Arial"/>
          <w:b/>
          <w:bCs/>
        </w:rPr>
      </w:pPr>
      <w:r w:rsidRPr="00991765">
        <w:rPr>
          <w:rFonts w:ascii="Arial" w:hAnsi="Arial" w:cs="Arial"/>
          <w:b/>
          <w:bCs/>
        </w:rPr>
        <w:t>Please provide the Emergency Department data using the most current definitions for BMC.</w:t>
      </w:r>
    </w:p>
    <w:p w14:paraId="67D63681" w14:textId="77777777" w:rsidR="00536B22" w:rsidRPr="007B5E25" w:rsidRDefault="00536B22" w:rsidP="00536B22">
      <w:pPr>
        <w:spacing w:after="0" w:line="240" w:lineRule="auto"/>
        <w:jc w:val="center"/>
        <w:rPr>
          <w:rFonts w:ascii="Arial" w:hAnsi="Arial" w:cs="Arial"/>
          <w:b/>
          <w:bCs/>
          <w:sz w:val="24"/>
          <w:szCs w:val="24"/>
        </w:rPr>
      </w:pPr>
      <w:r w:rsidRPr="007B5E25">
        <w:rPr>
          <w:rFonts w:ascii="Arial" w:hAnsi="Arial" w:cs="Arial"/>
          <w:b/>
          <w:bCs/>
          <w:sz w:val="24"/>
          <w:szCs w:val="24"/>
        </w:rPr>
        <w:t>Monthly Emergency Department Data CY21 and YTD 22</w:t>
      </w:r>
    </w:p>
    <w:p w14:paraId="1FF5DD90" w14:textId="77777777" w:rsidR="00536B22" w:rsidRPr="007B5E25" w:rsidRDefault="00536B22" w:rsidP="00536B22">
      <w:pPr>
        <w:spacing w:after="0" w:line="240" w:lineRule="auto"/>
        <w:rPr>
          <w:rFonts w:ascii="Arial" w:hAnsi="Arial" w:cs="Arial"/>
          <w:sz w:val="24"/>
          <w:szCs w:val="24"/>
        </w:rPr>
      </w:pPr>
    </w:p>
    <w:tbl>
      <w:tblPr>
        <w:tblW w:w="9910" w:type="dxa"/>
        <w:jc w:val="center"/>
        <w:tblLook w:val="04A0" w:firstRow="1" w:lastRow="0" w:firstColumn="1" w:lastColumn="0" w:noHBand="0" w:noVBand="1"/>
      </w:tblPr>
      <w:tblGrid>
        <w:gridCol w:w="1631"/>
        <w:gridCol w:w="1655"/>
        <w:gridCol w:w="1656"/>
        <w:gridCol w:w="1656"/>
        <w:gridCol w:w="1656"/>
        <w:gridCol w:w="1656"/>
      </w:tblGrid>
      <w:tr w:rsidR="00934586" w:rsidRPr="00934586" w14:paraId="77E72893" w14:textId="77777777" w:rsidTr="009C4662">
        <w:trPr>
          <w:cantSplit/>
          <w:trHeight w:val="1330"/>
          <w:tblHeader/>
          <w:jc w:val="center"/>
        </w:trPr>
        <w:tc>
          <w:tcPr>
            <w:tcW w:w="1631" w:type="dxa"/>
            <w:tcBorders>
              <w:top w:val="single" w:sz="12" w:space="0" w:color="auto"/>
              <w:left w:val="single" w:sz="12" w:space="0" w:color="auto"/>
              <w:bottom w:val="single" w:sz="12" w:space="0" w:color="auto"/>
              <w:right w:val="single" w:sz="4" w:space="0" w:color="auto"/>
            </w:tcBorders>
            <w:shd w:val="clear" w:color="000000" w:fill="F2F2F2"/>
            <w:vAlign w:val="center"/>
          </w:tcPr>
          <w:p w14:paraId="30F3678C" w14:textId="346B8E2A" w:rsidR="00934586" w:rsidRPr="00934586" w:rsidRDefault="00934586" w:rsidP="00934586">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Month</w:t>
            </w:r>
          </w:p>
        </w:tc>
        <w:tc>
          <w:tcPr>
            <w:tcW w:w="1655" w:type="dxa"/>
            <w:tcBorders>
              <w:top w:val="single" w:sz="12" w:space="0" w:color="auto"/>
              <w:left w:val="single" w:sz="4" w:space="0" w:color="auto"/>
              <w:bottom w:val="single" w:sz="12" w:space="0" w:color="auto"/>
              <w:right w:val="single" w:sz="4" w:space="0" w:color="auto"/>
            </w:tcBorders>
            <w:shd w:val="clear" w:color="000000" w:fill="F2F2F2"/>
            <w:vAlign w:val="center"/>
            <w:hideMark/>
          </w:tcPr>
          <w:p w14:paraId="3641A9F7" w14:textId="79E0679A" w:rsidR="00934586" w:rsidRPr="00934586" w:rsidRDefault="00934586" w:rsidP="002820F4">
            <w:pPr>
              <w:spacing w:after="0" w:line="240" w:lineRule="auto"/>
              <w:jc w:val="center"/>
              <w:rPr>
                <w:rFonts w:ascii="Arial Narrow" w:eastAsia="Times New Roman" w:hAnsi="Arial Narrow" w:cs="Arial"/>
                <w:b/>
                <w:bCs/>
                <w:color w:val="000000"/>
              </w:rPr>
            </w:pPr>
            <w:r w:rsidRPr="00934586">
              <w:rPr>
                <w:rFonts w:ascii="Arial Narrow" w:eastAsia="Times New Roman" w:hAnsi="Arial Narrow" w:cs="Arial"/>
                <w:b/>
                <w:bCs/>
                <w:color w:val="000000"/>
              </w:rPr>
              <w:t>Number of ED visits by Month</w:t>
            </w:r>
          </w:p>
        </w:tc>
        <w:tc>
          <w:tcPr>
            <w:tcW w:w="1656" w:type="dxa"/>
            <w:tcBorders>
              <w:top w:val="single" w:sz="12" w:space="0" w:color="auto"/>
              <w:left w:val="nil"/>
              <w:bottom w:val="single" w:sz="12" w:space="0" w:color="auto"/>
              <w:right w:val="single" w:sz="4" w:space="0" w:color="auto"/>
            </w:tcBorders>
            <w:shd w:val="clear" w:color="000000" w:fill="F2F2F2"/>
            <w:vAlign w:val="center"/>
            <w:hideMark/>
          </w:tcPr>
          <w:p w14:paraId="10223B9B" w14:textId="7B28ECDA" w:rsidR="00934586" w:rsidRPr="00934586" w:rsidRDefault="00934586" w:rsidP="002820F4">
            <w:pPr>
              <w:spacing w:after="0" w:line="240" w:lineRule="auto"/>
              <w:jc w:val="center"/>
              <w:rPr>
                <w:rFonts w:ascii="Arial Narrow" w:eastAsia="Times New Roman" w:hAnsi="Arial Narrow" w:cs="Arial"/>
                <w:b/>
                <w:bCs/>
                <w:color w:val="000000"/>
              </w:rPr>
            </w:pPr>
            <w:r w:rsidRPr="00934586">
              <w:rPr>
                <w:rFonts w:ascii="Arial Narrow" w:eastAsia="Times New Roman" w:hAnsi="Arial Narrow" w:cs="Arial"/>
                <w:b/>
                <w:bCs/>
                <w:color w:val="000000"/>
              </w:rPr>
              <w:t>Total number of patients identified in ED with a M/S diagnosis</w:t>
            </w:r>
          </w:p>
        </w:tc>
        <w:tc>
          <w:tcPr>
            <w:tcW w:w="1656" w:type="dxa"/>
            <w:tcBorders>
              <w:top w:val="single" w:sz="12" w:space="0" w:color="auto"/>
              <w:left w:val="nil"/>
              <w:bottom w:val="single" w:sz="12" w:space="0" w:color="auto"/>
              <w:right w:val="single" w:sz="4" w:space="0" w:color="auto"/>
            </w:tcBorders>
            <w:shd w:val="clear" w:color="000000" w:fill="F2F2F2"/>
            <w:vAlign w:val="center"/>
            <w:hideMark/>
          </w:tcPr>
          <w:p w14:paraId="0C5558BE" w14:textId="1B2733B1" w:rsidR="00934586" w:rsidRPr="00934586" w:rsidRDefault="00934586" w:rsidP="002820F4">
            <w:pPr>
              <w:spacing w:after="0" w:line="240" w:lineRule="auto"/>
              <w:jc w:val="center"/>
              <w:rPr>
                <w:rFonts w:ascii="Arial Narrow" w:eastAsia="Times New Roman" w:hAnsi="Arial Narrow" w:cs="Arial"/>
                <w:b/>
                <w:bCs/>
                <w:color w:val="000000"/>
              </w:rPr>
            </w:pPr>
            <w:r w:rsidRPr="00934586">
              <w:rPr>
                <w:rFonts w:ascii="Arial Narrow" w:eastAsia="Times New Roman" w:hAnsi="Arial Narrow" w:cs="Arial"/>
                <w:b/>
                <w:bCs/>
                <w:color w:val="000000"/>
              </w:rPr>
              <w:t xml:space="preserve">Median time (in minutes) from ED arrival to ED departure for admitted </w:t>
            </w:r>
            <w:r w:rsidRPr="00934586">
              <w:rPr>
                <w:rFonts w:ascii="Arial Narrow" w:eastAsia="Times New Roman" w:hAnsi="Arial Narrow" w:cs="Arial"/>
                <w:b/>
                <w:bCs/>
                <w:color w:val="FF0000"/>
              </w:rPr>
              <w:t>M/S</w:t>
            </w:r>
            <w:r w:rsidRPr="00934586">
              <w:rPr>
                <w:rFonts w:ascii="Arial Narrow" w:eastAsia="Times New Roman" w:hAnsi="Arial Narrow" w:cs="Arial"/>
                <w:b/>
                <w:bCs/>
                <w:color w:val="000000"/>
              </w:rPr>
              <w:t xml:space="preserve"> ED patients by month</w:t>
            </w:r>
          </w:p>
        </w:tc>
        <w:tc>
          <w:tcPr>
            <w:tcW w:w="1656" w:type="dxa"/>
            <w:tcBorders>
              <w:top w:val="single" w:sz="12" w:space="0" w:color="auto"/>
              <w:left w:val="nil"/>
              <w:bottom w:val="single" w:sz="12" w:space="0" w:color="auto"/>
              <w:right w:val="single" w:sz="4" w:space="0" w:color="auto"/>
            </w:tcBorders>
            <w:shd w:val="clear" w:color="000000" w:fill="F2F2F2"/>
            <w:vAlign w:val="center"/>
            <w:hideMark/>
          </w:tcPr>
          <w:p w14:paraId="413A23AD" w14:textId="6C7C4C91" w:rsidR="00934586" w:rsidRPr="00934586" w:rsidRDefault="00934586" w:rsidP="002820F4">
            <w:pPr>
              <w:spacing w:after="0" w:line="240" w:lineRule="auto"/>
              <w:jc w:val="center"/>
              <w:rPr>
                <w:rFonts w:ascii="Arial Narrow" w:eastAsia="Times New Roman" w:hAnsi="Arial Narrow" w:cs="Arial"/>
                <w:b/>
                <w:bCs/>
                <w:color w:val="000000"/>
              </w:rPr>
            </w:pPr>
            <w:r w:rsidRPr="00934586">
              <w:rPr>
                <w:rFonts w:ascii="Arial Narrow" w:eastAsia="Times New Roman" w:hAnsi="Arial Narrow" w:cs="Arial"/>
                <w:b/>
                <w:bCs/>
                <w:color w:val="000000"/>
              </w:rPr>
              <w:t xml:space="preserve">ED 5: Total number of patients identified in ED with a </w:t>
            </w:r>
            <w:r w:rsidRPr="00934586">
              <w:rPr>
                <w:rFonts w:ascii="Arial Narrow" w:eastAsia="Times New Roman" w:hAnsi="Arial Narrow" w:cs="Arial"/>
                <w:b/>
                <w:bCs/>
                <w:color w:val="FF0000"/>
              </w:rPr>
              <w:t>behavioral health</w:t>
            </w:r>
            <w:r w:rsidRPr="00934586">
              <w:rPr>
                <w:rFonts w:ascii="Arial Narrow" w:eastAsia="Times New Roman" w:hAnsi="Arial Narrow" w:cs="Arial"/>
                <w:b/>
                <w:bCs/>
                <w:color w:val="000000"/>
              </w:rPr>
              <w:t xml:space="preserve"> diagnosis</w:t>
            </w:r>
          </w:p>
        </w:tc>
        <w:tc>
          <w:tcPr>
            <w:tcW w:w="1656" w:type="dxa"/>
            <w:tcBorders>
              <w:top w:val="single" w:sz="12" w:space="0" w:color="auto"/>
              <w:left w:val="nil"/>
              <w:bottom w:val="single" w:sz="12" w:space="0" w:color="auto"/>
              <w:right w:val="single" w:sz="12" w:space="0" w:color="auto"/>
            </w:tcBorders>
            <w:shd w:val="clear" w:color="000000" w:fill="F2F2F2"/>
            <w:vAlign w:val="center"/>
            <w:hideMark/>
          </w:tcPr>
          <w:p w14:paraId="6E777598" w14:textId="5F2E42CB" w:rsidR="00934586" w:rsidRPr="00934586" w:rsidRDefault="00934586" w:rsidP="002820F4">
            <w:pPr>
              <w:spacing w:after="0" w:line="240" w:lineRule="auto"/>
              <w:jc w:val="center"/>
              <w:rPr>
                <w:rFonts w:ascii="Arial Narrow" w:eastAsia="Times New Roman" w:hAnsi="Arial Narrow" w:cs="Arial"/>
                <w:b/>
                <w:bCs/>
                <w:color w:val="000000"/>
              </w:rPr>
            </w:pPr>
            <w:r w:rsidRPr="00934586">
              <w:rPr>
                <w:rFonts w:ascii="Arial Narrow" w:eastAsia="Times New Roman" w:hAnsi="Arial Narrow" w:cs="Arial"/>
                <w:b/>
                <w:bCs/>
                <w:color w:val="000000"/>
              </w:rPr>
              <w:t>ED 2: Median time (in minutes) from ED arrival to ED departure for BH patients by month</w:t>
            </w:r>
          </w:p>
        </w:tc>
      </w:tr>
      <w:tr w:rsidR="00934586" w:rsidRPr="00934586" w14:paraId="6F26343A" w14:textId="77777777" w:rsidTr="00E35993">
        <w:trPr>
          <w:cantSplit/>
          <w:trHeight w:val="144"/>
          <w:jc w:val="center"/>
        </w:trPr>
        <w:tc>
          <w:tcPr>
            <w:tcW w:w="1631" w:type="dxa"/>
            <w:tcBorders>
              <w:top w:val="single" w:sz="12" w:space="0" w:color="auto"/>
              <w:left w:val="single" w:sz="12" w:space="0" w:color="auto"/>
              <w:bottom w:val="single" w:sz="4" w:space="0" w:color="auto"/>
              <w:right w:val="single" w:sz="4" w:space="0" w:color="auto"/>
            </w:tcBorders>
          </w:tcPr>
          <w:p w14:paraId="74982426" w14:textId="60662246" w:rsidR="00934586" w:rsidRPr="00934586" w:rsidRDefault="00934586" w:rsidP="00F0367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January 2021</w:t>
            </w:r>
          </w:p>
        </w:tc>
        <w:tc>
          <w:tcPr>
            <w:tcW w:w="1655" w:type="dxa"/>
            <w:tcBorders>
              <w:top w:val="single" w:sz="12" w:space="0" w:color="auto"/>
              <w:left w:val="single" w:sz="4" w:space="0" w:color="auto"/>
              <w:bottom w:val="single" w:sz="4" w:space="0" w:color="auto"/>
              <w:right w:val="single" w:sz="4" w:space="0" w:color="auto"/>
            </w:tcBorders>
            <w:shd w:val="clear" w:color="auto" w:fill="auto"/>
          </w:tcPr>
          <w:p w14:paraId="59B5D432" w14:textId="729FBD41" w:rsidR="00934586" w:rsidRPr="00934586" w:rsidRDefault="002820F4" w:rsidP="002820F4">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9,240</w:t>
            </w:r>
          </w:p>
        </w:tc>
        <w:tc>
          <w:tcPr>
            <w:tcW w:w="1656" w:type="dxa"/>
            <w:tcBorders>
              <w:top w:val="single" w:sz="12" w:space="0" w:color="auto"/>
              <w:left w:val="nil"/>
              <w:bottom w:val="single" w:sz="4" w:space="0" w:color="auto"/>
              <w:right w:val="single" w:sz="4" w:space="0" w:color="auto"/>
            </w:tcBorders>
            <w:shd w:val="clear" w:color="auto" w:fill="auto"/>
          </w:tcPr>
          <w:p w14:paraId="2F9A5F9A" w14:textId="783B41DC" w:rsidR="00934586" w:rsidRPr="00934586" w:rsidRDefault="000C69B9" w:rsidP="002820F4">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1,096</w:t>
            </w:r>
          </w:p>
        </w:tc>
        <w:tc>
          <w:tcPr>
            <w:tcW w:w="1656" w:type="dxa"/>
            <w:tcBorders>
              <w:top w:val="single" w:sz="12" w:space="0" w:color="auto"/>
              <w:left w:val="nil"/>
              <w:bottom w:val="single" w:sz="4" w:space="0" w:color="auto"/>
              <w:right w:val="single" w:sz="4" w:space="0" w:color="auto"/>
            </w:tcBorders>
            <w:shd w:val="clear" w:color="auto" w:fill="auto"/>
          </w:tcPr>
          <w:p w14:paraId="50525DD4" w14:textId="15E787AD" w:rsidR="00934586" w:rsidRPr="00934586" w:rsidRDefault="000C69B9" w:rsidP="002820F4">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421</w:t>
            </w:r>
          </w:p>
        </w:tc>
        <w:tc>
          <w:tcPr>
            <w:tcW w:w="1656" w:type="dxa"/>
            <w:tcBorders>
              <w:top w:val="single" w:sz="12" w:space="0" w:color="auto"/>
              <w:left w:val="nil"/>
              <w:bottom w:val="single" w:sz="4" w:space="0" w:color="auto"/>
              <w:right w:val="single" w:sz="4" w:space="0" w:color="auto"/>
            </w:tcBorders>
            <w:shd w:val="clear" w:color="auto" w:fill="auto"/>
          </w:tcPr>
          <w:p w14:paraId="02E6616A" w14:textId="47135F01" w:rsidR="00934586" w:rsidRPr="00934586" w:rsidRDefault="000C69B9" w:rsidP="002820F4">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494</w:t>
            </w:r>
          </w:p>
        </w:tc>
        <w:tc>
          <w:tcPr>
            <w:tcW w:w="1656" w:type="dxa"/>
            <w:tcBorders>
              <w:top w:val="single" w:sz="12" w:space="0" w:color="auto"/>
              <w:left w:val="nil"/>
              <w:bottom w:val="single" w:sz="4" w:space="0" w:color="auto"/>
              <w:right w:val="single" w:sz="12" w:space="0" w:color="auto"/>
            </w:tcBorders>
            <w:shd w:val="clear" w:color="auto" w:fill="auto"/>
          </w:tcPr>
          <w:p w14:paraId="5B33D95A" w14:textId="2D4C83ED" w:rsidR="00934586" w:rsidRPr="00934586" w:rsidRDefault="00575ECF" w:rsidP="002820F4">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452</w:t>
            </w:r>
          </w:p>
        </w:tc>
      </w:tr>
      <w:tr w:rsidR="00575ECF" w:rsidRPr="00934586" w14:paraId="228642E4"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6F1E658F" w14:textId="3548E49C"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February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2C3BE2F" w14:textId="752C5761"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8,464</w:t>
            </w:r>
          </w:p>
        </w:tc>
        <w:tc>
          <w:tcPr>
            <w:tcW w:w="1656" w:type="dxa"/>
            <w:tcBorders>
              <w:top w:val="single" w:sz="4" w:space="0" w:color="auto"/>
              <w:left w:val="nil"/>
              <w:bottom w:val="single" w:sz="4" w:space="0" w:color="auto"/>
              <w:right w:val="single" w:sz="4" w:space="0" w:color="auto"/>
            </w:tcBorders>
            <w:shd w:val="clear" w:color="auto" w:fill="auto"/>
          </w:tcPr>
          <w:p w14:paraId="5A64141F" w14:textId="6CCA6BC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988</w:t>
            </w:r>
          </w:p>
        </w:tc>
        <w:tc>
          <w:tcPr>
            <w:tcW w:w="1656" w:type="dxa"/>
            <w:tcBorders>
              <w:top w:val="single" w:sz="4" w:space="0" w:color="auto"/>
              <w:left w:val="nil"/>
              <w:bottom w:val="single" w:sz="4" w:space="0" w:color="auto"/>
              <w:right w:val="single" w:sz="4" w:space="0" w:color="auto"/>
            </w:tcBorders>
            <w:shd w:val="clear" w:color="auto" w:fill="auto"/>
          </w:tcPr>
          <w:p w14:paraId="4C64DDA0" w14:textId="1BD7821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389</w:t>
            </w:r>
          </w:p>
        </w:tc>
        <w:tc>
          <w:tcPr>
            <w:tcW w:w="1656" w:type="dxa"/>
            <w:tcBorders>
              <w:top w:val="single" w:sz="4" w:space="0" w:color="auto"/>
              <w:left w:val="nil"/>
              <w:bottom w:val="single" w:sz="4" w:space="0" w:color="auto"/>
              <w:right w:val="single" w:sz="4" w:space="0" w:color="auto"/>
            </w:tcBorders>
            <w:shd w:val="clear" w:color="auto" w:fill="auto"/>
          </w:tcPr>
          <w:p w14:paraId="54972056" w14:textId="25149BCE"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430</w:t>
            </w:r>
          </w:p>
        </w:tc>
        <w:tc>
          <w:tcPr>
            <w:tcW w:w="1656" w:type="dxa"/>
            <w:tcBorders>
              <w:top w:val="single" w:sz="4" w:space="0" w:color="auto"/>
              <w:left w:val="nil"/>
              <w:bottom w:val="single" w:sz="4" w:space="0" w:color="auto"/>
              <w:right w:val="single" w:sz="12" w:space="0" w:color="auto"/>
            </w:tcBorders>
            <w:shd w:val="clear" w:color="auto" w:fill="auto"/>
          </w:tcPr>
          <w:p w14:paraId="44C05B95" w14:textId="56452C2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457</w:t>
            </w:r>
          </w:p>
        </w:tc>
      </w:tr>
      <w:tr w:rsidR="00575ECF" w:rsidRPr="00934586" w14:paraId="48F5370A"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1D654C32" w14:textId="374AA90F"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March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B7C8AA" w14:textId="2279968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10,063</w:t>
            </w:r>
          </w:p>
        </w:tc>
        <w:tc>
          <w:tcPr>
            <w:tcW w:w="1656" w:type="dxa"/>
            <w:tcBorders>
              <w:top w:val="single" w:sz="4" w:space="0" w:color="auto"/>
              <w:left w:val="nil"/>
              <w:bottom w:val="single" w:sz="4" w:space="0" w:color="auto"/>
              <w:right w:val="single" w:sz="4" w:space="0" w:color="auto"/>
            </w:tcBorders>
            <w:shd w:val="clear" w:color="auto" w:fill="auto"/>
          </w:tcPr>
          <w:p w14:paraId="799A12AC" w14:textId="24AD175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1,135</w:t>
            </w:r>
          </w:p>
        </w:tc>
        <w:tc>
          <w:tcPr>
            <w:tcW w:w="1656" w:type="dxa"/>
            <w:tcBorders>
              <w:top w:val="single" w:sz="4" w:space="0" w:color="auto"/>
              <w:left w:val="nil"/>
              <w:bottom w:val="single" w:sz="4" w:space="0" w:color="auto"/>
              <w:right w:val="single" w:sz="4" w:space="0" w:color="auto"/>
            </w:tcBorders>
            <w:shd w:val="clear" w:color="auto" w:fill="auto"/>
          </w:tcPr>
          <w:p w14:paraId="26CB466C" w14:textId="2A88C80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395</w:t>
            </w:r>
          </w:p>
        </w:tc>
        <w:tc>
          <w:tcPr>
            <w:tcW w:w="1656" w:type="dxa"/>
            <w:tcBorders>
              <w:top w:val="single" w:sz="4" w:space="0" w:color="auto"/>
              <w:left w:val="nil"/>
              <w:bottom w:val="single" w:sz="4" w:space="0" w:color="auto"/>
              <w:right w:val="single" w:sz="4" w:space="0" w:color="auto"/>
            </w:tcBorders>
            <w:shd w:val="clear" w:color="auto" w:fill="auto"/>
          </w:tcPr>
          <w:p w14:paraId="5F59737A" w14:textId="01B23C89"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518</w:t>
            </w:r>
          </w:p>
        </w:tc>
        <w:tc>
          <w:tcPr>
            <w:tcW w:w="1656" w:type="dxa"/>
            <w:tcBorders>
              <w:top w:val="single" w:sz="4" w:space="0" w:color="auto"/>
              <w:left w:val="nil"/>
              <w:bottom w:val="single" w:sz="4" w:space="0" w:color="auto"/>
              <w:right w:val="single" w:sz="12" w:space="0" w:color="auto"/>
            </w:tcBorders>
            <w:shd w:val="clear" w:color="auto" w:fill="auto"/>
          </w:tcPr>
          <w:p w14:paraId="05AFEBC9" w14:textId="36BC20B9"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488</w:t>
            </w:r>
          </w:p>
        </w:tc>
      </w:tr>
      <w:tr w:rsidR="00575ECF" w:rsidRPr="00934586" w14:paraId="15B58581"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0500C040" w14:textId="6E8EFE3B"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April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FADFF67" w14:textId="2D901DFF"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10,000</w:t>
            </w:r>
          </w:p>
        </w:tc>
        <w:tc>
          <w:tcPr>
            <w:tcW w:w="1656" w:type="dxa"/>
            <w:tcBorders>
              <w:top w:val="single" w:sz="4" w:space="0" w:color="auto"/>
              <w:left w:val="nil"/>
              <w:bottom w:val="single" w:sz="4" w:space="0" w:color="auto"/>
              <w:right w:val="single" w:sz="4" w:space="0" w:color="auto"/>
            </w:tcBorders>
            <w:shd w:val="clear" w:color="auto" w:fill="auto"/>
          </w:tcPr>
          <w:p w14:paraId="412BE896" w14:textId="1A5E263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1,116</w:t>
            </w:r>
          </w:p>
        </w:tc>
        <w:tc>
          <w:tcPr>
            <w:tcW w:w="1656" w:type="dxa"/>
            <w:tcBorders>
              <w:top w:val="single" w:sz="4" w:space="0" w:color="auto"/>
              <w:left w:val="nil"/>
              <w:bottom w:val="single" w:sz="4" w:space="0" w:color="auto"/>
              <w:right w:val="single" w:sz="4" w:space="0" w:color="auto"/>
            </w:tcBorders>
            <w:shd w:val="clear" w:color="auto" w:fill="auto"/>
          </w:tcPr>
          <w:p w14:paraId="4C8697FC" w14:textId="6427509C"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465</w:t>
            </w:r>
          </w:p>
        </w:tc>
        <w:tc>
          <w:tcPr>
            <w:tcW w:w="1656" w:type="dxa"/>
            <w:tcBorders>
              <w:top w:val="single" w:sz="4" w:space="0" w:color="auto"/>
              <w:left w:val="nil"/>
              <w:bottom w:val="single" w:sz="4" w:space="0" w:color="auto"/>
              <w:right w:val="single" w:sz="4" w:space="0" w:color="auto"/>
            </w:tcBorders>
            <w:shd w:val="clear" w:color="auto" w:fill="auto"/>
          </w:tcPr>
          <w:p w14:paraId="6281820D" w14:textId="69A6518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524</w:t>
            </w:r>
          </w:p>
        </w:tc>
        <w:tc>
          <w:tcPr>
            <w:tcW w:w="1656" w:type="dxa"/>
            <w:tcBorders>
              <w:top w:val="single" w:sz="4" w:space="0" w:color="auto"/>
              <w:left w:val="nil"/>
              <w:bottom w:val="single" w:sz="4" w:space="0" w:color="auto"/>
              <w:right w:val="single" w:sz="12" w:space="0" w:color="auto"/>
            </w:tcBorders>
            <w:shd w:val="clear" w:color="auto" w:fill="auto"/>
          </w:tcPr>
          <w:p w14:paraId="1D670EF5" w14:textId="6A402E66"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531</w:t>
            </w:r>
          </w:p>
        </w:tc>
      </w:tr>
      <w:tr w:rsidR="00575ECF" w:rsidRPr="00934586" w14:paraId="6B9F5CBA"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7CF60ED7" w14:textId="0E799C9D"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May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F6CFDD4" w14:textId="0CDB8386"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10,617</w:t>
            </w:r>
          </w:p>
        </w:tc>
        <w:tc>
          <w:tcPr>
            <w:tcW w:w="1656" w:type="dxa"/>
            <w:tcBorders>
              <w:top w:val="single" w:sz="4" w:space="0" w:color="auto"/>
              <w:left w:val="nil"/>
              <w:bottom w:val="single" w:sz="4" w:space="0" w:color="auto"/>
              <w:right w:val="single" w:sz="4" w:space="0" w:color="auto"/>
            </w:tcBorders>
            <w:shd w:val="clear" w:color="auto" w:fill="auto"/>
          </w:tcPr>
          <w:p w14:paraId="535276D8" w14:textId="4C68955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1,103</w:t>
            </w:r>
          </w:p>
        </w:tc>
        <w:tc>
          <w:tcPr>
            <w:tcW w:w="1656" w:type="dxa"/>
            <w:tcBorders>
              <w:top w:val="single" w:sz="4" w:space="0" w:color="auto"/>
              <w:left w:val="nil"/>
              <w:bottom w:val="single" w:sz="4" w:space="0" w:color="auto"/>
              <w:right w:val="single" w:sz="4" w:space="0" w:color="auto"/>
            </w:tcBorders>
            <w:shd w:val="clear" w:color="auto" w:fill="auto"/>
          </w:tcPr>
          <w:p w14:paraId="1DA62B97" w14:textId="0EBD5BF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424</w:t>
            </w:r>
          </w:p>
        </w:tc>
        <w:tc>
          <w:tcPr>
            <w:tcW w:w="1656" w:type="dxa"/>
            <w:tcBorders>
              <w:top w:val="single" w:sz="4" w:space="0" w:color="auto"/>
              <w:left w:val="nil"/>
              <w:bottom w:val="single" w:sz="4" w:space="0" w:color="auto"/>
              <w:right w:val="single" w:sz="4" w:space="0" w:color="auto"/>
            </w:tcBorders>
            <w:shd w:val="clear" w:color="auto" w:fill="auto"/>
          </w:tcPr>
          <w:p w14:paraId="0AE301A5" w14:textId="281B424E"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472</w:t>
            </w:r>
          </w:p>
        </w:tc>
        <w:tc>
          <w:tcPr>
            <w:tcW w:w="1656" w:type="dxa"/>
            <w:tcBorders>
              <w:top w:val="single" w:sz="4" w:space="0" w:color="auto"/>
              <w:left w:val="nil"/>
              <w:bottom w:val="single" w:sz="4" w:space="0" w:color="auto"/>
              <w:right w:val="single" w:sz="12" w:space="0" w:color="auto"/>
            </w:tcBorders>
            <w:shd w:val="clear" w:color="auto" w:fill="auto"/>
          </w:tcPr>
          <w:p w14:paraId="41C2DCDA" w14:textId="3B40ED0D"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446</w:t>
            </w:r>
          </w:p>
        </w:tc>
      </w:tr>
      <w:tr w:rsidR="00575ECF" w:rsidRPr="00934586" w14:paraId="6F6A3C25"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6A4B6833" w14:textId="2A869897"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June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B92CFA2" w14:textId="5C5174E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10,719</w:t>
            </w:r>
          </w:p>
        </w:tc>
        <w:tc>
          <w:tcPr>
            <w:tcW w:w="1656" w:type="dxa"/>
            <w:tcBorders>
              <w:top w:val="single" w:sz="4" w:space="0" w:color="auto"/>
              <w:left w:val="nil"/>
              <w:bottom w:val="single" w:sz="4" w:space="0" w:color="auto"/>
              <w:right w:val="single" w:sz="4" w:space="0" w:color="auto"/>
            </w:tcBorders>
            <w:shd w:val="clear" w:color="auto" w:fill="auto"/>
          </w:tcPr>
          <w:p w14:paraId="2A346EE4" w14:textId="2CF57FA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1,068</w:t>
            </w:r>
          </w:p>
        </w:tc>
        <w:tc>
          <w:tcPr>
            <w:tcW w:w="1656" w:type="dxa"/>
            <w:tcBorders>
              <w:top w:val="single" w:sz="4" w:space="0" w:color="auto"/>
              <w:left w:val="nil"/>
              <w:bottom w:val="single" w:sz="4" w:space="0" w:color="auto"/>
              <w:right w:val="single" w:sz="4" w:space="0" w:color="auto"/>
            </w:tcBorders>
            <w:shd w:val="clear" w:color="auto" w:fill="auto"/>
          </w:tcPr>
          <w:p w14:paraId="388EF007" w14:textId="2C530E8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477</w:t>
            </w:r>
          </w:p>
        </w:tc>
        <w:tc>
          <w:tcPr>
            <w:tcW w:w="1656" w:type="dxa"/>
            <w:tcBorders>
              <w:top w:val="single" w:sz="4" w:space="0" w:color="auto"/>
              <w:left w:val="nil"/>
              <w:bottom w:val="single" w:sz="4" w:space="0" w:color="auto"/>
              <w:right w:val="single" w:sz="4" w:space="0" w:color="auto"/>
            </w:tcBorders>
            <w:shd w:val="clear" w:color="auto" w:fill="auto"/>
          </w:tcPr>
          <w:p w14:paraId="5E9B1628" w14:textId="6C12556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490</w:t>
            </w:r>
          </w:p>
        </w:tc>
        <w:tc>
          <w:tcPr>
            <w:tcW w:w="1656" w:type="dxa"/>
            <w:tcBorders>
              <w:top w:val="single" w:sz="4" w:space="0" w:color="auto"/>
              <w:left w:val="nil"/>
              <w:bottom w:val="single" w:sz="4" w:space="0" w:color="auto"/>
              <w:right w:val="single" w:sz="12" w:space="0" w:color="auto"/>
            </w:tcBorders>
            <w:shd w:val="clear" w:color="auto" w:fill="auto"/>
          </w:tcPr>
          <w:p w14:paraId="7EADDFA8" w14:textId="44D2D81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454</w:t>
            </w:r>
          </w:p>
        </w:tc>
      </w:tr>
      <w:tr w:rsidR="00575ECF" w:rsidRPr="00934586" w14:paraId="6511001C"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3939C7E9" w14:textId="613DB42D"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July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CE213B7" w14:textId="3BFDEDB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11,303</w:t>
            </w:r>
          </w:p>
        </w:tc>
        <w:tc>
          <w:tcPr>
            <w:tcW w:w="1656" w:type="dxa"/>
            <w:tcBorders>
              <w:top w:val="single" w:sz="4" w:space="0" w:color="auto"/>
              <w:left w:val="nil"/>
              <w:bottom w:val="single" w:sz="4" w:space="0" w:color="auto"/>
              <w:right w:val="single" w:sz="4" w:space="0" w:color="auto"/>
            </w:tcBorders>
            <w:shd w:val="clear" w:color="auto" w:fill="auto"/>
          </w:tcPr>
          <w:p w14:paraId="481B3A35" w14:textId="7F73BE9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1,114</w:t>
            </w:r>
          </w:p>
        </w:tc>
        <w:tc>
          <w:tcPr>
            <w:tcW w:w="1656" w:type="dxa"/>
            <w:tcBorders>
              <w:top w:val="single" w:sz="4" w:space="0" w:color="auto"/>
              <w:left w:val="nil"/>
              <w:bottom w:val="single" w:sz="4" w:space="0" w:color="auto"/>
              <w:right w:val="single" w:sz="4" w:space="0" w:color="auto"/>
            </w:tcBorders>
            <w:shd w:val="clear" w:color="auto" w:fill="auto"/>
          </w:tcPr>
          <w:p w14:paraId="5794DE37" w14:textId="6C8C42B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509</w:t>
            </w:r>
          </w:p>
        </w:tc>
        <w:tc>
          <w:tcPr>
            <w:tcW w:w="1656" w:type="dxa"/>
            <w:tcBorders>
              <w:top w:val="single" w:sz="4" w:space="0" w:color="auto"/>
              <w:left w:val="nil"/>
              <w:bottom w:val="single" w:sz="4" w:space="0" w:color="auto"/>
              <w:right w:val="single" w:sz="4" w:space="0" w:color="auto"/>
            </w:tcBorders>
            <w:shd w:val="clear" w:color="auto" w:fill="auto"/>
          </w:tcPr>
          <w:p w14:paraId="051DD174" w14:textId="3D96FA46"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485</w:t>
            </w:r>
          </w:p>
        </w:tc>
        <w:tc>
          <w:tcPr>
            <w:tcW w:w="1656" w:type="dxa"/>
            <w:tcBorders>
              <w:top w:val="single" w:sz="4" w:space="0" w:color="auto"/>
              <w:left w:val="nil"/>
              <w:bottom w:val="single" w:sz="4" w:space="0" w:color="auto"/>
              <w:right w:val="single" w:sz="12" w:space="0" w:color="auto"/>
            </w:tcBorders>
            <w:shd w:val="clear" w:color="auto" w:fill="auto"/>
          </w:tcPr>
          <w:p w14:paraId="63F91113" w14:textId="67B82E4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510</w:t>
            </w:r>
          </w:p>
        </w:tc>
      </w:tr>
      <w:tr w:rsidR="00575ECF" w:rsidRPr="00934586" w14:paraId="498B9CDF"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2102436C" w14:textId="0F6B9458"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August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8FD8487" w14:textId="1794BF9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11,238</w:t>
            </w:r>
          </w:p>
        </w:tc>
        <w:tc>
          <w:tcPr>
            <w:tcW w:w="1656" w:type="dxa"/>
            <w:tcBorders>
              <w:top w:val="single" w:sz="4" w:space="0" w:color="auto"/>
              <w:left w:val="nil"/>
              <w:bottom w:val="single" w:sz="4" w:space="0" w:color="auto"/>
              <w:right w:val="single" w:sz="4" w:space="0" w:color="auto"/>
            </w:tcBorders>
            <w:shd w:val="clear" w:color="auto" w:fill="auto"/>
          </w:tcPr>
          <w:p w14:paraId="50D1F8C6" w14:textId="1474C1C8"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1,140</w:t>
            </w:r>
          </w:p>
        </w:tc>
        <w:tc>
          <w:tcPr>
            <w:tcW w:w="1656" w:type="dxa"/>
            <w:tcBorders>
              <w:top w:val="single" w:sz="4" w:space="0" w:color="auto"/>
              <w:left w:val="nil"/>
              <w:bottom w:val="single" w:sz="4" w:space="0" w:color="auto"/>
              <w:right w:val="single" w:sz="4" w:space="0" w:color="auto"/>
            </w:tcBorders>
            <w:shd w:val="clear" w:color="auto" w:fill="auto"/>
          </w:tcPr>
          <w:p w14:paraId="22419395" w14:textId="073B03C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636</w:t>
            </w:r>
          </w:p>
        </w:tc>
        <w:tc>
          <w:tcPr>
            <w:tcW w:w="1656" w:type="dxa"/>
            <w:tcBorders>
              <w:top w:val="single" w:sz="4" w:space="0" w:color="auto"/>
              <w:left w:val="nil"/>
              <w:bottom w:val="single" w:sz="4" w:space="0" w:color="auto"/>
              <w:right w:val="single" w:sz="4" w:space="0" w:color="auto"/>
            </w:tcBorders>
            <w:shd w:val="clear" w:color="auto" w:fill="auto"/>
          </w:tcPr>
          <w:p w14:paraId="48C771D4" w14:textId="7D861CE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450</w:t>
            </w:r>
          </w:p>
        </w:tc>
        <w:tc>
          <w:tcPr>
            <w:tcW w:w="1656" w:type="dxa"/>
            <w:tcBorders>
              <w:top w:val="single" w:sz="4" w:space="0" w:color="auto"/>
              <w:left w:val="nil"/>
              <w:bottom w:val="single" w:sz="4" w:space="0" w:color="auto"/>
              <w:right w:val="single" w:sz="12" w:space="0" w:color="auto"/>
            </w:tcBorders>
            <w:shd w:val="clear" w:color="auto" w:fill="auto"/>
          </w:tcPr>
          <w:p w14:paraId="26669C6C" w14:textId="1FD3A69F"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460</w:t>
            </w:r>
          </w:p>
        </w:tc>
      </w:tr>
      <w:tr w:rsidR="00575ECF" w:rsidRPr="00934586" w14:paraId="59D92D07"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51B4C9AF" w14:textId="3D858283"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September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947B549" w14:textId="2BA88DD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11,027</w:t>
            </w:r>
          </w:p>
        </w:tc>
        <w:tc>
          <w:tcPr>
            <w:tcW w:w="1656" w:type="dxa"/>
            <w:tcBorders>
              <w:top w:val="single" w:sz="4" w:space="0" w:color="auto"/>
              <w:left w:val="nil"/>
              <w:bottom w:val="single" w:sz="4" w:space="0" w:color="auto"/>
              <w:right w:val="single" w:sz="4" w:space="0" w:color="auto"/>
            </w:tcBorders>
            <w:shd w:val="clear" w:color="auto" w:fill="auto"/>
          </w:tcPr>
          <w:p w14:paraId="5F0296AC" w14:textId="681D3AE9"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1,050</w:t>
            </w:r>
          </w:p>
        </w:tc>
        <w:tc>
          <w:tcPr>
            <w:tcW w:w="1656" w:type="dxa"/>
            <w:tcBorders>
              <w:top w:val="single" w:sz="4" w:space="0" w:color="auto"/>
              <w:left w:val="nil"/>
              <w:bottom w:val="single" w:sz="4" w:space="0" w:color="auto"/>
              <w:right w:val="single" w:sz="4" w:space="0" w:color="auto"/>
            </w:tcBorders>
            <w:shd w:val="clear" w:color="auto" w:fill="auto"/>
          </w:tcPr>
          <w:p w14:paraId="015B2692" w14:textId="57D886D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585</w:t>
            </w:r>
          </w:p>
        </w:tc>
        <w:tc>
          <w:tcPr>
            <w:tcW w:w="1656" w:type="dxa"/>
            <w:tcBorders>
              <w:top w:val="single" w:sz="4" w:space="0" w:color="auto"/>
              <w:left w:val="nil"/>
              <w:bottom w:val="single" w:sz="4" w:space="0" w:color="auto"/>
              <w:right w:val="single" w:sz="4" w:space="0" w:color="auto"/>
            </w:tcBorders>
            <w:shd w:val="clear" w:color="auto" w:fill="auto"/>
          </w:tcPr>
          <w:p w14:paraId="20E3599A" w14:textId="2010049F"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452</w:t>
            </w:r>
          </w:p>
        </w:tc>
        <w:tc>
          <w:tcPr>
            <w:tcW w:w="1656" w:type="dxa"/>
            <w:tcBorders>
              <w:top w:val="single" w:sz="4" w:space="0" w:color="auto"/>
              <w:left w:val="nil"/>
              <w:bottom w:val="single" w:sz="4" w:space="0" w:color="auto"/>
              <w:right w:val="single" w:sz="12" w:space="0" w:color="auto"/>
            </w:tcBorders>
            <w:shd w:val="clear" w:color="auto" w:fill="auto"/>
          </w:tcPr>
          <w:p w14:paraId="4CF12304" w14:textId="15ABD2E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623</w:t>
            </w:r>
          </w:p>
        </w:tc>
      </w:tr>
      <w:tr w:rsidR="00575ECF" w:rsidRPr="00934586" w14:paraId="151B85FA"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5DD8D0C3" w14:textId="22D9C714"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October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B3117D9" w14:textId="598BB3A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11,137</w:t>
            </w:r>
          </w:p>
        </w:tc>
        <w:tc>
          <w:tcPr>
            <w:tcW w:w="1656" w:type="dxa"/>
            <w:tcBorders>
              <w:top w:val="single" w:sz="4" w:space="0" w:color="auto"/>
              <w:left w:val="nil"/>
              <w:bottom w:val="single" w:sz="4" w:space="0" w:color="auto"/>
              <w:right w:val="single" w:sz="4" w:space="0" w:color="auto"/>
            </w:tcBorders>
            <w:shd w:val="clear" w:color="auto" w:fill="auto"/>
          </w:tcPr>
          <w:p w14:paraId="256CD0C0" w14:textId="48204BFE"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1,059</w:t>
            </w:r>
          </w:p>
        </w:tc>
        <w:tc>
          <w:tcPr>
            <w:tcW w:w="1656" w:type="dxa"/>
            <w:tcBorders>
              <w:top w:val="single" w:sz="4" w:space="0" w:color="auto"/>
              <w:left w:val="nil"/>
              <w:bottom w:val="single" w:sz="4" w:space="0" w:color="auto"/>
              <w:right w:val="single" w:sz="4" w:space="0" w:color="auto"/>
            </w:tcBorders>
            <w:shd w:val="clear" w:color="auto" w:fill="auto"/>
          </w:tcPr>
          <w:p w14:paraId="5A912566" w14:textId="4D3D04C0"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563</w:t>
            </w:r>
          </w:p>
        </w:tc>
        <w:tc>
          <w:tcPr>
            <w:tcW w:w="1656" w:type="dxa"/>
            <w:tcBorders>
              <w:top w:val="single" w:sz="4" w:space="0" w:color="auto"/>
              <w:left w:val="nil"/>
              <w:bottom w:val="single" w:sz="4" w:space="0" w:color="auto"/>
              <w:right w:val="single" w:sz="4" w:space="0" w:color="auto"/>
            </w:tcBorders>
            <w:shd w:val="clear" w:color="auto" w:fill="auto"/>
          </w:tcPr>
          <w:p w14:paraId="0D54971E" w14:textId="765F4F5F"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488</w:t>
            </w:r>
          </w:p>
        </w:tc>
        <w:tc>
          <w:tcPr>
            <w:tcW w:w="1656" w:type="dxa"/>
            <w:tcBorders>
              <w:top w:val="single" w:sz="4" w:space="0" w:color="auto"/>
              <w:left w:val="nil"/>
              <w:bottom w:val="single" w:sz="4" w:space="0" w:color="auto"/>
              <w:right w:val="single" w:sz="12" w:space="0" w:color="auto"/>
            </w:tcBorders>
            <w:shd w:val="clear" w:color="auto" w:fill="auto"/>
          </w:tcPr>
          <w:p w14:paraId="0136244E" w14:textId="7B87238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484</w:t>
            </w:r>
          </w:p>
        </w:tc>
      </w:tr>
      <w:tr w:rsidR="00575ECF" w:rsidRPr="00934586" w14:paraId="512B8574"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2A22F0A9" w14:textId="63DD806D"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November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20793CB" w14:textId="448AC7FE"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10,837</w:t>
            </w:r>
          </w:p>
        </w:tc>
        <w:tc>
          <w:tcPr>
            <w:tcW w:w="1656" w:type="dxa"/>
            <w:tcBorders>
              <w:top w:val="single" w:sz="4" w:space="0" w:color="auto"/>
              <w:left w:val="nil"/>
              <w:bottom w:val="single" w:sz="4" w:space="0" w:color="auto"/>
              <w:right w:val="single" w:sz="4" w:space="0" w:color="auto"/>
            </w:tcBorders>
            <w:shd w:val="clear" w:color="auto" w:fill="auto"/>
          </w:tcPr>
          <w:p w14:paraId="17BD8E64" w14:textId="27EAAEC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1,034</w:t>
            </w:r>
          </w:p>
        </w:tc>
        <w:tc>
          <w:tcPr>
            <w:tcW w:w="1656" w:type="dxa"/>
            <w:tcBorders>
              <w:top w:val="single" w:sz="4" w:space="0" w:color="auto"/>
              <w:left w:val="nil"/>
              <w:bottom w:val="single" w:sz="4" w:space="0" w:color="auto"/>
              <w:right w:val="single" w:sz="4" w:space="0" w:color="auto"/>
            </w:tcBorders>
            <w:shd w:val="clear" w:color="auto" w:fill="auto"/>
          </w:tcPr>
          <w:p w14:paraId="5E0C5C48" w14:textId="19B371A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679</w:t>
            </w:r>
          </w:p>
        </w:tc>
        <w:tc>
          <w:tcPr>
            <w:tcW w:w="1656" w:type="dxa"/>
            <w:tcBorders>
              <w:top w:val="single" w:sz="4" w:space="0" w:color="auto"/>
              <w:left w:val="nil"/>
              <w:bottom w:val="single" w:sz="4" w:space="0" w:color="auto"/>
              <w:right w:val="single" w:sz="4" w:space="0" w:color="auto"/>
            </w:tcBorders>
            <w:shd w:val="clear" w:color="auto" w:fill="auto"/>
          </w:tcPr>
          <w:p w14:paraId="1B3D1AB6" w14:textId="2B677A39"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442</w:t>
            </w:r>
          </w:p>
        </w:tc>
        <w:tc>
          <w:tcPr>
            <w:tcW w:w="1656" w:type="dxa"/>
            <w:tcBorders>
              <w:top w:val="single" w:sz="4" w:space="0" w:color="auto"/>
              <w:left w:val="nil"/>
              <w:bottom w:val="single" w:sz="4" w:space="0" w:color="auto"/>
              <w:right w:val="single" w:sz="12" w:space="0" w:color="auto"/>
            </w:tcBorders>
            <w:shd w:val="clear" w:color="auto" w:fill="auto"/>
          </w:tcPr>
          <w:p w14:paraId="123688D1" w14:textId="0A668E8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427</w:t>
            </w:r>
          </w:p>
        </w:tc>
      </w:tr>
      <w:tr w:rsidR="00575ECF" w:rsidRPr="00934586" w14:paraId="4A7B0F15"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0E7DCF4E" w14:textId="3A014E86"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December 2021</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17C58E3" w14:textId="3F558538"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11,930</w:t>
            </w:r>
          </w:p>
        </w:tc>
        <w:tc>
          <w:tcPr>
            <w:tcW w:w="1656" w:type="dxa"/>
            <w:tcBorders>
              <w:top w:val="single" w:sz="4" w:space="0" w:color="auto"/>
              <w:left w:val="nil"/>
              <w:bottom w:val="single" w:sz="4" w:space="0" w:color="auto"/>
              <w:right w:val="single" w:sz="4" w:space="0" w:color="auto"/>
            </w:tcBorders>
            <w:shd w:val="clear" w:color="auto" w:fill="auto"/>
          </w:tcPr>
          <w:p w14:paraId="3A6AC42C" w14:textId="41C7AE98"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1,005</w:t>
            </w:r>
          </w:p>
        </w:tc>
        <w:tc>
          <w:tcPr>
            <w:tcW w:w="1656" w:type="dxa"/>
            <w:tcBorders>
              <w:top w:val="single" w:sz="4" w:space="0" w:color="auto"/>
              <w:left w:val="nil"/>
              <w:bottom w:val="single" w:sz="4" w:space="0" w:color="auto"/>
              <w:right w:val="single" w:sz="4" w:space="0" w:color="auto"/>
            </w:tcBorders>
            <w:shd w:val="clear" w:color="auto" w:fill="auto"/>
          </w:tcPr>
          <w:p w14:paraId="2CF49F4E" w14:textId="6F07ECF7"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668</w:t>
            </w:r>
          </w:p>
        </w:tc>
        <w:tc>
          <w:tcPr>
            <w:tcW w:w="1656" w:type="dxa"/>
            <w:tcBorders>
              <w:top w:val="single" w:sz="4" w:space="0" w:color="auto"/>
              <w:left w:val="nil"/>
              <w:bottom w:val="single" w:sz="4" w:space="0" w:color="auto"/>
              <w:right w:val="single" w:sz="4" w:space="0" w:color="auto"/>
            </w:tcBorders>
            <w:shd w:val="clear" w:color="auto" w:fill="auto"/>
          </w:tcPr>
          <w:p w14:paraId="3F904C93" w14:textId="28E2EB6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465</w:t>
            </w:r>
          </w:p>
        </w:tc>
        <w:tc>
          <w:tcPr>
            <w:tcW w:w="1656" w:type="dxa"/>
            <w:tcBorders>
              <w:top w:val="single" w:sz="4" w:space="0" w:color="auto"/>
              <w:left w:val="nil"/>
              <w:bottom w:val="single" w:sz="4" w:space="0" w:color="auto"/>
              <w:right w:val="single" w:sz="12" w:space="0" w:color="auto"/>
            </w:tcBorders>
            <w:shd w:val="clear" w:color="auto" w:fill="auto"/>
          </w:tcPr>
          <w:p w14:paraId="1DD68A0E" w14:textId="3620863C"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467</w:t>
            </w:r>
          </w:p>
        </w:tc>
      </w:tr>
      <w:tr w:rsidR="00575ECF" w:rsidRPr="00934586" w14:paraId="3BEBD2D1"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57B1BA26" w14:textId="4FE67BD6"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January 2022</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83F1BFE" w14:textId="3BA17CD8"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10,083</w:t>
            </w:r>
          </w:p>
        </w:tc>
        <w:tc>
          <w:tcPr>
            <w:tcW w:w="1656" w:type="dxa"/>
            <w:tcBorders>
              <w:top w:val="single" w:sz="4" w:space="0" w:color="auto"/>
              <w:left w:val="nil"/>
              <w:bottom w:val="single" w:sz="4" w:space="0" w:color="auto"/>
              <w:right w:val="single" w:sz="4" w:space="0" w:color="auto"/>
            </w:tcBorders>
            <w:shd w:val="clear" w:color="auto" w:fill="auto"/>
          </w:tcPr>
          <w:p w14:paraId="0821D776" w14:textId="58215EC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860</w:t>
            </w:r>
          </w:p>
        </w:tc>
        <w:tc>
          <w:tcPr>
            <w:tcW w:w="1656" w:type="dxa"/>
            <w:tcBorders>
              <w:top w:val="single" w:sz="4" w:space="0" w:color="auto"/>
              <w:left w:val="nil"/>
              <w:bottom w:val="single" w:sz="4" w:space="0" w:color="auto"/>
              <w:right w:val="single" w:sz="4" w:space="0" w:color="auto"/>
            </w:tcBorders>
            <w:shd w:val="clear" w:color="auto" w:fill="auto"/>
          </w:tcPr>
          <w:p w14:paraId="15538AD5" w14:textId="0E75C2C0"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638</w:t>
            </w:r>
          </w:p>
        </w:tc>
        <w:tc>
          <w:tcPr>
            <w:tcW w:w="1656" w:type="dxa"/>
            <w:tcBorders>
              <w:top w:val="single" w:sz="4" w:space="0" w:color="auto"/>
              <w:left w:val="nil"/>
              <w:bottom w:val="single" w:sz="4" w:space="0" w:color="auto"/>
              <w:right w:val="single" w:sz="4" w:space="0" w:color="auto"/>
            </w:tcBorders>
            <w:shd w:val="clear" w:color="auto" w:fill="auto"/>
          </w:tcPr>
          <w:p w14:paraId="4101D35D" w14:textId="277B568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458</w:t>
            </w:r>
          </w:p>
        </w:tc>
        <w:tc>
          <w:tcPr>
            <w:tcW w:w="1656" w:type="dxa"/>
            <w:tcBorders>
              <w:top w:val="single" w:sz="4" w:space="0" w:color="auto"/>
              <w:left w:val="nil"/>
              <w:bottom w:val="single" w:sz="4" w:space="0" w:color="auto"/>
              <w:right w:val="single" w:sz="12" w:space="0" w:color="auto"/>
            </w:tcBorders>
            <w:shd w:val="clear" w:color="auto" w:fill="auto"/>
          </w:tcPr>
          <w:p w14:paraId="7E166349" w14:textId="02546706"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709</w:t>
            </w:r>
          </w:p>
        </w:tc>
      </w:tr>
      <w:tr w:rsidR="00575ECF" w:rsidRPr="00934586" w14:paraId="7C9A4A37"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4036D109" w14:textId="50D9A3C1"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February 2022</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1FE262E" w14:textId="787DBF09"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8,979</w:t>
            </w:r>
          </w:p>
        </w:tc>
        <w:tc>
          <w:tcPr>
            <w:tcW w:w="1656" w:type="dxa"/>
            <w:tcBorders>
              <w:top w:val="single" w:sz="4" w:space="0" w:color="auto"/>
              <w:left w:val="nil"/>
              <w:bottom w:val="single" w:sz="4" w:space="0" w:color="auto"/>
              <w:right w:val="single" w:sz="4" w:space="0" w:color="auto"/>
            </w:tcBorders>
            <w:shd w:val="clear" w:color="auto" w:fill="auto"/>
          </w:tcPr>
          <w:p w14:paraId="5E0B795E" w14:textId="7530FB1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798</w:t>
            </w:r>
          </w:p>
        </w:tc>
        <w:tc>
          <w:tcPr>
            <w:tcW w:w="1656" w:type="dxa"/>
            <w:tcBorders>
              <w:top w:val="single" w:sz="4" w:space="0" w:color="auto"/>
              <w:left w:val="nil"/>
              <w:bottom w:val="single" w:sz="4" w:space="0" w:color="auto"/>
              <w:right w:val="single" w:sz="4" w:space="0" w:color="auto"/>
            </w:tcBorders>
            <w:shd w:val="clear" w:color="auto" w:fill="auto"/>
          </w:tcPr>
          <w:p w14:paraId="793BF000" w14:textId="06FBACE8"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552</w:t>
            </w:r>
          </w:p>
        </w:tc>
        <w:tc>
          <w:tcPr>
            <w:tcW w:w="1656" w:type="dxa"/>
            <w:tcBorders>
              <w:top w:val="single" w:sz="4" w:space="0" w:color="auto"/>
              <w:left w:val="nil"/>
              <w:bottom w:val="single" w:sz="4" w:space="0" w:color="auto"/>
              <w:right w:val="single" w:sz="4" w:space="0" w:color="auto"/>
            </w:tcBorders>
            <w:shd w:val="clear" w:color="auto" w:fill="auto"/>
          </w:tcPr>
          <w:p w14:paraId="0B731C93" w14:textId="200054F4"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447</w:t>
            </w:r>
          </w:p>
        </w:tc>
        <w:tc>
          <w:tcPr>
            <w:tcW w:w="1656" w:type="dxa"/>
            <w:tcBorders>
              <w:top w:val="single" w:sz="4" w:space="0" w:color="auto"/>
              <w:left w:val="nil"/>
              <w:bottom w:val="single" w:sz="4" w:space="0" w:color="auto"/>
              <w:right w:val="single" w:sz="12" w:space="0" w:color="auto"/>
            </w:tcBorders>
            <w:shd w:val="clear" w:color="auto" w:fill="auto"/>
          </w:tcPr>
          <w:p w14:paraId="5A1BEE85" w14:textId="427FB5A9"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553</w:t>
            </w:r>
          </w:p>
        </w:tc>
      </w:tr>
      <w:tr w:rsidR="00575ECF" w:rsidRPr="00934586" w14:paraId="3B2AED23"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134E0C1B" w14:textId="73C537F0"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March 2022</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4333164" w14:textId="0F60D8E8"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11,122</w:t>
            </w:r>
          </w:p>
        </w:tc>
        <w:tc>
          <w:tcPr>
            <w:tcW w:w="1656" w:type="dxa"/>
            <w:tcBorders>
              <w:top w:val="single" w:sz="4" w:space="0" w:color="auto"/>
              <w:left w:val="nil"/>
              <w:bottom w:val="single" w:sz="4" w:space="0" w:color="auto"/>
              <w:right w:val="single" w:sz="4" w:space="0" w:color="auto"/>
            </w:tcBorders>
            <w:shd w:val="clear" w:color="auto" w:fill="auto"/>
          </w:tcPr>
          <w:p w14:paraId="2AFA8B0B" w14:textId="439A7DF4"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1,002</w:t>
            </w:r>
          </w:p>
        </w:tc>
        <w:tc>
          <w:tcPr>
            <w:tcW w:w="1656" w:type="dxa"/>
            <w:tcBorders>
              <w:top w:val="single" w:sz="4" w:space="0" w:color="auto"/>
              <w:left w:val="nil"/>
              <w:bottom w:val="single" w:sz="4" w:space="0" w:color="auto"/>
              <w:right w:val="single" w:sz="4" w:space="0" w:color="auto"/>
            </w:tcBorders>
            <w:shd w:val="clear" w:color="auto" w:fill="auto"/>
          </w:tcPr>
          <w:p w14:paraId="68B4E3EF" w14:textId="5A1FAC0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608</w:t>
            </w:r>
          </w:p>
        </w:tc>
        <w:tc>
          <w:tcPr>
            <w:tcW w:w="1656" w:type="dxa"/>
            <w:tcBorders>
              <w:top w:val="single" w:sz="4" w:space="0" w:color="auto"/>
              <w:left w:val="nil"/>
              <w:bottom w:val="single" w:sz="4" w:space="0" w:color="auto"/>
              <w:right w:val="single" w:sz="4" w:space="0" w:color="auto"/>
            </w:tcBorders>
            <w:shd w:val="clear" w:color="auto" w:fill="auto"/>
          </w:tcPr>
          <w:p w14:paraId="7E9937D7" w14:textId="3FA154B0"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506</w:t>
            </w:r>
          </w:p>
        </w:tc>
        <w:tc>
          <w:tcPr>
            <w:tcW w:w="1656" w:type="dxa"/>
            <w:tcBorders>
              <w:top w:val="single" w:sz="4" w:space="0" w:color="auto"/>
              <w:left w:val="nil"/>
              <w:bottom w:val="single" w:sz="4" w:space="0" w:color="auto"/>
              <w:right w:val="single" w:sz="12" w:space="0" w:color="auto"/>
            </w:tcBorders>
            <w:shd w:val="clear" w:color="auto" w:fill="auto"/>
          </w:tcPr>
          <w:p w14:paraId="57002226" w14:textId="76B9DEF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487</w:t>
            </w:r>
          </w:p>
        </w:tc>
      </w:tr>
      <w:tr w:rsidR="00575ECF" w:rsidRPr="00934586" w14:paraId="24A42B6B"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099352A0" w14:textId="4595FF98"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April 2022</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3D56FE1" w14:textId="7FA9BDC3"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10,925</w:t>
            </w:r>
          </w:p>
        </w:tc>
        <w:tc>
          <w:tcPr>
            <w:tcW w:w="1656" w:type="dxa"/>
            <w:tcBorders>
              <w:top w:val="single" w:sz="4" w:space="0" w:color="auto"/>
              <w:left w:val="nil"/>
              <w:bottom w:val="single" w:sz="4" w:space="0" w:color="auto"/>
              <w:right w:val="single" w:sz="4" w:space="0" w:color="auto"/>
            </w:tcBorders>
            <w:shd w:val="clear" w:color="auto" w:fill="auto"/>
          </w:tcPr>
          <w:p w14:paraId="5E320DF0" w14:textId="2881023E"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989</w:t>
            </w:r>
          </w:p>
        </w:tc>
        <w:tc>
          <w:tcPr>
            <w:tcW w:w="1656" w:type="dxa"/>
            <w:tcBorders>
              <w:top w:val="single" w:sz="4" w:space="0" w:color="auto"/>
              <w:left w:val="nil"/>
              <w:bottom w:val="single" w:sz="4" w:space="0" w:color="auto"/>
              <w:right w:val="single" w:sz="4" w:space="0" w:color="auto"/>
            </w:tcBorders>
            <w:shd w:val="clear" w:color="auto" w:fill="auto"/>
          </w:tcPr>
          <w:p w14:paraId="414D8C20" w14:textId="277F0067"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659</w:t>
            </w:r>
          </w:p>
        </w:tc>
        <w:tc>
          <w:tcPr>
            <w:tcW w:w="1656" w:type="dxa"/>
            <w:tcBorders>
              <w:top w:val="single" w:sz="4" w:space="0" w:color="auto"/>
              <w:left w:val="nil"/>
              <w:bottom w:val="single" w:sz="4" w:space="0" w:color="auto"/>
              <w:right w:val="single" w:sz="4" w:space="0" w:color="auto"/>
            </w:tcBorders>
            <w:shd w:val="clear" w:color="auto" w:fill="auto"/>
          </w:tcPr>
          <w:p w14:paraId="57057C98" w14:textId="17515755"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458</w:t>
            </w:r>
          </w:p>
        </w:tc>
        <w:tc>
          <w:tcPr>
            <w:tcW w:w="1656" w:type="dxa"/>
            <w:tcBorders>
              <w:top w:val="single" w:sz="4" w:space="0" w:color="auto"/>
              <w:left w:val="nil"/>
              <w:bottom w:val="single" w:sz="4" w:space="0" w:color="auto"/>
              <w:right w:val="single" w:sz="12" w:space="0" w:color="auto"/>
            </w:tcBorders>
            <w:shd w:val="clear" w:color="auto" w:fill="auto"/>
          </w:tcPr>
          <w:p w14:paraId="0889AC50" w14:textId="03C3CC04"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542</w:t>
            </w:r>
          </w:p>
        </w:tc>
      </w:tr>
      <w:tr w:rsidR="00575ECF" w:rsidRPr="00934586" w14:paraId="02C3A54B"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7E3E28D2" w14:textId="7601140E"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May 2022</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B10A02" w14:textId="201D8AFC"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11,483</w:t>
            </w:r>
          </w:p>
        </w:tc>
        <w:tc>
          <w:tcPr>
            <w:tcW w:w="1656" w:type="dxa"/>
            <w:tcBorders>
              <w:top w:val="single" w:sz="4" w:space="0" w:color="auto"/>
              <w:left w:val="nil"/>
              <w:bottom w:val="single" w:sz="4" w:space="0" w:color="auto"/>
              <w:right w:val="single" w:sz="4" w:space="0" w:color="auto"/>
            </w:tcBorders>
            <w:shd w:val="clear" w:color="auto" w:fill="auto"/>
          </w:tcPr>
          <w:p w14:paraId="6FD9C32B" w14:textId="265D4747"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1,018</w:t>
            </w:r>
          </w:p>
        </w:tc>
        <w:tc>
          <w:tcPr>
            <w:tcW w:w="1656" w:type="dxa"/>
            <w:tcBorders>
              <w:top w:val="single" w:sz="4" w:space="0" w:color="auto"/>
              <w:left w:val="nil"/>
              <w:bottom w:val="single" w:sz="4" w:space="0" w:color="auto"/>
              <w:right w:val="single" w:sz="4" w:space="0" w:color="auto"/>
            </w:tcBorders>
            <w:shd w:val="clear" w:color="auto" w:fill="auto"/>
          </w:tcPr>
          <w:p w14:paraId="10213DAA" w14:textId="50570F8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634</w:t>
            </w:r>
          </w:p>
        </w:tc>
        <w:tc>
          <w:tcPr>
            <w:tcW w:w="1656" w:type="dxa"/>
            <w:tcBorders>
              <w:top w:val="single" w:sz="4" w:space="0" w:color="auto"/>
              <w:left w:val="nil"/>
              <w:bottom w:val="single" w:sz="4" w:space="0" w:color="auto"/>
              <w:right w:val="single" w:sz="4" w:space="0" w:color="auto"/>
            </w:tcBorders>
            <w:shd w:val="clear" w:color="auto" w:fill="auto"/>
          </w:tcPr>
          <w:p w14:paraId="66474BBE" w14:textId="3AAB184D"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477</w:t>
            </w:r>
          </w:p>
        </w:tc>
        <w:tc>
          <w:tcPr>
            <w:tcW w:w="1656" w:type="dxa"/>
            <w:tcBorders>
              <w:top w:val="single" w:sz="4" w:space="0" w:color="auto"/>
              <w:left w:val="nil"/>
              <w:bottom w:val="single" w:sz="4" w:space="0" w:color="auto"/>
              <w:right w:val="single" w:sz="12" w:space="0" w:color="auto"/>
            </w:tcBorders>
            <w:shd w:val="clear" w:color="auto" w:fill="auto"/>
          </w:tcPr>
          <w:p w14:paraId="58319F93" w14:textId="00D9EB81"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500</w:t>
            </w:r>
          </w:p>
        </w:tc>
      </w:tr>
      <w:tr w:rsidR="00575ECF" w:rsidRPr="00934586" w14:paraId="2B19422D" w14:textId="77777777" w:rsidTr="00E35993">
        <w:trPr>
          <w:cantSplit/>
          <w:trHeight w:val="144"/>
          <w:jc w:val="center"/>
        </w:trPr>
        <w:tc>
          <w:tcPr>
            <w:tcW w:w="1631" w:type="dxa"/>
            <w:tcBorders>
              <w:top w:val="single" w:sz="4" w:space="0" w:color="auto"/>
              <w:left w:val="single" w:sz="12" w:space="0" w:color="auto"/>
              <w:bottom w:val="single" w:sz="4" w:space="0" w:color="auto"/>
              <w:right w:val="single" w:sz="4" w:space="0" w:color="auto"/>
            </w:tcBorders>
          </w:tcPr>
          <w:p w14:paraId="0E6C6392" w14:textId="564665EE"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June 2022</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F3496C0" w14:textId="1FC8DAB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10,975</w:t>
            </w:r>
          </w:p>
        </w:tc>
        <w:tc>
          <w:tcPr>
            <w:tcW w:w="1656" w:type="dxa"/>
            <w:tcBorders>
              <w:top w:val="single" w:sz="4" w:space="0" w:color="auto"/>
              <w:left w:val="nil"/>
              <w:bottom w:val="single" w:sz="4" w:space="0" w:color="auto"/>
              <w:right w:val="single" w:sz="4" w:space="0" w:color="auto"/>
            </w:tcBorders>
            <w:shd w:val="clear" w:color="auto" w:fill="auto"/>
          </w:tcPr>
          <w:p w14:paraId="4F88453A" w14:textId="3722A162"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978</w:t>
            </w:r>
          </w:p>
        </w:tc>
        <w:tc>
          <w:tcPr>
            <w:tcW w:w="1656" w:type="dxa"/>
            <w:tcBorders>
              <w:top w:val="single" w:sz="4" w:space="0" w:color="auto"/>
              <w:left w:val="nil"/>
              <w:bottom w:val="single" w:sz="4" w:space="0" w:color="auto"/>
              <w:right w:val="single" w:sz="4" w:space="0" w:color="auto"/>
            </w:tcBorders>
            <w:shd w:val="clear" w:color="auto" w:fill="auto"/>
          </w:tcPr>
          <w:p w14:paraId="39D4971D" w14:textId="60D4500F"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610</w:t>
            </w:r>
          </w:p>
        </w:tc>
        <w:tc>
          <w:tcPr>
            <w:tcW w:w="1656" w:type="dxa"/>
            <w:tcBorders>
              <w:top w:val="single" w:sz="4" w:space="0" w:color="auto"/>
              <w:left w:val="nil"/>
              <w:bottom w:val="single" w:sz="4" w:space="0" w:color="auto"/>
              <w:right w:val="single" w:sz="4" w:space="0" w:color="auto"/>
            </w:tcBorders>
            <w:shd w:val="clear" w:color="auto" w:fill="auto"/>
          </w:tcPr>
          <w:p w14:paraId="2BB61398" w14:textId="7E6BF847"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442</w:t>
            </w:r>
          </w:p>
        </w:tc>
        <w:tc>
          <w:tcPr>
            <w:tcW w:w="1656" w:type="dxa"/>
            <w:tcBorders>
              <w:top w:val="single" w:sz="4" w:space="0" w:color="auto"/>
              <w:left w:val="nil"/>
              <w:bottom w:val="single" w:sz="4" w:space="0" w:color="auto"/>
              <w:right w:val="single" w:sz="12" w:space="0" w:color="auto"/>
            </w:tcBorders>
            <w:shd w:val="clear" w:color="auto" w:fill="auto"/>
          </w:tcPr>
          <w:p w14:paraId="031A82D1" w14:textId="34ACA65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778</w:t>
            </w:r>
          </w:p>
        </w:tc>
      </w:tr>
      <w:tr w:rsidR="00575ECF" w:rsidRPr="00934586" w14:paraId="330A0E1A" w14:textId="77777777" w:rsidTr="00E35993">
        <w:trPr>
          <w:cantSplit/>
          <w:trHeight w:val="144"/>
          <w:jc w:val="center"/>
        </w:trPr>
        <w:tc>
          <w:tcPr>
            <w:tcW w:w="1631" w:type="dxa"/>
            <w:tcBorders>
              <w:top w:val="single" w:sz="4" w:space="0" w:color="auto"/>
              <w:left w:val="single" w:sz="12" w:space="0" w:color="auto"/>
              <w:bottom w:val="single" w:sz="12" w:space="0" w:color="auto"/>
              <w:right w:val="single" w:sz="4" w:space="0" w:color="auto"/>
            </w:tcBorders>
          </w:tcPr>
          <w:p w14:paraId="5D0D4643" w14:textId="3788C50F" w:rsidR="00575ECF" w:rsidRPr="00934586" w:rsidRDefault="00575ECF" w:rsidP="00575ECF">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July 2022</w:t>
            </w:r>
          </w:p>
        </w:tc>
        <w:tc>
          <w:tcPr>
            <w:tcW w:w="1655" w:type="dxa"/>
            <w:tcBorders>
              <w:top w:val="single" w:sz="4" w:space="0" w:color="auto"/>
              <w:left w:val="single" w:sz="4" w:space="0" w:color="auto"/>
              <w:bottom w:val="single" w:sz="12" w:space="0" w:color="auto"/>
              <w:right w:val="single" w:sz="4" w:space="0" w:color="auto"/>
            </w:tcBorders>
            <w:shd w:val="clear" w:color="auto" w:fill="auto"/>
          </w:tcPr>
          <w:p w14:paraId="614D6296" w14:textId="3549D4F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11,157</w:t>
            </w:r>
          </w:p>
        </w:tc>
        <w:tc>
          <w:tcPr>
            <w:tcW w:w="1656" w:type="dxa"/>
            <w:tcBorders>
              <w:top w:val="single" w:sz="4" w:space="0" w:color="auto"/>
              <w:left w:val="nil"/>
              <w:bottom w:val="single" w:sz="12" w:space="0" w:color="auto"/>
              <w:right w:val="single" w:sz="4" w:space="0" w:color="auto"/>
            </w:tcBorders>
            <w:shd w:val="clear" w:color="auto" w:fill="auto"/>
          </w:tcPr>
          <w:p w14:paraId="70CC040F" w14:textId="181E4C2E"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932</w:t>
            </w:r>
          </w:p>
        </w:tc>
        <w:tc>
          <w:tcPr>
            <w:tcW w:w="1656" w:type="dxa"/>
            <w:tcBorders>
              <w:top w:val="single" w:sz="4" w:space="0" w:color="auto"/>
              <w:left w:val="nil"/>
              <w:bottom w:val="single" w:sz="12" w:space="0" w:color="auto"/>
              <w:right w:val="single" w:sz="4" w:space="0" w:color="auto"/>
            </w:tcBorders>
            <w:shd w:val="clear" w:color="auto" w:fill="auto"/>
          </w:tcPr>
          <w:p w14:paraId="5DC49F0B" w14:textId="3A520B5A"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746</w:t>
            </w:r>
          </w:p>
        </w:tc>
        <w:tc>
          <w:tcPr>
            <w:tcW w:w="1656" w:type="dxa"/>
            <w:tcBorders>
              <w:top w:val="single" w:sz="4" w:space="0" w:color="auto"/>
              <w:left w:val="nil"/>
              <w:bottom w:val="single" w:sz="12" w:space="0" w:color="auto"/>
              <w:right w:val="single" w:sz="4" w:space="0" w:color="auto"/>
            </w:tcBorders>
            <w:shd w:val="clear" w:color="auto" w:fill="auto"/>
          </w:tcPr>
          <w:p w14:paraId="5B1662E7" w14:textId="491F5A90"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418</w:t>
            </w:r>
          </w:p>
        </w:tc>
        <w:tc>
          <w:tcPr>
            <w:tcW w:w="1656" w:type="dxa"/>
            <w:tcBorders>
              <w:top w:val="single" w:sz="4" w:space="0" w:color="auto"/>
              <w:left w:val="nil"/>
              <w:bottom w:val="single" w:sz="12" w:space="0" w:color="auto"/>
              <w:right w:val="single" w:sz="12" w:space="0" w:color="auto"/>
            </w:tcBorders>
            <w:shd w:val="clear" w:color="auto" w:fill="auto"/>
          </w:tcPr>
          <w:p w14:paraId="04DD2611" w14:textId="667CF09B" w:rsidR="00575ECF" w:rsidRPr="00934586" w:rsidRDefault="00575ECF" w:rsidP="00575ECF">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492</w:t>
            </w:r>
          </w:p>
        </w:tc>
      </w:tr>
    </w:tbl>
    <w:p w14:paraId="65C17729" w14:textId="77777777" w:rsidR="00536B22" w:rsidRPr="007B5E25" w:rsidRDefault="00536B22" w:rsidP="00575ECF">
      <w:pPr>
        <w:spacing w:after="120"/>
        <w:rPr>
          <w:rFonts w:ascii="Arial" w:hAnsi="Arial" w:cs="Arial"/>
        </w:rPr>
      </w:pPr>
    </w:p>
    <w:p w14:paraId="653097C3" w14:textId="3F4E9E7E" w:rsidR="00FE0B49" w:rsidRDefault="005506E6" w:rsidP="00683BFC">
      <w:pPr>
        <w:pStyle w:val="ListParagraph"/>
        <w:numPr>
          <w:ilvl w:val="0"/>
          <w:numId w:val="29"/>
        </w:numPr>
        <w:contextualSpacing w:val="0"/>
        <w:jc w:val="both"/>
        <w:rPr>
          <w:rFonts w:ascii="Arial" w:hAnsi="Arial" w:cs="Arial"/>
          <w:b/>
          <w:bCs/>
        </w:rPr>
      </w:pPr>
      <w:r w:rsidRPr="008962E8">
        <w:rPr>
          <w:rFonts w:ascii="Arial" w:hAnsi="Arial" w:cs="Arial"/>
          <w:b/>
          <w:bCs/>
        </w:rPr>
        <w:t xml:space="preserve">You state that one consequence of ED backlogs is that patients leave without being seen. Can you provide monthly statistics for FY 22 </w:t>
      </w:r>
      <w:r w:rsidR="008124F5" w:rsidRPr="008962E8">
        <w:rPr>
          <w:rFonts w:ascii="Arial" w:hAnsi="Arial" w:cs="Arial"/>
          <w:b/>
          <w:bCs/>
        </w:rPr>
        <w:t>YTD?</w:t>
      </w:r>
    </w:p>
    <w:tbl>
      <w:tblPr>
        <w:tblW w:w="6385" w:type="dxa"/>
        <w:jc w:val="center"/>
        <w:tblLook w:val="04A0" w:firstRow="1" w:lastRow="0" w:firstColumn="1" w:lastColumn="0" w:noHBand="0" w:noVBand="1"/>
      </w:tblPr>
      <w:tblGrid>
        <w:gridCol w:w="3192"/>
        <w:gridCol w:w="3193"/>
      </w:tblGrid>
      <w:tr w:rsidR="00575ECF" w:rsidRPr="00934586" w14:paraId="00A0BF6D" w14:textId="77777777" w:rsidTr="009C4662">
        <w:trPr>
          <w:cantSplit/>
          <w:trHeight w:val="422"/>
          <w:tblHeader/>
          <w:jc w:val="center"/>
        </w:trPr>
        <w:tc>
          <w:tcPr>
            <w:tcW w:w="3192" w:type="dxa"/>
            <w:tcBorders>
              <w:top w:val="single" w:sz="12" w:space="0" w:color="auto"/>
              <w:left w:val="single" w:sz="12" w:space="0" w:color="auto"/>
              <w:bottom w:val="single" w:sz="12" w:space="0" w:color="auto"/>
              <w:right w:val="single" w:sz="4" w:space="0" w:color="auto"/>
            </w:tcBorders>
            <w:shd w:val="clear" w:color="000000" w:fill="F2F2F2"/>
            <w:vAlign w:val="center"/>
          </w:tcPr>
          <w:p w14:paraId="36B7CDD4"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Month</w:t>
            </w:r>
          </w:p>
        </w:tc>
        <w:tc>
          <w:tcPr>
            <w:tcW w:w="3193" w:type="dxa"/>
            <w:tcBorders>
              <w:top w:val="single" w:sz="12" w:space="0" w:color="auto"/>
              <w:left w:val="single" w:sz="4" w:space="0" w:color="auto"/>
              <w:bottom w:val="single" w:sz="12" w:space="0" w:color="auto"/>
              <w:right w:val="single" w:sz="12" w:space="0" w:color="auto"/>
            </w:tcBorders>
            <w:shd w:val="clear" w:color="000000" w:fill="F2F2F2"/>
            <w:vAlign w:val="center"/>
            <w:hideMark/>
          </w:tcPr>
          <w:p w14:paraId="446004E6" w14:textId="41F28256" w:rsidR="00575ECF" w:rsidRPr="00934586" w:rsidRDefault="00575ECF" w:rsidP="00542F75">
            <w:pPr>
              <w:spacing w:after="0" w:line="240" w:lineRule="auto"/>
              <w:jc w:val="center"/>
              <w:rPr>
                <w:rFonts w:ascii="Arial Narrow" w:eastAsia="Times New Roman" w:hAnsi="Arial Narrow" w:cs="Arial"/>
                <w:b/>
                <w:bCs/>
                <w:color w:val="000000"/>
              </w:rPr>
            </w:pPr>
            <w:r w:rsidRPr="00934586">
              <w:rPr>
                <w:rFonts w:ascii="Arial Narrow" w:eastAsia="Times New Roman" w:hAnsi="Arial Narrow" w:cs="Arial"/>
                <w:b/>
                <w:bCs/>
                <w:color w:val="000000"/>
              </w:rPr>
              <w:t xml:space="preserve">Number of </w:t>
            </w:r>
            <w:r w:rsidR="00683BFC">
              <w:rPr>
                <w:rFonts w:ascii="Arial Narrow" w:eastAsia="Times New Roman" w:hAnsi="Arial Narrow" w:cs="Arial"/>
                <w:b/>
                <w:bCs/>
                <w:color w:val="000000"/>
              </w:rPr>
              <w:t>Patients LWOBS</w:t>
            </w:r>
          </w:p>
        </w:tc>
      </w:tr>
      <w:tr w:rsidR="00575ECF" w:rsidRPr="00934586" w14:paraId="55682C14" w14:textId="77777777" w:rsidTr="009C4662">
        <w:trPr>
          <w:cantSplit/>
          <w:trHeight w:val="144"/>
          <w:jc w:val="center"/>
        </w:trPr>
        <w:tc>
          <w:tcPr>
            <w:tcW w:w="3192" w:type="dxa"/>
            <w:tcBorders>
              <w:top w:val="single" w:sz="12" w:space="0" w:color="auto"/>
              <w:left w:val="single" w:sz="12" w:space="0" w:color="auto"/>
              <w:bottom w:val="single" w:sz="4" w:space="0" w:color="auto"/>
              <w:right w:val="single" w:sz="4" w:space="0" w:color="auto"/>
            </w:tcBorders>
          </w:tcPr>
          <w:p w14:paraId="1ABCBB11"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October 2021</w:t>
            </w:r>
          </w:p>
        </w:tc>
        <w:tc>
          <w:tcPr>
            <w:tcW w:w="3193" w:type="dxa"/>
            <w:tcBorders>
              <w:top w:val="single" w:sz="12" w:space="0" w:color="auto"/>
              <w:left w:val="single" w:sz="4" w:space="0" w:color="auto"/>
              <w:bottom w:val="single" w:sz="4" w:space="0" w:color="auto"/>
              <w:right w:val="single" w:sz="12" w:space="0" w:color="auto"/>
            </w:tcBorders>
            <w:shd w:val="clear" w:color="auto" w:fill="auto"/>
          </w:tcPr>
          <w:p w14:paraId="55613B17" w14:textId="55DB7ABB"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1,205</w:t>
            </w:r>
          </w:p>
        </w:tc>
      </w:tr>
      <w:tr w:rsidR="00575ECF" w:rsidRPr="00934586" w14:paraId="4EEAED21"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186FE032"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November 2021</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16F8AB58" w14:textId="47C60985"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1,290</w:t>
            </w:r>
          </w:p>
        </w:tc>
      </w:tr>
      <w:tr w:rsidR="00575ECF" w:rsidRPr="00934586" w14:paraId="7AB25D1E"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2597DD69"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December 2021</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4E15D77D" w14:textId="1D3AA5FB"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1,601</w:t>
            </w:r>
          </w:p>
        </w:tc>
      </w:tr>
      <w:tr w:rsidR="00575ECF" w:rsidRPr="00934586" w14:paraId="021F0A28"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27AB4BA0"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January 2022</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7180F930" w14:textId="236FD9A8"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1,445</w:t>
            </w:r>
          </w:p>
        </w:tc>
      </w:tr>
      <w:tr w:rsidR="00575ECF" w:rsidRPr="00934586" w14:paraId="2FABF38F"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7BD55C2C"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February 2022</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433DF44E" w14:textId="15E4EDB8"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1,000</w:t>
            </w:r>
          </w:p>
        </w:tc>
      </w:tr>
      <w:tr w:rsidR="00575ECF" w:rsidRPr="00934586" w14:paraId="08A7AC8F"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72AB8C76"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March 2022</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3A389110" w14:textId="40144C7F"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1,198</w:t>
            </w:r>
          </w:p>
        </w:tc>
      </w:tr>
      <w:tr w:rsidR="00575ECF" w:rsidRPr="00934586" w14:paraId="21371486"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23938C45"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lastRenderedPageBreak/>
              <w:t>April 2022</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6E78EDE2" w14:textId="31B42FF6"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1,363</w:t>
            </w:r>
          </w:p>
        </w:tc>
      </w:tr>
      <w:tr w:rsidR="00575ECF" w:rsidRPr="00934586" w14:paraId="5C2005E2"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591B0AF5"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May 2022</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7D802E45" w14:textId="235945A7"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1,352</w:t>
            </w:r>
          </w:p>
        </w:tc>
      </w:tr>
      <w:tr w:rsidR="00575ECF" w:rsidRPr="00934586" w14:paraId="37EAC0BD" w14:textId="77777777" w:rsidTr="009C4662">
        <w:trPr>
          <w:cantSplit/>
          <w:trHeight w:val="144"/>
          <w:jc w:val="center"/>
        </w:trPr>
        <w:tc>
          <w:tcPr>
            <w:tcW w:w="3192" w:type="dxa"/>
            <w:tcBorders>
              <w:top w:val="single" w:sz="4" w:space="0" w:color="auto"/>
              <w:left w:val="single" w:sz="12" w:space="0" w:color="auto"/>
              <w:bottom w:val="single" w:sz="4" w:space="0" w:color="auto"/>
              <w:right w:val="single" w:sz="4" w:space="0" w:color="auto"/>
            </w:tcBorders>
          </w:tcPr>
          <w:p w14:paraId="538E8D49"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June 2022</w:t>
            </w:r>
          </w:p>
        </w:tc>
        <w:tc>
          <w:tcPr>
            <w:tcW w:w="3193" w:type="dxa"/>
            <w:tcBorders>
              <w:top w:val="single" w:sz="4" w:space="0" w:color="auto"/>
              <w:left w:val="single" w:sz="4" w:space="0" w:color="auto"/>
              <w:bottom w:val="single" w:sz="4" w:space="0" w:color="auto"/>
              <w:right w:val="single" w:sz="12" w:space="0" w:color="auto"/>
            </w:tcBorders>
            <w:shd w:val="clear" w:color="auto" w:fill="auto"/>
          </w:tcPr>
          <w:p w14:paraId="1ECF0FB9" w14:textId="6CEA2490"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1,149</w:t>
            </w:r>
          </w:p>
        </w:tc>
      </w:tr>
      <w:tr w:rsidR="00575ECF" w:rsidRPr="00934586" w14:paraId="7E40DDA2" w14:textId="77777777" w:rsidTr="009C4662">
        <w:trPr>
          <w:cantSplit/>
          <w:trHeight w:val="81"/>
          <w:jc w:val="center"/>
        </w:trPr>
        <w:tc>
          <w:tcPr>
            <w:tcW w:w="3192" w:type="dxa"/>
            <w:tcBorders>
              <w:top w:val="single" w:sz="4" w:space="0" w:color="auto"/>
              <w:left w:val="single" w:sz="12" w:space="0" w:color="auto"/>
              <w:bottom w:val="single" w:sz="12" w:space="0" w:color="auto"/>
              <w:right w:val="single" w:sz="4" w:space="0" w:color="auto"/>
            </w:tcBorders>
          </w:tcPr>
          <w:p w14:paraId="43F0F5B7" w14:textId="77777777" w:rsidR="00575ECF" w:rsidRPr="00934586" w:rsidRDefault="00575ECF" w:rsidP="00542F75">
            <w:pPr>
              <w:spacing w:after="0" w:line="240" w:lineRule="auto"/>
              <w:rPr>
                <w:rFonts w:ascii="Arial Narrow" w:eastAsia="Times New Roman" w:hAnsi="Arial Narrow" w:cs="Arial"/>
                <w:b/>
                <w:bCs/>
                <w:color w:val="000000"/>
              </w:rPr>
            </w:pPr>
            <w:r w:rsidRPr="00934586">
              <w:rPr>
                <w:rFonts w:ascii="Arial Narrow" w:eastAsia="Times New Roman" w:hAnsi="Arial Narrow" w:cs="Arial"/>
                <w:b/>
                <w:bCs/>
                <w:color w:val="000000"/>
              </w:rPr>
              <w:t>July 2022</w:t>
            </w:r>
          </w:p>
        </w:tc>
        <w:tc>
          <w:tcPr>
            <w:tcW w:w="3193" w:type="dxa"/>
            <w:tcBorders>
              <w:top w:val="single" w:sz="4" w:space="0" w:color="auto"/>
              <w:left w:val="single" w:sz="4" w:space="0" w:color="auto"/>
              <w:bottom w:val="single" w:sz="12" w:space="0" w:color="auto"/>
              <w:right w:val="single" w:sz="12" w:space="0" w:color="auto"/>
            </w:tcBorders>
            <w:shd w:val="clear" w:color="auto" w:fill="auto"/>
          </w:tcPr>
          <w:p w14:paraId="0E0F4C45" w14:textId="21D8674C" w:rsidR="00575ECF" w:rsidRPr="00934586" w:rsidRDefault="00683BFC" w:rsidP="00542F7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1,645</w:t>
            </w:r>
          </w:p>
        </w:tc>
      </w:tr>
    </w:tbl>
    <w:p w14:paraId="462321FD" w14:textId="142C04C1" w:rsidR="008962E8" w:rsidRDefault="008962E8" w:rsidP="00683BFC">
      <w:pPr>
        <w:spacing w:after="120"/>
        <w:jc w:val="both"/>
        <w:rPr>
          <w:rFonts w:ascii="Arial" w:hAnsi="Arial" w:cs="Arial"/>
          <w:b/>
          <w:bCs/>
        </w:rPr>
      </w:pPr>
    </w:p>
    <w:p w14:paraId="77BF147C" w14:textId="77777777" w:rsidR="00A40D50" w:rsidRPr="008962E8" w:rsidRDefault="00A40D50" w:rsidP="00683BFC">
      <w:pPr>
        <w:spacing w:after="120"/>
        <w:jc w:val="both"/>
        <w:rPr>
          <w:rFonts w:ascii="Arial" w:hAnsi="Arial" w:cs="Arial"/>
          <w:b/>
          <w:bCs/>
        </w:rPr>
      </w:pPr>
    </w:p>
    <w:p w14:paraId="24718CD9" w14:textId="576A4F6A" w:rsidR="00715918" w:rsidRPr="002D0F37" w:rsidRDefault="00715918" w:rsidP="008962E8">
      <w:pPr>
        <w:pStyle w:val="ListParagraph"/>
        <w:numPr>
          <w:ilvl w:val="0"/>
          <w:numId w:val="29"/>
        </w:numPr>
        <w:contextualSpacing w:val="0"/>
        <w:jc w:val="both"/>
        <w:rPr>
          <w:rFonts w:ascii="Arial" w:hAnsi="Arial" w:cs="Arial"/>
          <w:b/>
          <w:bCs/>
        </w:rPr>
      </w:pPr>
      <w:r w:rsidRPr="002D0F37">
        <w:rPr>
          <w:rFonts w:ascii="Arial" w:hAnsi="Arial" w:cs="Arial"/>
          <w:b/>
          <w:bCs/>
        </w:rPr>
        <w:t>Need for expanded Surgical Capacity:</w:t>
      </w:r>
    </w:p>
    <w:p w14:paraId="0ECB73A7" w14:textId="7806ADD8" w:rsidR="00FE0B49" w:rsidRPr="002D0F37" w:rsidRDefault="005506E6" w:rsidP="008962E8">
      <w:pPr>
        <w:pStyle w:val="ListParagraph"/>
        <w:numPr>
          <w:ilvl w:val="1"/>
          <w:numId w:val="29"/>
        </w:numPr>
        <w:ind w:left="1080"/>
        <w:contextualSpacing w:val="0"/>
        <w:jc w:val="both"/>
        <w:rPr>
          <w:rFonts w:ascii="Arial" w:hAnsi="Arial" w:cs="Arial"/>
          <w:b/>
          <w:bCs/>
        </w:rPr>
      </w:pPr>
      <w:r w:rsidRPr="002D0F37">
        <w:rPr>
          <w:rFonts w:ascii="Arial" w:hAnsi="Arial" w:cs="Arial"/>
          <w:b/>
          <w:bCs/>
        </w:rPr>
        <w:t xml:space="preserve">Explain what types of </w:t>
      </w:r>
      <w:r w:rsidR="00FE0B49" w:rsidRPr="002D0F37">
        <w:rPr>
          <w:rFonts w:ascii="Arial" w:hAnsi="Arial" w:cs="Arial"/>
          <w:b/>
          <w:bCs/>
        </w:rPr>
        <w:t>visits</w:t>
      </w:r>
      <w:r w:rsidRPr="002D0F37">
        <w:rPr>
          <w:rFonts w:ascii="Arial" w:hAnsi="Arial" w:cs="Arial"/>
          <w:b/>
          <w:bCs/>
        </w:rPr>
        <w:t xml:space="preserve"> are included in these numbers</w:t>
      </w:r>
      <w:r w:rsidR="00FE0B49" w:rsidRPr="002D0F37">
        <w:rPr>
          <w:rFonts w:ascii="Arial" w:hAnsi="Arial" w:cs="Arial"/>
          <w:b/>
          <w:bCs/>
        </w:rPr>
        <w:t xml:space="preserve">.  </w:t>
      </w:r>
      <w:r w:rsidRPr="002D0F37">
        <w:rPr>
          <w:rFonts w:ascii="Arial" w:hAnsi="Arial" w:cs="Arial"/>
          <w:b/>
          <w:bCs/>
        </w:rPr>
        <w:t xml:space="preserve">For </w:t>
      </w:r>
      <w:proofErr w:type="gramStart"/>
      <w:r w:rsidRPr="002D0F37">
        <w:rPr>
          <w:rFonts w:ascii="Arial" w:hAnsi="Arial" w:cs="Arial"/>
          <w:b/>
          <w:bCs/>
        </w:rPr>
        <w:t>e.g.</w:t>
      </w:r>
      <w:proofErr w:type="gramEnd"/>
      <w:r w:rsidRPr="002D0F37">
        <w:rPr>
          <w:rFonts w:ascii="Arial" w:hAnsi="Arial" w:cs="Arial"/>
          <w:b/>
          <w:bCs/>
        </w:rPr>
        <w:t xml:space="preserve"> is it surgical consults,</w:t>
      </w:r>
      <w:r w:rsidR="00FE0B49" w:rsidRPr="002D0F37">
        <w:rPr>
          <w:rFonts w:ascii="Arial" w:hAnsi="Arial" w:cs="Arial"/>
          <w:b/>
          <w:bCs/>
        </w:rPr>
        <w:t xml:space="preserve"> pre &amp; </w:t>
      </w:r>
      <w:r w:rsidR="008124F5" w:rsidRPr="002D0F37">
        <w:rPr>
          <w:rFonts w:ascii="Arial" w:hAnsi="Arial" w:cs="Arial"/>
          <w:b/>
          <w:bCs/>
        </w:rPr>
        <w:t>post-operative</w:t>
      </w:r>
      <w:r w:rsidR="00FE0B49" w:rsidRPr="002D0F37">
        <w:rPr>
          <w:rFonts w:ascii="Arial" w:hAnsi="Arial" w:cs="Arial"/>
          <w:b/>
          <w:bCs/>
        </w:rPr>
        <w:t xml:space="preserve"> </w:t>
      </w:r>
      <w:r w:rsidRPr="002D0F37">
        <w:rPr>
          <w:rFonts w:ascii="Arial" w:hAnsi="Arial" w:cs="Arial"/>
          <w:b/>
          <w:bCs/>
        </w:rPr>
        <w:t>v</w:t>
      </w:r>
      <w:r w:rsidR="00FE0B49" w:rsidRPr="002D0F37">
        <w:rPr>
          <w:rFonts w:ascii="Arial" w:hAnsi="Arial" w:cs="Arial"/>
          <w:b/>
          <w:bCs/>
        </w:rPr>
        <w:t>isits</w:t>
      </w:r>
      <w:r w:rsidRPr="002D0F37">
        <w:rPr>
          <w:rFonts w:ascii="Arial" w:hAnsi="Arial" w:cs="Arial"/>
          <w:b/>
          <w:bCs/>
        </w:rPr>
        <w:t>, other</w:t>
      </w:r>
      <w:r w:rsidR="00FE0B49" w:rsidRPr="002D0F37">
        <w:rPr>
          <w:rFonts w:ascii="Arial" w:hAnsi="Arial" w:cs="Arial"/>
          <w:b/>
          <w:bCs/>
        </w:rPr>
        <w:t xml:space="preserve"> visits?</w:t>
      </w:r>
      <w:r w:rsidRPr="002D0F37">
        <w:rPr>
          <w:rFonts w:ascii="Arial" w:hAnsi="Arial" w:cs="Arial"/>
          <w:b/>
          <w:bCs/>
        </w:rPr>
        <w:t xml:space="preserve"> (P. 12)</w:t>
      </w:r>
    </w:p>
    <w:p w14:paraId="2EAB18C2" w14:textId="2D1F86AF" w:rsidR="00B2068D" w:rsidRPr="002D0F37" w:rsidRDefault="00EA52DD" w:rsidP="004E6FB1">
      <w:pPr>
        <w:spacing w:after="240"/>
        <w:jc w:val="both"/>
        <w:rPr>
          <w:rFonts w:ascii="Arial" w:hAnsi="Arial" w:cs="Arial"/>
        </w:rPr>
      </w:pPr>
      <w:r w:rsidRPr="002D0F37">
        <w:rPr>
          <w:rFonts w:ascii="Arial" w:hAnsi="Arial" w:cs="Arial"/>
        </w:rPr>
        <w:t xml:space="preserve">Tables 16 and 17, revised versions of which are included at Appendix B and have been updated for FY22 through July 2022 as requested by the Department, outline BMC’s inpatient surgical patient, visit, and case counts. Both tables represent an account of inpatient </w:t>
      </w:r>
      <w:r>
        <w:rPr>
          <w:rFonts w:ascii="Arial" w:hAnsi="Arial" w:cs="Arial"/>
        </w:rPr>
        <w:t xml:space="preserve">surgical </w:t>
      </w:r>
      <w:r w:rsidRPr="002D0F37">
        <w:rPr>
          <w:rFonts w:ascii="Arial" w:hAnsi="Arial" w:cs="Arial"/>
        </w:rPr>
        <w:t>care only and do not include an</w:t>
      </w:r>
      <w:r>
        <w:rPr>
          <w:rFonts w:ascii="Arial" w:hAnsi="Arial" w:cs="Arial"/>
        </w:rPr>
        <w:t>y</w:t>
      </w:r>
      <w:r w:rsidRPr="002D0F37">
        <w:rPr>
          <w:rFonts w:ascii="Arial" w:hAnsi="Arial" w:cs="Arial"/>
        </w:rPr>
        <w:t xml:space="preserve"> ambulatory pre- or post-operative consults or visits. </w:t>
      </w:r>
      <w:r w:rsidRPr="00610F61">
        <w:rPr>
          <w:rFonts w:ascii="Arial" w:hAnsi="Arial" w:cs="Arial"/>
        </w:rPr>
        <w:t>The</w:t>
      </w:r>
      <w:r>
        <w:rPr>
          <w:rFonts w:ascii="Arial" w:hAnsi="Arial" w:cs="Arial"/>
        </w:rPr>
        <w:t xml:space="preserve"> tables</w:t>
      </w:r>
      <w:r w:rsidRPr="00610F61">
        <w:rPr>
          <w:rFonts w:ascii="Arial" w:hAnsi="Arial" w:cs="Arial"/>
        </w:rPr>
        <w:t xml:space="preserve"> also only </w:t>
      </w:r>
      <w:r>
        <w:rPr>
          <w:rFonts w:ascii="Arial" w:hAnsi="Arial" w:cs="Arial"/>
        </w:rPr>
        <w:t xml:space="preserve">capture those cases that </w:t>
      </w:r>
      <w:r w:rsidRPr="00610F61">
        <w:rPr>
          <w:rFonts w:ascii="Arial" w:hAnsi="Arial" w:cs="Arial"/>
        </w:rPr>
        <w:t xml:space="preserve">occur within the traditional </w:t>
      </w:r>
      <w:r>
        <w:rPr>
          <w:rFonts w:ascii="Arial" w:hAnsi="Arial" w:cs="Arial"/>
        </w:rPr>
        <w:t>operating room (“OR”)</w:t>
      </w:r>
      <w:r w:rsidRPr="00610F61">
        <w:rPr>
          <w:rFonts w:ascii="Arial" w:hAnsi="Arial" w:cs="Arial"/>
        </w:rPr>
        <w:t xml:space="preserve"> setting and</w:t>
      </w:r>
      <w:r>
        <w:rPr>
          <w:rFonts w:ascii="Arial" w:hAnsi="Arial" w:cs="Arial"/>
        </w:rPr>
        <w:t xml:space="preserve"> do</w:t>
      </w:r>
      <w:r w:rsidRPr="00610F61">
        <w:rPr>
          <w:rFonts w:ascii="Arial" w:hAnsi="Arial" w:cs="Arial"/>
        </w:rPr>
        <w:t xml:space="preserve"> not </w:t>
      </w:r>
      <w:r w:rsidRPr="003679EC">
        <w:rPr>
          <w:rFonts w:ascii="Arial" w:hAnsi="Arial" w:cs="Arial"/>
        </w:rPr>
        <w:t>include</w:t>
      </w:r>
      <w:r w:rsidRPr="00610F61">
        <w:rPr>
          <w:rFonts w:ascii="Arial" w:hAnsi="Arial" w:cs="Arial"/>
        </w:rPr>
        <w:t xml:space="preserve"> any procedure room activity (e.g</w:t>
      </w:r>
      <w:r>
        <w:rPr>
          <w:rFonts w:ascii="Arial" w:hAnsi="Arial" w:cs="Arial"/>
        </w:rPr>
        <w:t>.,</w:t>
      </w:r>
      <w:r w:rsidRPr="00610F61">
        <w:rPr>
          <w:rFonts w:ascii="Arial" w:hAnsi="Arial" w:cs="Arial"/>
        </w:rPr>
        <w:t xml:space="preserve"> </w:t>
      </w:r>
      <w:r>
        <w:rPr>
          <w:rFonts w:ascii="Arial" w:hAnsi="Arial" w:cs="Arial"/>
        </w:rPr>
        <w:t>Cardiac C</w:t>
      </w:r>
      <w:r w:rsidRPr="00610F61">
        <w:rPr>
          <w:rFonts w:ascii="Arial" w:hAnsi="Arial" w:cs="Arial"/>
        </w:rPr>
        <w:t>ath</w:t>
      </w:r>
      <w:r>
        <w:rPr>
          <w:rFonts w:ascii="Arial" w:hAnsi="Arial" w:cs="Arial"/>
        </w:rPr>
        <w:t>eterization</w:t>
      </w:r>
      <w:r w:rsidRPr="00610F61">
        <w:rPr>
          <w:rFonts w:ascii="Arial" w:hAnsi="Arial" w:cs="Arial"/>
        </w:rPr>
        <w:t xml:space="preserve"> </w:t>
      </w:r>
      <w:r>
        <w:rPr>
          <w:rFonts w:ascii="Arial" w:hAnsi="Arial" w:cs="Arial"/>
        </w:rPr>
        <w:t>L</w:t>
      </w:r>
      <w:r w:rsidRPr="00610F61">
        <w:rPr>
          <w:rFonts w:ascii="Arial" w:hAnsi="Arial" w:cs="Arial"/>
        </w:rPr>
        <w:t xml:space="preserve">ab or </w:t>
      </w:r>
      <w:r>
        <w:rPr>
          <w:rFonts w:ascii="Arial" w:hAnsi="Arial" w:cs="Arial"/>
        </w:rPr>
        <w:t>E</w:t>
      </w:r>
      <w:r w:rsidRPr="00610F61">
        <w:rPr>
          <w:rFonts w:ascii="Arial" w:hAnsi="Arial" w:cs="Arial"/>
        </w:rPr>
        <w:t>ndoscopy</w:t>
      </w:r>
      <w:r w:rsidR="00AD2C60" w:rsidRPr="00610F61">
        <w:rPr>
          <w:rFonts w:ascii="Arial" w:hAnsi="Arial" w:cs="Arial"/>
        </w:rPr>
        <w:t>)</w:t>
      </w:r>
      <w:r w:rsidR="00BE0CDF" w:rsidRPr="002D0F37">
        <w:rPr>
          <w:rFonts w:ascii="Arial" w:hAnsi="Arial" w:cs="Arial"/>
        </w:rPr>
        <w:t xml:space="preserve">. </w:t>
      </w:r>
    </w:p>
    <w:p w14:paraId="7034E40D" w14:textId="5C768824" w:rsidR="006E482A" w:rsidRPr="002D0F37" w:rsidRDefault="00BB1727" w:rsidP="00DC0E81">
      <w:pPr>
        <w:spacing w:after="240"/>
        <w:jc w:val="both"/>
        <w:rPr>
          <w:rFonts w:ascii="Arial" w:hAnsi="Arial" w:cs="Arial"/>
        </w:rPr>
      </w:pPr>
      <w:r w:rsidRPr="002D0F37">
        <w:rPr>
          <w:rFonts w:ascii="Arial" w:hAnsi="Arial" w:cs="Arial"/>
        </w:rPr>
        <w:t>In terms of how the tables relate to each other</w:t>
      </w:r>
      <w:r>
        <w:rPr>
          <w:rFonts w:ascii="Arial" w:hAnsi="Arial" w:cs="Arial"/>
        </w:rPr>
        <w:t>, please note: (1) r</w:t>
      </w:r>
      <w:r w:rsidRPr="002D0F37">
        <w:rPr>
          <w:rFonts w:ascii="Arial" w:hAnsi="Arial" w:cs="Arial"/>
        </w:rPr>
        <w:t xml:space="preserve">evised Table 16 outlines the number of unique </w:t>
      </w:r>
      <w:r>
        <w:rPr>
          <w:rFonts w:ascii="Arial" w:hAnsi="Arial" w:cs="Arial"/>
        </w:rPr>
        <w:t>surgical in</w:t>
      </w:r>
      <w:r w:rsidRPr="002D0F37">
        <w:rPr>
          <w:rFonts w:ascii="Arial" w:hAnsi="Arial" w:cs="Arial"/>
        </w:rPr>
        <w:t xml:space="preserve">patients and the number of inpatient surgical </w:t>
      </w:r>
      <w:r>
        <w:rPr>
          <w:rFonts w:ascii="Arial" w:hAnsi="Arial" w:cs="Arial"/>
        </w:rPr>
        <w:t xml:space="preserve">visits </w:t>
      </w:r>
      <w:r w:rsidRPr="002D0F37">
        <w:rPr>
          <w:rFonts w:ascii="Arial" w:hAnsi="Arial" w:cs="Arial"/>
        </w:rPr>
        <w:t>by such unique patients at BMC each year</w:t>
      </w:r>
      <w:r>
        <w:rPr>
          <w:rFonts w:ascii="Arial" w:hAnsi="Arial" w:cs="Arial"/>
        </w:rPr>
        <w:t>,</w:t>
      </w:r>
      <w:r w:rsidRPr="002D0F37">
        <w:rPr>
          <w:rFonts w:ascii="Arial" w:hAnsi="Arial" w:cs="Arial"/>
        </w:rPr>
        <w:t xml:space="preserve"> based on discharges</w:t>
      </w:r>
      <w:r>
        <w:rPr>
          <w:rFonts w:ascii="Arial" w:hAnsi="Arial" w:cs="Arial"/>
        </w:rPr>
        <w:t>; and (2) r</w:t>
      </w:r>
      <w:r w:rsidRPr="002D0F37">
        <w:rPr>
          <w:rFonts w:ascii="Arial" w:hAnsi="Arial" w:cs="Arial"/>
        </w:rPr>
        <w:t>evised Table 17 represents the counts of individual inpatient OR cases each year</w:t>
      </w:r>
      <w:r>
        <w:rPr>
          <w:rFonts w:ascii="Arial" w:hAnsi="Arial" w:cs="Arial"/>
        </w:rPr>
        <w:t xml:space="preserve"> </w:t>
      </w:r>
      <w:r w:rsidRPr="00610F61">
        <w:rPr>
          <w:rFonts w:ascii="Arial" w:hAnsi="Arial" w:cs="Arial"/>
        </w:rPr>
        <w:t>by the service of the attending surgeon</w:t>
      </w:r>
      <w:r w:rsidRPr="002D0F37">
        <w:rPr>
          <w:rFonts w:ascii="Arial" w:hAnsi="Arial" w:cs="Arial"/>
        </w:rPr>
        <w:t xml:space="preserve">. </w:t>
      </w:r>
      <w:r>
        <w:rPr>
          <w:rFonts w:ascii="Arial" w:hAnsi="Arial" w:cs="Arial"/>
        </w:rPr>
        <w:t>D</w:t>
      </w:r>
      <w:r w:rsidRPr="002D0F37">
        <w:rPr>
          <w:rFonts w:ascii="Arial" w:hAnsi="Arial" w:cs="Arial"/>
        </w:rPr>
        <w:t xml:space="preserve">uring one inpatient admission (i.e., one visit), a unique patient may have multiple </w:t>
      </w:r>
      <w:r>
        <w:rPr>
          <w:rFonts w:ascii="Arial" w:hAnsi="Arial" w:cs="Arial"/>
        </w:rPr>
        <w:t>surgeries</w:t>
      </w:r>
      <w:r w:rsidRPr="002D0F37">
        <w:rPr>
          <w:rFonts w:ascii="Arial" w:hAnsi="Arial" w:cs="Arial"/>
        </w:rPr>
        <w:t>. Accordingly, that patient is counted once for purposes of “patients” and “visits</w:t>
      </w:r>
      <w:r>
        <w:rPr>
          <w:rFonts w:ascii="Arial" w:hAnsi="Arial" w:cs="Arial"/>
        </w:rPr>
        <w:t>,</w:t>
      </w:r>
      <w:r w:rsidRPr="002D0F37">
        <w:rPr>
          <w:rFonts w:ascii="Arial" w:hAnsi="Arial" w:cs="Arial"/>
        </w:rPr>
        <w:t>” but multiple times for purposes of “cases</w:t>
      </w:r>
      <w:r w:rsidR="00EF7C16">
        <w:rPr>
          <w:rFonts w:ascii="Arial" w:hAnsi="Arial" w:cs="Arial"/>
        </w:rPr>
        <w:t>.”</w:t>
      </w:r>
    </w:p>
    <w:p w14:paraId="518D2104" w14:textId="7691B81C" w:rsidR="00FE0B49" w:rsidRDefault="00FE0B49" w:rsidP="00552F7E">
      <w:pPr>
        <w:pStyle w:val="ListParagraph"/>
        <w:numPr>
          <w:ilvl w:val="1"/>
          <w:numId w:val="29"/>
        </w:numPr>
        <w:ind w:left="1080"/>
        <w:contextualSpacing w:val="0"/>
        <w:jc w:val="both"/>
        <w:rPr>
          <w:rFonts w:ascii="Arial" w:hAnsi="Arial" w:cs="Arial"/>
          <w:b/>
          <w:bCs/>
        </w:rPr>
      </w:pPr>
      <w:r w:rsidRPr="008962E8">
        <w:rPr>
          <w:rFonts w:ascii="Arial" w:hAnsi="Arial" w:cs="Arial"/>
          <w:b/>
          <w:bCs/>
        </w:rPr>
        <w:t>Table 18: Please define the</w:t>
      </w:r>
      <w:r w:rsidR="005506E6" w:rsidRPr="008962E8">
        <w:rPr>
          <w:rFonts w:ascii="Arial" w:hAnsi="Arial" w:cs="Arial"/>
          <w:b/>
          <w:bCs/>
        </w:rPr>
        <w:t xml:space="preserve"> formula</w:t>
      </w:r>
      <w:r w:rsidRPr="008962E8">
        <w:rPr>
          <w:rFonts w:ascii="Arial" w:hAnsi="Arial" w:cs="Arial"/>
          <w:b/>
          <w:bCs/>
        </w:rPr>
        <w:t xml:space="preserve"> used to </w:t>
      </w:r>
      <w:r w:rsidR="00715918" w:rsidRPr="008962E8">
        <w:rPr>
          <w:rFonts w:ascii="Arial" w:hAnsi="Arial" w:cs="Arial"/>
          <w:b/>
          <w:bCs/>
        </w:rPr>
        <w:t xml:space="preserve">determine Operating Room </w:t>
      </w:r>
      <w:r w:rsidRPr="008962E8">
        <w:rPr>
          <w:rFonts w:ascii="Arial" w:hAnsi="Arial" w:cs="Arial"/>
          <w:b/>
          <w:bCs/>
        </w:rPr>
        <w:t>occupancy.</w:t>
      </w:r>
      <w:r w:rsidR="00715918" w:rsidRPr="008962E8">
        <w:rPr>
          <w:rFonts w:ascii="Arial" w:hAnsi="Arial" w:cs="Arial"/>
          <w:b/>
          <w:bCs/>
        </w:rPr>
        <w:t xml:space="preserve"> (p. 18)</w:t>
      </w:r>
    </w:p>
    <w:p w14:paraId="4F50FE3C" w14:textId="0260E068" w:rsidR="008962E8" w:rsidRPr="009C580E" w:rsidRDefault="007B72C2" w:rsidP="00FA279E">
      <w:pPr>
        <w:spacing w:after="240"/>
        <w:jc w:val="both"/>
        <w:rPr>
          <w:rFonts w:ascii="Arial" w:hAnsi="Arial" w:cs="Arial"/>
          <w:b/>
          <w:bCs/>
        </w:rPr>
      </w:pPr>
      <w:r w:rsidRPr="00764C68">
        <w:rPr>
          <w:rFonts w:ascii="Arial" w:hAnsi="Arial" w:cs="Arial"/>
        </w:rPr>
        <w:t xml:space="preserve">OR occupancy = (surgical time + turnover time)/block time. Surgical time is defined as patient in OR to patient out of </w:t>
      </w:r>
      <w:r>
        <w:rPr>
          <w:rFonts w:ascii="Arial" w:hAnsi="Arial" w:cs="Arial"/>
        </w:rPr>
        <w:t>OR.</w:t>
      </w:r>
      <w:r w:rsidRPr="00764C68">
        <w:rPr>
          <w:rFonts w:ascii="Arial" w:hAnsi="Arial" w:cs="Arial"/>
        </w:rPr>
        <w:t xml:space="preserve"> Turnover </w:t>
      </w:r>
      <w:r w:rsidRPr="00E60B50">
        <w:rPr>
          <w:rFonts w:ascii="Arial" w:hAnsi="Arial" w:cs="Arial"/>
        </w:rPr>
        <w:t>time is defined as the delta between patient out of OR to next patient in OR (in this case the same OR). Block time is defined as the amount of time available to schedule into a staffed OR</w:t>
      </w:r>
      <w:r w:rsidR="00946106" w:rsidRPr="009C580E">
        <w:rPr>
          <w:rFonts w:ascii="Arial" w:hAnsi="Arial" w:cs="Arial"/>
        </w:rPr>
        <w:t>.</w:t>
      </w:r>
    </w:p>
    <w:p w14:paraId="7B0125E6" w14:textId="17880515" w:rsidR="008962E8" w:rsidRDefault="00715918" w:rsidP="007E7117">
      <w:pPr>
        <w:pStyle w:val="ListParagraph"/>
        <w:numPr>
          <w:ilvl w:val="1"/>
          <w:numId w:val="29"/>
        </w:numPr>
        <w:ind w:left="1080"/>
        <w:contextualSpacing w:val="0"/>
        <w:jc w:val="both"/>
        <w:rPr>
          <w:rFonts w:ascii="Arial" w:hAnsi="Arial" w:cs="Arial"/>
          <w:b/>
          <w:bCs/>
        </w:rPr>
      </w:pPr>
      <w:r w:rsidRPr="009C580E">
        <w:rPr>
          <w:rFonts w:ascii="Arial" w:hAnsi="Arial" w:cs="Arial"/>
          <w:b/>
          <w:bCs/>
        </w:rPr>
        <w:t>P</w:t>
      </w:r>
      <w:r w:rsidR="00FE0B49" w:rsidRPr="009C580E">
        <w:rPr>
          <w:rFonts w:ascii="Arial" w:hAnsi="Arial" w:cs="Arial"/>
          <w:b/>
          <w:bCs/>
        </w:rPr>
        <w:t>rovide data on the rate of surgical delays and rescheduled surgeries that have been occurring in the past few fiscal years?</w:t>
      </w:r>
    </w:p>
    <w:p w14:paraId="5837B352" w14:textId="6D7178E7" w:rsidR="00595438" w:rsidRDefault="00C56EAD" w:rsidP="00595438">
      <w:pPr>
        <w:spacing w:after="240"/>
        <w:jc w:val="both"/>
        <w:rPr>
          <w:rFonts w:ascii="Arial" w:hAnsi="Arial" w:cs="Arial"/>
        </w:rPr>
      </w:pPr>
      <w:r w:rsidRPr="00E60B50">
        <w:rPr>
          <w:rFonts w:ascii="Arial" w:hAnsi="Arial" w:cs="Arial"/>
        </w:rPr>
        <w:t xml:space="preserve">Please see the table below which outlines the average days to inpatient elective surgeries </w:t>
      </w:r>
      <w:r>
        <w:rPr>
          <w:rFonts w:ascii="Arial" w:hAnsi="Arial" w:cs="Arial"/>
        </w:rPr>
        <w:t xml:space="preserve">at BMC </w:t>
      </w:r>
      <w:r w:rsidRPr="00E60B50">
        <w:rPr>
          <w:rFonts w:ascii="Arial" w:hAnsi="Arial" w:cs="Arial"/>
        </w:rPr>
        <w:t xml:space="preserve">for FY21 and FY22. Please note that FY21 data </w:t>
      </w:r>
      <w:r>
        <w:rPr>
          <w:rFonts w:ascii="Arial" w:hAnsi="Arial" w:cs="Arial"/>
        </w:rPr>
        <w:t>are</w:t>
      </w:r>
      <w:r w:rsidRPr="00E60B50">
        <w:rPr>
          <w:rFonts w:ascii="Arial" w:hAnsi="Arial" w:cs="Arial"/>
        </w:rPr>
        <w:t xml:space="preserve"> provided for a 6-month period from January – June 2021 and FY22 data </w:t>
      </w:r>
      <w:r>
        <w:rPr>
          <w:rFonts w:ascii="Arial" w:hAnsi="Arial" w:cs="Arial"/>
        </w:rPr>
        <w:t>are</w:t>
      </w:r>
      <w:r w:rsidRPr="00E60B50">
        <w:rPr>
          <w:rFonts w:ascii="Arial" w:hAnsi="Arial" w:cs="Arial"/>
        </w:rPr>
        <w:t xml:space="preserve"> provided for a 6-month period from February – July 2022.</w:t>
      </w:r>
      <w:r>
        <w:rPr>
          <w:rFonts w:ascii="Arial" w:hAnsi="Arial" w:cs="Arial"/>
        </w:rPr>
        <w:t xml:space="preserve"> The Applicant chose these 6-month periods when the ORs were at “normal” scheduling to demonstrate capacity while controlling for COVID-19; due to COVID-19, BMC’s OR scheduling was impacted multiple times due to government mandates and rollbacks</w:t>
      </w:r>
      <w:r w:rsidR="00595438">
        <w:rPr>
          <w:rFonts w:ascii="Arial" w:hAnsi="Arial" w:cs="Arial"/>
        </w:rPr>
        <w:t>.</w:t>
      </w:r>
    </w:p>
    <w:tbl>
      <w:tblPr>
        <w:tblW w:w="7435" w:type="dxa"/>
        <w:jc w:val="center"/>
        <w:tblCellMar>
          <w:left w:w="0" w:type="dxa"/>
          <w:right w:w="0" w:type="dxa"/>
        </w:tblCellMar>
        <w:tblLook w:val="04A0" w:firstRow="1" w:lastRow="0" w:firstColumn="1" w:lastColumn="0" w:noHBand="0" w:noVBand="1"/>
      </w:tblPr>
      <w:tblGrid>
        <w:gridCol w:w="1979"/>
        <w:gridCol w:w="2771"/>
        <w:gridCol w:w="2685"/>
      </w:tblGrid>
      <w:tr w:rsidR="000C0595" w:rsidRPr="001F2281" w14:paraId="6BA6FB04" w14:textId="77777777" w:rsidTr="009C4662">
        <w:trPr>
          <w:cantSplit/>
          <w:trHeight w:val="347"/>
          <w:tblHeader/>
          <w:jc w:val="center"/>
        </w:trPr>
        <w:tc>
          <w:tcPr>
            <w:tcW w:w="1979" w:type="dxa"/>
            <w:tcBorders>
              <w:top w:val="single" w:sz="12" w:space="0" w:color="auto"/>
              <w:left w:val="single" w:sz="12" w:space="0" w:color="auto"/>
              <w:right w:val="single" w:sz="8" w:space="0" w:color="auto"/>
            </w:tcBorders>
            <w:shd w:val="clear" w:color="auto" w:fill="F2F2F2"/>
            <w:noWrap/>
            <w:tcMar>
              <w:top w:w="0" w:type="dxa"/>
              <w:left w:w="108" w:type="dxa"/>
              <w:bottom w:w="0" w:type="dxa"/>
              <w:right w:w="108" w:type="dxa"/>
            </w:tcMar>
            <w:vAlign w:val="center"/>
            <w:hideMark/>
          </w:tcPr>
          <w:p w14:paraId="08ED33AF" w14:textId="77777777" w:rsidR="000C0595" w:rsidRPr="001F2281" w:rsidRDefault="000C0595" w:rsidP="00082DA7">
            <w:pPr>
              <w:spacing w:after="0" w:line="240" w:lineRule="auto"/>
              <w:rPr>
                <w:rFonts w:ascii="Arial Narrow" w:eastAsia="Times New Roman" w:hAnsi="Arial Narrow" w:cs="Arial"/>
                <w:b/>
                <w:bCs/>
                <w:color w:val="000000"/>
                <w:sz w:val="24"/>
                <w:szCs w:val="24"/>
              </w:rPr>
            </w:pPr>
            <w:r w:rsidRPr="001F2281">
              <w:rPr>
                <w:rFonts w:ascii="Arial Narrow" w:eastAsia="Times New Roman" w:hAnsi="Arial Narrow" w:cs="Arial"/>
                <w:b/>
                <w:bCs/>
                <w:color w:val="000000"/>
                <w:bdr w:val="none" w:sz="0" w:space="0" w:color="auto" w:frame="1"/>
              </w:rPr>
              <w:lastRenderedPageBreak/>
              <w:t>Service</w:t>
            </w:r>
          </w:p>
        </w:tc>
        <w:tc>
          <w:tcPr>
            <w:tcW w:w="5456" w:type="dxa"/>
            <w:gridSpan w:val="2"/>
            <w:tcBorders>
              <w:top w:val="single" w:sz="12" w:space="0" w:color="auto"/>
              <w:left w:val="nil"/>
              <w:bottom w:val="single" w:sz="4" w:space="0" w:color="auto"/>
              <w:right w:val="single" w:sz="12" w:space="0" w:color="auto"/>
            </w:tcBorders>
            <w:shd w:val="clear" w:color="auto" w:fill="F2F2F2"/>
            <w:tcMar>
              <w:top w:w="0" w:type="dxa"/>
              <w:left w:w="108" w:type="dxa"/>
              <w:bottom w:w="0" w:type="dxa"/>
              <w:right w:w="108" w:type="dxa"/>
            </w:tcMar>
            <w:vAlign w:val="center"/>
            <w:hideMark/>
          </w:tcPr>
          <w:p w14:paraId="0EE46943" w14:textId="77777777" w:rsidR="000C0595" w:rsidRPr="001F2281" w:rsidRDefault="000C0595" w:rsidP="00082DA7">
            <w:pPr>
              <w:spacing w:after="0" w:line="240" w:lineRule="auto"/>
              <w:jc w:val="center"/>
              <w:rPr>
                <w:rFonts w:ascii="Arial Narrow" w:eastAsia="Times New Roman" w:hAnsi="Arial Narrow" w:cs="Arial"/>
                <w:b/>
                <w:bCs/>
                <w:color w:val="000000"/>
                <w:sz w:val="24"/>
                <w:szCs w:val="24"/>
              </w:rPr>
            </w:pPr>
            <w:r w:rsidRPr="001F2281">
              <w:rPr>
                <w:rFonts w:ascii="Arial Narrow" w:eastAsia="Times New Roman" w:hAnsi="Arial Narrow" w:cs="Arial"/>
                <w:b/>
                <w:bCs/>
                <w:color w:val="000000"/>
                <w:bdr w:val="none" w:sz="0" w:space="0" w:color="auto" w:frame="1"/>
              </w:rPr>
              <w:t>Average Days to Elective</w:t>
            </w:r>
            <w:r>
              <w:rPr>
                <w:rFonts w:ascii="Arial Narrow" w:eastAsia="Times New Roman" w:hAnsi="Arial Narrow" w:cs="Arial"/>
                <w:b/>
                <w:bCs/>
                <w:color w:val="000000"/>
                <w:bdr w:val="none" w:sz="0" w:space="0" w:color="auto" w:frame="1"/>
              </w:rPr>
              <w:t xml:space="preserve"> </w:t>
            </w:r>
            <w:r w:rsidRPr="001F2281">
              <w:rPr>
                <w:rFonts w:ascii="Arial Narrow" w:eastAsia="Times New Roman" w:hAnsi="Arial Narrow" w:cs="Arial"/>
                <w:b/>
                <w:bCs/>
                <w:color w:val="000000"/>
                <w:bdr w:val="none" w:sz="0" w:space="0" w:color="auto" w:frame="1"/>
              </w:rPr>
              <w:t>Surgery</w:t>
            </w:r>
          </w:p>
        </w:tc>
      </w:tr>
      <w:tr w:rsidR="000C0595" w:rsidRPr="001F2281" w14:paraId="4EAE9847" w14:textId="77777777" w:rsidTr="009C4662">
        <w:trPr>
          <w:cantSplit/>
          <w:trHeight w:val="346"/>
          <w:tblHeader/>
          <w:jc w:val="center"/>
        </w:trPr>
        <w:tc>
          <w:tcPr>
            <w:tcW w:w="1979" w:type="dxa"/>
            <w:tcBorders>
              <w:left w:val="single" w:sz="12" w:space="0" w:color="auto"/>
              <w:bottom w:val="single" w:sz="12" w:space="0" w:color="auto"/>
              <w:right w:val="single" w:sz="8" w:space="0" w:color="auto"/>
            </w:tcBorders>
            <w:shd w:val="clear" w:color="auto" w:fill="F2F2F2"/>
            <w:noWrap/>
            <w:tcMar>
              <w:top w:w="0" w:type="dxa"/>
              <w:left w:w="108" w:type="dxa"/>
              <w:bottom w:w="0" w:type="dxa"/>
              <w:right w:w="108" w:type="dxa"/>
            </w:tcMar>
            <w:vAlign w:val="center"/>
          </w:tcPr>
          <w:p w14:paraId="7FF8B3D2" w14:textId="77777777" w:rsidR="000C0595" w:rsidRPr="001F2281" w:rsidRDefault="000C0595" w:rsidP="00082DA7">
            <w:pPr>
              <w:spacing w:after="0" w:line="240" w:lineRule="auto"/>
              <w:rPr>
                <w:rFonts w:ascii="Arial Narrow" w:eastAsia="Times New Roman" w:hAnsi="Arial Narrow" w:cs="Arial"/>
                <w:b/>
                <w:bCs/>
                <w:color w:val="000000"/>
                <w:bdr w:val="none" w:sz="0" w:space="0" w:color="auto" w:frame="1"/>
              </w:rPr>
            </w:pPr>
          </w:p>
        </w:tc>
        <w:tc>
          <w:tcPr>
            <w:tcW w:w="2771" w:type="dxa"/>
            <w:tcBorders>
              <w:top w:val="single" w:sz="4" w:space="0" w:color="auto"/>
              <w:left w:val="nil"/>
              <w:bottom w:val="single" w:sz="12" w:space="0" w:color="auto"/>
              <w:right w:val="single" w:sz="8" w:space="0" w:color="auto"/>
            </w:tcBorders>
            <w:shd w:val="clear" w:color="auto" w:fill="F2F2F2"/>
            <w:tcMar>
              <w:top w:w="0" w:type="dxa"/>
              <w:left w:w="108" w:type="dxa"/>
              <w:bottom w:w="0" w:type="dxa"/>
              <w:right w:w="108" w:type="dxa"/>
            </w:tcMar>
            <w:vAlign w:val="center"/>
          </w:tcPr>
          <w:p w14:paraId="03178ABC" w14:textId="77777777" w:rsidR="000C0595" w:rsidRPr="001F2281" w:rsidRDefault="000C0595" w:rsidP="00082DA7">
            <w:pPr>
              <w:spacing w:after="0" w:line="240" w:lineRule="auto"/>
              <w:jc w:val="center"/>
              <w:rPr>
                <w:rFonts w:ascii="Arial Narrow" w:eastAsia="Times New Roman" w:hAnsi="Arial Narrow" w:cs="Arial"/>
                <w:b/>
                <w:bCs/>
                <w:color w:val="000000"/>
                <w:bdr w:val="none" w:sz="0" w:space="0" w:color="auto" w:frame="1"/>
              </w:rPr>
            </w:pPr>
            <w:r w:rsidRPr="001F2281">
              <w:rPr>
                <w:rFonts w:ascii="Arial Narrow" w:eastAsia="Times New Roman" w:hAnsi="Arial Narrow" w:cs="Arial"/>
                <w:b/>
                <w:bCs/>
                <w:color w:val="000000"/>
                <w:bdr w:val="none" w:sz="0" w:space="0" w:color="auto" w:frame="1"/>
              </w:rPr>
              <w:t>FY21 (Jan</w:t>
            </w:r>
            <w:r>
              <w:rPr>
                <w:rFonts w:ascii="Arial Narrow" w:eastAsia="Times New Roman" w:hAnsi="Arial Narrow" w:cs="Arial"/>
                <w:b/>
                <w:bCs/>
                <w:color w:val="000000"/>
                <w:bdr w:val="none" w:sz="0" w:space="0" w:color="auto" w:frame="1"/>
              </w:rPr>
              <w:t>uary</w:t>
            </w:r>
            <w:r w:rsidRPr="001F2281">
              <w:rPr>
                <w:rFonts w:ascii="Arial Narrow" w:eastAsia="Times New Roman" w:hAnsi="Arial Narrow" w:cs="Arial"/>
                <w:b/>
                <w:bCs/>
                <w:color w:val="000000"/>
                <w:bdr w:val="none" w:sz="0" w:space="0" w:color="auto" w:frame="1"/>
              </w:rPr>
              <w:t xml:space="preserve"> – June </w:t>
            </w:r>
            <w:r>
              <w:rPr>
                <w:rFonts w:ascii="Arial Narrow" w:eastAsia="Times New Roman" w:hAnsi="Arial Narrow" w:cs="Arial"/>
                <w:b/>
                <w:bCs/>
                <w:color w:val="000000"/>
                <w:bdr w:val="none" w:sz="0" w:space="0" w:color="auto" w:frame="1"/>
              </w:rPr>
              <w:t>20</w:t>
            </w:r>
            <w:r w:rsidRPr="001F2281">
              <w:rPr>
                <w:rFonts w:ascii="Arial Narrow" w:eastAsia="Times New Roman" w:hAnsi="Arial Narrow" w:cs="Arial"/>
                <w:b/>
                <w:bCs/>
                <w:color w:val="000000"/>
                <w:bdr w:val="none" w:sz="0" w:space="0" w:color="auto" w:frame="1"/>
              </w:rPr>
              <w:t>21)</w:t>
            </w:r>
          </w:p>
        </w:tc>
        <w:tc>
          <w:tcPr>
            <w:tcW w:w="2685" w:type="dxa"/>
            <w:tcBorders>
              <w:top w:val="single" w:sz="8" w:space="0" w:color="auto"/>
              <w:left w:val="nil"/>
              <w:bottom w:val="single" w:sz="12" w:space="0" w:color="auto"/>
              <w:right w:val="single" w:sz="12" w:space="0" w:color="auto"/>
            </w:tcBorders>
            <w:shd w:val="clear" w:color="auto" w:fill="F2F2F2"/>
            <w:tcMar>
              <w:top w:w="0" w:type="dxa"/>
              <w:left w:w="108" w:type="dxa"/>
              <w:bottom w:w="0" w:type="dxa"/>
              <w:right w:w="108" w:type="dxa"/>
            </w:tcMar>
            <w:vAlign w:val="center"/>
          </w:tcPr>
          <w:p w14:paraId="3932031F" w14:textId="77777777" w:rsidR="000C0595" w:rsidRPr="001F2281" w:rsidRDefault="000C0595" w:rsidP="00082DA7">
            <w:pPr>
              <w:spacing w:after="0" w:line="240" w:lineRule="auto"/>
              <w:jc w:val="center"/>
              <w:rPr>
                <w:rFonts w:ascii="Arial Narrow" w:eastAsia="Times New Roman" w:hAnsi="Arial Narrow" w:cs="Arial"/>
                <w:b/>
                <w:bCs/>
                <w:color w:val="000000"/>
                <w:bdr w:val="none" w:sz="0" w:space="0" w:color="auto" w:frame="1"/>
              </w:rPr>
            </w:pPr>
            <w:r w:rsidRPr="001F2281">
              <w:rPr>
                <w:rFonts w:ascii="Arial Narrow" w:eastAsia="Times New Roman" w:hAnsi="Arial Narrow" w:cs="Arial"/>
                <w:b/>
                <w:bCs/>
                <w:color w:val="000000"/>
                <w:bdr w:val="none" w:sz="0" w:space="0" w:color="auto" w:frame="1"/>
              </w:rPr>
              <w:t>FY22 (Feb</w:t>
            </w:r>
            <w:r>
              <w:rPr>
                <w:rFonts w:ascii="Arial Narrow" w:eastAsia="Times New Roman" w:hAnsi="Arial Narrow" w:cs="Arial"/>
                <w:b/>
                <w:bCs/>
                <w:color w:val="000000"/>
                <w:bdr w:val="none" w:sz="0" w:space="0" w:color="auto" w:frame="1"/>
              </w:rPr>
              <w:t>ruary</w:t>
            </w:r>
            <w:r w:rsidRPr="001F2281">
              <w:rPr>
                <w:rFonts w:ascii="Arial Narrow" w:eastAsia="Times New Roman" w:hAnsi="Arial Narrow" w:cs="Arial"/>
                <w:b/>
                <w:bCs/>
                <w:color w:val="000000"/>
                <w:bdr w:val="none" w:sz="0" w:space="0" w:color="auto" w:frame="1"/>
              </w:rPr>
              <w:t xml:space="preserve"> – July </w:t>
            </w:r>
            <w:r>
              <w:rPr>
                <w:rFonts w:ascii="Arial Narrow" w:eastAsia="Times New Roman" w:hAnsi="Arial Narrow" w:cs="Arial"/>
                <w:b/>
                <w:bCs/>
                <w:color w:val="000000"/>
                <w:bdr w:val="none" w:sz="0" w:space="0" w:color="auto" w:frame="1"/>
              </w:rPr>
              <w:t>20</w:t>
            </w:r>
            <w:r w:rsidRPr="001F2281">
              <w:rPr>
                <w:rFonts w:ascii="Arial Narrow" w:eastAsia="Times New Roman" w:hAnsi="Arial Narrow" w:cs="Arial"/>
                <w:b/>
                <w:bCs/>
                <w:color w:val="000000"/>
                <w:bdr w:val="none" w:sz="0" w:space="0" w:color="auto" w:frame="1"/>
              </w:rPr>
              <w:t>22)</w:t>
            </w:r>
          </w:p>
        </w:tc>
      </w:tr>
      <w:tr w:rsidR="000C0595" w:rsidRPr="001F2281" w14:paraId="103DE3E1" w14:textId="77777777" w:rsidTr="009C4662">
        <w:trPr>
          <w:cantSplit/>
          <w:trHeight w:val="73"/>
          <w:jc w:val="center"/>
        </w:trPr>
        <w:tc>
          <w:tcPr>
            <w:tcW w:w="1979" w:type="dxa"/>
            <w:tcBorders>
              <w:top w:val="single" w:sz="12" w:space="0" w:color="auto"/>
              <w:left w:val="single" w:sz="12" w:space="0" w:color="auto"/>
              <w:bottom w:val="single" w:sz="8" w:space="0" w:color="auto"/>
              <w:right w:val="single" w:sz="8" w:space="0" w:color="auto"/>
            </w:tcBorders>
            <w:noWrap/>
            <w:tcMar>
              <w:top w:w="0" w:type="dxa"/>
              <w:left w:w="108" w:type="dxa"/>
              <w:bottom w:w="0" w:type="dxa"/>
              <w:right w:w="108" w:type="dxa"/>
            </w:tcMar>
            <w:hideMark/>
          </w:tcPr>
          <w:p w14:paraId="1B14A85F"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Cardiac</w:t>
            </w:r>
          </w:p>
        </w:tc>
        <w:tc>
          <w:tcPr>
            <w:tcW w:w="2771" w:type="dxa"/>
            <w:tcBorders>
              <w:top w:val="single" w:sz="12" w:space="0" w:color="auto"/>
              <w:left w:val="nil"/>
              <w:bottom w:val="single" w:sz="8" w:space="0" w:color="auto"/>
              <w:right w:val="single" w:sz="8" w:space="0" w:color="auto"/>
            </w:tcBorders>
            <w:noWrap/>
            <w:tcMar>
              <w:top w:w="0" w:type="dxa"/>
              <w:left w:w="108" w:type="dxa"/>
              <w:bottom w:w="0" w:type="dxa"/>
              <w:right w:w="108" w:type="dxa"/>
            </w:tcMar>
            <w:hideMark/>
          </w:tcPr>
          <w:p w14:paraId="028C106B"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23</w:t>
            </w:r>
          </w:p>
        </w:tc>
        <w:tc>
          <w:tcPr>
            <w:tcW w:w="2685" w:type="dxa"/>
            <w:tcBorders>
              <w:top w:val="single" w:sz="12" w:space="0" w:color="auto"/>
              <w:left w:val="nil"/>
              <w:bottom w:val="single" w:sz="8" w:space="0" w:color="auto"/>
              <w:right w:val="single" w:sz="12" w:space="0" w:color="auto"/>
            </w:tcBorders>
            <w:noWrap/>
            <w:tcMar>
              <w:top w:w="0" w:type="dxa"/>
              <w:left w:w="108" w:type="dxa"/>
              <w:bottom w:w="0" w:type="dxa"/>
              <w:right w:w="108" w:type="dxa"/>
            </w:tcMar>
            <w:hideMark/>
          </w:tcPr>
          <w:p w14:paraId="525E8C6C"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41</w:t>
            </w:r>
          </w:p>
        </w:tc>
      </w:tr>
      <w:tr w:rsidR="000C0595" w:rsidRPr="001F2281" w14:paraId="485DB08E"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315BF4A6"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General</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2FC549D7"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45</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3EAE8629"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63</w:t>
            </w:r>
          </w:p>
        </w:tc>
      </w:tr>
      <w:tr w:rsidR="000C0595" w:rsidRPr="001F2281" w14:paraId="4CD8E000"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4D4B135F"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Gynecology</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543310E8"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64</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461C759D"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95</w:t>
            </w:r>
          </w:p>
        </w:tc>
      </w:tr>
      <w:tr w:rsidR="000C0595" w:rsidRPr="001F2281" w14:paraId="2690CE6D" w14:textId="77777777" w:rsidTr="009C4662">
        <w:trPr>
          <w:cantSplit/>
          <w:trHeight w:val="88"/>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37164348"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Maxillofacial Oral</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6C1FEE7B"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54</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200CCFE9"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68</w:t>
            </w:r>
          </w:p>
        </w:tc>
      </w:tr>
      <w:tr w:rsidR="000C0595" w:rsidRPr="001F2281" w14:paraId="0D7438BA"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1C4BE897"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Neurosurgery</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2726BD27"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50</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143341E9"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53</w:t>
            </w:r>
          </w:p>
        </w:tc>
      </w:tr>
      <w:tr w:rsidR="000C0595" w:rsidRPr="001F2281" w14:paraId="67472032"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3EB0EA13"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Ophthalmology</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24109EB7"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48</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2CA594B8"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91</w:t>
            </w:r>
          </w:p>
        </w:tc>
      </w:tr>
      <w:tr w:rsidR="000C0595" w:rsidRPr="001F2281" w14:paraId="39306164"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2EAB17B3"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Orthopedics</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74B8F954"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50</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7741FA68"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54</w:t>
            </w:r>
          </w:p>
        </w:tc>
      </w:tr>
      <w:tr w:rsidR="000C0595" w:rsidRPr="001F2281" w14:paraId="2431DF2A"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10150BAD"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Otolaryngology</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126DB73B"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43</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161AFB92"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55</w:t>
            </w:r>
          </w:p>
        </w:tc>
      </w:tr>
      <w:tr w:rsidR="000C0595" w:rsidRPr="001F2281" w14:paraId="52F5789F"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284B20E8"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Plastics</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653A252B"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52</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02B0C801"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32</w:t>
            </w:r>
          </w:p>
        </w:tc>
      </w:tr>
      <w:tr w:rsidR="000C0595" w:rsidRPr="001F2281" w14:paraId="7F8A5245" w14:textId="77777777" w:rsidTr="009C4662">
        <w:trPr>
          <w:cantSplit/>
          <w:trHeight w:val="73"/>
          <w:jc w:val="center"/>
        </w:trPr>
        <w:tc>
          <w:tcPr>
            <w:tcW w:w="1979" w:type="dxa"/>
            <w:tcBorders>
              <w:top w:val="single" w:sz="4" w:space="0" w:color="auto"/>
              <w:left w:val="single" w:sz="12" w:space="0" w:color="auto"/>
              <w:bottom w:val="single" w:sz="8" w:space="0" w:color="auto"/>
              <w:right w:val="single" w:sz="8" w:space="0" w:color="auto"/>
            </w:tcBorders>
            <w:noWrap/>
            <w:tcMar>
              <w:top w:w="0" w:type="dxa"/>
              <w:left w:w="108" w:type="dxa"/>
              <w:bottom w:w="0" w:type="dxa"/>
              <w:right w:w="108" w:type="dxa"/>
            </w:tcMar>
            <w:hideMark/>
          </w:tcPr>
          <w:p w14:paraId="2E2156B0"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Podiatry</w:t>
            </w:r>
          </w:p>
        </w:tc>
        <w:tc>
          <w:tcPr>
            <w:tcW w:w="2771"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50077022"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102</w:t>
            </w:r>
          </w:p>
        </w:tc>
        <w:tc>
          <w:tcPr>
            <w:tcW w:w="2685" w:type="dxa"/>
            <w:tcBorders>
              <w:top w:val="single" w:sz="4" w:space="0" w:color="auto"/>
              <w:left w:val="nil"/>
              <w:bottom w:val="single" w:sz="8" w:space="0" w:color="auto"/>
              <w:right w:val="single" w:sz="12" w:space="0" w:color="auto"/>
            </w:tcBorders>
            <w:noWrap/>
            <w:tcMar>
              <w:top w:w="0" w:type="dxa"/>
              <w:left w:w="108" w:type="dxa"/>
              <w:bottom w:w="0" w:type="dxa"/>
              <w:right w:w="108" w:type="dxa"/>
            </w:tcMar>
            <w:hideMark/>
          </w:tcPr>
          <w:p w14:paraId="4865AC28"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66</w:t>
            </w:r>
          </w:p>
        </w:tc>
      </w:tr>
      <w:tr w:rsidR="000C0595" w:rsidRPr="001F2281" w14:paraId="2E8D8E94"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788315CD"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Thoracic</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57E859AD"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28</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07C51399"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26</w:t>
            </w:r>
          </w:p>
        </w:tc>
      </w:tr>
      <w:tr w:rsidR="000C0595" w:rsidRPr="001F2281" w14:paraId="45A79D0C"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07A38DE0"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Transplant</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28867024"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16</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4888DD89"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18</w:t>
            </w:r>
          </w:p>
        </w:tc>
      </w:tr>
      <w:tr w:rsidR="000C0595" w:rsidRPr="001F2281" w14:paraId="05A31646" w14:textId="77777777" w:rsidTr="009C4662">
        <w:trPr>
          <w:cantSplit/>
          <w:trHeight w:val="73"/>
          <w:jc w:val="center"/>
        </w:trPr>
        <w:tc>
          <w:tcPr>
            <w:tcW w:w="1979" w:type="dxa"/>
            <w:tcBorders>
              <w:top w:val="nil"/>
              <w:left w:val="single" w:sz="12" w:space="0" w:color="auto"/>
              <w:bottom w:val="single" w:sz="8" w:space="0" w:color="auto"/>
              <w:right w:val="single" w:sz="8" w:space="0" w:color="auto"/>
            </w:tcBorders>
            <w:noWrap/>
            <w:tcMar>
              <w:top w:w="0" w:type="dxa"/>
              <w:left w:w="108" w:type="dxa"/>
              <w:bottom w:w="0" w:type="dxa"/>
              <w:right w:w="108" w:type="dxa"/>
            </w:tcMar>
            <w:hideMark/>
          </w:tcPr>
          <w:p w14:paraId="4A40ABC0"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Urology</w:t>
            </w:r>
          </w:p>
        </w:tc>
        <w:tc>
          <w:tcPr>
            <w:tcW w:w="2771" w:type="dxa"/>
            <w:tcBorders>
              <w:top w:val="nil"/>
              <w:left w:val="nil"/>
              <w:bottom w:val="single" w:sz="8" w:space="0" w:color="auto"/>
              <w:right w:val="single" w:sz="8" w:space="0" w:color="auto"/>
            </w:tcBorders>
            <w:noWrap/>
            <w:tcMar>
              <w:top w:w="0" w:type="dxa"/>
              <w:left w:w="108" w:type="dxa"/>
              <w:bottom w:w="0" w:type="dxa"/>
              <w:right w:w="108" w:type="dxa"/>
            </w:tcMar>
            <w:hideMark/>
          </w:tcPr>
          <w:p w14:paraId="2E09CF26"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50</w:t>
            </w:r>
          </w:p>
        </w:tc>
        <w:tc>
          <w:tcPr>
            <w:tcW w:w="2685" w:type="dxa"/>
            <w:tcBorders>
              <w:top w:val="nil"/>
              <w:left w:val="nil"/>
              <w:bottom w:val="single" w:sz="8" w:space="0" w:color="auto"/>
              <w:right w:val="single" w:sz="12" w:space="0" w:color="auto"/>
            </w:tcBorders>
            <w:noWrap/>
            <w:tcMar>
              <w:top w:w="0" w:type="dxa"/>
              <w:left w:w="108" w:type="dxa"/>
              <w:bottom w:w="0" w:type="dxa"/>
              <w:right w:w="108" w:type="dxa"/>
            </w:tcMar>
            <w:hideMark/>
          </w:tcPr>
          <w:p w14:paraId="495CBBF2"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65</w:t>
            </w:r>
          </w:p>
        </w:tc>
      </w:tr>
      <w:tr w:rsidR="000C0595" w:rsidRPr="001F2281" w14:paraId="2EFE3721" w14:textId="77777777" w:rsidTr="009C4662">
        <w:trPr>
          <w:cantSplit/>
          <w:trHeight w:val="73"/>
          <w:jc w:val="center"/>
        </w:trPr>
        <w:tc>
          <w:tcPr>
            <w:tcW w:w="1979" w:type="dxa"/>
            <w:tcBorders>
              <w:top w:val="nil"/>
              <w:left w:val="single" w:sz="12" w:space="0" w:color="auto"/>
              <w:bottom w:val="single" w:sz="12" w:space="0" w:color="auto"/>
              <w:right w:val="single" w:sz="8" w:space="0" w:color="auto"/>
            </w:tcBorders>
            <w:noWrap/>
            <w:tcMar>
              <w:top w:w="0" w:type="dxa"/>
              <w:left w:w="108" w:type="dxa"/>
              <w:bottom w:w="0" w:type="dxa"/>
              <w:right w:w="108" w:type="dxa"/>
            </w:tcMar>
            <w:hideMark/>
          </w:tcPr>
          <w:p w14:paraId="5C9A295C" w14:textId="77777777" w:rsidR="000C0595" w:rsidRPr="001F2281" w:rsidRDefault="000C0595" w:rsidP="00082DA7">
            <w:pPr>
              <w:spacing w:after="0" w:line="240" w:lineRule="auto"/>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Vascular</w:t>
            </w:r>
          </w:p>
        </w:tc>
        <w:tc>
          <w:tcPr>
            <w:tcW w:w="2771" w:type="dxa"/>
            <w:tcBorders>
              <w:top w:val="nil"/>
              <w:left w:val="nil"/>
              <w:bottom w:val="single" w:sz="12" w:space="0" w:color="auto"/>
              <w:right w:val="single" w:sz="8" w:space="0" w:color="auto"/>
            </w:tcBorders>
            <w:noWrap/>
            <w:tcMar>
              <w:top w:w="0" w:type="dxa"/>
              <w:left w:w="108" w:type="dxa"/>
              <w:bottom w:w="0" w:type="dxa"/>
              <w:right w:w="108" w:type="dxa"/>
            </w:tcMar>
            <w:hideMark/>
          </w:tcPr>
          <w:p w14:paraId="21319587"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64</w:t>
            </w:r>
          </w:p>
        </w:tc>
        <w:tc>
          <w:tcPr>
            <w:tcW w:w="2685" w:type="dxa"/>
            <w:tcBorders>
              <w:top w:val="nil"/>
              <w:left w:val="nil"/>
              <w:bottom w:val="single" w:sz="12" w:space="0" w:color="auto"/>
              <w:right w:val="single" w:sz="12" w:space="0" w:color="auto"/>
            </w:tcBorders>
            <w:noWrap/>
            <w:tcMar>
              <w:top w:w="0" w:type="dxa"/>
              <w:left w:w="108" w:type="dxa"/>
              <w:bottom w:w="0" w:type="dxa"/>
              <w:right w:w="108" w:type="dxa"/>
            </w:tcMar>
            <w:hideMark/>
          </w:tcPr>
          <w:p w14:paraId="06420D20" w14:textId="77777777" w:rsidR="000C0595" w:rsidRPr="001F2281" w:rsidRDefault="000C0595" w:rsidP="00082DA7">
            <w:pPr>
              <w:spacing w:after="0" w:line="240" w:lineRule="auto"/>
              <w:jc w:val="center"/>
              <w:rPr>
                <w:rFonts w:ascii="Arial Narrow" w:eastAsia="Times New Roman" w:hAnsi="Arial Narrow" w:cs="Arial"/>
                <w:color w:val="000000"/>
                <w:sz w:val="24"/>
                <w:szCs w:val="24"/>
              </w:rPr>
            </w:pPr>
            <w:r w:rsidRPr="001F2281">
              <w:rPr>
                <w:rFonts w:ascii="Arial Narrow" w:eastAsia="Times New Roman" w:hAnsi="Arial Narrow" w:cs="Arial"/>
                <w:color w:val="000000"/>
                <w:bdr w:val="none" w:sz="0" w:space="0" w:color="auto" w:frame="1"/>
              </w:rPr>
              <w:t>76</w:t>
            </w:r>
          </w:p>
        </w:tc>
      </w:tr>
      <w:tr w:rsidR="000C0595" w:rsidRPr="001F2281" w14:paraId="7087A220" w14:textId="77777777" w:rsidTr="009C4662">
        <w:trPr>
          <w:cantSplit/>
          <w:trHeight w:val="73"/>
          <w:jc w:val="center"/>
        </w:trPr>
        <w:tc>
          <w:tcPr>
            <w:tcW w:w="1979" w:type="dxa"/>
            <w:tcBorders>
              <w:top w:val="single" w:sz="12" w:space="0" w:color="auto"/>
              <w:left w:val="single" w:sz="12" w:space="0" w:color="auto"/>
              <w:bottom w:val="single" w:sz="12" w:space="0" w:color="auto"/>
              <w:right w:val="single" w:sz="8" w:space="0" w:color="auto"/>
            </w:tcBorders>
            <w:shd w:val="clear" w:color="auto" w:fill="F2F2F2"/>
            <w:noWrap/>
            <w:tcMar>
              <w:top w:w="0" w:type="dxa"/>
              <w:left w:w="108" w:type="dxa"/>
              <w:bottom w:w="0" w:type="dxa"/>
              <w:right w:w="108" w:type="dxa"/>
            </w:tcMar>
            <w:hideMark/>
          </w:tcPr>
          <w:p w14:paraId="6995B0CC" w14:textId="77777777" w:rsidR="000C0595" w:rsidRPr="001F2281" w:rsidRDefault="000C0595" w:rsidP="00082DA7">
            <w:pPr>
              <w:spacing w:after="0" w:line="240" w:lineRule="auto"/>
              <w:rPr>
                <w:rFonts w:ascii="Arial Narrow" w:eastAsia="Times New Roman" w:hAnsi="Arial Narrow" w:cs="Arial"/>
                <w:b/>
                <w:bCs/>
                <w:color w:val="000000"/>
                <w:sz w:val="24"/>
                <w:szCs w:val="24"/>
              </w:rPr>
            </w:pPr>
            <w:r w:rsidRPr="001F2281">
              <w:rPr>
                <w:rFonts w:ascii="Arial Narrow" w:eastAsia="Times New Roman" w:hAnsi="Arial Narrow" w:cs="Arial"/>
                <w:b/>
                <w:bCs/>
                <w:color w:val="000000"/>
                <w:bdr w:val="none" w:sz="0" w:space="0" w:color="auto" w:frame="1"/>
              </w:rPr>
              <w:t>Total</w:t>
            </w:r>
          </w:p>
        </w:tc>
        <w:tc>
          <w:tcPr>
            <w:tcW w:w="2771" w:type="dxa"/>
            <w:tcBorders>
              <w:top w:val="single" w:sz="12" w:space="0" w:color="auto"/>
              <w:left w:val="nil"/>
              <w:bottom w:val="single" w:sz="12" w:space="0" w:color="auto"/>
              <w:right w:val="single" w:sz="8" w:space="0" w:color="auto"/>
            </w:tcBorders>
            <w:shd w:val="clear" w:color="auto" w:fill="F2F2F2"/>
            <w:noWrap/>
            <w:tcMar>
              <w:top w:w="0" w:type="dxa"/>
              <w:left w:w="108" w:type="dxa"/>
              <w:bottom w:w="0" w:type="dxa"/>
              <w:right w:w="108" w:type="dxa"/>
            </w:tcMar>
            <w:hideMark/>
          </w:tcPr>
          <w:p w14:paraId="2EAC6AB6" w14:textId="77777777" w:rsidR="000C0595" w:rsidRPr="001F2281" w:rsidRDefault="000C0595" w:rsidP="00082DA7">
            <w:pPr>
              <w:spacing w:after="0" w:line="240" w:lineRule="auto"/>
              <w:jc w:val="center"/>
              <w:rPr>
                <w:rFonts w:ascii="Arial Narrow" w:eastAsia="Times New Roman" w:hAnsi="Arial Narrow" w:cs="Arial"/>
                <w:b/>
                <w:bCs/>
                <w:color w:val="000000"/>
                <w:sz w:val="24"/>
                <w:szCs w:val="24"/>
              </w:rPr>
            </w:pPr>
            <w:r w:rsidRPr="001F2281">
              <w:rPr>
                <w:rFonts w:ascii="Arial Narrow" w:eastAsia="Times New Roman" w:hAnsi="Arial Narrow" w:cs="Arial"/>
                <w:b/>
                <w:bCs/>
                <w:color w:val="000000"/>
                <w:bdr w:val="none" w:sz="0" w:space="0" w:color="auto" w:frame="1"/>
              </w:rPr>
              <w:t>50</w:t>
            </w:r>
          </w:p>
        </w:tc>
        <w:tc>
          <w:tcPr>
            <w:tcW w:w="2685" w:type="dxa"/>
            <w:tcBorders>
              <w:top w:val="single" w:sz="12" w:space="0" w:color="auto"/>
              <w:left w:val="nil"/>
              <w:bottom w:val="single" w:sz="12" w:space="0" w:color="auto"/>
              <w:right w:val="single" w:sz="12" w:space="0" w:color="auto"/>
            </w:tcBorders>
            <w:shd w:val="clear" w:color="auto" w:fill="F2F2F2"/>
            <w:noWrap/>
            <w:tcMar>
              <w:top w:w="0" w:type="dxa"/>
              <w:left w:w="108" w:type="dxa"/>
              <w:bottom w:w="0" w:type="dxa"/>
              <w:right w:w="108" w:type="dxa"/>
            </w:tcMar>
            <w:hideMark/>
          </w:tcPr>
          <w:p w14:paraId="27869179" w14:textId="77777777" w:rsidR="000C0595" w:rsidRPr="001F2281" w:rsidRDefault="000C0595" w:rsidP="00082DA7">
            <w:pPr>
              <w:spacing w:after="0" w:line="240" w:lineRule="auto"/>
              <w:jc w:val="center"/>
              <w:rPr>
                <w:rFonts w:ascii="Arial Narrow" w:eastAsia="Times New Roman" w:hAnsi="Arial Narrow" w:cs="Arial"/>
                <w:b/>
                <w:bCs/>
                <w:color w:val="000000"/>
                <w:sz w:val="24"/>
                <w:szCs w:val="24"/>
              </w:rPr>
            </w:pPr>
            <w:r w:rsidRPr="001F2281">
              <w:rPr>
                <w:rFonts w:ascii="Arial Narrow" w:eastAsia="Times New Roman" w:hAnsi="Arial Narrow" w:cs="Arial"/>
                <w:b/>
                <w:bCs/>
                <w:color w:val="000000"/>
                <w:bdr w:val="none" w:sz="0" w:space="0" w:color="auto" w:frame="1"/>
              </w:rPr>
              <w:t>64</w:t>
            </w:r>
          </w:p>
        </w:tc>
      </w:tr>
    </w:tbl>
    <w:p w14:paraId="40738F23" w14:textId="77777777" w:rsidR="00595438" w:rsidRPr="00595438" w:rsidRDefault="00595438" w:rsidP="006F1A72">
      <w:pPr>
        <w:spacing w:after="240"/>
        <w:jc w:val="both"/>
        <w:rPr>
          <w:rFonts w:ascii="Arial" w:hAnsi="Arial" w:cs="Arial"/>
          <w:b/>
          <w:bCs/>
        </w:rPr>
      </w:pPr>
    </w:p>
    <w:sectPr w:rsidR="00595438" w:rsidRPr="00595438" w:rsidSect="004B678F">
      <w:headerReference w:type="default" r:id="rId9"/>
      <w:footerReference w:type="default" r:id="rId10"/>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65FC" w14:textId="77777777" w:rsidR="000D73A8" w:rsidRDefault="000D73A8" w:rsidP="00231103">
      <w:pPr>
        <w:spacing w:after="0" w:line="240" w:lineRule="auto"/>
      </w:pPr>
      <w:r>
        <w:separator/>
      </w:r>
    </w:p>
  </w:endnote>
  <w:endnote w:type="continuationSeparator" w:id="0">
    <w:p w14:paraId="0E836C92" w14:textId="77777777" w:rsidR="000D73A8" w:rsidRDefault="000D73A8" w:rsidP="00231103">
      <w:pPr>
        <w:spacing w:after="0" w:line="240" w:lineRule="auto"/>
      </w:pPr>
      <w:r>
        <w:continuationSeparator/>
      </w:r>
    </w:p>
  </w:endnote>
  <w:endnote w:type="continuationNotice" w:id="1">
    <w:p w14:paraId="177A764D" w14:textId="77777777" w:rsidR="000D73A8" w:rsidRDefault="000D73A8">
      <w:pPr>
        <w:spacing w:after="0" w:line="240" w:lineRule="auto"/>
      </w:pPr>
    </w:p>
  </w:endnote>
  <w:endnote w:id="2">
    <w:p w14:paraId="7077A2B9" w14:textId="065ED4AE" w:rsidR="00CF454C" w:rsidRPr="002432E3" w:rsidRDefault="00CF454C" w:rsidP="002432E3">
      <w:pPr>
        <w:spacing w:after="0" w:line="240" w:lineRule="auto"/>
        <w:rPr>
          <w:rFonts w:ascii="Arial" w:hAnsi="Arial" w:cs="Arial"/>
          <w:sz w:val="18"/>
          <w:szCs w:val="18"/>
        </w:rPr>
      </w:pPr>
      <w:r w:rsidRPr="00E32EFD">
        <w:rPr>
          <w:rStyle w:val="EndnoteReference"/>
          <w:rFonts w:ascii="Arial" w:hAnsi="Arial" w:cs="Arial"/>
          <w:sz w:val="18"/>
          <w:szCs w:val="18"/>
        </w:rPr>
        <w:endnoteRef/>
      </w:r>
      <w:r w:rsidRPr="00E32EFD">
        <w:rPr>
          <w:rFonts w:ascii="Arial" w:hAnsi="Arial" w:cs="Arial"/>
          <w:sz w:val="18"/>
          <w:szCs w:val="18"/>
        </w:rPr>
        <w:t xml:space="preserve"> </w:t>
      </w:r>
      <w:r w:rsidR="00073236" w:rsidRPr="00E32EFD">
        <w:rPr>
          <w:rFonts w:ascii="Arial" w:hAnsi="Arial" w:cs="Arial"/>
          <w:sz w:val="18"/>
          <w:szCs w:val="18"/>
        </w:rPr>
        <w:t xml:space="preserve">Please note that the number of single occupancy rooms (269 rooms) + double occupancy rooms (90 rooms) does not total the number of operational beds at BMC (453 beds). The difference of 4 beds is attributable to the fact that the Hospital operates 4 COVID-19 Surge beds in alternate care space that </w:t>
      </w:r>
      <w:r w:rsidR="00073236">
        <w:rPr>
          <w:rFonts w:ascii="Arial" w:hAnsi="Arial" w:cs="Arial"/>
          <w:sz w:val="18"/>
          <w:szCs w:val="18"/>
        </w:rPr>
        <w:t>would</w:t>
      </w:r>
      <w:r w:rsidR="00073236" w:rsidRPr="00E32EFD">
        <w:rPr>
          <w:rFonts w:ascii="Arial" w:hAnsi="Arial" w:cs="Arial"/>
          <w:sz w:val="18"/>
          <w:szCs w:val="18"/>
        </w:rPr>
        <w:t xml:space="preserve"> not accurately </w:t>
      </w:r>
      <w:r w:rsidR="00073236">
        <w:rPr>
          <w:rFonts w:ascii="Arial" w:hAnsi="Arial" w:cs="Arial"/>
          <w:sz w:val="18"/>
          <w:szCs w:val="18"/>
        </w:rPr>
        <w:t xml:space="preserve">be </w:t>
      </w:r>
      <w:r w:rsidR="00073236" w:rsidRPr="00E32EFD">
        <w:rPr>
          <w:rFonts w:ascii="Arial" w:hAnsi="Arial" w:cs="Arial"/>
          <w:sz w:val="18"/>
          <w:szCs w:val="18"/>
        </w:rPr>
        <w:t>c</w:t>
      </w:r>
      <w:r w:rsidR="00073236">
        <w:rPr>
          <w:rFonts w:ascii="Arial" w:hAnsi="Arial" w:cs="Arial"/>
          <w:sz w:val="18"/>
          <w:szCs w:val="18"/>
        </w:rPr>
        <w:t xml:space="preserve">ategorized </w:t>
      </w:r>
      <w:r w:rsidR="00073236" w:rsidRPr="00E32EFD">
        <w:rPr>
          <w:rFonts w:ascii="Arial" w:hAnsi="Arial" w:cs="Arial"/>
          <w:sz w:val="18"/>
          <w:szCs w:val="18"/>
        </w:rPr>
        <w:t xml:space="preserve">as being single or double occupancy. </w:t>
      </w:r>
      <w:r w:rsidR="00073236">
        <w:rPr>
          <w:rFonts w:ascii="Arial" w:hAnsi="Arial" w:cs="Arial"/>
          <w:sz w:val="18"/>
          <w:szCs w:val="18"/>
        </w:rPr>
        <w:t>Nonetheless, t</w:t>
      </w:r>
      <w:r w:rsidR="00073236" w:rsidRPr="00E32EFD">
        <w:rPr>
          <w:rFonts w:ascii="Arial" w:hAnsi="Arial" w:cs="Arial"/>
          <w:sz w:val="18"/>
          <w:szCs w:val="18"/>
        </w:rPr>
        <w:t xml:space="preserve">he beds in such space are appropriate </w:t>
      </w:r>
      <w:r w:rsidR="00073236" w:rsidRPr="00243F73">
        <w:rPr>
          <w:rFonts w:ascii="Arial" w:hAnsi="Arial" w:cs="Arial"/>
          <w:sz w:val="18"/>
          <w:szCs w:val="18"/>
        </w:rPr>
        <w:t>for inpatient care and meet the required criteria, including being equipped with medical gas, being spaced appropriately, having access to hand washing sinks, and having privacy partitions</w:t>
      </w:r>
      <w:r w:rsidR="002432E3" w:rsidRPr="00243F73">
        <w:rPr>
          <w:rFonts w:ascii="Arial" w:hAnsi="Arial" w:cs="Arial"/>
          <w:sz w:val="18"/>
          <w:szCs w:val="18"/>
        </w:rPr>
        <w:t xml:space="preserve">. </w:t>
      </w:r>
    </w:p>
  </w:endnote>
  <w:endnote w:id="3">
    <w:p w14:paraId="094D84AA" w14:textId="4D0085EB" w:rsidR="00A831D3" w:rsidRPr="003008BD" w:rsidRDefault="00A831D3">
      <w:pPr>
        <w:pStyle w:val="EndnoteText"/>
        <w:rPr>
          <w:rFonts w:ascii="Arial" w:hAnsi="Arial" w:cs="Arial"/>
          <w:sz w:val="18"/>
          <w:szCs w:val="18"/>
        </w:rPr>
      </w:pPr>
      <w:r w:rsidRPr="003008BD">
        <w:rPr>
          <w:rStyle w:val="EndnoteReference"/>
          <w:rFonts w:ascii="Arial" w:hAnsi="Arial" w:cs="Arial"/>
          <w:sz w:val="18"/>
          <w:szCs w:val="18"/>
        </w:rPr>
        <w:endnoteRef/>
      </w:r>
      <w:r w:rsidRPr="003008BD">
        <w:rPr>
          <w:rFonts w:ascii="Arial" w:hAnsi="Arial" w:cs="Arial"/>
          <w:sz w:val="18"/>
          <w:szCs w:val="18"/>
        </w:rPr>
        <w:t xml:space="preserve"> </w:t>
      </w:r>
      <w:r w:rsidRPr="002800C1">
        <w:rPr>
          <w:rFonts w:ascii="Arial" w:hAnsi="Arial" w:cs="Arial"/>
          <w:sz w:val="18"/>
          <w:szCs w:val="18"/>
        </w:rPr>
        <w:t xml:space="preserve">BMC's </w:t>
      </w:r>
      <w:r>
        <w:rPr>
          <w:rFonts w:ascii="Arial" w:hAnsi="Arial" w:cs="Arial"/>
          <w:sz w:val="18"/>
          <w:szCs w:val="18"/>
        </w:rPr>
        <w:t>fiscal year</w:t>
      </w:r>
      <w:r w:rsidRPr="002800C1">
        <w:rPr>
          <w:rFonts w:ascii="Arial" w:hAnsi="Arial" w:cs="Arial"/>
          <w:sz w:val="18"/>
          <w:szCs w:val="18"/>
        </w:rPr>
        <w:t xml:space="preserve"> is 10/1 – 9/30. FY22 data is provided YTD through </w:t>
      </w:r>
      <w:r>
        <w:rPr>
          <w:rFonts w:ascii="Arial" w:hAnsi="Arial" w:cs="Arial"/>
          <w:sz w:val="18"/>
          <w:szCs w:val="18"/>
        </w:rPr>
        <w:t>12</w:t>
      </w:r>
      <w:r w:rsidRPr="002800C1">
        <w:rPr>
          <w:rFonts w:ascii="Arial" w:hAnsi="Arial" w:cs="Arial"/>
          <w:sz w:val="18"/>
          <w:szCs w:val="18"/>
        </w:rPr>
        <w:t>/202</w:t>
      </w:r>
      <w:r>
        <w:rPr>
          <w:rFonts w:ascii="Arial" w:hAnsi="Arial" w:cs="Arial"/>
          <w:sz w:val="18"/>
          <w:szCs w:val="18"/>
        </w:rPr>
        <w:t>1</w:t>
      </w:r>
      <w:r w:rsidRPr="002800C1">
        <w:rPr>
          <w:rFonts w:ascii="Arial" w:hAnsi="Arial" w:cs="Arial"/>
          <w:sz w:val="18"/>
          <w:szCs w:val="18"/>
        </w:rPr>
        <w:t xml:space="preserve"> and, therefore, is subject to</w:t>
      </w:r>
      <w:r>
        <w:rPr>
          <w:rFonts w:ascii="Arial" w:hAnsi="Arial" w:cs="Arial"/>
          <w:sz w:val="18"/>
          <w:szCs w:val="18"/>
        </w:rPr>
        <w:t xml:space="preserve"> change.</w:t>
      </w:r>
    </w:p>
  </w:endnote>
  <w:endnote w:id="4">
    <w:p w14:paraId="65AE7AEA" w14:textId="77777777" w:rsidR="00A831D3" w:rsidRPr="002800C1" w:rsidRDefault="00A831D3" w:rsidP="00AC28A4">
      <w:pPr>
        <w:pStyle w:val="EndnoteText"/>
        <w:rPr>
          <w:rFonts w:ascii="Arial" w:hAnsi="Arial" w:cs="Arial"/>
          <w:sz w:val="18"/>
          <w:szCs w:val="18"/>
        </w:rPr>
      </w:pPr>
      <w:r w:rsidRPr="003008BD">
        <w:rPr>
          <w:rStyle w:val="EndnoteReference"/>
          <w:rFonts w:ascii="Arial" w:hAnsi="Arial" w:cs="Arial"/>
          <w:sz w:val="18"/>
          <w:szCs w:val="18"/>
        </w:rPr>
        <w:endnoteRef/>
      </w:r>
      <w:r w:rsidRPr="003008BD">
        <w:rPr>
          <w:rFonts w:ascii="Arial" w:hAnsi="Arial" w:cs="Arial"/>
          <w:sz w:val="18"/>
          <w:szCs w:val="18"/>
        </w:rPr>
        <w:t xml:space="preserve"> Corresponding zip codes are as follows: Dorchester (02121, 02122, 02124, 02125); Boston (02104, 02108 – 02118, 02123, 02127, 02128, 02133, 02163, 02196, 02199, 02201, 02205, 02206, 02210, 02212, 02215 – 02217, 02241); Roxbury (02119, 02120); Brockton (02301</w:t>
      </w:r>
      <w:r w:rsidRPr="002800C1">
        <w:rPr>
          <w:rFonts w:ascii="Arial" w:hAnsi="Arial" w:cs="Arial"/>
          <w:sz w:val="18"/>
          <w:szCs w:val="18"/>
        </w:rPr>
        <w:t>, 02302, 02303, 02304); Mattapan (02126); Quincy (02169 – 02171, 02269); Hyde Park (02136); Revere (02151); Chelsea (02150); and Jamaica Plain (02130).</w:t>
      </w:r>
    </w:p>
  </w:endnote>
  <w:endnote w:id="5">
    <w:p w14:paraId="71AE41DD" w14:textId="77777777" w:rsidR="00A831D3" w:rsidRPr="002800C1" w:rsidRDefault="00A831D3" w:rsidP="00AC28A4">
      <w:pPr>
        <w:pStyle w:val="EndnoteText"/>
        <w:rPr>
          <w:rFonts w:ascii="Arial" w:hAnsi="Arial" w:cs="Arial"/>
          <w:sz w:val="18"/>
          <w:szCs w:val="18"/>
        </w:rPr>
      </w:pPr>
      <w:r w:rsidRPr="002800C1">
        <w:rPr>
          <w:rStyle w:val="EndnoteReference"/>
          <w:rFonts w:ascii="Arial" w:hAnsi="Arial" w:cs="Arial"/>
          <w:sz w:val="18"/>
          <w:szCs w:val="18"/>
        </w:rPr>
        <w:endnoteRef/>
      </w:r>
      <w:r w:rsidRPr="002800C1">
        <w:rPr>
          <w:rFonts w:ascii="Arial" w:hAnsi="Arial" w:cs="Arial"/>
          <w:sz w:val="18"/>
          <w:szCs w:val="18"/>
        </w:rPr>
        <w:t xml:space="preserve"> Corresponding zip codes are as follows: Dorchester (02121, 02122, 02124, 02125); Boston (02104, 02108 – 02118, 02123, 02127, 02128, 02133, 02163, 02196, 02199, 02201, 02205, 02206, 02210, 02212, 02215 – 02217, 02241); Roxbury (02119, 02120); Brockton (02301 – 02304); Quincy (02169 – 02171, 02269); Mattapan (02126); Hyde Park (02136); Randolph (02368); and Jamaica Plain (02130) &amp; Chelsea (02150).</w:t>
      </w:r>
    </w:p>
  </w:endnote>
  <w:endnote w:id="6">
    <w:p w14:paraId="524C62A9" w14:textId="72D63FA4" w:rsidR="00B87882" w:rsidRPr="00B1013D" w:rsidRDefault="00B87882" w:rsidP="00056946">
      <w:pPr>
        <w:pStyle w:val="EndnoteText"/>
        <w:rPr>
          <w:rFonts w:ascii="Arial" w:hAnsi="Arial" w:cs="Arial"/>
          <w:sz w:val="18"/>
          <w:szCs w:val="18"/>
        </w:rPr>
      </w:pPr>
      <w:r w:rsidRPr="00F55FF2">
        <w:rPr>
          <w:rStyle w:val="EndnoteReference"/>
          <w:rFonts w:ascii="Arial" w:hAnsi="Arial" w:cs="Arial"/>
          <w:sz w:val="18"/>
          <w:szCs w:val="18"/>
        </w:rPr>
        <w:endnoteRef/>
      </w:r>
      <w:r w:rsidRPr="00F55FF2">
        <w:rPr>
          <w:rFonts w:ascii="Arial" w:hAnsi="Arial" w:cs="Arial"/>
          <w:sz w:val="18"/>
          <w:szCs w:val="18"/>
        </w:rPr>
        <w:t xml:space="preserve"> </w:t>
      </w:r>
      <w:r w:rsidRPr="0030220D">
        <w:rPr>
          <w:rFonts w:ascii="Arial" w:hAnsi="Arial" w:cs="Arial"/>
          <w:sz w:val="18"/>
          <w:szCs w:val="18"/>
        </w:rPr>
        <w:t xml:space="preserve">The Applicant notes that the discharge, case weight, CMI, and ALOS metrics provided herein are based on medical/surgical discharges (i.e., based on discharge days). However, to provide the most accurate understanding of BMC’s occupancy rates, the occupancy data provided herein are based on midnight census reporting (i.e., patient days), which also includes observation patients and bedded outpatients who occupy a medical/surgical bed but are not reflected as inpatient </w:t>
      </w:r>
      <w:r w:rsidRPr="00F26906">
        <w:rPr>
          <w:rFonts w:ascii="Arial" w:hAnsi="Arial" w:cs="Arial"/>
          <w:sz w:val="18"/>
          <w:szCs w:val="18"/>
        </w:rPr>
        <w:t>medical/surgical discharges</w:t>
      </w:r>
      <w:r w:rsidRPr="00B1013D">
        <w:rPr>
          <w:rFonts w:ascii="Arial" w:hAnsi="Arial" w:cs="Arial"/>
          <w:sz w:val="18"/>
          <w:szCs w:val="18"/>
        </w:rPr>
        <w:t>.</w:t>
      </w:r>
    </w:p>
  </w:endnote>
  <w:endnote w:id="7">
    <w:p w14:paraId="5771E0C8" w14:textId="3A16C2D6" w:rsidR="00B87882" w:rsidRPr="00F55FF2" w:rsidRDefault="00B87882" w:rsidP="00056946">
      <w:pPr>
        <w:pStyle w:val="EndnoteText"/>
        <w:rPr>
          <w:rFonts w:ascii="Arial" w:hAnsi="Arial" w:cs="Arial"/>
          <w:sz w:val="18"/>
          <w:szCs w:val="18"/>
        </w:rPr>
      </w:pPr>
      <w:r w:rsidRPr="00B1013D">
        <w:rPr>
          <w:rStyle w:val="EndnoteReference"/>
          <w:rFonts w:ascii="Arial" w:hAnsi="Arial" w:cs="Arial"/>
          <w:sz w:val="18"/>
          <w:szCs w:val="18"/>
        </w:rPr>
        <w:endnoteRef/>
      </w:r>
      <w:r w:rsidRPr="00B1013D">
        <w:rPr>
          <w:rFonts w:ascii="Arial" w:hAnsi="Arial" w:cs="Arial"/>
          <w:sz w:val="18"/>
          <w:szCs w:val="18"/>
        </w:rPr>
        <w:t xml:space="preserve"> </w:t>
      </w:r>
      <w:r w:rsidRPr="00F26906">
        <w:rPr>
          <w:rFonts w:ascii="Arial" w:hAnsi="Arial" w:cs="Arial"/>
          <w:sz w:val="18"/>
          <w:szCs w:val="18"/>
        </w:rPr>
        <w:t xml:space="preserve">Through the Proposed Project, the Applicant seeks to increase BMC’s licensed medical/surgical capacity by 60 beds, for a total new licensed medical/surgical capacity of 325 beds. The Applicant anticipates that this addition of beds will help curtail some of the Hospital’s projected inpatient capacity constraints and will allow the Hospital to decrease utilization of some of its alternate spaces (e.g., Code Yellow beds). Additionally, the Applicant notes that the Hospital will vacate its COVID-19 surge spaces pursuant to the timeline outlined within the Department’s </w:t>
      </w:r>
      <w:r w:rsidRPr="00F26906">
        <w:rPr>
          <w:rFonts w:ascii="Arial" w:hAnsi="Arial" w:cs="Arial"/>
          <w:i/>
          <w:iCs/>
          <w:sz w:val="18"/>
          <w:szCs w:val="18"/>
        </w:rPr>
        <w:t>Updated Guidance Regarding Implementation of Alternate Acute Inpatient Care Space</w:t>
      </w:r>
      <w:r w:rsidRPr="00F26906">
        <w:rPr>
          <w:rFonts w:ascii="Arial" w:hAnsi="Arial" w:cs="Arial"/>
          <w:sz w:val="18"/>
          <w:szCs w:val="18"/>
        </w:rPr>
        <w:t>. Accordingly, the Applicant anticipates that BMC’s change in operating medical/surgical beds will be less than its change in licensed medical/surgical beds (i.e., less than 60 beds) and that its projected occupancy rate for its operating medical/surgical beds will be higher than the 87% provided herein. However, given the unpredictable nature of the COVID-19 pandemic, the fluid status of the Public Health Emergency, anticipated further extensions in the authorized use of alternate acute inpatient care space, and projected increases in BMC’s medical/surgical patient panel, the Hospital is uncertain at this time as to the exact number of alternate beds it will vacate and when. Given this uncertainty, the Applicant has provided the projections data in revised Table 15 to reflect the proposed addition of 60 licensed medical/surgical beds only</w:t>
      </w:r>
      <w:r w:rsidRPr="00B1013D">
        <w:rPr>
          <w:rFonts w:ascii="Arial" w:hAnsi="Arial" w:cs="Arial"/>
          <w:sz w:val="18"/>
          <w:szCs w:val="18"/>
        </w:rPr>
        <w:t>.</w:t>
      </w:r>
    </w:p>
  </w:endnote>
  <w:endnote w:id="8">
    <w:p w14:paraId="46C94E5E" w14:textId="12CB9A7F" w:rsidR="00B87882" w:rsidRDefault="00B87882" w:rsidP="00056946">
      <w:pPr>
        <w:pStyle w:val="EndnoteText"/>
      </w:pPr>
      <w:r w:rsidRPr="00F55FF2">
        <w:rPr>
          <w:rStyle w:val="EndnoteReference"/>
          <w:rFonts w:ascii="Arial" w:hAnsi="Arial" w:cs="Arial"/>
          <w:sz w:val="18"/>
          <w:szCs w:val="18"/>
        </w:rPr>
        <w:endnoteRef/>
      </w:r>
      <w:r>
        <w:t xml:space="preserve"> </w:t>
      </w:r>
      <w:r w:rsidRPr="0030220D">
        <w:rPr>
          <w:rFonts w:ascii="Arial" w:hAnsi="Arial" w:cs="Arial"/>
          <w:sz w:val="18"/>
          <w:szCs w:val="18"/>
        </w:rPr>
        <w:t>The Applicant notes that the discharge, case weight, CMI, and ALOS metrics provided herein are based on ICU discharges (i.e., based on discharge days). However, to provide the most accurate understanding of BMC’s occupancy rates, the occupancy data provided herein are based on census days (i.e., patient days), which is lower as it accounts for time that patients spend in different levels of care (e.g., medical/surgical, step-down, ICU, etc.).</w:t>
      </w:r>
    </w:p>
  </w:endnote>
  <w:endnote w:id="9">
    <w:p w14:paraId="5B648AD1" w14:textId="77777777" w:rsidR="003C7AF5" w:rsidRPr="000868D5" w:rsidRDefault="003C7AF5" w:rsidP="003C7AF5">
      <w:pPr>
        <w:pStyle w:val="EndnoteText"/>
        <w:rPr>
          <w:rFonts w:ascii="Arial" w:hAnsi="Arial" w:cs="Arial"/>
          <w:sz w:val="18"/>
          <w:szCs w:val="18"/>
        </w:rPr>
      </w:pPr>
      <w:r w:rsidRPr="000868D5">
        <w:rPr>
          <w:rStyle w:val="EndnoteReference"/>
          <w:rFonts w:ascii="Arial" w:hAnsi="Arial" w:cs="Arial"/>
          <w:sz w:val="18"/>
          <w:szCs w:val="18"/>
        </w:rPr>
        <w:endnoteRef/>
      </w:r>
      <w:r w:rsidRPr="000868D5">
        <w:rPr>
          <w:rFonts w:ascii="Arial" w:hAnsi="Arial" w:cs="Arial"/>
          <w:sz w:val="18"/>
          <w:szCs w:val="18"/>
        </w:rPr>
        <w:t xml:space="preserve"> Projected Census Days = </w:t>
      </w:r>
      <w:r w:rsidRPr="000868D5">
        <w:rPr>
          <w:rFonts w:ascii="Arial" w:eastAsia="Times New Roman" w:hAnsi="Arial" w:cs="Arial"/>
          <w:color w:val="000000"/>
          <w:sz w:val="18"/>
          <w:szCs w:val="18"/>
        </w:rPr>
        <w:t>Projected Volume at Ramp * Historical # Patient Days Per Discharge</w:t>
      </w:r>
      <w:r>
        <w:rPr>
          <w:rFonts w:ascii="Arial" w:eastAsia="Times New Roman" w:hAnsi="Arial" w:cs="Arial"/>
          <w:color w:val="000000"/>
          <w:sz w:val="18"/>
          <w:szCs w:val="18"/>
        </w:rPr>
        <w:t>:</w:t>
      </w:r>
    </w:p>
    <w:p w14:paraId="3B2E6093" w14:textId="77777777" w:rsidR="003C7AF5" w:rsidRPr="000868D5" w:rsidRDefault="003C7AF5" w:rsidP="003C7AF5">
      <w:pPr>
        <w:pStyle w:val="EndnoteText"/>
        <w:numPr>
          <w:ilvl w:val="0"/>
          <w:numId w:val="43"/>
        </w:numPr>
        <w:rPr>
          <w:rFonts w:ascii="Arial" w:hAnsi="Arial" w:cs="Arial"/>
          <w:sz w:val="18"/>
          <w:szCs w:val="18"/>
        </w:rPr>
      </w:pPr>
      <w:r w:rsidRPr="000868D5">
        <w:rPr>
          <w:rFonts w:ascii="Arial" w:hAnsi="Arial" w:cs="Arial"/>
          <w:sz w:val="18"/>
          <w:szCs w:val="18"/>
        </w:rPr>
        <w:t xml:space="preserve">Projected M/S Census Days = </w:t>
      </w:r>
      <w:r w:rsidRPr="000868D5">
        <w:rPr>
          <w:rFonts w:ascii="Arial" w:eastAsia="Times New Roman" w:hAnsi="Arial" w:cs="Arial"/>
          <w:color w:val="000000"/>
          <w:sz w:val="18"/>
          <w:szCs w:val="18"/>
        </w:rPr>
        <w:t xml:space="preserve">Projected Volume at Ramp * (Historical # M/S Patient Days Per Discharge + Historical # IMCU Patient Days Per Discharge + Historical # Other Patient Days Per Discharge) </w:t>
      </w:r>
    </w:p>
    <w:p w14:paraId="7D3BA969" w14:textId="77777777" w:rsidR="003C7AF5" w:rsidRPr="000868D5" w:rsidRDefault="003C7AF5" w:rsidP="003C7AF5">
      <w:pPr>
        <w:pStyle w:val="EndnoteText"/>
        <w:numPr>
          <w:ilvl w:val="0"/>
          <w:numId w:val="43"/>
        </w:numPr>
        <w:rPr>
          <w:rFonts w:ascii="Arial" w:hAnsi="Arial" w:cs="Arial"/>
          <w:sz w:val="18"/>
          <w:szCs w:val="18"/>
        </w:rPr>
      </w:pPr>
      <w:r w:rsidRPr="000868D5">
        <w:rPr>
          <w:rFonts w:ascii="Arial" w:hAnsi="Arial" w:cs="Arial"/>
          <w:sz w:val="18"/>
          <w:szCs w:val="18"/>
        </w:rPr>
        <w:t xml:space="preserve">Projected ICU Census Days = </w:t>
      </w:r>
      <w:r w:rsidRPr="000868D5">
        <w:rPr>
          <w:rFonts w:ascii="Arial" w:eastAsia="Times New Roman" w:hAnsi="Arial" w:cs="Arial"/>
          <w:color w:val="000000"/>
          <w:sz w:val="18"/>
          <w:szCs w:val="18"/>
        </w:rPr>
        <w:t>Projected Volume at Ramp * Historical # ICU Patient Days Per Discharge</w:t>
      </w:r>
    </w:p>
  </w:endnote>
  <w:endnote w:id="10">
    <w:p w14:paraId="74DF2251" w14:textId="77777777" w:rsidR="003C7AF5" w:rsidRPr="000868D5" w:rsidRDefault="003C7AF5" w:rsidP="003C7AF5">
      <w:pPr>
        <w:pStyle w:val="EndnoteText"/>
        <w:rPr>
          <w:rFonts w:ascii="Arial" w:hAnsi="Arial" w:cs="Arial"/>
          <w:sz w:val="18"/>
          <w:szCs w:val="18"/>
        </w:rPr>
      </w:pPr>
      <w:r w:rsidRPr="000868D5">
        <w:rPr>
          <w:rStyle w:val="EndnoteReference"/>
          <w:rFonts w:ascii="Arial" w:hAnsi="Arial" w:cs="Arial"/>
          <w:sz w:val="18"/>
          <w:szCs w:val="18"/>
        </w:rPr>
        <w:endnoteRef/>
      </w:r>
      <w:r w:rsidRPr="000868D5">
        <w:rPr>
          <w:rFonts w:ascii="Arial" w:hAnsi="Arial" w:cs="Arial"/>
          <w:sz w:val="18"/>
          <w:szCs w:val="18"/>
        </w:rPr>
        <w:t xml:space="preserve"> ALOS = Total Projected Census Days / Projected Volume at Ram</w:t>
      </w:r>
      <w:r>
        <w:rPr>
          <w:rFonts w:ascii="Arial" w:hAnsi="Arial" w:cs="Arial"/>
          <w:sz w:val="18"/>
          <w:szCs w:val="18"/>
        </w:rPr>
        <w:t>p</w:t>
      </w:r>
    </w:p>
  </w:endnote>
  <w:endnote w:id="11">
    <w:p w14:paraId="2F348353" w14:textId="77777777" w:rsidR="003C7AF5" w:rsidRPr="000868D5" w:rsidRDefault="003C7AF5" w:rsidP="003C7AF5">
      <w:pPr>
        <w:pStyle w:val="EndnoteText"/>
        <w:rPr>
          <w:rFonts w:ascii="Arial" w:eastAsia="Times New Roman" w:hAnsi="Arial" w:cs="Arial"/>
          <w:color w:val="000000"/>
          <w:sz w:val="18"/>
          <w:szCs w:val="18"/>
        </w:rPr>
      </w:pPr>
      <w:r w:rsidRPr="000868D5">
        <w:rPr>
          <w:rStyle w:val="EndnoteReference"/>
          <w:rFonts w:ascii="Arial" w:hAnsi="Arial" w:cs="Arial"/>
          <w:sz w:val="18"/>
          <w:szCs w:val="18"/>
        </w:rPr>
        <w:endnoteRef/>
      </w:r>
      <w:r w:rsidRPr="000868D5">
        <w:rPr>
          <w:rFonts w:ascii="Arial" w:hAnsi="Arial" w:cs="Arial"/>
          <w:sz w:val="18"/>
          <w:szCs w:val="18"/>
        </w:rPr>
        <w:t xml:space="preserve"> </w:t>
      </w:r>
      <w:r w:rsidRPr="000868D5">
        <w:rPr>
          <w:rFonts w:ascii="Arial" w:eastAsia="Times New Roman" w:hAnsi="Arial" w:cs="Arial"/>
          <w:color w:val="000000"/>
          <w:sz w:val="18"/>
          <w:szCs w:val="18"/>
        </w:rPr>
        <w:t>Historical Patient Days Per Discharge = Historical Patient Days / Historical Patient Day Volume:</w:t>
      </w:r>
    </w:p>
    <w:p w14:paraId="0C9ED169" w14:textId="77777777" w:rsidR="003C7AF5" w:rsidRPr="000868D5" w:rsidRDefault="003C7AF5" w:rsidP="003C7AF5">
      <w:pPr>
        <w:pStyle w:val="EndnoteText"/>
        <w:numPr>
          <w:ilvl w:val="0"/>
          <w:numId w:val="42"/>
        </w:numPr>
        <w:rPr>
          <w:rFonts w:ascii="Arial" w:eastAsia="Times New Roman" w:hAnsi="Arial" w:cs="Arial"/>
          <w:color w:val="000000"/>
          <w:sz w:val="18"/>
          <w:szCs w:val="18"/>
        </w:rPr>
      </w:pPr>
      <w:r w:rsidRPr="000868D5">
        <w:rPr>
          <w:rFonts w:ascii="Arial" w:eastAsia="Times New Roman" w:hAnsi="Arial" w:cs="Arial"/>
          <w:color w:val="000000"/>
          <w:sz w:val="18"/>
          <w:szCs w:val="18"/>
        </w:rPr>
        <w:t xml:space="preserve">Historical # M/S Patient Days Per Discharge = Historical # M/S Patient Days / Historical Patient Day Volume </w:t>
      </w:r>
    </w:p>
    <w:p w14:paraId="43D45CD8" w14:textId="77777777" w:rsidR="003C7AF5" w:rsidRPr="000868D5" w:rsidRDefault="003C7AF5" w:rsidP="003C7AF5">
      <w:pPr>
        <w:pStyle w:val="EndnoteText"/>
        <w:numPr>
          <w:ilvl w:val="0"/>
          <w:numId w:val="42"/>
        </w:numPr>
        <w:rPr>
          <w:rFonts w:ascii="Arial" w:eastAsia="Times New Roman" w:hAnsi="Arial" w:cs="Arial"/>
          <w:color w:val="000000"/>
          <w:sz w:val="18"/>
          <w:szCs w:val="18"/>
        </w:rPr>
      </w:pPr>
      <w:r w:rsidRPr="000868D5">
        <w:rPr>
          <w:rFonts w:ascii="Arial" w:eastAsia="Times New Roman" w:hAnsi="Arial" w:cs="Arial"/>
          <w:color w:val="000000"/>
          <w:sz w:val="18"/>
          <w:szCs w:val="18"/>
        </w:rPr>
        <w:t xml:space="preserve">Historical # IMCU Patient Days Per Discharge = Historical # IMCU Patient Days / Historical Patient Day Volume </w:t>
      </w:r>
    </w:p>
    <w:p w14:paraId="44FAB10C" w14:textId="77777777" w:rsidR="003C7AF5" w:rsidRPr="000868D5" w:rsidRDefault="003C7AF5" w:rsidP="003C7AF5">
      <w:pPr>
        <w:pStyle w:val="EndnoteText"/>
        <w:numPr>
          <w:ilvl w:val="0"/>
          <w:numId w:val="42"/>
        </w:numPr>
        <w:rPr>
          <w:rFonts w:ascii="Arial" w:eastAsia="Times New Roman" w:hAnsi="Arial" w:cs="Arial"/>
          <w:color w:val="000000"/>
          <w:sz w:val="18"/>
          <w:szCs w:val="18"/>
        </w:rPr>
      </w:pPr>
      <w:r w:rsidRPr="000868D5">
        <w:rPr>
          <w:rFonts w:ascii="Arial" w:eastAsia="Times New Roman" w:hAnsi="Arial" w:cs="Arial"/>
          <w:color w:val="000000"/>
          <w:sz w:val="18"/>
          <w:szCs w:val="18"/>
        </w:rPr>
        <w:t>Historical # ICU Patient Days Per Discharge = Historical # ICU Patient Days / Historical Patient Day Volu</w:t>
      </w:r>
      <w:r>
        <w:rPr>
          <w:rFonts w:ascii="Arial" w:eastAsia="Times New Roman" w:hAnsi="Arial" w:cs="Arial"/>
          <w:color w:val="000000"/>
          <w:sz w:val="18"/>
          <w:szCs w:val="18"/>
        </w:rPr>
        <w:t>me</w:t>
      </w:r>
      <w:r w:rsidRPr="000868D5">
        <w:rPr>
          <w:rFonts w:ascii="Arial" w:eastAsia="Times New Roman" w:hAnsi="Arial" w:cs="Arial"/>
          <w:color w:val="000000"/>
          <w:sz w:val="18"/>
          <w:szCs w:val="18"/>
        </w:rPr>
        <w:t xml:space="preserve"> </w:t>
      </w:r>
    </w:p>
    <w:p w14:paraId="6066E662" w14:textId="77777777" w:rsidR="003C7AF5" w:rsidRDefault="003C7AF5" w:rsidP="003C7AF5">
      <w:pPr>
        <w:pStyle w:val="EndnoteText"/>
        <w:numPr>
          <w:ilvl w:val="0"/>
          <w:numId w:val="42"/>
        </w:numPr>
      </w:pPr>
      <w:r w:rsidRPr="000868D5">
        <w:rPr>
          <w:rFonts w:ascii="Arial" w:eastAsia="Times New Roman" w:hAnsi="Arial" w:cs="Arial"/>
          <w:color w:val="000000"/>
          <w:sz w:val="18"/>
          <w:szCs w:val="18"/>
        </w:rPr>
        <w:t>Historical # Other Patient Days Per Discharge = Historical # Other Patient Days / Historical Patient Day Volume</w:t>
      </w:r>
    </w:p>
  </w:endnote>
  <w:endnote w:id="12">
    <w:p w14:paraId="19A1273F" w14:textId="77777777" w:rsidR="00E47DFB" w:rsidRDefault="00E47DFB" w:rsidP="00E47DFB">
      <w:pPr>
        <w:pStyle w:val="EndnoteText"/>
        <w:rPr>
          <w:rFonts w:ascii="Arial" w:hAnsi="Arial" w:cs="Arial"/>
          <w:sz w:val="18"/>
          <w:szCs w:val="18"/>
        </w:rPr>
      </w:pPr>
      <w:r w:rsidRPr="00481965">
        <w:rPr>
          <w:rStyle w:val="EndnoteReference"/>
          <w:rFonts w:ascii="Arial" w:hAnsi="Arial" w:cs="Arial"/>
          <w:sz w:val="18"/>
          <w:szCs w:val="18"/>
        </w:rPr>
        <w:endnoteRef/>
      </w:r>
      <w:r w:rsidRPr="00481965">
        <w:rPr>
          <w:rFonts w:ascii="Arial" w:hAnsi="Arial" w:cs="Arial"/>
          <w:sz w:val="18"/>
          <w:szCs w:val="18"/>
        </w:rPr>
        <w:t xml:space="preserve"> </w:t>
      </w:r>
      <w:r>
        <w:rPr>
          <w:rFonts w:ascii="Arial" w:hAnsi="Arial" w:cs="Arial"/>
          <w:sz w:val="18"/>
          <w:szCs w:val="18"/>
        </w:rPr>
        <w:t># Medical/Surgical beds calculated as follows:</w:t>
      </w:r>
    </w:p>
    <w:p w14:paraId="566B4B04" w14:textId="77777777" w:rsidR="00E47DFB" w:rsidRDefault="00E47DFB" w:rsidP="00E47DFB">
      <w:pPr>
        <w:pStyle w:val="EndnoteText"/>
        <w:numPr>
          <w:ilvl w:val="0"/>
          <w:numId w:val="44"/>
        </w:numPr>
        <w:rPr>
          <w:rFonts w:ascii="Arial" w:hAnsi="Arial" w:cs="Arial"/>
          <w:sz w:val="18"/>
          <w:szCs w:val="18"/>
        </w:rPr>
      </w:pPr>
      <w:r>
        <w:rPr>
          <w:rFonts w:ascii="Arial" w:hAnsi="Arial" w:cs="Arial"/>
          <w:sz w:val="18"/>
          <w:szCs w:val="18"/>
        </w:rPr>
        <w:t># M/S Medical Beds = Projected M/S Medical Census Days / 365</w:t>
      </w:r>
    </w:p>
    <w:p w14:paraId="6D29BBF5" w14:textId="77777777" w:rsidR="00E47DFB" w:rsidRDefault="00E47DFB" w:rsidP="00E47DFB">
      <w:pPr>
        <w:pStyle w:val="EndnoteText"/>
        <w:numPr>
          <w:ilvl w:val="0"/>
          <w:numId w:val="44"/>
        </w:numPr>
        <w:rPr>
          <w:rFonts w:ascii="Arial" w:hAnsi="Arial" w:cs="Arial"/>
          <w:sz w:val="18"/>
          <w:szCs w:val="18"/>
        </w:rPr>
      </w:pPr>
      <w:r>
        <w:rPr>
          <w:rFonts w:ascii="Arial" w:hAnsi="Arial" w:cs="Arial"/>
          <w:sz w:val="18"/>
          <w:szCs w:val="18"/>
        </w:rPr>
        <w:t># M/S Surgical Beds = Projected M/S Surgical Census Days / 365</w:t>
      </w:r>
    </w:p>
    <w:p w14:paraId="751C883B" w14:textId="77777777" w:rsidR="00E47DFB" w:rsidRPr="002124F8" w:rsidRDefault="00E47DFB" w:rsidP="00E47DFB">
      <w:pPr>
        <w:pStyle w:val="EndnoteText"/>
        <w:numPr>
          <w:ilvl w:val="0"/>
          <w:numId w:val="44"/>
        </w:numPr>
        <w:rPr>
          <w:rFonts w:ascii="Arial" w:hAnsi="Arial" w:cs="Arial"/>
          <w:sz w:val="18"/>
          <w:szCs w:val="18"/>
        </w:rPr>
      </w:pPr>
      <w:r>
        <w:rPr>
          <w:rFonts w:ascii="Arial" w:hAnsi="Arial" w:cs="Arial"/>
          <w:sz w:val="18"/>
          <w:szCs w:val="18"/>
        </w:rPr>
        <w:t># M/S Total Beds = Projected M/S Total Census Days / 365</w:t>
      </w:r>
    </w:p>
  </w:endnote>
  <w:endnote w:id="13">
    <w:p w14:paraId="62A344BB" w14:textId="77777777" w:rsidR="00E47DFB" w:rsidRDefault="00E47DFB" w:rsidP="00E47DFB">
      <w:pPr>
        <w:pStyle w:val="EndnoteText"/>
        <w:rPr>
          <w:rFonts w:ascii="Arial" w:hAnsi="Arial" w:cs="Arial"/>
          <w:sz w:val="18"/>
          <w:szCs w:val="18"/>
        </w:rPr>
      </w:pPr>
      <w:r w:rsidRPr="00481965">
        <w:rPr>
          <w:rStyle w:val="EndnoteReference"/>
          <w:rFonts w:ascii="Arial" w:hAnsi="Arial" w:cs="Arial"/>
          <w:sz w:val="18"/>
          <w:szCs w:val="18"/>
        </w:rPr>
        <w:endnoteRef/>
      </w:r>
      <w:r>
        <w:t xml:space="preserve"> </w:t>
      </w:r>
      <w:r>
        <w:rPr>
          <w:rFonts w:ascii="Arial" w:hAnsi="Arial" w:cs="Arial"/>
          <w:sz w:val="18"/>
          <w:szCs w:val="18"/>
        </w:rPr>
        <w:t># ICU beds calculated as follows:</w:t>
      </w:r>
    </w:p>
    <w:p w14:paraId="2C90992B" w14:textId="77777777" w:rsidR="00E47DFB" w:rsidRDefault="00E47DFB" w:rsidP="00E47DFB">
      <w:pPr>
        <w:pStyle w:val="EndnoteText"/>
        <w:numPr>
          <w:ilvl w:val="0"/>
          <w:numId w:val="45"/>
        </w:numPr>
        <w:rPr>
          <w:rFonts w:ascii="Arial" w:hAnsi="Arial" w:cs="Arial"/>
          <w:sz w:val="18"/>
          <w:szCs w:val="18"/>
        </w:rPr>
      </w:pPr>
      <w:r>
        <w:rPr>
          <w:rFonts w:ascii="Arial" w:hAnsi="Arial" w:cs="Arial"/>
          <w:sz w:val="18"/>
          <w:szCs w:val="18"/>
        </w:rPr>
        <w:t># ICU Medical Beds = Projected ICU Medical Census Days / 365</w:t>
      </w:r>
    </w:p>
    <w:p w14:paraId="4250DB4A" w14:textId="77777777" w:rsidR="00E47DFB" w:rsidRDefault="00E47DFB" w:rsidP="00E47DFB">
      <w:pPr>
        <w:pStyle w:val="EndnoteText"/>
        <w:numPr>
          <w:ilvl w:val="0"/>
          <w:numId w:val="45"/>
        </w:numPr>
        <w:rPr>
          <w:rFonts w:ascii="Arial" w:hAnsi="Arial" w:cs="Arial"/>
          <w:sz w:val="18"/>
          <w:szCs w:val="18"/>
        </w:rPr>
      </w:pPr>
      <w:r>
        <w:rPr>
          <w:rFonts w:ascii="Arial" w:hAnsi="Arial" w:cs="Arial"/>
          <w:sz w:val="18"/>
          <w:szCs w:val="18"/>
        </w:rPr>
        <w:t># ICU Surgical Beds = Projected ICU Surgical Census Days / 365</w:t>
      </w:r>
    </w:p>
    <w:p w14:paraId="32F98977" w14:textId="77777777" w:rsidR="00E47DFB" w:rsidRPr="00932965" w:rsidRDefault="00E47DFB" w:rsidP="00E47DFB">
      <w:pPr>
        <w:pStyle w:val="EndnoteText"/>
        <w:numPr>
          <w:ilvl w:val="0"/>
          <w:numId w:val="45"/>
        </w:numPr>
        <w:rPr>
          <w:rFonts w:ascii="Arial" w:hAnsi="Arial" w:cs="Arial"/>
          <w:sz w:val="18"/>
          <w:szCs w:val="18"/>
        </w:rPr>
      </w:pPr>
      <w:r w:rsidRPr="00932965">
        <w:rPr>
          <w:rFonts w:ascii="Arial" w:hAnsi="Arial" w:cs="Arial"/>
          <w:sz w:val="18"/>
          <w:szCs w:val="18"/>
        </w:rPr>
        <w:t xml:space="preserve"># </w:t>
      </w:r>
      <w:r>
        <w:rPr>
          <w:rFonts w:ascii="Arial" w:hAnsi="Arial" w:cs="Arial"/>
          <w:sz w:val="18"/>
          <w:szCs w:val="18"/>
        </w:rPr>
        <w:t>ICU</w:t>
      </w:r>
      <w:r w:rsidRPr="00932965">
        <w:rPr>
          <w:rFonts w:ascii="Arial" w:hAnsi="Arial" w:cs="Arial"/>
          <w:sz w:val="18"/>
          <w:szCs w:val="18"/>
        </w:rPr>
        <w:t xml:space="preserve"> Total Beds = Projected </w:t>
      </w:r>
      <w:r>
        <w:rPr>
          <w:rFonts w:ascii="Arial" w:hAnsi="Arial" w:cs="Arial"/>
          <w:sz w:val="18"/>
          <w:szCs w:val="18"/>
        </w:rPr>
        <w:t>ICU</w:t>
      </w:r>
      <w:r w:rsidRPr="00932965">
        <w:rPr>
          <w:rFonts w:ascii="Arial" w:hAnsi="Arial" w:cs="Arial"/>
          <w:sz w:val="18"/>
          <w:szCs w:val="18"/>
        </w:rPr>
        <w:t xml:space="preserve"> Total Census Days / 365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ZWAdobeF">
    <w:altName w:val="Calibri"/>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rFonts w:ascii="Arial" w:hAnsi="Arial" w:cs="Arial"/>
        <w:noProof/>
      </w:rPr>
    </w:sdtEndPr>
    <w:sdtContent>
      <w:p w14:paraId="0D149475" w14:textId="53E0776A" w:rsidR="00632AEC" w:rsidRPr="00690025" w:rsidRDefault="00632AEC" w:rsidP="00690025">
        <w:pPr>
          <w:pStyle w:val="Footer"/>
          <w:ind w:left="5400" w:firstLine="3960"/>
          <w:jc w:val="center"/>
          <w:rPr>
            <w:rFonts w:ascii="Arial" w:hAnsi="Arial" w:cs="Arial"/>
          </w:rPr>
        </w:pPr>
        <w:r w:rsidRPr="00690025">
          <w:rPr>
            <w:rFonts w:ascii="Arial" w:hAnsi="Arial" w:cs="Arial"/>
          </w:rPr>
          <w:fldChar w:fldCharType="begin"/>
        </w:r>
        <w:r w:rsidRPr="00690025">
          <w:rPr>
            <w:rFonts w:ascii="Arial" w:hAnsi="Arial" w:cs="Arial"/>
          </w:rPr>
          <w:instrText xml:space="preserve"> PAGE   \* MERGEFORMAT </w:instrText>
        </w:r>
        <w:r w:rsidRPr="00690025">
          <w:rPr>
            <w:rFonts w:ascii="Arial" w:hAnsi="Arial" w:cs="Arial"/>
          </w:rPr>
          <w:fldChar w:fldCharType="separate"/>
        </w:r>
        <w:r w:rsidRPr="00690025">
          <w:rPr>
            <w:rFonts w:ascii="Arial" w:hAnsi="Arial" w:cs="Arial"/>
            <w:noProof/>
          </w:rPr>
          <w:t>2</w:t>
        </w:r>
        <w:r w:rsidRPr="00690025">
          <w:rPr>
            <w:rFonts w:ascii="Arial" w:hAnsi="Arial" w:cs="Arial"/>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9AF" w14:textId="77777777" w:rsidR="000D73A8" w:rsidRDefault="000D73A8" w:rsidP="00231103">
      <w:pPr>
        <w:spacing w:after="0" w:line="240" w:lineRule="auto"/>
      </w:pPr>
      <w:r>
        <w:separator/>
      </w:r>
    </w:p>
  </w:footnote>
  <w:footnote w:type="continuationSeparator" w:id="0">
    <w:p w14:paraId="6F32A925" w14:textId="77777777" w:rsidR="000D73A8" w:rsidRDefault="000D73A8" w:rsidP="00231103">
      <w:pPr>
        <w:spacing w:after="0" w:line="240" w:lineRule="auto"/>
      </w:pPr>
      <w:r>
        <w:continuationSeparator/>
      </w:r>
    </w:p>
  </w:footnote>
  <w:footnote w:type="continuationNotice" w:id="1">
    <w:p w14:paraId="7E5A7852" w14:textId="77777777" w:rsidR="000D73A8" w:rsidRDefault="000D7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839" w14:textId="021082A0" w:rsidR="003C3B18" w:rsidRPr="007B5E25" w:rsidRDefault="00387527" w:rsidP="00D223EB">
    <w:pPr>
      <w:pStyle w:val="Header"/>
      <w:pBdr>
        <w:bottom w:val="single" w:sz="4" w:space="1" w:color="auto"/>
      </w:pBdr>
      <w:jc w:val="center"/>
      <w:rPr>
        <w:rFonts w:ascii="Arial" w:hAnsi="Arial" w:cs="Arial"/>
        <w:b/>
        <w:bCs/>
        <w:sz w:val="28"/>
        <w:szCs w:val="28"/>
      </w:rPr>
    </w:pPr>
    <w:r w:rsidRPr="007B5E25">
      <w:rPr>
        <w:rFonts w:ascii="Arial" w:hAnsi="Arial" w:cs="Arial"/>
        <w:b/>
        <w:bCs/>
        <w:sz w:val="28"/>
        <w:szCs w:val="28"/>
      </w:rPr>
      <w:t>BMC Health System, Inc.</w:t>
    </w:r>
  </w:p>
  <w:p w14:paraId="78DC6D8E" w14:textId="6892AAB0" w:rsidR="00D223EB" w:rsidRPr="007B5E25" w:rsidRDefault="00D223EB" w:rsidP="00591A6A">
    <w:pPr>
      <w:pStyle w:val="Header"/>
      <w:pBdr>
        <w:bottom w:val="single" w:sz="4" w:space="1" w:color="auto"/>
      </w:pBdr>
      <w:spacing w:after="240"/>
      <w:jc w:val="center"/>
      <w:rPr>
        <w:rFonts w:ascii="Arial" w:hAnsi="Arial" w:cs="Arial"/>
        <w:sz w:val="28"/>
        <w:szCs w:val="28"/>
      </w:rPr>
    </w:pPr>
    <w:r w:rsidRPr="007B5E25">
      <w:rPr>
        <w:rFonts w:ascii="Arial" w:hAnsi="Arial" w:cs="Arial"/>
        <w:sz w:val="28"/>
        <w:szCs w:val="28"/>
      </w:rPr>
      <w:t>DoN</w:t>
    </w:r>
    <w:r w:rsidR="00387527" w:rsidRPr="007B5E25">
      <w:rPr>
        <w:rFonts w:ascii="Arial" w:hAnsi="Arial" w:cs="Arial"/>
        <w:sz w:val="28"/>
        <w:szCs w:val="28"/>
      </w:rPr>
      <w:t xml:space="preserve"> #</w:t>
    </w:r>
    <w:r w:rsidRPr="007B5E25">
      <w:rPr>
        <w:rFonts w:ascii="Arial" w:hAnsi="Arial" w:cs="Arial"/>
        <w:sz w:val="28"/>
        <w:szCs w:val="28"/>
      </w:rPr>
      <w:t xml:space="preserve"> </w:t>
    </w:r>
    <w:r w:rsidR="00387527" w:rsidRPr="007B5E25">
      <w:rPr>
        <w:rFonts w:ascii="Arial" w:hAnsi="Arial" w:cs="Arial"/>
        <w:sz w:val="28"/>
        <w:szCs w:val="28"/>
      </w:rPr>
      <w:t>BMCHS-22080908-HE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5055E"/>
    <w:multiLevelType w:val="hybridMultilevel"/>
    <w:tmpl w:val="9AD8B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C4AC5"/>
    <w:multiLevelType w:val="hybridMultilevel"/>
    <w:tmpl w:val="AD3420CC"/>
    <w:lvl w:ilvl="0" w:tplc="2D822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5A3524"/>
    <w:multiLevelType w:val="hybridMultilevel"/>
    <w:tmpl w:val="C99AA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4017F"/>
    <w:multiLevelType w:val="multilevel"/>
    <w:tmpl w:val="72DE47C4"/>
    <w:styleLink w:val="CurrentList1"/>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1576C"/>
    <w:multiLevelType w:val="hybridMultilevel"/>
    <w:tmpl w:val="7BAACD10"/>
    <w:lvl w:ilvl="0" w:tplc="EC564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344A0"/>
    <w:multiLevelType w:val="hybridMultilevel"/>
    <w:tmpl w:val="3908565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D78B7"/>
    <w:multiLevelType w:val="hybridMultilevel"/>
    <w:tmpl w:val="033A07F8"/>
    <w:lvl w:ilvl="0" w:tplc="35D0C2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C42DB"/>
    <w:multiLevelType w:val="hybridMultilevel"/>
    <w:tmpl w:val="A9B65402"/>
    <w:lvl w:ilvl="0" w:tplc="9D44B126">
      <w:start w:val="1"/>
      <w:numFmt w:val="decimal"/>
      <w:lvlText w:val="%1."/>
      <w:lvlJc w:val="left"/>
      <w:pPr>
        <w:ind w:left="360" w:hanging="360"/>
      </w:pPr>
      <w:rPr>
        <w:rFonts w:hint="default"/>
        <w:b/>
        <w:bCs w:val="0"/>
      </w:r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760"/>
    <w:multiLevelType w:val="hybridMultilevel"/>
    <w:tmpl w:val="5D0AD4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8258B"/>
    <w:multiLevelType w:val="hybridMultilevel"/>
    <w:tmpl w:val="C04CAC0C"/>
    <w:lvl w:ilvl="0" w:tplc="7616CCB4">
      <w:start w:val="1"/>
      <w:numFmt w:val="lowerLetter"/>
      <w:lvlText w:val="(%1)"/>
      <w:lvlJc w:val="left"/>
      <w:pPr>
        <w:ind w:left="720" w:hanging="360"/>
      </w:pPr>
      <w:rPr>
        <w:rFonts w:ascii="Arial" w:eastAsia="Times New Roman" w:hAnsi="Arial" w:cs="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335B9"/>
    <w:multiLevelType w:val="hybridMultilevel"/>
    <w:tmpl w:val="B8401920"/>
    <w:lvl w:ilvl="0" w:tplc="2EA4A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A1708"/>
    <w:multiLevelType w:val="hybridMultilevel"/>
    <w:tmpl w:val="67B066D0"/>
    <w:lvl w:ilvl="0" w:tplc="9CC81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21977"/>
    <w:multiLevelType w:val="hybridMultilevel"/>
    <w:tmpl w:val="46D498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9376B"/>
    <w:multiLevelType w:val="hybridMultilevel"/>
    <w:tmpl w:val="5002EFA8"/>
    <w:lvl w:ilvl="0" w:tplc="40708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F0B48"/>
    <w:multiLevelType w:val="hybridMultilevel"/>
    <w:tmpl w:val="EC400E9C"/>
    <w:lvl w:ilvl="0" w:tplc="D3CE29D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7429C"/>
    <w:multiLevelType w:val="multilevel"/>
    <w:tmpl w:val="3132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3A69AA"/>
    <w:multiLevelType w:val="hybridMultilevel"/>
    <w:tmpl w:val="BC6E7362"/>
    <w:lvl w:ilvl="0" w:tplc="E1CA86E2">
      <w:start w:val="1"/>
      <w:numFmt w:val="bullet"/>
      <w:lvlText w:val="-"/>
      <w:lvlJc w:val="left"/>
      <w:pPr>
        <w:ind w:left="810" w:hanging="360"/>
      </w:pPr>
      <w:rPr>
        <w:rFonts w:ascii="Arial" w:eastAsiaTheme="minorHAnsi" w:hAnsi="Arial" w:cs="Arial" w:hint="default"/>
        <w:color w:val="000000" w:themeColor="tex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6F2AF3"/>
    <w:multiLevelType w:val="hybridMultilevel"/>
    <w:tmpl w:val="AD3420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538294">
    <w:abstractNumId w:val="24"/>
  </w:num>
  <w:num w:numId="2" w16cid:durableId="993875546">
    <w:abstractNumId w:val="48"/>
  </w:num>
  <w:num w:numId="3" w16cid:durableId="1540510454">
    <w:abstractNumId w:val="39"/>
  </w:num>
  <w:num w:numId="4" w16cid:durableId="1595161499">
    <w:abstractNumId w:val="10"/>
  </w:num>
  <w:num w:numId="5" w16cid:durableId="977877932">
    <w:abstractNumId w:val="30"/>
  </w:num>
  <w:num w:numId="6" w16cid:durableId="525601663">
    <w:abstractNumId w:val="17"/>
  </w:num>
  <w:num w:numId="7" w16cid:durableId="213466793">
    <w:abstractNumId w:val="11"/>
  </w:num>
  <w:num w:numId="8" w16cid:durableId="944921624">
    <w:abstractNumId w:val="8"/>
  </w:num>
  <w:num w:numId="9" w16cid:durableId="1152482015">
    <w:abstractNumId w:val="15"/>
  </w:num>
  <w:num w:numId="10" w16cid:durableId="1628269898">
    <w:abstractNumId w:val="28"/>
  </w:num>
  <w:num w:numId="11" w16cid:durableId="316693820">
    <w:abstractNumId w:val="16"/>
  </w:num>
  <w:num w:numId="12" w16cid:durableId="910388820">
    <w:abstractNumId w:val="26"/>
  </w:num>
  <w:num w:numId="13" w16cid:durableId="2137987892">
    <w:abstractNumId w:val="9"/>
  </w:num>
  <w:num w:numId="14" w16cid:durableId="1591084889">
    <w:abstractNumId w:val="12"/>
  </w:num>
  <w:num w:numId="15" w16cid:durableId="1090732854">
    <w:abstractNumId w:val="37"/>
  </w:num>
  <w:num w:numId="16" w16cid:durableId="901792913">
    <w:abstractNumId w:val="7"/>
  </w:num>
  <w:num w:numId="17" w16cid:durableId="1243030280">
    <w:abstractNumId w:val="14"/>
  </w:num>
  <w:num w:numId="18" w16cid:durableId="1327242052">
    <w:abstractNumId w:val="5"/>
  </w:num>
  <w:num w:numId="19" w16cid:durableId="613246995">
    <w:abstractNumId w:val="4"/>
  </w:num>
  <w:num w:numId="20" w16cid:durableId="397286409">
    <w:abstractNumId w:val="45"/>
  </w:num>
  <w:num w:numId="21" w16cid:durableId="205725881">
    <w:abstractNumId w:val="32"/>
  </w:num>
  <w:num w:numId="22" w16cid:durableId="2040466388">
    <w:abstractNumId w:val="44"/>
  </w:num>
  <w:num w:numId="23" w16cid:durableId="789056007">
    <w:abstractNumId w:val="46"/>
  </w:num>
  <w:num w:numId="24" w16cid:durableId="1354648724">
    <w:abstractNumId w:val="18"/>
  </w:num>
  <w:num w:numId="25" w16cid:durableId="1255170721">
    <w:abstractNumId w:val="22"/>
  </w:num>
  <w:num w:numId="26" w16cid:durableId="1671639659">
    <w:abstractNumId w:val="20"/>
  </w:num>
  <w:num w:numId="27" w16cid:durableId="200359299">
    <w:abstractNumId w:val="0"/>
  </w:num>
  <w:num w:numId="28" w16cid:durableId="1358192465">
    <w:abstractNumId w:val="2"/>
  </w:num>
  <w:num w:numId="29" w16cid:durableId="1626891139">
    <w:abstractNumId w:val="29"/>
  </w:num>
  <w:num w:numId="30" w16cid:durableId="1828592791">
    <w:abstractNumId w:val="3"/>
  </w:num>
  <w:num w:numId="31" w16cid:durableId="2085570226">
    <w:abstractNumId w:val="36"/>
  </w:num>
  <w:num w:numId="32" w16cid:durableId="1445467575">
    <w:abstractNumId w:val="19"/>
  </w:num>
  <w:num w:numId="33" w16cid:durableId="2127506242">
    <w:abstractNumId w:val="42"/>
  </w:num>
  <w:num w:numId="34" w16cid:durableId="494690629">
    <w:abstractNumId w:val="21"/>
  </w:num>
  <w:num w:numId="35" w16cid:durableId="1566377539">
    <w:abstractNumId w:val="23"/>
  </w:num>
  <w:num w:numId="36" w16cid:durableId="387846626">
    <w:abstractNumId w:val="35"/>
  </w:num>
  <w:num w:numId="37" w16cid:durableId="1571883384">
    <w:abstractNumId w:val="43"/>
  </w:num>
  <w:num w:numId="38" w16cid:durableId="694771173">
    <w:abstractNumId w:val="41"/>
  </w:num>
  <w:num w:numId="39" w16cid:durableId="1881243087">
    <w:abstractNumId w:val="1"/>
  </w:num>
  <w:num w:numId="40" w16cid:durableId="2110005734">
    <w:abstractNumId w:val="40"/>
  </w:num>
  <w:num w:numId="41" w16cid:durableId="205608942">
    <w:abstractNumId w:val="6"/>
  </w:num>
  <w:num w:numId="42" w16cid:durableId="168448384">
    <w:abstractNumId w:val="33"/>
  </w:num>
  <w:num w:numId="43" w16cid:durableId="1954899645">
    <w:abstractNumId w:val="34"/>
  </w:num>
  <w:num w:numId="44" w16cid:durableId="1603877146">
    <w:abstractNumId w:val="13"/>
  </w:num>
  <w:num w:numId="45" w16cid:durableId="1779179420">
    <w:abstractNumId w:val="47"/>
  </w:num>
  <w:num w:numId="46" w16cid:durableId="1822115754">
    <w:abstractNumId w:val="27"/>
  </w:num>
  <w:num w:numId="47" w16cid:durableId="264581648">
    <w:abstractNumId w:val="25"/>
  </w:num>
  <w:num w:numId="48" w16cid:durableId="301739493">
    <w:abstractNumId w:val="38"/>
  </w:num>
  <w:num w:numId="49" w16cid:durableId="8782048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12264"/>
    <w:rsid w:val="00012279"/>
    <w:rsid w:val="000149D8"/>
    <w:rsid w:val="00017A37"/>
    <w:rsid w:val="00021A01"/>
    <w:rsid w:val="00022B43"/>
    <w:rsid w:val="00025521"/>
    <w:rsid w:val="00030114"/>
    <w:rsid w:val="0003012E"/>
    <w:rsid w:val="00032FF5"/>
    <w:rsid w:val="00040965"/>
    <w:rsid w:val="00040BCD"/>
    <w:rsid w:val="000413D6"/>
    <w:rsid w:val="00042358"/>
    <w:rsid w:val="0004645C"/>
    <w:rsid w:val="00046A98"/>
    <w:rsid w:val="000473D6"/>
    <w:rsid w:val="00054FF4"/>
    <w:rsid w:val="00055942"/>
    <w:rsid w:val="00055F9E"/>
    <w:rsid w:val="00056946"/>
    <w:rsid w:val="00063414"/>
    <w:rsid w:val="00064206"/>
    <w:rsid w:val="0006445F"/>
    <w:rsid w:val="000706FA"/>
    <w:rsid w:val="00071162"/>
    <w:rsid w:val="00073236"/>
    <w:rsid w:val="00073DC9"/>
    <w:rsid w:val="00074092"/>
    <w:rsid w:val="00074513"/>
    <w:rsid w:val="000766DC"/>
    <w:rsid w:val="00076CB2"/>
    <w:rsid w:val="00080AC6"/>
    <w:rsid w:val="00081A47"/>
    <w:rsid w:val="000826CB"/>
    <w:rsid w:val="0008493D"/>
    <w:rsid w:val="000862E1"/>
    <w:rsid w:val="000863A1"/>
    <w:rsid w:val="000903BE"/>
    <w:rsid w:val="00091C4C"/>
    <w:rsid w:val="00093977"/>
    <w:rsid w:val="00095621"/>
    <w:rsid w:val="000A0033"/>
    <w:rsid w:val="000A527C"/>
    <w:rsid w:val="000A559A"/>
    <w:rsid w:val="000A691D"/>
    <w:rsid w:val="000A7A45"/>
    <w:rsid w:val="000B1D01"/>
    <w:rsid w:val="000B69D6"/>
    <w:rsid w:val="000C0595"/>
    <w:rsid w:val="000C4405"/>
    <w:rsid w:val="000C69B9"/>
    <w:rsid w:val="000C7F71"/>
    <w:rsid w:val="000D2E54"/>
    <w:rsid w:val="000D73A8"/>
    <w:rsid w:val="000E0B3F"/>
    <w:rsid w:val="000E26D0"/>
    <w:rsid w:val="000E2F30"/>
    <w:rsid w:val="000E3622"/>
    <w:rsid w:val="000E75D4"/>
    <w:rsid w:val="000F3A79"/>
    <w:rsid w:val="000F5CC4"/>
    <w:rsid w:val="001017F6"/>
    <w:rsid w:val="00104288"/>
    <w:rsid w:val="0010559B"/>
    <w:rsid w:val="00106D23"/>
    <w:rsid w:val="00112E92"/>
    <w:rsid w:val="00120986"/>
    <w:rsid w:val="00122099"/>
    <w:rsid w:val="0012232D"/>
    <w:rsid w:val="00123EE2"/>
    <w:rsid w:val="00125F6B"/>
    <w:rsid w:val="00137A46"/>
    <w:rsid w:val="00141583"/>
    <w:rsid w:val="001459CB"/>
    <w:rsid w:val="00152CFB"/>
    <w:rsid w:val="00154A10"/>
    <w:rsid w:val="00166158"/>
    <w:rsid w:val="001701AE"/>
    <w:rsid w:val="00170F20"/>
    <w:rsid w:val="00174CFB"/>
    <w:rsid w:val="00176547"/>
    <w:rsid w:val="00176C56"/>
    <w:rsid w:val="00180367"/>
    <w:rsid w:val="00180580"/>
    <w:rsid w:val="00181AD4"/>
    <w:rsid w:val="00182533"/>
    <w:rsid w:val="00185A10"/>
    <w:rsid w:val="001863F4"/>
    <w:rsid w:val="00190646"/>
    <w:rsid w:val="0019184A"/>
    <w:rsid w:val="00191B78"/>
    <w:rsid w:val="00191DAC"/>
    <w:rsid w:val="00192CFC"/>
    <w:rsid w:val="00193CD7"/>
    <w:rsid w:val="00196EF4"/>
    <w:rsid w:val="001A11D0"/>
    <w:rsid w:val="001A43BF"/>
    <w:rsid w:val="001A511B"/>
    <w:rsid w:val="001A66A9"/>
    <w:rsid w:val="001B3A91"/>
    <w:rsid w:val="001B517F"/>
    <w:rsid w:val="001B7F98"/>
    <w:rsid w:val="001C2783"/>
    <w:rsid w:val="001C5BF3"/>
    <w:rsid w:val="001C7D57"/>
    <w:rsid w:val="001D0111"/>
    <w:rsid w:val="001D01BF"/>
    <w:rsid w:val="001D1521"/>
    <w:rsid w:val="001D1813"/>
    <w:rsid w:val="001D7C2C"/>
    <w:rsid w:val="001D7E29"/>
    <w:rsid w:val="001E0B94"/>
    <w:rsid w:val="001E19D7"/>
    <w:rsid w:val="001E21D7"/>
    <w:rsid w:val="001E2EA3"/>
    <w:rsid w:val="001E3DE9"/>
    <w:rsid w:val="001E5807"/>
    <w:rsid w:val="001E6524"/>
    <w:rsid w:val="001E75CD"/>
    <w:rsid w:val="001F02F3"/>
    <w:rsid w:val="001F27B7"/>
    <w:rsid w:val="001F46C4"/>
    <w:rsid w:val="001F667D"/>
    <w:rsid w:val="00201C0C"/>
    <w:rsid w:val="00202AD7"/>
    <w:rsid w:val="002037DF"/>
    <w:rsid w:val="002050B9"/>
    <w:rsid w:val="002102EF"/>
    <w:rsid w:val="00212619"/>
    <w:rsid w:val="002155ED"/>
    <w:rsid w:val="00216777"/>
    <w:rsid w:val="00220D6A"/>
    <w:rsid w:val="00224770"/>
    <w:rsid w:val="00224D25"/>
    <w:rsid w:val="00225B1E"/>
    <w:rsid w:val="00226A63"/>
    <w:rsid w:val="00227005"/>
    <w:rsid w:val="00227BD5"/>
    <w:rsid w:val="00230C3B"/>
    <w:rsid w:val="00231103"/>
    <w:rsid w:val="002314FF"/>
    <w:rsid w:val="00231E3B"/>
    <w:rsid w:val="002331AB"/>
    <w:rsid w:val="002364A1"/>
    <w:rsid w:val="00240790"/>
    <w:rsid w:val="00241F52"/>
    <w:rsid w:val="002432E3"/>
    <w:rsid w:val="00251BEF"/>
    <w:rsid w:val="002533DB"/>
    <w:rsid w:val="0025349C"/>
    <w:rsid w:val="00253AF3"/>
    <w:rsid w:val="002542A0"/>
    <w:rsid w:val="002554CD"/>
    <w:rsid w:val="0025780A"/>
    <w:rsid w:val="00262131"/>
    <w:rsid w:val="00262E53"/>
    <w:rsid w:val="002643AF"/>
    <w:rsid w:val="00264588"/>
    <w:rsid w:val="0026558B"/>
    <w:rsid w:val="00265BE3"/>
    <w:rsid w:val="00267859"/>
    <w:rsid w:val="00270B47"/>
    <w:rsid w:val="002750A6"/>
    <w:rsid w:val="002755DA"/>
    <w:rsid w:val="00275C8C"/>
    <w:rsid w:val="0027783A"/>
    <w:rsid w:val="002820F4"/>
    <w:rsid w:val="0028344C"/>
    <w:rsid w:val="002912FB"/>
    <w:rsid w:val="00292B13"/>
    <w:rsid w:val="00293147"/>
    <w:rsid w:val="00294D49"/>
    <w:rsid w:val="002A02C0"/>
    <w:rsid w:val="002A24E2"/>
    <w:rsid w:val="002A36DF"/>
    <w:rsid w:val="002A47FE"/>
    <w:rsid w:val="002A5E73"/>
    <w:rsid w:val="002B14BC"/>
    <w:rsid w:val="002B1CB7"/>
    <w:rsid w:val="002B3476"/>
    <w:rsid w:val="002B392E"/>
    <w:rsid w:val="002C0C55"/>
    <w:rsid w:val="002C356C"/>
    <w:rsid w:val="002C568C"/>
    <w:rsid w:val="002C5E88"/>
    <w:rsid w:val="002D012B"/>
    <w:rsid w:val="002D0F37"/>
    <w:rsid w:val="002D1CC3"/>
    <w:rsid w:val="002D39AC"/>
    <w:rsid w:val="002E3CEF"/>
    <w:rsid w:val="002E6EF7"/>
    <w:rsid w:val="002F3CDD"/>
    <w:rsid w:val="002F4419"/>
    <w:rsid w:val="002F5878"/>
    <w:rsid w:val="002F653B"/>
    <w:rsid w:val="002F7B99"/>
    <w:rsid w:val="003008BD"/>
    <w:rsid w:val="003030AA"/>
    <w:rsid w:val="00303EE3"/>
    <w:rsid w:val="00305E0C"/>
    <w:rsid w:val="00306307"/>
    <w:rsid w:val="003079EC"/>
    <w:rsid w:val="003103B0"/>
    <w:rsid w:val="00312A19"/>
    <w:rsid w:val="00317580"/>
    <w:rsid w:val="003219C4"/>
    <w:rsid w:val="0032288D"/>
    <w:rsid w:val="00327EAC"/>
    <w:rsid w:val="003341D0"/>
    <w:rsid w:val="003420E4"/>
    <w:rsid w:val="00342240"/>
    <w:rsid w:val="0034543C"/>
    <w:rsid w:val="00351C55"/>
    <w:rsid w:val="003533CA"/>
    <w:rsid w:val="003544CD"/>
    <w:rsid w:val="0035653B"/>
    <w:rsid w:val="00357BA6"/>
    <w:rsid w:val="003602C2"/>
    <w:rsid w:val="0036101C"/>
    <w:rsid w:val="003620FB"/>
    <w:rsid w:val="00362813"/>
    <w:rsid w:val="00366918"/>
    <w:rsid w:val="00366DCC"/>
    <w:rsid w:val="003764DE"/>
    <w:rsid w:val="00380361"/>
    <w:rsid w:val="00380B28"/>
    <w:rsid w:val="00380E08"/>
    <w:rsid w:val="003813A0"/>
    <w:rsid w:val="00381CBF"/>
    <w:rsid w:val="00382217"/>
    <w:rsid w:val="00384CDC"/>
    <w:rsid w:val="003857B5"/>
    <w:rsid w:val="00387527"/>
    <w:rsid w:val="00392B5A"/>
    <w:rsid w:val="00395364"/>
    <w:rsid w:val="0039698B"/>
    <w:rsid w:val="003A1793"/>
    <w:rsid w:val="003A2B2F"/>
    <w:rsid w:val="003A2B5B"/>
    <w:rsid w:val="003A36B2"/>
    <w:rsid w:val="003A4882"/>
    <w:rsid w:val="003A6452"/>
    <w:rsid w:val="003A7217"/>
    <w:rsid w:val="003B0D30"/>
    <w:rsid w:val="003B139B"/>
    <w:rsid w:val="003B575F"/>
    <w:rsid w:val="003B5953"/>
    <w:rsid w:val="003B6FC7"/>
    <w:rsid w:val="003B75D6"/>
    <w:rsid w:val="003C1787"/>
    <w:rsid w:val="003C228D"/>
    <w:rsid w:val="003C3117"/>
    <w:rsid w:val="003C38F5"/>
    <w:rsid w:val="003C3B18"/>
    <w:rsid w:val="003C6AA0"/>
    <w:rsid w:val="003C6F58"/>
    <w:rsid w:val="003C7AF5"/>
    <w:rsid w:val="003C7C67"/>
    <w:rsid w:val="003D14BA"/>
    <w:rsid w:val="003D2A24"/>
    <w:rsid w:val="003D3D7D"/>
    <w:rsid w:val="003D4E19"/>
    <w:rsid w:val="003D50D2"/>
    <w:rsid w:val="003D7315"/>
    <w:rsid w:val="003D7942"/>
    <w:rsid w:val="003E0045"/>
    <w:rsid w:val="003E5576"/>
    <w:rsid w:val="003E5688"/>
    <w:rsid w:val="003E6FA4"/>
    <w:rsid w:val="003F1211"/>
    <w:rsid w:val="003F159E"/>
    <w:rsid w:val="003F6F43"/>
    <w:rsid w:val="0040290C"/>
    <w:rsid w:val="00402AC2"/>
    <w:rsid w:val="004076C2"/>
    <w:rsid w:val="00410339"/>
    <w:rsid w:val="00411073"/>
    <w:rsid w:val="0042031C"/>
    <w:rsid w:val="00421B81"/>
    <w:rsid w:val="00421C21"/>
    <w:rsid w:val="00423B02"/>
    <w:rsid w:val="0043014B"/>
    <w:rsid w:val="00431E19"/>
    <w:rsid w:val="00432D19"/>
    <w:rsid w:val="004365E0"/>
    <w:rsid w:val="00444A21"/>
    <w:rsid w:val="00446BEC"/>
    <w:rsid w:val="00447026"/>
    <w:rsid w:val="0045317B"/>
    <w:rsid w:val="0045422A"/>
    <w:rsid w:val="00455504"/>
    <w:rsid w:val="00456B10"/>
    <w:rsid w:val="00464ACB"/>
    <w:rsid w:val="0046723B"/>
    <w:rsid w:val="004675EF"/>
    <w:rsid w:val="004710F7"/>
    <w:rsid w:val="00476176"/>
    <w:rsid w:val="00477BDC"/>
    <w:rsid w:val="00481ADC"/>
    <w:rsid w:val="004821A3"/>
    <w:rsid w:val="00484231"/>
    <w:rsid w:val="00484A85"/>
    <w:rsid w:val="004901A5"/>
    <w:rsid w:val="00497513"/>
    <w:rsid w:val="004A1BB1"/>
    <w:rsid w:val="004A1D25"/>
    <w:rsid w:val="004A5502"/>
    <w:rsid w:val="004A7A25"/>
    <w:rsid w:val="004B0A0B"/>
    <w:rsid w:val="004B1CE6"/>
    <w:rsid w:val="004B313A"/>
    <w:rsid w:val="004B46F4"/>
    <w:rsid w:val="004B582E"/>
    <w:rsid w:val="004B5EF9"/>
    <w:rsid w:val="004B678F"/>
    <w:rsid w:val="004B74F6"/>
    <w:rsid w:val="004C0998"/>
    <w:rsid w:val="004C2AE3"/>
    <w:rsid w:val="004C3AB7"/>
    <w:rsid w:val="004D0BF9"/>
    <w:rsid w:val="004D293C"/>
    <w:rsid w:val="004D7C5C"/>
    <w:rsid w:val="004E166A"/>
    <w:rsid w:val="004E1E5F"/>
    <w:rsid w:val="004E6482"/>
    <w:rsid w:val="004E6FB1"/>
    <w:rsid w:val="004F1C08"/>
    <w:rsid w:val="004F29E3"/>
    <w:rsid w:val="004F432A"/>
    <w:rsid w:val="004F590F"/>
    <w:rsid w:val="004F6BB4"/>
    <w:rsid w:val="005032FA"/>
    <w:rsid w:val="00510EC8"/>
    <w:rsid w:val="00512162"/>
    <w:rsid w:val="00512FDF"/>
    <w:rsid w:val="005145C3"/>
    <w:rsid w:val="005147AA"/>
    <w:rsid w:val="00514ECB"/>
    <w:rsid w:val="00515F51"/>
    <w:rsid w:val="00517FCB"/>
    <w:rsid w:val="00520CE7"/>
    <w:rsid w:val="00522F5F"/>
    <w:rsid w:val="00524144"/>
    <w:rsid w:val="005257D0"/>
    <w:rsid w:val="00527788"/>
    <w:rsid w:val="005301FC"/>
    <w:rsid w:val="00530477"/>
    <w:rsid w:val="00530E21"/>
    <w:rsid w:val="00531B4D"/>
    <w:rsid w:val="00535A15"/>
    <w:rsid w:val="00536B22"/>
    <w:rsid w:val="005430C8"/>
    <w:rsid w:val="0054339D"/>
    <w:rsid w:val="00543EFB"/>
    <w:rsid w:val="00543F79"/>
    <w:rsid w:val="005459DE"/>
    <w:rsid w:val="00546917"/>
    <w:rsid w:val="00547324"/>
    <w:rsid w:val="005475CC"/>
    <w:rsid w:val="005506E6"/>
    <w:rsid w:val="00552F7E"/>
    <w:rsid w:val="00554544"/>
    <w:rsid w:val="00554CF4"/>
    <w:rsid w:val="00555A05"/>
    <w:rsid w:val="00557787"/>
    <w:rsid w:val="00561790"/>
    <w:rsid w:val="00561BCC"/>
    <w:rsid w:val="00567A48"/>
    <w:rsid w:val="00570EEE"/>
    <w:rsid w:val="00572018"/>
    <w:rsid w:val="005726B9"/>
    <w:rsid w:val="0057322D"/>
    <w:rsid w:val="00573656"/>
    <w:rsid w:val="00575ECF"/>
    <w:rsid w:val="005768C9"/>
    <w:rsid w:val="00577B19"/>
    <w:rsid w:val="00580C41"/>
    <w:rsid w:val="00580E2B"/>
    <w:rsid w:val="0058155B"/>
    <w:rsid w:val="00587600"/>
    <w:rsid w:val="00591A6A"/>
    <w:rsid w:val="005921B2"/>
    <w:rsid w:val="005941A3"/>
    <w:rsid w:val="005946AB"/>
    <w:rsid w:val="00594A10"/>
    <w:rsid w:val="00595438"/>
    <w:rsid w:val="00595A74"/>
    <w:rsid w:val="00596309"/>
    <w:rsid w:val="00596F2D"/>
    <w:rsid w:val="00597369"/>
    <w:rsid w:val="005977E8"/>
    <w:rsid w:val="005A081D"/>
    <w:rsid w:val="005A11D8"/>
    <w:rsid w:val="005A2505"/>
    <w:rsid w:val="005A267B"/>
    <w:rsid w:val="005A2F6B"/>
    <w:rsid w:val="005A390D"/>
    <w:rsid w:val="005A3A68"/>
    <w:rsid w:val="005A5F29"/>
    <w:rsid w:val="005A71F5"/>
    <w:rsid w:val="005C3394"/>
    <w:rsid w:val="005C4433"/>
    <w:rsid w:val="005C7D0C"/>
    <w:rsid w:val="005D0233"/>
    <w:rsid w:val="005D3911"/>
    <w:rsid w:val="005D4244"/>
    <w:rsid w:val="005E1AEF"/>
    <w:rsid w:val="005E32B2"/>
    <w:rsid w:val="005F52ED"/>
    <w:rsid w:val="005F62ED"/>
    <w:rsid w:val="00605067"/>
    <w:rsid w:val="00607E0F"/>
    <w:rsid w:val="00610F50"/>
    <w:rsid w:val="00611B05"/>
    <w:rsid w:val="006269A1"/>
    <w:rsid w:val="006303FF"/>
    <w:rsid w:val="006325B1"/>
    <w:rsid w:val="00632AEC"/>
    <w:rsid w:val="0063573C"/>
    <w:rsid w:val="00636A3D"/>
    <w:rsid w:val="006403D2"/>
    <w:rsid w:val="00643D57"/>
    <w:rsid w:val="0064499E"/>
    <w:rsid w:val="00645E3C"/>
    <w:rsid w:val="00652593"/>
    <w:rsid w:val="0065372D"/>
    <w:rsid w:val="006560F8"/>
    <w:rsid w:val="00661792"/>
    <w:rsid w:val="00662DFE"/>
    <w:rsid w:val="006733D5"/>
    <w:rsid w:val="006814E7"/>
    <w:rsid w:val="006837AD"/>
    <w:rsid w:val="00683BFC"/>
    <w:rsid w:val="00687E3F"/>
    <w:rsid w:val="00690025"/>
    <w:rsid w:val="00693E98"/>
    <w:rsid w:val="006A091C"/>
    <w:rsid w:val="006A25D2"/>
    <w:rsid w:val="006B0549"/>
    <w:rsid w:val="006B403B"/>
    <w:rsid w:val="006B5BEF"/>
    <w:rsid w:val="006B7171"/>
    <w:rsid w:val="006C2D83"/>
    <w:rsid w:val="006C2EA2"/>
    <w:rsid w:val="006C3ED5"/>
    <w:rsid w:val="006C4052"/>
    <w:rsid w:val="006C552B"/>
    <w:rsid w:val="006D01D3"/>
    <w:rsid w:val="006D3F7F"/>
    <w:rsid w:val="006D6315"/>
    <w:rsid w:val="006D650D"/>
    <w:rsid w:val="006D6994"/>
    <w:rsid w:val="006E112C"/>
    <w:rsid w:val="006E1D4C"/>
    <w:rsid w:val="006E279C"/>
    <w:rsid w:val="006E29DE"/>
    <w:rsid w:val="006E482A"/>
    <w:rsid w:val="006E4E00"/>
    <w:rsid w:val="006E5304"/>
    <w:rsid w:val="006F0472"/>
    <w:rsid w:val="006F1A72"/>
    <w:rsid w:val="006F3293"/>
    <w:rsid w:val="006F4EF5"/>
    <w:rsid w:val="006F74C0"/>
    <w:rsid w:val="006F7519"/>
    <w:rsid w:val="00701C82"/>
    <w:rsid w:val="00704D45"/>
    <w:rsid w:val="00710882"/>
    <w:rsid w:val="007110C2"/>
    <w:rsid w:val="007113DC"/>
    <w:rsid w:val="0071402E"/>
    <w:rsid w:val="00715918"/>
    <w:rsid w:val="00722F8A"/>
    <w:rsid w:val="007230BC"/>
    <w:rsid w:val="00723E74"/>
    <w:rsid w:val="007242B4"/>
    <w:rsid w:val="00725B1C"/>
    <w:rsid w:val="00727FF8"/>
    <w:rsid w:val="00730E81"/>
    <w:rsid w:val="0073404F"/>
    <w:rsid w:val="00734A0C"/>
    <w:rsid w:val="00736465"/>
    <w:rsid w:val="00740B16"/>
    <w:rsid w:val="00742E67"/>
    <w:rsid w:val="00743F50"/>
    <w:rsid w:val="007508EF"/>
    <w:rsid w:val="00750B62"/>
    <w:rsid w:val="0075159B"/>
    <w:rsid w:val="00751E95"/>
    <w:rsid w:val="0075373D"/>
    <w:rsid w:val="00753F14"/>
    <w:rsid w:val="00757106"/>
    <w:rsid w:val="00764C68"/>
    <w:rsid w:val="00771621"/>
    <w:rsid w:val="00774FA6"/>
    <w:rsid w:val="0078172E"/>
    <w:rsid w:val="00793765"/>
    <w:rsid w:val="00795B9D"/>
    <w:rsid w:val="00795E61"/>
    <w:rsid w:val="007A6763"/>
    <w:rsid w:val="007B3A5E"/>
    <w:rsid w:val="007B45B6"/>
    <w:rsid w:val="007B529A"/>
    <w:rsid w:val="007B57B1"/>
    <w:rsid w:val="007B5C83"/>
    <w:rsid w:val="007B5E25"/>
    <w:rsid w:val="007B72C2"/>
    <w:rsid w:val="007C02F9"/>
    <w:rsid w:val="007C10C6"/>
    <w:rsid w:val="007C1A92"/>
    <w:rsid w:val="007C2DF7"/>
    <w:rsid w:val="007D023F"/>
    <w:rsid w:val="007D127A"/>
    <w:rsid w:val="007D1376"/>
    <w:rsid w:val="007E006B"/>
    <w:rsid w:val="007E0AC9"/>
    <w:rsid w:val="007E0EE2"/>
    <w:rsid w:val="007E5FE7"/>
    <w:rsid w:val="007E6854"/>
    <w:rsid w:val="007E7117"/>
    <w:rsid w:val="007F5301"/>
    <w:rsid w:val="007F5C97"/>
    <w:rsid w:val="007F6109"/>
    <w:rsid w:val="007F6742"/>
    <w:rsid w:val="008006D1"/>
    <w:rsid w:val="0080535D"/>
    <w:rsid w:val="00811E52"/>
    <w:rsid w:val="008124F5"/>
    <w:rsid w:val="00815464"/>
    <w:rsid w:val="00815E28"/>
    <w:rsid w:val="00820C2B"/>
    <w:rsid w:val="008217B2"/>
    <w:rsid w:val="00821848"/>
    <w:rsid w:val="008218EF"/>
    <w:rsid w:val="008222C5"/>
    <w:rsid w:val="00824A52"/>
    <w:rsid w:val="00825F36"/>
    <w:rsid w:val="00826574"/>
    <w:rsid w:val="00826B8E"/>
    <w:rsid w:val="00830723"/>
    <w:rsid w:val="00830BDE"/>
    <w:rsid w:val="0083116D"/>
    <w:rsid w:val="00835493"/>
    <w:rsid w:val="00843356"/>
    <w:rsid w:val="008443E7"/>
    <w:rsid w:val="008449E3"/>
    <w:rsid w:val="008464B2"/>
    <w:rsid w:val="00847466"/>
    <w:rsid w:val="00847665"/>
    <w:rsid w:val="00847BE1"/>
    <w:rsid w:val="00851136"/>
    <w:rsid w:val="00851EBF"/>
    <w:rsid w:val="00852476"/>
    <w:rsid w:val="008561DE"/>
    <w:rsid w:val="0086021D"/>
    <w:rsid w:val="00860716"/>
    <w:rsid w:val="00862AF4"/>
    <w:rsid w:val="00862E31"/>
    <w:rsid w:val="008634B7"/>
    <w:rsid w:val="00863F89"/>
    <w:rsid w:val="008643F3"/>
    <w:rsid w:val="00876CE8"/>
    <w:rsid w:val="00877BF9"/>
    <w:rsid w:val="00881DF6"/>
    <w:rsid w:val="00886E11"/>
    <w:rsid w:val="00890231"/>
    <w:rsid w:val="008905DD"/>
    <w:rsid w:val="00893DCE"/>
    <w:rsid w:val="008955B8"/>
    <w:rsid w:val="008962E8"/>
    <w:rsid w:val="00897A92"/>
    <w:rsid w:val="008A4E65"/>
    <w:rsid w:val="008A67AB"/>
    <w:rsid w:val="008A7920"/>
    <w:rsid w:val="008A7D64"/>
    <w:rsid w:val="008B18BD"/>
    <w:rsid w:val="008B6FBF"/>
    <w:rsid w:val="008B7284"/>
    <w:rsid w:val="008B733E"/>
    <w:rsid w:val="008B7668"/>
    <w:rsid w:val="008C121E"/>
    <w:rsid w:val="008C1253"/>
    <w:rsid w:val="008C2A4E"/>
    <w:rsid w:val="008C5D7E"/>
    <w:rsid w:val="008C698B"/>
    <w:rsid w:val="008C6E0A"/>
    <w:rsid w:val="008D0B54"/>
    <w:rsid w:val="008D20A8"/>
    <w:rsid w:val="008D2D7E"/>
    <w:rsid w:val="008D5182"/>
    <w:rsid w:val="008D5359"/>
    <w:rsid w:val="008E0484"/>
    <w:rsid w:val="008E234D"/>
    <w:rsid w:val="008E3C7A"/>
    <w:rsid w:val="008E455C"/>
    <w:rsid w:val="008E6DF2"/>
    <w:rsid w:val="008E7355"/>
    <w:rsid w:val="008E7E5A"/>
    <w:rsid w:val="008F1860"/>
    <w:rsid w:val="008F4E1B"/>
    <w:rsid w:val="008F5981"/>
    <w:rsid w:val="00900ED6"/>
    <w:rsid w:val="0090264F"/>
    <w:rsid w:val="009032E4"/>
    <w:rsid w:val="00906CCD"/>
    <w:rsid w:val="00911747"/>
    <w:rsid w:val="00914855"/>
    <w:rsid w:val="00915C11"/>
    <w:rsid w:val="00915F05"/>
    <w:rsid w:val="009171CE"/>
    <w:rsid w:val="009178DF"/>
    <w:rsid w:val="00921ED9"/>
    <w:rsid w:val="009250A0"/>
    <w:rsid w:val="00931374"/>
    <w:rsid w:val="009317D3"/>
    <w:rsid w:val="00934586"/>
    <w:rsid w:val="00934706"/>
    <w:rsid w:val="00935B93"/>
    <w:rsid w:val="0093616A"/>
    <w:rsid w:val="0093644B"/>
    <w:rsid w:val="009366A5"/>
    <w:rsid w:val="009376A5"/>
    <w:rsid w:val="00937C51"/>
    <w:rsid w:val="00937DF4"/>
    <w:rsid w:val="00940929"/>
    <w:rsid w:val="009438AC"/>
    <w:rsid w:val="0094528E"/>
    <w:rsid w:val="00946106"/>
    <w:rsid w:val="00946319"/>
    <w:rsid w:val="00951254"/>
    <w:rsid w:val="00951485"/>
    <w:rsid w:val="009528C0"/>
    <w:rsid w:val="0095306D"/>
    <w:rsid w:val="00955D10"/>
    <w:rsid w:val="009637E5"/>
    <w:rsid w:val="00963B87"/>
    <w:rsid w:val="009643B3"/>
    <w:rsid w:val="00965AEA"/>
    <w:rsid w:val="00970D87"/>
    <w:rsid w:val="00971F26"/>
    <w:rsid w:val="00974468"/>
    <w:rsid w:val="0097656A"/>
    <w:rsid w:val="00982829"/>
    <w:rsid w:val="00985A22"/>
    <w:rsid w:val="009865DB"/>
    <w:rsid w:val="00986A89"/>
    <w:rsid w:val="00990232"/>
    <w:rsid w:val="009908C8"/>
    <w:rsid w:val="00990989"/>
    <w:rsid w:val="009910CE"/>
    <w:rsid w:val="00991765"/>
    <w:rsid w:val="009A44D7"/>
    <w:rsid w:val="009B122A"/>
    <w:rsid w:val="009B1B93"/>
    <w:rsid w:val="009B1C56"/>
    <w:rsid w:val="009B5066"/>
    <w:rsid w:val="009B62C3"/>
    <w:rsid w:val="009B74DA"/>
    <w:rsid w:val="009B7881"/>
    <w:rsid w:val="009B7A81"/>
    <w:rsid w:val="009C1D85"/>
    <w:rsid w:val="009C2396"/>
    <w:rsid w:val="009C271D"/>
    <w:rsid w:val="009C3EC6"/>
    <w:rsid w:val="009C4662"/>
    <w:rsid w:val="009C580E"/>
    <w:rsid w:val="009C741D"/>
    <w:rsid w:val="009C7D9A"/>
    <w:rsid w:val="009D08A5"/>
    <w:rsid w:val="009D1445"/>
    <w:rsid w:val="009D1721"/>
    <w:rsid w:val="009D182D"/>
    <w:rsid w:val="009D301F"/>
    <w:rsid w:val="009D451D"/>
    <w:rsid w:val="009D46AB"/>
    <w:rsid w:val="009E1344"/>
    <w:rsid w:val="009E2663"/>
    <w:rsid w:val="009E2754"/>
    <w:rsid w:val="009E3746"/>
    <w:rsid w:val="009F10DE"/>
    <w:rsid w:val="009F3886"/>
    <w:rsid w:val="00A05AE5"/>
    <w:rsid w:val="00A0730F"/>
    <w:rsid w:val="00A144A7"/>
    <w:rsid w:val="00A15C5C"/>
    <w:rsid w:val="00A1708E"/>
    <w:rsid w:val="00A2453E"/>
    <w:rsid w:val="00A252A2"/>
    <w:rsid w:val="00A27237"/>
    <w:rsid w:val="00A27C1B"/>
    <w:rsid w:val="00A350ED"/>
    <w:rsid w:val="00A40D50"/>
    <w:rsid w:val="00A445F0"/>
    <w:rsid w:val="00A44911"/>
    <w:rsid w:val="00A45DC8"/>
    <w:rsid w:val="00A46CED"/>
    <w:rsid w:val="00A50908"/>
    <w:rsid w:val="00A52BF6"/>
    <w:rsid w:val="00A52D05"/>
    <w:rsid w:val="00A530E9"/>
    <w:rsid w:val="00A550CF"/>
    <w:rsid w:val="00A56D79"/>
    <w:rsid w:val="00A6019C"/>
    <w:rsid w:val="00A614B8"/>
    <w:rsid w:val="00A628AF"/>
    <w:rsid w:val="00A63B34"/>
    <w:rsid w:val="00A72EDA"/>
    <w:rsid w:val="00A7342F"/>
    <w:rsid w:val="00A74634"/>
    <w:rsid w:val="00A7645F"/>
    <w:rsid w:val="00A8149E"/>
    <w:rsid w:val="00A82823"/>
    <w:rsid w:val="00A831D3"/>
    <w:rsid w:val="00A83C91"/>
    <w:rsid w:val="00A84E87"/>
    <w:rsid w:val="00A86A7B"/>
    <w:rsid w:val="00A9164D"/>
    <w:rsid w:val="00A941F2"/>
    <w:rsid w:val="00A94C41"/>
    <w:rsid w:val="00A94DFA"/>
    <w:rsid w:val="00A97218"/>
    <w:rsid w:val="00A979E2"/>
    <w:rsid w:val="00AA12C8"/>
    <w:rsid w:val="00AA35A1"/>
    <w:rsid w:val="00AA3F84"/>
    <w:rsid w:val="00AA5AD2"/>
    <w:rsid w:val="00AB1643"/>
    <w:rsid w:val="00AB56AA"/>
    <w:rsid w:val="00AC08F8"/>
    <w:rsid w:val="00AC28A4"/>
    <w:rsid w:val="00AC3823"/>
    <w:rsid w:val="00AD2C45"/>
    <w:rsid w:val="00AD2C60"/>
    <w:rsid w:val="00AD7A33"/>
    <w:rsid w:val="00AE0C95"/>
    <w:rsid w:val="00AE1F14"/>
    <w:rsid w:val="00AE2E70"/>
    <w:rsid w:val="00AE72CC"/>
    <w:rsid w:val="00AE7CBF"/>
    <w:rsid w:val="00AF01F5"/>
    <w:rsid w:val="00AF1414"/>
    <w:rsid w:val="00AF3336"/>
    <w:rsid w:val="00AF41C5"/>
    <w:rsid w:val="00AF4579"/>
    <w:rsid w:val="00AF7891"/>
    <w:rsid w:val="00B00949"/>
    <w:rsid w:val="00B0197E"/>
    <w:rsid w:val="00B01E81"/>
    <w:rsid w:val="00B0435F"/>
    <w:rsid w:val="00B04766"/>
    <w:rsid w:val="00B06DF0"/>
    <w:rsid w:val="00B10DB9"/>
    <w:rsid w:val="00B11DF8"/>
    <w:rsid w:val="00B140F0"/>
    <w:rsid w:val="00B15D82"/>
    <w:rsid w:val="00B2068D"/>
    <w:rsid w:val="00B21A6A"/>
    <w:rsid w:val="00B23AE4"/>
    <w:rsid w:val="00B262FA"/>
    <w:rsid w:val="00B26B4E"/>
    <w:rsid w:val="00B271C5"/>
    <w:rsid w:val="00B34854"/>
    <w:rsid w:val="00B34BE7"/>
    <w:rsid w:val="00B36200"/>
    <w:rsid w:val="00B3678C"/>
    <w:rsid w:val="00B37E4B"/>
    <w:rsid w:val="00B405A8"/>
    <w:rsid w:val="00B42880"/>
    <w:rsid w:val="00B440D9"/>
    <w:rsid w:val="00B45447"/>
    <w:rsid w:val="00B47B6B"/>
    <w:rsid w:val="00B47C7E"/>
    <w:rsid w:val="00B512E6"/>
    <w:rsid w:val="00B53174"/>
    <w:rsid w:val="00B605C6"/>
    <w:rsid w:val="00B60DE5"/>
    <w:rsid w:val="00B66314"/>
    <w:rsid w:val="00B715B4"/>
    <w:rsid w:val="00B75AFF"/>
    <w:rsid w:val="00B765CA"/>
    <w:rsid w:val="00B76EEE"/>
    <w:rsid w:val="00B84D89"/>
    <w:rsid w:val="00B851A8"/>
    <w:rsid w:val="00B856DA"/>
    <w:rsid w:val="00B87882"/>
    <w:rsid w:val="00B90B99"/>
    <w:rsid w:val="00BA1F76"/>
    <w:rsid w:val="00BA2559"/>
    <w:rsid w:val="00BA5DC1"/>
    <w:rsid w:val="00BA5DD0"/>
    <w:rsid w:val="00BB0119"/>
    <w:rsid w:val="00BB0F4E"/>
    <w:rsid w:val="00BB1727"/>
    <w:rsid w:val="00BB2D8B"/>
    <w:rsid w:val="00BB57E6"/>
    <w:rsid w:val="00BB758B"/>
    <w:rsid w:val="00BC2323"/>
    <w:rsid w:val="00BC5676"/>
    <w:rsid w:val="00BD20F3"/>
    <w:rsid w:val="00BD2346"/>
    <w:rsid w:val="00BD2FF4"/>
    <w:rsid w:val="00BD3B34"/>
    <w:rsid w:val="00BD5D70"/>
    <w:rsid w:val="00BD66E6"/>
    <w:rsid w:val="00BD6DFD"/>
    <w:rsid w:val="00BD782E"/>
    <w:rsid w:val="00BE0CDF"/>
    <w:rsid w:val="00BE30DE"/>
    <w:rsid w:val="00BE67C3"/>
    <w:rsid w:val="00BF0682"/>
    <w:rsid w:val="00BF1147"/>
    <w:rsid w:val="00BF23D2"/>
    <w:rsid w:val="00BF2ADC"/>
    <w:rsid w:val="00BF349C"/>
    <w:rsid w:val="00BF469E"/>
    <w:rsid w:val="00BF4BB3"/>
    <w:rsid w:val="00BF57F0"/>
    <w:rsid w:val="00BF6D53"/>
    <w:rsid w:val="00C01DBF"/>
    <w:rsid w:val="00C02AC8"/>
    <w:rsid w:val="00C048DB"/>
    <w:rsid w:val="00C143F4"/>
    <w:rsid w:val="00C176D2"/>
    <w:rsid w:val="00C20168"/>
    <w:rsid w:val="00C27682"/>
    <w:rsid w:val="00C35A36"/>
    <w:rsid w:val="00C41902"/>
    <w:rsid w:val="00C42388"/>
    <w:rsid w:val="00C46BCC"/>
    <w:rsid w:val="00C5018E"/>
    <w:rsid w:val="00C504AE"/>
    <w:rsid w:val="00C521B9"/>
    <w:rsid w:val="00C5224B"/>
    <w:rsid w:val="00C52979"/>
    <w:rsid w:val="00C562BF"/>
    <w:rsid w:val="00C56EAD"/>
    <w:rsid w:val="00C56FD7"/>
    <w:rsid w:val="00C625DD"/>
    <w:rsid w:val="00C62FFE"/>
    <w:rsid w:val="00C70920"/>
    <w:rsid w:val="00C75012"/>
    <w:rsid w:val="00C76C9B"/>
    <w:rsid w:val="00C843B2"/>
    <w:rsid w:val="00C8665D"/>
    <w:rsid w:val="00C86A46"/>
    <w:rsid w:val="00C90FB6"/>
    <w:rsid w:val="00C921DF"/>
    <w:rsid w:val="00C94E3D"/>
    <w:rsid w:val="00C95555"/>
    <w:rsid w:val="00CA3412"/>
    <w:rsid w:val="00CA691E"/>
    <w:rsid w:val="00CA7E20"/>
    <w:rsid w:val="00CB139E"/>
    <w:rsid w:val="00CB4136"/>
    <w:rsid w:val="00CB5310"/>
    <w:rsid w:val="00CC2555"/>
    <w:rsid w:val="00CC4C68"/>
    <w:rsid w:val="00CC576D"/>
    <w:rsid w:val="00CC61A0"/>
    <w:rsid w:val="00CC71D1"/>
    <w:rsid w:val="00CD48D5"/>
    <w:rsid w:val="00CD5604"/>
    <w:rsid w:val="00CE2263"/>
    <w:rsid w:val="00CE3F17"/>
    <w:rsid w:val="00CE5965"/>
    <w:rsid w:val="00CE6956"/>
    <w:rsid w:val="00CE7AF1"/>
    <w:rsid w:val="00CF0F40"/>
    <w:rsid w:val="00CF1A54"/>
    <w:rsid w:val="00CF2575"/>
    <w:rsid w:val="00CF2AD9"/>
    <w:rsid w:val="00CF3097"/>
    <w:rsid w:val="00CF454C"/>
    <w:rsid w:val="00CF5DDA"/>
    <w:rsid w:val="00D02802"/>
    <w:rsid w:val="00D03A2B"/>
    <w:rsid w:val="00D03E8F"/>
    <w:rsid w:val="00D054A2"/>
    <w:rsid w:val="00D11BF8"/>
    <w:rsid w:val="00D12AEB"/>
    <w:rsid w:val="00D13800"/>
    <w:rsid w:val="00D142B2"/>
    <w:rsid w:val="00D1440E"/>
    <w:rsid w:val="00D14560"/>
    <w:rsid w:val="00D15494"/>
    <w:rsid w:val="00D1799E"/>
    <w:rsid w:val="00D223EB"/>
    <w:rsid w:val="00D23E55"/>
    <w:rsid w:val="00D24403"/>
    <w:rsid w:val="00D24AF2"/>
    <w:rsid w:val="00D27182"/>
    <w:rsid w:val="00D279F2"/>
    <w:rsid w:val="00D27F37"/>
    <w:rsid w:val="00D33210"/>
    <w:rsid w:val="00D37D26"/>
    <w:rsid w:val="00D42279"/>
    <w:rsid w:val="00D422E3"/>
    <w:rsid w:val="00D436C9"/>
    <w:rsid w:val="00D45AB3"/>
    <w:rsid w:val="00D45D8E"/>
    <w:rsid w:val="00D506CF"/>
    <w:rsid w:val="00D529B3"/>
    <w:rsid w:val="00D54718"/>
    <w:rsid w:val="00D60585"/>
    <w:rsid w:val="00D6142C"/>
    <w:rsid w:val="00D6254B"/>
    <w:rsid w:val="00D63B4A"/>
    <w:rsid w:val="00D70328"/>
    <w:rsid w:val="00D738E0"/>
    <w:rsid w:val="00D753F8"/>
    <w:rsid w:val="00D758AD"/>
    <w:rsid w:val="00D75C50"/>
    <w:rsid w:val="00D7640E"/>
    <w:rsid w:val="00D76A0D"/>
    <w:rsid w:val="00D76F97"/>
    <w:rsid w:val="00D849A9"/>
    <w:rsid w:val="00D851C5"/>
    <w:rsid w:val="00D85B70"/>
    <w:rsid w:val="00D866CA"/>
    <w:rsid w:val="00D90E50"/>
    <w:rsid w:val="00D93BBE"/>
    <w:rsid w:val="00DA1A26"/>
    <w:rsid w:val="00DA30C7"/>
    <w:rsid w:val="00DA6574"/>
    <w:rsid w:val="00DA6F3F"/>
    <w:rsid w:val="00DB6498"/>
    <w:rsid w:val="00DB685D"/>
    <w:rsid w:val="00DB6A78"/>
    <w:rsid w:val="00DC0E81"/>
    <w:rsid w:val="00DC3F91"/>
    <w:rsid w:val="00DD0C1E"/>
    <w:rsid w:val="00DD1419"/>
    <w:rsid w:val="00DD15B6"/>
    <w:rsid w:val="00DD28DE"/>
    <w:rsid w:val="00DD7054"/>
    <w:rsid w:val="00DD74BE"/>
    <w:rsid w:val="00DE53D8"/>
    <w:rsid w:val="00DE7675"/>
    <w:rsid w:val="00DF07AB"/>
    <w:rsid w:val="00DF2366"/>
    <w:rsid w:val="00DF7DD6"/>
    <w:rsid w:val="00E0011C"/>
    <w:rsid w:val="00E001B4"/>
    <w:rsid w:val="00E0057B"/>
    <w:rsid w:val="00E016A6"/>
    <w:rsid w:val="00E0173C"/>
    <w:rsid w:val="00E0307B"/>
    <w:rsid w:val="00E0402E"/>
    <w:rsid w:val="00E06845"/>
    <w:rsid w:val="00E0696A"/>
    <w:rsid w:val="00E06C61"/>
    <w:rsid w:val="00E06CF9"/>
    <w:rsid w:val="00E07F7B"/>
    <w:rsid w:val="00E10890"/>
    <w:rsid w:val="00E12E0F"/>
    <w:rsid w:val="00E1571E"/>
    <w:rsid w:val="00E15C5B"/>
    <w:rsid w:val="00E1761A"/>
    <w:rsid w:val="00E20E96"/>
    <w:rsid w:val="00E25774"/>
    <w:rsid w:val="00E25B24"/>
    <w:rsid w:val="00E27352"/>
    <w:rsid w:val="00E32EFD"/>
    <w:rsid w:val="00E33041"/>
    <w:rsid w:val="00E34127"/>
    <w:rsid w:val="00E34361"/>
    <w:rsid w:val="00E35993"/>
    <w:rsid w:val="00E375B1"/>
    <w:rsid w:val="00E40998"/>
    <w:rsid w:val="00E44060"/>
    <w:rsid w:val="00E44411"/>
    <w:rsid w:val="00E458DB"/>
    <w:rsid w:val="00E46C03"/>
    <w:rsid w:val="00E47DFB"/>
    <w:rsid w:val="00E54D9E"/>
    <w:rsid w:val="00E5594A"/>
    <w:rsid w:val="00E56B19"/>
    <w:rsid w:val="00E5791F"/>
    <w:rsid w:val="00E61DF7"/>
    <w:rsid w:val="00E65A5B"/>
    <w:rsid w:val="00E675EF"/>
    <w:rsid w:val="00E71F1D"/>
    <w:rsid w:val="00E73075"/>
    <w:rsid w:val="00E7453B"/>
    <w:rsid w:val="00E749FC"/>
    <w:rsid w:val="00E77957"/>
    <w:rsid w:val="00E84BDB"/>
    <w:rsid w:val="00E85FDE"/>
    <w:rsid w:val="00E86ACC"/>
    <w:rsid w:val="00E8740C"/>
    <w:rsid w:val="00E875A3"/>
    <w:rsid w:val="00E92D51"/>
    <w:rsid w:val="00E92DE5"/>
    <w:rsid w:val="00E932CC"/>
    <w:rsid w:val="00E94723"/>
    <w:rsid w:val="00E94A10"/>
    <w:rsid w:val="00E94C56"/>
    <w:rsid w:val="00E951C0"/>
    <w:rsid w:val="00E973AC"/>
    <w:rsid w:val="00E97B3B"/>
    <w:rsid w:val="00EA0562"/>
    <w:rsid w:val="00EA2747"/>
    <w:rsid w:val="00EA52DD"/>
    <w:rsid w:val="00EA6DB0"/>
    <w:rsid w:val="00EB63FE"/>
    <w:rsid w:val="00EC102F"/>
    <w:rsid w:val="00EC10FB"/>
    <w:rsid w:val="00EC5156"/>
    <w:rsid w:val="00EC5803"/>
    <w:rsid w:val="00EC7530"/>
    <w:rsid w:val="00EC7F18"/>
    <w:rsid w:val="00ED1D38"/>
    <w:rsid w:val="00ED4A6A"/>
    <w:rsid w:val="00ED55BC"/>
    <w:rsid w:val="00ED7B46"/>
    <w:rsid w:val="00ED7C5D"/>
    <w:rsid w:val="00EF1AF6"/>
    <w:rsid w:val="00EF43C6"/>
    <w:rsid w:val="00EF7C16"/>
    <w:rsid w:val="00F03C29"/>
    <w:rsid w:val="00F055F8"/>
    <w:rsid w:val="00F065A1"/>
    <w:rsid w:val="00F06B13"/>
    <w:rsid w:val="00F12885"/>
    <w:rsid w:val="00F12B4F"/>
    <w:rsid w:val="00F17996"/>
    <w:rsid w:val="00F20E66"/>
    <w:rsid w:val="00F23FE9"/>
    <w:rsid w:val="00F2425E"/>
    <w:rsid w:val="00F2668C"/>
    <w:rsid w:val="00F273E5"/>
    <w:rsid w:val="00F327BD"/>
    <w:rsid w:val="00F358C6"/>
    <w:rsid w:val="00F35DC5"/>
    <w:rsid w:val="00F37114"/>
    <w:rsid w:val="00F442EE"/>
    <w:rsid w:val="00F50CED"/>
    <w:rsid w:val="00F51EAF"/>
    <w:rsid w:val="00F51FF9"/>
    <w:rsid w:val="00F53892"/>
    <w:rsid w:val="00F5589B"/>
    <w:rsid w:val="00F5646B"/>
    <w:rsid w:val="00F564AF"/>
    <w:rsid w:val="00F648BC"/>
    <w:rsid w:val="00F65A35"/>
    <w:rsid w:val="00F65C63"/>
    <w:rsid w:val="00F71A0D"/>
    <w:rsid w:val="00F75AF6"/>
    <w:rsid w:val="00F76C99"/>
    <w:rsid w:val="00F805AF"/>
    <w:rsid w:val="00F8212F"/>
    <w:rsid w:val="00F82ED2"/>
    <w:rsid w:val="00F84BC8"/>
    <w:rsid w:val="00F84D44"/>
    <w:rsid w:val="00F86AD1"/>
    <w:rsid w:val="00F9073C"/>
    <w:rsid w:val="00F956B0"/>
    <w:rsid w:val="00F975B0"/>
    <w:rsid w:val="00FA0911"/>
    <w:rsid w:val="00FA2790"/>
    <w:rsid w:val="00FA279E"/>
    <w:rsid w:val="00FA59CA"/>
    <w:rsid w:val="00FA5F90"/>
    <w:rsid w:val="00FA7C14"/>
    <w:rsid w:val="00FB09D5"/>
    <w:rsid w:val="00FB3938"/>
    <w:rsid w:val="00FB5624"/>
    <w:rsid w:val="00FB6B1B"/>
    <w:rsid w:val="00FC3E50"/>
    <w:rsid w:val="00FC6EEA"/>
    <w:rsid w:val="00FD1088"/>
    <w:rsid w:val="00FD1CC4"/>
    <w:rsid w:val="00FD478D"/>
    <w:rsid w:val="00FE0B49"/>
    <w:rsid w:val="00FE3604"/>
    <w:rsid w:val="00FE3AD8"/>
    <w:rsid w:val="00FE684C"/>
    <w:rsid w:val="00FE7E42"/>
    <w:rsid w:val="00FF03A3"/>
    <w:rsid w:val="00FF1412"/>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apple-converted-space">
    <w:name w:val="apple-converted-space"/>
    <w:basedOn w:val="DefaultParagraphFont"/>
    <w:rsid w:val="00EC5803"/>
  </w:style>
  <w:style w:type="character" w:customStyle="1" w:styleId="markzzd37pnlr">
    <w:name w:val="markzzd37pnlr"/>
    <w:basedOn w:val="DefaultParagraphFont"/>
    <w:rsid w:val="00EC5803"/>
  </w:style>
  <w:style w:type="numbering" w:customStyle="1" w:styleId="CurrentList1">
    <w:name w:val="Current List1"/>
    <w:uiPriority w:val="99"/>
    <w:rsid w:val="00B84D89"/>
    <w:pPr>
      <w:numPr>
        <w:numId w:val="34"/>
      </w:numPr>
    </w:pPr>
  </w:style>
  <w:style w:type="paragraph" w:styleId="Revision">
    <w:name w:val="Revision"/>
    <w:hidden/>
    <w:uiPriority w:val="99"/>
    <w:semiHidden/>
    <w:rsid w:val="003B139B"/>
    <w:pPr>
      <w:spacing w:after="0" w:line="240" w:lineRule="auto"/>
    </w:pPr>
  </w:style>
  <w:style w:type="paragraph" w:styleId="EndnoteText">
    <w:name w:val="endnote text"/>
    <w:basedOn w:val="Normal"/>
    <w:link w:val="EndnoteTextChar"/>
    <w:uiPriority w:val="99"/>
    <w:semiHidden/>
    <w:unhideWhenUsed/>
    <w:rsid w:val="00CF45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454C"/>
    <w:rPr>
      <w:sz w:val="20"/>
      <w:szCs w:val="20"/>
    </w:rPr>
  </w:style>
  <w:style w:type="character" w:styleId="EndnoteReference">
    <w:name w:val="endnote reference"/>
    <w:basedOn w:val="DefaultParagraphFont"/>
    <w:uiPriority w:val="99"/>
    <w:semiHidden/>
    <w:unhideWhenUsed/>
    <w:rsid w:val="00CF454C"/>
    <w:rPr>
      <w:vertAlign w:val="superscript"/>
    </w:rPr>
  </w:style>
  <w:style w:type="character" w:customStyle="1" w:styleId="markedcontent">
    <w:name w:val="markedcontent"/>
    <w:basedOn w:val="DefaultParagraphFont"/>
    <w:rsid w:val="0023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17921917">
      <w:bodyDiv w:val="1"/>
      <w:marLeft w:val="0"/>
      <w:marRight w:val="0"/>
      <w:marTop w:val="0"/>
      <w:marBottom w:val="0"/>
      <w:divBdr>
        <w:top w:val="none" w:sz="0" w:space="0" w:color="auto"/>
        <w:left w:val="none" w:sz="0" w:space="0" w:color="auto"/>
        <w:bottom w:val="none" w:sz="0" w:space="0" w:color="auto"/>
        <w:right w:val="none" w:sz="0" w:space="0" w:color="auto"/>
      </w:divBdr>
    </w:div>
    <w:div w:id="339890994">
      <w:bodyDiv w:val="1"/>
      <w:marLeft w:val="0"/>
      <w:marRight w:val="0"/>
      <w:marTop w:val="0"/>
      <w:marBottom w:val="0"/>
      <w:divBdr>
        <w:top w:val="none" w:sz="0" w:space="0" w:color="auto"/>
        <w:left w:val="none" w:sz="0" w:space="0" w:color="auto"/>
        <w:bottom w:val="none" w:sz="0" w:space="0" w:color="auto"/>
        <w:right w:val="none" w:sz="0" w:space="0" w:color="auto"/>
      </w:divBdr>
    </w:div>
    <w:div w:id="446121816">
      <w:bodyDiv w:val="1"/>
      <w:marLeft w:val="0"/>
      <w:marRight w:val="0"/>
      <w:marTop w:val="0"/>
      <w:marBottom w:val="0"/>
      <w:divBdr>
        <w:top w:val="none" w:sz="0" w:space="0" w:color="auto"/>
        <w:left w:val="none" w:sz="0" w:space="0" w:color="auto"/>
        <w:bottom w:val="none" w:sz="0" w:space="0" w:color="auto"/>
        <w:right w:val="none" w:sz="0" w:space="0" w:color="auto"/>
      </w:divBdr>
    </w:div>
    <w:div w:id="507208112">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592861597">
      <w:bodyDiv w:val="1"/>
      <w:marLeft w:val="0"/>
      <w:marRight w:val="0"/>
      <w:marTop w:val="0"/>
      <w:marBottom w:val="0"/>
      <w:divBdr>
        <w:top w:val="none" w:sz="0" w:space="0" w:color="auto"/>
        <w:left w:val="none" w:sz="0" w:space="0" w:color="auto"/>
        <w:bottom w:val="none" w:sz="0" w:space="0" w:color="auto"/>
        <w:right w:val="none" w:sz="0" w:space="0" w:color="auto"/>
      </w:divBdr>
    </w:div>
    <w:div w:id="686827478">
      <w:bodyDiv w:val="1"/>
      <w:marLeft w:val="0"/>
      <w:marRight w:val="0"/>
      <w:marTop w:val="0"/>
      <w:marBottom w:val="0"/>
      <w:divBdr>
        <w:top w:val="none" w:sz="0" w:space="0" w:color="auto"/>
        <w:left w:val="none" w:sz="0" w:space="0" w:color="auto"/>
        <w:bottom w:val="none" w:sz="0" w:space="0" w:color="auto"/>
        <w:right w:val="none" w:sz="0" w:space="0" w:color="auto"/>
      </w:divBdr>
    </w:div>
    <w:div w:id="719524709">
      <w:bodyDiv w:val="1"/>
      <w:marLeft w:val="0"/>
      <w:marRight w:val="0"/>
      <w:marTop w:val="0"/>
      <w:marBottom w:val="0"/>
      <w:divBdr>
        <w:top w:val="none" w:sz="0" w:space="0" w:color="auto"/>
        <w:left w:val="none" w:sz="0" w:space="0" w:color="auto"/>
        <w:bottom w:val="none" w:sz="0" w:space="0" w:color="auto"/>
        <w:right w:val="none" w:sz="0" w:space="0" w:color="auto"/>
      </w:divBdr>
    </w:div>
    <w:div w:id="854198236">
      <w:bodyDiv w:val="1"/>
      <w:marLeft w:val="0"/>
      <w:marRight w:val="0"/>
      <w:marTop w:val="0"/>
      <w:marBottom w:val="0"/>
      <w:divBdr>
        <w:top w:val="none" w:sz="0" w:space="0" w:color="auto"/>
        <w:left w:val="none" w:sz="0" w:space="0" w:color="auto"/>
        <w:bottom w:val="none" w:sz="0" w:space="0" w:color="auto"/>
        <w:right w:val="none" w:sz="0" w:space="0" w:color="auto"/>
      </w:divBdr>
      <w:divsChild>
        <w:div w:id="335423225">
          <w:marLeft w:val="0"/>
          <w:marRight w:val="0"/>
          <w:marTop w:val="0"/>
          <w:marBottom w:val="0"/>
          <w:divBdr>
            <w:top w:val="none" w:sz="0" w:space="0" w:color="auto"/>
            <w:left w:val="none" w:sz="0" w:space="0" w:color="auto"/>
            <w:bottom w:val="none" w:sz="0" w:space="0" w:color="auto"/>
            <w:right w:val="none" w:sz="0" w:space="0" w:color="auto"/>
          </w:divBdr>
          <w:divsChild>
            <w:div w:id="1492721470">
              <w:marLeft w:val="0"/>
              <w:marRight w:val="0"/>
              <w:marTop w:val="0"/>
              <w:marBottom w:val="0"/>
              <w:divBdr>
                <w:top w:val="none" w:sz="0" w:space="0" w:color="auto"/>
                <w:left w:val="none" w:sz="0" w:space="0" w:color="auto"/>
                <w:bottom w:val="none" w:sz="0" w:space="0" w:color="auto"/>
                <w:right w:val="none" w:sz="0" w:space="0" w:color="auto"/>
              </w:divBdr>
              <w:divsChild>
                <w:div w:id="16385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78462">
      <w:bodyDiv w:val="1"/>
      <w:marLeft w:val="0"/>
      <w:marRight w:val="0"/>
      <w:marTop w:val="0"/>
      <w:marBottom w:val="0"/>
      <w:divBdr>
        <w:top w:val="none" w:sz="0" w:space="0" w:color="auto"/>
        <w:left w:val="none" w:sz="0" w:space="0" w:color="auto"/>
        <w:bottom w:val="none" w:sz="0" w:space="0" w:color="auto"/>
        <w:right w:val="none" w:sz="0" w:space="0" w:color="auto"/>
      </w:divBdr>
      <w:divsChild>
        <w:div w:id="1591347659">
          <w:marLeft w:val="0"/>
          <w:marRight w:val="0"/>
          <w:marTop w:val="0"/>
          <w:marBottom w:val="0"/>
          <w:divBdr>
            <w:top w:val="none" w:sz="0" w:space="0" w:color="auto"/>
            <w:left w:val="none" w:sz="0" w:space="0" w:color="auto"/>
            <w:bottom w:val="none" w:sz="0" w:space="0" w:color="auto"/>
            <w:right w:val="none" w:sz="0" w:space="0" w:color="auto"/>
          </w:divBdr>
          <w:divsChild>
            <w:div w:id="344215720">
              <w:marLeft w:val="0"/>
              <w:marRight w:val="0"/>
              <w:marTop w:val="0"/>
              <w:marBottom w:val="0"/>
              <w:divBdr>
                <w:top w:val="none" w:sz="0" w:space="0" w:color="auto"/>
                <w:left w:val="none" w:sz="0" w:space="0" w:color="auto"/>
                <w:bottom w:val="none" w:sz="0" w:space="0" w:color="auto"/>
                <w:right w:val="none" w:sz="0" w:space="0" w:color="auto"/>
              </w:divBdr>
              <w:divsChild>
                <w:div w:id="16562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2897">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5524931">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3011777">
      <w:bodyDiv w:val="1"/>
      <w:marLeft w:val="0"/>
      <w:marRight w:val="0"/>
      <w:marTop w:val="0"/>
      <w:marBottom w:val="0"/>
      <w:divBdr>
        <w:top w:val="none" w:sz="0" w:space="0" w:color="auto"/>
        <w:left w:val="none" w:sz="0" w:space="0" w:color="auto"/>
        <w:bottom w:val="none" w:sz="0" w:space="0" w:color="auto"/>
        <w:right w:val="none" w:sz="0" w:space="0" w:color="auto"/>
      </w:divBdr>
    </w:div>
    <w:div w:id="1527256038">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4365186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55260463">
      <w:bodyDiv w:val="1"/>
      <w:marLeft w:val="0"/>
      <w:marRight w:val="0"/>
      <w:marTop w:val="0"/>
      <w:marBottom w:val="0"/>
      <w:divBdr>
        <w:top w:val="none" w:sz="0" w:space="0" w:color="auto"/>
        <w:left w:val="none" w:sz="0" w:space="0" w:color="auto"/>
        <w:bottom w:val="none" w:sz="0" w:space="0" w:color="auto"/>
        <w:right w:val="none" w:sz="0" w:space="0" w:color="auto"/>
      </w:divBdr>
      <w:divsChild>
        <w:div w:id="1801679719">
          <w:marLeft w:val="0"/>
          <w:marRight w:val="0"/>
          <w:marTop w:val="0"/>
          <w:marBottom w:val="0"/>
          <w:divBdr>
            <w:top w:val="none" w:sz="0" w:space="0" w:color="auto"/>
            <w:left w:val="none" w:sz="0" w:space="0" w:color="auto"/>
            <w:bottom w:val="none" w:sz="0" w:space="0" w:color="auto"/>
            <w:right w:val="none" w:sz="0" w:space="0" w:color="auto"/>
          </w:divBdr>
          <w:divsChild>
            <w:div w:id="747771551">
              <w:marLeft w:val="0"/>
              <w:marRight w:val="0"/>
              <w:marTop w:val="0"/>
              <w:marBottom w:val="0"/>
              <w:divBdr>
                <w:top w:val="none" w:sz="0" w:space="0" w:color="auto"/>
                <w:left w:val="none" w:sz="0" w:space="0" w:color="auto"/>
                <w:bottom w:val="none" w:sz="0" w:space="0" w:color="auto"/>
                <w:right w:val="none" w:sz="0" w:space="0" w:color="auto"/>
              </w:divBdr>
              <w:divsChild>
                <w:div w:id="14219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33202415">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13</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228</cp:revision>
  <cp:lastPrinted>2022-04-08T14:57:00Z</cp:lastPrinted>
  <dcterms:created xsi:type="dcterms:W3CDTF">2022-09-15T16:56:00Z</dcterms:created>
  <dcterms:modified xsi:type="dcterms:W3CDTF">2022-09-28T12:27:00Z</dcterms:modified>
</cp:coreProperties>
</file>