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7ae4e8ccf50494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0195" w14:textId="77777777" w:rsidR="00D223EB" w:rsidRDefault="00D223EB" w:rsidP="00D223EB">
      <w:pPr>
        <w:jc w:val="center"/>
        <w:rPr>
          <w:rFonts w:ascii="Garamond" w:hAnsi="Garamond"/>
          <w:b/>
          <w:bCs/>
        </w:rPr>
      </w:pPr>
    </w:p>
    <w:p w14:paraId="1E6A601F" w14:textId="4603FE04" w:rsidR="00D223EB" w:rsidRPr="00B674EB" w:rsidRDefault="00D223EB" w:rsidP="00D223EB">
      <w:pPr>
        <w:jc w:val="center"/>
        <w:rPr>
          <w:rFonts w:cstheme="minorHAnsi"/>
          <w:b/>
          <w:bCs/>
          <w:sz w:val="24"/>
          <w:szCs w:val="24"/>
        </w:rPr>
      </w:pPr>
      <w:r w:rsidRPr="00B674EB">
        <w:rPr>
          <w:rFonts w:cstheme="minorHAnsi"/>
          <w:b/>
          <w:bCs/>
          <w:sz w:val="24"/>
          <w:szCs w:val="24"/>
        </w:rPr>
        <w:t xml:space="preserve">APPLICANT </w:t>
      </w:r>
      <w:r w:rsidR="00024F12">
        <w:rPr>
          <w:rFonts w:cstheme="minorHAnsi"/>
          <w:b/>
          <w:bCs/>
          <w:sz w:val="24"/>
          <w:szCs w:val="24"/>
        </w:rPr>
        <w:t>RESPONSES</w:t>
      </w:r>
    </w:p>
    <w:p w14:paraId="71F6355D" w14:textId="77777777" w:rsidR="00D223EB" w:rsidRPr="00B674EB" w:rsidRDefault="00D223EB" w:rsidP="00D223EB">
      <w:pPr>
        <w:jc w:val="center"/>
        <w:rPr>
          <w:rFonts w:cstheme="minorHAnsi"/>
          <w:sz w:val="24"/>
          <w:szCs w:val="24"/>
        </w:rPr>
      </w:pPr>
      <w:r w:rsidRPr="00B674EB">
        <w:rPr>
          <w:rFonts w:cstheme="minorHAnsi"/>
          <w:i/>
          <w:iCs/>
          <w:sz w:val="24"/>
          <w:szCs w:val="24"/>
        </w:rPr>
        <w:t xml:space="preserve">Responses should be sent to DoN staff at </w:t>
      </w:r>
      <w:hyperlink r:id="rId8" w:history="1">
        <w:r w:rsidRPr="00B674EB">
          <w:rPr>
            <w:rStyle w:val="Hyperlink"/>
            <w:rFonts w:cstheme="minorHAnsi"/>
            <w:sz w:val="24"/>
            <w:szCs w:val="24"/>
          </w:rPr>
          <w:t>DPH.DON@State.MA.US</w:t>
        </w:r>
      </w:hyperlink>
    </w:p>
    <w:tbl>
      <w:tblPr>
        <w:tblStyle w:val="TableGrid"/>
        <w:tblW w:w="0" w:type="auto"/>
        <w:jc w:val="center"/>
        <w:tblLook w:val="04A0" w:firstRow="1" w:lastRow="0" w:firstColumn="1" w:lastColumn="0" w:noHBand="0" w:noVBand="1"/>
      </w:tblPr>
      <w:tblGrid>
        <w:gridCol w:w="9350"/>
      </w:tblGrid>
      <w:tr w:rsidR="00D223EB" w:rsidRPr="00B674EB" w14:paraId="57106F2B" w14:textId="77777777" w:rsidTr="008B5D5E">
        <w:trPr>
          <w:jc w:val="center"/>
        </w:trPr>
        <w:tc>
          <w:tcPr>
            <w:tcW w:w="9350" w:type="dxa"/>
          </w:tcPr>
          <w:p w14:paraId="0D6A2228" w14:textId="77777777" w:rsidR="00D223EB" w:rsidRPr="00B674EB" w:rsidRDefault="00D223EB" w:rsidP="008B5D5E">
            <w:pPr>
              <w:rPr>
                <w:rFonts w:cstheme="minorHAnsi"/>
                <w:bCs/>
                <w:sz w:val="24"/>
                <w:szCs w:val="24"/>
              </w:rPr>
            </w:pPr>
            <w:r w:rsidRPr="00B674EB">
              <w:rPr>
                <w:rFonts w:cstheme="minorHAnsi"/>
                <w:bCs/>
                <w:sz w:val="24"/>
                <w:szCs w:val="24"/>
              </w:rPr>
              <w:t xml:space="preserve">While you may submit each answer as available, please </w:t>
            </w:r>
          </w:p>
          <w:p w14:paraId="3BAD0544" w14:textId="77777777" w:rsidR="00D223EB" w:rsidRPr="00B674EB" w:rsidRDefault="00D223EB" w:rsidP="00D223EB">
            <w:pPr>
              <w:pStyle w:val="ListParagraph"/>
              <w:numPr>
                <w:ilvl w:val="0"/>
                <w:numId w:val="4"/>
              </w:numPr>
              <w:rPr>
                <w:rFonts w:cstheme="minorHAnsi"/>
                <w:bCs/>
                <w:sz w:val="24"/>
                <w:szCs w:val="24"/>
              </w:rPr>
            </w:pPr>
            <w:r w:rsidRPr="00B674EB">
              <w:rPr>
                <w:rFonts w:cstheme="minorHAnsi"/>
                <w:bCs/>
                <w:sz w:val="24"/>
                <w:szCs w:val="24"/>
              </w:rPr>
              <w:t xml:space="preserve">List question number and question for each answer you provide </w:t>
            </w:r>
          </w:p>
          <w:p w14:paraId="77AFC609" w14:textId="77777777" w:rsidR="00D223EB" w:rsidRPr="00B674EB" w:rsidRDefault="00D223EB" w:rsidP="00D223EB">
            <w:pPr>
              <w:pStyle w:val="ListParagraph"/>
              <w:numPr>
                <w:ilvl w:val="0"/>
                <w:numId w:val="4"/>
              </w:numPr>
              <w:rPr>
                <w:rFonts w:cstheme="minorHAnsi"/>
                <w:bCs/>
                <w:sz w:val="24"/>
                <w:szCs w:val="24"/>
              </w:rPr>
            </w:pPr>
            <w:r w:rsidRPr="00B674EB">
              <w:rPr>
                <w:rFonts w:cstheme="minorHAnsi"/>
                <w:bCs/>
                <w:sz w:val="24"/>
                <w:szCs w:val="24"/>
              </w:rPr>
              <w:t xml:space="preserve">Submit responses as a separate word document, using the above application title and number as a running header and page numbers in the footer </w:t>
            </w:r>
          </w:p>
          <w:p w14:paraId="2D4D3A49" w14:textId="77777777" w:rsidR="00D223EB" w:rsidRPr="00B674EB" w:rsidRDefault="00D223EB" w:rsidP="00D223EB">
            <w:pPr>
              <w:pStyle w:val="ListParagraph"/>
              <w:numPr>
                <w:ilvl w:val="0"/>
                <w:numId w:val="4"/>
              </w:numPr>
              <w:rPr>
                <w:rFonts w:cstheme="minorHAnsi"/>
                <w:bCs/>
                <w:sz w:val="24"/>
                <w:szCs w:val="24"/>
              </w:rPr>
            </w:pPr>
            <w:r w:rsidRPr="00B674EB">
              <w:rPr>
                <w:rFonts w:cstheme="minorHAnsi"/>
                <w:bCs/>
                <w:sz w:val="24"/>
                <w:szCs w:val="24"/>
              </w:rPr>
              <w:t xml:space="preserve">When providing the answer to the final question, submit all questions and answers in one final document </w:t>
            </w:r>
          </w:p>
          <w:p w14:paraId="06C1D578" w14:textId="77777777" w:rsidR="00D223EB" w:rsidRPr="00B674EB" w:rsidRDefault="00D223EB" w:rsidP="00D223EB">
            <w:pPr>
              <w:pStyle w:val="ListParagraph"/>
              <w:numPr>
                <w:ilvl w:val="0"/>
                <w:numId w:val="4"/>
              </w:numPr>
              <w:rPr>
                <w:rFonts w:cstheme="minorHAnsi"/>
                <w:b/>
                <w:sz w:val="24"/>
                <w:szCs w:val="24"/>
              </w:rPr>
            </w:pPr>
            <w:r w:rsidRPr="00B674EB">
              <w:rPr>
                <w:rFonts w:cstheme="minorHAnsi"/>
                <w:bCs/>
                <w:sz w:val="24"/>
                <w:szCs w:val="24"/>
              </w:rPr>
              <w:t>Submit responses in WORD or EXCEL; only use PDF’s if absolutely necessary. If “cutting and pasting” charts, provide them in a PDF so they can be clearly seen</w:t>
            </w:r>
          </w:p>
          <w:p w14:paraId="552712FE" w14:textId="77777777" w:rsidR="00D223EB" w:rsidRPr="00B674EB" w:rsidRDefault="00D223EB" w:rsidP="00D223EB">
            <w:pPr>
              <w:pStyle w:val="ListParagraph"/>
              <w:numPr>
                <w:ilvl w:val="0"/>
                <w:numId w:val="4"/>
              </w:numPr>
              <w:rPr>
                <w:rFonts w:cstheme="minorHAnsi"/>
                <w:b/>
                <w:sz w:val="24"/>
                <w:szCs w:val="24"/>
              </w:rPr>
            </w:pPr>
            <w:r w:rsidRPr="00B674EB">
              <w:rPr>
                <w:rFonts w:cstheme="minorHAnsi"/>
                <w:b/>
                <w:sz w:val="24"/>
                <w:szCs w:val="24"/>
              </w:rPr>
              <w:t>Whenever possible, include a table with the response</w:t>
            </w:r>
          </w:p>
        </w:tc>
      </w:tr>
    </w:tbl>
    <w:p w14:paraId="2758094D" w14:textId="58005D3F" w:rsidR="00032FF5" w:rsidRDefault="00032FF5"/>
    <w:p w14:paraId="587A783E" w14:textId="1C7F6403" w:rsidR="00B674EB" w:rsidRPr="00024F12" w:rsidRDefault="00B674EB" w:rsidP="00B674EB">
      <w:pPr>
        <w:tabs>
          <w:tab w:val="left" w:pos="4455"/>
        </w:tabs>
        <w:jc w:val="center"/>
        <w:rPr>
          <w:rFonts w:cstheme="minorHAnsi"/>
          <w:b/>
          <w:bCs/>
        </w:rPr>
      </w:pPr>
      <w:proofErr w:type="gramStart"/>
      <w:r w:rsidRPr="00024F12">
        <w:rPr>
          <w:rFonts w:cstheme="minorHAnsi"/>
          <w:b/>
          <w:bCs/>
        </w:rPr>
        <w:t>In order to</w:t>
      </w:r>
      <w:proofErr w:type="gramEnd"/>
      <w:r w:rsidRPr="00024F12">
        <w:rPr>
          <w:rFonts w:cstheme="minorHAnsi"/>
          <w:b/>
          <w:bCs/>
        </w:rPr>
        <w:t xml:space="preserve"> remain on the timeline for this amendment please respond by 9/6.</w:t>
      </w:r>
    </w:p>
    <w:p w14:paraId="6D63D546" w14:textId="77777777" w:rsidR="00B674EB" w:rsidRPr="00024F12" w:rsidRDefault="00B674EB" w:rsidP="00B674EB">
      <w:pPr>
        <w:tabs>
          <w:tab w:val="left" w:pos="4455"/>
        </w:tabs>
        <w:rPr>
          <w:rFonts w:cstheme="minorHAnsi"/>
          <w:b/>
          <w:bCs/>
        </w:rPr>
      </w:pPr>
    </w:p>
    <w:p w14:paraId="29F9D26C" w14:textId="46BF6588" w:rsidR="00B674EB" w:rsidRPr="005E2DF1" w:rsidRDefault="00B674EB" w:rsidP="00B674EB">
      <w:pPr>
        <w:numPr>
          <w:ilvl w:val="0"/>
          <w:numId w:val="22"/>
        </w:numPr>
        <w:tabs>
          <w:tab w:val="left" w:pos="4455"/>
        </w:tabs>
        <w:rPr>
          <w:rFonts w:cstheme="minorHAnsi"/>
        </w:rPr>
      </w:pPr>
      <w:r w:rsidRPr="005E2DF1">
        <w:rPr>
          <w:rFonts w:cstheme="minorHAnsi"/>
        </w:rPr>
        <w:t>Please provide a citation for what the Holder describes as the” industry standard” of 85% occupancy rate.</w:t>
      </w:r>
    </w:p>
    <w:p w14:paraId="37A6E966" w14:textId="5A5A67D3" w:rsidR="005E2DF1" w:rsidRPr="005E2DF1" w:rsidRDefault="005E2DF1" w:rsidP="005E2DF1">
      <w:pPr>
        <w:pStyle w:val="ListParagraph"/>
        <w:autoSpaceDE w:val="0"/>
        <w:autoSpaceDN w:val="0"/>
        <w:rPr>
          <w:b/>
          <w:bCs/>
        </w:rPr>
      </w:pPr>
      <w:r w:rsidRPr="005E2DF1">
        <w:rPr>
          <w:b/>
          <w:bCs/>
        </w:rPr>
        <w:t>85% has been the target occupancy rate for large hospitals in the United States for close to 50 years.</w:t>
      </w:r>
      <w:r w:rsidRPr="005E2DF1">
        <w:rPr>
          <w:rStyle w:val="FootnoteReference"/>
          <w:b/>
          <w:bCs/>
        </w:rPr>
        <w:footnoteReference w:id="2"/>
      </w:r>
      <w:r w:rsidRPr="005E2DF1">
        <w:rPr>
          <w:b/>
          <w:bCs/>
        </w:rPr>
        <w:t xml:space="preserve"> More recently, 85% has been set by the British National Audit Office as the most efficient measure of occupancy.</w:t>
      </w:r>
      <w:r w:rsidRPr="005E2DF1">
        <w:rPr>
          <w:rStyle w:val="FootnoteReference"/>
          <w:b/>
          <w:bCs/>
        </w:rPr>
        <w:footnoteReference w:id="3"/>
      </w:r>
      <w:r w:rsidRPr="005E2DF1">
        <w:rPr>
          <w:b/>
          <w:bCs/>
        </w:rPr>
        <w:t xml:space="preserve"> Understanding that each hospital and each region is different, typically is it up to each hospital to establish an optimal occupancy benchmark. However, it has been established that risks to patient outcomes are discernible when occupancy exceeds 85%, as well as bed shortages and bed crises when occupancy exceeds 90%.</w:t>
      </w:r>
      <w:r w:rsidRPr="005E2DF1">
        <w:rPr>
          <w:rStyle w:val="FootnoteReference"/>
          <w:b/>
          <w:bCs/>
        </w:rPr>
        <w:footnoteReference w:id="4"/>
      </w:r>
    </w:p>
    <w:p w14:paraId="700A339A" w14:textId="5EAB7CA3" w:rsidR="00B674EB" w:rsidRDefault="00B674EB" w:rsidP="00B674EB">
      <w:pPr>
        <w:numPr>
          <w:ilvl w:val="0"/>
          <w:numId w:val="22"/>
        </w:numPr>
        <w:tabs>
          <w:tab w:val="left" w:pos="4455"/>
        </w:tabs>
        <w:rPr>
          <w:rFonts w:cstheme="minorHAnsi"/>
        </w:rPr>
      </w:pPr>
      <w:r w:rsidRPr="005E2DF1">
        <w:rPr>
          <w:rFonts w:cstheme="minorHAnsi"/>
        </w:rPr>
        <w:t xml:space="preserve">Explain why </w:t>
      </w:r>
      <w:proofErr w:type="gramStart"/>
      <w:r w:rsidRPr="005E2DF1">
        <w:rPr>
          <w:rFonts w:cstheme="minorHAnsi"/>
        </w:rPr>
        <w:t>all of</w:t>
      </w:r>
      <w:proofErr w:type="gramEnd"/>
      <w:r w:rsidRPr="005E2DF1">
        <w:rPr>
          <w:rFonts w:cstheme="minorHAnsi"/>
        </w:rPr>
        <w:t xml:space="preserve"> the licensed beds are not in operation at this time.</w:t>
      </w:r>
    </w:p>
    <w:p w14:paraId="73D95839" w14:textId="4FEE9E5B" w:rsidR="00C0215B" w:rsidRDefault="00A47694" w:rsidP="00C0215B">
      <w:pPr>
        <w:tabs>
          <w:tab w:val="left" w:pos="4455"/>
        </w:tabs>
        <w:ind w:left="720"/>
        <w:rPr>
          <w:rFonts w:cstheme="minorHAnsi"/>
          <w:b/>
          <w:bCs/>
        </w:rPr>
      </w:pPr>
      <w:r>
        <w:rPr>
          <w:rFonts w:cstheme="minorHAnsi"/>
          <w:b/>
          <w:bCs/>
        </w:rPr>
        <w:t xml:space="preserve">The 11 beds not in service </w:t>
      </w:r>
      <w:proofErr w:type="gramStart"/>
      <w:r>
        <w:rPr>
          <w:rFonts w:cstheme="minorHAnsi"/>
          <w:b/>
          <w:bCs/>
        </w:rPr>
        <w:t>are located in</w:t>
      </w:r>
      <w:proofErr w:type="gramEnd"/>
      <w:r>
        <w:rPr>
          <w:rFonts w:cstheme="minorHAnsi"/>
          <w:b/>
          <w:bCs/>
        </w:rPr>
        <w:t xml:space="preserve"> double, triple, and quadruple occupancy rooms. The beds have been taken out of service</w:t>
      </w:r>
      <w:r w:rsidR="00C71AC1">
        <w:rPr>
          <w:rFonts w:cstheme="minorHAnsi"/>
          <w:b/>
          <w:bCs/>
        </w:rPr>
        <w:t xml:space="preserve"> except for times of surge</w:t>
      </w:r>
      <w:r>
        <w:rPr>
          <w:rFonts w:cstheme="minorHAnsi"/>
          <w:b/>
          <w:bCs/>
        </w:rPr>
        <w:t xml:space="preserve"> due to issues of patient compatibly (age, gender, behavior) that prevent the beds from being used consistently. </w:t>
      </w:r>
      <w:r w:rsidR="00C71AC1">
        <w:rPr>
          <w:rFonts w:cstheme="minorHAnsi"/>
          <w:b/>
          <w:bCs/>
        </w:rPr>
        <w:t xml:space="preserve">This project will allow the hospital to permanently remove those beds from its license by replacing them with the proposed single </w:t>
      </w:r>
      <w:proofErr w:type="gramStart"/>
      <w:r w:rsidR="00C71AC1">
        <w:rPr>
          <w:rFonts w:cstheme="minorHAnsi"/>
          <w:b/>
          <w:bCs/>
        </w:rPr>
        <w:t>bed rooms</w:t>
      </w:r>
      <w:proofErr w:type="gramEnd"/>
      <w:r w:rsidR="00C71AC1">
        <w:rPr>
          <w:rFonts w:cstheme="minorHAnsi"/>
          <w:b/>
          <w:bCs/>
        </w:rPr>
        <w:t xml:space="preserve">. </w:t>
      </w:r>
    </w:p>
    <w:p w14:paraId="6B35D6D5" w14:textId="0B7F86F8" w:rsidR="00A47694" w:rsidRDefault="00A47694" w:rsidP="00C0215B">
      <w:pPr>
        <w:tabs>
          <w:tab w:val="left" w:pos="4455"/>
        </w:tabs>
        <w:ind w:left="720"/>
        <w:rPr>
          <w:rFonts w:cstheme="minorHAnsi"/>
          <w:b/>
          <w:bCs/>
        </w:rPr>
      </w:pPr>
    </w:p>
    <w:p w14:paraId="366986A0" w14:textId="095E7A40" w:rsidR="00A47694" w:rsidRDefault="00A47694" w:rsidP="00C0215B">
      <w:pPr>
        <w:tabs>
          <w:tab w:val="left" w:pos="4455"/>
        </w:tabs>
        <w:ind w:left="720"/>
        <w:rPr>
          <w:rFonts w:cstheme="minorHAnsi"/>
          <w:b/>
          <w:bCs/>
        </w:rPr>
      </w:pPr>
    </w:p>
    <w:p w14:paraId="08849FBA" w14:textId="62F05811" w:rsidR="00A47694" w:rsidRDefault="00A47694" w:rsidP="00C0215B">
      <w:pPr>
        <w:tabs>
          <w:tab w:val="left" w:pos="4455"/>
        </w:tabs>
        <w:ind w:left="720"/>
        <w:rPr>
          <w:rFonts w:cstheme="minorHAnsi"/>
          <w:b/>
          <w:bCs/>
        </w:rPr>
      </w:pPr>
    </w:p>
    <w:p w14:paraId="396F788A" w14:textId="77777777" w:rsidR="00A47694" w:rsidRPr="00A47694" w:rsidRDefault="00A47694" w:rsidP="00C0215B">
      <w:pPr>
        <w:tabs>
          <w:tab w:val="left" w:pos="4455"/>
        </w:tabs>
        <w:ind w:left="720"/>
        <w:rPr>
          <w:rFonts w:cstheme="minorHAnsi"/>
          <w:b/>
          <w:bCs/>
        </w:rPr>
      </w:pPr>
    </w:p>
    <w:p w14:paraId="526A87E4" w14:textId="5EAA4FAC" w:rsidR="00B674EB" w:rsidRPr="00024F12" w:rsidRDefault="00B674EB" w:rsidP="00B674EB">
      <w:pPr>
        <w:numPr>
          <w:ilvl w:val="0"/>
          <w:numId w:val="22"/>
        </w:numPr>
        <w:tabs>
          <w:tab w:val="left" w:pos="4455"/>
        </w:tabs>
        <w:rPr>
          <w:rFonts w:cstheme="minorHAnsi"/>
        </w:rPr>
      </w:pPr>
      <w:r w:rsidRPr="00024F12">
        <w:rPr>
          <w:rFonts w:cstheme="minorHAnsi"/>
        </w:rPr>
        <w:t>After describing the M/S increase in boarding time you state “The average boarding time has more than doubled from 2.2 hours in FY20 to 5.6 hours for the first five months of 2022.</w:t>
      </w:r>
      <w:r w:rsidR="005E2DF1">
        <w:rPr>
          <w:rFonts w:cstheme="minorHAnsi"/>
        </w:rPr>
        <w:t xml:space="preserve"> </w:t>
      </w:r>
      <w:r w:rsidRPr="00024F12">
        <w:rPr>
          <w:rFonts w:cstheme="minorHAnsi"/>
        </w:rPr>
        <w:t>“For these statistics are you referring to the overall average boarding time for all patients, including BH, M/S, any other?</w:t>
      </w:r>
    </w:p>
    <w:p w14:paraId="26D5D160" w14:textId="3D842ADD" w:rsidR="00024F12" w:rsidRPr="00024F12" w:rsidRDefault="00024F12" w:rsidP="00024F12">
      <w:pPr>
        <w:pStyle w:val="ListParagraph"/>
        <w:jc w:val="both"/>
        <w:rPr>
          <w:rFonts w:cstheme="minorHAnsi"/>
          <w:b/>
          <w:bCs/>
        </w:rPr>
      </w:pPr>
      <w:r w:rsidRPr="00024F12">
        <w:rPr>
          <w:rFonts w:cstheme="minorHAnsi"/>
          <w:b/>
          <w:bCs/>
        </w:rPr>
        <w:t>The statistics only include ED patients who were admitted to a med/surg bed following their ED visit. Patients that were admitted from our ED to a psychiatric, obstetric, or nursery unit were excluded from the statistics.</w:t>
      </w:r>
    </w:p>
    <w:p w14:paraId="5BEC13DD" w14:textId="58AA545C" w:rsidR="00B674EB" w:rsidRPr="00024F12" w:rsidRDefault="00B674EB" w:rsidP="00B674EB">
      <w:pPr>
        <w:numPr>
          <w:ilvl w:val="0"/>
          <w:numId w:val="22"/>
        </w:numPr>
        <w:tabs>
          <w:tab w:val="left" w:pos="4455"/>
        </w:tabs>
        <w:rPr>
          <w:rFonts w:cstheme="minorHAnsi"/>
        </w:rPr>
      </w:pPr>
      <w:r w:rsidRPr="00024F12">
        <w:rPr>
          <w:rFonts w:cstheme="minorHAnsi"/>
        </w:rPr>
        <w:t>The regulation requires that a Holder submit a description of the proposed change along with associated cost implications. Pl</w:t>
      </w:r>
      <w:r w:rsidR="00024F12" w:rsidRPr="00024F12">
        <w:rPr>
          <w:rFonts w:cstheme="minorHAnsi"/>
        </w:rPr>
        <w:t>ease</w:t>
      </w:r>
      <w:r w:rsidRPr="00024F12">
        <w:rPr>
          <w:rFonts w:cstheme="minorHAnsi"/>
        </w:rPr>
        <w:t xml:space="preserve"> provide more detail on the impact on all capital cost using the capital cost tables 4ai and 4aii for clarity.</w:t>
      </w:r>
    </w:p>
    <w:p w14:paraId="19732FF5" w14:textId="00CDBC7E" w:rsidR="00024F12" w:rsidRPr="00024F12" w:rsidRDefault="00024F12" w:rsidP="00024F12">
      <w:pPr>
        <w:tabs>
          <w:tab w:val="left" w:pos="4455"/>
        </w:tabs>
        <w:ind w:left="720"/>
        <w:rPr>
          <w:rFonts w:cstheme="minorHAnsi"/>
          <w:b/>
          <w:bCs/>
        </w:rPr>
      </w:pPr>
      <w:r w:rsidRPr="00024F12">
        <w:rPr>
          <w:rFonts w:cstheme="minorHAnsi"/>
          <w:b/>
          <w:bCs/>
        </w:rPr>
        <w:t>See attached</w:t>
      </w:r>
      <w:r>
        <w:rPr>
          <w:rFonts w:cstheme="minorHAnsi"/>
          <w:b/>
          <w:bCs/>
        </w:rPr>
        <w:t xml:space="preserve"> Excel attachment</w:t>
      </w:r>
      <w:r w:rsidRPr="00024F12">
        <w:rPr>
          <w:rFonts w:cstheme="minorHAnsi"/>
          <w:b/>
          <w:bCs/>
        </w:rPr>
        <w:t xml:space="preserve">. </w:t>
      </w:r>
    </w:p>
    <w:p w14:paraId="0AC2DD8E" w14:textId="71CCFA0E" w:rsidR="00B674EB" w:rsidRPr="005E2DF1" w:rsidRDefault="00B674EB" w:rsidP="00B674EB">
      <w:pPr>
        <w:numPr>
          <w:ilvl w:val="0"/>
          <w:numId w:val="22"/>
        </w:numPr>
        <w:tabs>
          <w:tab w:val="left" w:pos="4455"/>
        </w:tabs>
        <w:rPr>
          <w:rFonts w:cstheme="minorHAnsi"/>
        </w:rPr>
      </w:pPr>
      <w:r w:rsidRPr="005E2DF1">
        <w:rPr>
          <w:rFonts w:cstheme="minorHAnsi"/>
        </w:rPr>
        <w:t>Pl</w:t>
      </w:r>
      <w:r w:rsidR="00024F12" w:rsidRPr="005E2DF1">
        <w:rPr>
          <w:rFonts w:cstheme="minorHAnsi"/>
        </w:rPr>
        <w:t>ease</w:t>
      </w:r>
      <w:r w:rsidRPr="005E2DF1">
        <w:rPr>
          <w:rFonts w:cstheme="minorHAnsi"/>
        </w:rPr>
        <w:t xml:space="preserve"> provide an accounting of the use of the originally approved shell space GSF. (</w:t>
      </w:r>
      <w:r w:rsidR="00024F12" w:rsidRPr="005E2DF1">
        <w:rPr>
          <w:rFonts w:cstheme="minorHAnsi"/>
        </w:rPr>
        <w:t>T</w:t>
      </w:r>
      <w:r w:rsidRPr="005E2DF1">
        <w:rPr>
          <w:rFonts w:cstheme="minorHAnsi"/>
        </w:rPr>
        <w:t>able 4ai)</w:t>
      </w:r>
    </w:p>
    <w:p w14:paraId="70BA4303" w14:textId="01D672C2" w:rsidR="00B674EB" w:rsidRPr="00024F12" w:rsidRDefault="00B674EB" w:rsidP="00B674EB">
      <w:pPr>
        <w:numPr>
          <w:ilvl w:val="0"/>
          <w:numId w:val="23"/>
        </w:numPr>
        <w:tabs>
          <w:tab w:val="left" w:pos="4455"/>
        </w:tabs>
        <w:rPr>
          <w:rFonts w:cstheme="minorHAnsi"/>
        </w:rPr>
      </w:pPr>
      <w:r w:rsidRPr="00024F12">
        <w:rPr>
          <w:rFonts w:cstheme="minorHAnsi"/>
        </w:rPr>
        <w:t>What has been already used and for what purposes.</w:t>
      </w:r>
      <w:r w:rsidR="00C0215B">
        <w:rPr>
          <w:rFonts w:cstheme="minorHAnsi"/>
        </w:rPr>
        <w:t xml:space="preserve"> </w:t>
      </w:r>
      <w:r w:rsidR="00C0215B">
        <w:rPr>
          <w:rFonts w:cstheme="minorHAnsi"/>
          <w:b/>
          <w:bCs/>
        </w:rPr>
        <w:t xml:space="preserve">In 2018, the Applicant obtained </w:t>
      </w:r>
      <w:r w:rsidR="00C71AC1">
        <w:rPr>
          <w:rFonts w:cstheme="minorHAnsi"/>
          <w:b/>
          <w:bCs/>
        </w:rPr>
        <w:t xml:space="preserve">DoN </w:t>
      </w:r>
      <w:r w:rsidR="00C0215B">
        <w:rPr>
          <w:rFonts w:cstheme="minorHAnsi"/>
          <w:b/>
          <w:bCs/>
        </w:rPr>
        <w:t>approval to build out 18,626 GSF of</w:t>
      </w:r>
      <w:r w:rsidR="00C71AC1">
        <w:rPr>
          <w:rFonts w:cstheme="minorHAnsi"/>
          <w:b/>
          <w:bCs/>
        </w:rPr>
        <w:t xml:space="preserve"> the approved shell</w:t>
      </w:r>
      <w:r w:rsidR="00C0215B">
        <w:rPr>
          <w:rFonts w:cstheme="minorHAnsi"/>
          <w:b/>
          <w:bCs/>
        </w:rPr>
        <w:t xml:space="preserve"> space for the construction of 30 inpatient psychiatric beds. </w:t>
      </w:r>
    </w:p>
    <w:p w14:paraId="34A9AD4C" w14:textId="26E78632" w:rsidR="00B674EB" w:rsidRPr="00024F12" w:rsidRDefault="00B674EB" w:rsidP="00B674EB">
      <w:pPr>
        <w:numPr>
          <w:ilvl w:val="0"/>
          <w:numId w:val="23"/>
        </w:numPr>
        <w:tabs>
          <w:tab w:val="left" w:pos="4455"/>
        </w:tabs>
        <w:rPr>
          <w:rFonts w:cstheme="minorHAnsi"/>
        </w:rPr>
      </w:pPr>
      <w:r w:rsidRPr="00024F12">
        <w:rPr>
          <w:rFonts w:cstheme="minorHAnsi"/>
        </w:rPr>
        <w:t>What is the projected GSF to be used up with this Amendment</w:t>
      </w:r>
      <w:r w:rsidR="00C0215B">
        <w:rPr>
          <w:rFonts w:cstheme="minorHAnsi"/>
        </w:rPr>
        <w:t xml:space="preserve">? </w:t>
      </w:r>
      <w:r w:rsidR="00C0215B">
        <w:rPr>
          <w:rFonts w:cstheme="minorHAnsi"/>
          <w:b/>
          <w:bCs/>
        </w:rPr>
        <w:t>19,665</w:t>
      </w:r>
    </w:p>
    <w:p w14:paraId="6C6A02F7" w14:textId="0260F256" w:rsidR="00B674EB" w:rsidRPr="00024F12" w:rsidRDefault="00B674EB" w:rsidP="00B674EB">
      <w:pPr>
        <w:numPr>
          <w:ilvl w:val="0"/>
          <w:numId w:val="23"/>
        </w:numPr>
        <w:tabs>
          <w:tab w:val="left" w:pos="4455"/>
        </w:tabs>
        <w:rPr>
          <w:rFonts w:cstheme="minorHAnsi"/>
        </w:rPr>
      </w:pPr>
      <w:r w:rsidRPr="00024F12">
        <w:rPr>
          <w:rFonts w:cstheme="minorHAnsi"/>
        </w:rPr>
        <w:t>Does this Amendment complete the buildout of the approved shell space?</w:t>
      </w:r>
      <w:r w:rsidR="00C0215B">
        <w:rPr>
          <w:rFonts w:cstheme="minorHAnsi"/>
        </w:rPr>
        <w:t xml:space="preserve"> </w:t>
      </w:r>
      <w:r w:rsidR="00C0215B">
        <w:rPr>
          <w:rFonts w:cstheme="minorHAnsi"/>
          <w:b/>
          <w:bCs/>
        </w:rPr>
        <w:t xml:space="preserve">Yes. </w:t>
      </w:r>
    </w:p>
    <w:p w14:paraId="57EB74AA" w14:textId="371EA14E" w:rsidR="00E0307B" w:rsidRDefault="00E0307B" w:rsidP="007F6742">
      <w:pPr>
        <w:tabs>
          <w:tab w:val="left" w:pos="4455"/>
        </w:tabs>
        <w:rPr>
          <w:b/>
          <w:bCs/>
          <w:sz w:val="28"/>
          <w:szCs w:val="28"/>
        </w:rPr>
      </w:pPr>
    </w:p>
    <w:sectPr w:rsidR="00E0307B" w:rsidSect="004B678F">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22E8E" w14:textId="77777777" w:rsidR="00DE4F0A" w:rsidRDefault="00DE4F0A" w:rsidP="00231103">
      <w:pPr>
        <w:spacing w:after="0" w:line="240" w:lineRule="auto"/>
      </w:pPr>
      <w:r>
        <w:separator/>
      </w:r>
    </w:p>
  </w:endnote>
  <w:endnote w:type="continuationSeparator" w:id="0">
    <w:p w14:paraId="1E78D02F" w14:textId="77777777" w:rsidR="00DE4F0A" w:rsidRDefault="00DE4F0A" w:rsidP="00231103">
      <w:pPr>
        <w:spacing w:after="0" w:line="240" w:lineRule="auto"/>
      </w:pPr>
      <w:r>
        <w:continuationSeparator/>
      </w:r>
    </w:p>
  </w:endnote>
  <w:endnote w:type="continuationNotice" w:id="1">
    <w:p w14:paraId="30CA47EB" w14:textId="77777777" w:rsidR="00DE4F0A" w:rsidRDefault="00DE4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948E" w14:textId="77777777" w:rsidR="00B674EB" w:rsidRDefault="00B67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80AD" w14:textId="77777777" w:rsidR="00B674EB" w:rsidRDefault="00B67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6D45" w14:textId="77777777" w:rsidR="00DE4F0A" w:rsidRDefault="00DE4F0A" w:rsidP="00231103">
      <w:pPr>
        <w:spacing w:after="0" w:line="240" w:lineRule="auto"/>
      </w:pPr>
      <w:r>
        <w:separator/>
      </w:r>
    </w:p>
  </w:footnote>
  <w:footnote w:type="continuationSeparator" w:id="0">
    <w:p w14:paraId="6D632817" w14:textId="77777777" w:rsidR="00DE4F0A" w:rsidRDefault="00DE4F0A" w:rsidP="00231103">
      <w:pPr>
        <w:spacing w:after="0" w:line="240" w:lineRule="auto"/>
      </w:pPr>
      <w:r>
        <w:continuationSeparator/>
      </w:r>
    </w:p>
  </w:footnote>
  <w:footnote w:type="continuationNotice" w:id="1">
    <w:p w14:paraId="4DE34EDE" w14:textId="77777777" w:rsidR="00DE4F0A" w:rsidRDefault="00DE4F0A">
      <w:pPr>
        <w:spacing w:after="0" w:line="240" w:lineRule="auto"/>
      </w:pPr>
    </w:p>
  </w:footnote>
  <w:footnote w:id="2">
    <w:p w14:paraId="15561E1D" w14:textId="4D54CAF7" w:rsidR="005E2DF1" w:rsidRPr="005E2DF1" w:rsidRDefault="005E2DF1" w:rsidP="005E2DF1">
      <w:pPr>
        <w:autoSpaceDE w:val="0"/>
        <w:autoSpaceDN w:val="0"/>
        <w:spacing w:after="0" w:line="240" w:lineRule="auto"/>
        <w:rPr>
          <w:rFonts w:cstheme="minorHAnsi"/>
          <w:color w:val="131413"/>
          <w:sz w:val="18"/>
          <w:szCs w:val="18"/>
        </w:rPr>
      </w:pPr>
      <w:r w:rsidRPr="005E2DF1">
        <w:rPr>
          <w:rStyle w:val="FootnoteReference"/>
          <w:rFonts w:cstheme="minorHAnsi"/>
          <w:sz w:val="18"/>
          <w:szCs w:val="18"/>
        </w:rPr>
        <w:footnoteRef/>
      </w:r>
      <w:r w:rsidRPr="005E2DF1">
        <w:rPr>
          <w:rFonts w:cstheme="minorHAnsi"/>
          <w:color w:val="131413"/>
          <w:sz w:val="18"/>
          <w:szCs w:val="18"/>
        </w:rPr>
        <w:t xml:space="preserve"> Green LV. How many hospital beds? INQUIRY. J Health Care Organization, Provision, and Financing. 2002;39(4):400–12</w:t>
      </w:r>
    </w:p>
  </w:footnote>
  <w:footnote w:id="3">
    <w:p w14:paraId="2893B245" w14:textId="37A5C6EF" w:rsidR="005E2DF1" w:rsidRPr="005E2DF1" w:rsidRDefault="005E2DF1" w:rsidP="005E2DF1">
      <w:pPr>
        <w:spacing w:after="0" w:line="240" w:lineRule="auto"/>
        <w:rPr>
          <w:rFonts w:cstheme="minorHAnsi"/>
          <w:color w:val="333333"/>
          <w:sz w:val="18"/>
          <w:szCs w:val="18"/>
          <w:shd w:val="clear" w:color="auto" w:fill="FCFCFC"/>
        </w:rPr>
      </w:pPr>
      <w:r w:rsidRPr="005E2DF1">
        <w:rPr>
          <w:rStyle w:val="FootnoteReference"/>
          <w:rFonts w:cstheme="minorHAnsi"/>
          <w:sz w:val="18"/>
          <w:szCs w:val="18"/>
        </w:rPr>
        <w:footnoteRef/>
      </w:r>
      <w:r w:rsidRPr="005E2DF1">
        <w:rPr>
          <w:rFonts w:cstheme="minorHAnsi"/>
          <w:sz w:val="18"/>
          <w:szCs w:val="18"/>
        </w:rPr>
        <w:t xml:space="preserve"> “</w:t>
      </w:r>
      <w:r w:rsidRPr="005E2DF1">
        <w:rPr>
          <w:rFonts w:cstheme="minorHAnsi"/>
          <w:color w:val="333333"/>
          <w:sz w:val="18"/>
          <w:szCs w:val="18"/>
          <w:shd w:val="clear" w:color="auto" w:fill="FCFCFC"/>
        </w:rPr>
        <w:t xml:space="preserve">According to the National Audit Office, bed occupancy rates are deemed efficient if around 85%, while rates above this level might lead to periodic bed shortages and levels exceeding 90% may prompt regular bed crises.” </w:t>
      </w:r>
    </w:p>
    <w:p w14:paraId="5241501D" w14:textId="7983B6AD" w:rsidR="005E2DF1" w:rsidRPr="005E2DF1" w:rsidRDefault="00C71AC1" w:rsidP="005E2DF1">
      <w:pPr>
        <w:spacing w:after="0" w:line="240" w:lineRule="auto"/>
        <w:rPr>
          <w:rFonts w:cstheme="minorHAnsi"/>
          <w:sz w:val="18"/>
          <w:szCs w:val="18"/>
        </w:rPr>
      </w:pPr>
      <w:hyperlink r:id="rId1" w:history="1">
        <w:r w:rsidR="005E2DF1" w:rsidRPr="005E2DF1">
          <w:rPr>
            <w:rStyle w:val="Hyperlink"/>
            <w:rFonts w:cstheme="minorHAnsi"/>
            <w:sz w:val="18"/>
            <w:szCs w:val="18"/>
          </w:rPr>
          <w:t>https://link.springer.com/article/10.1007/s10198-022-01464-8</w:t>
        </w:r>
      </w:hyperlink>
    </w:p>
  </w:footnote>
  <w:footnote w:id="4">
    <w:p w14:paraId="3E8EB746" w14:textId="77777777" w:rsidR="005E2DF1" w:rsidRPr="005E2DF1" w:rsidRDefault="005E2DF1" w:rsidP="005E2DF1">
      <w:pPr>
        <w:autoSpaceDE w:val="0"/>
        <w:autoSpaceDN w:val="0"/>
        <w:spacing w:after="0" w:line="240" w:lineRule="auto"/>
        <w:rPr>
          <w:rFonts w:cstheme="minorHAnsi"/>
          <w:color w:val="131413"/>
          <w:sz w:val="18"/>
          <w:szCs w:val="18"/>
        </w:rPr>
      </w:pPr>
      <w:r w:rsidRPr="005E2DF1">
        <w:rPr>
          <w:rStyle w:val="FootnoteReference"/>
          <w:rFonts w:cstheme="minorHAnsi"/>
          <w:sz w:val="18"/>
          <w:szCs w:val="18"/>
        </w:rPr>
        <w:footnoteRef/>
      </w:r>
      <w:r w:rsidRPr="005E2DF1">
        <w:rPr>
          <w:rFonts w:cstheme="minorHAnsi"/>
          <w:sz w:val="18"/>
          <w:szCs w:val="18"/>
        </w:rPr>
        <w:t xml:space="preserve"> </w:t>
      </w:r>
      <w:proofErr w:type="spellStart"/>
      <w:r w:rsidRPr="005E2DF1">
        <w:rPr>
          <w:rFonts w:cstheme="minorHAnsi"/>
          <w:color w:val="131413"/>
          <w:sz w:val="18"/>
          <w:szCs w:val="18"/>
        </w:rPr>
        <w:t>Bagust</w:t>
      </w:r>
      <w:proofErr w:type="spellEnd"/>
      <w:r w:rsidRPr="005E2DF1">
        <w:rPr>
          <w:rFonts w:cstheme="minorHAnsi"/>
          <w:color w:val="131413"/>
          <w:sz w:val="18"/>
          <w:szCs w:val="18"/>
        </w:rPr>
        <w:t xml:space="preserve">, A. Dynamics of bed use in accommodating emergency admissions: stochastic simulation model. York Health Economics Consortium. </w:t>
      </w:r>
      <w:proofErr w:type="gramStart"/>
      <w:r w:rsidRPr="005E2DF1">
        <w:rPr>
          <w:rFonts w:cstheme="minorHAnsi"/>
          <w:color w:val="131413"/>
          <w:sz w:val="18"/>
          <w:szCs w:val="18"/>
        </w:rPr>
        <w:t>1999;319:155</w:t>
      </w:r>
      <w:proofErr w:type="gramEnd"/>
      <w:r w:rsidRPr="005E2DF1">
        <w:rPr>
          <w:rFonts w:cstheme="minorHAnsi"/>
          <w:color w:val="131413"/>
          <w:sz w:val="18"/>
          <w:szCs w:val="18"/>
        </w:rPr>
        <w:t>-8</w:t>
      </w:r>
    </w:p>
    <w:p w14:paraId="277CC784" w14:textId="0419D7AB" w:rsidR="005E2DF1" w:rsidRDefault="005E2DF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BC28" w14:textId="71B30488" w:rsidR="004C3AB7" w:rsidRDefault="004C3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D839" w14:textId="7BC1C39F" w:rsidR="003C3B18" w:rsidRPr="00D223EB" w:rsidRDefault="008F64D8" w:rsidP="00D223EB">
    <w:pPr>
      <w:pStyle w:val="Header"/>
      <w:pBdr>
        <w:bottom w:val="single" w:sz="4" w:space="1" w:color="auto"/>
      </w:pBdr>
      <w:jc w:val="center"/>
      <w:rPr>
        <w:b/>
        <w:bCs/>
        <w:sz w:val="28"/>
        <w:szCs w:val="28"/>
      </w:rPr>
    </w:pPr>
    <w:r>
      <w:rPr>
        <w:b/>
        <w:bCs/>
        <w:sz w:val="28"/>
        <w:szCs w:val="28"/>
      </w:rPr>
      <w:t>MGB-NorthShore Medical Center Amendment #3</w:t>
    </w:r>
  </w:p>
  <w:p w14:paraId="78DC6D8E" w14:textId="275CC9ED" w:rsidR="00D223EB" w:rsidRPr="00D223EB" w:rsidRDefault="008F64D8" w:rsidP="008F64D8">
    <w:pPr>
      <w:pStyle w:val="Header"/>
      <w:pBdr>
        <w:bottom w:val="single" w:sz="4" w:space="1" w:color="auto"/>
      </w:pBdr>
      <w:jc w:val="center"/>
      <w:rPr>
        <w:sz w:val="28"/>
        <w:szCs w:val="28"/>
      </w:rPr>
    </w:pPr>
    <w:r w:rsidRPr="008F64D8">
      <w:rPr>
        <w:sz w:val="28"/>
        <w:szCs w:val="28"/>
      </w:rPr>
      <w:t>DoN Application # MGB-22080909-AM</w:t>
    </w:r>
    <w:r>
      <w:rPr>
        <w:sz w:val="28"/>
        <w:szCs w:val="28"/>
      </w:rPr>
      <w:t xml:space="preserve"> (6-3C46)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5111" w14:textId="7AB44B20" w:rsidR="004C3AB7" w:rsidRDefault="004C3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F769C"/>
    <w:multiLevelType w:val="hybridMultilevel"/>
    <w:tmpl w:val="19F05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524A5"/>
    <w:multiLevelType w:val="hybridMultilevel"/>
    <w:tmpl w:val="18E2E4C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D4693B"/>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20"/>
  </w:num>
  <w:num w:numId="4">
    <w:abstractNumId w:val="5"/>
  </w:num>
  <w:num w:numId="5">
    <w:abstractNumId w:val="17"/>
  </w:num>
  <w:num w:numId="6">
    <w:abstractNumId w:val="11"/>
  </w:num>
  <w:num w:numId="7">
    <w:abstractNumId w:val="6"/>
  </w:num>
  <w:num w:numId="8">
    <w:abstractNumId w:val="3"/>
  </w:num>
  <w:num w:numId="9">
    <w:abstractNumId w:val="9"/>
  </w:num>
  <w:num w:numId="10">
    <w:abstractNumId w:val="16"/>
  </w:num>
  <w:num w:numId="11">
    <w:abstractNumId w:val="10"/>
  </w:num>
  <w:num w:numId="12">
    <w:abstractNumId w:val="14"/>
  </w:num>
  <w:num w:numId="13">
    <w:abstractNumId w:val="4"/>
  </w:num>
  <w:num w:numId="14">
    <w:abstractNumId w:val="7"/>
  </w:num>
  <w:num w:numId="15">
    <w:abstractNumId w:val="19"/>
  </w:num>
  <w:num w:numId="16">
    <w:abstractNumId w:val="2"/>
  </w:num>
  <w:num w:numId="17">
    <w:abstractNumId w:val="8"/>
  </w:num>
  <w:num w:numId="18">
    <w:abstractNumId w:val="1"/>
  </w:num>
  <w:num w:numId="19">
    <w:abstractNumId w:val="0"/>
  </w:num>
  <w:num w:numId="20">
    <w:abstractNumId w:val="21"/>
  </w:num>
  <w:num w:numId="21">
    <w:abstractNumId w:val="1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5930"/>
    <w:rsid w:val="00012264"/>
    <w:rsid w:val="00012279"/>
    <w:rsid w:val="00021A01"/>
    <w:rsid w:val="00024F12"/>
    <w:rsid w:val="00025521"/>
    <w:rsid w:val="0003012E"/>
    <w:rsid w:val="00032FF5"/>
    <w:rsid w:val="00040965"/>
    <w:rsid w:val="000413D6"/>
    <w:rsid w:val="0004645C"/>
    <w:rsid w:val="00054FF4"/>
    <w:rsid w:val="00055F9E"/>
    <w:rsid w:val="00063414"/>
    <w:rsid w:val="00064206"/>
    <w:rsid w:val="0006445F"/>
    <w:rsid w:val="00071162"/>
    <w:rsid w:val="00073DC9"/>
    <w:rsid w:val="00074092"/>
    <w:rsid w:val="000766DC"/>
    <w:rsid w:val="00076CB2"/>
    <w:rsid w:val="00080AC6"/>
    <w:rsid w:val="000826CB"/>
    <w:rsid w:val="0008493D"/>
    <w:rsid w:val="000862E1"/>
    <w:rsid w:val="00091C4C"/>
    <w:rsid w:val="00095621"/>
    <w:rsid w:val="000A691D"/>
    <w:rsid w:val="000A7A45"/>
    <w:rsid w:val="000B1D01"/>
    <w:rsid w:val="000C7F71"/>
    <w:rsid w:val="000E2F30"/>
    <w:rsid w:val="000E3622"/>
    <w:rsid w:val="000F5CC4"/>
    <w:rsid w:val="001017F6"/>
    <w:rsid w:val="00104288"/>
    <w:rsid w:val="00106D23"/>
    <w:rsid w:val="00112E92"/>
    <w:rsid w:val="00122099"/>
    <w:rsid w:val="0012232D"/>
    <w:rsid w:val="00123EE2"/>
    <w:rsid w:val="00125F6B"/>
    <w:rsid w:val="00137A46"/>
    <w:rsid w:val="001459CB"/>
    <w:rsid w:val="00152CFB"/>
    <w:rsid w:val="00154A10"/>
    <w:rsid w:val="00166158"/>
    <w:rsid w:val="001701AE"/>
    <w:rsid w:val="00174CFB"/>
    <w:rsid w:val="00176547"/>
    <w:rsid w:val="00176C56"/>
    <w:rsid w:val="00180580"/>
    <w:rsid w:val="00182533"/>
    <w:rsid w:val="00185A10"/>
    <w:rsid w:val="00190646"/>
    <w:rsid w:val="0019184A"/>
    <w:rsid w:val="00191B78"/>
    <w:rsid w:val="00191DAC"/>
    <w:rsid w:val="00192CFC"/>
    <w:rsid w:val="00193CD7"/>
    <w:rsid w:val="001A11D0"/>
    <w:rsid w:val="001A511B"/>
    <w:rsid w:val="001A66A9"/>
    <w:rsid w:val="001B3A91"/>
    <w:rsid w:val="001B517F"/>
    <w:rsid w:val="001B7F98"/>
    <w:rsid w:val="001C2783"/>
    <w:rsid w:val="001C5BF3"/>
    <w:rsid w:val="001D0111"/>
    <w:rsid w:val="001D01BF"/>
    <w:rsid w:val="001D1521"/>
    <w:rsid w:val="001D1813"/>
    <w:rsid w:val="001D7C2C"/>
    <w:rsid w:val="001E19D7"/>
    <w:rsid w:val="001E21D7"/>
    <w:rsid w:val="001E5807"/>
    <w:rsid w:val="001F02F3"/>
    <w:rsid w:val="001F27B7"/>
    <w:rsid w:val="001F667D"/>
    <w:rsid w:val="00202AD7"/>
    <w:rsid w:val="002037DF"/>
    <w:rsid w:val="002050B9"/>
    <w:rsid w:val="002102EF"/>
    <w:rsid w:val="00212619"/>
    <w:rsid w:val="002155ED"/>
    <w:rsid w:val="00216777"/>
    <w:rsid w:val="00224770"/>
    <w:rsid w:val="00225B1E"/>
    <w:rsid w:val="00226A63"/>
    <w:rsid w:val="00227005"/>
    <w:rsid w:val="00227BD5"/>
    <w:rsid w:val="00230C3B"/>
    <w:rsid w:val="00231103"/>
    <w:rsid w:val="002314FF"/>
    <w:rsid w:val="00231E3B"/>
    <w:rsid w:val="002364A1"/>
    <w:rsid w:val="00241F52"/>
    <w:rsid w:val="00251BEF"/>
    <w:rsid w:val="002533DB"/>
    <w:rsid w:val="0025349C"/>
    <w:rsid w:val="00253AF3"/>
    <w:rsid w:val="0025780A"/>
    <w:rsid w:val="00262131"/>
    <w:rsid w:val="00262E53"/>
    <w:rsid w:val="002643AF"/>
    <w:rsid w:val="00264588"/>
    <w:rsid w:val="0026558B"/>
    <w:rsid w:val="00267859"/>
    <w:rsid w:val="00270B47"/>
    <w:rsid w:val="002750A6"/>
    <w:rsid w:val="0027783A"/>
    <w:rsid w:val="002912FB"/>
    <w:rsid w:val="00292B13"/>
    <w:rsid w:val="00293147"/>
    <w:rsid w:val="00294D49"/>
    <w:rsid w:val="002A36DF"/>
    <w:rsid w:val="002A47FE"/>
    <w:rsid w:val="002A5E73"/>
    <w:rsid w:val="002B3476"/>
    <w:rsid w:val="002C0C55"/>
    <w:rsid w:val="002C568C"/>
    <w:rsid w:val="002C5E88"/>
    <w:rsid w:val="002D012B"/>
    <w:rsid w:val="002D1CC3"/>
    <w:rsid w:val="002D39AC"/>
    <w:rsid w:val="002E3CEF"/>
    <w:rsid w:val="002F3CDD"/>
    <w:rsid w:val="002F5878"/>
    <w:rsid w:val="002F7B99"/>
    <w:rsid w:val="003030AA"/>
    <w:rsid w:val="00303EE3"/>
    <w:rsid w:val="00306307"/>
    <w:rsid w:val="003079EC"/>
    <w:rsid w:val="003103B0"/>
    <w:rsid w:val="00312A19"/>
    <w:rsid w:val="00317580"/>
    <w:rsid w:val="00327EAC"/>
    <w:rsid w:val="00342240"/>
    <w:rsid w:val="003533CA"/>
    <w:rsid w:val="0035653B"/>
    <w:rsid w:val="00357BA6"/>
    <w:rsid w:val="003602C2"/>
    <w:rsid w:val="003620FB"/>
    <w:rsid w:val="00366918"/>
    <w:rsid w:val="00366DCC"/>
    <w:rsid w:val="003764DE"/>
    <w:rsid w:val="00380361"/>
    <w:rsid w:val="00380B28"/>
    <w:rsid w:val="003813A0"/>
    <w:rsid w:val="00381CBF"/>
    <w:rsid w:val="00382217"/>
    <w:rsid w:val="0039698B"/>
    <w:rsid w:val="003A1793"/>
    <w:rsid w:val="003A2B5B"/>
    <w:rsid w:val="003A36B2"/>
    <w:rsid w:val="003A4882"/>
    <w:rsid w:val="003A7217"/>
    <w:rsid w:val="003B0D30"/>
    <w:rsid w:val="003B575F"/>
    <w:rsid w:val="003B5953"/>
    <w:rsid w:val="003C1787"/>
    <w:rsid w:val="003C3117"/>
    <w:rsid w:val="003C38F5"/>
    <w:rsid w:val="003C3B18"/>
    <w:rsid w:val="003C6F58"/>
    <w:rsid w:val="003C7C67"/>
    <w:rsid w:val="003D14BA"/>
    <w:rsid w:val="003D2A24"/>
    <w:rsid w:val="003D3D7D"/>
    <w:rsid w:val="003D50D2"/>
    <w:rsid w:val="003D7315"/>
    <w:rsid w:val="003D7942"/>
    <w:rsid w:val="003E0045"/>
    <w:rsid w:val="003E5576"/>
    <w:rsid w:val="003E5688"/>
    <w:rsid w:val="003F1211"/>
    <w:rsid w:val="003F159E"/>
    <w:rsid w:val="00402AC2"/>
    <w:rsid w:val="0042031C"/>
    <w:rsid w:val="00421B81"/>
    <w:rsid w:val="00421C21"/>
    <w:rsid w:val="00432D19"/>
    <w:rsid w:val="00444A21"/>
    <w:rsid w:val="0045317B"/>
    <w:rsid w:val="00455504"/>
    <w:rsid w:val="00456B10"/>
    <w:rsid w:val="00464ACB"/>
    <w:rsid w:val="00481ADC"/>
    <w:rsid w:val="004821A3"/>
    <w:rsid w:val="00484231"/>
    <w:rsid w:val="00484A85"/>
    <w:rsid w:val="004901A5"/>
    <w:rsid w:val="00497513"/>
    <w:rsid w:val="004A1BB1"/>
    <w:rsid w:val="004A1D25"/>
    <w:rsid w:val="004A5502"/>
    <w:rsid w:val="004A7A25"/>
    <w:rsid w:val="004B1CE6"/>
    <w:rsid w:val="004B46F4"/>
    <w:rsid w:val="004B582E"/>
    <w:rsid w:val="004B5EF9"/>
    <w:rsid w:val="004B678F"/>
    <w:rsid w:val="004C0998"/>
    <w:rsid w:val="004C2AE3"/>
    <w:rsid w:val="004C3AB7"/>
    <w:rsid w:val="004D0BF9"/>
    <w:rsid w:val="004D293C"/>
    <w:rsid w:val="004D7C5C"/>
    <w:rsid w:val="004E166A"/>
    <w:rsid w:val="004E6482"/>
    <w:rsid w:val="004F432A"/>
    <w:rsid w:val="004F590F"/>
    <w:rsid w:val="004F6BB4"/>
    <w:rsid w:val="00510EC8"/>
    <w:rsid w:val="00512FDF"/>
    <w:rsid w:val="005145C3"/>
    <w:rsid w:val="00514ECB"/>
    <w:rsid w:val="00520CE7"/>
    <w:rsid w:val="00522F5F"/>
    <w:rsid w:val="00524144"/>
    <w:rsid w:val="005257D0"/>
    <w:rsid w:val="00527788"/>
    <w:rsid w:val="005301FC"/>
    <w:rsid w:val="00530477"/>
    <w:rsid w:val="00535A15"/>
    <w:rsid w:val="005430C8"/>
    <w:rsid w:val="0054339D"/>
    <w:rsid w:val="00546917"/>
    <w:rsid w:val="00547324"/>
    <w:rsid w:val="00554544"/>
    <w:rsid w:val="00554CF4"/>
    <w:rsid w:val="00555A05"/>
    <w:rsid w:val="00561790"/>
    <w:rsid w:val="00561BCC"/>
    <w:rsid w:val="00567A48"/>
    <w:rsid w:val="00573656"/>
    <w:rsid w:val="005768C9"/>
    <w:rsid w:val="00577B19"/>
    <w:rsid w:val="00580E2B"/>
    <w:rsid w:val="0058155B"/>
    <w:rsid w:val="00587600"/>
    <w:rsid w:val="005921B2"/>
    <w:rsid w:val="005941A3"/>
    <w:rsid w:val="005946AB"/>
    <w:rsid w:val="00595A74"/>
    <w:rsid w:val="00596F2D"/>
    <w:rsid w:val="00597369"/>
    <w:rsid w:val="005977E8"/>
    <w:rsid w:val="005A081D"/>
    <w:rsid w:val="005A11D8"/>
    <w:rsid w:val="005A2505"/>
    <w:rsid w:val="005A2F6B"/>
    <w:rsid w:val="005A390D"/>
    <w:rsid w:val="005A3A68"/>
    <w:rsid w:val="005A5F29"/>
    <w:rsid w:val="005A71F5"/>
    <w:rsid w:val="005C3394"/>
    <w:rsid w:val="005D4244"/>
    <w:rsid w:val="005E1AEF"/>
    <w:rsid w:val="005E2DF1"/>
    <w:rsid w:val="005F62ED"/>
    <w:rsid w:val="00605067"/>
    <w:rsid w:val="00607E0F"/>
    <w:rsid w:val="00610F50"/>
    <w:rsid w:val="006303FF"/>
    <w:rsid w:val="006325B1"/>
    <w:rsid w:val="00632AEC"/>
    <w:rsid w:val="00636A3D"/>
    <w:rsid w:val="006403D2"/>
    <w:rsid w:val="00643D57"/>
    <w:rsid w:val="0065372D"/>
    <w:rsid w:val="006560F8"/>
    <w:rsid w:val="006733D5"/>
    <w:rsid w:val="006814E7"/>
    <w:rsid w:val="00687E3F"/>
    <w:rsid w:val="00693E98"/>
    <w:rsid w:val="006A25D2"/>
    <w:rsid w:val="006B0549"/>
    <w:rsid w:val="006B5BEF"/>
    <w:rsid w:val="006B7171"/>
    <w:rsid w:val="006C3ED5"/>
    <w:rsid w:val="006C552B"/>
    <w:rsid w:val="006D01D3"/>
    <w:rsid w:val="006D6315"/>
    <w:rsid w:val="006D650D"/>
    <w:rsid w:val="006D6994"/>
    <w:rsid w:val="006E112C"/>
    <w:rsid w:val="006E1D4C"/>
    <w:rsid w:val="006E279C"/>
    <w:rsid w:val="006E29DE"/>
    <w:rsid w:val="006E4E00"/>
    <w:rsid w:val="006E5304"/>
    <w:rsid w:val="006F0472"/>
    <w:rsid w:val="006F4EF5"/>
    <w:rsid w:val="006F7519"/>
    <w:rsid w:val="007113DC"/>
    <w:rsid w:val="0071402E"/>
    <w:rsid w:val="007230BC"/>
    <w:rsid w:val="00723E74"/>
    <w:rsid w:val="007242B4"/>
    <w:rsid w:val="00730E81"/>
    <w:rsid w:val="0073404F"/>
    <w:rsid w:val="00734A0C"/>
    <w:rsid w:val="00740B16"/>
    <w:rsid w:val="00742E67"/>
    <w:rsid w:val="00743F50"/>
    <w:rsid w:val="007508EF"/>
    <w:rsid w:val="00750B62"/>
    <w:rsid w:val="0075159B"/>
    <w:rsid w:val="0075373D"/>
    <w:rsid w:val="00753F14"/>
    <w:rsid w:val="00757106"/>
    <w:rsid w:val="00771621"/>
    <w:rsid w:val="00774FA6"/>
    <w:rsid w:val="00795B9D"/>
    <w:rsid w:val="00795E61"/>
    <w:rsid w:val="007B3A5E"/>
    <w:rsid w:val="007B529A"/>
    <w:rsid w:val="007B5C83"/>
    <w:rsid w:val="007C02F9"/>
    <w:rsid w:val="007C2DF7"/>
    <w:rsid w:val="007D023F"/>
    <w:rsid w:val="007D127A"/>
    <w:rsid w:val="007D1376"/>
    <w:rsid w:val="007E0AC9"/>
    <w:rsid w:val="007E5FE7"/>
    <w:rsid w:val="007E6854"/>
    <w:rsid w:val="007F5301"/>
    <w:rsid w:val="007F5C97"/>
    <w:rsid w:val="007F6742"/>
    <w:rsid w:val="008006D1"/>
    <w:rsid w:val="00815464"/>
    <w:rsid w:val="00820C2B"/>
    <w:rsid w:val="008217B2"/>
    <w:rsid w:val="008218EF"/>
    <w:rsid w:val="008222C5"/>
    <w:rsid w:val="00826574"/>
    <w:rsid w:val="00830723"/>
    <w:rsid w:val="0083116D"/>
    <w:rsid w:val="00835493"/>
    <w:rsid w:val="00843356"/>
    <w:rsid w:val="008443E7"/>
    <w:rsid w:val="008449E3"/>
    <w:rsid w:val="008464B2"/>
    <w:rsid w:val="00847665"/>
    <w:rsid w:val="00847BE1"/>
    <w:rsid w:val="00851136"/>
    <w:rsid w:val="00851EBF"/>
    <w:rsid w:val="0086021D"/>
    <w:rsid w:val="00862AF4"/>
    <w:rsid w:val="008634B7"/>
    <w:rsid w:val="00863F89"/>
    <w:rsid w:val="008643F3"/>
    <w:rsid w:val="00876CE8"/>
    <w:rsid w:val="00886E11"/>
    <w:rsid w:val="00890231"/>
    <w:rsid w:val="008955B8"/>
    <w:rsid w:val="00897A92"/>
    <w:rsid w:val="008A7920"/>
    <w:rsid w:val="008A7D64"/>
    <w:rsid w:val="008B18BD"/>
    <w:rsid w:val="008B7668"/>
    <w:rsid w:val="008C121E"/>
    <w:rsid w:val="008C1253"/>
    <w:rsid w:val="008C5D7E"/>
    <w:rsid w:val="008C698B"/>
    <w:rsid w:val="008D0B54"/>
    <w:rsid w:val="008D2D7E"/>
    <w:rsid w:val="008D5182"/>
    <w:rsid w:val="008D5359"/>
    <w:rsid w:val="008E0484"/>
    <w:rsid w:val="008E3C7A"/>
    <w:rsid w:val="008E6DF2"/>
    <w:rsid w:val="008E7355"/>
    <w:rsid w:val="008E7E5A"/>
    <w:rsid w:val="008F1860"/>
    <w:rsid w:val="008F4E1B"/>
    <w:rsid w:val="008F5981"/>
    <w:rsid w:val="008F64D8"/>
    <w:rsid w:val="00900ED6"/>
    <w:rsid w:val="0090264F"/>
    <w:rsid w:val="00906CCD"/>
    <w:rsid w:val="00911747"/>
    <w:rsid w:val="00914855"/>
    <w:rsid w:val="00915C11"/>
    <w:rsid w:val="00915F05"/>
    <w:rsid w:val="009171CE"/>
    <w:rsid w:val="009178DF"/>
    <w:rsid w:val="009250A0"/>
    <w:rsid w:val="00931374"/>
    <w:rsid w:val="009317D3"/>
    <w:rsid w:val="00934706"/>
    <w:rsid w:val="0093616A"/>
    <w:rsid w:val="0093644B"/>
    <w:rsid w:val="009366A5"/>
    <w:rsid w:val="009376A5"/>
    <w:rsid w:val="00937C51"/>
    <w:rsid w:val="00937DF4"/>
    <w:rsid w:val="00940929"/>
    <w:rsid w:val="0094528E"/>
    <w:rsid w:val="00951254"/>
    <w:rsid w:val="00951485"/>
    <w:rsid w:val="009528C0"/>
    <w:rsid w:val="00955D10"/>
    <w:rsid w:val="009637E5"/>
    <w:rsid w:val="00963B87"/>
    <w:rsid w:val="00965AEA"/>
    <w:rsid w:val="00970D87"/>
    <w:rsid w:val="00974468"/>
    <w:rsid w:val="0097656A"/>
    <w:rsid w:val="00982829"/>
    <w:rsid w:val="00985A22"/>
    <w:rsid w:val="009865DB"/>
    <w:rsid w:val="00986A89"/>
    <w:rsid w:val="009910CE"/>
    <w:rsid w:val="009B122A"/>
    <w:rsid w:val="009B1C56"/>
    <w:rsid w:val="009B62C3"/>
    <w:rsid w:val="009B7881"/>
    <w:rsid w:val="009B7A81"/>
    <w:rsid w:val="009C1D85"/>
    <w:rsid w:val="009C2396"/>
    <w:rsid w:val="009C271D"/>
    <w:rsid w:val="009D301F"/>
    <w:rsid w:val="009D46AB"/>
    <w:rsid w:val="009E2663"/>
    <w:rsid w:val="009E2754"/>
    <w:rsid w:val="009F10DE"/>
    <w:rsid w:val="009F3886"/>
    <w:rsid w:val="00A05AE5"/>
    <w:rsid w:val="00A0730F"/>
    <w:rsid w:val="00A144A7"/>
    <w:rsid w:val="00A15C5C"/>
    <w:rsid w:val="00A27237"/>
    <w:rsid w:val="00A27C1B"/>
    <w:rsid w:val="00A350ED"/>
    <w:rsid w:val="00A44911"/>
    <w:rsid w:val="00A47694"/>
    <w:rsid w:val="00A52BF6"/>
    <w:rsid w:val="00A52D05"/>
    <w:rsid w:val="00A530E9"/>
    <w:rsid w:val="00A550CF"/>
    <w:rsid w:val="00A628AF"/>
    <w:rsid w:val="00A63B34"/>
    <w:rsid w:val="00A7342F"/>
    <w:rsid w:val="00A74634"/>
    <w:rsid w:val="00A7645F"/>
    <w:rsid w:val="00A82823"/>
    <w:rsid w:val="00A83C91"/>
    <w:rsid w:val="00A84E87"/>
    <w:rsid w:val="00A9164D"/>
    <w:rsid w:val="00A941F2"/>
    <w:rsid w:val="00A94C41"/>
    <w:rsid w:val="00A94DFA"/>
    <w:rsid w:val="00A97218"/>
    <w:rsid w:val="00A979E2"/>
    <w:rsid w:val="00AA12C8"/>
    <w:rsid w:val="00AA35A1"/>
    <w:rsid w:val="00AA5AD2"/>
    <w:rsid w:val="00AB1643"/>
    <w:rsid w:val="00AB56AA"/>
    <w:rsid w:val="00AC08F8"/>
    <w:rsid w:val="00AC3823"/>
    <w:rsid w:val="00AD2C45"/>
    <w:rsid w:val="00AD7A33"/>
    <w:rsid w:val="00AE0C95"/>
    <w:rsid w:val="00AE1F14"/>
    <w:rsid w:val="00AE2E70"/>
    <w:rsid w:val="00AE72CC"/>
    <w:rsid w:val="00AE7CBF"/>
    <w:rsid w:val="00AF01F5"/>
    <w:rsid w:val="00AF1414"/>
    <w:rsid w:val="00AF3336"/>
    <w:rsid w:val="00AF4579"/>
    <w:rsid w:val="00B00949"/>
    <w:rsid w:val="00B0197E"/>
    <w:rsid w:val="00B01E81"/>
    <w:rsid w:val="00B0435F"/>
    <w:rsid w:val="00B04766"/>
    <w:rsid w:val="00B06DF0"/>
    <w:rsid w:val="00B10DB9"/>
    <w:rsid w:val="00B11DF8"/>
    <w:rsid w:val="00B15D82"/>
    <w:rsid w:val="00B23AE4"/>
    <w:rsid w:val="00B271C5"/>
    <w:rsid w:val="00B34854"/>
    <w:rsid w:val="00B34BE7"/>
    <w:rsid w:val="00B3678C"/>
    <w:rsid w:val="00B37E4B"/>
    <w:rsid w:val="00B42880"/>
    <w:rsid w:val="00B440D9"/>
    <w:rsid w:val="00B45447"/>
    <w:rsid w:val="00B47B6B"/>
    <w:rsid w:val="00B47C7E"/>
    <w:rsid w:val="00B512E6"/>
    <w:rsid w:val="00B605C6"/>
    <w:rsid w:val="00B674EB"/>
    <w:rsid w:val="00B715B4"/>
    <w:rsid w:val="00B75AFF"/>
    <w:rsid w:val="00B765CA"/>
    <w:rsid w:val="00B851A8"/>
    <w:rsid w:val="00B856DA"/>
    <w:rsid w:val="00BA1F76"/>
    <w:rsid w:val="00BA2559"/>
    <w:rsid w:val="00BB0119"/>
    <w:rsid w:val="00BB0F4E"/>
    <w:rsid w:val="00BB2D8B"/>
    <w:rsid w:val="00BB758B"/>
    <w:rsid w:val="00BC5676"/>
    <w:rsid w:val="00BD2346"/>
    <w:rsid w:val="00BD2FF4"/>
    <w:rsid w:val="00BD3B34"/>
    <w:rsid w:val="00BD5D70"/>
    <w:rsid w:val="00BD66E6"/>
    <w:rsid w:val="00BD782E"/>
    <w:rsid w:val="00BE30DE"/>
    <w:rsid w:val="00BE67C3"/>
    <w:rsid w:val="00BF0682"/>
    <w:rsid w:val="00BF1147"/>
    <w:rsid w:val="00BF23D2"/>
    <w:rsid w:val="00BF349C"/>
    <w:rsid w:val="00BF4BB3"/>
    <w:rsid w:val="00BF57F0"/>
    <w:rsid w:val="00C0215B"/>
    <w:rsid w:val="00C048DB"/>
    <w:rsid w:val="00C143F4"/>
    <w:rsid w:val="00C176D2"/>
    <w:rsid w:val="00C27682"/>
    <w:rsid w:val="00C41902"/>
    <w:rsid w:val="00C42388"/>
    <w:rsid w:val="00C46BCC"/>
    <w:rsid w:val="00C5224B"/>
    <w:rsid w:val="00C52979"/>
    <w:rsid w:val="00C562BF"/>
    <w:rsid w:val="00C56FD7"/>
    <w:rsid w:val="00C625DD"/>
    <w:rsid w:val="00C70920"/>
    <w:rsid w:val="00C71AC1"/>
    <w:rsid w:val="00C75012"/>
    <w:rsid w:val="00C843B2"/>
    <w:rsid w:val="00C8665D"/>
    <w:rsid w:val="00C86A46"/>
    <w:rsid w:val="00C90FB6"/>
    <w:rsid w:val="00C95555"/>
    <w:rsid w:val="00CA3412"/>
    <w:rsid w:val="00CA691E"/>
    <w:rsid w:val="00CA7E20"/>
    <w:rsid w:val="00CB139E"/>
    <w:rsid w:val="00CB4136"/>
    <w:rsid w:val="00CC2555"/>
    <w:rsid w:val="00CC4C68"/>
    <w:rsid w:val="00CC576D"/>
    <w:rsid w:val="00CC61A0"/>
    <w:rsid w:val="00CC71D1"/>
    <w:rsid w:val="00CD48D5"/>
    <w:rsid w:val="00CE2263"/>
    <w:rsid w:val="00CE6956"/>
    <w:rsid w:val="00CF0F40"/>
    <w:rsid w:val="00CF1A54"/>
    <w:rsid w:val="00CF2AD9"/>
    <w:rsid w:val="00CF3097"/>
    <w:rsid w:val="00CF5DDA"/>
    <w:rsid w:val="00D02802"/>
    <w:rsid w:val="00D054A2"/>
    <w:rsid w:val="00D11BF8"/>
    <w:rsid w:val="00D12AEB"/>
    <w:rsid w:val="00D13800"/>
    <w:rsid w:val="00D142B2"/>
    <w:rsid w:val="00D1440E"/>
    <w:rsid w:val="00D15494"/>
    <w:rsid w:val="00D1799E"/>
    <w:rsid w:val="00D223EB"/>
    <w:rsid w:val="00D24403"/>
    <w:rsid w:val="00D24AF2"/>
    <w:rsid w:val="00D27182"/>
    <w:rsid w:val="00D279F2"/>
    <w:rsid w:val="00D33210"/>
    <w:rsid w:val="00D37D26"/>
    <w:rsid w:val="00D436C9"/>
    <w:rsid w:val="00D506CF"/>
    <w:rsid w:val="00D60585"/>
    <w:rsid w:val="00D6142C"/>
    <w:rsid w:val="00D6254B"/>
    <w:rsid w:val="00D63B4A"/>
    <w:rsid w:val="00D753F8"/>
    <w:rsid w:val="00D75C50"/>
    <w:rsid w:val="00D76F97"/>
    <w:rsid w:val="00D851C5"/>
    <w:rsid w:val="00D85B70"/>
    <w:rsid w:val="00D866CA"/>
    <w:rsid w:val="00D93BBE"/>
    <w:rsid w:val="00DA30C7"/>
    <w:rsid w:val="00DA4DCB"/>
    <w:rsid w:val="00DA6574"/>
    <w:rsid w:val="00DA6F3F"/>
    <w:rsid w:val="00DB6498"/>
    <w:rsid w:val="00DB685D"/>
    <w:rsid w:val="00DB6A78"/>
    <w:rsid w:val="00DC3F91"/>
    <w:rsid w:val="00DD0C1E"/>
    <w:rsid w:val="00DD1419"/>
    <w:rsid w:val="00DD15B6"/>
    <w:rsid w:val="00DD74BE"/>
    <w:rsid w:val="00DE4F0A"/>
    <w:rsid w:val="00DE53D8"/>
    <w:rsid w:val="00DE7675"/>
    <w:rsid w:val="00DF07AB"/>
    <w:rsid w:val="00DF2366"/>
    <w:rsid w:val="00DF7DD6"/>
    <w:rsid w:val="00E0011C"/>
    <w:rsid w:val="00E001B4"/>
    <w:rsid w:val="00E0057B"/>
    <w:rsid w:val="00E016A6"/>
    <w:rsid w:val="00E0173C"/>
    <w:rsid w:val="00E0307B"/>
    <w:rsid w:val="00E06845"/>
    <w:rsid w:val="00E0696A"/>
    <w:rsid w:val="00E07F7B"/>
    <w:rsid w:val="00E10890"/>
    <w:rsid w:val="00E15C5B"/>
    <w:rsid w:val="00E20E96"/>
    <w:rsid w:val="00E25B24"/>
    <w:rsid w:val="00E27352"/>
    <w:rsid w:val="00E33041"/>
    <w:rsid w:val="00E34127"/>
    <w:rsid w:val="00E34361"/>
    <w:rsid w:val="00E375B1"/>
    <w:rsid w:val="00E44060"/>
    <w:rsid w:val="00E46C03"/>
    <w:rsid w:val="00E54D9E"/>
    <w:rsid w:val="00E5594A"/>
    <w:rsid w:val="00E56B19"/>
    <w:rsid w:val="00E61DF7"/>
    <w:rsid w:val="00E71F1D"/>
    <w:rsid w:val="00E73075"/>
    <w:rsid w:val="00E84BDB"/>
    <w:rsid w:val="00E85FDE"/>
    <w:rsid w:val="00E86ACC"/>
    <w:rsid w:val="00E8740C"/>
    <w:rsid w:val="00E92D51"/>
    <w:rsid w:val="00E932CC"/>
    <w:rsid w:val="00E94723"/>
    <w:rsid w:val="00E951C0"/>
    <w:rsid w:val="00E973AC"/>
    <w:rsid w:val="00EA0562"/>
    <w:rsid w:val="00EB63FE"/>
    <w:rsid w:val="00EC102F"/>
    <w:rsid w:val="00EC7F18"/>
    <w:rsid w:val="00ED4A6A"/>
    <w:rsid w:val="00ED55BC"/>
    <w:rsid w:val="00EF1AF6"/>
    <w:rsid w:val="00EF43C6"/>
    <w:rsid w:val="00F055F8"/>
    <w:rsid w:val="00F065A1"/>
    <w:rsid w:val="00F06B13"/>
    <w:rsid w:val="00F12B4F"/>
    <w:rsid w:val="00F23FE9"/>
    <w:rsid w:val="00F2425E"/>
    <w:rsid w:val="00F2668C"/>
    <w:rsid w:val="00F273E5"/>
    <w:rsid w:val="00F327BD"/>
    <w:rsid w:val="00F358C6"/>
    <w:rsid w:val="00F35DC5"/>
    <w:rsid w:val="00F37114"/>
    <w:rsid w:val="00F442EE"/>
    <w:rsid w:val="00F50CED"/>
    <w:rsid w:val="00F51EAF"/>
    <w:rsid w:val="00F5589B"/>
    <w:rsid w:val="00F5646B"/>
    <w:rsid w:val="00F564AF"/>
    <w:rsid w:val="00F648BC"/>
    <w:rsid w:val="00F65C63"/>
    <w:rsid w:val="00F76C99"/>
    <w:rsid w:val="00F805AF"/>
    <w:rsid w:val="00F8212F"/>
    <w:rsid w:val="00F84D44"/>
    <w:rsid w:val="00F9073C"/>
    <w:rsid w:val="00F956B0"/>
    <w:rsid w:val="00FA2790"/>
    <w:rsid w:val="00FA59CA"/>
    <w:rsid w:val="00FA5F90"/>
    <w:rsid w:val="00FA7C14"/>
    <w:rsid w:val="00FB3938"/>
    <w:rsid w:val="00FB5624"/>
    <w:rsid w:val="00FB6B1B"/>
    <w:rsid w:val="00FC3E50"/>
    <w:rsid w:val="00FC6EEA"/>
    <w:rsid w:val="00FD1088"/>
    <w:rsid w:val="00FD1CC4"/>
    <w:rsid w:val="00FE3604"/>
    <w:rsid w:val="00FF03A3"/>
    <w:rsid w:val="00FF375A"/>
    <w:rsid w:val="00FF4BA9"/>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1"/>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630324">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995377356">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15659677">
      <w:bodyDiv w:val="1"/>
      <w:marLeft w:val="0"/>
      <w:marRight w:val="0"/>
      <w:marTop w:val="0"/>
      <w:marBottom w:val="0"/>
      <w:divBdr>
        <w:top w:val="none" w:sz="0" w:space="0" w:color="auto"/>
        <w:left w:val="none" w:sz="0" w:space="0" w:color="auto"/>
        <w:bottom w:val="none" w:sz="0" w:space="0" w:color="auto"/>
        <w:right w:val="none" w:sz="0" w:space="0" w:color="auto"/>
      </w:divBdr>
    </w:div>
    <w:div w:id="1258710713">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ink.springer.com/article/10.1007/s10198-022-014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2686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Bloom, Crystal</cp:lastModifiedBy>
  <cp:revision>2</cp:revision>
  <cp:lastPrinted>2022-04-08T14:57:00Z</cp:lastPrinted>
  <dcterms:created xsi:type="dcterms:W3CDTF">2022-09-02T16:44:00Z</dcterms:created>
  <dcterms:modified xsi:type="dcterms:W3CDTF">2022-09-02T16:44:00Z</dcterms:modified>
</cp:coreProperties>
</file>

<file path=docProps/custom.xml><?xml version="1.0" encoding="utf-8"?>
<op:Properties xmlns:op="http://schemas.openxmlformats.org/officeDocument/2006/custom-properties">
  <op:property fmtid="{D5CDD505-2E9C-101B-9397-08002B2CF9AE}" pid="2" name="ndDocumentId">
    <vt:lpwstr xmlns:vt="http://schemas.openxmlformats.org/officeDocument/2006/docPropsVTypes">4878-7246-7248</vt:lpwstr>
  </op:property>
</op:Properties>
</file>