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22AEAD3E" w14:textId="77777777" w:rsidR="00AA5132" w:rsidRDefault="00AA5132" w:rsidP="00AA5132">
      <w:pPr>
        <w:spacing w:before="89" w:line="396" w:lineRule="auto"/>
        <w:ind w:left="2313" w:right="2532"/>
        <w:jc w:val="center"/>
        <w:rPr>
          <w:b/>
          <w:sz w:val="32"/>
        </w:rPr>
      </w:pPr>
      <w:r>
        <w:rPr>
          <w:b/>
          <w:sz w:val="32"/>
        </w:rPr>
        <w:t>APPLICATION</w:t>
      </w:r>
      <w:r>
        <w:rPr>
          <w:b/>
          <w:spacing w:val="-23"/>
          <w:sz w:val="32"/>
        </w:rPr>
        <w:t xml:space="preserve"> </w:t>
      </w:r>
      <w:r>
        <w:rPr>
          <w:b/>
          <w:sz w:val="32"/>
        </w:rPr>
        <w:t>FOR</w:t>
      </w:r>
      <w:r>
        <w:rPr>
          <w:b/>
          <w:spacing w:val="-22"/>
          <w:sz w:val="32"/>
        </w:rPr>
        <w:t xml:space="preserve"> </w:t>
      </w:r>
      <w:r>
        <w:rPr>
          <w:b/>
          <w:sz w:val="32"/>
        </w:rPr>
        <w:t>DETERMINATION</w:t>
      </w:r>
      <w:r>
        <w:rPr>
          <w:b/>
          <w:spacing w:val="-22"/>
          <w:sz w:val="32"/>
        </w:rPr>
        <w:t xml:space="preserve"> </w:t>
      </w:r>
      <w:r>
        <w:rPr>
          <w:b/>
          <w:sz w:val="32"/>
        </w:rPr>
        <w:t>OF</w:t>
      </w:r>
      <w:r>
        <w:rPr>
          <w:b/>
          <w:spacing w:val="-22"/>
          <w:sz w:val="32"/>
        </w:rPr>
        <w:t xml:space="preserve"> </w:t>
      </w:r>
      <w:r>
        <w:rPr>
          <w:b/>
          <w:sz w:val="32"/>
        </w:rPr>
        <w:t>NEED SUBSTANTIAL CAPITAL EXPENDITURE BOSTON MEDICAL CENTER</w:t>
      </w:r>
    </w:p>
    <w:p w14:paraId="2238DDE5" w14:textId="77777777" w:rsidR="00AA5132" w:rsidRDefault="00AA5132" w:rsidP="00AA5132">
      <w:pPr>
        <w:spacing w:before="2"/>
        <w:ind w:left="2313" w:right="2532"/>
        <w:jc w:val="center"/>
        <w:rPr>
          <w:b/>
          <w:sz w:val="32"/>
        </w:rPr>
      </w:pPr>
      <w:r>
        <w:rPr>
          <w:b/>
          <w:w w:val="95"/>
          <w:sz w:val="32"/>
        </w:rPr>
        <w:t>D</w:t>
      </w:r>
      <w:r>
        <w:rPr>
          <w:b/>
          <w:w w:val="95"/>
          <w:sz w:val="26"/>
        </w:rPr>
        <w:t>O</w:t>
      </w:r>
      <w:r>
        <w:rPr>
          <w:b/>
          <w:w w:val="95"/>
          <w:sz w:val="32"/>
        </w:rPr>
        <w:t>N</w:t>
      </w:r>
      <w:r>
        <w:rPr>
          <w:b/>
          <w:spacing w:val="59"/>
          <w:sz w:val="32"/>
        </w:rPr>
        <w:t xml:space="preserve"> </w:t>
      </w:r>
      <w:r>
        <w:rPr>
          <w:b/>
          <w:w w:val="95"/>
          <w:sz w:val="32"/>
        </w:rPr>
        <w:t>APPLICATION</w:t>
      </w:r>
      <w:r>
        <w:rPr>
          <w:b/>
          <w:spacing w:val="60"/>
          <w:sz w:val="32"/>
        </w:rPr>
        <w:t xml:space="preserve"> </w:t>
      </w:r>
      <w:r>
        <w:rPr>
          <w:b/>
          <w:w w:val="95"/>
          <w:sz w:val="32"/>
        </w:rPr>
        <w:t>#</w:t>
      </w:r>
      <w:r>
        <w:rPr>
          <w:b/>
          <w:spacing w:val="64"/>
          <w:sz w:val="32"/>
        </w:rPr>
        <w:t xml:space="preserve"> </w:t>
      </w:r>
      <w:r>
        <w:rPr>
          <w:b/>
          <w:w w:val="95"/>
          <w:sz w:val="32"/>
        </w:rPr>
        <w:t>BMCHS-22080908-</w:t>
      </w:r>
      <w:r>
        <w:rPr>
          <w:b/>
          <w:spacing w:val="-5"/>
          <w:w w:val="95"/>
          <w:sz w:val="32"/>
        </w:rPr>
        <w:t>HE</w:t>
      </w:r>
    </w:p>
    <w:p w14:paraId="7AA560C5" w14:textId="77777777" w:rsidR="00AA5132" w:rsidRDefault="00AA5132" w:rsidP="00AA5132">
      <w:pPr>
        <w:pStyle w:val="BodyText"/>
        <w:rPr>
          <w:b/>
          <w:sz w:val="36"/>
        </w:rPr>
      </w:pPr>
    </w:p>
    <w:p w14:paraId="357E69D1" w14:textId="77777777" w:rsidR="00AA5132" w:rsidRDefault="00AA5132" w:rsidP="00AA5132">
      <w:pPr>
        <w:pStyle w:val="BodyText"/>
        <w:spacing w:before="8"/>
        <w:rPr>
          <w:b/>
          <w:sz w:val="30"/>
        </w:rPr>
      </w:pPr>
    </w:p>
    <w:p w14:paraId="4DAE4154" w14:textId="77777777" w:rsidR="00AA5132" w:rsidRDefault="00AA5132" w:rsidP="00AA5132">
      <w:pPr>
        <w:spacing w:before="1"/>
        <w:ind w:left="2311" w:right="2532"/>
        <w:jc w:val="center"/>
        <w:rPr>
          <w:b/>
          <w:sz w:val="32"/>
        </w:rPr>
      </w:pPr>
      <w:r>
        <w:rPr>
          <w:b/>
          <w:spacing w:val="-5"/>
          <w:sz w:val="32"/>
        </w:rPr>
        <w:t>BY</w:t>
      </w:r>
    </w:p>
    <w:p w14:paraId="310D1B84" w14:textId="77777777" w:rsidR="00AA5132" w:rsidRDefault="00AA5132" w:rsidP="00AA5132">
      <w:pPr>
        <w:spacing w:before="241" w:line="368" w:lineRule="exact"/>
        <w:ind w:left="2313" w:right="2532"/>
        <w:jc w:val="center"/>
        <w:rPr>
          <w:b/>
          <w:sz w:val="32"/>
        </w:rPr>
      </w:pPr>
      <w:r>
        <w:rPr>
          <w:b/>
          <w:w w:val="95"/>
          <w:sz w:val="32"/>
        </w:rPr>
        <w:t>BMC</w:t>
      </w:r>
      <w:r>
        <w:rPr>
          <w:b/>
          <w:spacing w:val="25"/>
          <w:sz w:val="32"/>
        </w:rPr>
        <w:t xml:space="preserve"> </w:t>
      </w:r>
      <w:r>
        <w:rPr>
          <w:b/>
          <w:w w:val="95"/>
          <w:sz w:val="32"/>
        </w:rPr>
        <w:t>HEALTH</w:t>
      </w:r>
      <w:r>
        <w:rPr>
          <w:b/>
          <w:spacing w:val="30"/>
          <w:sz w:val="32"/>
        </w:rPr>
        <w:t xml:space="preserve"> </w:t>
      </w:r>
      <w:r>
        <w:rPr>
          <w:b/>
          <w:w w:val="95"/>
          <w:sz w:val="32"/>
        </w:rPr>
        <w:t>SYSTEM,</w:t>
      </w:r>
      <w:r>
        <w:rPr>
          <w:b/>
          <w:spacing w:val="34"/>
          <w:sz w:val="32"/>
        </w:rPr>
        <w:t xml:space="preserve"> </w:t>
      </w:r>
      <w:r>
        <w:rPr>
          <w:b/>
          <w:spacing w:val="-4"/>
          <w:w w:val="95"/>
          <w:sz w:val="32"/>
        </w:rPr>
        <w:t>INC.</w:t>
      </w:r>
    </w:p>
    <w:p w14:paraId="5EE57549" w14:textId="77777777" w:rsidR="00AA5132" w:rsidRDefault="00AA5132" w:rsidP="00AA5132">
      <w:pPr>
        <w:ind w:left="2307" w:right="2532"/>
        <w:jc w:val="center"/>
        <w:rPr>
          <w:b/>
          <w:sz w:val="32"/>
        </w:rPr>
      </w:pPr>
      <w:r>
        <w:rPr>
          <w:b/>
          <w:sz w:val="32"/>
        </w:rPr>
        <w:t>ONE</w:t>
      </w:r>
      <w:r>
        <w:rPr>
          <w:b/>
          <w:spacing w:val="-23"/>
          <w:sz w:val="32"/>
        </w:rPr>
        <w:t xml:space="preserve"> </w:t>
      </w:r>
      <w:r>
        <w:rPr>
          <w:b/>
          <w:sz w:val="32"/>
        </w:rPr>
        <w:t>BOSTON</w:t>
      </w:r>
      <w:r>
        <w:rPr>
          <w:b/>
          <w:spacing w:val="-22"/>
          <w:sz w:val="32"/>
        </w:rPr>
        <w:t xml:space="preserve"> </w:t>
      </w:r>
      <w:r>
        <w:rPr>
          <w:b/>
          <w:sz w:val="32"/>
        </w:rPr>
        <w:t>MEDICAL</w:t>
      </w:r>
      <w:r>
        <w:rPr>
          <w:b/>
          <w:spacing w:val="-22"/>
          <w:sz w:val="32"/>
        </w:rPr>
        <w:t xml:space="preserve"> </w:t>
      </w:r>
      <w:r>
        <w:rPr>
          <w:b/>
          <w:sz w:val="32"/>
        </w:rPr>
        <w:t>CENTER</w:t>
      </w:r>
      <w:r>
        <w:rPr>
          <w:b/>
          <w:spacing w:val="-22"/>
          <w:sz w:val="32"/>
        </w:rPr>
        <w:t xml:space="preserve"> </w:t>
      </w:r>
      <w:r>
        <w:rPr>
          <w:b/>
          <w:sz w:val="32"/>
        </w:rPr>
        <w:t>PLACE BOSTON, MA 02118</w:t>
      </w:r>
    </w:p>
    <w:p w14:paraId="23D165A9" w14:textId="77777777" w:rsidR="00AA5132" w:rsidRDefault="00AA5132" w:rsidP="00AA5132">
      <w:pPr>
        <w:pStyle w:val="BodyText"/>
        <w:spacing w:before="9"/>
        <w:rPr>
          <w:b/>
          <w:sz w:val="45"/>
        </w:rPr>
      </w:pPr>
    </w:p>
    <w:p w14:paraId="3335CCB4" w14:textId="77777777" w:rsidR="00AA5132" w:rsidRDefault="00AA5132" w:rsidP="00AA5132">
      <w:pPr>
        <w:ind w:left="2313" w:right="2532"/>
        <w:jc w:val="center"/>
        <w:rPr>
          <w:b/>
          <w:sz w:val="32"/>
        </w:rPr>
      </w:pPr>
      <w:r>
        <w:rPr>
          <w:b/>
          <w:sz w:val="32"/>
        </w:rPr>
        <w:t>A</w:t>
      </w:r>
      <w:r>
        <w:rPr>
          <w:b/>
          <w:sz w:val="26"/>
        </w:rPr>
        <w:t>UGUST</w:t>
      </w:r>
      <w:r>
        <w:rPr>
          <w:b/>
          <w:spacing w:val="-11"/>
          <w:sz w:val="26"/>
        </w:rPr>
        <w:t xml:space="preserve"> </w:t>
      </w:r>
      <w:r>
        <w:rPr>
          <w:b/>
          <w:sz w:val="32"/>
        </w:rPr>
        <w:t>9,</w:t>
      </w:r>
      <w:r>
        <w:rPr>
          <w:b/>
          <w:spacing w:val="-23"/>
          <w:sz w:val="32"/>
        </w:rPr>
        <w:t xml:space="preserve"> </w:t>
      </w:r>
      <w:r>
        <w:rPr>
          <w:b/>
          <w:spacing w:val="-4"/>
          <w:sz w:val="32"/>
        </w:rPr>
        <w:t>2022</w:t>
      </w:r>
    </w:p>
    <w:p w14:paraId="31FAD3BB" w14:textId="77777777" w:rsidR="00AA5132" w:rsidRDefault="00AA5132" w:rsidP="00AA5132">
      <w:pPr>
        <w:jc w:val="center"/>
        <w:rPr>
          <w:sz w:val="32"/>
        </w:rPr>
        <w:sectPr w:rsidR="00AA5132" w:rsidSect="00AA5132">
          <w:pgSz w:w="12240" w:h="15840"/>
          <w:pgMar w:top="1820" w:right="20" w:bottom="280" w:left="240" w:header="720" w:footer="720" w:gutter="0"/>
          <w:cols w:space="720"/>
        </w:sectPr>
      </w:pPr>
    </w:p>
    <w:p w14:paraId="1D210A63" w14:textId="1477B16F" w:rsidR="00B440CD" w:rsidRPr="00222302" w:rsidRDefault="00B440CD" w:rsidP="00222302">
      <w:pPr>
        <w:autoSpaceDE w:val="0"/>
        <w:autoSpaceDN w:val="0"/>
        <w:adjustRightInd w:val="0"/>
        <w:jc w:val="center"/>
        <w:rPr>
          <w:b/>
          <w:bCs/>
          <w:smallCaps/>
          <w:szCs w:val="28"/>
          <w:u w:val="single"/>
        </w:rPr>
      </w:pPr>
      <w:r w:rsidRPr="00222302">
        <w:rPr>
          <w:b/>
          <w:bCs/>
          <w:smallCaps/>
          <w:szCs w:val="28"/>
          <w:u w:val="single"/>
        </w:rPr>
        <w:lastRenderedPageBreak/>
        <w:t>BMC HEALTH SYSTEM, INC.</w:t>
      </w:r>
    </w:p>
    <w:p w14:paraId="17984991" w14:textId="77777777" w:rsidR="00B440CD" w:rsidRPr="00222302" w:rsidRDefault="00B440CD" w:rsidP="00222302">
      <w:pPr>
        <w:autoSpaceDE w:val="0"/>
        <w:autoSpaceDN w:val="0"/>
        <w:adjustRightInd w:val="0"/>
        <w:jc w:val="center"/>
        <w:rPr>
          <w:b/>
          <w:bCs/>
          <w:smallCaps/>
          <w:szCs w:val="28"/>
          <w:u w:val="single"/>
        </w:rPr>
      </w:pPr>
      <w:r w:rsidRPr="00222302">
        <w:rPr>
          <w:b/>
          <w:bCs/>
          <w:smallCaps/>
          <w:szCs w:val="28"/>
          <w:u w:val="single"/>
        </w:rPr>
        <w:t>DON APPLICATION# BMCHS-22080908-HE</w:t>
      </w:r>
    </w:p>
    <w:p w14:paraId="7E998B91" w14:textId="5E6D2910" w:rsidR="00AA5132" w:rsidRDefault="00B440CD" w:rsidP="00222302">
      <w:pPr>
        <w:pStyle w:val="BodyText"/>
        <w:jc w:val="center"/>
        <w:rPr>
          <w:rFonts w:ascii="Times New Roman" w:eastAsia="Times New Roman" w:hAnsi="Times New Roman" w:cs="Times New Roman"/>
          <w:b/>
          <w:bCs/>
          <w:smallCaps/>
          <w:sz w:val="24"/>
          <w:szCs w:val="28"/>
          <w:u w:val="single"/>
        </w:rPr>
      </w:pPr>
      <w:r w:rsidRPr="00222302">
        <w:rPr>
          <w:rFonts w:ascii="Times New Roman" w:eastAsia="Times New Roman" w:hAnsi="Times New Roman" w:cs="Times New Roman"/>
          <w:b/>
          <w:bCs/>
          <w:smallCaps/>
          <w:sz w:val="24"/>
          <w:szCs w:val="28"/>
          <w:u w:val="single"/>
        </w:rPr>
        <w:t>AUGUST 9, 2022</w:t>
      </w:r>
    </w:p>
    <w:p w14:paraId="1CCD23C1" w14:textId="0CE2A86F" w:rsidR="00222302" w:rsidRDefault="00222302" w:rsidP="00222302">
      <w:pPr>
        <w:pStyle w:val="BodyText"/>
        <w:jc w:val="center"/>
        <w:rPr>
          <w:rFonts w:ascii="Times New Roman" w:eastAsia="Times New Roman" w:hAnsi="Times New Roman" w:cs="Times New Roman"/>
          <w:b/>
          <w:bCs/>
          <w:smallCaps/>
          <w:sz w:val="24"/>
          <w:szCs w:val="28"/>
          <w:u w:val="single"/>
        </w:rPr>
      </w:pPr>
    </w:p>
    <w:p w14:paraId="6E64539B" w14:textId="06259908" w:rsidR="00222302" w:rsidRPr="00222302" w:rsidRDefault="00222302" w:rsidP="00222302">
      <w:pPr>
        <w:jc w:val="center"/>
        <w:rPr>
          <w:b/>
          <w:bCs/>
          <w:smallCaps/>
          <w:sz w:val="32"/>
          <w:szCs w:val="36"/>
          <w:u w:val="single"/>
        </w:rPr>
      </w:pPr>
      <w:r w:rsidRPr="00222302">
        <w:rPr>
          <w:b/>
          <w:bCs/>
          <w:smallCaps/>
          <w:sz w:val="32"/>
          <w:szCs w:val="36"/>
          <w:u w:val="single"/>
        </w:rPr>
        <w:t>table of contents</w:t>
      </w:r>
    </w:p>
    <w:p w14:paraId="638C2353" w14:textId="77777777" w:rsidR="00AA5132" w:rsidRDefault="00AA5132" w:rsidP="00AA5132">
      <w:pPr>
        <w:pStyle w:val="BodyText"/>
        <w:rPr>
          <w:b/>
          <w:sz w:val="20"/>
        </w:rPr>
      </w:pPr>
    </w:p>
    <w:p w14:paraId="1234057D" w14:textId="6B63602A" w:rsidR="00AA5132" w:rsidRDefault="00AA5132" w:rsidP="00AA5132">
      <w:pPr>
        <w:pStyle w:val="BodyText"/>
        <w:spacing w:before="3"/>
        <w:rPr>
          <w:b/>
          <w:sz w:val="16"/>
        </w:rPr>
      </w:pPr>
    </w:p>
    <w:p w14:paraId="70C35A2F" w14:textId="77777777" w:rsidR="00AA5132" w:rsidRDefault="00AA5132" w:rsidP="00AA5132">
      <w:pPr>
        <w:pStyle w:val="BodyText"/>
        <w:rPr>
          <w:b/>
          <w:sz w:val="24"/>
        </w:rPr>
      </w:pPr>
    </w:p>
    <w:p w14:paraId="1167ABBF" w14:textId="77777777" w:rsidR="00AA5132" w:rsidRDefault="00AA5132" w:rsidP="00AA5132">
      <w:pPr>
        <w:tabs>
          <w:tab w:val="left" w:pos="2638"/>
        </w:tabs>
        <w:spacing w:before="93" w:line="355" w:lineRule="auto"/>
        <w:ind w:left="1200" w:right="7011"/>
      </w:pPr>
      <w:r>
        <w:rPr>
          <w:smallCaps/>
          <w:sz w:val="22"/>
        </w:rPr>
        <w:t>Appendix 1</w:t>
      </w:r>
      <w:r>
        <w:rPr>
          <w:smallCaps/>
          <w:sz w:val="22"/>
        </w:rPr>
        <w:tab/>
      </w:r>
      <w:proofErr w:type="spellStart"/>
      <w:r>
        <w:rPr>
          <w:smallCaps/>
          <w:sz w:val="22"/>
        </w:rPr>
        <w:t>DoN</w:t>
      </w:r>
      <w:proofErr w:type="spellEnd"/>
      <w:r>
        <w:rPr>
          <w:smallCaps/>
          <w:spacing w:val="-15"/>
          <w:sz w:val="22"/>
        </w:rPr>
        <w:t xml:space="preserve"> </w:t>
      </w:r>
      <w:r>
        <w:rPr>
          <w:smallCaps/>
          <w:sz w:val="22"/>
        </w:rPr>
        <w:t>Application</w:t>
      </w:r>
      <w:r>
        <w:rPr>
          <w:smallCaps/>
          <w:spacing w:val="-12"/>
          <w:sz w:val="22"/>
        </w:rPr>
        <w:t xml:space="preserve"> </w:t>
      </w:r>
      <w:r>
        <w:rPr>
          <w:smallCaps/>
          <w:sz w:val="22"/>
        </w:rPr>
        <w:t>Form Appendix 2</w:t>
      </w:r>
      <w:r>
        <w:rPr>
          <w:smallCaps/>
          <w:sz w:val="22"/>
        </w:rPr>
        <w:tab/>
      </w:r>
      <w:proofErr w:type="spellStart"/>
      <w:r>
        <w:rPr>
          <w:smallCaps/>
          <w:sz w:val="22"/>
        </w:rPr>
        <w:t>DoN</w:t>
      </w:r>
      <w:proofErr w:type="spellEnd"/>
      <w:r>
        <w:rPr>
          <w:smallCaps/>
          <w:spacing w:val="-13"/>
          <w:sz w:val="22"/>
        </w:rPr>
        <w:t xml:space="preserve"> </w:t>
      </w:r>
      <w:r>
        <w:rPr>
          <w:smallCaps/>
          <w:sz w:val="22"/>
        </w:rPr>
        <w:t>Narrative</w:t>
      </w:r>
    </w:p>
    <w:p w14:paraId="51347CCD" w14:textId="77777777" w:rsidR="00AA5132" w:rsidRDefault="00AA5132" w:rsidP="00AA5132">
      <w:pPr>
        <w:tabs>
          <w:tab w:val="left" w:pos="3359"/>
        </w:tabs>
        <w:spacing w:line="251" w:lineRule="exact"/>
        <w:ind w:left="2640"/>
      </w:pPr>
      <w:r>
        <w:rPr>
          <w:smallCaps/>
          <w:spacing w:val="-5"/>
          <w:sz w:val="22"/>
        </w:rPr>
        <w:t>2A</w:t>
      </w:r>
      <w:r>
        <w:rPr>
          <w:smallCaps/>
          <w:sz w:val="22"/>
        </w:rPr>
        <w:tab/>
        <w:t>Proposed</w:t>
      </w:r>
      <w:r>
        <w:rPr>
          <w:smallCaps/>
          <w:spacing w:val="-5"/>
          <w:sz w:val="22"/>
        </w:rPr>
        <w:t xml:space="preserve"> </w:t>
      </w:r>
      <w:r>
        <w:rPr>
          <w:smallCaps/>
          <w:sz w:val="22"/>
        </w:rPr>
        <w:t>Project</w:t>
      </w:r>
      <w:r>
        <w:rPr>
          <w:smallCaps/>
          <w:spacing w:val="-3"/>
          <w:sz w:val="22"/>
        </w:rPr>
        <w:t xml:space="preserve"> </w:t>
      </w:r>
      <w:r>
        <w:rPr>
          <w:smallCaps/>
          <w:spacing w:val="-2"/>
          <w:sz w:val="22"/>
        </w:rPr>
        <w:t>Description</w:t>
      </w:r>
    </w:p>
    <w:p w14:paraId="65A4AA13" w14:textId="77777777" w:rsidR="00AA5132" w:rsidRDefault="00AA5132" w:rsidP="00AA5132">
      <w:pPr>
        <w:tabs>
          <w:tab w:val="left" w:pos="2638"/>
          <w:tab w:val="left" w:pos="3359"/>
        </w:tabs>
        <w:spacing w:before="122" w:line="352" w:lineRule="auto"/>
        <w:ind w:left="1200" w:right="5721" w:firstLine="1439"/>
      </w:pPr>
      <w:r>
        <w:rPr>
          <w:smallCaps/>
          <w:spacing w:val="-6"/>
          <w:sz w:val="22"/>
        </w:rPr>
        <w:t>2B</w:t>
      </w:r>
      <w:r>
        <w:rPr>
          <w:smallCaps/>
          <w:sz w:val="22"/>
        </w:rPr>
        <w:tab/>
        <w:t>Proposed</w:t>
      </w:r>
      <w:r>
        <w:rPr>
          <w:smallCaps/>
          <w:spacing w:val="-15"/>
          <w:sz w:val="22"/>
        </w:rPr>
        <w:t xml:space="preserve"> </w:t>
      </w:r>
      <w:r>
        <w:rPr>
          <w:smallCaps/>
          <w:sz w:val="22"/>
        </w:rPr>
        <w:t>Project</w:t>
      </w:r>
      <w:r>
        <w:rPr>
          <w:smallCaps/>
          <w:spacing w:val="-12"/>
          <w:sz w:val="22"/>
        </w:rPr>
        <w:t xml:space="preserve"> </w:t>
      </w:r>
      <w:r>
        <w:rPr>
          <w:smallCaps/>
          <w:sz w:val="22"/>
        </w:rPr>
        <w:t>Factors Appendix 3</w:t>
      </w:r>
      <w:r>
        <w:rPr>
          <w:smallCaps/>
          <w:sz w:val="22"/>
        </w:rPr>
        <w:tab/>
        <w:t>Factor 1 Materials</w:t>
      </w:r>
    </w:p>
    <w:p w14:paraId="791D806D" w14:textId="77777777" w:rsidR="00AA5132" w:rsidRDefault="00AA5132" w:rsidP="00AA5132">
      <w:pPr>
        <w:tabs>
          <w:tab w:val="left" w:pos="3359"/>
        </w:tabs>
        <w:ind w:left="2640"/>
      </w:pPr>
      <w:r>
        <w:rPr>
          <w:smallCaps/>
          <w:spacing w:val="-5"/>
          <w:sz w:val="22"/>
        </w:rPr>
        <w:t>3A</w:t>
      </w:r>
      <w:r>
        <w:rPr>
          <w:smallCaps/>
          <w:sz w:val="22"/>
        </w:rPr>
        <w:tab/>
        <w:t>Supplemental</w:t>
      </w:r>
      <w:r>
        <w:rPr>
          <w:smallCaps/>
          <w:spacing w:val="-5"/>
          <w:sz w:val="22"/>
        </w:rPr>
        <w:t xml:space="preserve"> </w:t>
      </w:r>
      <w:r>
        <w:rPr>
          <w:smallCaps/>
          <w:sz w:val="22"/>
        </w:rPr>
        <w:t>Patient</w:t>
      </w:r>
      <w:r>
        <w:rPr>
          <w:smallCaps/>
          <w:spacing w:val="-6"/>
          <w:sz w:val="22"/>
        </w:rPr>
        <w:t xml:space="preserve"> </w:t>
      </w:r>
      <w:r>
        <w:rPr>
          <w:smallCaps/>
          <w:sz w:val="22"/>
        </w:rPr>
        <w:t>Panel</w:t>
      </w:r>
      <w:r>
        <w:rPr>
          <w:smallCaps/>
          <w:spacing w:val="-3"/>
          <w:sz w:val="22"/>
        </w:rPr>
        <w:t xml:space="preserve"> </w:t>
      </w:r>
      <w:r>
        <w:rPr>
          <w:smallCaps/>
          <w:spacing w:val="-2"/>
          <w:sz w:val="22"/>
        </w:rPr>
        <w:t>Information</w:t>
      </w:r>
    </w:p>
    <w:p w14:paraId="7BD4DA84" w14:textId="77777777" w:rsidR="00AA5132" w:rsidRDefault="00AA5132" w:rsidP="00AA5132">
      <w:pPr>
        <w:tabs>
          <w:tab w:val="left" w:pos="2638"/>
          <w:tab w:val="left" w:pos="3359"/>
        </w:tabs>
        <w:spacing w:before="121" w:line="352" w:lineRule="auto"/>
        <w:ind w:left="1200" w:right="5016" w:firstLine="1439"/>
      </w:pPr>
      <w:r>
        <w:rPr>
          <w:smallCaps/>
          <w:spacing w:val="-6"/>
          <w:sz w:val="22"/>
        </w:rPr>
        <w:t>3B</w:t>
      </w:r>
      <w:r>
        <w:rPr>
          <w:smallCaps/>
          <w:sz w:val="22"/>
        </w:rPr>
        <w:tab/>
        <w:t>Community</w:t>
      </w:r>
      <w:r>
        <w:rPr>
          <w:smallCaps/>
          <w:spacing w:val="-15"/>
          <w:sz w:val="22"/>
        </w:rPr>
        <w:t xml:space="preserve"> </w:t>
      </w:r>
      <w:r>
        <w:rPr>
          <w:smallCaps/>
          <w:sz w:val="22"/>
        </w:rPr>
        <w:t>Engagement</w:t>
      </w:r>
      <w:r>
        <w:rPr>
          <w:smallCaps/>
          <w:spacing w:val="-12"/>
          <w:sz w:val="22"/>
        </w:rPr>
        <w:t xml:space="preserve"> </w:t>
      </w:r>
      <w:r>
        <w:rPr>
          <w:smallCaps/>
          <w:sz w:val="22"/>
        </w:rPr>
        <w:t>Materials Appendix 4</w:t>
      </w:r>
      <w:r>
        <w:rPr>
          <w:smallCaps/>
          <w:sz w:val="22"/>
        </w:rPr>
        <w:tab/>
        <w:t>Factor 4 Materials</w:t>
      </w:r>
    </w:p>
    <w:p w14:paraId="2FD00326" w14:textId="77777777" w:rsidR="00AA5132" w:rsidRDefault="00AA5132" w:rsidP="00AA5132">
      <w:pPr>
        <w:tabs>
          <w:tab w:val="left" w:pos="3359"/>
        </w:tabs>
        <w:spacing w:before="3"/>
        <w:ind w:left="2640"/>
      </w:pPr>
      <w:r>
        <w:rPr>
          <w:smallCaps/>
          <w:spacing w:val="-5"/>
          <w:sz w:val="22"/>
        </w:rPr>
        <w:t>4A</w:t>
      </w:r>
      <w:r>
        <w:rPr>
          <w:smallCaps/>
          <w:sz w:val="22"/>
        </w:rPr>
        <w:tab/>
        <w:t>Independent</w:t>
      </w:r>
      <w:r>
        <w:rPr>
          <w:smallCaps/>
          <w:spacing w:val="-9"/>
          <w:sz w:val="22"/>
        </w:rPr>
        <w:t xml:space="preserve"> </w:t>
      </w:r>
      <w:r>
        <w:rPr>
          <w:smallCaps/>
          <w:sz w:val="22"/>
        </w:rPr>
        <w:t>CPA</w:t>
      </w:r>
      <w:r>
        <w:rPr>
          <w:smallCaps/>
          <w:spacing w:val="-12"/>
          <w:sz w:val="22"/>
        </w:rPr>
        <w:t xml:space="preserve"> </w:t>
      </w:r>
      <w:r>
        <w:rPr>
          <w:smallCaps/>
          <w:spacing w:val="-2"/>
          <w:sz w:val="22"/>
        </w:rPr>
        <w:t>Report</w:t>
      </w:r>
    </w:p>
    <w:p w14:paraId="5A1592C2" w14:textId="77777777" w:rsidR="00AA5132" w:rsidRDefault="00AA5132" w:rsidP="00AA5132">
      <w:pPr>
        <w:tabs>
          <w:tab w:val="left" w:pos="2638"/>
          <w:tab w:val="left" w:pos="3359"/>
        </w:tabs>
        <w:spacing w:before="119" w:line="355" w:lineRule="auto"/>
        <w:ind w:left="1200" w:right="5161" w:firstLine="1439"/>
      </w:pPr>
      <w:r>
        <w:rPr>
          <w:smallCaps/>
          <w:spacing w:val="-6"/>
          <w:sz w:val="22"/>
        </w:rPr>
        <w:t>4B</w:t>
      </w:r>
      <w:r>
        <w:rPr>
          <w:smallCaps/>
          <w:sz w:val="22"/>
        </w:rPr>
        <w:tab/>
        <w:t>Factor</w:t>
      </w:r>
      <w:r>
        <w:rPr>
          <w:smallCaps/>
          <w:spacing w:val="-10"/>
          <w:sz w:val="22"/>
        </w:rPr>
        <w:t xml:space="preserve"> </w:t>
      </w:r>
      <w:r>
        <w:rPr>
          <w:smallCaps/>
          <w:sz w:val="22"/>
        </w:rPr>
        <w:t>4.a.i</w:t>
      </w:r>
      <w:r>
        <w:rPr>
          <w:smallCaps/>
          <w:spacing w:val="-10"/>
          <w:sz w:val="22"/>
        </w:rPr>
        <w:t xml:space="preserve"> </w:t>
      </w:r>
      <w:r>
        <w:rPr>
          <w:smallCaps/>
          <w:sz w:val="22"/>
        </w:rPr>
        <w:t>Capital</w:t>
      </w:r>
      <w:r>
        <w:rPr>
          <w:smallCaps/>
          <w:spacing w:val="-10"/>
          <w:sz w:val="22"/>
        </w:rPr>
        <w:t xml:space="preserve"> </w:t>
      </w:r>
      <w:r>
        <w:rPr>
          <w:smallCaps/>
          <w:sz w:val="22"/>
        </w:rPr>
        <w:t>Costs</w:t>
      </w:r>
      <w:r>
        <w:rPr>
          <w:smallCaps/>
          <w:spacing w:val="-9"/>
          <w:sz w:val="22"/>
        </w:rPr>
        <w:t xml:space="preserve"> </w:t>
      </w:r>
      <w:r>
        <w:rPr>
          <w:smallCaps/>
          <w:sz w:val="22"/>
        </w:rPr>
        <w:t>Chart Appendix 5</w:t>
      </w:r>
      <w:r>
        <w:rPr>
          <w:smallCaps/>
          <w:sz w:val="22"/>
        </w:rPr>
        <w:tab/>
        <w:t>Factor 6 Materials</w:t>
      </w:r>
    </w:p>
    <w:p w14:paraId="08AC0109" w14:textId="77777777" w:rsidR="00AA5132" w:rsidRDefault="00AA5132" w:rsidP="00AA5132">
      <w:pPr>
        <w:tabs>
          <w:tab w:val="left" w:pos="3359"/>
        </w:tabs>
        <w:spacing w:line="251" w:lineRule="exact"/>
        <w:ind w:left="2640"/>
      </w:pPr>
      <w:r>
        <w:rPr>
          <w:smallCaps/>
          <w:spacing w:val="-5"/>
          <w:sz w:val="22"/>
        </w:rPr>
        <w:t>5A</w:t>
      </w:r>
      <w:r>
        <w:rPr>
          <w:smallCaps/>
          <w:sz w:val="22"/>
        </w:rPr>
        <w:tab/>
        <w:t>Community</w:t>
      </w:r>
      <w:r>
        <w:rPr>
          <w:smallCaps/>
          <w:spacing w:val="-6"/>
          <w:sz w:val="22"/>
        </w:rPr>
        <w:t xml:space="preserve"> </w:t>
      </w:r>
      <w:r>
        <w:rPr>
          <w:smallCaps/>
          <w:sz w:val="22"/>
        </w:rPr>
        <w:t>Health</w:t>
      </w:r>
      <w:r>
        <w:rPr>
          <w:smallCaps/>
          <w:spacing w:val="-6"/>
          <w:sz w:val="22"/>
        </w:rPr>
        <w:t xml:space="preserve"> </w:t>
      </w:r>
      <w:r>
        <w:rPr>
          <w:smallCaps/>
          <w:sz w:val="22"/>
        </w:rPr>
        <w:t>Initiative</w:t>
      </w:r>
      <w:r>
        <w:rPr>
          <w:smallCaps/>
          <w:spacing w:val="-4"/>
          <w:sz w:val="22"/>
        </w:rPr>
        <w:t xml:space="preserve"> </w:t>
      </w:r>
      <w:r>
        <w:rPr>
          <w:smallCaps/>
          <w:spacing w:val="-2"/>
          <w:sz w:val="22"/>
        </w:rPr>
        <w:t>Narrative</w:t>
      </w:r>
    </w:p>
    <w:p w14:paraId="49B0609B" w14:textId="77777777" w:rsidR="00AA5132" w:rsidRDefault="00AA5132" w:rsidP="00AA5132">
      <w:pPr>
        <w:tabs>
          <w:tab w:val="left" w:pos="3359"/>
        </w:tabs>
        <w:spacing w:before="119"/>
        <w:ind w:left="2640"/>
      </w:pPr>
      <w:r>
        <w:rPr>
          <w:smallCaps/>
          <w:spacing w:val="-5"/>
          <w:sz w:val="22"/>
        </w:rPr>
        <w:t>5B</w:t>
      </w:r>
      <w:r>
        <w:rPr>
          <w:smallCaps/>
          <w:sz w:val="22"/>
        </w:rPr>
        <w:tab/>
        <w:t>CHNA/CHIP</w:t>
      </w:r>
      <w:r>
        <w:rPr>
          <w:smallCaps/>
          <w:spacing w:val="-15"/>
          <w:sz w:val="22"/>
        </w:rPr>
        <w:t xml:space="preserve"> </w:t>
      </w:r>
      <w:r>
        <w:rPr>
          <w:smallCaps/>
          <w:sz w:val="22"/>
        </w:rPr>
        <w:t>Self-Assessment</w:t>
      </w:r>
      <w:r>
        <w:rPr>
          <w:smallCaps/>
          <w:spacing w:val="-12"/>
          <w:sz w:val="22"/>
        </w:rPr>
        <w:t xml:space="preserve"> </w:t>
      </w:r>
      <w:r>
        <w:rPr>
          <w:smallCaps/>
          <w:sz w:val="22"/>
        </w:rPr>
        <w:t>Form</w:t>
      </w:r>
      <w:r>
        <w:rPr>
          <w:smallCaps/>
          <w:spacing w:val="-4"/>
          <w:sz w:val="22"/>
        </w:rPr>
        <w:t xml:space="preserve"> </w:t>
      </w:r>
      <w:r>
        <w:rPr>
          <w:smallCaps/>
          <w:sz w:val="22"/>
        </w:rPr>
        <w:t>&amp;</w:t>
      </w:r>
      <w:r>
        <w:rPr>
          <w:smallCaps/>
          <w:spacing w:val="-12"/>
          <w:sz w:val="22"/>
        </w:rPr>
        <w:t xml:space="preserve"> </w:t>
      </w:r>
      <w:r>
        <w:rPr>
          <w:smallCaps/>
          <w:spacing w:val="-2"/>
          <w:sz w:val="22"/>
        </w:rPr>
        <w:t>Addendum</w:t>
      </w:r>
    </w:p>
    <w:p w14:paraId="0E76E5D7" w14:textId="77777777" w:rsidR="00AA5132" w:rsidRDefault="00AA5132" w:rsidP="00AA5132">
      <w:pPr>
        <w:tabs>
          <w:tab w:val="left" w:pos="3359"/>
        </w:tabs>
        <w:spacing w:before="122"/>
        <w:ind w:left="2640"/>
      </w:pPr>
      <w:r>
        <w:rPr>
          <w:smallCaps/>
          <w:spacing w:val="-5"/>
          <w:sz w:val="22"/>
        </w:rPr>
        <w:t>5C</w:t>
      </w:r>
      <w:r>
        <w:rPr>
          <w:smallCaps/>
          <w:sz w:val="22"/>
        </w:rPr>
        <w:tab/>
        <w:t>Community</w:t>
      </w:r>
      <w:r>
        <w:rPr>
          <w:smallCaps/>
          <w:spacing w:val="-8"/>
          <w:sz w:val="22"/>
        </w:rPr>
        <w:t xml:space="preserve"> </w:t>
      </w:r>
      <w:r>
        <w:rPr>
          <w:smallCaps/>
          <w:sz w:val="22"/>
        </w:rPr>
        <w:t>Engagement</w:t>
      </w:r>
      <w:r>
        <w:rPr>
          <w:smallCaps/>
          <w:spacing w:val="-2"/>
          <w:sz w:val="22"/>
        </w:rPr>
        <w:t xml:space="preserve"> </w:t>
      </w:r>
      <w:r>
        <w:rPr>
          <w:smallCaps/>
          <w:sz w:val="22"/>
        </w:rPr>
        <w:t>Plan</w:t>
      </w:r>
      <w:r>
        <w:rPr>
          <w:smallCaps/>
          <w:spacing w:val="-4"/>
          <w:sz w:val="22"/>
        </w:rPr>
        <w:t xml:space="preserve"> </w:t>
      </w:r>
      <w:r>
        <w:rPr>
          <w:smallCaps/>
          <w:sz w:val="22"/>
        </w:rPr>
        <w:t>Form</w:t>
      </w:r>
      <w:r>
        <w:rPr>
          <w:smallCaps/>
          <w:spacing w:val="-1"/>
          <w:sz w:val="22"/>
        </w:rPr>
        <w:t xml:space="preserve"> </w:t>
      </w:r>
      <w:r>
        <w:rPr>
          <w:smallCaps/>
          <w:sz w:val="22"/>
        </w:rPr>
        <w:t>&amp;</w:t>
      </w:r>
      <w:r>
        <w:rPr>
          <w:smallCaps/>
          <w:spacing w:val="-12"/>
          <w:sz w:val="22"/>
        </w:rPr>
        <w:t xml:space="preserve"> </w:t>
      </w:r>
      <w:r>
        <w:rPr>
          <w:smallCaps/>
          <w:spacing w:val="-2"/>
          <w:sz w:val="22"/>
        </w:rPr>
        <w:t>Addendum</w:t>
      </w:r>
    </w:p>
    <w:p w14:paraId="025C202F" w14:textId="77777777" w:rsidR="00AA5132" w:rsidRDefault="00AA5132" w:rsidP="00AA5132">
      <w:pPr>
        <w:tabs>
          <w:tab w:val="left" w:pos="2638"/>
          <w:tab w:val="left" w:pos="3359"/>
        </w:tabs>
        <w:spacing w:before="119" w:line="352" w:lineRule="auto"/>
        <w:ind w:left="1200" w:right="6216" w:firstLine="1439"/>
      </w:pPr>
      <w:r>
        <w:rPr>
          <w:smallCaps/>
          <w:spacing w:val="-6"/>
          <w:sz w:val="22"/>
        </w:rPr>
        <w:t>5D</w:t>
      </w:r>
      <w:r>
        <w:rPr>
          <w:smallCaps/>
          <w:sz w:val="22"/>
        </w:rPr>
        <w:tab/>
        <w:t>Link</w:t>
      </w:r>
      <w:r>
        <w:rPr>
          <w:smallCaps/>
          <w:spacing w:val="-11"/>
          <w:sz w:val="22"/>
        </w:rPr>
        <w:t xml:space="preserve"> </w:t>
      </w:r>
      <w:r>
        <w:rPr>
          <w:smallCaps/>
          <w:sz w:val="22"/>
        </w:rPr>
        <w:t>to</w:t>
      </w:r>
      <w:r>
        <w:rPr>
          <w:smallCaps/>
          <w:spacing w:val="-7"/>
          <w:sz w:val="22"/>
        </w:rPr>
        <w:t xml:space="preserve"> </w:t>
      </w:r>
      <w:r>
        <w:rPr>
          <w:smallCaps/>
          <w:sz w:val="22"/>
        </w:rPr>
        <w:t>CHNA</w:t>
      </w:r>
      <w:r>
        <w:rPr>
          <w:smallCaps/>
          <w:spacing w:val="-13"/>
          <w:sz w:val="22"/>
        </w:rPr>
        <w:t xml:space="preserve"> </w:t>
      </w:r>
      <w:r>
        <w:rPr>
          <w:smallCaps/>
          <w:sz w:val="22"/>
        </w:rPr>
        <w:t>and</w:t>
      </w:r>
      <w:r>
        <w:rPr>
          <w:smallCaps/>
          <w:spacing w:val="-7"/>
          <w:sz w:val="22"/>
        </w:rPr>
        <w:t xml:space="preserve"> </w:t>
      </w:r>
      <w:r>
        <w:rPr>
          <w:smallCaps/>
          <w:sz w:val="22"/>
        </w:rPr>
        <w:t>CHIP Appendix 6</w:t>
      </w:r>
      <w:r>
        <w:rPr>
          <w:smallCaps/>
          <w:sz w:val="22"/>
        </w:rPr>
        <w:tab/>
        <w:t>Affiliated Parties Form Appendix 7</w:t>
      </w:r>
      <w:r>
        <w:rPr>
          <w:smallCaps/>
          <w:sz w:val="22"/>
        </w:rPr>
        <w:tab/>
        <w:t>Change in Service Form Appendix 8</w:t>
      </w:r>
      <w:r>
        <w:rPr>
          <w:smallCaps/>
          <w:sz w:val="22"/>
        </w:rPr>
        <w:tab/>
        <w:t>Notice of Intent</w:t>
      </w:r>
    </w:p>
    <w:p w14:paraId="234B4B98" w14:textId="77777777" w:rsidR="00AA5132" w:rsidRDefault="00AA5132" w:rsidP="00AA5132">
      <w:pPr>
        <w:tabs>
          <w:tab w:val="left" w:pos="2638"/>
        </w:tabs>
        <w:spacing w:before="5"/>
        <w:ind w:left="1200"/>
      </w:pPr>
      <w:r>
        <w:rPr>
          <w:smallCaps/>
          <w:sz w:val="22"/>
        </w:rPr>
        <w:t>Appendix</w:t>
      </w:r>
      <w:r>
        <w:rPr>
          <w:smallCaps/>
          <w:spacing w:val="-5"/>
          <w:sz w:val="22"/>
        </w:rPr>
        <w:t xml:space="preserve"> </w:t>
      </w:r>
      <w:r>
        <w:rPr>
          <w:smallCaps/>
          <w:spacing w:val="-10"/>
          <w:sz w:val="22"/>
        </w:rPr>
        <w:t>9</w:t>
      </w:r>
      <w:r>
        <w:rPr>
          <w:smallCaps/>
          <w:sz w:val="22"/>
        </w:rPr>
        <w:tab/>
        <w:t>Articles</w:t>
      </w:r>
      <w:r>
        <w:rPr>
          <w:smallCaps/>
          <w:spacing w:val="-3"/>
          <w:sz w:val="22"/>
        </w:rPr>
        <w:t xml:space="preserve"> </w:t>
      </w:r>
      <w:r>
        <w:rPr>
          <w:smallCaps/>
          <w:sz w:val="22"/>
        </w:rPr>
        <w:t>of</w:t>
      </w:r>
      <w:r>
        <w:rPr>
          <w:smallCaps/>
          <w:spacing w:val="-2"/>
          <w:sz w:val="22"/>
        </w:rPr>
        <w:t xml:space="preserve"> Organization</w:t>
      </w:r>
    </w:p>
    <w:p w14:paraId="1A9FD99E" w14:textId="77777777" w:rsidR="00AA5132" w:rsidRDefault="00AA5132" w:rsidP="00AA5132">
      <w:pPr>
        <w:tabs>
          <w:tab w:val="left" w:pos="2638"/>
        </w:tabs>
        <w:spacing w:before="119" w:line="355" w:lineRule="auto"/>
        <w:ind w:left="1200" w:right="4875"/>
      </w:pPr>
      <w:r>
        <w:rPr>
          <w:smallCaps/>
          <w:sz w:val="22"/>
        </w:rPr>
        <w:t>Appendix 10</w:t>
      </w:r>
      <w:r>
        <w:rPr>
          <w:smallCaps/>
          <w:sz w:val="22"/>
        </w:rPr>
        <w:tab/>
        <w:t>Affidavit</w:t>
      </w:r>
      <w:r>
        <w:rPr>
          <w:smallCaps/>
          <w:spacing w:val="-9"/>
          <w:sz w:val="22"/>
        </w:rPr>
        <w:t xml:space="preserve"> </w:t>
      </w:r>
      <w:r>
        <w:rPr>
          <w:smallCaps/>
          <w:sz w:val="22"/>
        </w:rPr>
        <w:t>of</w:t>
      </w:r>
      <w:r>
        <w:rPr>
          <w:smallCaps/>
          <w:spacing w:val="-9"/>
          <w:sz w:val="22"/>
        </w:rPr>
        <w:t xml:space="preserve"> </w:t>
      </w:r>
      <w:r>
        <w:rPr>
          <w:smallCaps/>
          <w:sz w:val="22"/>
        </w:rPr>
        <w:t>Truthfulness</w:t>
      </w:r>
      <w:r>
        <w:rPr>
          <w:smallCaps/>
          <w:spacing w:val="-9"/>
          <w:sz w:val="22"/>
        </w:rPr>
        <w:t xml:space="preserve"> </w:t>
      </w:r>
      <w:r>
        <w:rPr>
          <w:smallCaps/>
          <w:sz w:val="22"/>
        </w:rPr>
        <w:t>and</w:t>
      </w:r>
      <w:r>
        <w:rPr>
          <w:smallCaps/>
          <w:spacing w:val="-9"/>
          <w:sz w:val="22"/>
        </w:rPr>
        <w:t xml:space="preserve"> </w:t>
      </w:r>
      <w:r>
        <w:rPr>
          <w:smallCaps/>
          <w:sz w:val="22"/>
        </w:rPr>
        <w:t>Compliance Appendix 11</w:t>
      </w:r>
      <w:r>
        <w:rPr>
          <w:smallCaps/>
          <w:sz w:val="22"/>
        </w:rPr>
        <w:tab/>
        <w:t>Scanned Copy of Filing Fee</w:t>
      </w:r>
    </w:p>
    <w:p w14:paraId="016C5340" w14:textId="77777777" w:rsidR="00AA5132" w:rsidRDefault="00AA5132" w:rsidP="00AA5132">
      <w:pPr>
        <w:spacing w:line="355" w:lineRule="auto"/>
        <w:sectPr w:rsidR="00AA5132">
          <w:footerReference w:type="default" r:id="rId8"/>
          <w:pgSz w:w="12240" w:h="15840"/>
          <w:pgMar w:top="1480" w:right="20" w:bottom="280" w:left="240" w:header="720" w:footer="720" w:gutter="0"/>
          <w:cols w:space="720"/>
        </w:sectPr>
      </w:pPr>
    </w:p>
    <w:p w14:paraId="33C2715A" w14:textId="77777777" w:rsidR="00AA5132" w:rsidRPr="00C217DA" w:rsidRDefault="00AA5132" w:rsidP="00C217DA">
      <w:pPr>
        <w:pStyle w:val="Heading4"/>
        <w:ind w:left="2302" w:right="2532"/>
        <w:jc w:val="center"/>
        <w:rPr>
          <w:rFonts w:ascii="Times New Roman" w:eastAsia="Times New Roman" w:hAnsi="Times New Roman" w:cs="Times New Roman"/>
          <w:i w:val="0"/>
          <w:iCs w:val="0"/>
          <w:color w:val="auto"/>
          <w:w w:val="105"/>
          <w:sz w:val="25"/>
          <w:u w:val="thick"/>
        </w:rPr>
      </w:pPr>
      <w:r w:rsidRPr="00C217DA">
        <w:rPr>
          <w:rFonts w:ascii="Times New Roman" w:eastAsia="Times New Roman" w:hAnsi="Times New Roman" w:cs="Times New Roman"/>
          <w:i w:val="0"/>
          <w:iCs w:val="0"/>
          <w:color w:val="auto"/>
          <w:w w:val="105"/>
          <w:sz w:val="25"/>
          <w:u w:val="thick"/>
        </w:rPr>
        <w:lastRenderedPageBreak/>
        <w:t>APPENDIX 1:</w:t>
      </w:r>
    </w:p>
    <w:p w14:paraId="45835EE4" w14:textId="77777777" w:rsidR="00AA5132" w:rsidRPr="00C217DA" w:rsidRDefault="00AA5132" w:rsidP="00C217DA">
      <w:pPr>
        <w:spacing w:before="225"/>
        <w:ind w:left="2302" w:right="2532"/>
        <w:jc w:val="center"/>
        <w:rPr>
          <w:w w:val="105"/>
          <w:sz w:val="25"/>
          <w:u w:val="thick"/>
        </w:rPr>
      </w:pPr>
      <w:r>
        <w:rPr>
          <w:w w:val="105"/>
          <w:sz w:val="25"/>
          <w:u w:val="thick"/>
        </w:rPr>
        <w:t>DON</w:t>
      </w:r>
      <w:r w:rsidRPr="00C217DA">
        <w:rPr>
          <w:w w:val="105"/>
          <w:sz w:val="25"/>
          <w:u w:val="thick"/>
        </w:rPr>
        <w:t xml:space="preserve"> </w:t>
      </w:r>
      <w:r>
        <w:rPr>
          <w:w w:val="105"/>
          <w:sz w:val="25"/>
          <w:u w:val="thick"/>
        </w:rPr>
        <w:t>APPLICATION</w:t>
      </w:r>
      <w:r w:rsidRPr="00C217DA">
        <w:rPr>
          <w:w w:val="105"/>
          <w:sz w:val="25"/>
          <w:u w:val="thick"/>
        </w:rPr>
        <w:t xml:space="preserve"> FORM</w:t>
      </w:r>
    </w:p>
    <w:p w14:paraId="63BF4DE5" w14:textId="77777777" w:rsidR="0061634D" w:rsidRDefault="0061634D" w:rsidP="009F76F1">
      <w:pPr>
        <w:jc w:val="both"/>
        <w:rPr>
          <w:rFonts w:ascii="Arial" w:hAnsi="Arial" w:cs="Arial"/>
          <w:b/>
          <w:bCs/>
          <w:sz w:val="22"/>
          <w:szCs w:val="22"/>
        </w:rPr>
      </w:pPr>
    </w:p>
    <w:p w14:paraId="1BEB6AF4" w14:textId="77777777" w:rsidR="00185613" w:rsidRDefault="00185613" w:rsidP="009F76F1">
      <w:pPr>
        <w:jc w:val="both"/>
        <w:rPr>
          <w:rFonts w:ascii="Arial" w:hAnsi="Arial" w:cs="Arial"/>
          <w:b/>
          <w:bCs/>
          <w:sz w:val="22"/>
          <w:szCs w:val="22"/>
        </w:rPr>
        <w:sectPr w:rsidR="00185613">
          <w:footerReference w:type="even" r:id="rId9"/>
          <w:footerReference w:type="default" r:id="rId10"/>
          <w:pgSz w:w="12240" w:h="15840"/>
          <w:pgMar w:top="1440" w:right="1440" w:bottom="1440" w:left="1440" w:header="720" w:footer="720" w:gutter="0"/>
          <w:cols w:space="720"/>
          <w:docGrid w:linePitch="360"/>
        </w:sectPr>
      </w:pP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1"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77777777" w:rsidR="00185613" w:rsidRPr="00AE6C3C" w:rsidRDefault="00185613" w:rsidP="00185613">
      <w:pPr>
        <w:spacing w:before="83"/>
        <w:ind w:left="720" w:right="1180"/>
        <w:rPr>
          <w:sz w:val="20"/>
          <w:szCs w:val="18"/>
        </w:rPr>
      </w:pPr>
      <w:r w:rsidRPr="00AE6C3C">
        <w:rPr>
          <w:sz w:val="20"/>
          <w:szCs w:val="18"/>
        </w:rPr>
        <w:t xml:space="preserve">Application Type: </w:t>
      </w:r>
      <w:r w:rsidRPr="009F219F">
        <w:rPr>
          <w:sz w:val="20"/>
          <w:szCs w:val="18"/>
        </w:rPr>
        <w:t>Hospital/Clinic Substantial Capital Expenditure</w:t>
      </w:r>
    </w:p>
    <w:p w14:paraId="3610DE07" w14:textId="77777777"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B1B6C" w:rsidRPr="007B1B6C">
        <w:rPr>
          <w:rFonts w:ascii="Arial" w:hAnsi="Arial" w:cs="Arial"/>
          <w:sz w:val="20"/>
          <w:szCs w:val="18"/>
        </w:rPr>
        <w:t>08/09/2022 8:20 am</w:t>
      </w:r>
    </w:p>
    <w:p w14:paraId="35D56073" w14:textId="0CBBD27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C56D0" w:rsidRPr="004C56D0">
        <w:rPr>
          <w:rFonts w:ascii="Arial" w:hAnsi="Arial" w:cs="Arial"/>
          <w:sz w:val="20"/>
          <w:szCs w:val="18"/>
        </w:rPr>
        <w:t>BMC Health System, Inc.</w:t>
      </w:r>
    </w:p>
    <w:p w14:paraId="55E1EC19" w14:textId="22029C1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C56D0">
        <w:rPr>
          <w:rFonts w:ascii="Arial" w:hAnsi="Arial" w:cs="Arial"/>
          <w:sz w:val="20"/>
          <w:szCs w:val="18"/>
        </w:rPr>
        <w:t>O</w:t>
      </w:r>
      <w:r w:rsidR="004C56D0" w:rsidRPr="004C56D0">
        <w:rPr>
          <w:rFonts w:ascii="Arial" w:hAnsi="Arial" w:cs="Arial"/>
          <w:sz w:val="20"/>
          <w:szCs w:val="18"/>
        </w:rPr>
        <w:t>ne Boston Medical Center Place</w:t>
      </w:r>
    </w:p>
    <w:p w14:paraId="572B707E" w14:textId="6EB74F8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02118</w:t>
      </w:r>
    </w:p>
    <w:p w14:paraId="388783D1" w14:textId="5FB9D5C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410735" w:rsidRPr="00410735">
        <w:rPr>
          <w:rFonts w:ascii="Arial" w:hAnsi="Arial" w:cs="Arial"/>
          <w:sz w:val="20"/>
          <w:szCs w:val="18"/>
        </w:rPr>
        <w:t>Kathleen Harrell, Esq.</w:t>
      </w:r>
    </w:p>
    <w:p w14:paraId="41D8ADEF" w14:textId="2C9489C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410735">
        <w:rPr>
          <w:rFonts w:ascii="Arial" w:hAnsi="Arial" w:cs="Arial"/>
          <w:sz w:val="20"/>
          <w:szCs w:val="18"/>
        </w:rPr>
        <w:t>Attorney</w:t>
      </w:r>
    </w:p>
    <w:p w14:paraId="30958ED4" w14:textId="637E8E0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E4750" w:rsidRPr="006E4750">
        <w:rPr>
          <w:rFonts w:ascii="Arial" w:hAnsi="Arial" w:cs="Arial"/>
          <w:sz w:val="20"/>
          <w:szCs w:val="18"/>
        </w:rPr>
        <w:t>1</w:t>
      </w:r>
      <w:r w:rsidR="006E4750">
        <w:rPr>
          <w:rFonts w:ascii="Arial" w:hAnsi="Arial" w:cs="Arial"/>
          <w:sz w:val="20"/>
          <w:szCs w:val="18"/>
        </w:rPr>
        <w:t xml:space="preserve">0 </w:t>
      </w:r>
      <w:r w:rsidR="006E4750" w:rsidRPr="006E4750">
        <w:rPr>
          <w:rFonts w:ascii="Arial" w:hAnsi="Arial" w:cs="Arial"/>
          <w:sz w:val="20"/>
          <w:szCs w:val="18"/>
        </w:rPr>
        <w:t>Overlook Circle</w:t>
      </w:r>
    </w:p>
    <w:p w14:paraId="74952F28" w14:textId="1C73439A"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30F41">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30F41">
        <w:rPr>
          <w:rFonts w:ascii="Arial" w:hAnsi="Arial" w:cs="Arial"/>
          <w:sz w:val="20"/>
          <w:szCs w:val="18"/>
        </w:rPr>
        <w:t>02360</w:t>
      </w:r>
    </w:p>
    <w:p w14:paraId="1A3F1110" w14:textId="4B99B2F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9F549E" w:rsidRPr="009F549E">
        <w:rPr>
          <w:rFonts w:ascii="Arial" w:hAnsi="Arial" w:cs="Arial"/>
          <w:sz w:val="20"/>
          <w:szCs w:val="18"/>
        </w:rPr>
        <w:t>8574132700</w:t>
      </w:r>
      <w:r w:rsidRPr="00AE6C3C">
        <w:rPr>
          <w:rFonts w:ascii="Arial" w:hAnsi="Arial" w:cs="Arial"/>
          <w:sz w:val="20"/>
          <w:szCs w:val="18"/>
        </w:rPr>
        <w:tab/>
        <w:t>Ext: none</w:t>
      </w:r>
    </w:p>
    <w:p w14:paraId="08414C36" w14:textId="0DA395A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0055075D" w:rsidRPr="0055075D">
          <w:rPr>
            <w:rFonts w:ascii="Arial" w:hAnsi="Arial" w:cs="Arial"/>
            <w:sz w:val="20"/>
            <w:szCs w:val="18"/>
          </w:rPr>
          <w:t>kharrell@barrettharrell.com</w:t>
        </w:r>
      </w:hyperlink>
      <w:r w:rsidR="0055075D">
        <w:rPr>
          <w:rFonts w:ascii="Arial" w:hAnsi="Arial" w:cs="Arial"/>
          <w:sz w:val="20"/>
          <w:szCs w:val="18"/>
        </w:rPr>
        <w:t xml:space="preserve"> </w:t>
      </w:r>
      <w:r w:rsidR="0055075D" w:rsidRPr="0055075D">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18C4FB5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B642F2">
        <w:rPr>
          <w:rFonts w:ascii="Arial" w:hAnsi="Arial" w:cs="Arial"/>
          <w:sz w:val="20"/>
          <w:szCs w:val="18"/>
        </w:rPr>
        <w:t>Boston Medical</w:t>
      </w:r>
      <w:r w:rsidRPr="006875D0">
        <w:rPr>
          <w:rFonts w:ascii="Arial" w:hAnsi="Arial" w:cs="Arial"/>
          <w:sz w:val="20"/>
          <w:szCs w:val="18"/>
        </w:rPr>
        <w:t xml:space="preserve"> Center</w:t>
      </w:r>
    </w:p>
    <w:p w14:paraId="5D595675" w14:textId="268A0DC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F75439">
        <w:rPr>
          <w:rFonts w:ascii="Arial" w:hAnsi="Arial" w:cs="Arial"/>
          <w:sz w:val="20"/>
          <w:szCs w:val="18"/>
        </w:rPr>
        <w:t>O</w:t>
      </w:r>
      <w:r w:rsidR="00F75439" w:rsidRPr="004C56D0">
        <w:rPr>
          <w:rFonts w:ascii="Arial" w:hAnsi="Arial" w:cs="Arial"/>
          <w:sz w:val="20"/>
          <w:szCs w:val="18"/>
        </w:rPr>
        <w:t>ne Boston Medical Center Place</w:t>
      </w:r>
    </w:p>
    <w:p w14:paraId="4756B3C0" w14:textId="1592F5D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F75439">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75439">
        <w:rPr>
          <w:rFonts w:ascii="Arial" w:hAnsi="Arial" w:cs="Arial"/>
          <w:sz w:val="20"/>
          <w:szCs w:val="18"/>
        </w:rPr>
        <w:t>02118</w:t>
      </w:r>
    </w:p>
    <w:p w14:paraId="643AA025" w14:textId="0A3E6478"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22-0</w:t>
      </w:r>
      <w:r w:rsidR="00F75439">
        <w:rPr>
          <w:rFonts w:ascii="Arial" w:hAnsi="Arial" w:cs="Arial"/>
          <w:sz w:val="20"/>
          <w:szCs w:val="18"/>
        </w:rPr>
        <w:t>031</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314FEE24"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35D27">
        <w:rPr>
          <w:rFonts w:ascii="Arial" w:hAnsi="Arial" w:cs="Arial"/>
          <w:sz w:val="20"/>
          <w:szCs w:val="18"/>
        </w:rPr>
        <w:t>BMCHS</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7698E55E" w:rsidR="000D644F" w:rsidRPr="00595DDE" w:rsidRDefault="000D644F" w:rsidP="008304B3">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BMC Health System, Inc., inclusive of Boston Accountable Care Organization, Inc.; and</w:t>
      </w:r>
      <w:r w:rsidR="00001D7B">
        <w:rPr>
          <w:rFonts w:ascii="Arial" w:hAnsi="Arial" w:cs="Arial"/>
          <w:sz w:val="20"/>
          <w:szCs w:val="18"/>
        </w:rPr>
        <w:t xml:space="preserve"> </w:t>
      </w:r>
      <w:r w:rsidR="00595DDE" w:rsidRPr="00595DDE">
        <w:rPr>
          <w:rFonts w:ascii="Arial" w:hAnsi="Arial" w:cs="Arial"/>
          <w:sz w:val="20"/>
          <w:szCs w:val="18"/>
        </w:rPr>
        <w:t>BMC Integrated Care Services, Inc.</w:t>
      </w:r>
    </w:p>
    <w:p w14:paraId="77C99EA5" w14:textId="6E1A65F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304B3">
        <w:rPr>
          <w:rFonts w:ascii="Arial" w:hAnsi="Arial" w:cs="Arial"/>
          <w:sz w:val="20"/>
          <w:szCs w:val="18"/>
        </w:rPr>
        <w:t>Yes</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03A1116C"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83538" w:rsidRPr="00E83538">
        <w:rPr>
          <w:rFonts w:ascii="Arial" w:hAnsi="Arial" w:cs="Arial"/>
          <w:sz w:val="20"/>
        </w:rPr>
        <w:t xml:space="preserve">See Appendix 2A: </w:t>
      </w:r>
      <w:proofErr w:type="spellStart"/>
      <w:r w:rsidR="00E83538" w:rsidRPr="00E83538">
        <w:rPr>
          <w:rFonts w:ascii="Arial" w:hAnsi="Arial" w:cs="Arial"/>
          <w:sz w:val="20"/>
        </w:rPr>
        <w:t>DoN</w:t>
      </w:r>
      <w:proofErr w:type="spellEnd"/>
      <w:r w:rsidR="00E83538" w:rsidRPr="00E83538">
        <w:rPr>
          <w:rFonts w:ascii="Arial" w:hAnsi="Arial" w:cs="Arial"/>
          <w:sz w:val="20"/>
        </w:rPr>
        <w:t xml:space="preserve"> Narrative - Proposed Project Description</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73484046"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33228">
        <w:rPr>
          <w:rFonts w:ascii="Arial" w:hAnsi="Arial" w:cs="Arial"/>
          <w:sz w:val="20"/>
        </w:rPr>
        <w:t>No</w:t>
      </w:r>
    </w:p>
    <w:p w14:paraId="077274B9" w14:textId="77777777" w:rsidR="00185613" w:rsidRDefault="00185613" w:rsidP="00185613">
      <w:pPr>
        <w:pStyle w:val="RHDPara12D"/>
        <w:spacing w:after="0" w:line="240" w:lineRule="auto"/>
        <w:ind w:left="720" w:right="1180" w:firstLine="0"/>
        <w:rPr>
          <w:rFonts w:ascii="Arial" w:hAnsi="Arial" w:cs="Arial"/>
          <w:sz w:val="20"/>
        </w:rPr>
      </w:pPr>
      <w:r>
        <w:rPr>
          <w:rFonts w:ascii="Arial" w:hAnsi="Arial" w:cs="Arial"/>
          <w:sz w:val="20"/>
        </w:rPr>
        <w:lastRenderedPageBreak/>
        <w:t>5.2</w:t>
      </w:r>
      <w:r>
        <w:rPr>
          <w:rFonts w:ascii="Arial" w:hAnsi="Arial" w:cs="Arial"/>
          <w:sz w:val="20"/>
        </w:rPr>
        <w:tab/>
        <w:t>If yes, is Applicant or any affiliated entity thereof a HPC-certified ACO? No</w:t>
      </w:r>
    </w:p>
    <w:p w14:paraId="4CF49028" w14:textId="77777777" w:rsidR="00185613" w:rsidRPr="007019DC" w:rsidRDefault="00185613" w:rsidP="00233228">
      <w:pPr>
        <w:pStyle w:val="RHDPara12D"/>
        <w:spacing w:after="0" w:line="240" w:lineRule="auto"/>
        <w:ind w:left="1350" w:right="1180" w:hanging="63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6F67BFFB"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2A303E" w:rsidRPr="002A303E">
        <w:rPr>
          <w:rFonts w:ascii="Arial" w:hAnsi="Arial" w:cs="Arial"/>
          <w:sz w:val="20"/>
        </w:rPr>
        <w:t>Hospital/Clinic Substantial Capital Expenditure</w:t>
      </w:r>
    </w:p>
    <w:p w14:paraId="694F43AF" w14:textId="663772E3"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F6265" w:rsidRPr="00AF6265">
        <w:rPr>
          <w:rFonts w:ascii="Arial" w:hAnsi="Arial" w:cs="Arial"/>
          <w:sz w:val="20"/>
        </w:rPr>
        <w:t>$121,239,760.00</w:t>
      </w:r>
    </w:p>
    <w:p w14:paraId="20E47D72" w14:textId="327F89A1"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44129" w:rsidRPr="00F44129">
        <w:rPr>
          <w:rFonts w:ascii="Arial" w:hAnsi="Arial" w:cs="Arial"/>
          <w:sz w:val="20"/>
        </w:rPr>
        <w:t>$6,061,988.00</w:t>
      </w:r>
    </w:p>
    <w:p w14:paraId="78AD5554" w14:textId="094E931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04911" w:rsidRPr="00904911">
        <w:rPr>
          <w:rFonts w:ascii="Arial" w:hAnsi="Arial" w:cs="Arial"/>
          <w:sz w:val="20"/>
        </w:rPr>
        <w:t>$242,479.52</w:t>
      </w:r>
    </w:p>
    <w:p w14:paraId="2CAF6C55" w14:textId="531A2ADE"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7C3F4D" w:rsidRPr="007C3F4D">
        <w:rPr>
          <w:rFonts w:ascii="Arial" w:hAnsi="Arial" w:cs="Arial"/>
          <w:sz w:val="20"/>
        </w:rPr>
        <w:t>$76,035,332.00</w:t>
      </w:r>
    </w:p>
    <w:p w14:paraId="60DBB33F" w14:textId="77777777" w:rsidR="00185613" w:rsidRPr="003715E8" w:rsidRDefault="00185613" w:rsidP="007C3F4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185613">
      <w:pPr>
        <w:spacing w:line="266" w:lineRule="auto"/>
        <w:ind w:left="720" w:right="1180"/>
        <w:rPr>
          <w:sz w:val="18"/>
        </w:rPr>
      </w:pPr>
    </w:p>
    <w:p w14:paraId="10C11D44" w14:textId="77777777" w:rsidR="00185613" w:rsidRPr="00CA02F5" w:rsidRDefault="00185613" w:rsidP="0018561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185613">
      <w:pPr>
        <w:spacing w:line="266" w:lineRule="auto"/>
        <w:ind w:left="720" w:right="1180"/>
        <w:rPr>
          <w:sz w:val="18"/>
        </w:rPr>
      </w:pPr>
    </w:p>
    <w:p w14:paraId="680CDB57"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63A4870E" w14:textId="2BCBB723" w:rsidR="00185613" w:rsidRPr="00A45DCA" w:rsidRDefault="00185613" w:rsidP="00FE24BB">
      <w:pPr>
        <w:ind w:left="144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E0580F" w:rsidRPr="00A45DCA">
        <w:rPr>
          <w:rFonts w:ascii="Arial" w:eastAsia="Calibri" w:hAnsi="Arial" w:cs="Arial"/>
          <w:sz w:val="20"/>
          <w:szCs w:val="20"/>
        </w:rPr>
        <w:t xml:space="preserve">See Appendix 2B: </w:t>
      </w:r>
      <w:proofErr w:type="spellStart"/>
      <w:r w:rsidR="00E0580F" w:rsidRPr="00A45DCA">
        <w:rPr>
          <w:rFonts w:ascii="Arial" w:eastAsia="Calibri" w:hAnsi="Arial" w:cs="Arial"/>
          <w:sz w:val="20"/>
          <w:szCs w:val="20"/>
        </w:rPr>
        <w:t>DoN</w:t>
      </w:r>
      <w:proofErr w:type="spellEnd"/>
      <w:r w:rsidR="00E0580F" w:rsidRPr="00A45DCA">
        <w:rPr>
          <w:rFonts w:ascii="Arial" w:eastAsia="Calibri" w:hAnsi="Arial" w:cs="Arial"/>
          <w:sz w:val="20"/>
          <w:szCs w:val="20"/>
        </w:rPr>
        <w:t xml:space="preserve"> Narrative - Proposed Project Factors</w:t>
      </w:r>
    </w:p>
    <w:p w14:paraId="39DE00D9" w14:textId="77777777" w:rsidR="00185613" w:rsidRPr="00A45DCA" w:rsidRDefault="00185613" w:rsidP="0018561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52DBA2C4" w:rsidR="00185613" w:rsidRPr="00A45DCA" w:rsidRDefault="00185613" w:rsidP="0018561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0580F" w:rsidRPr="00A45DCA">
        <w:rPr>
          <w:rFonts w:ascii="Arial" w:eastAsia="Calibri" w:hAnsi="Arial" w:cs="Arial"/>
          <w:sz w:val="20"/>
          <w:szCs w:val="20"/>
        </w:rPr>
        <w:t xml:space="preserve">See Appendix 2B: </w:t>
      </w:r>
      <w:proofErr w:type="spellStart"/>
      <w:r w:rsidR="00E0580F" w:rsidRPr="00A45DCA">
        <w:rPr>
          <w:rFonts w:ascii="Arial" w:eastAsia="Calibri" w:hAnsi="Arial" w:cs="Arial"/>
          <w:sz w:val="20"/>
          <w:szCs w:val="20"/>
        </w:rPr>
        <w:t>DoN</w:t>
      </w:r>
      <w:proofErr w:type="spellEnd"/>
      <w:r w:rsidR="00E0580F" w:rsidRPr="00A45DCA">
        <w:rPr>
          <w:rFonts w:ascii="Arial" w:eastAsia="Calibri" w:hAnsi="Arial" w:cs="Arial"/>
          <w:sz w:val="20"/>
          <w:szCs w:val="20"/>
        </w:rPr>
        <w:t xml:space="preserve"> Narrative - Proposed Project Factors</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33162B0B"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7B732D" w:rsidRPr="00A45DCA">
        <w:rPr>
          <w:rFonts w:ascii="Arial" w:eastAsia="Calibri" w:hAnsi="Arial" w:cs="Arial"/>
          <w:sz w:val="20"/>
          <w:szCs w:val="20"/>
        </w:rPr>
        <w:t xml:space="preserve">See Appendix 2B: </w:t>
      </w:r>
      <w:proofErr w:type="spellStart"/>
      <w:r w:rsidR="007B732D" w:rsidRPr="00A45DCA">
        <w:rPr>
          <w:rFonts w:ascii="Arial" w:eastAsia="Calibri" w:hAnsi="Arial" w:cs="Arial"/>
          <w:sz w:val="20"/>
          <w:szCs w:val="20"/>
        </w:rPr>
        <w:t>DoN</w:t>
      </w:r>
      <w:proofErr w:type="spellEnd"/>
      <w:r w:rsidR="007B732D" w:rsidRPr="00A45DCA">
        <w:rPr>
          <w:rFonts w:ascii="Arial" w:eastAsia="Calibri" w:hAnsi="Arial" w:cs="Arial"/>
          <w:sz w:val="20"/>
          <w:szCs w:val="20"/>
        </w:rPr>
        <w:t xml:space="preserve"> Narrative - Proposed Project Factors</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622E25CC"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lastRenderedPageBreak/>
        <w:t xml:space="preserve">Provide information on the evidence-base for the Proposed Project. That is, how does the Proposed Project address the Need that Applicant has identified: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 </w:t>
      </w:r>
      <w:r w:rsidRPr="00A45DCA">
        <w:rPr>
          <w:rStyle w:val="Strong"/>
          <w:rFonts w:ascii="Arial" w:hAnsi="Arial" w:cs="Arial"/>
          <w:sz w:val="20"/>
        </w:rPr>
        <w:tab/>
        <w:t>Public Health Value /Outcome-Oriented:</w:t>
      </w:r>
    </w:p>
    <w:p w14:paraId="75657CD8" w14:textId="59F0652E"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56CBD81D"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BE0DE0" w:rsidRPr="00A45DCA">
        <w:rPr>
          <w:rFonts w:ascii="Arial" w:eastAsia="Calibri" w:hAnsi="Arial" w:cs="Arial"/>
          <w:sz w:val="20"/>
          <w:szCs w:val="20"/>
        </w:rPr>
        <w:t xml:space="preserve">See Appendix 2B: </w:t>
      </w:r>
      <w:proofErr w:type="spellStart"/>
      <w:r w:rsidR="00BE0DE0" w:rsidRPr="00A45DCA">
        <w:rPr>
          <w:rFonts w:ascii="Arial" w:eastAsia="Calibri" w:hAnsi="Arial" w:cs="Arial"/>
          <w:sz w:val="20"/>
          <w:szCs w:val="20"/>
        </w:rPr>
        <w:t>DoN</w:t>
      </w:r>
      <w:proofErr w:type="spellEnd"/>
      <w:r w:rsidR="00BE0DE0" w:rsidRPr="00A45DCA">
        <w:rPr>
          <w:rFonts w:ascii="Arial" w:eastAsia="Calibri" w:hAnsi="Arial" w:cs="Arial"/>
          <w:sz w:val="20"/>
          <w:szCs w:val="20"/>
        </w:rPr>
        <w:t xml:space="preserve"> Narrative - Proposed Project Factors</w:t>
      </w:r>
    </w:p>
    <w:p w14:paraId="75A244C2" w14:textId="6B73ACB0"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3"/>
          <w:footerReference w:type="default" r:id="rId14"/>
          <w:pgSz w:w="12240" w:h="15840"/>
          <w:pgMar w:top="360" w:right="20" w:bottom="1260" w:left="240" w:header="0" w:footer="639" w:gutter="0"/>
          <w:pgNumType w:start="1"/>
          <w:cols w:space="720"/>
        </w:sectPr>
      </w:pPr>
      <w:r w:rsidRPr="00A45DCA">
        <w:rPr>
          <w:rStyle w:val="Strong"/>
          <w:rFonts w:ascii="Arial" w:hAnsi="Arial" w:cs="Arial"/>
          <w:sz w:val="20"/>
        </w:rPr>
        <w:t xml:space="preserve">F1.b.iv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A45DCA" w:rsidRPr="00A45DCA">
        <w:rPr>
          <w:rFonts w:ascii="Arial" w:eastAsia="Calibri" w:hAnsi="Arial" w:cs="Arial"/>
          <w:sz w:val="20"/>
          <w:szCs w:val="20"/>
        </w:rPr>
        <w:t xml:space="preserve">See Appendix 2B: </w:t>
      </w:r>
      <w:proofErr w:type="spellStart"/>
      <w:r w:rsidR="00A45DCA" w:rsidRPr="00A45DCA">
        <w:rPr>
          <w:rFonts w:ascii="Arial" w:eastAsia="Calibri" w:hAnsi="Arial" w:cs="Arial"/>
          <w:sz w:val="20"/>
          <w:szCs w:val="20"/>
        </w:rPr>
        <w:t>DoN</w:t>
      </w:r>
      <w:proofErr w:type="spellEnd"/>
      <w:r w:rsidR="00A45DCA" w:rsidRPr="00A45DCA">
        <w:rPr>
          <w:rFonts w:ascii="Arial" w:eastAsia="Calibri" w:hAnsi="Arial" w:cs="Arial"/>
          <w:sz w:val="20"/>
          <w:szCs w:val="20"/>
        </w:rPr>
        <w:t xml:space="preserve"> Narrative - Proposed Project Factors</w:t>
      </w:r>
    </w:p>
    <w:p w14:paraId="6D34AFC0" w14:textId="4C49860F"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19473A89" w14:textId="52FE0A0E"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5C9D4EE4" w14:textId="584A6CC3"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7542FF" w:rsidRPr="00E0580F">
        <w:rPr>
          <w:rFonts w:ascii="Arial" w:eastAsia="Calibri" w:hAnsi="Arial" w:cs="Arial"/>
          <w:sz w:val="20"/>
          <w:szCs w:val="20"/>
        </w:rPr>
        <w:t xml:space="preserve">See Appendix 2B: </w:t>
      </w:r>
      <w:proofErr w:type="spellStart"/>
      <w:r w:rsidR="007542FF" w:rsidRPr="00E0580F">
        <w:rPr>
          <w:rFonts w:ascii="Arial" w:eastAsia="Calibri" w:hAnsi="Arial" w:cs="Arial"/>
          <w:sz w:val="20"/>
          <w:szCs w:val="20"/>
        </w:rPr>
        <w:t>DoN</w:t>
      </w:r>
      <w:proofErr w:type="spellEnd"/>
      <w:r w:rsidR="007542FF" w:rsidRPr="00E0580F">
        <w:rPr>
          <w:rFonts w:ascii="Arial" w:eastAsia="Calibri" w:hAnsi="Arial" w:cs="Arial"/>
          <w:sz w:val="20"/>
          <w:szCs w:val="20"/>
        </w:rPr>
        <w:t xml:space="preserve"> Narrative - Proposed Project Factors</w:t>
      </w:r>
    </w:p>
    <w:p w14:paraId="19E878B7" w14:textId="13C71289"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 xml:space="preserve">F1.e.ii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7542FF" w:rsidRPr="009F5CCE">
        <w:rPr>
          <w:rFonts w:ascii="Arial" w:eastAsia="Calibri" w:hAnsi="Arial" w:cs="Arial"/>
          <w:sz w:val="20"/>
          <w:szCs w:val="20"/>
        </w:rPr>
        <w:t xml:space="preserve">See Appendix 2B: </w:t>
      </w:r>
      <w:proofErr w:type="spellStart"/>
      <w:r w:rsidR="007542FF" w:rsidRPr="009F5CCE">
        <w:rPr>
          <w:rFonts w:ascii="Arial" w:eastAsia="Calibri" w:hAnsi="Arial" w:cs="Arial"/>
          <w:sz w:val="20"/>
          <w:szCs w:val="20"/>
        </w:rPr>
        <w:t>DoN</w:t>
      </w:r>
      <w:proofErr w:type="spellEnd"/>
      <w:r w:rsidR="007542FF" w:rsidRPr="009F5CCE">
        <w:rPr>
          <w:rFonts w:ascii="Arial" w:eastAsia="Calibri" w:hAnsi="Arial" w:cs="Arial"/>
          <w:sz w:val="20"/>
          <w:szCs w:val="20"/>
        </w:rPr>
        <w:t xml:space="preserve"> Narrative - Proposed Project Factors</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6F7926AA" w14:textId="24C3B1B9"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710726">
        <w:rPr>
          <w:rStyle w:val="Strong"/>
          <w:rFonts w:ascii="Arial" w:hAnsi="Arial" w:cs="Arial"/>
          <w:b w:val="0"/>
          <w:bCs w:val="0"/>
          <w:sz w:val="20"/>
        </w:rPr>
        <w:t xml:space="preserve"> :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62E5D591"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5B770DEF"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710726" w:rsidRPr="00E0580F">
        <w:rPr>
          <w:rFonts w:ascii="Arial" w:eastAsia="Calibri" w:hAnsi="Arial" w:cs="Arial"/>
          <w:sz w:val="20"/>
          <w:szCs w:val="20"/>
        </w:rPr>
        <w:t xml:space="preserve">See Appendix 2B: </w:t>
      </w:r>
      <w:proofErr w:type="spellStart"/>
      <w:r w:rsidR="00710726" w:rsidRPr="00E0580F">
        <w:rPr>
          <w:rFonts w:ascii="Arial" w:eastAsia="Calibri" w:hAnsi="Arial" w:cs="Arial"/>
          <w:sz w:val="20"/>
          <w:szCs w:val="20"/>
        </w:rPr>
        <w:t>DoN</w:t>
      </w:r>
      <w:proofErr w:type="spellEnd"/>
      <w:r w:rsidR="00710726" w:rsidRPr="00E0580F">
        <w:rPr>
          <w:rFonts w:ascii="Arial" w:eastAsia="Calibri" w:hAnsi="Arial" w:cs="Arial"/>
          <w:sz w:val="20"/>
          <w:szCs w:val="20"/>
        </w:rPr>
        <w:t xml:space="preserve"> Narrative - Proposed Project Factors</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614B843A" w:rsidR="00185613" w:rsidRPr="005C6D55" w:rsidRDefault="005C6D55" w:rsidP="005C6D55">
            <w:pPr>
              <w:pStyle w:val="RBBasic"/>
              <w:rPr>
                <w:rFonts w:ascii="Arial" w:hAnsi="Arial" w:cs="Arial"/>
                <w:sz w:val="18"/>
                <w:szCs w:val="18"/>
              </w:rPr>
            </w:pPr>
            <w:r w:rsidRPr="005C6D55">
              <w:rPr>
                <w:rFonts w:ascii="Arial" w:hAnsi="Arial" w:cs="Arial"/>
                <w:sz w:val="18"/>
                <w:szCs w:val="18"/>
              </w:rPr>
              <w:t>BMCHS-22062406-TS</w:t>
            </w:r>
          </w:p>
        </w:tc>
        <w:tc>
          <w:tcPr>
            <w:tcW w:w="1284" w:type="dxa"/>
          </w:tcPr>
          <w:p w14:paraId="3C33CF37" w14:textId="0237D494" w:rsidR="00185613" w:rsidRPr="005C6D55" w:rsidRDefault="005C6D55" w:rsidP="005C6D55">
            <w:pPr>
              <w:pStyle w:val="RBBasic"/>
              <w:rPr>
                <w:rFonts w:ascii="Arial" w:hAnsi="Arial" w:cs="Arial"/>
                <w:sz w:val="18"/>
                <w:szCs w:val="18"/>
              </w:rPr>
            </w:pPr>
            <w:r w:rsidRPr="005C6D55">
              <w:rPr>
                <w:rFonts w:ascii="Arial" w:hAnsi="Arial" w:cs="Arial"/>
                <w:sz w:val="18"/>
                <w:szCs w:val="18"/>
              </w:rPr>
              <w:t>07/21/2022</w:t>
            </w:r>
          </w:p>
        </w:tc>
        <w:tc>
          <w:tcPr>
            <w:tcW w:w="3184" w:type="dxa"/>
          </w:tcPr>
          <w:p w14:paraId="2AA14880" w14:textId="1253EDAD" w:rsidR="00185613" w:rsidRPr="005C6D55" w:rsidRDefault="005C6D55" w:rsidP="005C6D55">
            <w:pPr>
              <w:pStyle w:val="RBBasic"/>
              <w:rPr>
                <w:rFonts w:ascii="Arial" w:hAnsi="Arial" w:cs="Arial"/>
                <w:sz w:val="18"/>
                <w:szCs w:val="18"/>
              </w:rPr>
            </w:pPr>
            <w:r w:rsidRPr="005C6D55">
              <w:rPr>
                <w:rFonts w:ascii="Arial" w:hAnsi="Arial" w:cs="Arial"/>
                <w:sz w:val="18"/>
                <w:szCs w:val="18"/>
              </w:rPr>
              <w:t>Transfer of Site/Change in Designated Location</w:t>
            </w:r>
          </w:p>
        </w:tc>
        <w:tc>
          <w:tcPr>
            <w:tcW w:w="1862" w:type="dxa"/>
          </w:tcPr>
          <w:p w14:paraId="08670FF9" w14:textId="4B63F493" w:rsidR="00185613" w:rsidRPr="005C6D55" w:rsidRDefault="005C6D55" w:rsidP="005C6D55">
            <w:pPr>
              <w:pStyle w:val="RBBasic"/>
              <w:rPr>
                <w:rFonts w:ascii="Arial" w:hAnsi="Arial" w:cs="Arial"/>
                <w:sz w:val="18"/>
                <w:szCs w:val="18"/>
              </w:rPr>
            </w:pPr>
            <w:r w:rsidRPr="005C6D55">
              <w:rPr>
                <w:rFonts w:ascii="Arial" w:hAnsi="Arial" w:cs="Arial"/>
                <w:sz w:val="18"/>
                <w:szCs w:val="18"/>
              </w:rPr>
              <w:t>Boston Medical Center</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5"/>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185613" w:rsidRPr="00AE6C3C" w14:paraId="6D8A1CE5" w14:textId="77777777" w:rsidTr="00946FCF">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946FCF">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946FCF">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396994A9" w:rsidR="00185613" w:rsidRPr="00E36E58" w:rsidRDefault="00E36E58" w:rsidP="00E36E58">
            <w:pPr>
              <w:rPr>
                <w:rFonts w:ascii="Arial" w:hAnsi="Arial" w:cs="Arial"/>
              </w:rPr>
            </w:pPr>
            <w:r w:rsidRPr="00E36E58">
              <w:rPr>
                <w:rFonts w:ascii="Arial" w:hAnsi="Arial" w:cs="Arial"/>
                <w:sz w:val="18"/>
                <w:szCs w:val="18"/>
              </w:rPr>
              <w:t>See Appendix 4B: Factor 4 Materials - Factor 4.a.i Capital Costs Chart</w:t>
            </w:r>
          </w:p>
        </w:tc>
        <w:tc>
          <w:tcPr>
            <w:tcW w:w="563" w:type="dxa"/>
          </w:tcPr>
          <w:p w14:paraId="74BD6722" w14:textId="37A624DA" w:rsidR="00185613" w:rsidRPr="00AD68B3" w:rsidRDefault="00185613" w:rsidP="005E0CBF">
            <w:pPr>
              <w:pStyle w:val="RBBasic"/>
              <w:rPr>
                <w:rFonts w:ascii="Arial" w:hAnsi="Arial" w:cs="Arial"/>
                <w:sz w:val="18"/>
                <w:szCs w:val="18"/>
              </w:rPr>
            </w:pPr>
          </w:p>
        </w:tc>
        <w:tc>
          <w:tcPr>
            <w:tcW w:w="900" w:type="dxa"/>
          </w:tcPr>
          <w:p w14:paraId="212A7086" w14:textId="4418CB04" w:rsidR="00185613" w:rsidRPr="00AD68B3" w:rsidRDefault="005E0CBF" w:rsidP="00C64C34">
            <w:pPr>
              <w:pStyle w:val="RBBasic"/>
              <w:jc w:val="center"/>
              <w:rPr>
                <w:rFonts w:ascii="Arial" w:hAnsi="Arial" w:cs="Arial"/>
                <w:sz w:val="18"/>
                <w:szCs w:val="18"/>
              </w:rPr>
            </w:pPr>
            <w:r>
              <w:rPr>
                <w:rFonts w:ascii="Arial" w:hAnsi="Arial" w:cs="Arial"/>
                <w:sz w:val="18"/>
                <w:szCs w:val="18"/>
              </w:rPr>
              <w:t>[remainder of table blank]</w:t>
            </w:r>
          </w:p>
        </w:tc>
        <w:tc>
          <w:tcPr>
            <w:tcW w:w="787" w:type="dxa"/>
          </w:tcPr>
          <w:p w14:paraId="742B912E" w14:textId="29F353A8" w:rsidR="00185613" w:rsidRPr="00AD68B3" w:rsidRDefault="00185613" w:rsidP="00C64C34">
            <w:pPr>
              <w:pStyle w:val="RBBasic"/>
              <w:jc w:val="center"/>
              <w:rPr>
                <w:rFonts w:ascii="Arial" w:hAnsi="Arial" w:cs="Arial"/>
                <w:spacing w:val="-4"/>
                <w:w w:val="90"/>
                <w:sz w:val="18"/>
                <w:szCs w:val="18"/>
              </w:rPr>
            </w:pPr>
          </w:p>
        </w:tc>
        <w:tc>
          <w:tcPr>
            <w:tcW w:w="810" w:type="dxa"/>
          </w:tcPr>
          <w:p w14:paraId="466D7D02" w14:textId="26EB3F97" w:rsidR="00185613" w:rsidRPr="00AD68B3" w:rsidRDefault="00185613" w:rsidP="00C64C34">
            <w:pPr>
              <w:pStyle w:val="RBBasic"/>
              <w:jc w:val="center"/>
              <w:rPr>
                <w:rFonts w:ascii="Arial" w:hAnsi="Arial" w:cs="Arial"/>
                <w:spacing w:val="-4"/>
                <w:w w:val="90"/>
                <w:sz w:val="18"/>
                <w:szCs w:val="18"/>
              </w:rPr>
            </w:pPr>
          </w:p>
        </w:tc>
        <w:tc>
          <w:tcPr>
            <w:tcW w:w="743" w:type="dxa"/>
          </w:tcPr>
          <w:p w14:paraId="716193C2" w14:textId="752BA87A" w:rsidR="00185613" w:rsidRPr="00AD68B3" w:rsidRDefault="00185613" w:rsidP="00C64C34">
            <w:pPr>
              <w:pStyle w:val="RBBasic"/>
              <w:jc w:val="center"/>
              <w:rPr>
                <w:rFonts w:ascii="Arial" w:hAnsi="Arial" w:cs="Arial"/>
                <w:sz w:val="18"/>
                <w:szCs w:val="18"/>
              </w:rPr>
            </w:pPr>
          </w:p>
        </w:tc>
        <w:tc>
          <w:tcPr>
            <w:tcW w:w="810" w:type="dxa"/>
          </w:tcPr>
          <w:p w14:paraId="476E781B" w14:textId="0FD839BC" w:rsidR="00185613" w:rsidRPr="00AD68B3" w:rsidRDefault="00185613" w:rsidP="00C64C34">
            <w:pPr>
              <w:pStyle w:val="RBBasic"/>
              <w:jc w:val="center"/>
              <w:rPr>
                <w:rFonts w:ascii="Arial" w:hAnsi="Arial" w:cs="Arial"/>
                <w:sz w:val="18"/>
                <w:szCs w:val="18"/>
              </w:rPr>
            </w:pPr>
          </w:p>
        </w:tc>
        <w:tc>
          <w:tcPr>
            <w:tcW w:w="1080" w:type="dxa"/>
          </w:tcPr>
          <w:p w14:paraId="74027CBF" w14:textId="24C0B479" w:rsidR="00185613" w:rsidRPr="00AD68B3" w:rsidRDefault="00185613" w:rsidP="00C64C34">
            <w:pPr>
              <w:pStyle w:val="RBBasic"/>
              <w:jc w:val="center"/>
              <w:rPr>
                <w:rFonts w:ascii="Arial" w:hAnsi="Arial" w:cs="Arial"/>
                <w:sz w:val="18"/>
                <w:szCs w:val="18"/>
              </w:rPr>
            </w:pPr>
          </w:p>
        </w:tc>
        <w:tc>
          <w:tcPr>
            <w:tcW w:w="967" w:type="dxa"/>
          </w:tcPr>
          <w:p w14:paraId="1E789C88" w14:textId="6CE19291" w:rsidR="00185613" w:rsidRPr="00AD68B3" w:rsidRDefault="00185613" w:rsidP="00C64C34">
            <w:pPr>
              <w:pStyle w:val="RBBasic"/>
              <w:jc w:val="center"/>
              <w:rPr>
                <w:rFonts w:ascii="Arial" w:hAnsi="Arial" w:cs="Arial"/>
                <w:sz w:val="18"/>
                <w:szCs w:val="18"/>
              </w:rPr>
            </w:pPr>
          </w:p>
        </w:tc>
        <w:tc>
          <w:tcPr>
            <w:tcW w:w="1350" w:type="dxa"/>
          </w:tcPr>
          <w:p w14:paraId="1419CBAD" w14:textId="5563B347" w:rsidR="00185613" w:rsidRPr="00AD68B3" w:rsidRDefault="00185613" w:rsidP="00C64C34">
            <w:pPr>
              <w:pStyle w:val="RBBasic"/>
              <w:jc w:val="center"/>
              <w:rPr>
                <w:rFonts w:ascii="Arial" w:hAnsi="Arial" w:cs="Arial"/>
                <w:sz w:val="18"/>
                <w:szCs w:val="18"/>
              </w:rPr>
            </w:pPr>
          </w:p>
        </w:tc>
        <w:tc>
          <w:tcPr>
            <w:tcW w:w="1440" w:type="dxa"/>
          </w:tcPr>
          <w:p w14:paraId="3CA75D27" w14:textId="3F986B93" w:rsidR="00185613" w:rsidRPr="00AD68B3" w:rsidRDefault="00185613" w:rsidP="00C64C34">
            <w:pPr>
              <w:pStyle w:val="RBBasic"/>
              <w:jc w:val="center"/>
              <w:rPr>
                <w:rFonts w:ascii="Arial" w:hAnsi="Arial" w:cs="Arial"/>
                <w:sz w:val="18"/>
                <w:szCs w:val="18"/>
              </w:rPr>
            </w:pPr>
          </w:p>
        </w:tc>
        <w:tc>
          <w:tcPr>
            <w:tcW w:w="1170" w:type="dxa"/>
          </w:tcPr>
          <w:p w14:paraId="7BAD6892" w14:textId="3621892E" w:rsidR="00185613" w:rsidRPr="00AD68B3" w:rsidRDefault="00185613" w:rsidP="00C64C34">
            <w:pPr>
              <w:pStyle w:val="RBBasic"/>
              <w:jc w:val="center"/>
              <w:rPr>
                <w:rFonts w:ascii="Arial" w:hAnsi="Arial" w:cs="Arial"/>
                <w:sz w:val="18"/>
                <w:szCs w:val="18"/>
              </w:rPr>
            </w:pPr>
          </w:p>
        </w:tc>
        <w:tc>
          <w:tcPr>
            <w:tcW w:w="1062" w:type="dxa"/>
          </w:tcPr>
          <w:p w14:paraId="4691AD36" w14:textId="77E5635B" w:rsidR="00185613" w:rsidRPr="00AD68B3" w:rsidRDefault="00185613" w:rsidP="00C64C34">
            <w:pPr>
              <w:pStyle w:val="RBBasic"/>
              <w:jc w:val="center"/>
              <w:rPr>
                <w:rFonts w:ascii="Arial" w:hAnsi="Arial" w:cs="Arial"/>
                <w:sz w:val="18"/>
                <w:szCs w:val="18"/>
              </w:rPr>
            </w:pPr>
          </w:p>
        </w:tc>
      </w:tr>
      <w:tr w:rsidR="00946FCF" w:rsidRPr="00AE6C3C" w14:paraId="566F54BD" w14:textId="77777777" w:rsidTr="00946FCF">
        <w:trPr>
          <w:cantSplit/>
          <w:trHeight w:val="434"/>
        </w:trPr>
        <w:tc>
          <w:tcPr>
            <w:tcW w:w="625" w:type="dxa"/>
            <w:shd w:val="clear" w:color="auto" w:fill="BDC7DF"/>
          </w:tcPr>
          <w:p w14:paraId="384EEEF8" w14:textId="77777777" w:rsidR="00185613" w:rsidRPr="00104880" w:rsidRDefault="00185613" w:rsidP="00C64C34">
            <w:pPr>
              <w:pStyle w:val="RBBasic"/>
              <w:spacing w:after="120"/>
              <w:jc w:val="center"/>
              <w:rPr>
                <w:rFonts w:ascii="Arial" w:hAnsi="Arial" w:cs="Arial"/>
                <w:sz w:val="16"/>
                <w:szCs w:val="16"/>
              </w:rPr>
            </w:pPr>
          </w:p>
        </w:tc>
        <w:tc>
          <w:tcPr>
            <w:tcW w:w="2250" w:type="dxa"/>
            <w:shd w:val="clear" w:color="auto" w:fill="BDC7DF"/>
          </w:tcPr>
          <w:p w14:paraId="47325F1C" w14:textId="77777777" w:rsidR="00185613" w:rsidRPr="00104880" w:rsidRDefault="00185613" w:rsidP="00C64C34">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27785CB" w14:textId="7B3B4820" w:rsidR="00185613" w:rsidRPr="009A75B0" w:rsidRDefault="00185613" w:rsidP="00C64C34">
            <w:pPr>
              <w:pStyle w:val="RBBasic"/>
              <w:jc w:val="center"/>
              <w:rPr>
                <w:rFonts w:ascii="Arial" w:hAnsi="Arial" w:cs="Arial"/>
                <w:spacing w:val="-2"/>
                <w:sz w:val="18"/>
                <w:szCs w:val="18"/>
              </w:rPr>
            </w:pPr>
          </w:p>
        </w:tc>
        <w:tc>
          <w:tcPr>
            <w:tcW w:w="900" w:type="dxa"/>
            <w:shd w:val="clear" w:color="auto" w:fill="BDC7DF"/>
          </w:tcPr>
          <w:p w14:paraId="6E54A7AB" w14:textId="2560521F" w:rsidR="00185613" w:rsidRPr="009A75B0" w:rsidRDefault="00185613" w:rsidP="00C64C34">
            <w:pPr>
              <w:pStyle w:val="RBBasic"/>
              <w:jc w:val="center"/>
              <w:rPr>
                <w:rFonts w:ascii="Arial" w:hAnsi="Arial" w:cs="Arial"/>
                <w:spacing w:val="-2"/>
                <w:sz w:val="18"/>
                <w:szCs w:val="18"/>
              </w:rPr>
            </w:pPr>
          </w:p>
        </w:tc>
        <w:tc>
          <w:tcPr>
            <w:tcW w:w="787" w:type="dxa"/>
            <w:shd w:val="clear" w:color="auto" w:fill="BDC7DF"/>
          </w:tcPr>
          <w:p w14:paraId="40B12CC1" w14:textId="2FBA9E86" w:rsidR="00185613" w:rsidRPr="009A75B0" w:rsidRDefault="00185613" w:rsidP="00C64C34">
            <w:pPr>
              <w:pStyle w:val="RBBasic"/>
              <w:jc w:val="center"/>
              <w:rPr>
                <w:rFonts w:ascii="Arial" w:hAnsi="Arial" w:cs="Arial"/>
                <w:spacing w:val="-2"/>
                <w:sz w:val="18"/>
                <w:szCs w:val="18"/>
              </w:rPr>
            </w:pPr>
          </w:p>
        </w:tc>
        <w:tc>
          <w:tcPr>
            <w:tcW w:w="810" w:type="dxa"/>
            <w:shd w:val="clear" w:color="auto" w:fill="BDC7DF"/>
          </w:tcPr>
          <w:p w14:paraId="680EB5A9" w14:textId="7B84C65C" w:rsidR="00185613" w:rsidRPr="009A75B0" w:rsidRDefault="00185613" w:rsidP="00C64C34">
            <w:pPr>
              <w:pStyle w:val="RBBasic"/>
              <w:jc w:val="center"/>
              <w:rPr>
                <w:rFonts w:ascii="Arial" w:hAnsi="Arial" w:cs="Arial"/>
                <w:spacing w:val="-2"/>
                <w:sz w:val="18"/>
                <w:szCs w:val="18"/>
              </w:rPr>
            </w:pPr>
          </w:p>
        </w:tc>
        <w:tc>
          <w:tcPr>
            <w:tcW w:w="743" w:type="dxa"/>
            <w:shd w:val="clear" w:color="auto" w:fill="BDC7DF"/>
          </w:tcPr>
          <w:p w14:paraId="175C1486" w14:textId="22B45745" w:rsidR="00185613" w:rsidRPr="009A75B0" w:rsidRDefault="00185613" w:rsidP="00C64C34">
            <w:pPr>
              <w:pStyle w:val="RBBasic"/>
              <w:jc w:val="center"/>
              <w:rPr>
                <w:rFonts w:ascii="Arial" w:hAnsi="Arial" w:cs="Arial"/>
                <w:spacing w:val="-2"/>
                <w:sz w:val="18"/>
                <w:szCs w:val="18"/>
              </w:rPr>
            </w:pPr>
          </w:p>
        </w:tc>
        <w:tc>
          <w:tcPr>
            <w:tcW w:w="810" w:type="dxa"/>
            <w:shd w:val="clear" w:color="auto" w:fill="BDC7DF"/>
          </w:tcPr>
          <w:p w14:paraId="428C2362" w14:textId="7DD30002" w:rsidR="00185613" w:rsidRPr="009A75B0" w:rsidRDefault="00185613" w:rsidP="00C64C34">
            <w:pPr>
              <w:pStyle w:val="RBBasic"/>
              <w:jc w:val="center"/>
              <w:rPr>
                <w:rFonts w:ascii="Arial" w:hAnsi="Arial" w:cs="Arial"/>
                <w:spacing w:val="-2"/>
                <w:sz w:val="18"/>
                <w:szCs w:val="18"/>
              </w:rPr>
            </w:pPr>
          </w:p>
        </w:tc>
        <w:tc>
          <w:tcPr>
            <w:tcW w:w="1080" w:type="dxa"/>
            <w:shd w:val="clear" w:color="auto" w:fill="BDC7DF"/>
          </w:tcPr>
          <w:p w14:paraId="1536441D" w14:textId="54B9FAAF" w:rsidR="00185613" w:rsidRPr="009A75B0" w:rsidRDefault="00185613" w:rsidP="00C64C34">
            <w:pPr>
              <w:pStyle w:val="RBBasic"/>
              <w:jc w:val="center"/>
              <w:rPr>
                <w:rFonts w:ascii="Arial" w:hAnsi="Arial" w:cs="Arial"/>
                <w:spacing w:val="-2"/>
                <w:sz w:val="18"/>
                <w:szCs w:val="18"/>
              </w:rPr>
            </w:pPr>
          </w:p>
        </w:tc>
        <w:tc>
          <w:tcPr>
            <w:tcW w:w="967" w:type="dxa"/>
            <w:shd w:val="clear" w:color="auto" w:fill="BDC7DF"/>
          </w:tcPr>
          <w:p w14:paraId="5DDFDA62" w14:textId="49E797DE" w:rsidR="00185613" w:rsidRPr="009A75B0" w:rsidRDefault="00185613" w:rsidP="00C64C34">
            <w:pPr>
              <w:pStyle w:val="RBBasic"/>
              <w:jc w:val="center"/>
              <w:rPr>
                <w:rFonts w:ascii="Arial" w:hAnsi="Arial" w:cs="Arial"/>
                <w:spacing w:val="-2"/>
                <w:sz w:val="18"/>
                <w:szCs w:val="18"/>
              </w:rPr>
            </w:pPr>
          </w:p>
        </w:tc>
        <w:tc>
          <w:tcPr>
            <w:tcW w:w="1350" w:type="dxa"/>
            <w:shd w:val="clear" w:color="auto" w:fill="BDC7DF"/>
          </w:tcPr>
          <w:p w14:paraId="6FC9D73D" w14:textId="7EDB9B73" w:rsidR="00185613" w:rsidRPr="009A75B0" w:rsidRDefault="00185613" w:rsidP="00C64C34">
            <w:pPr>
              <w:pStyle w:val="RBBasic"/>
              <w:spacing w:after="120"/>
              <w:jc w:val="center"/>
              <w:rPr>
                <w:rFonts w:ascii="Arial" w:hAnsi="Arial" w:cs="Arial"/>
                <w:sz w:val="18"/>
                <w:szCs w:val="18"/>
              </w:rPr>
            </w:pPr>
          </w:p>
        </w:tc>
        <w:tc>
          <w:tcPr>
            <w:tcW w:w="1440" w:type="dxa"/>
            <w:shd w:val="clear" w:color="auto" w:fill="BDC7DF"/>
          </w:tcPr>
          <w:p w14:paraId="2D531FBF" w14:textId="2D0A4A92" w:rsidR="00185613" w:rsidRPr="009A75B0" w:rsidRDefault="00185613" w:rsidP="00C64C34">
            <w:pPr>
              <w:pStyle w:val="RBBasic"/>
              <w:spacing w:after="120"/>
              <w:jc w:val="center"/>
              <w:rPr>
                <w:rFonts w:ascii="Arial" w:hAnsi="Arial" w:cs="Arial"/>
                <w:sz w:val="18"/>
                <w:szCs w:val="18"/>
              </w:rPr>
            </w:pPr>
          </w:p>
        </w:tc>
        <w:tc>
          <w:tcPr>
            <w:tcW w:w="1170" w:type="dxa"/>
            <w:shd w:val="clear" w:color="auto" w:fill="BDC7DF"/>
          </w:tcPr>
          <w:p w14:paraId="68F59B1B" w14:textId="13F805FC" w:rsidR="00185613" w:rsidRPr="009A75B0" w:rsidRDefault="00185613" w:rsidP="00C64C34">
            <w:pPr>
              <w:pStyle w:val="RBBasic"/>
              <w:spacing w:after="120"/>
              <w:jc w:val="center"/>
              <w:rPr>
                <w:rFonts w:ascii="Arial" w:hAnsi="Arial" w:cs="Arial"/>
                <w:sz w:val="18"/>
                <w:szCs w:val="18"/>
              </w:rPr>
            </w:pPr>
          </w:p>
        </w:tc>
        <w:tc>
          <w:tcPr>
            <w:tcW w:w="1062" w:type="dxa"/>
            <w:shd w:val="clear" w:color="auto" w:fill="BDC7DF"/>
          </w:tcPr>
          <w:p w14:paraId="314C47E8" w14:textId="5A3DE7F2" w:rsidR="00185613" w:rsidRPr="009A75B0" w:rsidRDefault="00185613" w:rsidP="00C64C34">
            <w:pPr>
              <w:pStyle w:val="RBBasic"/>
              <w:spacing w:after="120"/>
              <w:jc w:val="center"/>
              <w:rPr>
                <w:rFonts w:ascii="Arial" w:hAnsi="Arial" w:cs="Arial"/>
                <w:sz w:val="18"/>
                <w:szCs w:val="18"/>
              </w:rPr>
            </w:pP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51CFC674"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347D93E2" w14:textId="6F109572"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509F1559" w14:textId="4B61C95F" w:rsidR="00185613"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r>
      <w:tr w:rsidR="00185613" w:rsidRPr="005940F3" w14:paraId="0FB7CE45" w14:textId="77777777" w:rsidTr="005B30E3">
        <w:trPr>
          <w:cantSplit/>
          <w:trHeight w:val="305"/>
        </w:trPr>
        <w:tc>
          <w:tcPr>
            <w:tcW w:w="942" w:type="dxa"/>
          </w:tcPr>
          <w:p w14:paraId="4435D317" w14:textId="77777777" w:rsidR="00185613" w:rsidRPr="00EC0616" w:rsidRDefault="00185613" w:rsidP="00C64C34">
            <w:pPr>
              <w:pStyle w:val="RBBasic"/>
              <w:spacing w:after="60"/>
              <w:rPr>
                <w:rFonts w:ascii="Arial" w:hAnsi="Arial" w:cs="Arial"/>
                <w:sz w:val="18"/>
                <w:szCs w:val="18"/>
              </w:rPr>
            </w:pPr>
          </w:p>
        </w:tc>
        <w:tc>
          <w:tcPr>
            <w:tcW w:w="3794" w:type="dxa"/>
          </w:tcPr>
          <w:p w14:paraId="5FF0045B"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6DE6D1EE" w:rsidR="00185613"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$185000</w:t>
            </w:r>
            <w:r w:rsidRPr="00EC0616">
              <w:rPr>
                <w:rFonts w:ascii="Arial" w:eastAsiaTheme="minorHAnsi" w:hAnsi="Arial" w:cs="Arial"/>
                <w:color w:val="393939"/>
                <w:sz w:val="18"/>
                <w:szCs w:val="18"/>
              </w:rPr>
              <w:t xml:space="preserve">. </w:t>
            </w:r>
          </w:p>
        </w:tc>
        <w:tc>
          <w:tcPr>
            <w:tcW w:w="1284" w:type="dxa"/>
            <w:gridSpan w:val="3"/>
          </w:tcPr>
          <w:p w14:paraId="64839A63" w14:textId="4B107F76" w:rsidR="00185613"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$26000</w:t>
            </w:r>
            <w:r w:rsidRPr="00EC0616">
              <w:rPr>
                <w:rFonts w:ascii="Arial" w:eastAsiaTheme="minorHAnsi" w:hAnsi="Arial" w:cs="Arial"/>
                <w:color w:val="393939"/>
                <w:sz w:val="18"/>
                <w:szCs w:val="18"/>
              </w:rPr>
              <w:t>.</w:t>
            </w:r>
          </w:p>
        </w:tc>
        <w:tc>
          <w:tcPr>
            <w:tcW w:w="1268" w:type="dxa"/>
            <w:shd w:val="clear" w:color="auto" w:fill="D9D9D9" w:themeFill="background1" w:themeFillShade="D9"/>
          </w:tcPr>
          <w:p w14:paraId="27C6C672" w14:textId="3CF3C9D4" w:rsidR="00185613"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$211000.</w:t>
            </w:r>
          </w:p>
        </w:tc>
      </w:tr>
      <w:tr w:rsidR="00D97F0E" w:rsidRPr="005940F3" w14:paraId="2F1B54B4" w14:textId="77777777" w:rsidTr="005B30E3">
        <w:trPr>
          <w:cantSplit/>
          <w:trHeight w:val="305"/>
        </w:trPr>
        <w:tc>
          <w:tcPr>
            <w:tcW w:w="942" w:type="dxa"/>
            <w:tcBorders>
              <w:bottom w:val="single" w:sz="4" w:space="0" w:color="auto"/>
            </w:tcBorders>
          </w:tcPr>
          <w:p w14:paraId="1970F227" w14:textId="77777777" w:rsidR="00D97F0E" w:rsidRPr="00EC0616" w:rsidRDefault="00D97F0E" w:rsidP="00D97F0E">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10392638"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Borders>
              <w:bottom w:val="single" w:sz="4" w:space="0" w:color="auto"/>
            </w:tcBorders>
          </w:tcPr>
          <w:p w14:paraId="226CD5F8" w14:textId="7B7BF148"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445940E4" w14:textId="5CE4472C"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r>
      <w:tr w:rsidR="00D97F0E"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D97F0E" w:rsidRPr="00EC0616" w:rsidRDefault="00D97F0E" w:rsidP="00D97F0E">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53365560" w:rsidR="00D97F0E"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$185000</w:t>
            </w:r>
            <w:r w:rsidRPr="00EC0616">
              <w:rPr>
                <w:rFonts w:ascii="Arial" w:eastAsiaTheme="minorHAnsi" w:hAnsi="Arial" w:cs="Arial"/>
                <w:color w:val="393939"/>
                <w:sz w:val="18"/>
                <w:szCs w:val="18"/>
              </w:rPr>
              <w:t xml:space="preserve">. </w:t>
            </w:r>
          </w:p>
        </w:tc>
        <w:tc>
          <w:tcPr>
            <w:tcW w:w="1284" w:type="dxa"/>
            <w:gridSpan w:val="3"/>
            <w:tcBorders>
              <w:bottom w:val="double" w:sz="4" w:space="0" w:color="auto"/>
            </w:tcBorders>
            <w:shd w:val="clear" w:color="auto" w:fill="D9D9D9" w:themeFill="background1" w:themeFillShade="D9"/>
          </w:tcPr>
          <w:p w14:paraId="0B8C3446" w14:textId="667618FE" w:rsidR="00D97F0E"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$26000</w:t>
            </w:r>
            <w:r w:rsidRPr="00EC0616">
              <w:rPr>
                <w:rFonts w:ascii="Arial" w:eastAsiaTheme="minorHAnsi" w:hAnsi="Arial" w:cs="Arial"/>
                <w:color w:val="393939"/>
                <w:sz w:val="18"/>
                <w:szCs w:val="18"/>
              </w:rPr>
              <w:t>.</w:t>
            </w:r>
          </w:p>
        </w:tc>
        <w:tc>
          <w:tcPr>
            <w:tcW w:w="1268" w:type="dxa"/>
            <w:tcBorders>
              <w:bottom w:val="double" w:sz="4" w:space="0" w:color="auto"/>
            </w:tcBorders>
            <w:shd w:val="clear" w:color="auto" w:fill="D9D9D9" w:themeFill="background1" w:themeFillShade="D9"/>
          </w:tcPr>
          <w:p w14:paraId="1CBE095E" w14:textId="5BA9AF4C" w:rsidR="00D97F0E" w:rsidRPr="00EC0616" w:rsidRDefault="00D97F0E"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$211000.</w:t>
            </w: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D97F0E" w:rsidRPr="005940F3" w14:paraId="414E8B0C" w14:textId="77777777" w:rsidTr="005B30E3">
        <w:trPr>
          <w:cantSplit/>
          <w:trHeight w:val="305"/>
        </w:trPr>
        <w:tc>
          <w:tcPr>
            <w:tcW w:w="942" w:type="dxa"/>
          </w:tcPr>
          <w:p w14:paraId="20DB7032" w14:textId="77777777" w:rsidR="00D97F0E" w:rsidRPr="00EC0616" w:rsidRDefault="00D97F0E" w:rsidP="00D97F0E">
            <w:pPr>
              <w:pStyle w:val="RBBasic"/>
              <w:spacing w:after="60"/>
              <w:rPr>
                <w:rFonts w:ascii="Arial" w:hAnsi="Arial" w:cs="Arial"/>
                <w:sz w:val="18"/>
                <w:szCs w:val="18"/>
              </w:rPr>
            </w:pPr>
          </w:p>
        </w:tc>
        <w:tc>
          <w:tcPr>
            <w:tcW w:w="3794" w:type="dxa"/>
          </w:tcPr>
          <w:p w14:paraId="1D6BFB1E"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677113BB"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17FF6D78" w14:textId="780EE1AB"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3D1748BF" w14:textId="6DF45D2C"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r>
      <w:tr w:rsidR="00D97F0E" w:rsidRPr="005940F3" w14:paraId="1DF00965" w14:textId="77777777" w:rsidTr="005B30E3">
        <w:trPr>
          <w:cantSplit/>
          <w:trHeight w:val="321"/>
        </w:trPr>
        <w:tc>
          <w:tcPr>
            <w:tcW w:w="942" w:type="dxa"/>
          </w:tcPr>
          <w:p w14:paraId="7D392605" w14:textId="77777777" w:rsidR="00D97F0E" w:rsidRPr="00EC0616" w:rsidRDefault="00D97F0E" w:rsidP="00D97F0E">
            <w:pPr>
              <w:pStyle w:val="RBBasic"/>
              <w:spacing w:after="60"/>
              <w:rPr>
                <w:rFonts w:ascii="Arial" w:hAnsi="Arial" w:cs="Arial"/>
                <w:sz w:val="18"/>
                <w:szCs w:val="18"/>
              </w:rPr>
            </w:pPr>
          </w:p>
        </w:tc>
        <w:tc>
          <w:tcPr>
            <w:tcW w:w="3794" w:type="dxa"/>
          </w:tcPr>
          <w:p w14:paraId="147485C8"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52A74B28"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1EAE1FB3" w14:textId="76FB2634"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68" w:type="dxa"/>
            <w:shd w:val="clear" w:color="auto" w:fill="D9D9D9" w:themeFill="background1" w:themeFillShade="D9"/>
          </w:tcPr>
          <w:p w14:paraId="1902DD49" w14:textId="1BF58F94"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r>
      <w:tr w:rsidR="00D97F0E" w:rsidRPr="005940F3" w14:paraId="1503D7C4" w14:textId="77777777" w:rsidTr="005B30E3">
        <w:trPr>
          <w:cantSplit/>
          <w:trHeight w:val="305"/>
        </w:trPr>
        <w:tc>
          <w:tcPr>
            <w:tcW w:w="942" w:type="dxa"/>
          </w:tcPr>
          <w:p w14:paraId="1CA5334C" w14:textId="77777777" w:rsidR="00D97F0E" w:rsidRPr="00EC0616" w:rsidRDefault="00D97F0E" w:rsidP="00D97F0E">
            <w:pPr>
              <w:pStyle w:val="RBBasic"/>
              <w:spacing w:after="60"/>
              <w:rPr>
                <w:rFonts w:ascii="Arial" w:hAnsi="Arial" w:cs="Arial"/>
                <w:sz w:val="18"/>
                <w:szCs w:val="18"/>
              </w:rPr>
            </w:pPr>
          </w:p>
        </w:tc>
        <w:tc>
          <w:tcPr>
            <w:tcW w:w="3794" w:type="dxa"/>
          </w:tcPr>
          <w:p w14:paraId="08ADA8A7"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110B071E"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$39387838</w:t>
            </w:r>
            <w:r w:rsidRPr="00EC0616">
              <w:rPr>
                <w:rFonts w:ascii="Arial" w:eastAsiaTheme="minorHAnsi" w:hAnsi="Arial" w:cs="Arial"/>
                <w:color w:val="393939"/>
                <w:sz w:val="18"/>
                <w:szCs w:val="18"/>
              </w:rPr>
              <w:t xml:space="preserve">. </w:t>
            </w:r>
          </w:p>
        </w:tc>
        <w:tc>
          <w:tcPr>
            <w:tcW w:w="1284" w:type="dxa"/>
            <w:gridSpan w:val="3"/>
          </w:tcPr>
          <w:p w14:paraId="710E3CBA" w14:textId="6F1CC550"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$67509554</w:t>
            </w:r>
            <w:r w:rsidRPr="00EC0616">
              <w:rPr>
                <w:rFonts w:ascii="Arial" w:eastAsiaTheme="minorHAnsi" w:hAnsi="Arial" w:cs="Arial"/>
                <w:color w:val="393939"/>
                <w:sz w:val="18"/>
                <w:szCs w:val="18"/>
              </w:rPr>
              <w:t>.</w:t>
            </w:r>
          </w:p>
        </w:tc>
        <w:tc>
          <w:tcPr>
            <w:tcW w:w="1268" w:type="dxa"/>
            <w:shd w:val="clear" w:color="auto" w:fill="D9D9D9" w:themeFill="background1" w:themeFillShade="D9"/>
          </w:tcPr>
          <w:p w14:paraId="4A3CAE9F" w14:textId="5C188327"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$106897392.</w:t>
            </w:r>
          </w:p>
        </w:tc>
      </w:tr>
      <w:tr w:rsidR="00223F64" w:rsidRPr="005940F3" w14:paraId="3EE19DD0" w14:textId="77777777" w:rsidTr="005B30E3">
        <w:trPr>
          <w:cantSplit/>
          <w:trHeight w:val="305"/>
        </w:trPr>
        <w:tc>
          <w:tcPr>
            <w:tcW w:w="942" w:type="dxa"/>
          </w:tcPr>
          <w:p w14:paraId="4F79310D" w14:textId="77777777" w:rsidR="00223F64" w:rsidRPr="00EC0616" w:rsidRDefault="00223F64" w:rsidP="00223F64">
            <w:pPr>
              <w:pStyle w:val="RBBasic"/>
              <w:spacing w:after="60"/>
              <w:rPr>
                <w:rFonts w:ascii="Arial" w:hAnsi="Arial" w:cs="Arial"/>
                <w:sz w:val="18"/>
                <w:szCs w:val="18"/>
              </w:rPr>
            </w:pPr>
          </w:p>
        </w:tc>
        <w:tc>
          <w:tcPr>
            <w:tcW w:w="3794" w:type="dxa"/>
          </w:tcPr>
          <w:p w14:paraId="775B980F" w14:textId="77777777" w:rsidR="00223F64" w:rsidRPr="00EC0616" w:rsidRDefault="00223F64" w:rsidP="00223F64">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0DB83249" w:rsidR="00223F64" w:rsidRPr="00EC0616" w:rsidRDefault="00223F64" w:rsidP="00223F64">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720F2945" w14:textId="24804571" w:rsidR="00223F64" w:rsidRPr="00EC0616" w:rsidRDefault="00223F64" w:rsidP="00223F64">
            <w:pPr>
              <w:pStyle w:val="RBBasic"/>
              <w:spacing w:after="60"/>
              <w:jc w:val="right"/>
              <w:rPr>
                <w:rFonts w:ascii="Arial" w:hAnsi="Arial" w:cs="Arial"/>
                <w:sz w:val="18"/>
                <w:szCs w:val="18"/>
              </w:rPr>
            </w:pPr>
            <w:r w:rsidRPr="004A533F">
              <w:rPr>
                <w:rFonts w:ascii="Arial" w:eastAsiaTheme="minorHAnsi" w:hAnsi="Arial" w:cs="Arial"/>
                <w:color w:val="010101"/>
                <w:sz w:val="18"/>
                <w:szCs w:val="18"/>
              </w:rPr>
              <w:t>$1200000</w:t>
            </w:r>
            <w:r w:rsidRPr="004A533F">
              <w:rPr>
                <w:rFonts w:ascii="Arial" w:eastAsiaTheme="minorHAnsi" w:hAnsi="Arial" w:cs="Arial"/>
                <w:color w:val="393939"/>
                <w:sz w:val="18"/>
                <w:szCs w:val="18"/>
              </w:rPr>
              <w:t>.</w:t>
            </w:r>
          </w:p>
        </w:tc>
        <w:tc>
          <w:tcPr>
            <w:tcW w:w="1268" w:type="dxa"/>
            <w:shd w:val="clear" w:color="auto" w:fill="D9D9D9" w:themeFill="background1" w:themeFillShade="D9"/>
          </w:tcPr>
          <w:p w14:paraId="4AAF3719" w14:textId="33559FAC" w:rsidR="00223F64" w:rsidRPr="00EC0616" w:rsidRDefault="00223F64" w:rsidP="00223F64">
            <w:pPr>
              <w:pStyle w:val="RBBasic"/>
              <w:spacing w:after="60"/>
              <w:jc w:val="right"/>
              <w:rPr>
                <w:rFonts w:ascii="Arial" w:hAnsi="Arial" w:cs="Arial"/>
                <w:sz w:val="18"/>
                <w:szCs w:val="18"/>
              </w:rPr>
            </w:pPr>
            <w:r w:rsidRPr="004A533F">
              <w:rPr>
                <w:rFonts w:ascii="Arial" w:eastAsiaTheme="minorHAnsi" w:hAnsi="Arial" w:cs="Arial"/>
                <w:color w:val="010101"/>
                <w:sz w:val="18"/>
                <w:szCs w:val="18"/>
              </w:rPr>
              <w:t>$1200000</w:t>
            </w:r>
            <w:r w:rsidRPr="004A533F">
              <w:rPr>
                <w:rFonts w:ascii="Arial" w:eastAsiaTheme="minorHAnsi" w:hAnsi="Arial" w:cs="Arial"/>
                <w:color w:val="393939"/>
                <w:sz w:val="18"/>
                <w:szCs w:val="18"/>
              </w:rPr>
              <w:t>.</w:t>
            </w:r>
          </w:p>
        </w:tc>
      </w:tr>
      <w:tr w:rsidR="00D97F0E" w:rsidRPr="005940F3" w14:paraId="7BA59EE1" w14:textId="77777777" w:rsidTr="005B30E3">
        <w:trPr>
          <w:cantSplit/>
          <w:trHeight w:val="550"/>
        </w:trPr>
        <w:tc>
          <w:tcPr>
            <w:tcW w:w="942" w:type="dxa"/>
          </w:tcPr>
          <w:p w14:paraId="70700555" w14:textId="77777777" w:rsidR="00D97F0E" w:rsidRPr="00EC0616" w:rsidRDefault="00D97F0E" w:rsidP="00D97F0E">
            <w:pPr>
              <w:pStyle w:val="RBBasic"/>
              <w:spacing w:after="60"/>
              <w:rPr>
                <w:rFonts w:ascii="Arial" w:hAnsi="Arial" w:cs="Arial"/>
                <w:sz w:val="18"/>
                <w:szCs w:val="18"/>
              </w:rPr>
            </w:pPr>
          </w:p>
        </w:tc>
        <w:tc>
          <w:tcPr>
            <w:tcW w:w="3794" w:type="dxa"/>
          </w:tcPr>
          <w:p w14:paraId="148986BE"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33EE38CB"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$3544907</w:t>
            </w:r>
            <w:r w:rsidRPr="00EC0616">
              <w:rPr>
                <w:rFonts w:ascii="Arial" w:eastAsiaTheme="minorHAnsi" w:hAnsi="Arial" w:cs="Arial"/>
                <w:color w:val="393939"/>
                <w:sz w:val="18"/>
                <w:szCs w:val="18"/>
              </w:rPr>
              <w:t xml:space="preserve">. </w:t>
            </w:r>
          </w:p>
        </w:tc>
        <w:tc>
          <w:tcPr>
            <w:tcW w:w="1284" w:type="dxa"/>
            <w:gridSpan w:val="3"/>
          </w:tcPr>
          <w:p w14:paraId="3773F2F3" w14:textId="55058AED"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$6183861.</w:t>
            </w:r>
          </w:p>
        </w:tc>
        <w:tc>
          <w:tcPr>
            <w:tcW w:w="1268" w:type="dxa"/>
            <w:shd w:val="clear" w:color="auto" w:fill="D9D9D9" w:themeFill="background1" w:themeFillShade="D9"/>
          </w:tcPr>
          <w:p w14:paraId="763C2007" w14:textId="19448704" w:rsidR="00D97F0E" w:rsidRPr="00EC0616" w:rsidRDefault="007A7987" w:rsidP="00D97F0E">
            <w:pPr>
              <w:pStyle w:val="RBBasic"/>
              <w:spacing w:after="60"/>
              <w:jc w:val="right"/>
              <w:rPr>
                <w:rFonts w:ascii="Arial" w:hAnsi="Arial" w:cs="Arial"/>
                <w:sz w:val="18"/>
                <w:szCs w:val="18"/>
              </w:rPr>
            </w:pPr>
            <w:r w:rsidRPr="00EC0616">
              <w:rPr>
                <w:rFonts w:ascii="Arial" w:eastAsiaTheme="minorHAnsi" w:hAnsi="Arial" w:cs="Arial"/>
                <w:color w:val="010101"/>
                <w:sz w:val="18"/>
                <w:szCs w:val="18"/>
              </w:rPr>
              <w:t>$9728768.</w:t>
            </w:r>
          </w:p>
        </w:tc>
      </w:tr>
      <w:tr w:rsidR="0001638E" w:rsidRPr="005940F3" w14:paraId="7408775F" w14:textId="77777777" w:rsidTr="005B30E3">
        <w:trPr>
          <w:cantSplit/>
          <w:trHeight w:val="305"/>
        </w:trPr>
        <w:tc>
          <w:tcPr>
            <w:tcW w:w="942" w:type="dxa"/>
          </w:tcPr>
          <w:p w14:paraId="1BCD2523" w14:textId="77777777" w:rsidR="0001638E" w:rsidRPr="00EC0616" w:rsidRDefault="0001638E" w:rsidP="0001638E">
            <w:pPr>
              <w:pStyle w:val="RBBasic"/>
              <w:spacing w:after="60"/>
              <w:rPr>
                <w:rFonts w:ascii="Arial" w:hAnsi="Arial" w:cs="Arial"/>
                <w:sz w:val="18"/>
                <w:szCs w:val="18"/>
              </w:rPr>
            </w:pPr>
          </w:p>
        </w:tc>
        <w:tc>
          <w:tcPr>
            <w:tcW w:w="3794" w:type="dxa"/>
          </w:tcPr>
          <w:p w14:paraId="28166BE2" w14:textId="77777777" w:rsidR="0001638E" w:rsidRPr="00EC0616" w:rsidRDefault="0001638E" w:rsidP="0001638E">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4D063835" w:rsidR="0001638E" w:rsidRPr="00EC0616" w:rsidRDefault="0001638E" w:rsidP="0001638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451A96AA" w14:textId="7C2C0446" w:rsidR="0001638E" w:rsidRPr="00EC0616" w:rsidRDefault="0001638E" w:rsidP="0001638E">
            <w:pPr>
              <w:pStyle w:val="RBBasic"/>
              <w:spacing w:after="60"/>
              <w:jc w:val="right"/>
              <w:rPr>
                <w:rFonts w:ascii="Arial" w:hAnsi="Arial" w:cs="Arial"/>
                <w:sz w:val="18"/>
                <w:szCs w:val="18"/>
              </w:rPr>
            </w:pPr>
            <w:r w:rsidRPr="004447B1">
              <w:rPr>
                <w:rFonts w:ascii="Arial" w:eastAsiaTheme="minorHAnsi" w:hAnsi="Arial" w:cs="Arial"/>
                <w:color w:val="010101"/>
                <w:sz w:val="18"/>
                <w:szCs w:val="18"/>
              </w:rPr>
              <w:t>$105075</w:t>
            </w:r>
            <w:r w:rsidRPr="004447B1">
              <w:rPr>
                <w:rFonts w:ascii="Arial" w:eastAsiaTheme="minorHAnsi" w:hAnsi="Arial" w:cs="Arial"/>
                <w:color w:val="292929"/>
                <w:sz w:val="18"/>
                <w:szCs w:val="18"/>
              </w:rPr>
              <w:t>.</w:t>
            </w:r>
          </w:p>
        </w:tc>
        <w:tc>
          <w:tcPr>
            <w:tcW w:w="1268" w:type="dxa"/>
            <w:shd w:val="clear" w:color="auto" w:fill="D9D9D9" w:themeFill="background1" w:themeFillShade="D9"/>
          </w:tcPr>
          <w:p w14:paraId="2812CB28" w14:textId="1085D7BB" w:rsidR="0001638E" w:rsidRPr="00EC0616" w:rsidRDefault="0001638E" w:rsidP="0001638E">
            <w:pPr>
              <w:pStyle w:val="RBBasic"/>
              <w:spacing w:after="60"/>
              <w:jc w:val="right"/>
              <w:rPr>
                <w:rFonts w:ascii="Arial" w:hAnsi="Arial" w:cs="Arial"/>
                <w:sz w:val="18"/>
                <w:szCs w:val="18"/>
              </w:rPr>
            </w:pPr>
            <w:r w:rsidRPr="004447B1">
              <w:rPr>
                <w:rFonts w:ascii="Arial" w:eastAsiaTheme="minorHAnsi" w:hAnsi="Arial" w:cs="Arial"/>
                <w:color w:val="010101"/>
                <w:sz w:val="18"/>
                <w:szCs w:val="18"/>
              </w:rPr>
              <w:t>$105075</w:t>
            </w:r>
            <w:r>
              <w:rPr>
                <w:rFonts w:ascii="Arial" w:eastAsiaTheme="minorHAnsi" w:hAnsi="Arial" w:cs="Arial"/>
                <w:color w:val="010101"/>
                <w:sz w:val="18"/>
                <w:szCs w:val="18"/>
              </w:rPr>
              <w:t>.</w:t>
            </w:r>
          </w:p>
        </w:tc>
      </w:tr>
      <w:tr w:rsidR="00D97F0E" w:rsidRPr="005940F3" w14:paraId="0F0655F1" w14:textId="77777777" w:rsidTr="005B30E3">
        <w:trPr>
          <w:cantSplit/>
          <w:trHeight w:val="305"/>
        </w:trPr>
        <w:tc>
          <w:tcPr>
            <w:tcW w:w="942" w:type="dxa"/>
          </w:tcPr>
          <w:p w14:paraId="03D88069" w14:textId="77777777" w:rsidR="00D97F0E" w:rsidRPr="00EC0616" w:rsidRDefault="00D97F0E" w:rsidP="00D97F0E">
            <w:pPr>
              <w:pStyle w:val="RBBasic"/>
              <w:spacing w:after="60"/>
              <w:rPr>
                <w:rFonts w:ascii="Arial" w:hAnsi="Arial" w:cs="Arial"/>
                <w:sz w:val="18"/>
                <w:szCs w:val="18"/>
              </w:rPr>
            </w:pPr>
          </w:p>
        </w:tc>
        <w:tc>
          <w:tcPr>
            <w:tcW w:w="3794" w:type="dxa"/>
          </w:tcPr>
          <w:p w14:paraId="23C2EA3A"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29687AF" w:rsidR="00D97F0E" w:rsidRPr="00EC0616" w:rsidRDefault="00D97F0E" w:rsidP="00D97F0E">
            <w:pPr>
              <w:pStyle w:val="RBBasic"/>
              <w:spacing w:after="60"/>
              <w:jc w:val="right"/>
              <w:rPr>
                <w:rFonts w:ascii="Arial" w:hAnsi="Arial" w:cs="Arial"/>
                <w:sz w:val="18"/>
                <w:szCs w:val="18"/>
              </w:rPr>
            </w:pPr>
            <w:r w:rsidRPr="00EC0616">
              <w:rPr>
                <w:rFonts w:ascii="Arial" w:hAnsi="Arial" w:cs="Arial"/>
                <w:sz w:val="18"/>
                <w:szCs w:val="18"/>
              </w:rPr>
              <w:t>$0.</w:t>
            </w:r>
          </w:p>
        </w:tc>
        <w:tc>
          <w:tcPr>
            <w:tcW w:w="1284" w:type="dxa"/>
            <w:gridSpan w:val="3"/>
          </w:tcPr>
          <w:p w14:paraId="339E4B96" w14:textId="20F013D3" w:rsidR="00D97F0E" w:rsidRPr="00EC0616" w:rsidRDefault="009F7BDD" w:rsidP="00D97F0E">
            <w:pPr>
              <w:pStyle w:val="RBBasic"/>
              <w:spacing w:after="60"/>
              <w:jc w:val="right"/>
              <w:rPr>
                <w:rFonts w:ascii="Arial" w:hAnsi="Arial" w:cs="Arial"/>
                <w:sz w:val="18"/>
                <w:szCs w:val="18"/>
              </w:rPr>
            </w:pPr>
            <w:r>
              <w:rPr>
                <w:rFonts w:ascii="Arial" w:eastAsiaTheme="minorHAnsi" w:hAnsi="Arial" w:cs="Arial"/>
                <w:color w:val="010101"/>
                <w:sz w:val="18"/>
                <w:szCs w:val="18"/>
              </w:rPr>
              <w:t>$35025</w:t>
            </w:r>
            <w:r>
              <w:rPr>
                <w:rFonts w:ascii="Arial" w:eastAsiaTheme="minorHAnsi" w:hAnsi="Arial" w:cs="Arial"/>
                <w:color w:val="393939"/>
                <w:sz w:val="18"/>
                <w:szCs w:val="18"/>
              </w:rPr>
              <w:t xml:space="preserve">. </w:t>
            </w:r>
          </w:p>
        </w:tc>
        <w:tc>
          <w:tcPr>
            <w:tcW w:w="1268" w:type="dxa"/>
            <w:shd w:val="clear" w:color="auto" w:fill="D9D9D9" w:themeFill="background1" w:themeFillShade="D9"/>
          </w:tcPr>
          <w:p w14:paraId="5AC6931B" w14:textId="35353E00" w:rsidR="00D97F0E" w:rsidRPr="00EC0616" w:rsidRDefault="009F7BDD" w:rsidP="00D97F0E">
            <w:pPr>
              <w:pStyle w:val="RBBasic"/>
              <w:spacing w:after="60"/>
              <w:jc w:val="right"/>
              <w:rPr>
                <w:rFonts w:ascii="Arial" w:hAnsi="Arial" w:cs="Arial"/>
                <w:sz w:val="18"/>
                <w:szCs w:val="18"/>
              </w:rPr>
            </w:pPr>
            <w:r>
              <w:rPr>
                <w:rFonts w:ascii="Arial" w:eastAsiaTheme="minorHAnsi" w:hAnsi="Arial" w:cs="Arial"/>
                <w:color w:val="010101"/>
                <w:sz w:val="18"/>
                <w:szCs w:val="18"/>
              </w:rPr>
              <w:t>$35025.</w:t>
            </w:r>
          </w:p>
        </w:tc>
      </w:tr>
      <w:tr w:rsidR="00D97F0E" w:rsidRPr="005940F3" w14:paraId="1AF743FD" w14:textId="77777777" w:rsidTr="00C64C34">
        <w:trPr>
          <w:cantSplit/>
          <w:trHeight w:val="550"/>
        </w:trPr>
        <w:tc>
          <w:tcPr>
            <w:tcW w:w="942" w:type="dxa"/>
          </w:tcPr>
          <w:p w14:paraId="011BBDF2" w14:textId="77777777" w:rsidR="00D97F0E" w:rsidRPr="00EC0616" w:rsidRDefault="00D97F0E" w:rsidP="00D97F0E">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D97F0E" w:rsidRPr="00EC0616" w:rsidRDefault="00D97F0E" w:rsidP="00D97F0E">
            <w:pPr>
              <w:pStyle w:val="RBBasic"/>
              <w:spacing w:after="60"/>
              <w:rPr>
                <w:rFonts w:ascii="Arial" w:hAnsi="Arial" w:cs="Arial"/>
                <w:sz w:val="18"/>
                <w:szCs w:val="18"/>
              </w:rPr>
            </w:pPr>
            <w:r w:rsidRPr="00EC0616">
              <w:rPr>
                <w:rFonts w:ascii="Arial" w:hAnsi="Arial" w:cs="Arial"/>
                <w:sz w:val="18"/>
                <w:szCs w:val="18"/>
              </w:rPr>
              <w:t>Other (specify)</w:t>
            </w:r>
          </w:p>
        </w:tc>
      </w:tr>
      <w:tr w:rsidR="00D97F0E" w:rsidRPr="005940F3" w14:paraId="7E41AFC3" w14:textId="77777777" w:rsidTr="005B30E3">
        <w:trPr>
          <w:cantSplit/>
          <w:trHeight w:val="221"/>
        </w:trPr>
        <w:tc>
          <w:tcPr>
            <w:tcW w:w="942" w:type="dxa"/>
            <w:tcBorders>
              <w:bottom w:val="single" w:sz="4" w:space="0" w:color="auto"/>
            </w:tcBorders>
          </w:tcPr>
          <w:p w14:paraId="1AF8097B" w14:textId="77777777" w:rsidR="00D97F0E" w:rsidRPr="00EC0616" w:rsidRDefault="00D97F0E" w:rsidP="00D97F0E">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3890773B" w14:textId="77777777" w:rsidR="00D97F0E" w:rsidRPr="00EC0616" w:rsidRDefault="00D97F0E" w:rsidP="00D97F0E">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193AF5D4" w14:textId="77777777" w:rsidR="00D97F0E" w:rsidRPr="00EC0616" w:rsidRDefault="00D97F0E" w:rsidP="00D97F0E">
            <w:pPr>
              <w:spacing w:after="60"/>
              <w:rPr>
                <w:rFonts w:ascii="Arial" w:hAnsi="Arial" w:cs="Arial"/>
                <w:sz w:val="18"/>
                <w:szCs w:val="18"/>
              </w:rPr>
            </w:pPr>
          </w:p>
        </w:tc>
        <w:tc>
          <w:tcPr>
            <w:tcW w:w="1284" w:type="dxa"/>
            <w:gridSpan w:val="3"/>
            <w:tcBorders>
              <w:bottom w:val="single" w:sz="4" w:space="0" w:color="auto"/>
            </w:tcBorders>
          </w:tcPr>
          <w:p w14:paraId="05F58AA7" w14:textId="77777777" w:rsidR="00D97F0E" w:rsidRPr="00EC0616" w:rsidRDefault="00D97F0E" w:rsidP="00D97F0E">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37D4EAD5" w14:textId="77777777" w:rsidR="00D97F0E" w:rsidRPr="00EC0616" w:rsidRDefault="00D97F0E" w:rsidP="00D97F0E">
            <w:pPr>
              <w:spacing w:after="60"/>
              <w:rPr>
                <w:rFonts w:ascii="Arial" w:hAnsi="Arial" w:cs="Arial"/>
                <w:sz w:val="18"/>
                <w:szCs w:val="18"/>
              </w:rPr>
            </w:pPr>
          </w:p>
        </w:tc>
      </w:tr>
      <w:tr w:rsidR="005B30E3" w:rsidRPr="005940F3" w14:paraId="1C79C39D" w14:textId="77777777" w:rsidTr="005B30E3">
        <w:trPr>
          <w:cantSplit/>
          <w:trHeight w:val="428"/>
        </w:trPr>
        <w:tc>
          <w:tcPr>
            <w:tcW w:w="942" w:type="dxa"/>
            <w:tcBorders>
              <w:bottom w:val="double" w:sz="4" w:space="0" w:color="auto"/>
            </w:tcBorders>
          </w:tcPr>
          <w:p w14:paraId="3900C97F" w14:textId="77777777" w:rsidR="005B30E3" w:rsidRPr="00EC0616" w:rsidRDefault="005B30E3" w:rsidP="005B30E3">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5B30E3" w:rsidRPr="00EC0616" w:rsidRDefault="005B30E3" w:rsidP="005B30E3">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814688F"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84" w:type="dxa"/>
            <w:gridSpan w:val="3"/>
            <w:tcBorders>
              <w:bottom w:val="double" w:sz="4" w:space="0" w:color="auto"/>
            </w:tcBorders>
          </w:tcPr>
          <w:p w14:paraId="41CE92D0" w14:textId="4DE54AD5"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E30669" w14:textId="44237954"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r>
      <w:tr w:rsidR="005B30E3" w:rsidRPr="005940F3" w14:paraId="1D782B16" w14:textId="77777777" w:rsidTr="005B30E3">
        <w:trPr>
          <w:cantSplit/>
          <w:trHeight w:val="428"/>
        </w:trPr>
        <w:tc>
          <w:tcPr>
            <w:tcW w:w="942" w:type="dxa"/>
            <w:tcBorders>
              <w:bottom w:val="double" w:sz="4" w:space="0" w:color="auto"/>
            </w:tcBorders>
          </w:tcPr>
          <w:p w14:paraId="06520CDF" w14:textId="77777777" w:rsidR="005B30E3" w:rsidRPr="00EC0616" w:rsidRDefault="005B30E3" w:rsidP="005B30E3">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5B30E3" w:rsidRPr="00EC0616" w:rsidRDefault="005B30E3" w:rsidP="005B30E3">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1FF26C8D"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84" w:type="dxa"/>
            <w:gridSpan w:val="3"/>
            <w:tcBorders>
              <w:bottom w:val="double" w:sz="4" w:space="0" w:color="auto"/>
            </w:tcBorders>
          </w:tcPr>
          <w:p w14:paraId="59F37E96" w14:textId="323B1951"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6D4C26C4" w14:textId="204705D4" w:rsidR="005B30E3" w:rsidRPr="00EC0616" w:rsidRDefault="005B30E3" w:rsidP="005B30E3">
            <w:pPr>
              <w:spacing w:after="60"/>
              <w:jc w:val="right"/>
              <w:rPr>
                <w:rFonts w:ascii="Arial" w:eastAsia="Calibri" w:hAnsi="Arial" w:cs="Arial"/>
                <w:spacing w:val="-2"/>
                <w:sz w:val="18"/>
                <w:szCs w:val="18"/>
              </w:rPr>
            </w:pPr>
            <w:r w:rsidRPr="00EC0616">
              <w:rPr>
                <w:rFonts w:ascii="Arial" w:hAnsi="Arial" w:cs="Arial"/>
                <w:sz w:val="18"/>
                <w:szCs w:val="18"/>
              </w:rPr>
              <w:t>$0.</w:t>
            </w:r>
          </w:p>
        </w:tc>
      </w:tr>
      <w:tr w:rsidR="00D97F0E" w:rsidRPr="005940F3" w14:paraId="40F8B29D" w14:textId="77777777" w:rsidTr="005B30E3">
        <w:trPr>
          <w:cantSplit/>
          <w:trHeight w:val="428"/>
        </w:trPr>
        <w:tc>
          <w:tcPr>
            <w:tcW w:w="942" w:type="dxa"/>
            <w:tcBorders>
              <w:bottom w:val="double" w:sz="4" w:space="0" w:color="auto"/>
            </w:tcBorders>
          </w:tcPr>
          <w:p w14:paraId="2619A477" w14:textId="77777777" w:rsidR="00D97F0E" w:rsidRPr="00EC0616" w:rsidRDefault="00D97F0E" w:rsidP="00D97F0E">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D97F0E" w:rsidRPr="00EC0616" w:rsidRDefault="00D97F0E" w:rsidP="00D97F0E">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027A4DA3" w:rsidR="00D97F0E" w:rsidRPr="00EC0616" w:rsidRDefault="006565ED" w:rsidP="005B30E3">
            <w:pPr>
              <w:spacing w:after="60"/>
              <w:jc w:val="right"/>
              <w:rPr>
                <w:rFonts w:ascii="Arial" w:eastAsia="Calibri" w:hAnsi="Arial" w:cs="Arial"/>
                <w:spacing w:val="-2"/>
                <w:sz w:val="18"/>
                <w:szCs w:val="18"/>
              </w:rPr>
            </w:pPr>
            <w:r>
              <w:rPr>
                <w:rFonts w:ascii="Arial" w:eastAsiaTheme="minorHAnsi" w:hAnsi="Arial" w:cs="Arial"/>
                <w:color w:val="010101"/>
                <w:sz w:val="18"/>
                <w:szCs w:val="18"/>
              </w:rPr>
              <w:t xml:space="preserve">$42932745. </w:t>
            </w:r>
          </w:p>
        </w:tc>
        <w:tc>
          <w:tcPr>
            <w:tcW w:w="1284" w:type="dxa"/>
            <w:gridSpan w:val="3"/>
            <w:tcBorders>
              <w:bottom w:val="double" w:sz="4" w:space="0" w:color="auto"/>
            </w:tcBorders>
            <w:shd w:val="clear" w:color="auto" w:fill="D9D9D9" w:themeFill="background1" w:themeFillShade="D9"/>
          </w:tcPr>
          <w:p w14:paraId="5D3C242A" w14:textId="29011FFC" w:rsidR="00D97F0E" w:rsidRPr="00EC0616" w:rsidRDefault="006565ED" w:rsidP="005B30E3">
            <w:pPr>
              <w:spacing w:after="60"/>
              <w:jc w:val="right"/>
              <w:rPr>
                <w:rFonts w:ascii="Arial" w:eastAsia="Calibri" w:hAnsi="Arial" w:cs="Arial"/>
                <w:spacing w:val="-2"/>
                <w:sz w:val="18"/>
                <w:szCs w:val="18"/>
              </w:rPr>
            </w:pPr>
            <w:r>
              <w:rPr>
                <w:rFonts w:ascii="Arial" w:eastAsiaTheme="minorHAnsi" w:hAnsi="Arial" w:cs="Arial"/>
                <w:color w:val="010101"/>
                <w:sz w:val="18"/>
                <w:szCs w:val="18"/>
              </w:rPr>
              <w:t>$75033515.</w:t>
            </w:r>
          </w:p>
        </w:tc>
        <w:tc>
          <w:tcPr>
            <w:tcW w:w="1268" w:type="dxa"/>
            <w:tcBorders>
              <w:bottom w:val="double" w:sz="4" w:space="0" w:color="auto"/>
            </w:tcBorders>
            <w:shd w:val="clear" w:color="auto" w:fill="D9D9D9" w:themeFill="background1" w:themeFillShade="D9"/>
          </w:tcPr>
          <w:p w14:paraId="6744442F" w14:textId="65B0406B" w:rsidR="00D97F0E" w:rsidRPr="00EC0616" w:rsidRDefault="006565ED" w:rsidP="005B30E3">
            <w:pPr>
              <w:spacing w:after="60"/>
              <w:jc w:val="right"/>
              <w:rPr>
                <w:rFonts w:ascii="Arial" w:eastAsia="Calibri" w:hAnsi="Arial" w:cs="Arial"/>
                <w:spacing w:val="-2"/>
                <w:sz w:val="18"/>
                <w:szCs w:val="18"/>
              </w:rPr>
            </w:pPr>
            <w:r>
              <w:rPr>
                <w:rFonts w:ascii="Arial" w:eastAsiaTheme="minorHAnsi" w:hAnsi="Arial" w:cs="Arial"/>
                <w:color w:val="010101"/>
                <w:sz w:val="18"/>
                <w:szCs w:val="18"/>
              </w:rPr>
              <w:t>$117966260.</w:t>
            </w:r>
          </w:p>
        </w:tc>
      </w:tr>
      <w:tr w:rsidR="00D97F0E"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D97F0E" w:rsidRPr="00EC0616" w:rsidRDefault="00D97F0E" w:rsidP="00D97F0E">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D97F0E" w:rsidRPr="00EC0616" w:rsidRDefault="00D97F0E" w:rsidP="00D97F0E">
            <w:pPr>
              <w:spacing w:after="60"/>
              <w:rPr>
                <w:rFonts w:ascii="Arial" w:hAnsi="Arial" w:cs="Arial"/>
                <w:sz w:val="18"/>
                <w:szCs w:val="18"/>
              </w:rPr>
            </w:pPr>
            <w:r w:rsidRPr="00EC0616">
              <w:rPr>
                <w:rFonts w:ascii="Arial" w:hAnsi="Arial" w:cs="Arial"/>
                <w:b/>
                <w:bCs/>
                <w:sz w:val="18"/>
                <w:szCs w:val="18"/>
              </w:rPr>
              <w:t>Financing Costs:</w:t>
            </w:r>
          </w:p>
        </w:tc>
      </w:tr>
      <w:tr w:rsidR="00D97F0E"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D97F0E" w:rsidRPr="00EC0616" w:rsidRDefault="00D97F0E" w:rsidP="00D97F0E">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D97F0E" w:rsidRPr="00EC0616" w:rsidRDefault="00D97F0E" w:rsidP="00D97F0E">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2AF8976E" w:rsidR="00D97F0E" w:rsidRPr="00EC0616" w:rsidRDefault="007F3466" w:rsidP="00D97F0E">
            <w:pPr>
              <w:spacing w:after="60"/>
              <w:rPr>
                <w:rFonts w:ascii="Arial" w:eastAsia="Calibri" w:hAnsi="Arial" w:cs="Arial"/>
                <w:spacing w:val="-2"/>
                <w:sz w:val="18"/>
                <w:szCs w:val="18"/>
              </w:rPr>
            </w:pPr>
            <w:r>
              <w:rPr>
                <w:rFonts w:ascii="Arial" w:eastAsia="Calibri" w:hAnsi="Arial" w:cs="Arial"/>
                <w:spacing w:val="-2"/>
                <w:sz w:val="18"/>
                <w:szCs w:val="18"/>
              </w:rPr>
              <w:t>$0.</w:t>
            </w:r>
          </w:p>
        </w:tc>
        <w:tc>
          <w:tcPr>
            <w:tcW w:w="1284" w:type="dxa"/>
            <w:gridSpan w:val="3"/>
            <w:tcBorders>
              <w:top w:val="double" w:sz="4" w:space="0" w:color="auto"/>
              <w:bottom w:val="double" w:sz="4" w:space="0" w:color="auto"/>
            </w:tcBorders>
          </w:tcPr>
          <w:p w14:paraId="66859F39" w14:textId="3C21DE6B" w:rsidR="00D97F0E" w:rsidRPr="00EC0616" w:rsidRDefault="007F3466" w:rsidP="00D97F0E">
            <w:pPr>
              <w:spacing w:after="60"/>
              <w:rPr>
                <w:rFonts w:ascii="Arial" w:eastAsia="Calibri" w:hAnsi="Arial" w:cs="Arial"/>
                <w:spacing w:val="-2"/>
                <w:sz w:val="18"/>
                <w:szCs w:val="18"/>
              </w:rPr>
            </w:pPr>
            <w:r>
              <w:rPr>
                <w:rFonts w:ascii="Arial" w:eastAsiaTheme="minorHAnsi" w:hAnsi="Arial" w:cs="Arial"/>
                <w:color w:val="010101"/>
                <w:sz w:val="18"/>
                <w:szCs w:val="18"/>
              </w:rPr>
              <w:t>$3062500</w:t>
            </w:r>
            <w:r>
              <w:rPr>
                <w:rFonts w:ascii="Arial" w:eastAsiaTheme="minorHAnsi" w:hAnsi="Arial" w:cs="Arial"/>
                <w:color w:val="393939"/>
                <w:sz w:val="18"/>
                <w:szCs w:val="18"/>
              </w:rPr>
              <w:t xml:space="preserve">. </w:t>
            </w:r>
          </w:p>
        </w:tc>
        <w:tc>
          <w:tcPr>
            <w:tcW w:w="1268" w:type="dxa"/>
            <w:tcBorders>
              <w:top w:val="double" w:sz="4" w:space="0" w:color="auto"/>
              <w:bottom w:val="double" w:sz="4" w:space="0" w:color="auto"/>
            </w:tcBorders>
            <w:shd w:val="clear" w:color="auto" w:fill="D9D9D9" w:themeFill="background1" w:themeFillShade="D9"/>
          </w:tcPr>
          <w:p w14:paraId="2F3A443F" w14:textId="7A5E8410" w:rsidR="00D97F0E" w:rsidRPr="00EC0616" w:rsidRDefault="007F3466" w:rsidP="00D97F0E">
            <w:pPr>
              <w:spacing w:after="60"/>
              <w:rPr>
                <w:rFonts w:ascii="Arial" w:eastAsia="Calibri" w:hAnsi="Arial" w:cs="Arial"/>
                <w:spacing w:val="-2"/>
                <w:sz w:val="18"/>
                <w:szCs w:val="18"/>
              </w:rPr>
            </w:pPr>
            <w:r>
              <w:rPr>
                <w:rFonts w:ascii="Arial" w:eastAsiaTheme="minorHAnsi" w:hAnsi="Arial" w:cs="Arial"/>
                <w:color w:val="010101"/>
                <w:sz w:val="18"/>
                <w:szCs w:val="18"/>
              </w:rPr>
              <w:t>$3062500.</w:t>
            </w:r>
          </w:p>
        </w:tc>
      </w:tr>
      <w:tr w:rsidR="00EC0616"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EC0616" w:rsidRPr="00EC0616" w:rsidRDefault="00EC0616" w:rsidP="00EC0616">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EC0616" w:rsidRPr="00EC0616" w:rsidRDefault="00EC0616" w:rsidP="00EC0616">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1D58FE43" w:rsidR="00EC0616" w:rsidRPr="00EC0616" w:rsidRDefault="00EC0616" w:rsidP="00EC0616">
            <w:pPr>
              <w:spacing w:after="60"/>
              <w:rPr>
                <w:rFonts w:ascii="Arial" w:hAnsi="Arial" w:cs="Arial"/>
                <w:sz w:val="18"/>
                <w:szCs w:val="18"/>
              </w:rPr>
            </w:pPr>
            <w:r w:rsidRPr="00EC0616">
              <w:rPr>
                <w:rFonts w:ascii="Arial" w:hAnsi="Arial" w:cs="Arial"/>
                <w:sz w:val="18"/>
                <w:szCs w:val="18"/>
              </w:rPr>
              <w:t>$0.</w:t>
            </w:r>
          </w:p>
        </w:tc>
        <w:tc>
          <w:tcPr>
            <w:tcW w:w="1284" w:type="dxa"/>
            <w:gridSpan w:val="3"/>
            <w:tcBorders>
              <w:top w:val="double" w:sz="4" w:space="0" w:color="auto"/>
              <w:bottom w:val="double" w:sz="4" w:space="0" w:color="auto"/>
            </w:tcBorders>
          </w:tcPr>
          <w:p w14:paraId="09637AC9" w14:textId="7A1F0D7A" w:rsidR="00EC0616" w:rsidRPr="00EC0616" w:rsidRDefault="00EC0616" w:rsidP="00EC0616">
            <w:pPr>
              <w:spacing w:after="60"/>
              <w:rPr>
                <w:rFonts w:ascii="Arial" w:hAnsi="Arial" w:cs="Arial"/>
                <w:sz w:val="18"/>
                <w:szCs w:val="18"/>
              </w:rPr>
            </w:pPr>
            <w:r w:rsidRPr="00EC0616">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486A2013" w14:textId="145509EB" w:rsidR="00EC0616" w:rsidRPr="00EC0616" w:rsidRDefault="00EC0616" w:rsidP="00EC0616">
            <w:pPr>
              <w:spacing w:after="60"/>
              <w:rPr>
                <w:rFonts w:ascii="Arial" w:hAnsi="Arial" w:cs="Arial"/>
                <w:sz w:val="18"/>
                <w:szCs w:val="18"/>
              </w:rPr>
            </w:pPr>
            <w:r w:rsidRPr="00EC0616">
              <w:rPr>
                <w:rFonts w:ascii="Arial" w:hAnsi="Arial" w:cs="Arial"/>
                <w:sz w:val="18"/>
                <w:szCs w:val="18"/>
              </w:rPr>
              <w:t>$0.</w:t>
            </w:r>
          </w:p>
        </w:tc>
      </w:tr>
      <w:tr w:rsidR="00EC0616"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EC0616" w:rsidRPr="00EC0616" w:rsidRDefault="00EC0616" w:rsidP="00EC0616">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EC0616" w:rsidRPr="00EC0616" w:rsidRDefault="00EC0616" w:rsidP="00EC0616">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77777777" w:rsidR="00EC0616" w:rsidRPr="00EC0616" w:rsidRDefault="00EC0616" w:rsidP="00EC0616">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382D971A" w14:textId="77777777" w:rsidR="00EC0616" w:rsidRPr="00EC0616" w:rsidRDefault="00EC0616" w:rsidP="00EC0616">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77777777" w:rsidR="00EC0616" w:rsidRPr="00EC0616" w:rsidRDefault="00EC0616" w:rsidP="00EC0616">
            <w:pPr>
              <w:spacing w:after="60"/>
              <w:rPr>
                <w:rFonts w:ascii="Arial" w:hAnsi="Arial" w:cs="Arial"/>
                <w:sz w:val="18"/>
                <w:szCs w:val="18"/>
              </w:rPr>
            </w:pPr>
          </w:p>
        </w:tc>
      </w:tr>
      <w:tr w:rsidR="003F4C40"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3F4C40" w:rsidRPr="00EC0616" w:rsidRDefault="003F4C40" w:rsidP="003F4C40">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3F4C40" w:rsidRPr="00EC0616" w:rsidRDefault="003F4C40" w:rsidP="003F4C40">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1E95257D" w:rsidR="003F4C40" w:rsidRPr="00EC0616" w:rsidRDefault="003F4C40" w:rsidP="003F4C40">
            <w:pPr>
              <w:spacing w:after="60"/>
              <w:rPr>
                <w:rFonts w:ascii="Arial" w:eastAsia="Calibri" w:hAnsi="Arial" w:cs="Arial"/>
                <w:spacing w:val="-2"/>
                <w:sz w:val="18"/>
                <w:szCs w:val="18"/>
              </w:rPr>
            </w:pPr>
            <w:r>
              <w:rPr>
                <w:rFonts w:ascii="Arial" w:eastAsia="Calibri" w:hAnsi="Arial" w:cs="Arial"/>
                <w:spacing w:val="-2"/>
                <w:sz w:val="18"/>
                <w:szCs w:val="18"/>
              </w:rPr>
              <w:t>$0.</w:t>
            </w:r>
          </w:p>
        </w:tc>
        <w:tc>
          <w:tcPr>
            <w:tcW w:w="1284" w:type="dxa"/>
            <w:gridSpan w:val="3"/>
            <w:tcBorders>
              <w:top w:val="double" w:sz="4" w:space="0" w:color="auto"/>
              <w:bottom w:val="double" w:sz="4" w:space="0" w:color="auto"/>
            </w:tcBorders>
          </w:tcPr>
          <w:p w14:paraId="487FF8DC" w14:textId="140F9E0C" w:rsidR="003F4C40" w:rsidRPr="00EC0616" w:rsidRDefault="003F4C40" w:rsidP="003F4C40">
            <w:pPr>
              <w:spacing w:after="60"/>
              <w:rPr>
                <w:rFonts w:ascii="Arial" w:eastAsia="Calibri" w:hAnsi="Arial" w:cs="Arial"/>
                <w:spacing w:val="-2"/>
                <w:sz w:val="18"/>
                <w:szCs w:val="18"/>
              </w:rPr>
            </w:pPr>
            <w:r>
              <w:rPr>
                <w:rFonts w:ascii="Arial" w:eastAsiaTheme="minorHAnsi" w:hAnsi="Arial" w:cs="Arial"/>
                <w:color w:val="010101"/>
                <w:sz w:val="18"/>
                <w:szCs w:val="18"/>
              </w:rPr>
              <w:t>$3062500</w:t>
            </w:r>
            <w:r>
              <w:rPr>
                <w:rFonts w:ascii="Arial" w:eastAsiaTheme="minorHAnsi" w:hAnsi="Arial" w:cs="Arial"/>
                <w:color w:val="393939"/>
                <w:sz w:val="18"/>
                <w:szCs w:val="18"/>
              </w:rPr>
              <w:t xml:space="preserve">. </w:t>
            </w:r>
          </w:p>
        </w:tc>
        <w:tc>
          <w:tcPr>
            <w:tcW w:w="1268" w:type="dxa"/>
            <w:tcBorders>
              <w:top w:val="double" w:sz="4" w:space="0" w:color="auto"/>
              <w:bottom w:val="double" w:sz="4" w:space="0" w:color="auto"/>
            </w:tcBorders>
            <w:shd w:val="clear" w:color="auto" w:fill="D9D9D9" w:themeFill="background1" w:themeFillShade="D9"/>
          </w:tcPr>
          <w:p w14:paraId="707ADC1F" w14:textId="44028893" w:rsidR="003F4C40" w:rsidRPr="00EC0616" w:rsidRDefault="003F4C40" w:rsidP="003F4C40">
            <w:pPr>
              <w:spacing w:after="60"/>
              <w:rPr>
                <w:rFonts w:ascii="Arial" w:eastAsia="Calibri" w:hAnsi="Arial" w:cs="Arial"/>
                <w:spacing w:val="-2"/>
                <w:sz w:val="18"/>
                <w:szCs w:val="18"/>
              </w:rPr>
            </w:pPr>
            <w:r>
              <w:rPr>
                <w:rFonts w:ascii="Arial" w:eastAsiaTheme="minorHAnsi" w:hAnsi="Arial" w:cs="Arial"/>
                <w:color w:val="010101"/>
                <w:sz w:val="18"/>
                <w:szCs w:val="18"/>
              </w:rPr>
              <w:t>$3062500.</w:t>
            </w:r>
          </w:p>
        </w:tc>
      </w:tr>
      <w:tr w:rsidR="00EC0616" w:rsidRPr="005940F3" w14:paraId="41839766" w14:textId="77777777" w:rsidTr="005B30E3">
        <w:trPr>
          <w:cantSplit/>
          <w:trHeight w:val="413"/>
        </w:trPr>
        <w:tc>
          <w:tcPr>
            <w:tcW w:w="942" w:type="dxa"/>
            <w:tcBorders>
              <w:top w:val="double" w:sz="4" w:space="0" w:color="auto"/>
            </w:tcBorders>
          </w:tcPr>
          <w:p w14:paraId="3658C5E1" w14:textId="77777777" w:rsidR="00EC0616" w:rsidRPr="00EC0616" w:rsidRDefault="00EC0616" w:rsidP="00EC0616">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EC0616" w:rsidRPr="00EC0616" w:rsidRDefault="00EC0616" w:rsidP="00EC0616">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63F554C6" w:rsidR="00EC0616" w:rsidRPr="00EC0616" w:rsidRDefault="003F4C40" w:rsidP="00EC0616">
            <w:pPr>
              <w:spacing w:after="60"/>
              <w:rPr>
                <w:rFonts w:ascii="Arial" w:eastAsia="Calibri" w:hAnsi="Arial" w:cs="Arial"/>
                <w:spacing w:val="-2"/>
                <w:sz w:val="18"/>
                <w:szCs w:val="18"/>
              </w:rPr>
            </w:pPr>
            <w:r>
              <w:rPr>
                <w:rFonts w:ascii="Arial" w:eastAsiaTheme="minorHAnsi" w:hAnsi="Arial" w:cs="Arial"/>
                <w:color w:val="010101"/>
                <w:sz w:val="18"/>
                <w:szCs w:val="18"/>
              </w:rPr>
              <w:t xml:space="preserve">$43117745. </w:t>
            </w:r>
          </w:p>
        </w:tc>
        <w:tc>
          <w:tcPr>
            <w:tcW w:w="1284" w:type="dxa"/>
            <w:gridSpan w:val="3"/>
            <w:tcBorders>
              <w:top w:val="double" w:sz="4" w:space="0" w:color="auto"/>
            </w:tcBorders>
            <w:shd w:val="clear" w:color="auto" w:fill="D9D9D9" w:themeFill="background1" w:themeFillShade="D9"/>
          </w:tcPr>
          <w:p w14:paraId="2FA80190" w14:textId="55C225A4" w:rsidR="00EC0616" w:rsidRPr="00EC0616" w:rsidRDefault="003F4C40" w:rsidP="00EC0616">
            <w:pPr>
              <w:spacing w:after="60"/>
              <w:rPr>
                <w:rFonts w:ascii="Arial" w:eastAsia="Calibri" w:hAnsi="Arial" w:cs="Arial"/>
                <w:spacing w:val="-2"/>
                <w:sz w:val="18"/>
                <w:szCs w:val="18"/>
              </w:rPr>
            </w:pPr>
            <w:r>
              <w:rPr>
                <w:rFonts w:ascii="Arial" w:eastAsiaTheme="minorHAnsi" w:hAnsi="Arial" w:cs="Arial"/>
                <w:color w:val="010101"/>
                <w:sz w:val="18"/>
                <w:szCs w:val="18"/>
              </w:rPr>
              <w:t>$78122015.</w:t>
            </w:r>
          </w:p>
        </w:tc>
        <w:tc>
          <w:tcPr>
            <w:tcW w:w="1268" w:type="dxa"/>
            <w:tcBorders>
              <w:top w:val="double" w:sz="4" w:space="0" w:color="auto"/>
            </w:tcBorders>
            <w:shd w:val="clear" w:color="auto" w:fill="D9D9D9" w:themeFill="background1" w:themeFillShade="D9"/>
          </w:tcPr>
          <w:p w14:paraId="5B50B02D" w14:textId="53D66798" w:rsidR="00EC0616" w:rsidRPr="00EC0616" w:rsidRDefault="003F4C40" w:rsidP="00EC0616">
            <w:pPr>
              <w:spacing w:after="60"/>
              <w:rPr>
                <w:rFonts w:ascii="Arial" w:eastAsia="Calibri" w:hAnsi="Arial" w:cs="Arial"/>
                <w:spacing w:val="-2"/>
                <w:sz w:val="18"/>
                <w:szCs w:val="18"/>
              </w:rPr>
            </w:pPr>
            <w:r>
              <w:rPr>
                <w:rFonts w:ascii="Arial" w:eastAsiaTheme="minorHAnsi" w:hAnsi="Arial" w:cs="Arial"/>
                <w:color w:val="010101"/>
                <w:sz w:val="18"/>
                <w:szCs w:val="18"/>
              </w:rPr>
              <w:t>$121239760.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45DB5799" w14:textId="71C27876"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0ABC7408" w14:textId="6C04D6E9"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Quality: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7ABC1C83" w14:textId="23EA80DB"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E8399E" w:rsidRPr="00E0580F">
        <w:rPr>
          <w:rFonts w:ascii="Arial" w:eastAsia="Calibri" w:hAnsi="Arial" w:cs="Arial"/>
          <w:sz w:val="20"/>
          <w:szCs w:val="20"/>
        </w:rPr>
        <w:t xml:space="preserve">See Appendix 2B: </w:t>
      </w:r>
      <w:proofErr w:type="spellStart"/>
      <w:r w:rsidR="00E8399E" w:rsidRPr="00E0580F">
        <w:rPr>
          <w:rFonts w:ascii="Arial" w:eastAsia="Calibri" w:hAnsi="Arial" w:cs="Arial"/>
          <w:sz w:val="20"/>
          <w:szCs w:val="20"/>
        </w:rPr>
        <w:t>DoN</w:t>
      </w:r>
      <w:proofErr w:type="spellEnd"/>
      <w:r w:rsidR="00E8399E" w:rsidRPr="00E0580F">
        <w:rPr>
          <w:rFonts w:ascii="Arial" w:eastAsia="Calibri" w:hAnsi="Arial" w:cs="Arial"/>
          <w:sz w:val="20"/>
          <w:szCs w:val="20"/>
        </w:rPr>
        <w:t xml:space="preserve"> Narrative - Proposed Project Factors</w:t>
      </w:r>
    </w:p>
    <w:p w14:paraId="1D9EC3FB" w14:textId="6BF32F8B"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487FEA" w:rsidRPr="00E0580F">
        <w:rPr>
          <w:rFonts w:ascii="Arial" w:eastAsia="Calibri" w:hAnsi="Arial" w:cs="Arial"/>
          <w:sz w:val="20"/>
          <w:szCs w:val="20"/>
        </w:rPr>
        <w:t xml:space="preserve">See Appendix 2B: </w:t>
      </w:r>
      <w:proofErr w:type="spellStart"/>
      <w:r w:rsidR="00487FEA" w:rsidRPr="00E0580F">
        <w:rPr>
          <w:rFonts w:ascii="Arial" w:eastAsia="Calibri" w:hAnsi="Arial" w:cs="Arial"/>
          <w:sz w:val="20"/>
          <w:szCs w:val="20"/>
        </w:rPr>
        <w:t>DoN</w:t>
      </w:r>
      <w:proofErr w:type="spellEnd"/>
      <w:r w:rsidR="00487FEA" w:rsidRPr="00E0580F">
        <w:rPr>
          <w:rFonts w:ascii="Arial" w:eastAsia="Calibri" w:hAnsi="Arial" w:cs="Arial"/>
          <w:sz w:val="20"/>
          <w:szCs w:val="20"/>
        </w:rPr>
        <w:t xml:space="preserve"> Narrative - Proposed Project Factors</w:t>
      </w:r>
    </w:p>
    <w:p w14:paraId="16657901" w14:textId="77777777"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487FEA" w:rsidRPr="00E0580F">
        <w:rPr>
          <w:rFonts w:ascii="Arial" w:eastAsia="Calibri" w:hAnsi="Arial" w:cs="Arial"/>
          <w:sz w:val="20"/>
          <w:szCs w:val="20"/>
        </w:rPr>
        <w:t xml:space="preserve">See Appendix 2B: </w:t>
      </w:r>
      <w:proofErr w:type="spellStart"/>
      <w:r w:rsidR="00487FEA" w:rsidRPr="00E0580F">
        <w:rPr>
          <w:rFonts w:ascii="Arial" w:eastAsia="Calibri" w:hAnsi="Arial" w:cs="Arial"/>
          <w:sz w:val="20"/>
          <w:szCs w:val="20"/>
        </w:rPr>
        <w:t>DoN</w:t>
      </w:r>
      <w:proofErr w:type="spellEnd"/>
      <w:r w:rsidR="00487FEA" w:rsidRPr="00E0580F">
        <w:rPr>
          <w:rFonts w:ascii="Arial" w:eastAsia="Calibri" w:hAnsi="Arial" w:cs="Arial"/>
          <w:sz w:val="20"/>
          <w:szCs w:val="20"/>
        </w:rPr>
        <w:t xml:space="preserve"> Narrative - Proposed Project Factors</w:t>
      </w:r>
      <w:r w:rsidR="00487FEA" w:rsidRPr="003F4C40">
        <w:rPr>
          <w:rFonts w:ascii="Arial" w:hAnsi="Arial" w:cs="Arial"/>
          <w:sz w:val="20"/>
          <w:szCs w:val="20"/>
        </w:rPr>
        <w:t xml:space="preserve"> </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765E88D4" w14:textId="2B97481C"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Proposal: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r w:rsidR="008900DE" w:rsidRPr="003F4C40">
        <w:rPr>
          <w:rFonts w:ascii="Arial" w:hAnsi="Arial" w:cs="Arial"/>
          <w:sz w:val="20"/>
          <w:szCs w:val="20"/>
        </w:rPr>
        <w:t xml:space="preserve"> </w:t>
      </w:r>
      <w:r w:rsidRPr="003F4C40">
        <w:rPr>
          <w:rFonts w:ascii="Arial" w:hAnsi="Arial" w:cs="Arial"/>
          <w:sz w:val="20"/>
          <w:szCs w:val="20"/>
        </w:rPr>
        <w:t xml:space="preserve">Alternative Quality: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23B42521" w14:textId="1A0A47DC"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51011D0F" w14:textId="44EDC914"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32C49986" w14:textId="6D122420"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8900DE" w:rsidRPr="00E0580F">
        <w:rPr>
          <w:rFonts w:ascii="Arial" w:eastAsia="Calibri" w:hAnsi="Arial" w:cs="Arial"/>
          <w:sz w:val="20"/>
          <w:szCs w:val="20"/>
        </w:rPr>
        <w:t xml:space="preserve">See Appendix 2B: </w:t>
      </w:r>
      <w:proofErr w:type="spellStart"/>
      <w:r w:rsidR="008900DE" w:rsidRPr="00E0580F">
        <w:rPr>
          <w:rFonts w:ascii="Arial" w:eastAsia="Calibri" w:hAnsi="Arial" w:cs="Arial"/>
          <w:sz w:val="20"/>
          <w:szCs w:val="20"/>
        </w:rPr>
        <w:t>DoN</w:t>
      </w:r>
      <w:proofErr w:type="spellEnd"/>
      <w:r w:rsidR="008900DE" w:rsidRPr="00E0580F">
        <w:rPr>
          <w:rFonts w:ascii="Arial" w:eastAsia="Calibri" w:hAnsi="Arial" w:cs="Arial"/>
          <w:sz w:val="20"/>
          <w:szCs w:val="20"/>
        </w:rPr>
        <w:t xml:space="preserve"> Narrative - Proposed Project Factors</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4CB4C3EF" w:rsidR="00185613" w:rsidRPr="003F4C40" w:rsidRDefault="00185613" w:rsidP="00185613">
      <w:pPr>
        <w:ind w:left="1350" w:hanging="63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BB7115" w:rsidRPr="00E0580F">
        <w:rPr>
          <w:rFonts w:ascii="Arial" w:eastAsia="Calibri" w:hAnsi="Arial" w:cs="Arial"/>
          <w:sz w:val="20"/>
          <w:szCs w:val="20"/>
        </w:rPr>
        <w:t xml:space="preserve">See Appendix 2B: </w:t>
      </w:r>
      <w:proofErr w:type="spellStart"/>
      <w:r w:rsidR="00BB7115" w:rsidRPr="00E0580F">
        <w:rPr>
          <w:rFonts w:ascii="Arial" w:eastAsia="Calibri" w:hAnsi="Arial" w:cs="Arial"/>
          <w:sz w:val="20"/>
          <w:szCs w:val="20"/>
        </w:rPr>
        <w:t>DoN</w:t>
      </w:r>
      <w:proofErr w:type="spellEnd"/>
      <w:r w:rsidR="00BB7115" w:rsidRPr="00E0580F">
        <w:rPr>
          <w:rFonts w:ascii="Arial" w:eastAsia="Calibri" w:hAnsi="Arial" w:cs="Arial"/>
          <w:sz w:val="20"/>
          <w:szCs w:val="20"/>
        </w:rPr>
        <w:t xml:space="preserve"> Narrative - Proposed Project Factors</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6"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7B20E8E7" w14:textId="6EF8856E" w:rsidR="00A24EE8" w:rsidRPr="003F4C40" w:rsidRDefault="00515FF2" w:rsidP="00185613">
      <w:pPr>
        <w:ind w:left="720" w:right="940"/>
        <w:rPr>
          <w:rFonts w:ascii="Arial" w:hAnsi="Arial" w:cs="Arial"/>
          <w:sz w:val="20"/>
          <w:szCs w:val="20"/>
        </w:rPr>
      </w:pPr>
      <w:r>
        <w:rPr>
          <w:rFonts w:ascii="Arial" w:hAnsi="Arial" w:cs="Arial"/>
          <w:sz w:val="20"/>
          <w:szCs w:val="20"/>
        </w:rPr>
        <w:t>Notification of Material Change: unchecked</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74317F4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Community Engagement Plan form: check</w:t>
      </w:r>
    </w:p>
    <w:p w14:paraId="29ED9D84"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Current IRS Form, 990 Schedule H CHNA/CHIP and/or Current CHNA/CHIP submitted to Massachusetts AGO's Office: check</w:t>
      </w:r>
    </w:p>
    <w:p w14:paraId="1BC0A433" w14:textId="4005D1BC"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515FF2">
        <w:rPr>
          <w:rFonts w:ascii="Arial" w:hAnsi="Arial" w:cs="Arial"/>
          <w:sz w:val="20"/>
          <w:szCs w:val="20"/>
        </w:rPr>
        <w:t>un</w:t>
      </w:r>
      <w:r w:rsidRPr="003F4C40">
        <w:rPr>
          <w:rFonts w:ascii="Arial" w:hAnsi="Arial" w:cs="Arial"/>
          <w:sz w:val="20"/>
          <w:szCs w:val="20"/>
        </w:rPr>
        <w:t>check</w:t>
      </w:r>
      <w:r w:rsidR="00515FF2">
        <w:rPr>
          <w:rFonts w:ascii="Arial" w:hAnsi="Arial" w:cs="Arial"/>
          <w:sz w:val="20"/>
          <w:szCs w:val="20"/>
        </w:rPr>
        <w:t>ed</w:t>
      </w:r>
    </w:p>
    <w:p w14:paraId="48680ACC"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Community Engagement-Self Assessment form: check</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73824DEF"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This document is ready to file? Yes</w:t>
      </w:r>
      <w:r w:rsidRPr="003F4C40">
        <w:rPr>
          <w:rFonts w:ascii="Arial" w:hAnsi="Arial" w:cs="Arial"/>
          <w:sz w:val="20"/>
          <w:szCs w:val="20"/>
        </w:rPr>
        <w:tab/>
      </w:r>
      <w:r w:rsidRPr="003F4C40">
        <w:rPr>
          <w:rFonts w:ascii="Arial" w:hAnsi="Arial" w:cs="Arial"/>
          <w:sz w:val="20"/>
          <w:szCs w:val="20"/>
        </w:rPr>
        <w:tab/>
        <w:t xml:space="preserve">Date/time Stamp: </w:t>
      </w:r>
      <w:r w:rsidR="00495276">
        <w:rPr>
          <w:rFonts w:ascii="Arial" w:hAnsi="Arial" w:cs="Arial"/>
          <w:sz w:val="20"/>
          <w:szCs w:val="20"/>
        </w:rPr>
        <w:t>08</w:t>
      </w:r>
      <w:r w:rsidR="00495276" w:rsidRPr="00495276">
        <w:rPr>
          <w:rFonts w:ascii="Arial" w:hAnsi="Arial" w:cs="Arial"/>
          <w:sz w:val="20"/>
          <w:szCs w:val="20"/>
        </w:rPr>
        <w:t>/09/2022 8:20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2F8FC353"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495276" w:rsidRPr="00495276">
        <w:rPr>
          <w:rFonts w:ascii="Arial" w:hAnsi="Arial" w:cs="Arial"/>
          <w:b/>
          <w:sz w:val="20"/>
          <w:szCs w:val="20"/>
        </w:rPr>
        <w:t>BMCHS-22080908-HE</w:t>
      </w:r>
    </w:p>
    <w:p w14:paraId="08F6B381" w14:textId="77777777" w:rsidR="00185613" w:rsidRPr="003F4C40" w:rsidRDefault="00185613" w:rsidP="00185613">
      <w:pPr>
        <w:ind w:left="720" w:right="940"/>
        <w:jc w:val="center"/>
        <w:rPr>
          <w:rFonts w:ascii="Arial" w:hAnsi="Arial" w:cs="Arial"/>
          <w:b/>
          <w:sz w:val="20"/>
          <w:szCs w:val="20"/>
        </w:rPr>
      </w:pPr>
    </w:p>
    <w:p w14:paraId="7B50FEED" w14:textId="77777777"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0E697205" w14:textId="77777777" w:rsidR="00F61A5C" w:rsidRDefault="00F61A5C" w:rsidP="009F76F1">
      <w:pPr>
        <w:jc w:val="both"/>
        <w:rPr>
          <w:rFonts w:ascii="Arial" w:hAnsi="Arial" w:cs="Arial"/>
          <w:b/>
          <w:bCs/>
          <w:sz w:val="22"/>
          <w:szCs w:val="22"/>
        </w:rPr>
        <w:sectPr w:rsidR="00F61A5C">
          <w:pgSz w:w="12240" w:h="15840"/>
          <w:pgMar w:top="1440" w:right="1440" w:bottom="1440" w:left="1440" w:header="720" w:footer="720" w:gutter="0"/>
          <w:cols w:space="720"/>
          <w:docGrid w:linePitch="360"/>
        </w:sectPr>
      </w:pPr>
    </w:p>
    <w:p w14:paraId="7E47DE6A" w14:textId="0CC3B8FB" w:rsidR="00F61A5C" w:rsidRPr="003F178F" w:rsidRDefault="00F61A5C" w:rsidP="00F61A5C">
      <w:pPr>
        <w:pStyle w:val="Heading4"/>
        <w:ind w:left="2302" w:right="2532"/>
        <w:jc w:val="center"/>
        <w:rPr>
          <w:rFonts w:ascii="Times New Roman" w:eastAsia="Times New Roman" w:hAnsi="Times New Roman" w:cs="Times New Roman"/>
          <w:i w:val="0"/>
          <w:iCs w:val="0"/>
          <w:color w:val="auto"/>
          <w:w w:val="105"/>
          <w:sz w:val="25"/>
          <w:u w:val="single"/>
        </w:rPr>
      </w:pPr>
      <w:r w:rsidRPr="003F178F">
        <w:rPr>
          <w:rFonts w:ascii="Times New Roman" w:eastAsia="Times New Roman" w:hAnsi="Times New Roman" w:cs="Times New Roman"/>
          <w:i w:val="0"/>
          <w:iCs w:val="0"/>
          <w:color w:val="auto"/>
          <w:w w:val="105"/>
          <w:sz w:val="25"/>
          <w:u w:val="single"/>
        </w:rPr>
        <w:t>APPENDIX 2:</w:t>
      </w:r>
    </w:p>
    <w:p w14:paraId="262C75FB" w14:textId="1476723D" w:rsidR="00F61A5C" w:rsidRPr="003F178F" w:rsidRDefault="00F61A5C" w:rsidP="00F61A5C">
      <w:pPr>
        <w:spacing w:before="225"/>
        <w:ind w:left="2302" w:right="2532"/>
        <w:jc w:val="center"/>
        <w:rPr>
          <w:w w:val="105"/>
          <w:sz w:val="25"/>
          <w:u w:val="single"/>
        </w:rPr>
      </w:pPr>
      <w:r w:rsidRPr="003F178F">
        <w:rPr>
          <w:w w:val="105"/>
          <w:sz w:val="25"/>
          <w:u w:val="single"/>
        </w:rPr>
        <w:t>D</w:t>
      </w:r>
      <w:r w:rsidR="00163C52" w:rsidRPr="003F178F">
        <w:rPr>
          <w:w w:val="105"/>
          <w:sz w:val="25"/>
          <w:u w:val="single"/>
        </w:rPr>
        <w:t>O</w:t>
      </w:r>
      <w:r w:rsidRPr="003F178F">
        <w:rPr>
          <w:w w:val="105"/>
          <w:sz w:val="25"/>
          <w:u w:val="single"/>
        </w:rPr>
        <w:t>N N</w:t>
      </w:r>
      <w:r w:rsidR="00163C52" w:rsidRPr="003F178F">
        <w:rPr>
          <w:w w:val="105"/>
          <w:sz w:val="25"/>
          <w:u w:val="single"/>
        </w:rPr>
        <w:t>ARRATIVE</w:t>
      </w:r>
    </w:p>
    <w:p w14:paraId="43B17EA9" w14:textId="77777777" w:rsidR="00F61A5C" w:rsidRDefault="00F61A5C" w:rsidP="009F76F1">
      <w:pPr>
        <w:jc w:val="both"/>
        <w:rPr>
          <w:rFonts w:ascii="Arial" w:hAnsi="Arial" w:cs="Arial"/>
          <w:b/>
          <w:bCs/>
          <w:sz w:val="22"/>
          <w:szCs w:val="22"/>
        </w:rPr>
      </w:pPr>
    </w:p>
    <w:p w14:paraId="0B54E826" w14:textId="77777777" w:rsidR="00163C52" w:rsidRDefault="00163C52" w:rsidP="009F76F1">
      <w:pPr>
        <w:jc w:val="both"/>
        <w:rPr>
          <w:rFonts w:ascii="Arial" w:hAnsi="Arial" w:cs="Arial"/>
          <w:b/>
          <w:bCs/>
          <w:sz w:val="22"/>
          <w:szCs w:val="22"/>
        </w:rPr>
        <w:sectPr w:rsidR="00163C52">
          <w:footerReference w:type="default" r:id="rId17"/>
          <w:pgSz w:w="12240" w:h="15840"/>
          <w:pgMar w:top="1440" w:right="1440" w:bottom="1440" w:left="1440" w:header="720" w:footer="720" w:gutter="0"/>
          <w:cols w:space="720"/>
          <w:docGrid w:linePitch="360"/>
        </w:sectPr>
      </w:pPr>
    </w:p>
    <w:p w14:paraId="2E1FE3A1" w14:textId="46211E98" w:rsidR="00163C52" w:rsidRPr="003F178F" w:rsidRDefault="00163C52" w:rsidP="00163C52">
      <w:pPr>
        <w:jc w:val="center"/>
        <w:rPr>
          <w:w w:val="105"/>
          <w:sz w:val="25"/>
          <w:u w:val="single"/>
        </w:rPr>
      </w:pPr>
      <w:r w:rsidRPr="003F178F">
        <w:rPr>
          <w:w w:val="105"/>
          <w:sz w:val="25"/>
          <w:u w:val="single"/>
        </w:rPr>
        <w:t>APPENDIX 2A:</w:t>
      </w:r>
    </w:p>
    <w:p w14:paraId="7F9F893A" w14:textId="77777777" w:rsidR="00163C52" w:rsidRPr="003F178F" w:rsidRDefault="00163C52" w:rsidP="00163C52">
      <w:pPr>
        <w:jc w:val="center"/>
        <w:rPr>
          <w:w w:val="105"/>
          <w:sz w:val="25"/>
          <w:u w:val="single"/>
        </w:rPr>
      </w:pPr>
    </w:p>
    <w:p w14:paraId="14A9B73C" w14:textId="77777777" w:rsidR="00163C52" w:rsidRPr="003F178F" w:rsidRDefault="00163C52" w:rsidP="00163C52">
      <w:pPr>
        <w:jc w:val="center"/>
        <w:rPr>
          <w:w w:val="105"/>
          <w:sz w:val="25"/>
          <w:u w:val="single"/>
        </w:rPr>
      </w:pPr>
      <w:r w:rsidRPr="003F178F">
        <w:rPr>
          <w:w w:val="105"/>
          <w:sz w:val="25"/>
          <w:u w:val="single"/>
        </w:rPr>
        <w:t>DON NARRATIVE - PROPOSED PROJECT DESCRIPTION</w:t>
      </w:r>
    </w:p>
    <w:p w14:paraId="1AB963F5" w14:textId="77777777" w:rsidR="00A40B5F" w:rsidRDefault="00A40B5F" w:rsidP="00163C52">
      <w:pPr>
        <w:jc w:val="center"/>
        <w:rPr>
          <w:rFonts w:ascii="Arial" w:hAnsi="Arial" w:cs="Arial"/>
          <w:b/>
          <w:bCs/>
          <w:sz w:val="22"/>
          <w:szCs w:val="22"/>
        </w:rPr>
        <w:sectPr w:rsidR="00A40B5F">
          <w:footerReference w:type="default" r:id="rId18"/>
          <w:pgSz w:w="12240" w:h="15840"/>
          <w:pgMar w:top="1440" w:right="1440" w:bottom="1440" w:left="1440" w:header="720" w:footer="720" w:gutter="0"/>
          <w:cols w:space="720"/>
          <w:docGrid w:linePitch="360"/>
        </w:sectPr>
      </w:pPr>
    </w:p>
    <w:p w14:paraId="427D573F" w14:textId="77777777" w:rsidR="007252F9" w:rsidRPr="006B2D20" w:rsidRDefault="007252F9" w:rsidP="007252F9">
      <w:pPr>
        <w:ind w:left="1080" w:hanging="1080"/>
        <w:jc w:val="both"/>
        <w:rPr>
          <w:rFonts w:ascii="Arial" w:hAnsi="Arial" w:cs="Arial"/>
          <w:b/>
          <w:bCs/>
          <w:sz w:val="22"/>
          <w:szCs w:val="22"/>
        </w:rPr>
      </w:pPr>
      <w:r w:rsidRPr="006B2D20">
        <w:rPr>
          <w:rFonts w:ascii="Arial" w:hAnsi="Arial" w:cs="Arial"/>
          <w:b/>
          <w:bCs/>
          <w:sz w:val="22"/>
          <w:szCs w:val="22"/>
        </w:rPr>
        <w:t xml:space="preserve">2.1 </w:t>
      </w:r>
      <w:r>
        <w:rPr>
          <w:rFonts w:ascii="Arial" w:hAnsi="Arial" w:cs="Arial"/>
          <w:b/>
          <w:bCs/>
          <w:sz w:val="22"/>
          <w:szCs w:val="22"/>
        </w:rPr>
        <w:tab/>
      </w:r>
      <w:r w:rsidRPr="006B2D20">
        <w:rPr>
          <w:rFonts w:ascii="Arial" w:hAnsi="Arial" w:cs="Arial"/>
          <w:b/>
          <w:bCs/>
          <w:sz w:val="22"/>
          <w:szCs w:val="22"/>
        </w:rPr>
        <w:t>Provide a brief description of the scope of the project.</w:t>
      </w:r>
    </w:p>
    <w:p w14:paraId="5D88F0D0" w14:textId="77777777" w:rsidR="007252F9" w:rsidRPr="006B2D20" w:rsidRDefault="007252F9" w:rsidP="007252F9">
      <w:pPr>
        <w:jc w:val="both"/>
        <w:rPr>
          <w:rFonts w:ascii="Arial" w:hAnsi="Arial" w:cs="Arial"/>
          <w:sz w:val="22"/>
          <w:szCs w:val="22"/>
        </w:rPr>
      </w:pPr>
    </w:p>
    <w:p w14:paraId="698B4F1A" w14:textId="77777777" w:rsidR="007252F9" w:rsidRPr="00B53310" w:rsidRDefault="007252F9" w:rsidP="007252F9">
      <w:pPr>
        <w:pStyle w:val="ListParagraph"/>
        <w:numPr>
          <w:ilvl w:val="0"/>
          <w:numId w:val="6"/>
        </w:numPr>
        <w:ind w:left="360"/>
        <w:jc w:val="both"/>
        <w:rPr>
          <w:rFonts w:ascii="Arial" w:hAnsi="Arial" w:cs="Arial"/>
          <w:smallCaps/>
          <w:sz w:val="22"/>
          <w:szCs w:val="22"/>
          <w:u w:val="single"/>
        </w:rPr>
      </w:pPr>
      <w:r w:rsidRPr="00B53310">
        <w:rPr>
          <w:rFonts w:ascii="Arial" w:hAnsi="Arial" w:cs="Arial"/>
          <w:smallCaps/>
          <w:sz w:val="22"/>
          <w:szCs w:val="22"/>
          <w:u w:val="single"/>
        </w:rPr>
        <w:t xml:space="preserve">Proposed Project Components </w:t>
      </w:r>
    </w:p>
    <w:p w14:paraId="206675BC" w14:textId="77777777" w:rsidR="007252F9" w:rsidRDefault="007252F9" w:rsidP="007252F9">
      <w:pPr>
        <w:jc w:val="both"/>
        <w:rPr>
          <w:rFonts w:ascii="Arial" w:hAnsi="Arial" w:cs="Arial"/>
          <w:sz w:val="22"/>
          <w:szCs w:val="22"/>
        </w:rPr>
      </w:pPr>
    </w:p>
    <w:p w14:paraId="15BF663F" w14:textId="77777777" w:rsidR="007252F9" w:rsidRPr="00F031D7" w:rsidRDefault="007252F9" w:rsidP="007252F9">
      <w:pPr>
        <w:jc w:val="both"/>
        <w:rPr>
          <w:rFonts w:ascii="Arial" w:hAnsi="Arial" w:cs="Arial"/>
          <w:sz w:val="22"/>
          <w:szCs w:val="22"/>
        </w:rPr>
      </w:pPr>
      <w:r w:rsidRPr="006B2D20">
        <w:rPr>
          <w:rFonts w:ascii="Arial" w:hAnsi="Arial" w:cs="Arial"/>
          <w:sz w:val="22"/>
          <w:szCs w:val="22"/>
        </w:rPr>
        <w:t>BMC Health System, Inc. (“Applicant”, “BMC Health System”, or “System”), with a principal office located at One Boston Medical Center Place, Boston, Massachusetts 02118, is filing a Notice of Determination of Need (“</w:t>
      </w:r>
      <w:proofErr w:type="spellStart"/>
      <w:r w:rsidRPr="006B2D20">
        <w:rPr>
          <w:rFonts w:ascii="Arial" w:hAnsi="Arial" w:cs="Arial"/>
          <w:sz w:val="22"/>
          <w:szCs w:val="22"/>
        </w:rPr>
        <w:t>DoN</w:t>
      </w:r>
      <w:proofErr w:type="spellEnd"/>
      <w:r w:rsidRPr="006B2D20">
        <w:rPr>
          <w:rFonts w:ascii="Arial" w:hAnsi="Arial" w:cs="Arial"/>
          <w:sz w:val="22"/>
          <w:szCs w:val="22"/>
        </w:rPr>
        <w:t>”) (“Application”) with the Massachusetts Department of Public Health (“Department” or “DPH”) for a substantial capital expenditure</w:t>
      </w:r>
      <w:r w:rsidRPr="00F031D7">
        <w:rPr>
          <w:rFonts w:ascii="Arial" w:hAnsi="Arial" w:cs="Arial"/>
          <w:sz w:val="22"/>
          <w:szCs w:val="22"/>
        </w:rPr>
        <w:t xml:space="preserve"> by Boston Medical Center Corporation d/b/a Boston Medical Center (“BMC” or “Hospital”) located at One Boston Medical Center Place, Boston, Massachusetts 02118. Specifically, this Application requests approval for the following:</w:t>
      </w:r>
    </w:p>
    <w:p w14:paraId="6AC23429" w14:textId="77777777" w:rsidR="007252F9" w:rsidRPr="00F031D7" w:rsidRDefault="007252F9" w:rsidP="007252F9">
      <w:pPr>
        <w:pStyle w:val="ListParagraph"/>
        <w:numPr>
          <w:ilvl w:val="0"/>
          <w:numId w:val="5"/>
        </w:numPr>
        <w:jc w:val="both"/>
        <w:rPr>
          <w:rFonts w:ascii="Arial" w:hAnsi="Arial" w:cs="Arial"/>
          <w:sz w:val="22"/>
          <w:szCs w:val="22"/>
        </w:rPr>
      </w:pPr>
      <w:r w:rsidRPr="00F031D7">
        <w:rPr>
          <w:rFonts w:ascii="Arial" w:hAnsi="Arial" w:cs="Arial"/>
          <w:sz w:val="22"/>
          <w:szCs w:val="22"/>
        </w:rPr>
        <w:t xml:space="preserve">Construction and renovation to BMC’s existing </w:t>
      </w:r>
      <w:proofErr w:type="spellStart"/>
      <w:r w:rsidRPr="00F031D7">
        <w:rPr>
          <w:rFonts w:ascii="Arial" w:hAnsi="Arial" w:cs="Arial"/>
          <w:sz w:val="22"/>
          <w:szCs w:val="22"/>
        </w:rPr>
        <w:t>Yawkey</w:t>
      </w:r>
      <w:proofErr w:type="spellEnd"/>
      <w:r w:rsidRPr="00F031D7">
        <w:rPr>
          <w:rFonts w:ascii="Arial" w:hAnsi="Arial" w:cs="Arial"/>
          <w:sz w:val="22"/>
          <w:szCs w:val="22"/>
        </w:rPr>
        <w:t xml:space="preserve"> Building 5th and 6th floors to accommodate the addition of </w:t>
      </w:r>
      <w:r>
        <w:rPr>
          <w:rFonts w:ascii="Arial" w:hAnsi="Arial" w:cs="Arial"/>
          <w:sz w:val="22"/>
          <w:szCs w:val="22"/>
        </w:rPr>
        <w:t>seventy (</w:t>
      </w:r>
      <w:r w:rsidRPr="00F031D7">
        <w:rPr>
          <w:rFonts w:ascii="Arial" w:hAnsi="Arial" w:cs="Arial"/>
          <w:sz w:val="22"/>
          <w:szCs w:val="22"/>
        </w:rPr>
        <w:t>70</w:t>
      </w:r>
      <w:r>
        <w:rPr>
          <w:rFonts w:ascii="Arial" w:hAnsi="Arial" w:cs="Arial"/>
          <w:sz w:val="22"/>
          <w:szCs w:val="22"/>
        </w:rPr>
        <w:t>)</w:t>
      </w:r>
      <w:r w:rsidRPr="00F031D7">
        <w:rPr>
          <w:rFonts w:ascii="Arial" w:hAnsi="Arial" w:cs="Arial"/>
          <w:sz w:val="22"/>
          <w:szCs w:val="22"/>
        </w:rPr>
        <w:t xml:space="preserve"> new inpatient beds, including </w:t>
      </w:r>
      <w:r>
        <w:rPr>
          <w:rFonts w:ascii="Arial" w:hAnsi="Arial" w:cs="Arial"/>
          <w:sz w:val="22"/>
          <w:szCs w:val="22"/>
        </w:rPr>
        <w:t>sixty (</w:t>
      </w:r>
      <w:r w:rsidRPr="00F031D7">
        <w:rPr>
          <w:rFonts w:ascii="Arial" w:hAnsi="Arial" w:cs="Arial"/>
          <w:sz w:val="22"/>
          <w:szCs w:val="22"/>
        </w:rPr>
        <w:t>60</w:t>
      </w:r>
      <w:r>
        <w:rPr>
          <w:rFonts w:ascii="Arial" w:hAnsi="Arial" w:cs="Arial"/>
          <w:sz w:val="22"/>
          <w:szCs w:val="22"/>
        </w:rPr>
        <w:t>)</w:t>
      </w:r>
      <w:r w:rsidRPr="00F031D7">
        <w:rPr>
          <w:rFonts w:ascii="Arial" w:hAnsi="Arial" w:cs="Arial"/>
          <w:sz w:val="22"/>
          <w:szCs w:val="22"/>
        </w:rPr>
        <w:t xml:space="preserve"> additional medical/surgical beds and </w:t>
      </w:r>
      <w:r>
        <w:rPr>
          <w:rFonts w:ascii="Arial" w:hAnsi="Arial" w:cs="Arial"/>
          <w:sz w:val="22"/>
          <w:szCs w:val="22"/>
        </w:rPr>
        <w:t>ten (</w:t>
      </w:r>
      <w:r w:rsidRPr="00F031D7">
        <w:rPr>
          <w:rFonts w:ascii="Arial" w:hAnsi="Arial" w:cs="Arial"/>
          <w:sz w:val="22"/>
          <w:szCs w:val="22"/>
        </w:rPr>
        <w:t>10</w:t>
      </w:r>
      <w:r>
        <w:rPr>
          <w:rFonts w:ascii="Arial" w:hAnsi="Arial" w:cs="Arial"/>
          <w:sz w:val="22"/>
          <w:szCs w:val="22"/>
        </w:rPr>
        <w:t>)</w:t>
      </w:r>
      <w:r w:rsidRPr="00F031D7">
        <w:rPr>
          <w:rFonts w:ascii="Arial" w:hAnsi="Arial" w:cs="Arial"/>
          <w:sz w:val="22"/>
          <w:szCs w:val="22"/>
        </w:rPr>
        <w:t xml:space="preserve"> additional intensive care unit (“ICU”) beds; </w:t>
      </w:r>
    </w:p>
    <w:p w14:paraId="3757E85B" w14:textId="77777777" w:rsidR="007252F9" w:rsidRPr="00F031D7" w:rsidRDefault="007252F9" w:rsidP="007252F9">
      <w:pPr>
        <w:pStyle w:val="ListParagraph"/>
        <w:numPr>
          <w:ilvl w:val="0"/>
          <w:numId w:val="5"/>
        </w:numPr>
        <w:jc w:val="both"/>
        <w:rPr>
          <w:rFonts w:ascii="Arial" w:hAnsi="Arial" w:cs="Arial"/>
          <w:sz w:val="22"/>
          <w:szCs w:val="22"/>
        </w:rPr>
      </w:pPr>
      <w:r w:rsidRPr="00F031D7">
        <w:rPr>
          <w:rFonts w:ascii="Arial" w:hAnsi="Arial" w:cs="Arial"/>
          <w:sz w:val="22"/>
          <w:szCs w:val="22"/>
        </w:rPr>
        <w:t xml:space="preserve">Renovation </w:t>
      </w:r>
      <w:r>
        <w:rPr>
          <w:rFonts w:ascii="Arial" w:hAnsi="Arial" w:cs="Arial"/>
          <w:sz w:val="22"/>
          <w:szCs w:val="22"/>
        </w:rPr>
        <w:t>of</w:t>
      </w:r>
      <w:r w:rsidRPr="00F031D7">
        <w:rPr>
          <w:rFonts w:ascii="Arial" w:hAnsi="Arial" w:cs="Arial"/>
          <w:sz w:val="22"/>
          <w:szCs w:val="22"/>
        </w:rPr>
        <w:t xml:space="preserve"> BMC’s existing Menino Building 2nd floor to accommodate the addition of </w:t>
      </w:r>
      <w:r>
        <w:rPr>
          <w:rFonts w:ascii="Arial" w:hAnsi="Arial" w:cs="Arial"/>
          <w:sz w:val="22"/>
          <w:szCs w:val="22"/>
        </w:rPr>
        <w:t>five (</w:t>
      </w:r>
      <w:r w:rsidRPr="00F031D7">
        <w:rPr>
          <w:rFonts w:ascii="Arial" w:hAnsi="Arial" w:cs="Arial"/>
          <w:sz w:val="22"/>
          <w:szCs w:val="22"/>
        </w:rPr>
        <w:t>5</w:t>
      </w:r>
      <w:r>
        <w:rPr>
          <w:rFonts w:ascii="Arial" w:hAnsi="Arial" w:cs="Arial"/>
          <w:sz w:val="22"/>
          <w:szCs w:val="22"/>
        </w:rPr>
        <w:t>)</w:t>
      </w:r>
      <w:r w:rsidRPr="00F031D7">
        <w:rPr>
          <w:rFonts w:ascii="Arial" w:hAnsi="Arial" w:cs="Arial"/>
          <w:sz w:val="22"/>
          <w:szCs w:val="22"/>
        </w:rPr>
        <w:t xml:space="preserve"> new inpatient </w:t>
      </w:r>
      <w:r>
        <w:rPr>
          <w:rFonts w:ascii="Arial" w:hAnsi="Arial" w:cs="Arial"/>
          <w:sz w:val="22"/>
          <w:szCs w:val="22"/>
        </w:rPr>
        <w:t>operating rooms (“ORs”)</w:t>
      </w:r>
      <w:r w:rsidRPr="00F031D7">
        <w:rPr>
          <w:rFonts w:ascii="Arial" w:hAnsi="Arial" w:cs="Arial"/>
          <w:sz w:val="22"/>
          <w:szCs w:val="22"/>
        </w:rPr>
        <w:t xml:space="preserve">, as well as </w:t>
      </w:r>
      <w:r>
        <w:rPr>
          <w:rFonts w:ascii="Arial" w:hAnsi="Arial" w:cs="Arial"/>
          <w:sz w:val="22"/>
          <w:szCs w:val="22"/>
        </w:rPr>
        <w:t xml:space="preserve">additional </w:t>
      </w:r>
      <w:r w:rsidRPr="00F031D7">
        <w:rPr>
          <w:rFonts w:ascii="Arial" w:hAnsi="Arial" w:cs="Arial"/>
          <w:sz w:val="22"/>
          <w:szCs w:val="22"/>
        </w:rPr>
        <w:t xml:space="preserve">pre- and post-operative/post-anesthesia care unit ("PACU") space; and </w:t>
      </w:r>
    </w:p>
    <w:p w14:paraId="4279AE45" w14:textId="77777777" w:rsidR="007252F9" w:rsidRPr="00F031D7" w:rsidRDefault="007252F9" w:rsidP="007252F9">
      <w:pPr>
        <w:pStyle w:val="ListParagraph"/>
        <w:numPr>
          <w:ilvl w:val="0"/>
          <w:numId w:val="5"/>
        </w:numPr>
        <w:jc w:val="both"/>
        <w:rPr>
          <w:rFonts w:ascii="Arial" w:hAnsi="Arial" w:cs="Arial"/>
          <w:sz w:val="22"/>
          <w:szCs w:val="22"/>
        </w:rPr>
      </w:pPr>
      <w:r w:rsidRPr="00F031D7">
        <w:rPr>
          <w:rFonts w:ascii="Arial" w:hAnsi="Arial" w:cs="Arial"/>
          <w:sz w:val="22"/>
          <w:szCs w:val="22"/>
        </w:rPr>
        <w:t xml:space="preserve">Other construction and renovation projects to accommodate the proposed inpatient expansion projects, support campus infrastructure reorganization efforts, and improve existing services, facilities, and patient experience and wayfinding at the Hospital, as follows: </w:t>
      </w:r>
    </w:p>
    <w:p w14:paraId="511F6448"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 xml:space="preserve">Modification to two (2) existing service elevators in the </w:t>
      </w:r>
      <w:proofErr w:type="spellStart"/>
      <w:r w:rsidRPr="00F031D7">
        <w:rPr>
          <w:rFonts w:ascii="Arial" w:hAnsi="Arial" w:cs="Arial"/>
          <w:sz w:val="22"/>
          <w:szCs w:val="22"/>
        </w:rPr>
        <w:t>Yawkey</w:t>
      </w:r>
      <w:proofErr w:type="spellEnd"/>
      <w:r w:rsidRPr="00F031D7">
        <w:rPr>
          <w:rFonts w:ascii="Arial" w:hAnsi="Arial" w:cs="Arial"/>
          <w:sz w:val="22"/>
          <w:szCs w:val="22"/>
        </w:rPr>
        <w:t xml:space="preserve"> Building to add emergency call service between </w:t>
      </w:r>
      <w:proofErr w:type="spellStart"/>
      <w:r w:rsidRPr="00F031D7">
        <w:rPr>
          <w:rFonts w:ascii="Arial" w:hAnsi="Arial" w:cs="Arial"/>
          <w:sz w:val="22"/>
          <w:szCs w:val="22"/>
        </w:rPr>
        <w:t>Yawkey</w:t>
      </w:r>
      <w:proofErr w:type="spellEnd"/>
      <w:r w:rsidRPr="00F031D7">
        <w:rPr>
          <w:rFonts w:ascii="Arial" w:hAnsi="Arial" w:cs="Arial"/>
          <w:sz w:val="22"/>
          <w:szCs w:val="22"/>
        </w:rPr>
        <w:t xml:space="preserve"> Building 5th and 6th floors and ensure connection to emergency and patient support services in the Menino Building, to support the inpatient bed expansion;</w:t>
      </w:r>
    </w:p>
    <w:p w14:paraId="3C57087B"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 xml:space="preserve">Relocation of the Hospital’s existing 28-bed observation unit from the Menino Building 2nd floor to the </w:t>
      </w:r>
      <w:proofErr w:type="spellStart"/>
      <w:r w:rsidRPr="00F031D7">
        <w:rPr>
          <w:rFonts w:ascii="Arial" w:hAnsi="Arial" w:cs="Arial"/>
          <w:sz w:val="22"/>
          <w:szCs w:val="22"/>
        </w:rPr>
        <w:t>Yawkey</w:t>
      </w:r>
      <w:proofErr w:type="spellEnd"/>
      <w:r w:rsidRPr="00F031D7">
        <w:rPr>
          <w:rFonts w:ascii="Arial" w:hAnsi="Arial" w:cs="Arial"/>
          <w:sz w:val="22"/>
          <w:szCs w:val="22"/>
        </w:rPr>
        <w:t xml:space="preserve"> Building 5th floor to accommodate the inpatient OR expansion;</w:t>
      </w:r>
    </w:p>
    <w:p w14:paraId="71ED26DB"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 xml:space="preserve">Reduction of one </w:t>
      </w:r>
      <w:r>
        <w:rPr>
          <w:rFonts w:ascii="Arial" w:hAnsi="Arial" w:cs="Arial"/>
          <w:sz w:val="22"/>
          <w:szCs w:val="22"/>
        </w:rPr>
        <w:t xml:space="preserve">existing </w:t>
      </w:r>
      <w:r w:rsidRPr="00F031D7">
        <w:rPr>
          <w:rFonts w:ascii="Arial" w:hAnsi="Arial" w:cs="Arial"/>
          <w:sz w:val="22"/>
          <w:szCs w:val="22"/>
        </w:rPr>
        <w:t xml:space="preserve">(1) inpatient general procedure room and relocation of one (1) existing negative pressure inpatient procedure room within the Menino Building 2nd floor, to accommodate the inpatient OR expansion; </w:t>
      </w:r>
    </w:p>
    <w:p w14:paraId="31F88709"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Necessary infrastructure upgrades and expansion and renovation of sterile and non-sterile support areas to support the new Menino Building inpatient ORs, including installation of a new air handling unit, addition of a new clean core, renovation of staff support and patient/family areas, and renovation of the Central Processing Department’s decontamination space;</w:t>
      </w:r>
    </w:p>
    <w:p w14:paraId="26613844"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Construction of a sterile staff and materials corridor connecting the Moakley Building and expanded Menino Building inpatient OR suites, to increase productivity and improve patient experience;</w:t>
      </w:r>
    </w:p>
    <w:p w14:paraId="7AB853EE"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 xml:space="preserve">Construction and renovation to BMC’s existing Menino and </w:t>
      </w:r>
      <w:proofErr w:type="spellStart"/>
      <w:r w:rsidRPr="00F031D7">
        <w:rPr>
          <w:rFonts w:ascii="Arial" w:hAnsi="Arial" w:cs="Arial"/>
          <w:sz w:val="22"/>
          <w:szCs w:val="22"/>
        </w:rPr>
        <w:t>Yawkey</w:t>
      </w:r>
      <w:proofErr w:type="spellEnd"/>
      <w:r w:rsidRPr="00F031D7">
        <w:rPr>
          <w:rFonts w:ascii="Arial" w:hAnsi="Arial" w:cs="Arial"/>
          <w:sz w:val="22"/>
          <w:szCs w:val="22"/>
        </w:rPr>
        <w:t xml:space="preserve"> Building lobbies to create a single exterior entry point, expanded cafeteria seating, and other upgrades for enhanced patient experience; and </w:t>
      </w:r>
    </w:p>
    <w:p w14:paraId="0C78B964" w14:textId="77777777" w:rsidR="007252F9" w:rsidRPr="00F031D7" w:rsidRDefault="007252F9" w:rsidP="007252F9">
      <w:pPr>
        <w:pStyle w:val="ListParagraph"/>
        <w:numPr>
          <w:ilvl w:val="1"/>
          <w:numId w:val="4"/>
        </w:numPr>
        <w:jc w:val="both"/>
        <w:rPr>
          <w:rFonts w:ascii="Arial" w:hAnsi="Arial" w:cs="Arial"/>
          <w:sz w:val="22"/>
          <w:szCs w:val="22"/>
        </w:rPr>
      </w:pPr>
      <w:r w:rsidRPr="00F031D7">
        <w:rPr>
          <w:rFonts w:ascii="Arial" w:hAnsi="Arial" w:cs="Arial"/>
          <w:sz w:val="22"/>
          <w:szCs w:val="22"/>
        </w:rPr>
        <w:t>Construction and renovation to BMC’s existing Menino Building to accommodate an expanded Emergency Department (“ED”) vestibule, for improved patient experience.</w:t>
      </w:r>
    </w:p>
    <w:p w14:paraId="0E6CE269" w14:textId="77777777" w:rsidR="007252F9" w:rsidRPr="00F031D7" w:rsidRDefault="007252F9" w:rsidP="007252F9">
      <w:pPr>
        <w:jc w:val="both"/>
        <w:rPr>
          <w:rFonts w:ascii="Arial" w:hAnsi="Arial" w:cs="Arial"/>
          <w:sz w:val="22"/>
          <w:szCs w:val="22"/>
        </w:rPr>
      </w:pPr>
    </w:p>
    <w:p w14:paraId="023688A6"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Collectively, these component projects are the “Proposed Project.”</w:t>
      </w:r>
    </w:p>
    <w:p w14:paraId="01250C1E" w14:textId="77777777" w:rsidR="007252F9" w:rsidRDefault="007252F9" w:rsidP="007252F9">
      <w:pPr>
        <w:jc w:val="both"/>
        <w:rPr>
          <w:rFonts w:ascii="Arial" w:hAnsi="Arial" w:cs="Arial"/>
          <w:sz w:val="22"/>
          <w:szCs w:val="22"/>
        </w:rPr>
      </w:pPr>
    </w:p>
    <w:p w14:paraId="054E9D24" w14:textId="77777777" w:rsidR="007252F9" w:rsidRDefault="007252F9" w:rsidP="007252F9">
      <w:pPr>
        <w:jc w:val="both"/>
        <w:rPr>
          <w:rFonts w:ascii="Arial" w:hAnsi="Arial" w:cs="Arial"/>
          <w:sz w:val="22"/>
          <w:szCs w:val="22"/>
        </w:rPr>
      </w:pPr>
    </w:p>
    <w:p w14:paraId="33EF2811" w14:textId="77777777" w:rsidR="007252F9" w:rsidRPr="00F031D7" w:rsidRDefault="007252F9" w:rsidP="007252F9">
      <w:pPr>
        <w:jc w:val="both"/>
        <w:rPr>
          <w:rFonts w:ascii="Arial" w:hAnsi="Arial" w:cs="Arial"/>
          <w:sz w:val="22"/>
          <w:szCs w:val="22"/>
        </w:rPr>
      </w:pPr>
    </w:p>
    <w:p w14:paraId="78E0F184" w14:textId="77777777" w:rsidR="007252F9" w:rsidRPr="00B53310" w:rsidRDefault="007252F9" w:rsidP="007252F9">
      <w:pPr>
        <w:pStyle w:val="ListParagraph"/>
        <w:numPr>
          <w:ilvl w:val="0"/>
          <w:numId w:val="6"/>
        </w:numPr>
        <w:ind w:left="360"/>
        <w:jc w:val="both"/>
        <w:rPr>
          <w:rFonts w:ascii="Arial" w:hAnsi="Arial" w:cs="Arial"/>
          <w:smallCaps/>
          <w:sz w:val="22"/>
          <w:szCs w:val="22"/>
          <w:u w:val="single"/>
        </w:rPr>
      </w:pPr>
      <w:r w:rsidRPr="00B53310">
        <w:rPr>
          <w:rFonts w:ascii="Arial" w:hAnsi="Arial" w:cs="Arial"/>
          <w:smallCaps/>
          <w:sz w:val="22"/>
          <w:szCs w:val="22"/>
          <w:u w:val="single"/>
        </w:rPr>
        <w:t>Overview of the Applicant and Hospital</w:t>
      </w:r>
    </w:p>
    <w:p w14:paraId="689E4318" w14:textId="77777777" w:rsidR="007252F9" w:rsidRPr="00F031D7" w:rsidRDefault="007252F9" w:rsidP="007252F9">
      <w:pPr>
        <w:pStyle w:val="ListParagraph"/>
        <w:jc w:val="both"/>
        <w:rPr>
          <w:rFonts w:ascii="Arial" w:hAnsi="Arial" w:cs="Arial"/>
          <w:i/>
          <w:iCs/>
          <w:sz w:val="22"/>
          <w:szCs w:val="22"/>
          <w:u w:val="single"/>
        </w:rPr>
      </w:pPr>
    </w:p>
    <w:p w14:paraId="1A80F086"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The Applicant is a Massachusetts</w:t>
      </w:r>
      <w:r>
        <w:rPr>
          <w:rFonts w:ascii="Arial" w:hAnsi="Arial" w:cs="Arial"/>
          <w:sz w:val="22"/>
          <w:szCs w:val="22"/>
        </w:rPr>
        <w:t xml:space="preserve">, </w:t>
      </w:r>
      <w:r w:rsidRPr="00F031D7">
        <w:rPr>
          <w:rFonts w:ascii="Arial" w:hAnsi="Arial" w:cs="Arial"/>
          <w:sz w:val="22"/>
          <w:szCs w:val="22"/>
        </w:rPr>
        <w:t>non-profit</w:t>
      </w:r>
      <w:r>
        <w:rPr>
          <w:rFonts w:ascii="Arial" w:hAnsi="Arial" w:cs="Arial"/>
          <w:sz w:val="22"/>
          <w:szCs w:val="22"/>
        </w:rPr>
        <w:t>,</w:t>
      </w:r>
      <w:r w:rsidRPr="00F031D7">
        <w:rPr>
          <w:rFonts w:ascii="Arial" w:hAnsi="Arial" w:cs="Arial"/>
          <w:sz w:val="22"/>
          <w:szCs w:val="22"/>
        </w:rPr>
        <w:t xml:space="preserve"> integrated health</w:t>
      </w:r>
      <w:r>
        <w:rPr>
          <w:rFonts w:ascii="Arial" w:hAnsi="Arial" w:cs="Arial"/>
          <w:sz w:val="22"/>
          <w:szCs w:val="22"/>
        </w:rPr>
        <w:t xml:space="preserve"> </w:t>
      </w:r>
      <w:r w:rsidRPr="00F031D7">
        <w:rPr>
          <w:rFonts w:ascii="Arial" w:hAnsi="Arial" w:cs="Arial"/>
          <w:sz w:val="22"/>
          <w:szCs w:val="22"/>
        </w:rPr>
        <w:t xml:space="preserve">care system whose mission is providing exceptional care without exception. Through its various subsidiaries, System affiliates, and community health center partners, BMC Health System provides primary, specialty, and tertiary care, as well as access to </w:t>
      </w:r>
      <w:r>
        <w:rPr>
          <w:rFonts w:ascii="Arial" w:hAnsi="Arial" w:cs="Arial"/>
          <w:sz w:val="22"/>
          <w:szCs w:val="22"/>
        </w:rPr>
        <w:t xml:space="preserve">a </w:t>
      </w:r>
      <w:r w:rsidRPr="00F031D7">
        <w:rPr>
          <w:rFonts w:ascii="Arial" w:hAnsi="Arial" w:cs="Arial"/>
          <w:sz w:val="22"/>
          <w:szCs w:val="22"/>
        </w:rPr>
        <w:t>managed care organization,</w:t>
      </w:r>
      <w:r>
        <w:rPr>
          <w:rFonts w:ascii="Arial" w:hAnsi="Arial" w:cs="Arial"/>
          <w:sz w:val="22"/>
          <w:szCs w:val="22"/>
        </w:rPr>
        <w:t xml:space="preserve"> an</w:t>
      </w:r>
      <w:r w:rsidRPr="00F031D7">
        <w:rPr>
          <w:rFonts w:ascii="Arial" w:hAnsi="Arial" w:cs="Arial"/>
          <w:sz w:val="22"/>
          <w:szCs w:val="22"/>
        </w:rPr>
        <w:t xml:space="preserve"> accountable care organization (”ACO”), and other health related programs, to </w:t>
      </w:r>
      <w:r>
        <w:rPr>
          <w:rFonts w:ascii="Arial" w:hAnsi="Arial" w:cs="Arial"/>
          <w:sz w:val="22"/>
          <w:szCs w:val="22"/>
        </w:rPr>
        <w:t>under-resourced</w:t>
      </w:r>
      <w:r w:rsidRPr="00F031D7">
        <w:rPr>
          <w:rFonts w:ascii="Arial" w:hAnsi="Arial" w:cs="Arial"/>
          <w:sz w:val="22"/>
          <w:szCs w:val="22"/>
        </w:rPr>
        <w:t xml:space="preserve"> populations in the Boston metropolitan area and individuals throughout Greater Boston, Massachusetts, and beyond who are underserved by existing health</w:t>
      </w:r>
      <w:r>
        <w:rPr>
          <w:rFonts w:ascii="Arial" w:hAnsi="Arial" w:cs="Arial"/>
          <w:sz w:val="22"/>
          <w:szCs w:val="22"/>
        </w:rPr>
        <w:t xml:space="preserve"> </w:t>
      </w:r>
      <w:r w:rsidRPr="00F031D7">
        <w:rPr>
          <w:rFonts w:ascii="Arial" w:hAnsi="Arial" w:cs="Arial"/>
          <w:sz w:val="22"/>
          <w:szCs w:val="22"/>
        </w:rPr>
        <w:t>care services.</w:t>
      </w:r>
    </w:p>
    <w:p w14:paraId="5F98015F" w14:textId="77777777" w:rsidR="007252F9" w:rsidRPr="00F031D7" w:rsidRDefault="007252F9" w:rsidP="007252F9">
      <w:pPr>
        <w:jc w:val="both"/>
        <w:rPr>
          <w:rFonts w:ascii="Arial" w:hAnsi="Arial" w:cs="Arial"/>
          <w:sz w:val="22"/>
          <w:szCs w:val="22"/>
        </w:rPr>
      </w:pPr>
    </w:p>
    <w:p w14:paraId="6579784B"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 xml:space="preserve">BMC, the System’s </w:t>
      </w:r>
      <w:r>
        <w:rPr>
          <w:rFonts w:ascii="Arial" w:hAnsi="Arial" w:cs="Arial"/>
          <w:sz w:val="22"/>
          <w:szCs w:val="22"/>
        </w:rPr>
        <w:t xml:space="preserve">academic safety net </w:t>
      </w:r>
      <w:r w:rsidRPr="00F031D7">
        <w:rPr>
          <w:rFonts w:ascii="Arial" w:hAnsi="Arial" w:cs="Arial"/>
          <w:sz w:val="22"/>
          <w:szCs w:val="22"/>
        </w:rPr>
        <w:t xml:space="preserve">hospital, was incorporated as a Massachusetts charitable corporation in 1996 with the merger of Boston City Hospital, Boston Specialty and Rehabilitation Hospital, and the Boston University Medical Center Hospital. Today, BMC is a private, not-for-profit </w:t>
      </w:r>
      <w:r>
        <w:rPr>
          <w:rFonts w:ascii="Arial" w:hAnsi="Arial" w:cs="Arial"/>
          <w:sz w:val="22"/>
          <w:szCs w:val="22"/>
        </w:rPr>
        <w:t>514-</w:t>
      </w:r>
      <w:r w:rsidRPr="00F031D7">
        <w:rPr>
          <w:rFonts w:ascii="Arial" w:hAnsi="Arial" w:cs="Arial"/>
          <w:sz w:val="22"/>
          <w:szCs w:val="22"/>
        </w:rPr>
        <w:t>bed urban academic medical center located in Boston’s historic South End with satellites and partner locations in Boston and the surrounding communities. As the largest safety net hospital in New England, BMC emphasizes community-based, accessible care and is dedicated to providing consistently exceptional health services to all in need of care regardless of insurance status or ability to pay. Nearly 75% of the Hospital’s patients come from under</w:t>
      </w:r>
      <w:r>
        <w:rPr>
          <w:rFonts w:ascii="Arial" w:hAnsi="Arial" w:cs="Arial"/>
          <w:sz w:val="22"/>
          <w:szCs w:val="22"/>
        </w:rPr>
        <w:t>-resourced</w:t>
      </w:r>
      <w:r w:rsidRPr="00F031D7">
        <w:rPr>
          <w:rFonts w:ascii="Arial" w:hAnsi="Arial" w:cs="Arial"/>
          <w:sz w:val="22"/>
          <w:szCs w:val="22"/>
        </w:rPr>
        <w:t xml:space="preserve"> populations, such as the low-income and elderly, who rely on government payers such as Medicaid, the Health Safety Net</w:t>
      </w:r>
      <w:r>
        <w:rPr>
          <w:rFonts w:ascii="Arial" w:hAnsi="Arial" w:cs="Arial"/>
          <w:sz w:val="22"/>
          <w:szCs w:val="22"/>
        </w:rPr>
        <w:t xml:space="preserve"> (“HSN”)</w:t>
      </w:r>
      <w:r w:rsidRPr="00F031D7">
        <w:rPr>
          <w:rFonts w:ascii="Arial" w:hAnsi="Arial" w:cs="Arial"/>
          <w:sz w:val="22"/>
          <w:szCs w:val="22"/>
        </w:rPr>
        <w:t>, and Medicare for their coverage</w:t>
      </w:r>
      <w:r>
        <w:rPr>
          <w:rFonts w:ascii="Arial" w:hAnsi="Arial" w:cs="Arial"/>
          <w:sz w:val="22"/>
          <w:szCs w:val="22"/>
        </w:rPr>
        <w:t>.</w:t>
      </w:r>
      <w:r w:rsidRPr="00F031D7">
        <w:rPr>
          <w:rFonts w:ascii="Arial" w:hAnsi="Arial" w:cs="Arial"/>
          <w:sz w:val="22"/>
          <w:szCs w:val="22"/>
        </w:rPr>
        <w:t xml:space="preserve"> </w:t>
      </w:r>
      <w:r>
        <w:rPr>
          <w:rFonts w:ascii="Arial" w:hAnsi="Arial" w:cs="Arial"/>
          <w:sz w:val="22"/>
          <w:szCs w:val="22"/>
        </w:rPr>
        <w:t>A</w:t>
      </w:r>
      <w:r w:rsidRPr="00F031D7">
        <w:rPr>
          <w:rFonts w:ascii="Arial" w:hAnsi="Arial" w:cs="Arial"/>
          <w:sz w:val="22"/>
          <w:szCs w:val="22"/>
        </w:rPr>
        <w:t xml:space="preserve">lmost one-third of BMC’s patients do not speak English as </w:t>
      </w:r>
      <w:r>
        <w:rPr>
          <w:rFonts w:ascii="Arial" w:hAnsi="Arial" w:cs="Arial"/>
          <w:sz w:val="22"/>
          <w:szCs w:val="22"/>
        </w:rPr>
        <w:t>their</w:t>
      </w:r>
      <w:r w:rsidRPr="00F031D7">
        <w:rPr>
          <w:rFonts w:ascii="Arial" w:hAnsi="Arial" w:cs="Arial"/>
          <w:sz w:val="22"/>
          <w:szCs w:val="22"/>
        </w:rPr>
        <w:t xml:space="preserve"> primary language. </w:t>
      </w:r>
    </w:p>
    <w:p w14:paraId="0008CCD6" w14:textId="77777777" w:rsidR="007252F9" w:rsidRPr="00F031D7" w:rsidRDefault="007252F9" w:rsidP="007252F9">
      <w:pPr>
        <w:jc w:val="both"/>
        <w:rPr>
          <w:rFonts w:ascii="Arial" w:hAnsi="Arial" w:cs="Arial"/>
          <w:sz w:val="22"/>
          <w:szCs w:val="22"/>
        </w:rPr>
      </w:pPr>
    </w:p>
    <w:p w14:paraId="6CA6DD52"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The Hospital is the primary teaching affiliate for the Boston University School of Medicine</w:t>
      </w:r>
      <w:r>
        <w:rPr>
          <w:rFonts w:ascii="Arial" w:hAnsi="Arial" w:cs="Arial"/>
          <w:sz w:val="22"/>
          <w:szCs w:val="22"/>
        </w:rPr>
        <w:t>. The Hospital</w:t>
      </w:r>
      <w:r w:rsidRPr="00F031D7">
        <w:rPr>
          <w:rFonts w:ascii="Arial" w:hAnsi="Arial" w:cs="Arial"/>
          <w:sz w:val="22"/>
          <w:szCs w:val="22"/>
        </w:rPr>
        <w:t xml:space="preserve"> is a recognized leader in groundbreaking medical research and provides a full spectrum of emergency, outpatient and hospital inpatient services as well as specialized care for complex health problems. Throughout their </w:t>
      </w:r>
      <w:r>
        <w:rPr>
          <w:rFonts w:ascii="Arial" w:hAnsi="Arial" w:cs="Arial"/>
          <w:sz w:val="22"/>
          <w:szCs w:val="22"/>
        </w:rPr>
        <w:t>seventy (</w:t>
      </w:r>
      <w:r w:rsidRPr="00F031D7">
        <w:rPr>
          <w:rFonts w:ascii="Arial" w:hAnsi="Arial" w:cs="Arial"/>
          <w:sz w:val="22"/>
          <w:szCs w:val="22"/>
        </w:rPr>
        <w:t>70</w:t>
      </w:r>
      <w:r>
        <w:rPr>
          <w:rFonts w:ascii="Arial" w:hAnsi="Arial" w:cs="Arial"/>
          <w:sz w:val="22"/>
          <w:szCs w:val="22"/>
        </w:rPr>
        <w:t>)</w:t>
      </w:r>
      <w:r w:rsidRPr="00F031D7">
        <w:rPr>
          <w:rFonts w:ascii="Arial" w:hAnsi="Arial" w:cs="Arial"/>
          <w:sz w:val="22"/>
          <w:szCs w:val="22"/>
        </w:rPr>
        <w:t xml:space="preserve"> medical specialties and subspecialties, BMC providers conduct over one million patient visits per year. In addition, the Hospital is the busiest provider of trauma and emergency services in New England. </w:t>
      </w:r>
    </w:p>
    <w:p w14:paraId="588579BE" w14:textId="77777777" w:rsidR="007252F9" w:rsidRPr="00F031D7" w:rsidRDefault="007252F9" w:rsidP="007252F9">
      <w:pPr>
        <w:jc w:val="both"/>
        <w:rPr>
          <w:rFonts w:ascii="Arial" w:hAnsi="Arial" w:cs="Arial"/>
          <w:sz w:val="22"/>
          <w:szCs w:val="22"/>
        </w:rPr>
      </w:pPr>
    </w:p>
    <w:p w14:paraId="139C4551" w14:textId="77777777" w:rsidR="007252F9" w:rsidRPr="00B53310" w:rsidRDefault="007252F9" w:rsidP="007252F9">
      <w:pPr>
        <w:pStyle w:val="ListParagraph"/>
        <w:numPr>
          <w:ilvl w:val="0"/>
          <w:numId w:val="6"/>
        </w:numPr>
        <w:ind w:left="360"/>
        <w:jc w:val="both"/>
        <w:rPr>
          <w:rFonts w:ascii="Arial" w:hAnsi="Arial" w:cs="Arial"/>
          <w:smallCaps/>
          <w:sz w:val="22"/>
          <w:szCs w:val="22"/>
          <w:u w:val="single"/>
        </w:rPr>
      </w:pPr>
      <w:r w:rsidRPr="00B53310">
        <w:rPr>
          <w:rFonts w:ascii="Arial" w:hAnsi="Arial" w:cs="Arial"/>
          <w:smallCaps/>
          <w:sz w:val="22"/>
          <w:szCs w:val="22"/>
          <w:u w:val="single"/>
        </w:rPr>
        <w:t>Overview of the Need for the Proposed Project and Related Factors</w:t>
      </w:r>
    </w:p>
    <w:p w14:paraId="6D1BFF5A" w14:textId="77777777" w:rsidR="007252F9" w:rsidRPr="00F031D7" w:rsidRDefault="007252F9" w:rsidP="007252F9">
      <w:pPr>
        <w:pStyle w:val="NormalWeb"/>
        <w:spacing w:before="0" w:beforeAutospacing="0" w:after="0" w:afterAutospacing="0"/>
        <w:jc w:val="both"/>
        <w:rPr>
          <w:rFonts w:ascii="Arial" w:hAnsi="Arial" w:cs="Arial"/>
          <w:sz w:val="22"/>
          <w:szCs w:val="22"/>
        </w:rPr>
      </w:pPr>
    </w:p>
    <w:p w14:paraId="6620121C" w14:textId="77777777" w:rsidR="007252F9" w:rsidRPr="00F031D7" w:rsidRDefault="007252F9" w:rsidP="007252F9">
      <w:pPr>
        <w:pStyle w:val="NormalWeb"/>
        <w:spacing w:before="0" w:beforeAutospacing="0" w:after="0" w:afterAutospacing="0"/>
        <w:jc w:val="both"/>
        <w:rPr>
          <w:rFonts w:ascii="Arial" w:hAnsi="Arial" w:cs="Arial"/>
          <w:sz w:val="22"/>
          <w:szCs w:val="22"/>
        </w:rPr>
      </w:pPr>
      <w:r w:rsidRPr="00F031D7">
        <w:rPr>
          <w:rFonts w:ascii="Arial" w:hAnsi="Arial" w:cs="Arial"/>
          <w:color w:val="000000" w:themeColor="text1"/>
          <w:sz w:val="22"/>
          <w:szCs w:val="22"/>
        </w:rPr>
        <w:t>As discussed in detail throughout this Application, the Proposed Project seeks to address inpatient capacity constraints</w:t>
      </w:r>
      <w:r>
        <w:rPr>
          <w:rFonts w:ascii="Arial" w:hAnsi="Arial" w:cs="Arial"/>
          <w:color w:val="000000" w:themeColor="text1"/>
          <w:sz w:val="22"/>
          <w:szCs w:val="22"/>
        </w:rPr>
        <w:t xml:space="preserve"> and related </w:t>
      </w:r>
      <w:r w:rsidRPr="00384D4D">
        <w:rPr>
          <w:rFonts w:ascii="Arial" w:hAnsi="Arial" w:cs="Arial"/>
          <w:color w:val="000000" w:themeColor="text1"/>
          <w:sz w:val="22"/>
          <w:szCs w:val="22"/>
        </w:rPr>
        <w:t>demands</w:t>
      </w:r>
      <w:r w:rsidRPr="00F031D7">
        <w:rPr>
          <w:rFonts w:ascii="Arial" w:hAnsi="Arial" w:cs="Arial"/>
          <w:color w:val="000000" w:themeColor="text1"/>
          <w:sz w:val="22"/>
          <w:szCs w:val="22"/>
        </w:rPr>
        <w:t xml:space="preserve"> at BMC due to challenges inherent in BMC’s historical physical campus layout</w:t>
      </w:r>
      <w:r>
        <w:rPr>
          <w:rFonts w:ascii="Arial" w:hAnsi="Arial" w:cs="Arial"/>
          <w:color w:val="000000" w:themeColor="text1"/>
          <w:sz w:val="22"/>
          <w:szCs w:val="22"/>
        </w:rPr>
        <w:t>,</w:t>
      </w:r>
      <w:r w:rsidRPr="00F031D7">
        <w:rPr>
          <w:rFonts w:ascii="Arial" w:hAnsi="Arial" w:cs="Arial"/>
          <w:color w:val="000000" w:themeColor="text1"/>
          <w:sz w:val="22"/>
          <w:szCs w:val="22"/>
        </w:rPr>
        <w:t xml:space="preserve"> which have been exacerbated by recent changes in the health</w:t>
      </w:r>
      <w:r>
        <w:rPr>
          <w:rFonts w:ascii="Arial" w:hAnsi="Arial" w:cs="Arial"/>
          <w:color w:val="000000" w:themeColor="text1"/>
          <w:sz w:val="22"/>
          <w:szCs w:val="22"/>
        </w:rPr>
        <w:t xml:space="preserve"> </w:t>
      </w:r>
      <w:r w:rsidRPr="00F031D7">
        <w:rPr>
          <w:rFonts w:ascii="Arial" w:hAnsi="Arial" w:cs="Arial"/>
          <w:color w:val="000000" w:themeColor="text1"/>
          <w:sz w:val="22"/>
          <w:szCs w:val="22"/>
        </w:rPr>
        <w:t xml:space="preserve">care environment that have increased </w:t>
      </w:r>
      <w:r>
        <w:rPr>
          <w:rFonts w:ascii="Arial" w:hAnsi="Arial" w:cs="Arial"/>
          <w:color w:val="000000" w:themeColor="text1"/>
          <w:sz w:val="22"/>
          <w:szCs w:val="22"/>
        </w:rPr>
        <w:t>patient volume</w:t>
      </w:r>
      <w:r w:rsidRPr="00F031D7">
        <w:rPr>
          <w:rFonts w:ascii="Arial" w:hAnsi="Arial" w:cs="Arial"/>
          <w:color w:val="000000" w:themeColor="text1"/>
          <w:sz w:val="22"/>
          <w:szCs w:val="22"/>
        </w:rPr>
        <w:t xml:space="preserve">. To this point, the Applicant notes that the Hospital’s campus layout challenges date back to the 1996 merger that created two distinct BMC </w:t>
      </w:r>
      <w:r w:rsidRPr="00314A3D">
        <w:rPr>
          <w:rFonts w:ascii="Arial" w:hAnsi="Arial" w:cs="Arial"/>
          <w:color w:val="000000" w:themeColor="text1"/>
          <w:sz w:val="22"/>
          <w:szCs w:val="22"/>
        </w:rPr>
        <w:t>campuses separated by a single city block, each with their own inpatient and outpatient services</w:t>
      </w:r>
      <w:r w:rsidRPr="00F031D7">
        <w:rPr>
          <w:rFonts w:ascii="Arial" w:hAnsi="Arial" w:cs="Arial"/>
          <w:color w:val="000000" w:themeColor="text1"/>
          <w:sz w:val="22"/>
          <w:szCs w:val="22"/>
        </w:rPr>
        <w:t xml:space="preserve">. Since 2000, the Applicant has worked </w:t>
      </w:r>
      <w:r w:rsidRPr="00F031D7">
        <w:rPr>
          <w:rFonts w:ascii="Arial" w:hAnsi="Arial" w:cs="Arial"/>
          <w:color w:val="000000" w:themeColor="text1"/>
          <w:sz w:val="22"/>
          <w:szCs w:val="22"/>
          <w:shd w:val="clear" w:color="auto" w:fill="FFFFFF"/>
        </w:rPr>
        <w:t xml:space="preserve">continuously to implement strategic space modifications to address the </w:t>
      </w:r>
      <w:r w:rsidRPr="00045F32">
        <w:rPr>
          <w:rFonts w:ascii="Arial" w:hAnsi="Arial" w:cs="Arial"/>
          <w:sz w:val="22"/>
          <w:szCs w:val="22"/>
        </w:rPr>
        <w:t xml:space="preserve">physical constraints </w:t>
      </w:r>
      <w:r w:rsidRPr="00F031D7">
        <w:rPr>
          <w:rFonts w:ascii="Arial" w:hAnsi="Arial" w:cs="Arial"/>
          <w:sz w:val="22"/>
          <w:szCs w:val="22"/>
        </w:rPr>
        <w:t>and operational inefficiencies associated with BMC’s</w:t>
      </w:r>
      <w:r w:rsidRPr="00045F32">
        <w:rPr>
          <w:rFonts w:ascii="Arial" w:hAnsi="Arial" w:cs="Arial"/>
          <w:sz w:val="22"/>
          <w:szCs w:val="22"/>
        </w:rPr>
        <w:t xml:space="preserve"> </w:t>
      </w:r>
      <w:r w:rsidRPr="00F031D7">
        <w:rPr>
          <w:rFonts w:ascii="Arial" w:hAnsi="Arial" w:cs="Arial"/>
          <w:sz w:val="22"/>
          <w:szCs w:val="22"/>
        </w:rPr>
        <w:t xml:space="preserve">layout and </w:t>
      </w:r>
      <w:r>
        <w:rPr>
          <w:rFonts w:ascii="Arial" w:hAnsi="Arial" w:cs="Arial"/>
          <w:sz w:val="22"/>
          <w:szCs w:val="22"/>
        </w:rPr>
        <w:t xml:space="preserve">to </w:t>
      </w:r>
      <w:r w:rsidRPr="00045F32">
        <w:rPr>
          <w:rFonts w:ascii="Arial" w:hAnsi="Arial" w:cs="Arial"/>
          <w:sz w:val="22"/>
          <w:szCs w:val="22"/>
        </w:rPr>
        <w:t xml:space="preserve">respond to </w:t>
      </w:r>
      <w:r w:rsidRPr="00F031D7">
        <w:rPr>
          <w:rFonts w:ascii="Arial" w:hAnsi="Arial" w:cs="Arial"/>
          <w:color w:val="000000" w:themeColor="text1"/>
          <w:sz w:val="22"/>
          <w:szCs w:val="22"/>
          <w:shd w:val="clear" w:color="auto" w:fill="FFFFFF"/>
        </w:rPr>
        <w:t>ever-evolving</w:t>
      </w:r>
      <w:r w:rsidRPr="00F031D7">
        <w:rPr>
          <w:rFonts w:ascii="Arial" w:hAnsi="Arial" w:cs="Arial"/>
          <w:sz w:val="22"/>
          <w:szCs w:val="22"/>
        </w:rPr>
        <w:t xml:space="preserve"> </w:t>
      </w:r>
      <w:r w:rsidRPr="00045F32">
        <w:rPr>
          <w:rFonts w:ascii="Arial" w:hAnsi="Arial" w:cs="Arial"/>
          <w:sz w:val="22"/>
          <w:szCs w:val="22"/>
        </w:rPr>
        <w:t>clinical trends through</w:t>
      </w:r>
      <w:r w:rsidRPr="00F031D7">
        <w:rPr>
          <w:rFonts w:ascii="Arial" w:hAnsi="Arial" w:cs="Arial"/>
          <w:sz w:val="22"/>
          <w:szCs w:val="22"/>
        </w:rPr>
        <w:t xml:space="preserve"> a measured approach of</w:t>
      </w:r>
      <w:r w:rsidRPr="00045F32">
        <w:rPr>
          <w:rFonts w:ascii="Arial" w:hAnsi="Arial" w:cs="Arial"/>
          <w:sz w:val="22"/>
          <w:szCs w:val="22"/>
        </w:rPr>
        <w:t xml:space="preserve"> renovation </w:t>
      </w:r>
      <w:r w:rsidRPr="00F031D7">
        <w:rPr>
          <w:rFonts w:ascii="Arial" w:hAnsi="Arial" w:cs="Arial"/>
          <w:sz w:val="22"/>
          <w:szCs w:val="22"/>
        </w:rPr>
        <w:t xml:space="preserve">and </w:t>
      </w:r>
      <w:r w:rsidRPr="00045F32">
        <w:rPr>
          <w:rFonts w:ascii="Arial" w:hAnsi="Arial" w:cs="Arial"/>
          <w:sz w:val="22"/>
          <w:szCs w:val="22"/>
        </w:rPr>
        <w:t>new construction</w:t>
      </w:r>
      <w:r w:rsidRPr="00F031D7">
        <w:rPr>
          <w:rFonts w:ascii="Arial" w:hAnsi="Arial" w:cs="Arial"/>
          <w:sz w:val="22"/>
          <w:szCs w:val="22"/>
        </w:rPr>
        <w:t>.</w:t>
      </w:r>
      <w:r w:rsidRPr="00F031D7">
        <w:rPr>
          <w:rFonts w:ascii="Arial" w:hAnsi="Arial" w:cs="Arial"/>
          <w:color w:val="000000" w:themeColor="text1"/>
          <w:sz w:val="22"/>
          <w:szCs w:val="22"/>
        </w:rPr>
        <w:t xml:space="preserve"> The campus consolidation efforts executed under BMC’s previously approved 2014 </w:t>
      </w:r>
      <w:proofErr w:type="spellStart"/>
      <w:r w:rsidRPr="00F031D7">
        <w:rPr>
          <w:rFonts w:ascii="Arial" w:hAnsi="Arial" w:cs="Arial"/>
          <w:color w:val="000000" w:themeColor="text1"/>
          <w:sz w:val="22"/>
          <w:szCs w:val="22"/>
        </w:rPr>
        <w:t>DoN</w:t>
      </w:r>
      <w:proofErr w:type="spellEnd"/>
      <w:r w:rsidRPr="00F031D7">
        <w:rPr>
          <w:rFonts w:ascii="Arial" w:hAnsi="Arial" w:cs="Arial"/>
          <w:color w:val="000000" w:themeColor="text1"/>
          <w:sz w:val="22"/>
          <w:szCs w:val="22"/>
        </w:rPr>
        <w:t xml:space="preserve"> were a belated culmination of the 1996 merger, with the</w:t>
      </w:r>
      <w:r w:rsidRPr="00314A3D">
        <w:rPr>
          <w:rFonts w:ascii="Arial" w:hAnsi="Arial" w:cs="Arial"/>
          <w:color w:val="000000" w:themeColor="text1"/>
          <w:sz w:val="22"/>
          <w:szCs w:val="22"/>
        </w:rPr>
        <w:t xml:space="preserve"> aim of creating a single unified</w:t>
      </w:r>
      <w:r w:rsidRPr="00F031D7">
        <w:rPr>
          <w:rFonts w:ascii="Arial" w:hAnsi="Arial" w:cs="Arial"/>
          <w:color w:val="000000" w:themeColor="text1"/>
          <w:sz w:val="22"/>
          <w:szCs w:val="22"/>
        </w:rPr>
        <w:t>,</w:t>
      </w:r>
      <w:r w:rsidRPr="00314A3D">
        <w:rPr>
          <w:rFonts w:ascii="Arial" w:hAnsi="Arial" w:cs="Arial"/>
          <w:color w:val="000000" w:themeColor="text1"/>
          <w:sz w:val="22"/>
          <w:szCs w:val="22"/>
        </w:rPr>
        <w:t xml:space="preserve"> </w:t>
      </w:r>
      <w:r w:rsidRPr="00F031D7">
        <w:rPr>
          <w:rFonts w:ascii="Arial" w:hAnsi="Arial" w:cs="Arial"/>
          <w:color w:val="000000" w:themeColor="text1"/>
          <w:sz w:val="22"/>
          <w:szCs w:val="22"/>
        </w:rPr>
        <w:t>patient-centered clinical campus</w:t>
      </w:r>
      <w:r w:rsidRPr="00F031D7">
        <w:rPr>
          <w:rFonts w:ascii="Arial" w:hAnsi="Arial" w:cs="Arial"/>
          <w:sz w:val="22"/>
          <w:szCs w:val="22"/>
        </w:rPr>
        <w:t xml:space="preserve">. </w:t>
      </w:r>
    </w:p>
    <w:p w14:paraId="7763A418" w14:textId="77777777" w:rsidR="007252F9" w:rsidRPr="00F031D7" w:rsidRDefault="007252F9" w:rsidP="007252F9">
      <w:pPr>
        <w:pStyle w:val="NormalWeb"/>
        <w:spacing w:before="0" w:beforeAutospacing="0" w:after="0" w:afterAutospacing="0"/>
        <w:jc w:val="both"/>
        <w:rPr>
          <w:rFonts w:ascii="Arial" w:hAnsi="Arial" w:cs="Arial"/>
          <w:sz w:val="22"/>
          <w:szCs w:val="22"/>
        </w:rPr>
      </w:pPr>
    </w:p>
    <w:p w14:paraId="449B2A73" w14:textId="77777777" w:rsidR="007252F9" w:rsidRDefault="007252F9" w:rsidP="007252F9">
      <w:pPr>
        <w:pStyle w:val="NormalWeb"/>
        <w:spacing w:before="0" w:beforeAutospacing="0" w:after="0" w:afterAutospacing="0"/>
        <w:jc w:val="both"/>
        <w:rPr>
          <w:rFonts w:ascii="Arial" w:hAnsi="Arial" w:cs="Arial"/>
          <w:color w:val="000000" w:themeColor="text1"/>
          <w:sz w:val="22"/>
          <w:szCs w:val="22"/>
        </w:rPr>
      </w:pPr>
      <w:r w:rsidRPr="00F031D7">
        <w:rPr>
          <w:rFonts w:ascii="Arial" w:hAnsi="Arial" w:cs="Arial"/>
          <w:sz w:val="22"/>
          <w:szCs w:val="22"/>
        </w:rPr>
        <w:t xml:space="preserve">While successful in </w:t>
      </w:r>
      <w:r w:rsidRPr="00F031D7">
        <w:rPr>
          <w:rFonts w:ascii="Arial" w:hAnsi="Arial" w:cs="Arial"/>
          <w:color w:val="000000" w:themeColor="text1"/>
          <w:sz w:val="22"/>
          <w:szCs w:val="22"/>
        </w:rPr>
        <w:t xml:space="preserve">establishing centralized services and complementary use adjacencies that drove operational efficiency and cost containment, the previously approved </w:t>
      </w:r>
      <w:proofErr w:type="spellStart"/>
      <w:r w:rsidRPr="00F031D7">
        <w:rPr>
          <w:rFonts w:ascii="Arial" w:hAnsi="Arial" w:cs="Arial"/>
          <w:color w:val="000000" w:themeColor="text1"/>
          <w:sz w:val="22"/>
          <w:szCs w:val="22"/>
        </w:rPr>
        <w:t>DoN</w:t>
      </w:r>
      <w:proofErr w:type="spellEnd"/>
      <w:r w:rsidRPr="00F031D7">
        <w:rPr>
          <w:rFonts w:ascii="Arial" w:hAnsi="Arial" w:cs="Arial"/>
          <w:color w:val="000000" w:themeColor="text1"/>
          <w:sz w:val="22"/>
          <w:szCs w:val="22"/>
        </w:rPr>
        <w:t xml:space="preserve"> also resulted in a decrease in BMC’s total approved campus square footage and licensed capacity. At the time, BMC’s patient population supported such downsizing. However, following substantial completion of BMC’s campus consolidation efforts, </w:t>
      </w:r>
      <w:r w:rsidRPr="006614E6">
        <w:rPr>
          <w:rFonts w:ascii="Arial" w:hAnsi="Arial" w:cs="Arial"/>
          <w:color w:val="000000" w:themeColor="text1"/>
          <w:sz w:val="22"/>
          <w:szCs w:val="22"/>
        </w:rPr>
        <w:t>changes have occurred in the health</w:t>
      </w:r>
      <w:r>
        <w:rPr>
          <w:rFonts w:ascii="Arial" w:hAnsi="Arial" w:cs="Arial"/>
          <w:color w:val="000000" w:themeColor="text1"/>
          <w:sz w:val="22"/>
          <w:szCs w:val="22"/>
        </w:rPr>
        <w:t xml:space="preserve"> </w:t>
      </w:r>
      <w:r w:rsidRPr="006614E6">
        <w:rPr>
          <w:rFonts w:ascii="Arial" w:hAnsi="Arial" w:cs="Arial"/>
          <w:color w:val="000000" w:themeColor="text1"/>
          <w:sz w:val="22"/>
          <w:szCs w:val="22"/>
        </w:rPr>
        <w:t>care environment</w:t>
      </w:r>
      <w:r>
        <w:rPr>
          <w:rFonts w:ascii="Arial" w:hAnsi="Arial" w:cs="Arial"/>
          <w:color w:val="000000" w:themeColor="text1"/>
          <w:sz w:val="22"/>
          <w:szCs w:val="22"/>
        </w:rPr>
        <w:t xml:space="preserve"> </w:t>
      </w:r>
      <w:r w:rsidRPr="001C3BC7">
        <w:rPr>
          <w:rFonts w:ascii="Arial" w:hAnsi="Arial" w:cs="Arial"/>
          <w:color w:val="000000" w:themeColor="text1"/>
          <w:sz w:val="22"/>
          <w:szCs w:val="22"/>
        </w:rPr>
        <w:t xml:space="preserve">that have a direct impact on BMC’s patient volume and the space it requires to deliver the types of services needed by its patients. </w:t>
      </w:r>
      <w:r>
        <w:rPr>
          <w:rFonts w:ascii="Arial" w:hAnsi="Arial" w:cs="Arial"/>
          <w:color w:val="000000" w:themeColor="text1"/>
          <w:sz w:val="22"/>
          <w:szCs w:val="22"/>
        </w:rPr>
        <w:t xml:space="preserve">These include population growth, increasingly acute and complex patient needs, </w:t>
      </w:r>
      <w:r w:rsidRPr="00BD0CAE">
        <w:rPr>
          <w:rFonts w:ascii="Arial" w:hAnsi="Arial" w:cs="Arial"/>
          <w:color w:val="000000" w:themeColor="text1"/>
          <w:sz w:val="22"/>
          <w:szCs w:val="22"/>
        </w:rPr>
        <w:t xml:space="preserve">increases in patients impacted by homelessness and substance use disorders (“SUDs”), onset of the COVID-19 pandemic, </w:t>
      </w:r>
      <w:r>
        <w:rPr>
          <w:rFonts w:ascii="Arial" w:hAnsi="Arial" w:cs="Arial"/>
          <w:color w:val="000000" w:themeColor="text1"/>
          <w:sz w:val="22"/>
          <w:szCs w:val="22"/>
        </w:rPr>
        <w:t>development and implementation of ACO models</w:t>
      </w:r>
      <w:r w:rsidRPr="00BD0CAE">
        <w:rPr>
          <w:rFonts w:ascii="Arial" w:hAnsi="Arial" w:cs="Arial"/>
          <w:color w:val="000000" w:themeColor="text1"/>
          <w:sz w:val="22"/>
          <w:szCs w:val="22"/>
        </w:rPr>
        <w:t>, a focus on targeting social determinants of health (“</w:t>
      </w:r>
      <w:proofErr w:type="spellStart"/>
      <w:r w:rsidRPr="00BD0CAE">
        <w:rPr>
          <w:rFonts w:ascii="Arial" w:hAnsi="Arial" w:cs="Arial"/>
          <w:color w:val="000000" w:themeColor="text1"/>
          <w:sz w:val="22"/>
          <w:szCs w:val="22"/>
        </w:rPr>
        <w:t>SDoH</w:t>
      </w:r>
      <w:r>
        <w:rPr>
          <w:rFonts w:ascii="Arial" w:hAnsi="Arial" w:cs="Arial"/>
          <w:color w:val="000000" w:themeColor="text1"/>
          <w:sz w:val="22"/>
          <w:szCs w:val="22"/>
        </w:rPr>
        <w:t>s</w:t>
      </w:r>
      <w:proofErr w:type="spellEnd"/>
      <w:r w:rsidRPr="00BD0CAE">
        <w:rPr>
          <w:rFonts w:ascii="Arial" w:hAnsi="Arial" w:cs="Arial"/>
          <w:color w:val="000000" w:themeColor="text1"/>
          <w:sz w:val="22"/>
          <w:szCs w:val="22"/>
        </w:rPr>
        <w:t>”), and effects of space planning due to evolving state design and construction regulatory requirements</w:t>
      </w:r>
      <w:r>
        <w:rPr>
          <w:rFonts w:ascii="Arial" w:hAnsi="Arial" w:cs="Arial"/>
          <w:color w:val="000000" w:themeColor="text1"/>
          <w:sz w:val="22"/>
          <w:szCs w:val="22"/>
        </w:rPr>
        <w:t xml:space="preserve">. </w:t>
      </w:r>
      <w:r w:rsidRPr="00F031D7">
        <w:rPr>
          <w:rFonts w:ascii="Arial" w:hAnsi="Arial" w:cs="Arial"/>
          <w:color w:val="000000" w:themeColor="text1"/>
          <w:sz w:val="22"/>
          <w:szCs w:val="22"/>
        </w:rPr>
        <w:t xml:space="preserve">BMC’s inpatient admission and utilization rates, as well as its hospital visits and inpatient surgical case volumes, reflect these </w:t>
      </w:r>
      <w:r w:rsidRPr="00B87CBC">
        <w:rPr>
          <w:rFonts w:ascii="Arial" w:hAnsi="Arial" w:cs="Arial"/>
          <w:color w:val="000000" w:themeColor="text1"/>
          <w:sz w:val="22"/>
          <w:szCs w:val="22"/>
        </w:rPr>
        <w:t>current health</w:t>
      </w:r>
      <w:r>
        <w:rPr>
          <w:rFonts w:ascii="Arial" w:hAnsi="Arial" w:cs="Arial"/>
          <w:color w:val="000000" w:themeColor="text1"/>
          <w:sz w:val="22"/>
          <w:szCs w:val="22"/>
        </w:rPr>
        <w:t xml:space="preserve"> </w:t>
      </w:r>
      <w:r w:rsidRPr="00B87CBC">
        <w:rPr>
          <w:rFonts w:ascii="Arial" w:hAnsi="Arial" w:cs="Arial"/>
          <w:color w:val="000000" w:themeColor="text1"/>
          <w:sz w:val="22"/>
          <w:szCs w:val="22"/>
        </w:rPr>
        <w:t>care trends.</w:t>
      </w:r>
      <w:r w:rsidRPr="00F031D7">
        <w:rPr>
          <w:rFonts w:ascii="Arial" w:hAnsi="Arial" w:cs="Arial"/>
          <w:color w:val="000000" w:themeColor="text1"/>
          <w:sz w:val="22"/>
          <w:szCs w:val="22"/>
        </w:rPr>
        <w:t xml:space="preserve"> </w:t>
      </w:r>
    </w:p>
    <w:p w14:paraId="0FB84FD4" w14:textId="77777777" w:rsidR="007252F9" w:rsidRDefault="007252F9" w:rsidP="007252F9">
      <w:pPr>
        <w:pStyle w:val="NormalWeb"/>
        <w:spacing w:before="0" w:beforeAutospacing="0" w:after="0" w:afterAutospacing="0"/>
        <w:jc w:val="both"/>
        <w:rPr>
          <w:rFonts w:ascii="Arial" w:hAnsi="Arial" w:cs="Arial"/>
          <w:color w:val="000000" w:themeColor="text1"/>
          <w:sz w:val="22"/>
          <w:szCs w:val="22"/>
        </w:rPr>
      </w:pPr>
    </w:p>
    <w:p w14:paraId="2CDB2786" w14:textId="77777777" w:rsidR="007252F9" w:rsidRPr="00556F62" w:rsidRDefault="007252F9" w:rsidP="007252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P</w:t>
      </w:r>
      <w:r w:rsidRPr="00F031D7">
        <w:rPr>
          <w:rFonts w:ascii="Arial" w:hAnsi="Arial" w:cs="Arial"/>
          <w:color w:val="000000" w:themeColor="text1"/>
          <w:sz w:val="22"/>
          <w:szCs w:val="22"/>
        </w:rPr>
        <w:t xml:space="preserve">atient panel data indicate that BMC’s inpatient bed and inpatient surgical visit and patient volumes have remained high over the last three </w:t>
      </w:r>
      <w:r>
        <w:rPr>
          <w:rFonts w:ascii="Arial" w:hAnsi="Arial" w:cs="Arial"/>
          <w:color w:val="000000" w:themeColor="text1"/>
          <w:sz w:val="22"/>
          <w:szCs w:val="22"/>
        </w:rPr>
        <w:t>fiscal years (“FY”)</w:t>
      </w:r>
      <w:r w:rsidRPr="00F031D7">
        <w:rPr>
          <w:rFonts w:ascii="Arial" w:hAnsi="Arial" w:cs="Arial"/>
          <w:color w:val="000000" w:themeColor="text1"/>
          <w:sz w:val="22"/>
          <w:szCs w:val="22"/>
        </w:rPr>
        <w:t xml:space="preserve"> </w:t>
      </w:r>
      <w:r w:rsidRPr="001C3BC7">
        <w:rPr>
          <w:rFonts w:ascii="Arial" w:hAnsi="Arial" w:cs="Arial"/>
          <w:color w:val="000000" w:themeColor="text1"/>
          <w:sz w:val="22"/>
          <w:szCs w:val="22"/>
        </w:rPr>
        <w:t>despite a nationwide reduction in demand for health care services due to the COVID-19 pandemic</w:t>
      </w:r>
      <w:r>
        <w:rPr>
          <w:rFonts w:ascii="Arial" w:hAnsi="Arial" w:cs="Arial"/>
          <w:color w:val="000000" w:themeColor="text1"/>
          <w:sz w:val="22"/>
          <w:szCs w:val="22"/>
        </w:rPr>
        <w:t>.</w:t>
      </w:r>
      <w:r w:rsidRPr="001C3BC7">
        <w:rPr>
          <w:rFonts w:ascii="Arial" w:hAnsi="Arial" w:cs="Arial"/>
          <w:color w:val="000000" w:themeColor="text1"/>
          <w:sz w:val="22"/>
          <w:szCs w:val="22"/>
        </w:rPr>
        <w:t xml:space="preserve"> </w:t>
      </w:r>
      <w:r>
        <w:rPr>
          <w:rFonts w:ascii="Arial" w:hAnsi="Arial" w:cs="Arial"/>
          <w:color w:val="000000" w:themeColor="text1"/>
          <w:sz w:val="22"/>
          <w:szCs w:val="22"/>
        </w:rPr>
        <w:t>O</w:t>
      </w:r>
      <w:r w:rsidRPr="00F031D7">
        <w:rPr>
          <w:rFonts w:ascii="Arial" w:hAnsi="Arial" w:cs="Arial"/>
          <w:color w:val="000000" w:themeColor="text1"/>
          <w:sz w:val="22"/>
          <w:szCs w:val="22"/>
        </w:rPr>
        <w:t>verall inpatient service utilization at the Hospital has increased alongside the increasingly acute and complex needs of BMC’s patient population. These increases in demand not only stress BMC’s inpatient resources, but also cause capacity constraints across the Hospital</w:t>
      </w:r>
      <w:r>
        <w:rPr>
          <w:rFonts w:ascii="Arial" w:hAnsi="Arial" w:cs="Arial"/>
          <w:color w:val="000000" w:themeColor="text1"/>
          <w:sz w:val="22"/>
          <w:szCs w:val="22"/>
        </w:rPr>
        <w:t>. Th</w:t>
      </w:r>
      <w:r w:rsidRPr="00F031D7">
        <w:rPr>
          <w:rFonts w:ascii="Arial" w:hAnsi="Arial" w:cs="Arial"/>
          <w:color w:val="000000" w:themeColor="text1"/>
          <w:sz w:val="22"/>
          <w:szCs w:val="22"/>
        </w:rPr>
        <w:t>e</w:t>
      </w:r>
      <w:r w:rsidRPr="00556F62">
        <w:rPr>
          <w:rFonts w:ascii="Arial" w:hAnsi="Arial" w:cs="Arial"/>
          <w:sz w:val="22"/>
          <w:szCs w:val="22"/>
        </w:rPr>
        <w:t xml:space="preserve"> ED</w:t>
      </w:r>
      <w:r>
        <w:rPr>
          <w:rFonts w:ascii="Arial" w:hAnsi="Arial" w:cs="Arial"/>
          <w:sz w:val="22"/>
          <w:szCs w:val="22"/>
        </w:rPr>
        <w:t xml:space="preserve"> in particular is impacted by these constraints as</w:t>
      </w:r>
      <w:r w:rsidRPr="00556F62">
        <w:rPr>
          <w:rFonts w:ascii="Arial" w:hAnsi="Arial" w:cs="Arial"/>
          <w:sz w:val="22"/>
          <w:szCs w:val="22"/>
        </w:rPr>
        <w:t xml:space="preserve"> patients </w:t>
      </w:r>
      <w:r w:rsidRPr="00F031D7">
        <w:rPr>
          <w:rFonts w:ascii="Arial" w:hAnsi="Arial" w:cs="Arial"/>
          <w:sz w:val="22"/>
          <w:szCs w:val="22"/>
        </w:rPr>
        <w:t>must board</w:t>
      </w:r>
      <w:r w:rsidRPr="00556F62">
        <w:rPr>
          <w:rFonts w:ascii="Arial" w:hAnsi="Arial" w:cs="Arial"/>
          <w:sz w:val="22"/>
          <w:szCs w:val="22"/>
        </w:rPr>
        <w:t xml:space="preserve"> until an inpatient bed </w:t>
      </w:r>
      <w:r w:rsidRPr="00F031D7">
        <w:rPr>
          <w:rFonts w:ascii="Arial" w:hAnsi="Arial" w:cs="Arial"/>
          <w:sz w:val="22"/>
          <w:szCs w:val="22"/>
        </w:rPr>
        <w:t>is</w:t>
      </w:r>
      <w:r w:rsidRPr="00556F62">
        <w:rPr>
          <w:rFonts w:ascii="Arial" w:hAnsi="Arial" w:cs="Arial"/>
          <w:sz w:val="22"/>
          <w:szCs w:val="22"/>
        </w:rPr>
        <w:t xml:space="preserve"> available</w:t>
      </w:r>
      <w:r>
        <w:rPr>
          <w:rFonts w:ascii="Arial" w:hAnsi="Arial" w:cs="Arial"/>
          <w:sz w:val="22"/>
          <w:szCs w:val="22"/>
        </w:rPr>
        <w:t>. This results in the utilization of</w:t>
      </w:r>
      <w:r w:rsidRPr="00556F62">
        <w:rPr>
          <w:rFonts w:ascii="Arial" w:hAnsi="Arial" w:cs="Arial"/>
          <w:sz w:val="22"/>
          <w:szCs w:val="22"/>
        </w:rPr>
        <w:t xml:space="preserve"> </w:t>
      </w:r>
      <w:r w:rsidRPr="00F031D7">
        <w:rPr>
          <w:rFonts w:ascii="Arial" w:hAnsi="Arial" w:cs="Arial"/>
          <w:sz w:val="22"/>
          <w:szCs w:val="22"/>
        </w:rPr>
        <w:t>critical</w:t>
      </w:r>
      <w:r w:rsidRPr="00556F62">
        <w:rPr>
          <w:rFonts w:ascii="Arial" w:hAnsi="Arial" w:cs="Arial"/>
          <w:sz w:val="22"/>
          <w:szCs w:val="22"/>
        </w:rPr>
        <w:t xml:space="preserve"> ED resource</w:t>
      </w:r>
      <w:r w:rsidRPr="00F031D7">
        <w:rPr>
          <w:rFonts w:ascii="Arial" w:hAnsi="Arial" w:cs="Arial"/>
          <w:sz w:val="22"/>
          <w:szCs w:val="22"/>
        </w:rPr>
        <w:t xml:space="preserve">s, </w:t>
      </w:r>
      <w:r w:rsidRPr="00556F62">
        <w:rPr>
          <w:rFonts w:ascii="Arial" w:hAnsi="Arial" w:cs="Arial"/>
          <w:sz w:val="22"/>
          <w:szCs w:val="22"/>
        </w:rPr>
        <w:t>contribut</w:t>
      </w:r>
      <w:r>
        <w:rPr>
          <w:rFonts w:ascii="Arial" w:hAnsi="Arial" w:cs="Arial"/>
          <w:sz w:val="22"/>
          <w:szCs w:val="22"/>
        </w:rPr>
        <w:t>es</w:t>
      </w:r>
      <w:r w:rsidRPr="00556F62">
        <w:rPr>
          <w:rFonts w:ascii="Arial" w:hAnsi="Arial" w:cs="Arial"/>
          <w:sz w:val="22"/>
          <w:szCs w:val="22"/>
        </w:rPr>
        <w:t xml:space="preserve"> to ED </w:t>
      </w:r>
      <w:r w:rsidRPr="00F031D7">
        <w:rPr>
          <w:rFonts w:ascii="Arial" w:hAnsi="Arial" w:cs="Arial"/>
          <w:sz w:val="22"/>
          <w:szCs w:val="22"/>
        </w:rPr>
        <w:t xml:space="preserve">overcrowding, </w:t>
      </w:r>
      <w:r w:rsidRPr="00F031D7">
        <w:rPr>
          <w:rFonts w:ascii="Arial" w:hAnsi="Arial" w:cs="Arial"/>
          <w:color w:val="000000" w:themeColor="text1"/>
          <w:sz w:val="22"/>
          <w:szCs w:val="22"/>
        </w:rPr>
        <w:t xml:space="preserve">and </w:t>
      </w:r>
      <w:r>
        <w:rPr>
          <w:rFonts w:ascii="Arial" w:hAnsi="Arial" w:cs="Arial"/>
          <w:color w:val="000000" w:themeColor="text1"/>
          <w:sz w:val="22"/>
          <w:szCs w:val="22"/>
        </w:rPr>
        <w:t>delays</w:t>
      </w:r>
      <w:r w:rsidRPr="00F031D7">
        <w:rPr>
          <w:rFonts w:ascii="Arial" w:hAnsi="Arial" w:cs="Arial"/>
          <w:color w:val="000000" w:themeColor="text1"/>
          <w:sz w:val="22"/>
          <w:szCs w:val="22"/>
        </w:rPr>
        <w:t xml:space="preserve"> the timely delivery of </w:t>
      </w:r>
      <w:r w:rsidRPr="00556F62">
        <w:rPr>
          <w:rFonts w:ascii="Arial" w:hAnsi="Arial" w:cs="Arial"/>
          <w:color w:val="000000" w:themeColor="text1"/>
          <w:sz w:val="22"/>
          <w:szCs w:val="22"/>
        </w:rPr>
        <w:t>care in the most appropriate setting.</w:t>
      </w:r>
      <w:r w:rsidRPr="00F031D7">
        <w:rPr>
          <w:rFonts w:ascii="Arial" w:hAnsi="Arial" w:cs="Arial"/>
          <w:color w:val="000000" w:themeColor="text1"/>
          <w:sz w:val="22"/>
          <w:szCs w:val="22"/>
        </w:rPr>
        <w:t xml:space="preserve"> Moreover, d</w:t>
      </w:r>
      <w:r w:rsidRPr="00556F62">
        <w:rPr>
          <w:rFonts w:ascii="Arial" w:hAnsi="Arial" w:cs="Arial"/>
          <w:color w:val="000000" w:themeColor="text1"/>
          <w:sz w:val="22"/>
          <w:szCs w:val="22"/>
        </w:rPr>
        <w:t xml:space="preserve">emand at </w:t>
      </w:r>
      <w:r w:rsidRPr="00F031D7">
        <w:rPr>
          <w:rFonts w:ascii="Arial" w:hAnsi="Arial" w:cs="Arial"/>
          <w:color w:val="000000" w:themeColor="text1"/>
          <w:sz w:val="22"/>
          <w:szCs w:val="22"/>
        </w:rPr>
        <w:t>BMC</w:t>
      </w:r>
      <w:r w:rsidRPr="00556F62">
        <w:rPr>
          <w:rFonts w:ascii="Arial" w:hAnsi="Arial" w:cs="Arial"/>
          <w:color w:val="000000" w:themeColor="text1"/>
          <w:sz w:val="22"/>
          <w:szCs w:val="22"/>
        </w:rPr>
        <w:t xml:space="preserve"> is expected to continue to increase as the population ages and the prevalence of chronic disease </w:t>
      </w:r>
      <w:r w:rsidRPr="00F031D7">
        <w:rPr>
          <w:rFonts w:ascii="Arial" w:hAnsi="Arial" w:cs="Arial"/>
          <w:color w:val="000000" w:themeColor="text1"/>
          <w:sz w:val="22"/>
          <w:szCs w:val="22"/>
        </w:rPr>
        <w:t xml:space="preserve">across the Hospital’s </w:t>
      </w:r>
      <w:r>
        <w:rPr>
          <w:rFonts w:ascii="Arial" w:hAnsi="Arial" w:cs="Arial"/>
          <w:color w:val="000000" w:themeColor="text1"/>
          <w:sz w:val="22"/>
          <w:szCs w:val="22"/>
        </w:rPr>
        <w:t xml:space="preserve">under-resourced </w:t>
      </w:r>
      <w:r w:rsidRPr="00F031D7">
        <w:rPr>
          <w:rFonts w:ascii="Arial" w:hAnsi="Arial" w:cs="Arial"/>
          <w:color w:val="000000" w:themeColor="text1"/>
          <w:sz w:val="22"/>
          <w:szCs w:val="22"/>
        </w:rPr>
        <w:t xml:space="preserve">patient panel </w:t>
      </w:r>
      <w:r w:rsidRPr="00556F62">
        <w:rPr>
          <w:rFonts w:ascii="Arial" w:hAnsi="Arial" w:cs="Arial"/>
          <w:color w:val="000000" w:themeColor="text1"/>
          <w:sz w:val="22"/>
          <w:szCs w:val="22"/>
        </w:rPr>
        <w:t xml:space="preserve">increases. </w:t>
      </w:r>
    </w:p>
    <w:p w14:paraId="6E87F94C" w14:textId="77777777" w:rsidR="007252F9" w:rsidRPr="00F031D7" w:rsidRDefault="007252F9" w:rsidP="007252F9">
      <w:pPr>
        <w:pStyle w:val="NormalWeb"/>
        <w:spacing w:before="0" w:beforeAutospacing="0" w:after="0" w:afterAutospacing="0"/>
        <w:jc w:val="both"/>
        <w:rPr>
          <w:rFonts w:ascii="Arial" w:hAnsi="Arial" w:cs="Arial"/>
          <w:sz w:val="22"/>
          <w:szCs w:val="22"/>
        </w:rPr>
      </w:pPr>
    </w:p>
    <w:p w14:paraId="7173CC98" w14:textId="77777777" w:rsidR="007252F9" w:rsidRPr="00F031D7" w:rsidRDefault="007252F9" w:rsidP="007252F9">
      <w:pPr>
        <w:pStyle w:val="NormalWeb"/>
        <w:spacing w:before="0" w:beforeAutospacing="0" w:after="0" w:afterAutospacing="0"/>
        <w:jc w:val="both"/>
        <w:rPr>
          <w:rFonts w:ascii="Arial" w:hAnsi="Arial" w:cs="Arial"/>
          <w:color w:val="000000" w:themeColor="text1"/>
          <w:sz w:val="22"/>
          <w:szCs w:val="22"/>
        </w:rPr>
      </w:pPr>
      <w:r w:rsidRPr="00F031D7">
        <w:rPr>
          <w:rFonts w:ascii="Arial" w:hAnsi="Arial" w:cs="Arial"/>
          <w:sz w:val="22"/>
          <w:szCs w:val="22"/>
        </w:rPr>
        <w:t xml:space="preserve">Consistent with BMC’s distinct measured approach to campus growth and development, the goal of the Proposed Project </w:t>
      </w:r>
      <w:bookmarkStart w:id="0" w:name="_Hlk95288789"/>
      <w:r w:rsidRPr="00F031D7">
        <w:rPr>
          <w:rFonts w:ascii="Arial" w:hAnsi="Arial" w:cs="Arial"/>
          <w:sz w:val="22"/>
          <w:szCs w:val="22"/>
        </w:rPr>
        <w:t xml:space="preserve">is to </w:t>
      </w:r>
      <w:bookmarkEnd w:id="0"/>
      <w:r w:rsidRPr="00F031D7">
        <w:rPr>
          <w:rFonts w:ascii="Arial" w:hAnsi="Arial" w:cs="Arial"/>
          <w:sz w:val="22"/>
          <w:szCs w:val="22"/>
        </w:rPr>
        <w:t xml:space="preserve">implement strategic space modifications to address </w:t>
      </w:r>
      <w:r>
        <w:rPr>
          <w:rFonts w:ascii="Arial" w:hAnsi="Arial" w:cs="Arial"/>
          <w:sz w:val="22"/>
          <w:szCs w:val="22"/>
        </w:rPr>
        <w:t>identified</w:t>
      </w:r>
      <w:r w:rsidRPr="00F031D7">
        <w:rPr>
          <w:rFonts w:ascii="Arial" w:hAnsi="Arial" w:cs="Arial"/>
          <w:sz w:val="22"/>
          <w:szCs w:val="22"/>
        </w:rPr>
        <w:t xml:space="preserve"> demand constraints and allow the Hospital </w:t>
      </w:r>
      <w:r w:rsidRPr="00F031D7">
        <w:rPr>
          <w:rFonts w:ascii="Arial" w:hAnsi="Arial" w:cs="Arial"/>
          <w:color w:val="000000" w:themeColor="text1"/>
          <w:sz w:val="22"/>
          <w:szCs w:val="22"/>
        </w:rPr>
        <w:t xml:space="preserve">to both meet current patient panel needs and better serve its patient panel into the future. </w:t>
      </w:r>
      <w:bookmarkStart w:id="1" w:name="_Hlk108964377"/>
      <w:r>
        <w:rPr>
          <w:rFonts w:ascii="Arial" w:hAnsi="Arial" w:cs="Arial"/>
          <w:color w:val="000000" w:themeColor="text1"/>
          <w:sz w:val="22"/>
          <w:szCs w:val="22"/>
        </w:rPr>
        <w:t>T</w:t>
      </w:r>
      <w:r w:rsidRPr="00F031D7">
        <w:rPr>
          <w:rFonts w:ascii="Arial" w:hAnsi="Arial" w:cs="Arial"/>
          <w:color w:val="000000" w:themeColor="text1"/>
          <w:sz w:val="22"/>
          <w:szCs w:val="22"/>
        </w:rPr>
        <w:t xml:space="preserve">he Proposed Project is designed to conservatively increase inpatient bed and </w:t>
      </w:r>
      <w:r>
        <w:rPr>
          <w:rFonts w:ascii="Arial" w:hAnsi="Arial" w:cs="Arial"/>
          <w:color w:val="000000" w:themeColor="text1"/>
          <w:sz w:val="22"/>
          <w:szCs w:val="22"/>
        </w:rPr>
        <w:t>OR</w:t>
      </w:r>
      <w:r w:rsidRPr="00F031D7">
        <w:rPr>
          <w:rFonts w:ascii="Arial" w:hAnsi="Arial" w:cs="Arial"/>
          <w:color w:val="000000" w:themeColor="text1"/>
          <w:sz w:val="22"/>
          <w:szCs w:val="22"/>
        </w:rPr>
        <w:t xml:space="preserve"> capacity by prioritizing BMC’s existing space and infrastructure through small additions</w:t>
      </w:r>
      <w:r>
        <w:rPr>
          <w:rFonts w:ascii="Arial" w:hAnsi="Arial" w:cs="Arial"/>
          <w:color w:val="000000" w:themeColor="text1"/>
          <w:sz w:val="22"/>
          <w:szCs w:val="22"/>
        </w:rPr>
        <w:t>,</w:t>
      </w:r>
      <w:r w:rsidRPr="00F031D7">
        <w:rPr>
          <w:rFonts w:ascii="Arial" w:hAnsi="Arial" w:cs="Arial"/>
          <w:color w:val="000000" w:themeColor="text1"/>
          <w:sz w:val="22"/>
          <w:szCs w:val="22"/>
        </w:rPr>
        <w:t xml:space="preserve"> interior renovations</w:t>
      </w:r>
      <w:r>
        <w:rPr>
          <w:rFonts w:ascii="Arial" w:hAnsi="Arial" w:cs="Arial"/>
          <w:color w:val="000000" w:themeColor="text1"/>
          <w:sz w:val="22"/>
          <w:szCs w:val="22"/>
        </w:rPr>
        <w:t>,</w:t>
      </w:r>
      <w:r w:rsidRPr="00F031D7">
        <w:rPr>
          <w:rFonts w:ascii="Arial" w:hAnsi="Arial" w:cs="Arial"/>
          <w:color w:val="000000" w:themeColor="text1"/>
          <w:sz w:val="22"/>
          <w:szCs w:val="22"/>
        </w:rPr>
        <w:t xml:space="preserve"> and relocations rather </w:t>
      </w:r>
      <w:r>
        <w:rPr>
          <w:rFonts w:ascii="Arial" w:hAnsi="Arial" w:cs="Arial"/>
          <w:color w:val="000000" w:themeColor="text1"/>
          <w:sz w:val="22"/>
          <w:szCs w:val="22"/>
        </w:rPr>
        <w:t xml:space="preserve">than </w:t>
      </w:r>
      <w:r w:rsidRPr="00F031D7">
        <w:rPr>
          <w:rFonts w:ascii="Arial" w:hAnsi="Arial" w:cs="Arial"/>
          <w:color w:val="000000" w:themeColor="text1"/>
          <w:sz w:val="22"/>
          <w:szCs w:val="22"/>
        </w:rPr>
        <w:t xml:space="preserve">building new. </w:t>
      </w:r>
      <w:bookmarkEnd w:id="1"/>
      <w:r w:rsidRPr="00F031D7">
        <w:rPr>
          <w:rFonts w:ascii="Arial" w:hAnsi="Arial" w:cs="Arial"/>
          <w:color w:val="000000" w:themeColor="text1"/>
          <w:sz w:val="22"/>
          <w:szCs w:val="22"/>
        </w:rPr>
        <w:t>Through this approach, the Applicant aims to position BMC’s existing property and uses to support the needs of BMC’s patient panel and ensure the Hospital’s long-term ability to provide high-quality patient care and accommodate patient volumes in an evolving health</w:t>
      </w:r>
      <w:r>
        <w:rPr>
          <w:rFonts w:ascii="Arial" w:hAnsi="Arial" w:cs="Arial"/>
          <w:color w:val="000000" w:themeColor="text1"/>
          <w:sz w:val="22"/>
          <w:szCs w:val="22"/>
        </w:rPr>
        <w:t xml:space="preserve"> </w:t>
      </w:r>
      <w:r w:rsidRPr="00F031D7">
        <w:rPr>
          <w:rFonts w:ascii="Arial" w:hAnsi="Arial" w:cs="Arial"/>
          <w:color w:val="000000" w:themeColor="text1"/>
          <w:sz w:val="22"/>
          <w:szCs w:val="22"/>
        </w:rPr>
        <w:t>care environment.</w:t>
      </w:r>
    </w:p>
    <w:p w14:paraId="027CEA52" w14:textId="77777777" w:rsidR="007252F9" w:rsidRPr="00F031D7" w:rsidRDefault="007252F9" w:rsidP="007252F9">
      <w:pPr>
        <w:pStyle w:val="NormalWeb"/>
        <w:spacing w:before="0" w:beforeAutospacing="0" w:after="0" w:afterAutospacing="0"/>
        <w:jc w:val="both"/>
        <w:rPr>
          <w:rFonts w:ascii="Arial" w:hAnsi="Arial" w:cs="Arial"/>
          <w:color w:val="000000" w:themeColor="text1"/>
          <w:sz w:val="22"/>
          <w:szCs w:val="22"/>
        </w:rPr>
      </w:pPr>
    </w:p>
    <w:p w14:paraId="0D35EC16"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 xml:space="preserve">With regard to its patient panel, the Applicant highlights the importance of the Proposed Project in ensuring BMC’s ability to meet the needs of the area’s most </w:t>
      </w:r>
      <w:r>
        <w:rPr>
          <w:rFonts w:ascii="Arial" w:hAnsi="Arial" w:cs="Arial"/>
          <w:sz w:val="22"/>
          <w:szCs w:val="22"/>
        </w:rPr>
        <w:t>under-resourced</w:t>
      </w:r>
      <w:r w:rsidRPr="00F031D7">
        <w:rPr>
          <w:rFonts w:ascii="Arial" w:hAnsi="Arial" w:cs="Arial"/>
          <w:sz w:val="22"/>
          <w:szCs w:val="22"/>
        </w:rPr>
        <w:t xml:space="preserve"> populations. To this point, the Applicant notes that although Massachusetts’</w:t>
      </w:r>
      <w:r>
        <w:rPr>
          <w:rFonts w:ascii="Arial" w:hAnsi="Arial" w:cs="Arial"/>
          <w:sz w:val="22"/>
          <w:szCs w:val="22"/>
        </w:rPr>
        <w:t xml:space="preserve"> health insurance system</w:t>
      </w:r>
      <w:r w:rsidRPr="00F031D7">
        <w:rPr>
          <w:rFonts w:ascii="Arial" w:hAnsi="Arial" w:cs="Arial"/>
          <w:sz w:val="22"/>
          <w:szCs w:val="22"/>
        </w:rPr>
        <w:t xml:space="preserve"> enables individuals to seek care at any hospital, BMC remains the largest safety net provider in Boston and New England. Unwavering in its long-standing commitment to address the health needs of its community, the Hospital has innovated and demonstrated remarkable creativity in providing a wide range of services and programs beyond the traditional medical model to remediate gaps created by </w:t>
      </w:r>
      <w:proofErr w:type="spellStart"/>
      <w:r w:rsidRPr="00F031D7">
        <w:rPr>
          <w:rFonts w:ascii="Arial" w:hAnsi="Arial" w:cs="Arial"/>
          <w:sz w:val="22"/>
          <w:szCs w:val="22"/>
        </w:rPr>
        <w:t>SDoH</w:t>
      </w:r>
      <w:r>
        <w:rPr>
          <w:rFonts w:ascii="Arial" w:hAnsi="Arial" w:cs="Arial"/>
          <w:sz w:val="22"/>
          <w:szCs w:val="22"/>
        </w:rPr>
        <w:t>s</w:t>
      </w:r>
      <w:proofErr w:type="spellEnd"/>
      <w:r w:rsidRPr="00F031D7">
        <w:rPr>
          <w:rFonts w:ascii="Arial" w:hAnsi="Arial" w:cs="Arial"/>
          <w:sz w:val="22"/>
          <w:szCs w:val="22"/>
        </w:rPr>
        <w:t xml:space="preserve"> and meet the unmet basic needs of the many diverse, vulnerable people it serves. However, to continue this work and </w:t>
      </w:r>
      <w:r>
        <w:rPr>
          <w:rFonts w:ascii="Arial" w:hAnsi="Arial" w:cs="Arial"/>
          <w:sz w:val="22"/>
          <w:szCs w:val="22"/>
        </w:rPr>
        <w:t>further address</w:t>
      </w:r>
      <w:r w:rsidRPr="00F031D7">
        <w:rPr>
          <w:rFonts w:ascii="Arial" w:hAnsi="Arial" w:cs="Arial"/>
          <w:sz w:val="22"/>
          <w:szCs w:val="22"/>
        </w:rPr>
        <w:t xml:space="preserve"> health inequities, the Hospital must ensure that </w:t>
      </w:r>
      <w:r>
        <w:rPr>
          <w:rFonts w:ascii="Arial" w:hAnsi="Arial" w:cs="Arial"/>
          <w:sz w:val="22"/>
          <w:szCs w:val="22"/>
        </w:rPr>
        <w:t xml:space="preserve">an </w:t>
      </w:r>
      <w:r w:rsidRPr="00F031D7">
        <w:rPr>
          <w:rFonts w:ascii="Arial" w:hAnsi="Arial" w:cs="Arial"/>
          <w:sz w:val="22"/>
          <w:szCs w:val="22"/>
        </w:rPr>
        <w:t xml:space="preserve">appropriate infrastructure and resources exist to meet patient demand. The Proposed Project is designed with these goals in mind and will provide members of BMC’s patient panel, including those within identified </w:t>
      </w:r>
      <w:r>
        <w:rPr>
          <w:rFonts w:ascii="Arial" w:hAnsi="Arial" w:cs="Arial"/>
          <w:sz w:val="22"/>
          <w:szCs w:val="22"/>
        </w:rPr>
        <w:t>under-resourced</w:t>
      </w:r>
      <w:r w:rsidRPr="00F031D7">
        <w:rPr>
          <w:rFonts w:ascii="Arial" w:hAnsi="Arial" w:cs="Arial"/>
          <w:sz w:val="22"/>
          <w:szCs w:val="22"/>
        </w:rPr>
        <w:t xml:space="preserve"> populations, with enhanced access to equitable and high-quality health</w:t>
      </w:r>
      <w:r>
        <w:rPr>
          <w:rFonts w:ascii="Arial" w:hAnsi="Arial" w:cs="Arial"/>
          <w:sz w:val="22"/>
          <w:szCs w:val="22"/>
        </w:rPr>
        <w:t xml:space="preserve"> </w:t>
      </w:r>
      <w:r w:rsidRPr="00F031D7">
        <w:rPr>
          <w:rFonts w:ascii="Arial" w:hAnsi="Arial" w:cs="Arial"/>
          <w:sz w:val="22"/>
          <w:szCs w:val="22"/>
        </w:rPr>
        <w:t xml:space="preserve">care services and related </w:t>
      </w:r>
      <w:proofErr w:type="spellStart"/>
      <w:r w:rsidRPr="00F031D7">
        <w:rPr>
          <w:rFonts w:ascii="Arial" w:hAnsi="Arial" w:cs="Arial"/>
          <w:sz w:val="22"/>
          <w:szCs w:val="22"/>
        </w:rPr>
        <w:t>SDoH</w:t>
      </w:r>
      <w:proofErr w:type="spellEnd"/>
      <w:r w:rsidRPr="00F031D7">
        <w:rPr>
          <w:rFonts w:ascii="Arial" w:hAnsi="Arial" w:cs="Arial"/>
          <w:sz w:val="22"/>
          <w:szCs w:val="22"/>
        </w:rPr>
        <w:t xml:space="preserve"> programs at BMC. </w:t>
      </w:r>
    </w:p>
    <w:p w14:paraId="68AEC67C" w14:textId="77777777" w:rsidR="007252F9" w:rsidRPr="00F031D7" w:rsidRDefault="007252F9" w:rsidP="007252F9">
      <w:pPr>
        <w:jc w:val="both"/>
        <w:rPr>
          <w:rFonts w:ascii="Arial" w:hAnsi="Arial" w:cs="Arial"/>
          <w:sz w:val="22"/>
          <w:szCs w:val="22"/>
        </w:rPr>
      </w:pPr>
    </w:p>
    <w:p w14:paraId="14016040" w14:textId="77777777" w:rsidR="007252F9" w:rsidRPr="00F031D7" w:rsidRDefault="007252F9" w:rsidP="007252F9">
      <w:pPr>
        <w:jc w:val="both"/>
        <w:rPr>
          <w:rFonts w:ascii="Arial" w:hAnsi="Arial" w:cs="Arial"/>
          <w:sz w:val="22"/>
          <w:szCs w:val="22"/>
        </w:rPr>
      </w:pPr>
      <w:r w:rsidRPr="00F031D7">
        <w:rPr>
          <w:rFonts w:ascii="Arial" w:hAnsi="Arial" w:cs="Arial"/>
          <w:sz w:val="22"/>
          <w:szCs w:val="22"/>
        </w:rPr>
        <w:t xml:space="preserve">Finally, the Proposed Project </w:t>
      </w:r>
      <w:r w:rsidRPr="006A3141">
        <w:rPr>
          <w:rFonts w:ascii="Arial" w:hAnsi="Arial" w:cs="Arial"/>
          <w:sz w:val="22"/>
          <w:szCs w:val="22"/>
        </w:rPr>
        <w:t>will compete on the basis of price, total medical expenses</w:t>
      </w:r>
      <w:r w:rsidRPr="00F031D7">
        <w:rPr>
          <w:rFonts w:ascii="Arial" w:hAnsi="Arial" w:cs="Arial"/>
          <w:sz w:val="22"/>
          <w:szCs w:val="22"/>
        </w:rPr>
        <w:t xml:space="preserve"> (“TME”)</w:t>
      </w:r>
      <w:r w:rsidRPr="006A3141">
        <w:rPr>
          <w:rFonts w:ascii="Arial" w:hAnsi="Arial" w:cs="Arial"/>
          <w:sz w:val="22"/>
          <w:szCs w:val="22"/>
        </w:rPr>
        <w:t>, provider costs, and other recognized measures of health</w:t>
      </w:r>
      <w:r>
        <w:rPr>
          <w:rFonts w:ascii="Arial" w:hAnsi="Arial" w:cs="Arial"/>
          <w:sz w:val="22"/>
          <w:szCs w:val="22"/>
        </w:rPr>
        <w:t xml:space="preserve"> </w:t>
      </w:r>
      <w:r w:rsidRPr="006A3141">
        <w:rPr>
          <w:rFonts w:ascii="Arial" w:hAnsi="Arial" w:cs="Arial"/>
          <w:sz w:val="22"/>
          <w:szCs w:val="22"/>
        </w:rPr>
        <w:t>care spending</w:t>
      </w:r>
      <w:r w:rsidRPr="00F031D7">
        <w:rPr>
          <w:rFonts w:ascii="Arial" w:hAnsi="Arial" w:cs="Arial"/>
          <w:sz w:val="22"/>
          <w:szCs w:val="22"/>
        </w:rPr>
        <w:t xml:space="preserve">, and </w:t>
      </w:r>
      <w:r w:rsidRPr="006A3141">
        <w:rPr>
          <w:rFonts w:ascii="Arial" w:hAnsi="Arial" w:cs="Arial"/>
          <w:sz w:val="22"/>
          <w:szCs w:val="22"/>
        </w:rPr>
        <w:t>will meaningfully contribute to Massachusetts' goals for cost containment</w:t>
      </w:r>
      <w:r w:rsidRPr="00F031D7">
        <w:rPr>
          <w:rFonts w:ascii="Arial" w:hAnsi="Arial" w:cs="Arial"/>
          <w:sz w:val="22"/>
          <w:szCs w:val="22"/>
        </w:rPr>
        <w:t xml:space="preserve"> by ensuring timely and equitable access to inpatient services</w:t>
      </w:r>
      <w:r>
        <w:rPr>
          <w:rFonts w:ascii="Arial" w:hAnsi="Arial" w:cs="Arial"/>
          <w:sz w:val="22"/>
          <w:szCs w:val="22"/>
        </w:rPr>
        <w:t>.</w:t>
      </w:r>
      <w:r w:rsidRPr="00F031D7">
        <w:rPr>
          <w:rFonts w:ascii="Arial" w:hAnsi="Arial" w:cs="Arial"/>
          <w:sz w:val="22"/>
          <w:szCs w:val="22"/>
        </w:rPr>
        <w:t xml:space="preserve"> </w:t>
      </w:r>
      <w:r w:rsidRPr="00AE6AC0">
        <w:rPr>
          <w:rFonts w:ascii="Arial" w:hAnsi="Arial" w:cs="Arial"/>
          <w:sz w:val="22"/>
          <w:szCs w:val="22"/>
        </w:rPr>
        <w:t xml:space="preserve">Through the expansion of inpatient </w:t>
      </w:r>
      <w:r>
        <w:rPr>
          <w:rFonts w:ascii="Arial" w:hAnsi="Arial" w:cs="Arial"/>
          <w:sz w:val="22"/>
          <w:szCs w:val="22"/>
        </w:rPr>
        <w:t xml:space="preserve">bed </w:t>
      </w:r>
      <w:r w:rsidRPr="00AE6AC0">
        <w:rPr>
          <w:rFonts w:ascii="Arial" w:hAnsi="Arial" w:cs="Arial"/>
          <w:sz w:val="22"/>
          <w:szCs w:val="22"/>
        </w:rPr>
        <w:t xml:space="preserve">and surgical capacity, BMC will reduce overcrowding in its ED as well as create operational efficiencies throughout the </w:t>
      </w:r>
      <w:r>
        <w:rPr>
          <w:rFonts w:ascii="Arial" w:hAnsi="Arial" w:cs="Arial"/>
          <w:sz w:val="22"/>
          <w:szCs w:val="22"/>
        </w:rPr>
        <w:t>H</w:t>
      </w:r>
      <w:r w:rsidRPr="00AE6AC0">
        <w:rPr>
          <w:rFonts w:ascii="Arial" w:hAnsi="Arial" w:cs="Arial"/>
          <w:sz w:val="22"/>
          <w:szCs w:val="22"/>
        </w:rPr>
        <w:t>ospital. There are positive financial and clinical impacts associated with providing timely access to care and moving patients from the resource-intensive ED to the inpatient setting.</w:t>
      </w:r>
      <w:r>
        <w:rPr>
          <w:rFonts w:ascii="Arial" w:hAnsi="Arial" w:cs="Arial"/>
          <w:sz w:val="22"/>
          <w:szCs w:val="22"/>
        </w:rPr>
        <w:t xml:space="preserve"> Moreover, the Proposed Project will allow BMC to expand upon efforts to address the social drivers of health, ultimately leading to cost reductions. Finally, the Proposed Project meets the Commonwealth’s goals for cost containment through the provision </w:t>
      </w:r>
      <w:r w:rsidRPr="00BB0369">
        <w:rPr>
          <w:rFonts w:ascii="Arial" w:hAnsi="Arial" w:cs="Arial"/>
          <w:sz w:val="22"/>
          <w:szCs w:val="22"/>
        </w:rPr>
        <w:t>of timely care in an appropriate setting</w:t>
      </w:r>
      <w:r>
        <w:rPr>
          <w:rFonts w:ascii="Arial" w:hAnsi="Arial" w:cs="Arial"/>
          <w:sz w:val="22"/>
          <w:szCs w:val="22"/>
        </w:rPr>
        <w:t xml:space="preserve">, which </w:t>
      </w:r>
      <w:r w:rsidRPr="00BB0369">
        <w:rPr>
          <w:rFonts w:ascii="Arial" w:hAnsi="Arial" w:cs="Arial"/>
          <w:sz w:val="22"/>
          <w:szCs w:val="22"/>
        </w:rPr>
        <w:t>has proven to reduce mortality and morbidity for chronic conditions and</w:t>
      </w:r>
      <w:r>
        <w:rPr>
          <w:rFonts w:ascii="Arial" w:hAnsi="Arial" w:cs="Arial"/>
          <w:sz w:val="22"/>
          <w:szCs w:val="22"/>
        </w:rPr>
        <w:t xml:space="preserve"> </w:t>
      </w:r>
      <w:r w:rsidRPr="00BB0369">
        <w:rPr>
          <w:rFonts w:ascii="Arial" w:hAnsi="Arial" w:cs="Arial"/>
          <w:sz w:val="22"/>
          <w:szCs w:val="22"/>
        </w:rPr>
        <w:t xml:space="preserve">translates to better patient clinical </w:t>
      </w:r>
      <w:r>
        <w:rPr>
          <w:rFonts w:ascii="Arial" w:hAnsi="Arial" w:cs="Arial"/>
          <w:sz w:val="22"/>
          <w:szCs w:val="22"/>
        </w:rPr>
        <w:t xml:space="preserve">quality </w:t>
      </w:r>
      <w:r w:rsidRPr="00BB0369">
        <w:rPr>
          <w:rFonts w:ascii="Arial" w:hAnsi="Arial" w:cs="Arial"/>
          <w:sz w:val="22"/>
          <w:szCs w:val="22"/>
        </w:rPr>
        <w:t>outcomes and reduced costs</w:t>
      </w:r>
      <w:r>
        <w:rPr>
          <w:rFonts w:ascii="Arial" w:hAnsi="Arial" w:cs="Arial"/>
          <w:sz w:val="22"/>
          <w:szCs w:val="22"/>
        </w:rPr>
        <w:t xml:space="preserve">. </w:t>
      </w:r>
    </w:p>
    <w:p w14:paraId="13D6404F" w14:textId="77777777" w:rsidR="007252F9" w:rsidRPr="00F031D7" w:rsidRDefault="007252F9" w:rsidP="007252F9">
      <w:pPr>
        <w:jc w:val="both"/>
        <w:rPr>
          <w:rFonts w:ascii="Arial" w:hAnsi="Arial" w:cs="Arial"/>
          <w:sz w:val="22"/>
          <w:szCs w:val="22"/>
        </w:rPr>
      </w:pPr>
    </w:p>
    <w:p w14:paraId="1D6DCE00" w14:textId="77777777" w:rsidR="007252F9" w:rsidRDefault="007252F9" w:rsidP="007252F9">
      <w:pPr>
        <w:jc w:val="both"/>
        <w:rPr>
          <w:rFonts w:ascii="Arial" w:hAnsi="Arial" w:cs="Arial"/>
          <w:b/>
          <w:bCs/>
          <w:sz w:val="22"/>
          <w:szCs w:val="22"/>
        </w:rPr>
      </w:pPr>
      <w:r w:rsidRPr="00F031D7">
        <w:rPr>
          <w:rFonts w:ascii="Arial" w:hAnsi="Arial" w:cs="Arial"/>
          <w:sz w:val="22"/>
          <w:szCs w:val="22"/>
        </w:rPr>
        <w:t xml:space="preserve">In consideration of these factors, the Applicant </w:t>
      </w:r>
      <w:r w:rsidRPr="002039BE">
        <w:rPr>
          <w:rFonts w:ascii="Arial" w:hAnsi="Arial" w:cs="Arial"/>
          <w:sz w:val="22"/>
          <w:szCs w:val="22"/>
        </w:rPr>
        <w:t xml:space="preserve">believes the Proposed Project meets the factors of review for </w:t>
      </w:r>
      <w:proofErr w:type="spellStart"/>
      <w:r w:rsidRPr="00F031D7">
        <w:rPr>
          <w:rFonts w:ascii="Arial" w:hAnsi="Arial" w:cs="Arial"/>
          <w:sz w:val="22"/>
          <w:szCs w:val="22"/>
        </w:rPr>
        <w:t>DoN</w:t>
      </w:r>
      <w:proofErr w:type="spellEnd"/>
      <w:r w:rsidRPr="002039BE">
        <w:rPr>
          <w:rFonts w:ascii="Arial" w:hAnsi="Arial" w:cs="Arial"/>
          <w:sz w:val="22"/>
          <w:szCs w:val="22"/>
        </w:rPr>
        <w:t xml:space="preserve"> approval. </w:t>
      </w:r>
    </w:p>
    <w:p w14:paraId="23F7EF72" w14:textId="77777777" w:rsidR="00082F02" w:rsidRDefault="00082F02" w:rsidP="00163C52">
      <w:pPr>
        <w:jc w:val="center"/>
        <w:rPr>
          <w:rFonts w:ascii="Arial" w:hAnsi="Arial" w:cs="Arial"/>
          <w:b/>
          <w:bCs/>
          <w:sz w:val="22"/>
          <w:szCs w:val="22"/>
        </w:rPr>
        <w:sectPr w:rsidR="00082F02" w:rsidSect="0017749B">
          <w:footerReference w:type="default" r:id="rId19"/>
          <w:pgSz w:w="12240" w:h="15840"/>
          <w:pgMar w:top="1440" w:right="1440" w:bottom="1440" w:left="1440" w:header="720" w:footer="720" w:gutter="0"/>
          <w:pgNumType w:start="1"/>
          <w:cols w:space="720"/>
          <w:docGrid w:linePitch="360"/>
        </w:sectPr>
      </w:pPr>
    </w:p>
    <w:p w14:paraId="0AB8FCA0" w14:textId="6D903A8D" w:rsidR="00BF26A8" w:rsidRPr="004E2920" w:rsidRDefault="00BF26A8" w:rsidP="00BF26A8">
      <w:pPr>
        <w:jc w:val="center"/>
        <w:rPr>
          <w:w w:val="105"/>
          <w:sz w:val="25"/>
          <w:u w:val="single"/>
        </w:rPr>
      </w:pPr>
      <w:r w:rsidRPr="004E2920">
        <w:rPr>
          <w:w w:val="105"/>
          <w:sz w:val="25"/>
          <w:u w:val="single"/>
        </w:rPr>
        <w:t>APPENDIX 2B:</w:t>
      </w:r>
    </w:p>
    <w:p w14:paraId="5123130E" w14:textId="77777777" w:rsidR="00BF26A8" w:rsidRPr="004E2920" w:rsidRDefault="00BF26A8" w:rsidP="00BF26A8">
      <w:pPr>
        <w:jc w:val="center"/>
        <w:rPr>
          <w:w w:val="105"/>
          <w:sz w:val="25"/>
          <w:u w:val="single"/>
        </w:rPr>
      </w:pPr>
    </w:p>
    <w:p w14:paraId="37A49AE5" w14:textId="75C04E7E" w:rsidR="00522894" w:rsidRPr="004E2920" w:rsidRDefault="00BF26A8" w:rsidP="00BF26A8">
      <w:pPr>
        <w:jc w:val="center"/>
        <w:rPr>
          <w:rFonts w:ascii="Arial" w:hAnsi="Arial" w:cs="Arial"/>
          <w:b/>
          <w:bCs/>
          <w:sz w:val="22"/>
          <w:szCs w:val="22"/>
          <w:u w:val="single"/>
        </w:rPr>
      </w:pPr>
      <w:r w:rsidRPr="004E2920">
        <w:rPr>
          <w:w w:val="105"/>
          <w:sz w:val="25"/>
          <w:u w:val="single"/>
        </w:rPr>
        <w:t>DON NARRATIVE - PROPOSED PROJECT FACTORS</w:t>
      </w:r>
    </w:p>
    <w:p w14:paraId="27E8B9B0" w14:textId="66D1AB69" w:rsidR="00A40B5F" w:rsidRDefault="00A40B5F" w:rsidP="00163C52">
      <w:pPr>
        <w:jc w:val="center"/>
        <w:rPr>
          <w:rFonts w:ascii="Arial" w:hAnsi="Arial" w:cs="Arial"/>
          <w:b/>
          <w:bCs/>
          <w:sz w:val="22"/>
          <w:szCs w:val="22"/>
        </w:rPr>
        <w:sectPr w:rsidR="00A40B5F" w:rsidSect="0017749B">
          <w:footerReference w:type="default" r:id="rId20"/>
          <w:pgSz w:w="12240" w:h="15840"/>
          <w:pgMar w:top="1440" w:right="1440" w:bottom="1440" w:left="1440" w:header="720" w:footer="720" w:gutter="0"/>
          <w:pgNumType w:start="1"/>
          <w:cols w:space="720"/>
          <w:docGrid w:linePitch="360"/>
        </w:sectPr>
      </w:pPr>
    </w:p>
    <w:p w14:paraId="384A6585" w14:textId="62A7E337" w:rsidR="009F76F1" w:rsidRPr="00E35639" w:rsidRDefault="009F76F1" w:rsidP="009F76F1">
      <w:pPr>
        <w:jc w:val="both"/>
        <w:rPr>
          <w:rFonts w:ascii="Arial" w:hAnsi="Arial" w:cs="Arial"/>
          <w:b/>
          <w:bCs/>
          <w:sz w:val="22"/>
          <w:szCs w:val="22"/>
        </w:rPr>
      </w:pPr>
      <w:r w:rsidRPr="00E35639">
        <w:rPr>
          <w:rFonts w:ascii="Arial" w:hAnsi="Arial" w:cs="Arial"/>
          <w:b/>
          <w:bCs/>
          <w:sz w:val="22"/>
          <w:szCs w:val="22"/>
        </w:rPr>
        <w:t xml:space="preserve">Factor 1: Applicant Patient Panel Need, Public Health Values and Operational Objectives </w:t>
      </w:r>
    </w:p>
    <w:p w14:paraId="19256514" w14:textId="77777777" w:rsidR="009F76F1" w:rsidRDefault="009F76F1" w:rsidP="009F76F1">
      <w:pPr>
        <w:pStyle w:val="NormalWeb"/>
        <w:spacing w:before="0" w:beforeAutospacing="0" w:after="0" w:afterAutospacing="0"/>
        <w:jc w:val="both"/>
        <w:rPr>
          <w:rFonts w:ascii="Arial" w:hAnsi="Arial" w:cs="Arial"/>
          <w:sz w:val="22"/>
          <w:szCs w:val="22"/>
        </w:rPr>
      </w:pPr>
    </w:p>
    <w:p w14:paraId="4AA367DD" w14:textId="77777777" w:rsidR="009F76F1" w:rsidRPr="00B47668" w:rsidRDefault="009F76F1" w:rsidP="00B16CAF">
      <w:pPr>
        <w:pStyle w:val="NormalWeb"/>
        <w:spacing w:before="0" w:beforeAutospacing="0" w:after="0" w:afterAutospacing="0"/>
        <w:ind w:left="1080" w:hanging="1080"/>
        <w:jc w:val="both"/>
        <w:rPr>
          <w:rFonts w:ascii="Arial" w:hAnsi="Arial" w:cs="Arial"/>
          <w:b/>
          <w:bCs/>
          <w:sz w:val="22"/>
          <w:szCs w:val="22"/>
          <w:u w:val="single"/>
        </w:rPr>
      </w:pPr>
      <w:r w:rsidRPr="00E35639">
        <w:rPr>
          <w:rFonts w:ascii="Arial" w:hAnsi="Arial" w:cs="Arial"/>
          <w:b/>
          <w:bCs/>
          <w:sz w:val="22"/>
          <w:szCs w:val="22"/>
        </w:rPr>
        <w:t>F1.a.i</w:t>
      </w:r>
      <w:r>
        <w:rPr>
          <w:rFonts w:ascii="Arial" w:hAnsi="Arial" w:cs="Arial"/>
          <w:b/>
          <w:bCs/>
          <w:sz w:val="22"/>
          <w:szCs w:val="22"/>
        </w:rPr>
        <w:tab/>
      </w:r>
      <w:r w:rsidRPr="00E35639">
        <w:rPr>
          <w:rFonts w:ascii="Arial" w:hAnsi="Arial" w:cs="Arial"/>
          <w:b/>
          <w:bCs/>
          <w:sz w:val="22"/>
          <w:szCs w:val="22"/>
          <w:u w:val="single"/>
        </w:rPr>
        <w:t>Patient Panel</w:t>
      </w:r>
      <w:r w:rsidRPr="00E3629A">
        <w:rPr>
          <w:rFonts w:ascii="Arial" w:hAnsi="Arial" w:cs="Arial"/>
          <w:b/>
          <w:bCs/>
          <w:sz w:val="22"/>
          <w:szCs w:val="22"/>
        </w:rPr>
        <w:t>:</w:t>
      </w:r>
    </w:p>
    <w:p w14:paraId="79D45A94" w14:textId="77777777" w:rsidR="009F76F1" w:rsidRPr="00E35639" w:rsidRDefault="009F76F1" w:rsidP="00B16CAF">
      <w:pPr>
        <w:pStyle w:val="NormalWeb"/>
        <w:spacing w:before="0" w:beforeAutospacing="0" w:after="0" w:afterAutospacing="0"/>
        <w:ind w:left="1080"/>
        <w:jc w:val="both"/>
        <w:rPr>
          <w:rFonts w:ascii="Arial" w:hAnsi="Arial" w:cs="Arial"/>
          <w:sz w:val="22"/>
          <w:szCs w:val="22"/>
        </w:rPr>
      </w:pPr>
      <w:r w:rsidRPr="00E35639">
        <w:rPr>
          <w:rFonts w:ascii="Arial" w:hAnsi="Arial" w:cs="Arial"/>
          <w:b/>
          <w:bCs/>
          <w:sz w:val="22"/>
          <w:szCs w:val="2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r w:rsidRPr="00E35639">
        <w:rPr>
          <w:rFonts w:ascii="Arial" w:hAnsi="Arial" w:cs="Arial"/>
          <w:sz w:val="22"/>
          <w:szCs w:val="22"/>
        </w:rPr>
        <w:t xml:space="preserve"> </w:t>
      </w:r>
    </w:p>
    <w:p w14:paraId="62A3E30A" w14:textId="77777777" w:rsidR="009F76F1" w:rsidRDefault="009F76F1" w:rsidP="009F76F1">
      <w:pPr>
        <w:pStyle w:val="NormalWeb"/>
        <w:spacing w:before="0" w:beforeAutospacing="0" w:after="0" w:afterAutospacing="0"/>
        <w:jc w:val="both"/>
        <w:rPr>
          <w:rFonts w:ascii="Arial" w:hAnsi="Arial" w:cs="Arial"/>
          <w:sz w:val="22"/>
          <w:szCs w:val="22"/>
        </w:rPr>
      </w:pPr>
    </w:p>
    <w:p w14:paraId="4449D977" w14:textId="3BDC1BAF" w:rsidR="009F76F1" w:rsidRPr="00B53310" w:rsidRDefault="009F76F1" w:rsidP="009F76F1">
      <w:pPr>
        <w:pStyle w:val="NormalWeb"/>
        <w:numPr>
          <w:ilvl w:val="0"/>
          <w:numId w:val="1"/>
        </w:numPr>
        <w:spacing w:before="0" w:beforeAutospacing="0" w:after="0" w:afterAutospacing="0"/>
        <w:ind w:left="360"/>
        <w:jc w:val="both"/>
        <w:rPr>
          <w:rFonts w:ascii="Arial" w:hAnsi="Arial" w:cs="Arial"/>
          <w:smallCaps/>
          <w:sz w:val="22"/>
          <w:szCs w:val="22"/>
          <w:u w:val="single"/>
        </w:rPr>
      </w:pPr>
      <w:r w:rsidRPr="00B53310">
        <w:rPr>
          <w:rFonts w:ascii="Arial" w:hAnsi="Arial" w:cs="Arial"/>
          <w:smallCaps/>
          <w:sz w:val="22"/>
          <w:szCs w:val="22"/>
          <w:u w:val="single"/>
        </w:rPr>
        <w:t>Overview of Patient Panel Selection</w:t>
      </w:r>
    </w:p>
    <w:p w14:paraId="63B74C64" w14:textId="55DD8E8C" w:rsidR="00C55085" w:rsidRDefault="00C55085" w:rsidP="00C55085">
      <w:pPr>
        <w:pStyle w:val="NormalWeb"/>
        <w:spacing w:before="0" w:beforeAutospacing="0" w:after="0" w:afterAutospacing="0"/>
        <w:jc w:val="both"/>
        <w:rPr>
          <w:rFonts w:ascii="Arial" w:hAnsi="Arial" w:cs="Arial"/>
          <w:sz w:val="22"/>
          <w:szCs w:val="22"/>
          <w:u w:val="single"/>
        </w:rPr>
      </w:pPr>
    </w:p>
    <w:p w14:paraId="6EF81BD1" w14:textId="4D95C5D6" w:rsidR="00B16CAF" w:rsidRDefault="00B16CAF" w:rsidP="009F76F1">
      <w:pPr>
        <w:jc w:val="both"/>
        <w:rPr>
          <w:rFonts w:ascii="Arial" w:hAnsi="Arial" w:cs="Arial"/>
          <w:sz w:val="22"/>
          <w:szCs w:val="22"/>
        </w:rPr>
      </w:pPr>
      <w:r>
        <w:rPr>
          <w:rFonts w:ascii="Arial" w:hAnsi="Arial" w:cs="Arial"/>
          <w:sz w:val="22"/>
          <w:szCs w:val="22"/>
        </w:rPr>
        <w:t>As noted above</w:t>
      </w:r>
      <w:r w:rsidR="0011254C">
        <w:rPr>
          <w:rFonts w:ascii="Arial" w:hAnsi="Arial" w:cs="Arial"/>
          <w:sz w:val="22"/>
          <w:szCs w:val="22"/>
        </w:rPr>
        <w:t xml:space="preserve"> in the Project Description</w:t>
      </w:r>
      <w:r>
        <w:rPr>
          <w:rFonts w:ascii="Arial" w:hAnsi="Arial" w:cs="Arial"/>
          <w:sz w:val="22"/>
          <w:szCs w:val="22"/>
        </w:rPr>
        <w:t xml:space="preserve">, </w:t>
      </w:r>
      <w:r w:rsidR="009F76F1" w:rsidRPr="006C1CBF">
        <w:rPr>
          <w:rFonts w:ascii="Arial" w:hAnsi="Arial" w:cs="Arial"/>
          <w:sz w:val="22"/>
          <w:szCs w:val="22"/>
        </w:rPr>
        <w:t xml:space="preserve">BMC Health System is a </w:t>
      </w:r>
      <w:r w:rsidR="007F0EC1" w:rsidRPr="006C1CBF">
        <w:rPr>
          <w:rFonts w:ascii="Arial" w:hAnsi="Arial" w:cs="Arial"/>
          <w:sz w:val="22"/>
          <w:szCs w:val="22"/>
        </w:rPr>
        <w:t xml:space="preserve">Massachusetts </w:t>
      </w:r>
      <w:r w:rsidR="009F76F1" w:rsidRPr="006C1CBF">
        <w:rPr>
          <w:rFonts w:ascii="Arial" w:hAnsi="Arial" w:cs="Arial"/>
          <w:sz w:val="22"/>
          <w:szCs w:val="22"/>
        </w:rPr>
        <w:t>no</w:t>
      </w:r>
      <w:r w:rsidR="007F0EC1" w:rsidRPr="006C1CBF">
        <w:rPr>
          <w:rFonts w:ascii="Arial" w:hAnsi="Arial" w:cs="Arial"/>
          <w:sz w:val="22"/>
          <w:szCs w:val="22"/>
        </w:rPr>
        <w:t>n-</w:t>
      </w:r>
      <w:r w:rsidR="009F76F1" w:rsidRPr="006C1CBF">
        <w:rPr>
          <w:rFonts w:ascii="Arial" w:hAnsi="Arial" w:cs="Arial"/>
          <w:sz w:val="22"/>
          <w:szCs w:val="22"/>
        </w:rPr>
        <w:t xml:space="preserve">profit </w:t>
      </w:r>
      <w:r w:rsidR="00BE4A05" w:rsidRPr="006C1CBF">
        <w:rPr>
          <w:rFonts w:ascii="Arial" w:hAnsi="Arial" w:cs="Arial"/>
          <w:sz w:val="22"/>
          <w:szCs w:val="22"/>
        </w:rPr>
        <w:t>integrated health</w:t>
      </w:r>
      <w:r w:rsidR="00CF77C3">
        <w:rPr>
          <w:rFonts w:ascii="Arial" w:hAnsi="Arial" w:cs="Arial"/>
          <w:sz w:val="22"/>
          <w:szCs w:val="22"/>
        </w:rPr>
        <w:t xml:space="preserve"> </w:t>
      </w:r>
      <w:r w:rsidR="00BE4A05" w:rsidRPr="006C1CBF">
        <w:rPr>
          <w:rFonts w:ascii="Arial" w:hAnsi="Arial" w:cs="Arial"/>
          <w:sz w:val="22"/>
          <w:szCs w:val="22"/>
        </w:rPr>
        <w:t xml:space="preserve">care system whose mission is providing exceptional care without exception. </w:t>
      </w:r>
      <w:r w:rsidR="00CA2DE2" w:rsidRPr="006C1CBF">
        <w:rPr>
          <w:rFonts w:ascii="Arial" w:hAnsi="Arial" w:cs="Arial"/>
          <w:sz w:val="22"/>
          <w:szCs w:val="22"/>
        </w:rPr>
        <w:t xml:space="preserve">BMC Health System is currently comprised of four </w:t>
      </w:r>
      <w:r w:rsidR="00064B86" w:rsidRPr="006C1CBF">
        <w:rPr>
          <w:rFonts w:ascii="Arial" w:hAnsi="Arial" w:cs="Arial"/>
          <w:sz w:val="22"/>
          <w:szCs w:val="22"/>
        </w:rPr>
        <w:t>corporate affiliates that provide a variety of services</w:t>
      </w:r>
      <w:r w:rsidR="00C81E83" w:rsidRPr="006C1CBF">
        <w:rPr>
          <w:rFonts w:ascii="Arial" w:hAnsi="Arial" w:cs="Arial"/>
          <w:sz w:val="22"/>
          <w:szCs w:val="22"/>
        </w:rPr>
        <w:t xml:space="preserve">, </w:t>
      </w:r>
      <w:r w:rsidR="00064B86" w:rsidRPr="006C1CBF">
        <w:rPr>
          <w:rFonts w:ascii="Arial" w:hAnsi="Arial" w:cs="Arial"/>
          <w:sz w:val="22"/>
          <w:szCs w:val="22"/>
        </w:rPr>
        <w:t xml:space="preserve">for which </w:t>
      </w:r>
      <w:r w:rsidR="00C81E83" w:rsidRPr="006C1CBF">
        <w:rPr>
          <w:rFonts w:ascii="Arial" w:hAnsi="Arial" w:cs="Arial"/>
          <w:sz w:val="22"/>
          <w:szCs w:val="22"/>
        </w:rPr>
        <w:t xml:space="preserve">BMC Health System </w:t>
      </w:r>
      <w:r w:rsidR="00461758" w:rsidRPr="006C1CBF">
        <w:rPr>
          <w:rFonts w:ascii="Arial" w:hAnsi="Arial" w:cs="Arial"/>
          <w:sz w:val="22"/>
          <w:szCs w:val="22"/>
        </w:rPr>
        <w:t>oversees operation</w:t>
      </w:r>
      <w:r w:rsidR="00BE3F26" w:rsidRPr="006C1CBF">
        <w:rPr>
          <w:rFonts w:ascii="Arial" w:hAnsi="Arial" w:cs="Arial"/>
          <w:sz w:val="22"/>
          <w:szCs w:val="22"/>
        </w:rPr>
        <w:t>s</w:t>
      </w:r>
      <w:r w:rsidR="00461758" w:rsidRPr="006C1CBF">
        <w:rPr>
          <w:rFonts w:ascii="Arial" w:hAnsi="Arial" w:cs="Arial"/>
          <w:sz w:val="22"/>
          <w:szCs w:val="22"/>
        </w:rPr>
        <w:t xml:space="preserve"> and </w:t>
      </w:r>
      <w:r w:rsidR="00064B86" w:rsidRPr="006C1CBF">
        <w:rPr>
          <w:rFonts w:ascii="Arial" w:hAnsi="Arial" w:cs="Arial"/>
          <w:sz w:val="22"/>
          <w:szCs w:val="22"/>
        </w:rPr>
        <w:t>provides governance</w:t>
      </w:r>
      <w:r w:rsidR="0011254C">
        <w:rPr>
          <w:rFonts w:ascii="Arial" w:hAnsi="Arial" w:cs="Arial"/>
          <w:sz w:val="22"/>
          <w:szCs w:val="22"/>
        </w:rPr>
        <w:t xml:space="preserve"> and</w:t>
      </w:r>
      <w:r w:rsidR="00064B86" w:rsidRPr="006C1CBF">
        <w:rPr>
          <w:rFonts w:ascii="Arial" w:hAnsi="Arial" w:cs="Arial"/>
          <w:sz w:val="22"/>
          <w:szCs w:val="22"/>
        </w:rPr>
        <w:t xml:space="preserve"> long-term strategic planning </w:t>
      </w:r>
      <w:r w:rsidR="0011254C">
        <w:rPr>
          <w:rFonts w:ascii="Arial" w:hAnsi="Arial" w:cs="Arial"/>
          <w:sz w:val="22"/>
          <w:szCs w:val="22"/>
        </w:rPr>
        <w:t>as well as</w:t>
      </w:r>
      <w:r w:rsidR="00064B86" w:rsidRPr="006C1CBF">
        <w:rPr>
          <w:rFonts w:ascii="Arial" w:hAnsi="Arial" w:cs="Arial"/>
          <w:sz w:val="22"/>
          <w:szCs w:val="22"/>
        </w:rPr>
        <w:t xml:space="preserve"> budgetary </w:t>
      </w:r>
      <w:r w:rsidR="009F5BD5" w:rsidRPr="006C1CBF">
        <w:rPr>
          <w:rFonts w:ascii="Arial" w:hAnsi="Arial" w:cs="Arial"/>
          <w:sz w:val="22"/>
          <w:szCs w:val="22"/>
        </w:rPr>
        <w:t xml:space="preserve">and </w:t>
      </w:r>
      <w:r w:rsidR="00547D90" w:rsidRPr="006C1CBF">
        <w:rPr>
          <w:rFonts w:ascii="Arial" w:hAnsi="Arial" w:cs="Arial"/>
          <w:sz w:val="22"/>
          <w:szCs w:val="22"/>
        </w:rPr>
        <w:t xml:space="preserve">financial </w:t>
      </w:r>
      <w:r w:rsidR="00064B86" w:rsidRPr="006C1CBF">
        <w:rPr>
          <w:rFonts w:ascii="Arial" w:hAnsi="Arial" w:cs="Arial"/>
          <w:sz w:val="22"/>
          <w:szCs w:val="22"/>
        </w:rPr>
        <w:t>assistance</w:t>
      </w:r>
      <w:r w:rsidR="009F76F1" w:rsidRPr="006C1CBF">
        <w:rPr>
          <w:rFonts w:ascii="Arial" w:hAnsi="Arial" w:cs="Arial"/>
          <w:sz w:val="22"/>
          <w:szCs w:val="22"/>
        </w:rPr>
        <w:t>.</w:t>
      </w:r>
      <w:r w:rsidR="00FB167B">
        <w:rPr>
          <w:rFonts w:ascii="ZWAdobeF" w:hAnsi="ZWAdobeF" w:cs="ZWAdobeF"/>
          <w:sz w:val="2"/>
          <w:szCs w:val="2"/>
        </w:rPr>
        <w:t>0F</w:t>
      </w:r>
      <w:r w:rsidR="009F76F1" w:rsidRPr="006C1CBF">
        <w:rPr>
          <w:rStyle w:val="FootnoteReference"/>
          <w:rFonts w:ascii="Arial" w:hAnsi="Arial" w:cs="Arial"/>
          <w:sz w:val="22"/>
          <w:szCs w:val="22"/>
        </w:rPr>
        <w:footnoteReference w:id="1"/>
      </w:r>
      <w:r w:rsidR="00686618" w:rsidRPr="006C1CBF">
        <w:rPr>
          <w:rFonts w:ascii="Arial" w:hAnsi="Arial" w:cs="Arial"/>
          <w:sz w:val="22"/>
          <w:szCs w:val="22"/>
        </w:rPr>
        <w:t xml:space="preserve"> </w:t>
      </w:r>
      <w:r w:rsidR="00C55085" w:rsidRPr="006C1CBF">
        <w:rPr>
          <w:rFonts w:ascii="Arial" w:hAnsi="Arial" w:cs="Arial"/>
          <w:sz w:val="22"/>
          <w:szCs w:val="22"/>
        </w:rPr>
        <w:t>Of these four entities, Boston Medical Center Corporation</w:t>
      </w:r>
      <w:r w:rsidR="002563DE">
        <w:rPr>
          <w:rFonts w:ascii="Arial" w:hAnsi="Arial" w:cs="Arial"/>
          <w:sz w:val="22"/>
          <w:szCs w:val="22"/>
        </w:rPr>
        <w:t>, the owner and operator of BMC,</w:t>
      </w:r>
      <w:r w:rsidR="00133522">
        <w:rPr>
          <w:rFonts w:ascii="Arial" w:hAnsi="Arial" w:cs="Arial"/>
          <w:sz w:val="22"/>
          <w:szCs w:val="22"/>
        </w:rPr>
        <w:t xml:space="preserve"> </w:t>
      </w:r>
      <w:r w:rsidR="00C55085" w:rsidRPr="006C1CBF">
        <w:rPr>
          <w:rFonts w:ascii="Arial" w:hAnsi="Arial" w:cs="Arial"/>
          <w:sz w:val="22"/>
          <w:szCs w:val="22"/>
        </w:rPr>
        <w:t xml:space="preserve">is the </w:t>
      </w:r>
      <w:r w:rsidR="00D444CD" w:rsidRPr="006C1CBF">
        <w:rPr>
          <w:rFonts w:ascii="Arial" w:hAnsi="Arial" w:cs="Arial"/>
          <w:sz w:val="22"/>
          <w:szCs w:val="22"/>
        </w:rPr>
        <w:t>Applicant’s sole corporate</w:t>
      </w:r>
      <w:r w:rsidR="00C55085" w:rsidRPr="006C1CBF">
        <w:rPr>
          <w:rFonts w:ascii="Arial" w:hAnsi="Arial" w:cs="Arial"/>
          <w:sz w:val="22"/>
          <w:szCs w:val="22"/>
        </w:rPr>
        <w:t xml:space="preserve"> affiliate involved in the </w:t>
      </w:r>
      <w:r w:rsidR="00AA4A61" w:rsidRPr="006C1CBF">
        <w:rPr>
          <w:rFonts w:ascii="Arial" w:hAnsi="Arial" w:cs="Arial"/>
          <w:sz w:val="22"/>
          <w:szCs w:val="22"/>
        </w:rPr>
        <w:t xml:space="preserve">direct </w:t>
      </w:r>
      <w:r w:rsidR="00C55085" w:rsidRPr="006C1CBF">
        <w:rPr>
          <w:rFonts w:ascii="Arial" w:hAnsi="Arial" w:cs="Arial"/>
          <w:sz w:val="22"/>
          <w:szCs w:val="22"/>
        </w:rPr>
        <w:t xml:space="preserve">provision of patient care services. Accordingly, the Applicant relies upon </w:t>
      </w:r>
      <w:r w:rsidR="00AD42AC">
        <w:rPr>
          <w:rFonts w:ascii="Arial" w:hAnsi="Arial" w:cs="Arial"/>
          <w:sz w:val="22"/>
          <w:szCs w:val="22"/>
        </w:rPr>
        <w:t>BMC</w:t>
      </w:r>
      <w:r w:rsidR="00C55085" w:rsidRPr="006C1CBF">
        <w:rPr>
          <w:rFonts w:ascii="Arial" w:hAnsi="Arial" w:cs="Arial"/>
          <w:sz w:val="22"/>
          <w:szCs w:val="22"/>
        </w:rPr>
        <w:t xml:space="preserve">’s patient panel for </w:t>
      </w:r>
      <w:r w:rsidR="00DE3F5B">
        <w:rPr>
          <w:rFonts w:ascii="Arial" w:hAnsi="Arial" w:cs="Arial"/>
          <w:sz w:val="22"/>
          <w:szCs w:val="22"/>
        </w:rPr>
        <w:t>purposes of this</w:t>
      </w:r>
      <w:r w:rsidR="00C55085" w:rsidRPr="006C1CBF">
        <w:rPr>
          <w:rFonts w:ascii="Arial" w:hAnsi="Arial" w:cs="Arial"/>
          <w:sz w:val="22"/>
          <w:szCs w:val="22"/>
        </w:rPr>
        <w:t xml:space="preserve"> Applicatio</w:t>
      </w:r>
      <w:r w:rsidR="00D067C4" w:rsidRPr="006C1CBF">
        <w:rPr>
          <w:rFonts w:ascii="Arial" w:hAnsi="Arial" w:cs="Arial"/>
          <w:sz w:val="22"/>
          <w:szCs w:val="22"/>
        </w:rPr>
        <w:t>n</w:t>
      </w:r>
      <w:r w:rsidR="0087503C">
        <w:rPr>
          <w:rFonts w:ascii="Arial" w:hAnsi="Arial" w:cs="Arial"/>
          <w:sz w:val="22"/>
          <w:szCs w:val="22"/>
        </w:rPr>
        <w:t xml:space="preserve"> to determine the need for the Proposed Project</w:t>
      </w:r>
      <w:r w:rsidR="00D067C4" w:rsidRPr="006C1CBF">
        <w:rPr>
          <w:rFonts w:ascii="Arial" w:hAnsi="Arial" w:cs="Arial"/>
          <w:sz w:val="22"/>
          <w:szCs w:val="22"/>
        </w:rPr>
        <w:t>.</w:t>
      </w:r>
    </w:p>
    <w:p w14:paraId="66916117" w14:textId="77777777" w:rsidR="00C74445" w:rsidRDefault="00C74445" w:rsidP="009F76F1">
      <w:pPr>
        <w:jc w:val="both"/>
        <w:rPr>
          <w:rFonts w:ascii="Arial" w:hAnsi="Arial" w:cs="Arial"/>
          <w:sz w:val="22"/>
          <w:szCs w:val="22"/>
        </w:rPr>
      </w:pPr>
    </w:p>
    <w:p w14:paraId="4DA2DD15" w14:textId="6F7A2254" w:rsidR="00C74445" w:rsidRPr="00B53310" w:rsidRDefault="004E5F4C" w:rsidP="00C74445">
      <w:pPr>
        <w:pStyle w:val="NormalWeb"/>
        <w:numPr>
          <w:ilvl w:val="0"/>
          <w:numId w:val="1"/>
        </w:numPr>
        <w:spacing w:before="0" w:beforeAutospacing="0" w:after="0" w:afterAutospacing="0"/>
        <w:ind w:left="360"/>
        <w:jc w:val="both"/>
        <w:rPr>
          <w:rFonts w:ascii="Arial" w:hAnsi="Arial" w:cs="Arial"/>
          <w:smallCaps/>
          <w:sz w:val="22"/>
          <w:szCs w:val="22"/>
          <w:u w:val="single"/>
        </w:rPr>
      </w:pPr>
      <w:r w:rsidRPr="00B53310">
        <w:rPr>
          <w:rFonts w:ascii="Arial" w:hAnsi="Arial" w:cs="Arial"/>
          <w:smallCaps/>
          <w:sz w:val="22"/>
          <w:szCs w:val="22"/>
          <w:u w:val="single"/>
        </w:rPr>
        <w:t xml:space="preserve">Overview of </w:t>
      </w:r>
      <w:r w:rsidR="00AD42AC" w:rsidRPr="00B53310">
        <w:rPr>
          <w:rFonts w:ascii="Arial" w:hAnsi="Arial" w:cs="Arial"/>
          <w:smallCaps/>
          <w:sz w:val="22"/>
          <w:szCs w:val="22"/>
          <w:u w:val="single"/>
        </w:rPr>
        <w:t>BMC’s</w:t>
      </w:r>
      <w:r w:rsidR="00C74445" w:rsidRPr="00B53310">
        <w:rPr>
          <w:rFonts w:ascii="Arial" w:hAnsi="Arial" w:cs="Arial"/>
          <w:smallCaps/>
          <w:sz w:val="22"/>
          <w:szCs w:val="22"/>
          <w:u w:val="single"/>
        </w:rPr>
        <w:t xml:space="preserve"> Patient Panel </w:t>
      </w:r>
    </w:p>
    <w:p w14:paraId="75E2B77D" w14:textId="77777777" w:rsidR="00C55085" w:rsidRDefault="00C55085" w:rsidP="009F76F1">
      <w:pPr>
        <w:jc w:val="both"/>
        <w:rPr>
          <w:rFonts w:ascii="Arial" w:hAnsi="Arial" w:cs="Arial"/>
          <w:sz w:val="22"/>
          <w:szCs w:val="22"/>
        </w:rPr>
      </w:pPr>
    </w:p>
    <w:p w14:paraId="3EE27F0D" w14:textId="0E652A0E" w:rsidR="00AD42AC" w:rsidRDefault="00F832F9" w:rsidP="00AD42AC">
      <w:pPr>
        <w:jc w:val="both"/>
        <w:rPr>
          <w:rFonts w:ascii="Arial" w:hAnsi="Arial" w:cs="Arial"/>
          <w:sz w:val="22"/>
          <w:szCs w:val="22"/>
        </w:rPr>
      </w:pPr>
      <w:r>
        <w:rPr>
          <w:rFonts w:ascii="Arial" w:hAnsi="Arial" w:cs="Arial"/>
          <w:sz w:val="22"/>
          <w:szCs w:val="22"/>
        </w:rPr>
        <w:t>D</w:t>
      </w:r>
      <w:r w:rsidR="00333D77">
        <w:rPr>
          <w:rFonts w:ascii="Arial" w:hAnsi="Arial" w:cs="Arial"/>
          <w:sz w:val="22"/>
          <w:szCs w:val="22"/>
        </w:rPr>
        <w:t>iscussed in detail in the Project Description,</w:t>
      </w:r>
      <w:r w:rsidR="00AD42AC">
        <w:rPr>
          <w:rFonts w:ascii="Arial" w:hAnsi="Arial" w:cs="Arial"/>
          <w:sz w:val="22"/>
          <w:szCs w:val="22"/>
        </w:rPr>
        <w:t xml:space="preserve"> BMC is </w:t>
      </w:r>
      <w:r w:rsidR="00CB376C" w:rsidRPr="00D0611A">
        <w:rPr>
          <w:rFonts w:ascii="Arial" w:hAnsi="Arial" w:cs="Arial"/>
          <w:sz w:val="22"/>
          <w:szCs w:val="22"/>
        </w:rPr>
        <w:t xml:space="preserve">a private, non-profit, 514-bed, urban academic medical center </w:t>
      </w:r>
      <w:r>
        <w:rPr>
          <w:rFonts w:ascii="Arial" w:hAnsi="Arial" w:cs="Arial"/>
          <w:sz w:val="22"/>
          <w:szCs w:val="22"/>
        </w:rPr>
        <w:t xml:space="preserve">that </w:t>
      </w:r>
      <w:r w:rsidR="00AD42AC" w:rsidRPr="00D0611A">
        <w:rPr>
          <w:rFonts w:ascii="Arial" w:hAnsi="Arial" w:cs="Arial"/>
          <w:sz w:val="22"/>
          <w:szCs w:val="22"/>
        </w:rPr>
        <w:t>emphasizes community-based, accessible care</w:t>
      </w:r>
      <w:r w:rsidR="00C14937">
        <w:rPr>
          <w:rFonts w:ascii="Arial" w:hAnsi="Arial" w:cs="Arial"/>
          <w:sz w:val="22"/>
          <w:szCs w:val="22"/>
        </w:rPr>
        <w:t xml:space="preserve">. Located </w:t>
      </w:r>
      <w:r w:rsidR="00C14937" w:rsidRPr="00D0611A">
        <w:rPr>
          <w:rFonts w:ascii="Arial" w:hAnsi="Arial" w:cs="Arial"/>
          <w:sz w:val="22"/>
          <w:szCs w:val="22"/>
        </w:rPr>
        <w:t>in Boston’s historic South End neighborhood</w:t>
      </w:r>
      <w:r w:rsidR="00C14937">
        <w:rPr>
          <w:rFonts w:ascii="Arial" w:hAnsi="Arial" w:cs="Arial"/>
          <w:sz w:val="22"/>
          <w:szCs w:val="22"/>
        </w:rPr>
        <w:t xml:space="preserve">, the </w:t>
      </w:r>
      <w:r w:rsidR="00AD42AC" w:rsidRPr="00D0611A">
        <w:rPr>
          <w:rFonts w:ascii="Arial" w:hAnsi="Arial" w:cs="Arial"/>
          <w:sz w:val="22"/>
          <w:szCs w:val="22"/>
        </w:rPr>
        <w:t xml:space="preserve">Hospital provides a full spectrum of pediatric and adult care services from primary to family medicine to advanced specialty care, </w:t>
      </w:r>
      <w:r w:rsidR="00C705B9">
        <w:rPr>
          <w:rFonts w:ascii="Arial" w:hAnsi="Arial" w:cs="Arial"/>
          <w:sz w:val="22"/>
          <w:szCs w:val="22"/>
        </w:rPr>
        <w:t xml:space="preserve">and </w:t>
      </w:r>
      <w:r w:rsidR="00C14937">
        <w:rPr>
          <w:rFonts w:ascii="Arial" w:hAnsi="Arial" w:cs="Arial"/>
          <w:sz w:val="22"/>
          <w:szCs w:val="22"/>
        </w:rPr>
        <w:t xml:space="preserve">is </w:t>
      </w:r>
      <w:r w:rsidR="00C14937" w:rsidRPr="00D0611A">
        <w:rPr>
          <w:rFonts w:ascii="Arial" w:hAnsi="Arial" w:cs="Arial"/>
          <w:sz w:val="22"/>
          <w:szCs w:val="22"/>
        </w:rPr>
        <w:t xml:space="preserve">the largest safety net hospital </w:t>
      </w:r>
      <w:r w:rsidR="00C705B9">
        <w:rPr>
          <w:rFonts w:ascii="Arial" w:hAnsi="Arial" w:cs="Arial"/>
          <w:sz w:val="22"/>
          <w:szCs w:val="22"/>
        </w:rPr>
        <w:t>and</w:t>
      </w:r>
      <w:r w:rsidR="00AD42AC" w:rsidRPr="00D0611A">
        <w:rPr>
          <w:rFonts w:ascii="Arial" w:hAnsi="Arial" w:cs="Arial"/>
          <w:sz w:val="22"/>
          <w:szCs w:val="22"/>
        </w:rPr>
        <w:t xml:space="preserve"> the busiest trauma center in New England.</w:t>
      </w:r>
    </w:p>
    <w:p w14:paraId="3FC8ECE6" w14:textId="77777777" w:rsidR="00485707" w:rsidRDefault="00485707" w:rsidP="006B7379">
      <w:pPr>
        <w:jc w:val="both"/>
        <w:rPr>
          <w:rFonts w:ascii="Arial" w:hAnsi="Arial" w:cs="Arial"/>
          <w:sz w:val="22"/>
          <w:szCs w:val="22"/>
        </w:rPr>
      </w:pPr>
    </w:p>
    <w:p w14:paraId="77F249AE" w14:textId="05D3904B" w:rsidR="008F6129" w:rsidRDefault="006B7379" w:rsidP="008F6129">
      <w:pPr>
        <w:jc w:val="both"/>
        <w:rPr>
          <w:rFonts w:ascii="Arial" w:hAnsi="Arial" w:cs="Arial"/>
          <w:sz w:val="22"/>
          <w:szCs w:val="22"/>
        </w:rPr>
      </w:pPr>
      <w:r w:rsidRPr="00015E81">
        <w:rPr>
          <w:rFonts w:ascii="Arial" w:hAnsi="Arial" w:cs="Arial"/>
          <w:sz w:val="22"/>
          <w:szCs w:val="22"/>
        </w:rPr>
        <w:t xml:space="preserve">In addition to its main hospital campus, BMC </w:t>
      </w:r>
      <w:r w:rsidR="00C14937">
        <w:rPr>
          <w:rFonts w:ascii="Arial" w:hAnsi="Arial" w:cs="Arial"/>
          <w:sz w:val="22"/>
          <w:szCs w:val="22"/>
        </w:rPr>
        <w:t xml:space="preserve">also </w:t>
      </w:r>
      <w:r w:rsidRPr="00015E81">
        <w:rPr>
          <w:rFonts w:ascii="Arial" w:hAnsi="Arial" w:cs="Arial"/>
          <w:sz w:val="22"/>
          <w:szCs w:val="22"/>
        </w:rPr>
        <w:t>offers services to patients through various hospital satellite</w:t>
      </w:r>
      <w:r w:rsidR="00F5471F" w:rsidRPr="00015E81">
        <w:rPr>
          <w:rFonts w:ascii="Arial" w:hAnsi="Arial" w:cs="Arial"/>
          <w:sz w:val="22"/>
          <w:szCs w:val="22"/>
        </w:rPr>
        <w:t>s,</w:t>
      </w:r>
      <w:r w:rsidRPr="00015E81">
        <w:rPr>
          <w:rFonts w:ascii="Arial" w:hAnsi="Arial" w:cs="Arial"/>
          <w:sz w:val="22"/>
          <w:szCs w:val="22"/>
        </w:rPr>
        <w:t xml:space="preserve"> school-based health center</w:t>
      </w:r>
      <w:r w:rsidR="00F5471F" w:rsidRPr="00015E81">
        <w:rPr>
          <w:rFonts w:ascii="Arial" w:hAnsi="Arial" w:cs="Arial"/>
          <w:sz w:val="22"/>
          <w:szCs w:val="22"/>
        </w:rPr>
        <w:t>s, and physician group location</w:t>
      </w:r>
      <w:r w:rsidR="00485707" w:rsidRPr="00015E81">
        <w:rPr>
          <w:rFonts w:ascii="Arial" w:hAnsi="Arial" w:cs="Arial"/>
          <w:sz w:val="22"/>
          <w:szCs w:val="22"/>
        </w:rPr>
        <w:t>s</w:t>
      </w:r>
      <w:r w:rsidR="009D6A08" w:rsidRPr="00015E81">
        <w:rPr>
          <w:rFonts w:ascii="Arial" w:hAnsi="Arial" w:cs="Arial"/>
          <w:sz w:val="22"/>
          <w:szCs w:val="22"/>
        </w:rPr>
        <w:t xml:space="preserve">. </w:t>
      </w:r>
      <w:r w:rsidR="00E4589B" w:rsidRPr="00015E81">
        <w:rPr>
          <w:rFonts w:ascii="Arial" w:hAnsi="Arial" w:cs="Arial"/>
          <w:sz w:val="22"/>
          <w:szCs w:val="22"/>
        </w:rPr>
        <w:t>With regard to its physician groups</w:t>
      </w:r>
      <w:r w:rsidR="009D6A08" w:rsidRPr="00015E81">
        <w:rPr>
          <w:rFonts w:ascii="Arial" w:hAnsi="Arial" w:cs="Arial"/>
          <w:sz w:val="22"/>
          <w:szCs w:val="22"/>
        </w:rPr>
        <w:t>, BMC operates Boston University Affiliated Physicians, Inc. (“BUAP”), a non-profit corporation that employs physicians in Boston to provide health</w:t>
      </w:r>
      <w:r w:rsidR="00CF77C3">
        <w:rPr>
          <w:rFonts w:ascii="Arial" w:hAnsi="Arial" w:cs="Arial"/>
          <w:sz w:val="22"/>
          <w:szCs w:val="22"/>
        </w:rPr>
        <w:t xml:space="preserve"> </w:t>
      </w:r>
      <w:r w:rsidR="009D6A08" w:rsidRPr="00015E81">
        <w:rPr>
          <w:rFonts w:ascii="Arial" w:hAnsi="Arial" w:cs="Arial"/>
          <w:sz w:val="22"/>
          <w:szCs w:val="22"/>
        </w:rPr>
        <w:t>care services, perform medical and clinical research, and provide health and medical education programs</w:t>
      </w:r>
      <w:r w:rsidR="001C3BC7">
        <w:rPr>
          <w:rFonts w:ascii="Arial" w:hAnsi="Arial" w:cs="Arial"/>
          <w:sz w:val="22"/>
          <w:szCs w:val="22"/>
        </w:rPr>
        <w:t xml:space="preserve">. </w:t>
      </w:r>
      <w:r w:rsidR="00E65E42">
        <w:rPr>
          <w:rFonts w:ascii="Arial" w:hAnsi="Arial" w:cs="Arial"/>
          <w:sz w:val="22"/>
          <w:szCs w:val="22"/>
        </w:rPr>
        <w:t>Additionally</w:t>
      </w:r>
      <w:r w:rsidR="001C3BC7">
        <w:rPr>
          <w:rFonts w:ascii="Arial" w:hAnsi="Arial" w:cs="Arial"/>
          <w:sz w:val="22"/>
          <w:szCs w:val="22"/>
        </w:rPr>
        <w:t>,</w:t>
      </w:r>
      <w:r w:rsidR="00E65E42">
        <w:rPr>
          <w:rFonts w:ascii="Arial" w:hAnsi="Arial" w:cs="Arial"/>
          <w:sz w:val="22"/>
          <w:szCs w:val="22"/>
        </w:rPr>
        <w:t xml:space="preserve"> BMC operates Faculty Practice Foundation, Inc., d/b/a Boston </w:t>
      </w:r>
      <w:r w:rsidR="009D6A08" w:rsidRPr="00015E81">
        <w:rPr>
          <w:rFonts w:ascii="Arial" w:hAnsi="Arial" w:cs="Arial"/>
          <w:sz w:val="22"/>
          <w:szCs w:val="22"/>
        </w:rPr>
        <w:t>University Medical Group (“BUMG”),</w:t>
      </w:r>
      <w:r w:rsidR="00FB167B">
        <w:rPr>
          <w:rFonts w:ascii="ZWAdobeF" w:hAnsi="ZWAdobeF" w:cs="ZWAdobeF"/>
          <w:sz w:val="2"/>
          <w:szCs w:val="2"/>
        </w:rPr>
        <w:t>1F</w:t>
      </w:r>
      <w:r w:rsidR="009D6A08" w:rsidRPr="00015E81">
        <w:rPr>
          <w:rStyle w:val="FootnoteReference"/>
          <w:rFonts w:ascii="Arial" w:hAnsi="Arial" w:cs="Arial"/>
          <w:sz w:val="22"/>
          <w:szCs w:val="22"/>
        </w:rPr>
        <w:footnoteReference w:id="2"/>
      </w:r>
      <w:r w:rsidR="009D6A08" w:rsidRPr="00015E81">
        <w:rPr>
          <w:rFonts w:ascii="Arial" w:hAnsi="Arial" w:cs="Arial"/>
          <w:sz w:val="22"/>
          <w:szCs w:val="22"/>
        </w:rPr>
        <w:t xml:space="preserve"> a non-profit integrated multi-specialty academic group practice that represents over </w:t>
      </w:r>
      <w:r w:rsidR="008F043A">
        <w:rPr>
          <w:rFonts w:ascii="Arial" w:hAnsi="Arial" w:cs="Arial"/>
          <w:sz w:val="22"/>
          <w:szCs w:val="22"/>
        </w:rPr>
        <w:t>88</w:t>
      </w:r>
      <w:r w:rsidR="009D6A08" w:rsidRPr="00015E81">
        <w:rPr>
          <w:rFonts w:ascii="Arial" w:hAnsi="Arial" w:cs="Arial"/>
          <w:sz w:val="22"/>
          <w:szCs w:val="22"/>
        </w:rPr>
        <w:t xml:space="preserve">0 physicians, non-physician clinicians, educators, </w:t>
      </w:r>
      <w:r w:rsidR="009D6A08" w:rsidRPr="00C211D7">
        <w:rPr>
          <w:rFonts w:ascii="Arial" w:hAnsi="Arial" w:cs="Arial"/>
          <w:sz w:val="22"/>
          <w:szCs w:val="22"/>
        </w:rPr>
        <w:t>and researchers across 18 clinical departments at BMC and coordinates the delivery of managed care services by its physician organizations known as faculty practice plans (“FPPs”).</w:t>
      </w:r>
      <w:r w:rsidR="00C211D7" w:rsidRPr="00C211D7">
        <w:rPr>
          <w:rFonts w:ascii="Arial" w:hAnsi="Arial" w:cs="Arial"/>
          <w:sz w:val="22"/>
          <w:szCs w:val="22"/>
        </w:rPr>
        <w:t xml:space="preserve"> </w:t>
      </w:r>
      <w:r w:rsidR="009D6A08" w:rsidRPr="00C211D7">
        <w:rPr>
          <w:rFonts w:ascii="Arial" w:hAnsi="Arial" w:cs="Arial"/>
          <w:sz w:val="22"/>
          <w:szCs w:val="22"/>
        </w:rPr>
        <w:t xml:space="preserve">BMC </w:t>
      </w:r>
      <w:r w:rsidR="00D0611A" w:rsidRPr="00C211D7">
        <w:rPr>
          <w:rFonts w:ascii="Arial" w:hAnsi="Arial" w:cs="Arial"/>
          <w:sz w:val="22"/>
          <w:szCs w:val="22"/>
        </w:rPr>
        <w:t xml:space="preserve">also </w:t>
      </w:r>
      <w:r w:rsidRPr="00C211D7">
        <w:rPr>
          <w:rFonts w:ascii="Arial" w:hAnsi="Arial" w:cs="Arial"/>
          <w:sz w:val="22"/>
          <w:szCs w:val="22"/>
        </w:rPr>
        <w:t xml:space="preserve">partners with various community health centers </w:t>
      </w:r>
      <w:r w:rsidR="007609CA">
        <w:rPr>
          <w:rFonts w:ascii="Arial" w:hAnsi="Arial" w:cs="Arial"/>
          <w:sz w:val="22"/>
          <w:szCs w:val="22"/>
        </w:rPr>
        <w:t xml:space="preserve">(“CHCs”) </w:t>
      </w:r>
      <w:r w:rsidRPr="00C211D7">
        <w:rPr>
          <w:rFonts w:ascii="Arial" w:hAnsi="Arial" w:cs="Arial"/>
          <w:sz w:val="22"/>
          <w:szCs w:val="22"/>
        </w:rPr>
        <w:t>to meet patients’ health</w:t>
      </w:r>
      <w:r w:rsidR="00CF77C3">
        <w:rPr>
          <w:rFonts w:ascii="Arial" w:hAnsi="Arial" w:cs="Arial"/>
          <w:sz w:val="22"/>
          <w:szCs w:val="22"/>
        </w:rPr>
        <w:t xml:space="preserve"> </w:t>
      </w:r>
      <w:r w:rsidRPr="00C211D7">
        <w:rPr>
          <w:rFonts w:ascii="Arial" w:hAnsi="Arial" w:cs="Arial"/>
          <w:sz w:val="22"/>
          <w:szCs w:val="22"/>
        </w:rPr>
        <w:t>care needs in the communities where they live</w:t>
      </w:r>
      <w:r w:rsidR="005342C2">
        <w:rPr>
          <w:rFonts w:ascii="Arial" w:hAnsi="Arial" w:cs="Arial"/>
          <w:sz w:val="22"/>
          <w:szCs w:val="22"/>
        </w:rPr>
        <w:t xml:space="preserve">, and participates with such </w:t>
      </w:r>
      <w:r w:rsidR="007609CA">
        <w:rPr>
          <w:rFonts w:ascii="Arial" w:hAnsi="Arial" w:cs="Arial"/>
          <w:sz w:val="22"/>
          <w:szCs w:val="22"/>
        </w:rPr>
        <w:t>CHC</w:t>
      </w:r>
      <w:r w:rsidR="009C3173">
        <w:rPr>
          <w:rFonts w:ascii="Arial" w:hAnsi="Arial" w:cs="Arial"/>
          <w:sz w:val="22"/>
          <w:szCs w:val="22"/>
        </w:rPr>
        <w:t>s</w:t>
      </w:r>
      <w:r w:rsidR="005342C2">
        <w:rPr>
          <w:rFonts w:ascii="Arial" w:hAnsi="Arial" w:cs="Arial"/>
          <w:sz w:val="22"/>
          <w:szCs w:val="22"/>
        </w:rPr>
        <w:t xml:space="preserve"> and </w:t>
      </w:r>
      <w:r w:rsidR="00F36025">
        <w:rPr>
          <w:rFonts w:ascii="Arial" w:hAnsi="Arial" w:cs="Arial"/>
          <w:sz w:val="22"/>
          <w:szCs w:val="22"/>
        </w:rPr>
        <w:t>other provider</w:t>
      </w:r>
      <w:r w:rsidR="008F6129">
        <w:rPr>
          <w:rFonts w:ascii="Arial" w:hAnsi="Arial" w:cs="Arial"/>
          <w:sz w:val="22"/>
          <w:szCs w:val="22"/>
        </w:rPr>
        <w:t xml:space="preserve"> organizations</w:t>
      </w:r>
      <w:r w:rsidR="005342C2">
        <w:rPr>
          <w:rFonts w:ascii="Arial" w:hAnsi="Arial" w:cs="Arial"/>
          <w:sz w:val="22"/>
          <w:szCs w:val="22"/>
        </w:rPr>
        <w:t xml:space="preserve"> as part of the Boston Accountable Care Organization (“BACO”)</w:t>
      </w:r>
      <w:r w:rsidRPr="00C211D7">
        <w:rPr>
          <w:rFonts w:ascii="Arial" w:hAnsi="Arial" w:cs="Arial"/>
          <w:sz w:val="22"/>
          <w:szCs w:val="22"/>
        </w:rPr>
        <w:t>.</w:t>
      </w:r>
      <w:r w:rsidR="00D0611A" w:rsidRPr="00C211D7">
        <w:rPr>
          <w:rFonts w:ascii="Arial" w:hAnsi="Arial" w:cs="Arial"/>
          <w:sz w:val="22"/>
          <w:szCs w:val="22"/>
        </w:rPr>
        <w:t xml:space="preserve"> </w:t>
      </w:r>
      <w:r w:rsidR="00485707" w:rsidRPr="00C211D7">
        <w:rPr>
          <w:rFonts w:ascii="Arial" w:hAnsi="Arial" w:cs="Arial"/>
          <w:sz w:val="22"/>
          <w:szCs w:val="22"/>
        </w:rPr>
        <w:t xml:space="preserve">Together with its </w:t>
      </w:r>
      <w:r w:rsidR="00C211D7" w:rsidRPr="00C211D7">
        <w:rPr>
          <w:rFonts w:ascii="Arial" w:hAnsi="Arial" w:cs="Arial"/>
          <w:sz w:val="22"/>
          <w:szCs w:val="22"/>
        </w:rPr>
        <w:t>affiliates</w:t>
      </w:r>
      <w:r w:rsidR="00485707" w:rsidRPr="00C211D7">
        <w:rPr>
          <w:rFonts w:ascii="Arial" w:hAnsi="Arial" w:cs="Arial"/>
          <w:sz w:val="22"/>
          <w:szCs w:val="22"/>
        </w:rPr>
        <w:t xml:space="preserve"> and </w:t>
      </w:r>
      <w:r w:rsidR="007609CA">
        <w:rPr>
          <w:rFonts w:ascii="Arial" w:hAnsi="Arial" w:cs="Arial"/>
          <w:sz w:val="22"/>
          <w:szCs w:val="22"/>
        </w:rPr>
        <w:t>CHC</w:t>
      </w:r>
      <w:r w:rsidR="00485707" w:rsidRPr="00C211D7">
        <w:rPr>
          <w:rFonts w:ascii="Arial" w:hAnsi="Arial" w:cs="Arial"/>
          <w:sz w:val="22"/>
          <w:szCs w:val="22"/>
        </w:rPr>
        <w:t xml:space="preserve"> partners, BMC provides an integrated system of health</w:t>
      </w:r>
      <w:r w:rsidR="00CF77C3">
        <w:rPr>
          <w:rFonts w:ascii="Arial" w:hAnsi="Arial" w:cs="Arial"/>
          <w:sz w:val="22"/>
          <w:szCs w:val="22"/>
        </w:rPr>
        <w:t xml:space="preserve"> </w:t>
      </w:r>
      <w:r w:rsidR="00485707" w:rsidRPr="00C211D7">
        <w:rPr>
          <w:rFonts w:ascii="Arial" w:hAnsi="Arial" w:cs="Arial"/>
          <w:sz w:val="22"/>
          <w:szCs w:val="22"/>
        </w:rPr>
        <w:t xml:space="preserve">care delivery to ensure that vulnerable and underserved populations in the Boston metropolitan area have access to </w:t>
      </w:r>
      <w:r w:rsidR="008F6129">
        <w:rPr>
          <w:rFonts w:ascii="Arial" w:hAnsi="Arial" w:cs="Arial"/>
          <w:sz w:val="22"/>
          <w:szCs w:val="22"/>
        </w:rPr>
        <w:t xml:space="preserve">coordinated, </w:t>
      </w:r>
      <w:r w:rsidR="00485707" w:rsidRPr="00C211D7">
        <w:rPr>
          <w:rFonts w:ascii="Arial" w:hAnsi="Arial" w:cs="Arial"/>
          <w:sz w:val="22"/>
          <w:szCs w:val="22"/>
        </w:rPr>
        <w:t>high-quality</w:t>
      </w:r>
      <w:r w:rsidR="008F6129">
        <w:rPr>
          <w:rFonts w:ascii="Arial" w:hAnsi="Arial" w:cs="Arial"/>
          <w:sz w:val="22"/>
          <w:szCs w:val="22"/>
        </w:rPr>
        <w:t xml:space="preserve">, </w:t>
      </w:r>
      <w:r w:rsidR="007C4352">
        <w:rPr>
          <w:rFonts w:ascii="Arial" w:hAnsi="Arial" w:cs="Arial"/>
          <w:sz w:val="22"/>
          <w:szCs w:val="22"/>
        </w:rPr>
        <w:t xml:space="preserve">and </w:t>
      </w:r>
      <w:r w:rsidR="008F6129">
        <w:rPr>
          <w:rFonts w:ascii="Arial" w:hAnsi="Arial" w:cs="Arial"/>
          <w:sz w:val="22"/>
          <w:szCs w:val="22"/>
        </w:rPr>
        <w:t xml:space="preserve">cost-effective </w:t>
      </w:r>
      <w:r w:rsidR="00485707" w:rsidRPr="00C211D7">
        <w:rPr>
          <w:rFonts w:ascii="Arial" w:hAnsi="Arial" w:cs="Arial"/>
          <w:sz w:val="22"/>
          <w:szCs w:val="22"/>
        </w:rPr>
        <w:t>primary, specialty, and tertiary car</w:t>
      </w:r>
      <w:r w:rsidR="005342C2">
        <w:rPr>
          <w:rFonts w:ascii="Arial" w:hAnsi="Arial" w:cs="Arial"/>
          <w:sz w:val="22"/>
          <w:szCs w:val="22"/>
        </w:rPr>
        <w:t>e that meets individual patients’ needs and preferences</w:t>
      </w:r>
      <w:r w:rsidR="00485707" w:rsidRPr="00C211D7">
        <w:rPr>
          <w:rFonts w:ascii="Arial" w:hAnsi="Arial" w:cs="Arial"/>
          <w:sz w:val="22"/>
          <w:szCs w:val="22"/>
        </w:rPr>
        <w:t>.</w:t>
      </w:r>
    </w:p>
    <w:p w14:paraId="48B6F276" w14:textId="3B83EEC5" w:rsidR="008F6129" w:rsidRDefault="008F6129" w:rsidP="00E6464C">
      <w:pPr>
        <w:pStyle w:val="NormalWeb"/>
        <w:spacing w:before="0" w:beforeAutospacing="0" w:after="0" w:afterAutospacing="0"/>
        <w:jc w:val="both"/>
        <w:rPr>
          <w:rFonts w:ascii="Arial" w:hAnsi="Arial" w:cs="Arial"/>
          <w:sz w:val="22"/>
          <w:szCs w:val="22"/>
        </w:rPr>
      </w:pPr>
    </w:p>
    <w:p w14:paraId="4F6BD7F4" w14:textId="5D56D4AF" w:rsidR="004E5F4C" w:rsidRPr="00B53310" w:rsidRDefault="004E5F4C" w:rsidP="004E5F4C">
      <w:pPr>
        <w:pStyle w:val="NormalWeb"/>
        <w:numPr>
          <w:ilvl w:val="0"/>
          <w:numId w:val="1"/>
        </w:numPr>
        <w:spacing w:before="0" w:beforeAutospacing="0" w:after="0" w:afterAutospacing="0"/>
        <w:ind w:left="360"/>
        <w:jc w:val="both"/>
        <w:rPr>
          <w:rFonts w:ascii="Arial" w:hAnsi="Arial" w:cs="Arial"/>
          <w:smallCaps/>
          <w:sz w:val="22"/>
          <w:szCs w:val="22"/>
          <w:u w:val="single"/>
        </w:rPr>
      </w:pPr>
      <w:r w:rsidRPr="00B53310">
        <w:rPr>
          <w:rFonts w:ascii="Arial" w:hAnsi="Arial" w:cs="Arial"/>
          <w:smallCaps/>
          <w:sz w:val="22"/>
          <w:szCs w:val="22"/>
          <w:u w:val="single"/>
        </w:rPr>
        <w:t>Patient Panel Data</w:t>
      </w:r>
    </w:p>
    <w:p w14:paraId="672A22A7" w14:textId="77777777" w:rsidR="004E5F4C" w:rsidRPr="004E5F4C" w:rsidRDefault="004E5F4C" w:rsidP="004E5F4C">
      <w:pPr>
        <w:pStyle w:val="NormalWeb"/>
        <w:spacing w:before="0" w:beforeAutospacing="0" w:after="0" w:afterAutospacing="0"/>
        <w:ind w:left="360"/>
        <w:jc w:val="both"/>
        <w:rPr>
          <w:rFonts w:ascii="Arial" w:hAnsi="Arial" w:cs="Arial"/>
          <w:sz w:val="22"/>
          <w:szCs w:val="22"/>
          <w:u w:val="single"/>
        </w:rPr>
      </w:pPr>
    </w:p>
    <w:p w14:paraId="1EB1AFCB" w14:textId="20532FCA" w:rsidR="004E5F4C" w:rsidRPr="00ED172C" w:rsidRDefault="004E5F4C" w:rsidP="00B53310">
      <w:pPr>
        <w:pStyle w:val="NormalWeb"/>
        <w:numPr>
          <w:ilvl w:val="2"/>
          <w:numId w:val="4"/>
        </w:numPr>
        <w:spacing w:before="0" w:beforeAutospacing="0" w:after="0" w:afterAutospacing="0"/>
        <w:ind w:left="720"/>
        <w:jc w:val="both"/>
        <w:rPr>
          <w:rFonts w:ascii="Arial" w:hAnsi="Arial" w:cs="Arial"/>
          <w:sz w:val="22"/>
          <w:szCs w:val="22"/>
          <w:u w:val="single"/>
        </w:rPr>
      </w:pPr>
      <w:r w:rsidRPr="00ED172C">
        <w:rPr>
          <w:rFonts w:ascii="Arial" w:hAnsi="Arial" w:cs="Arial"/>
          <w:sz w:val="22"/>
          <w:szCs w:val="22"/>
          <w:u w:val="single"/>
        </w:rPr>
        <w:t>BMC’s Overall Patient Panel</w:t>
      </w:r>
      <w:r w:rsidR="00FB167B">
        <w:rPr>
          <w:rFonts w:ascii="ZWAdobeF" w:hAnsi="ZWAdobeF" w:cs="ZWAdobeF"/>
          <w:sz w:val="2"/>
          <w:szCs w:val="2"/>
        </w:rPr>
        <w:t>2F</w:t>
      </w:r>
      <w:r w:rsidR="007B24DE" w:rsidRPr="00DB7E66">
        <w:rPr>
          <w:rStyle w:val="FootnoteReference"/>
          <w:rFonts w:ascii="Arial" w:hAnsi="Arial" w:cs="Arial"/>
          <w:sz w:val="22"/>
          <w:szCs w:val="22"/>
        </w:rPr>
        <w:footnoteReference w:id="3"/>
      </w:r>
    </w:p>
    <w:p w14:paraId="10823CB4" w14:textId="77777777" w:rsidR="004E5F4C" w:rsidRPr="007F4BDF" w:rsidRDefault="004E5F4C" w:rsidP="004E5F4C">
      <w:pPr>
        <w:pStyle w:val="NormalWeb"/>
        <w:spacing w:before="0" w:beforeAutospacing="0" w:after="0" w:afterAutospacing="0"/>
        <w:ind w:left="360"/>
        <w:jc w:val="both"/>
        <w:rPr>
          <w:rFonts w:ascii="Arial" w:hAnsi="Arial" w:cs="Arial"/>
          <w:sz w:val="22"/>
          <w:szCs w:val="22"/>
        </w:rPr>
      </w:pPr>
    </w:p>
    <w:p w14:paraId="3547F21D" w14:textId="325D281C" w:rsidR="00B03A5B" w:rsidRDefault="001227D8" w:rsidP="00A1010D">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outlined in Table </w:t>
      </w:r>
      <w:r w:rsidR="00020AF7">
        <w:rPr>
          <w:rFonts w:ascii="Arial" w:hAnsi="Arial" w:cs="Arial"/>
          <w:sz w:val="22"/>
          <w:szCs w:val="22"/>
        </w:rPr>
        <w:t>1</w:t>
      </w:r>
      <w:r>
        <w:rPr>
          <w:rFonts w:ascii="Arial" w:hAnsi="Arial" w:cs="Arial"/>
          <w:sz w:val="22"/>
          <w:szCs w:val="22"/>
        </w:rPr>
        <w:t>, u</w:t>
      </w:r>
      <w:r w:rsidR="00CD3CE8" w:rsidRPr="007F4BDF">
        <w:rPr>
          <w:rFonts w:ascii="Arial" w:hAnsi="Arial" w:cs="Arial"/>
          <w:sz w:val="22"/>
          <w:szCs w:val="22"/>
        </w:rPr>
        <w:t>tilization data for the 36-month period covering FY19</w:t>
      </w:r>
      <w:r w:rsidR="007F4BDF">
        <w:rPr>
          <w:rFonts w:ascii="Arial" w:hAnsi="Arial" w:cs="Arial"/>
          <w:sz w:val="22"/>
          <w:szCs w:val="22"/>
        </w:rPr>
        <w:t xml:space="preserve"> through FY</w:t>
      </w:r>
      <w:r w:rsidR="00CD3CE8" w:rsidRPr="007F4BDF">
        <w:rPr>
          <w:rFonts w:ascii="Arial" w:hAnsi="Arial" w:cs="Arial"/>
          <w:sz w:val="22"/>
          <w:szCs w:val="22"/>
        </w:rPr>
        <w:t xml:space="preserve">21 and preliminary data </w:t>
      </w:r>
      <w:r w:rsidR="007F4BDF" w:rsidRPr="007F4BDF">
        <w:rPr>
          <w:rFonts w:ascii="Arial" w:hAnsi="Arial" w:cs="Arial"/>
          <w:sz w:val="22"/>
          <w:szCs w:val="22"/>
        </w:rPr>
        <w:t>for FY22</w:t>
      </w:r>
      <w:r w:rsidR="00C211D7">
        <w:rPr>
          <w:rFonts w:ascii="Arial" w:hAnsi="Arial" w:cs="Arial"/>
          <w:sz w:val="22"/>
          <w:szCs w:val="22"/>
        </w:rPr>
        <w:t xml:space="preserve"> demonstrate that BMC serves a large and diverse</w:t>
      </w:r>
      <w:r w:rsidR="00C211D7" w:rsidRPr="007F4BDF">
        <w:rPr>
          <w:rFonts w:ascii="Arial" w:hAnsi="Arial" w:cs="Arial"/>
          <w:sz w:val="22"/>
          <w:szCs w:val="22"/>
        </w:rPr>
        <w:t xml:space="preserve"> patient panel</w:t>
      </w:r>
      <w:r w:rsidR="00C211D7">
        <w:rPr>
          <w:rFonts w:ascii="Arial" w:hAnsi="Arial" w:cs="Arial"/>
          <w:sz w:val="22"/>
          <w:szCs w:val="22"/>
        </w:rPr>
        <w:t>.</w:t>
      </w:r>
      <w:r>
        <w:rPr>
          <w:rFonts w:ascii="Arial" w:hAnsi="Arial" w:cs="Arial"/>
          <w:sz w:val="22"/>
          <w:szCs w:val="22"/>
        </w:rPr>
        <w:t xml:space="preserve"> </w:t>
      </w:r>
      <w:r w:rsidR="001E74E6">
        <w:rPr>
          <w:rFonts w:ascii="Arial" w:hAnsi="Arial" w:cs="Arial"/>
          <w:sz w:val="22"/>
          <w:szCs w:val="22"/>
        </w:rPr>
        <w:t xml:space="preserve">Despite decreasing slightly in FY20 during the height of the COVID-19 pandemic, </w:t>
      </w:r>
      <w:r w:rsidR="00DB4471">
        <w:rPr>
          <w:rFonts w:ascii="Arial" w:hAnsi="Arial" w:cs="Arial"/>
          <w:sz w:val="22"/>
          <w:szCs w:val="22"/>
        </w:rPr>
        <w:t xml:space="preserve">BMC’s </w:t>
      </w:r>
      <w:r w:rsidR="00C84063">
        <w:rPr>
          <w:rFonts w:ascii="Arial" w:hAnsi="Arial" w:cs="Arial"/>
          <w:sz w:val="22"/>
          <w:szCs w:val="22"/>
        </w:rPr>
        <w:t>patient panel</w:t>
      </w:r>
      <w:r w:rsidR="00DB4471">
        <w:rPr>
          <w:rFonts w:ascii="Arial" w:hAnsi="Arial" w:cs="Arial"/>
          <w:sz w:val="22"/>
          <w:szCs w:val="22"/>
        </w:rPr>
        <w:t xml:space="preserve"> increased overall between FY19 and FY21</w:t>
      </w:r>
      <w:r w:rsidR="00A1010D">
        <w:rPr>
          <w:rFonts w:ascii="Arial" w:hAnsi="Arial" w:cs="Arial"/>
          <w:sz w:val="22"/>
          <w:szCs w:val="22"/>
        </w:rPr>
        <w:t xml:space="preserve">, from 228,138 patients and </w:t>
      </w:r>
      <w:r w:rsidR="000E4732">
        <w:rPr>
          <w:rFonts w:ascii="Arial" w:hAnsi="Arial" w:cs="Arial"/>
          <w:sz w:val="22"/>
          <w:szCs w:val="22"/>
        </w:rPr>
        <w:t>1,073,269</w:t>
      </w:r>
      <w:r w:rsidR="00A1010D">
        <w:rPr>
          <w:rFonts w:ascii="Arial" w:hAnsi="Arial" w:cs="Arial"/>
          <w:sz w:val="22"/>
          <w:szCs w:val="22"/>
        </w:rPr>
        <w:t xml:space="preserve"> encounters in FY19 to 299,258 patients and </w:t>
      </w:r>
      <w:r w:rsidR="000E4732">
        <w:rPr>
          <w:rFonts w:ascii="Arial" w:hAnsi="Arial" w:cs="Arial"/>
          <w:sz w:val="22"/>
          <w:szCs w:val="22"/>
        </w:rPr>
        <w:t xml:space="preserve">1,378,548 </w:t>
      </w:r>
      <w:r w:rsidR="004D2E94">
        <w:rPr>
          <w:rFonts w:ascii="Arial" w:hAnsi="Arial" w:cs="Arial"/>
          <w:sz w:val="22"/>
          <w:szCs w:val="22"/>
        </w:rPr>
        <w:t>encounters</w:t>
      </w:r>
      <w:r w:rsidR="00A1010D">
        <w:rPr>
          <w:rFonts w:ascii="Arial" w:hAnsi="Arial" w:cs="Arial"/>
          <w:sz w:val="22"/>
          <w:szCs w:val="22"/>
        </w:rPr>
        <w:t xml:space="preserve"> in FY2021</w:t>
      </w:r>
      <w:r w:rsidR="00A1010D" w:rsidRPr="00322D37">
        <w:rPr>
          <w:rFonts w:ascii="Arial" w:hAnsi="Arial" w:cs="Arial"/>
          <w:sz w:val="22"/>
          <w:szCs w:val="22"/>
        </w:rPr>
        <w:t>.</w:t>
      </w:r>
      <w:r w:rsidR="00F44445" w:rsidRPr="00322D37">
        <w:rPr>
          <w:rFonts w:ascii="Arial" w:hAnsi="Arial" w:cs="Arial"/>
          <w:sz w:val="22"/>
          <w:szCs w:val="22"/>
        </w:rPr>
        <w:t xml:space="preserve"> Significantly, the Applicant notes that the Hospital experienced increases in its patient panel over this time period even after accounting for utilization attributed solely to COVID-19 testing and vaccinations</w:t>
      </w:r>
      <w:r w:rsidR="0094066E" w:rsidRPr="00322D37">
        <w:rPr>
          <w:rFonts w:ascii="Arial" w:hAnsi="Arial" w:cs="Arial"/>
          <w:sz w:val="22"/>
          <w:szCs w:val="22"/>
        </w:rPr>
        <w:t>.</w:t>
      </w:r>
      <w:r w:rsidR="00FB167B">
        <w:rPr>
          <w:rFonts w:ascii="ZWAdobeF" w:hAnsi="ZWAdobeF" w:cs="ZWAdobeF"/>
          <w:sz w:val="2"/>
          <w:szCs w:val="2"/>
        </w:rPr>
        <w:t>3F</w:t>
      </w:r>
      <w:r w:rsidR="0094066E" w:rsidRPr="00322D37">
        <w:rPr>
          <w:rStyle w:val="FootnoteReference"/>
          <w:rFonts w:ascii="Arial" w:hAnsi="Arial" w:cs="Arial"/>
          <w:sz w:val="22"/>
          <w:szCs w:val="22"/>
        </w:rPr>
        <w:footnoteReference w:id="4"/>
      </w:r>
      <w:r w:rsidR="00DB4471">
        <w:rPr>
          <w:rFonts w:ascii="Arial" w:hAnsi="Arial" w:cs="Arial"/>
          <w:sz w:val="22"/>
          <w:szCs w:val="22"/>
        </w:rPr>
        <w:t xml:space="preserve"> </w:t>
      </w:r>
      <w:r w:rsidR="00DB16FE">
        <w:rPr>
          <w:rFonts w:ascii="Arial" w:hAnsi="Arial" w:cs="Arial"/>
          <w:sz w:val="22"/>
          <w:szCs w:val="22"/>
        </w:rPr>
        <w:t xml:space="preserve"> </w:t>
      </w:r>
    </w:p>
    <w:p w14:paraId="7EE4C0EE" w14:textId="77777777" w:rsidR="00B03A5B" w:rsidRDefault="00B03A5B" w:rsidP="00727C10">
      <w:pPr>
        <w:pStyle w:val="NormalWeb"/>
        <w:spacing w:before="0" w:beforeAutospacing="0" w:after="0" w:afterAutospacing="0"/>
        <w:jc w:val="both"/>
        <w:rPr>
          <w:rFonts w:ascii="Arial" w:hAnsi="Arial" w:cs="Arial"/>
          <w:sz w:val="22"/>
          <w:szCs w:val="22"/>
        </w:rPr>
      </w:pPr>
    </w:p>
    <w:p w14:paraId="2CB01005" w14:textId="7AC4DC4C" w:rsidR="007B24DE" w:rsidRDefault="00C0094E" w:rsidP="007F4BDF">
      <w:pPr>
        <w:pStyle w:val="NormalWeb"/>
        <w:spacing w:before="0" w:beforeAutospacing="0" w:after="0" w:afterAutospacing="0"/>
        <w:jc w:val="both"/>
        <w:rPr>
          <w:rFonts w:ascii="ArialMT" w:hAnsi="ArialMT"/>
          <w:sz w:val="22"/>
          <w:szCs w:val="22"/>
        </w:rPr>
      </w:pPr>
      <w:r>
        <w:rPr>
          <w:rFonts w:ascii="ArialMT" w:hAnsi="ArialMT"/>
          <w:sz w:val="22"/>
          <w:szCs w:val="22"/>
        </w:rPr>
        <w:t>Wit</w:t>
      </w:r>
      <w:r w:rsidR="00362443">
        <w:rPr>
          <w:rFonts w:ascii="ArialMT" w:hAnsi="ArialMT"/>
          <w:sz w:val="22"/>
          <w:szCs w:val="22"/>
        </w:rPr>
        <w:t>h</w:t>
      </w:r>
      <w:r>
        <w:rPr>
          <w:rFonts w:ascii="ArialMT" w:hAnsi="ArialMT"/>
          <w:sz w:val="22"/>
          <w:szCs w:val="22"/>
        </w:rPr>
        <w:t xml:space="preserve"> regard to</w:t>
      </w:r>
      <w:r w:rsidR="00EB3E20">
        <w:rPr>
          <w:rFonts w:ascii="ArialMT" w:hAnsi="ArialMT"/>
          <w:sz w:val="22"/>
          <w:szCs w:val="22"/>
        </w:rPr>
        <w:t xml:space="preserve"> gender, </w:t>
      </w:r>
      <w:r w:rsidR="00C86D87">
        <w:rPr>
          <w:rFonts w:ascii="ArialMT" w:hAnsi="ArialMT"/>
          <w:sz w:val="22"/>
          <w:szCs w:val="22"/>
        </w:rPr>
        <w:t xml:space="preserve">BMC’s patient </w:t>
      </w:r>
      <w:r w:rsidR="009A20AA">
        <w:rPr>
          <w:rFonts w:ascii="ArialMT" w:hAnsi="ArialMT"/>
          <w:sz w:val="22"/>
          <w:szCs w:val="22"/>
        </w:rPr>
        <w:t>panel</w:t>
      </w:r>
      <w:r w:rsidR="00C86D87">
        <w:rPr>
          <w:rFonts w:ascii="ArialMT" w:hAnsi="ArialMT"/>
          <w:sz w:val="22"/>
          <w:szCs w:val="22"/>
        </w:rPr>
        <w:t xml:space="preserve"> consists of approximately 55.1% females and </w:t>
      </w:r>
      <w:r w:rsidR="00B03A5B">
        <w:rPr>
          <w:rFonts w:ascii="ArialMT" w:hAnsi="ArialMT"/>
          <w:sz w:val="22"/>
          <w:szCs w:val="22"/>
        </w:rPr>
        <w:t xml:space="preserve">44.8% </w:t>
      </w:r>
      <w:r w:rsidR="009A20AA">
        <w:rPr>
          <w:rFonts w:ascii="ArialMT" w:hAnsi="ArialMT"/>
          <w:sz w:val="22"/>
          <w:szCs w:val="22"/>
        </w:rPr>
        <w:t xml:space="preserve">males </w:t>
      </w:r>
      <w:r w:rsidR="00C86D87">
        <w:rPr>
          <w:rFonts w:ascii="ArialMT" w:hAnsi="ArialMT"/>
          <w:sz w:val="22"/>
          <w:szCs w:val="22"/>
        </w:rPr>
        <w:t>based on FY21 data, with gender unknown for less than 0.01% of the patient population.</w:t>
      </w:r>
      <w:r w:rsidR="009A20AA">
        <w:rPr>
          <w:rFonts w:ascii="ArialMT" w:hAnsi="ArialMT"/>
          <w:sz w:val="22"/>
          <w:szCs w:val="22"/>
        </w:rPr>
        <w:t xml:space="preserve"> </w:t>
      </w:r>
      <w:r w:rsidR="00362443">
        <w:rPr>
          <w:rFonts w:ascii="ArialMT" w:hAnsi="ArialMT"/>
          <w:sz w:val="22"/>
          <w:szCs w:val="22"/>
        </w:rPr>
        <w:t>In terms of age,</w:t>
      </w:r>
      <w:r w:rsidR="00EB3E20">
        <w:rPr>
          <w:rFonts w:ascii="ArialMT" w:hAnsi="ArialMT"/>
          <w:sz w:val="22"/>
          <w:szCs w:val="22"/>
        </w:rPr>
        <w:t xml:space="preserve"> </w:t>
      </w:r>
      <w:r w:rsidR="007C4352">
        <w:rPr>
          <w:rFonts w:ascii="ArialMT" w:hAnsi="ArialMT"/>
          <w:sz w:val="22"/>
          <w:szCs w:val="22"/>
        </w:rPr>
        <w:t>t</w:t>
      </w:r>
      <w:r w:rsidR="009A20AA">
        <w:rPr>
          <w:rFonts w:ascii="ArialMT" w:hAnsi="ArialMT"/>
          <w:sz w:val="22"/>
          <w:szCs w:val="22"/>
        </w:rPr>
        <w:t xml:space="preserve">he majority of BMC’s patient panel is between the ages of 18-64 (73.8% in FY21). </w:t>
      </w:r>
      <w:r w:rsidR="004F35C3">
        <w:rPr>
          <w:rFonts w:ascii="ArialMT" w:hAnsi="ArialMT"/>
          <w:sz w:val="22"/>
          <w:szCs w:val="22"/>
        </w:rPr>
        <w:t xml:space="preserve">However, </w:t>
      </w:r>
      <w:r w:rsidR="006408BF">
        <w:rPr>
          <w:rFonts w:ascii="ArialMT" w:hAnsi="ArialMT"/>
          <w:sz w:val="22"/>
          <w:szCs w:val="22"/>
        </w:rPr>
        <w:t xml:space="preserve">there are also a substantial number of patients that are 0-17 years of age (11.9% in FY21) and </w:t>
      </w:r>
      <w:r w:rsidR="009A20AA">
        <w:rPr>
          <w:rFonts w:ascii="ArialMT" w:hAnsi="ArialMT"/>
          <w:sz w:val="22"/>
          <w:szCs w:val="22"/>
        </w:rPr>
        <w:t xml:space="preserve">65+ </w:t>
      </w:r>
      <w:r w:rsidR="006408BF">
        <w:rPr>
          <w:rFonts w:ascii="ArialMT" w:hAnsi="ArialMT"/>
          <w:sz w:val="22"/>
          <w:szCs w:val="22"/>
        </w:rPr>
        <w:t xml:space="preserve">(14.2% in FY21). </w:t>
      </w:r>
      <w:r w:rsidR="00362443">
        <w:rPr>
          <w:rFonts w:ascii="ArialMT" w:hAnsi="ArialMT"/>
          <w:sz w:val="22"/>
          <w:szCs w:val="22"/>
        </w:rPr>
        <w:t xml:space="preserve">Race/ethnicity </w:t>
      </w:r>
      <w:r w:rsidR="0036431F">
        <w:rPr>
          <w:rFonts w:ascii="ArialMT" w:hAnsi="ArialMT"/>
          <w:sz w:val="22"/>
          <w:szCs w:val="22"/>
        </w:rPr>
        <w:t xml:space="preserve">data </w:t>
      </w:r>
      <w:r w:rsidR="00362443">
        <w:rPr>
          <w:rFonts w:ascii="ArialMT" w:hAnsi="ArialMT"/>
          <w:sz w:val="22"/>
          <w:szCs w:val="22"/>
        </w:rPr>
        <w:t xml:space="preserve">as self-reported by BMC patients </w:t>
      </w:r>
      <w:r w:rsidR="002034E7">
        <w:rPr>
          <w:rFonts w:ascii="ArialMT" w:hAnsi="ArialMT"/>
          <w:sz w:val="22"/>
          <w:szCs w:val="22"/>
        </w:rPr>
        <w:t xml:space="preserve">indicate that BMC’s panel is comprised of a mix of races. Specifically, </w:t>
      </w:r>
      <w:r w:rsidR="00362443">
        <w:rPr>
          <w:rFonts w:ascii="ArialMT" w:hAnsi="ArialMT"/>
          <w:sz w:val="22"/>
          <w:szCs w:val="22"/>
        </w:rPr>
        <w:t>in FY21, the predominant races served by BMC were White/Caucasian (30.8%) and Black/African American</w:t>
      </w:r>
      <w:r w:rsidR="0036431F">
        <w:rPr>
          <w:rFonts w:ascii="ArialMT" w:hAnsi="ArialMT"/>
          <w:sz w:val="22"/>
          <w:szCs w:val="22"/>
        </w:rPr>
        <w:t xml:space="preserve"> (29.3%)</w:t>
      </w:r>
      <w:r w:rsidR="00362443">
        <w:rPr>
          <w:rFonts w:ascii="ArialMT" w:hAnsi="ArialMT"/>
          <w:sz w:val="22"/>
          <w:szCs w:val="22"/>
        </w:rPr>
        <w:t xml:space="preserve">. Additionally, patients self-identified as Hispanic/Latino (12%), </w:t>
      </w:r>
      <w:r w:rsidR="00F216C5">
        <w:rPr>
          <w:rFonts w:ascii="ArialMT" w:hAnsi="ArialMT"/>
          <w:sz w:val="22"/>
          <w:szCs w:val="22"/>
        </w:rPr>
        <w:t>Asian (5.6%), American Indian/Alaska Native (0.3%), Native Hawaiian/Pacific Islander (</w:t>
      </w:r>
      <w:r w:rsidR="0036431F">
        <w:rPr>
          <w:rFonts w:ascii="ArialMT" w:hAnsi="ArialMT"/>
          <w:sz w:val="22"/>
          <w:szCs w:val="22"/>
        </w:rPr>
        <w:t>0.2</w:t>
      </w:r>
      <w:r w:rsidR="00F216C5">
        <w:rPr>
          <w:rFonts w:ascii="ArialMT" w:hAnsi="ArialMT"/>
          <w:sz w:val="22"/>
          <w:szCs w:val="22"/>
        </w:rPr>
        <w:t>%)</w:t>
      </w:r>
      <w:r w:rsidR="0036431F">
        <w:rPr>
          <w:rFonts w:ascii="ArialMT" w:hAnsi="ArialMT"/>
          <w:sz w:val="22"/>
          <w:szCs w:val="22"/>
        </w:rPr>
        <w:t>, and Other (21.8%).</w:t>
      </w:r>
      <w:r w:rsidR="00740CDC">
        <w:rPr>
          <w:rFonts w:ascii="ArialMT" w:hAnsi="ArialMT"/>
          <w:sz w:val="22"/>
          <w:szCs w:val="22"/>
        </w:rPr>
        <w:t xml:space="preserve"> Finally, geographic origin demographics show that BMC patients mainly reside in the Boston/Greater Boston area, with nearly 60% </w:t>
      </w:r>
      <w:r w:rsidR="00C479B7">
        <w:rPr>
          <w:rFonts w:ascii="ArialMT" w:hAnsi="ArialMT"/>
          <w:sz w:val="22"/>
          <w:szCs w:val="22"/>
        </w:rPr>
        <w:t xml:space="preserve">of patients </w:t>
      </w:r>
      <w:r w:rsidR="00740CDC">
        <w:rPr>
          <w:rFonts w:ascii="ArialMT" w:hAnsi="ArialMT"/>
          <w:sz w:val="22"/>
          <w:szCs w:val="22"/>
        </w:rPr>
        <w:t xml:space="preserve">residing in the following 10 communities: </w:t>
      </w:r>
      <w:r w:rsidR="00740CDC" w:rsidRPr="00740CDC">
        <w:rPr>
          <w:rFonts w:ascii="ArialMT" w:hAnsi="ArialMT"/>
          <w:sz w:val="22"/>
          <w:szCs w:val="22"/>
        </w:rPr>
        <w:t>Dorchester</w:t>
      </w:r>
      <w:r w:rsidR="00740CDC">
        <w:rPr>
          <w:rFonts w:ascii="ArialMT" w:hAnsi="ArialMT"/>
          <w:sz w:val="22"/>
          <w:szCs w:val="22"/>
        </w:rPr>
        <w:t xml:space="preserve">, </w:t>
      </w:r>
      <w:r w:rsidR="00740CDC" w:rsidRPr="00740CDC">
        <w:rPr>
          <w:rFonts w:ascii="ArialMT" w:hAnsi="ArialMT"/>
          <w:sz w:val="22"/>
          <w:szCs w:val="22"/>
        </w:rPr>
        <w:t>Boston</w:t>
      </w:r>
      <w:r w:rsidR="00740CDC">
        <w:rPr>
          <w:rFonts w:ascii="ArialMT" w:hAnsi="ArialMT"/>
          <w:sz w:val="22"/>
          <w:szCs w:val="22"/>
        </w:rPr>
        <w:t xml:space="preserve">, </w:t>
      </w:r>
      <w:r w:rsidR="00740CDC" w:rsidRPr="00740CDC">
        <w:rPr>
          <w:rFonts w:ascii="ArialMT" w:hAnsi="ArialMT"/>
          <w:sz w:val="22"/>
          <w:szCs w:val="22"/>
        </w:rPr>
        <w:t>Roxbury</w:t>
      </w:r>
      <w:r w:rsidR="00740CDC">
        <w:rPr>
          <w:rFonts w:ascii="ArialMT" w:hAnsi="ArialMT"/>
          <w:sz w:val="22"/>
          <w:szCs w:val="22"/>
        </w:rPr>
        <w:t xml:space="preserve">, </w:t>
      </w:r>
      <w:r w:rsidR="00740CDC" w:rsidRPr="00740CDC">
        <w:rPr>
          <w:rFonts w:ascii="ArialMT" w:hAnsi="ArialMT"/>
          <w:sz w:val="22"/>
          <w:szCs w:val="22"/>
        </w:rPr>
        <w:t>Brockton</w:t>
      </w:r>
      <w:r w:rsidR="00740CDC">
        <w:rPr>
          <w:rFonts w:ascii="ArialMT" w:hAnsi="ArialMT"/>
          <w:sz w:val="22"/>
          <w:szCs w:val="22"/>
        </w:rPr>
        <w:t xml:space="preserve">, </w:t>
      </w:r>
      <w:r w:rsidR="00740CDC" w:rsidRPr="00740CDC">
        <w:rPr>
          <w:rFonts w:ascii="ArialMT" w:hAnsi="ArialMT"/>
          <w:sz w:val="22"/>
          <w:szCs w:val="22"/>
        </w:rPr>
        <w:t>Mattapan</w:t>
      </w:r>
      <w:r w:rsidR="00740CDC">
        <w:rPr>
          <w:rFonts w:ascii="ArialMT" w:hAnsi="ArialMT"/>
          <w:sz w:val="22"/>
          <w:szCs w:val="22"/>
        </w:rPr>
        <w:t xml:space="preserve">, </w:t>
      </w:r>
      <w:r w:rsidR="00740CDC" w:rsidRPr="00740CDC">
        <w:rPr>
          <w:rFonts w:ascii="ArialMT" w:hAnsi="ArialMT"/>
          <w:sz w:val="22"/>
          <w:szCs w:val="22"/>
        </w:rPr>
        <w:t>Hyde Park</w:t>
      </w:r>
      <w:r w:rsidR="00740CDC">
        <w:rPr>
          <w:rFonts w:ascii="ArialMT" w:hAnsi="ArialMT"/>
          <w:sz w:val="22"/>
          <w:szCs w:val="22"/>
        </w:rPr>
        <w:t xml:space="preserve">, </w:t>
      </w:r>
      <w:r w:rsidR="00740CDC" w:rsidRPr="00740CDC">
        <w:rPr>
          <w:rFonts w:ascii="ArialMT" w:hAnsi="ArialMT"/>
          <w:sz w:val="22"/>
          <w:szCs w:val="22"/>
        </w:rPr>
        <w:t>Revere</w:t>
      </w:r>
      <w:r w:rsidR="00740CDC">
        <w:rPr>
          <w:rFonts w:ascii="ArialMT" w:hAnsi="ArialMT"/>
          <w:sz w:val="22"/>
          <w:szCs w:val="22"/>
        </w:rPr>
        <w:t xml:space="preserve">, </w:t>
      </w:r>
      <w:r w:rsidR="00740CDC" w:rsidRPr="00740CDC">
        <w:rPr>
          <w:rFonts w:ascii="ArialMT" w:hAnsi="ArialMT"/>
          <w:sz w:val="22"/>
          <w:szCs w:val="22"/>
        </w:rPr>
        <w:t>Quincy</w:t>
      </w:r>
      <w:r w:rsidR="00740CDC">
        <w:rPr>
          <w:rFonts w:ascii="ArialMT" w:hAnsi="ArialMT"/>
          <w:sz w:val="22"/>
          <w:szCs w:val="22"/>
        </w:rPr>
        <w:t xml:space="preserve">, </w:t>
      </w:r>
      <w:r w:rsidR="00740CDC" w:rsidRPr="00740CDC">
        <w:rPr>
          <w:rFonts w:ascii="ArialMT" w:hAnsi="ArialMT"/>
          <w:sz w:val="22"/>
          <w:szCs w:val="22"/>
        </w:rPr>
        <w:t>Chelsea</w:t>
      </w:r>
      <w:r w:rsidR="00740CDC">
        <w:rPr>
          <w:rFonts w:ascii="ArialMT" w:hAnsi="ArialMT"/>
          <w:sz w:val="22"/>
          <w:szCs w:val="22"/>
        </w:rPr>
        <w:t>, and Lynn.</w:t>
      </w:r>
    </w:p>
    <w:p w14:paraId="4D275FBA" w14:textId="261DFEE7" w:rsidR="00CC2F37" w:rsidRPr="007B24DE" w:rsidRDefault="00C45406" w:rsidP="007F4BDF">
      <w:pPr>
        <w:pStyle w:val="NormalWeb"/>
        <w:spacing w:before="0" w:beforeAutospacing="0" w:after="0" w:afterAutospacing="0"/>
        <w:jc w:val="both"/>
        <w:rPr>
          <w:rFonts w:ascii="ArialMT" w:hAnsi="ArialMT"/>
          <w:sz w:val="22"/>
          <w:szCs w:val="22"/>
        </w:rPr>
      </w:pPr>
      <w:r w:rsidRPr="00C45406">
        <w:rPr>
          <w:rFonts w:ascii="Arial Narrow" w:hAnsi="Arial Narrow" w:cs="Arial"/>
          <w:b/>
          <w:bCs/>
          <w:sz w:val="22"/>
          <w:szCs w:val="22"/>
        </w:rPr>
        <w:t>Table 1: BMC Patient Panel Demographics</w:t>
      </w:r>
    </w:p>
    <w:tbl>
      <w:tblPr>
        <w:tblStyle w:val="TableGrid"/>
        <w:tblW w:w="9355" w:type="dxa"/>
        <w:jc w:val="center"/>
        <w:tblLayout w:type="fixed"/>
        <w:tblLook w:val="04A0" w:firstRow="1" w:lastRow="0" w:firstColumn="1" w:lastColumn="0" w:noHBand="0" w:noVBand="1"/>
      </w:tblPr>
      <w:tblGrid>
        <w:gridCol w:w="2775"/>
        <w:gridCol w:w="6"/>
        <w:gridCol w:w="935"/>
        <w:gridCol w:w="49"/>
        <w:gridCol w:w="684"/>
        <w:gridCol w:w="36"/>
        <w:gridCol w:w="810"/>
        <w:gridCol w:w="31"/>
        <w:gridCol w:w="738"/>
        <w:gridCol w:w="41"/>
        <w:gridCol w:w="900"/>
        <w:gridCol w:w="8"/>
        <w:gridCol w:w="712"/>
        <w:gridCol w:w="22"/>
        <w:gridCol w:w="878"/>
        <w:gridCol w:w="730"/>
      </w:tblGrid>
      <w:tr w:rsidR="00AF4E48" w:rsidRPr="00727C10" w14:paraId="2BC8F316" w14:textId="77777777" w:rsidTr="00B65B3B">
        <w:trPr>
          <w:cantSplit/>
          <w:trHeight w:val="20"/>
          <w:tblHeader/>
          <w:jc w:val="center"/>
        </w:trPr>
        <w:tc>
          <w:tcPr>
            <w:tcW w:w="2781" w:type="dxa"/>
            <w:gridSpan w:val="2"/>
            <w:vMerge w:val="restart"/>
            <w:tcBorders>
              <w:top w:val="single" w:sz="12" w:space="0" w:color="auto"/>
              <w:left w:val="single" w:sz="12" w:space="0" w:color="auto"/>
            </w:tcBorders>
            <w:shd w:val="clear" w:color="auto" w:fill="8DA9DB"/>
            <w:vAlign w:val="center"/>
          </w:tcPr>
          <w:p w14:paraId="74EE3FEE" w14:textId="0401CC1F" w:rsidR="00AF4E48" w:rsidRPr="00727C10" w:rsidRDefault="00AF4E48" w:rsidP="00AF4E48">
            <w:pPr>
              <w:rPr>
                <w:rFonts w:ascii="Arial Narrow" w:hAnsi="Arial Narrow" w:cs="Arial"/>
                <w:sz w:val="22"/>
                <w:szCs w:val="22"/>
              </w:rPr>
            </w:pPr>
            <w:r w:rsidRPr="00727C10">
              <w:rPr>
                <w:rFonts w:ascii="Arial Narrow" w:hAnsi="Arial Narrow" w:cs="Arial"/>
                <w:b/>
                <w:bCs/>
                <w:sz w:val="22"/>
                <w:szCs w:val="22"/>
              </w:rPr>
              <w:t>Demographic</w:t>
            </w:r>
          </w:p>
        </w:tc>
        <w:tc>
          <w:tcPr>
            <w:tcW w:w="1668" w:type="dxa"/>
            <w:gridSpan w:val="3"/>
            <w:shd w:val="clear" w:color="auto" w:fill="8DA9DB"/>
            <w:vAlign w:val="center"/>
          </w:tcPr>
          <w:p w14:paraId="69F02116" w14:textId="203A5A6C"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FY19</w:t>
            </w:r>
          </w:p>
        </w:tc>
        <w:tc>
          <w:tcPr>
            <w:tcW w:w="1615" w:type="dxa"/>
            <w:gridSpan w:val="4"/>
            <w:shd w:val="clear" w:color="auto" w:fill="8DA9DB"/>
            <w:vAlign w:val="center"/>
          </w:tcPr>
          <w:p w14:paraId="6D09F90B" w14:textId="7B81F33D"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FY20</w:t>
            </w:r>
          </w:p>
        </w:tc>
        <w:tc>
          <w:tcPr>
            <w:tcW w:w="1683" w:type="dxa"/>
            <w:gridSpan w:val="5"/>
            <w:shd w:val="clear" w:color="auto" w:fill="8DA9DB"/>
            <w:vAlign w:val="center"/>
          </w:tcPr>
          <w:p w14:paraId="5D1600E0" w14:textId="58DEEBF6"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FY21</w:t>
            </w:r>
          </w:p>
        </w:tc>
        <w:tc>
          <w:tcPr>
            <w:tcW w:w="1608" w:type="dxa"/>
            <w:gridSpan w:val="2"/>
            <w:tcBorders>
              <w:right w:val="single" w:sz="12" w:space="0" w:color="auto"/>
            </w:tcBorders>
            <w:shd w:val="clear" w:color="auto" w:fill="8DA9DB"/>
            <w:vAlign w:val="center"/>
          </w:tcPr>
          <w:p w14:paraId="3613AC62" w14:textId="3AD877D7" w:rsidR="00AF4E48" w:rsidRPr="00727C10" w:rsidRDefault="00AF4E48" w:rsidP="00056483">
            <w:pPr>
              <w:jc w:val="center"/>
              <w:rPr>
                <w:rFonts w:ascii="Arial Narrow" w:hAnsi="Arial Narrow" w:cs="Arial"/>
                <w:b/>
                <w:bCs/>
                <w:sz w:val="22"/>
                <w:szCs w:val="22"/>
              </w:rPr>
            </w:pPr>
            <w:r>
              <w:rPr>
                <w:rFonts w:ascii="Arial Narrow" w:hAnsi="Arial Narrow" w:cs="Arial"/>
                <w:b/>
                <w:bCs/>
                <w:sz w:val="22"/>
                <w:szCs w:val="22"/>
              </w:rPr>
              <w:t xml:space="preserve">FY22 </w:t>
            </w:r>
            <w:r w:rsidRPr="00727C10">
              <w:rPr>
                <w:rFonts w:ascii="Arial Narrow" w:hAnsi="Arial Narrow" w:cs="Arial"/>
                <w:b/>
                <w:bCs/>
                <w:sz w:val="22"/>
                <w:szCs w:val="22"/>
              </w:rPr>
              <w:t>YTD</w:t>
            </w:r>
            <w:r w:rsidR="00FB167B">
              <w:rPr>
                <w:rFonts w:ascii="ZWAdobeF" w:hAnsi="ZWAdobeF" w:cs="ZWAdobeF"/>
                <w:bCs/>
                <w:sz w:val="2"/>
                <w:szCs w:val="2"/>
              </w:rPr>
              <w:t>4F</w:t>
            </w:r>
            <w:r w:rsidRPr="00727C10">
              <w:rPr>
                <w:rStyle w:val="FootnoteReference"/>
                <w:rFonts w:ascii="Arial Narrow" w:hAnsi="Arial Narrow" w:cs="Arial"/>
                <w:b/>
                <w:bCs/>
                <w:sz w:val="22"/>
                <w:szCs w:val="22"/>
              </w:rPr>
              <w:footnoteReference w:id="5"/>
            </w:r>
          </w:p>
        </w:tc>
      </w:tr>
      <w:tr w:rsidR="00AF4E48" w:rsidRPr="00727C10" w14:paraId="12F15E20" w14:textId="77777777" w:rsidTr="00B65B3B">
        <w:trPr>
          <w:cantSplit/>
          <w:trHeight w:val="20"/>
          <w:tblHeader/>
          <w:jc w:val="center"/>
        </w:trPr>
        <w:tc>
          <w:tcPr>
            <w:tcW w:w="2781" w:type="dxa"/>
            <w:gridSpan w:val="2"/>
            <w:vMerge/>
            <w:tcBorders>
              <w:left w:val="single" w:sz="12" w:space="0" w:color="auto"/>
            </w:tcBorders>
            <w:shd w:val="clear" w:color="auto" w:fill="8DA9DB"/>
          </w:tcPr>
          <w:p w14:paraId="3F8C2CEB" w14:textId="77777777" w:rsidR="00AF4E48" w:rsidRPr="00727C10" w:rsidRDefault="00AF4E48" w:rsidP="00EB3E20">
            <w:pPr>
              <w:rPr>
                <w:rFonts w:ascii="Arial Narrow" w:hAnsi="Arial Narrow" w:cs="Arial"/>
                <w:sz w:val="22"/>
                <w:szCs w:val="22"/>
              </w:rPr>
            </w:pPr>
          </w:p>
        </w:tc>
        <w:tc>
          <w:tcPr>
            <w:tcW w:w="935" w:type="dxa"/>
            <w:shd w:val="clear" w:color="auto" w:fill="8DA9DB"/>
            <w:vAlign w:val="center"/>
          </w:tcPr>
          <w:p w14:paraId="7FA40C4F"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Count</w:t>
            </w:r>
          </w:p>
        </w:tc>
        <w:tc>
          <w:tcPr>
            <w:tcW w:w="733" w:type="dxa"/>
            <w:gridSpan w:val="2"/>
            <w:shd w:val="clear" w:color="auto" w:fill="8DA9DB"/>
            <w:vAlign w:val="center"/>
          </w:tcPr>
          <w:p w14:paraId="537923D7"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w:t>
            </w:r>
          </w:p>
        </w:tc>
        <w:tc>
          <w:tcPr>
            <w:tcW w:w="877" w:type="dxa"/>
            <w:gridSpan w:val="3"/>
            <w:shd w:val="clear" w:color="auto" w:fill="8DA9DB"/>
            <w:vAlign w:val="center"/>
          </w:tcPr>
          <w:p w14:paraId="6960D3BB"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Count</w:t>
            </w:r>
          </w:p>
        </w:tc>
        <w:tc>
          <w:tcPr>
            <w:tcW w:w="738" w:type="dxa"/>
            <w:shd w:val="clear" w:color="auto" w:fill="8DA9DB"/>
            <w:vAlign w:val="center"/>
          </w:tcPr>
          <w:p w14:paraId="42A7AAF7"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w:t>
            </w:r>
          </w:p>
        </w:tc>
        <w:tc>
          <w:tcPr>
            <w:tcW w:w="949" w:type="dxa"/>
            <w:gridSpan w:val="3"/>
            <w:shd w:val="clear" w:color="auto" w:fill="8DA9DB"/>
            <w:vAlign w:val="center"/>
          </w:tcPr>
          <w:p w14:paraId="35568D23"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Count</w:t>
            </w:r>
          </w:p>
        </w:tc>
        <w:tc>
          <w:tcPr>
            <w:tcW w:w="734" w:type="dxa"/>
            <w:gridSpan w:val="2"/>
            <w:shd w:val="clear" w:color="auto" w:fill="8DA9DB"/>
            <w:vAlign w:val="center"/>
          </w:tcPr>
          <w:p w14:paraId="54715586"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w:t>
            </w:r>
          </w:p>
        </w:tc>
        <w:tc>
          <w:tcPr>
            <w:tcW w:w="878" w:type="dxa"/>
            <w:shd w:val="clear" w:color="auto" w:fill="8DA9DB"/>
            <w:vAlign w:val="center"/>
          </w:tcPr>
          <w:p w14:paraId="1AEADF68"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Count</w:t>
            </w:r>
          </w:p>
        </w:tc>
        <w:tc>
          <w:tcPr>
            <w:tcW w:w="730" w:type="dxa"/>
            <w:tcBorders>
              <w:right w:val="single" w:sz="12" w:space="0" w:color="auto"/>
            </w:tcBorders>
            <w:shd w:val="clear" w:color="auto" w:fill="8DA9DB"/>
            <w:vAlign w:val="center"/>
          </w:tcPr>
          <w:p w14:paraId="3F895792" w14:textId="77777777" w:rsidR="00AF4E48" w:rsidRPr="00727C10" w:rsidRDefault="00AF4E48" w:rsidP="00056483">
            <w:pPr>
              <w:jc w:val="center"/>
              <w:rPr>
                <w:rFonts w:ascii="Arial Narrow" w:hAnsi="Arial Narrow" w:cs="Arial"/>
                <w:b/>
                <w:bCs/>
                <w:sz w:val="22"/>
                <w:szCs w:val="22"/>
              </w:rPr>
            </w:pPr>
            <w:r w:rsidRPr="00727C10">
              <w:rPr>
                <w:rFonts w:ascii="Arial Narrow" w:hAnsi="Arial Narrow" w:cs="Arial"/>
                <w:b/>
                <w:bCs/>
                <w:sz w:val="22"/>
                <w:szCs w:val="22"/>
              </w:rPr>
              <w:t>%</w:t>
            </w:r>
          </w:p>
        </w:tc>
      </w:tr>
      <w:tr w:rsidR="00BE616C" w:rsidRPr="00727C10" w14:paraId="2B3298B5" w14:textId="77777777" w:rsidTr="00B65B3B">
        <w:trPr>
          <w:cantSplit/>
          <w:trHeight w:val="20"/>
          <w:jc w:val="center"/>
        </w:trPr>
        <w:tc>
          <w:tcPr>
            <w:tcW w:w="2781" w:type="dxa"/>
            <w:gridSpan w:val="2"/>
            <w:tcBorders>
              <w:left w:val="single" w:sz="12" w:space="0" w:color="auto"/>
            </w:tcBorders>
            <w:shd w:val="clear" w:color="auto" w:fill="BFBFBF"/>
            <w:vAlign w:val="center"/>
          </w:tcPr>
          <w:p w14:paraId="50B49C2F" w14:textId="00E7C09A" w:rsidR="00727C10" w:rsidRPr="00727C10" w:rsidRDefault="00727C10" w:rsidP="00056483">
            <w:pPr>
              <w:rPr>
                <w:rFonts w:ascii="Arial Narrow" w:hAnsi="Arial Narrow" w:cs="Arial"/>
                <w:b/>
                <w:bCs/>
                <w:sz w:val="22"/>
                <w:szCs w:val="22"/>
              </w:rPr>
            </w:pPr>
            <w:r w:rsidRPr="00727C10">
              <w:rPr>
                <w:rFonts w:ascii="Arial Narrow" w:hAnsi="Arial Narrow" w:cs="Arial"/>
                <w:b/>
                <w:bCs/>
                <w:sz w:val="22"/>
                <w:szCs w:val="22"/>
              </w:rPr>
              <w:t>BMC Total Unique Patients</w:t>
            </w:r>
          </w:p>
        </w:tc>
        <w:tc>
          <w:tcPr>
            <w:tcW w:w="935" w:type="dxa"/>
            <w:shd w:val="clear" w:color="auto" w:fill="BFBFBF"/>
            <w:vAlign w:val="center"/>
          </w:tcPr>
          <w:p w14:paraId="3BD89782" w14:textId="77777777" w:rsidR="00727C10" w:rsidRPr="00727C10" w:rsidRDefault="00727C10" w:rsidP="00056483">
            <w:pPr>
              <w:jc w:val="right"/>
              <w:rPr>
                <w:rFonts w:ascii="Arial Narrow" w:hAnsi="Arial Narrow" w:cs="Arial"/>
                <w:b/>
                <w:bCs/>
                <w:sz w:val="22"/>
                <w:szCs w:val="22"/>
              </w:rPr>
            </w:pPr>
            <w:r w:rsidRPr="00727C10">
              <w:rPr>
                <w:rFonts w:ascii="Arial Narrow" w:hAnsi="Arial Narrow" w:cs="Arial"/>
                <w:b/>
                <w:bCs/>
                <w:sz w:val="22"/>
                <w:szCs w:val="22"/>
              </w:rPr>
              <w:t>228,138</w:t>
            </w:r>
          </w:p>
        </w:tc>
        <w:tc>
          <w:tcPr>
            <w:tcW w:w="733" w:type="dxa"/>
            <w:gridSpan w:val="2"/>
            <w:shd w:val="clear" w:color="auto" w:fill="BFBFBF"/>
            <w:vAlign w:val="center"/>
          </w:tcPr>
          <w:p w14:paraId="7F39274C" w14:textId="77777777" w:rsidR="00727C10" w:rsidRPr="00727C10" w:rsidRDefault="00727C10" w:rsidP="00056483">
            <w:pPr>
              <w:jc w:val="right"/>
              <w:rPr>
                <w:rFonts w:ascii="Arial Narrow" w:hAnsi="Arial Narrow" w:cs="Arial"/>
                <w:b/>
                <w:bCs/>
                <w:sz w:val="22"/>
                <w:szCs w:val="22"/>
              </w:rPr>
            </w:pPr>
          </w:p>
        </w:tc>
        <w:tc>
          <w:tcPr>
            <w:tcW w:w="877" w:type="dxa"/>
            <w:gridSpan w:val="3"/>
            <w:shd w:val="clear" w:color="auto" w:fill="BFBFBF"/>
            <w:vAlign w:val="center"/>
          </w:tcPr>
          <w:p w14:paraId="4EA57CFA" w14:textId="77777777" w:rsidR="00727C10" w:rsidRPr="00727C10" w:rsidRDefault="00727C10" w:rsidP="00056483">
            <w:pPr>
              <w:ind w:left="-180"/>
              <w:jc w:val="right"/>
              <w:rPr>
                <w:rFonts w:ascii="Arial Narrow" w:hAnsi="Arial Narrow" w:cs="Arial"/>
                <w:b/>
                <w:bCs/>
                <w:sz w:val="22"/>
                <w:szCs w:val="22"/>
              </w:rPr>
            </w:pPr>
            <w:r w:rsidRPr="00727C10">
              <w:rPr>
                <w:rFonts w:ascii="Arial Narrow" w:hAnsi="Arial Narrow" w:cs="Arial"/>
                <w:b/>
                <w:bCs/>
                <w:sz w:val="22"/>
                <w:szCs w:val="22"/>
              </w:rPr>
              <w:t>207,237</w:t>
            </w:r>
          </w:p>
        </w:tc>
        <w:tc>
          <w:tcPr>
            <w:tcW w:w="738" w:type="dxa"/>
            <w:shd w:val="clear" w:color="auto" w:fill="BFBFBF"/>
            <w:vAlign w:val="center"/>
          </w:tcPr>
          <w:p w14:paraId="3DB87217" w14:textId="77777777" w:rsidR="00727C10" w:rsidRPr="00727C10" w:rsidRDefault="00727C10" w:rsidP="00056483">
            <w:pPr>
              <w:jc w:val="right"/>
              <w:rPr>
                <w:rFonts w:ascii="Arial Narrow" w:hAnsi="Arial Narrow" w:cs="Arial"/>
                <w:b/>
                <w:bCs/>
                <w:sz w:val="22"/>
                <w:szCs w:val="22"/>
              </w:rPr>
            </w:pPr>
          </w:p>
        </w:tc>
        <w:tc>
          <w:tcPr>
            <w:tcW w:w="949" w:type="dxa"/>
            <w:gridSpan w:val="3"/>
            <w:shd w:val="clear" w:color="auto" w:fill="BFBFBF"/>
            <w:vAlign w:val="center"/>
          </w:tcPr>
          <w:p w14:paraId="67FDAC14" w14:textId="77777777" w:rsidR="00727C10" w:rsidRPr="00727C10" w:rsidRDefault="00727C10" w:rsidP="00056483">
            <w:pPr>
              <w:jc w:val="right"/>
              <w:rPr>
                <w:rFonts w:ascii="Arial Narrow" w:hAnsi="Arial Narrow" w:cs="Arial"/>
                <w:b/>
                <w:bCs/>
                <w:sz w:val="22"/>
                <w:szCs w:val="22"/>
              </w:rPr>
            </w:pPr>
            <w:r w:rsidRPr="00727C10">
              <w:rPr>
                <w:rFonts w:ascii="Arial Narrow" w:hAnsi="Arial Narrow" w:cs="Arial"/>
                <w:b/>
                <w:bCs/>
                <w:sz w:val="22"/>
                <w:szCs w:val="22"/>
              </w:rPr>
              <w:t>299,258</w:t>
            </w:r>
          </w:p>
        </w:tc>
        <w:tc>
          <w:tcPr>
            <w:tcW w:w="734" w:type="dxa"/>
            <w:gridSpan w:val="2"/>
            <w:shd w:val="clear" w:color="auto" w:fill="BFBFBF"/>
            <w:vAlign w:val="center"/>
          </w:tcPr>
          <w:p w14:paraId="09BF5F4C" w14:textId="77777777" w:rsidR="00727C10" w:rsidRPr="00727C10" w:rsidRDefault="00727C10" w:rsidP="00056483">
            <w:pPr>
              <w:jc w:val="right"/>
              <w:rPr>
                <w:rFonts w:ascii="Arial Narrow" w:hAnsi="Arial Narrow" w:cs="Arial"/>
                <w:b/>
                <w:bCs/>
                <w:sz w:val="22"/>
                <w:szCs w:val="22"/>
              </w:rPr>
            </w:pPr>
          </w:p>
        </w:tc>
        <w:tc>
          <w:tcPr>
            <w:tcW w:w="878" w:type="dxa"/>
            <w:shd w:val="clear" w:color="auto" w:fill="BFBFBF"/>
            <w:vAlign w:val="center"/>
          </w:tcPr>
          <w:p w14:paraId="0DB7ACE5" w14:textId="77777777" w:rsidR="00727C10" w:rsidRPr="00727C10" w:rsidRDefault="00727C10" w:rsidP="00056483">
            <w:pPr>
              <w:jc w:val="right"/>
              <w:rPr>
                <w:rFonts w:ascii="Arial Narrow" w:hAnsi="Arial Narrow" w:cs="Arial"/>
                <w:b/>
                <w:bCs/>
                <w:sz w:val="22"/>
                <w:szCs w:val="22"/>
              </w:rPr>
            </w:pPr>
            <w:r w:rsidRPr="00727C10">
              <w:rPr>
                <w:rFonts w:ascii="Arial Narrow" w:hAnsi="Arial Narrow" w:cs="Arial"/>
                <w:b/>
                <w:bCs/>
                <w:sz w:val="22"/>
                <w:szCs w:val="22"/>
              </w:rPr>
              <w:t>105,725</w:t>
            </w:r>
          </w:p>
        </w:tc>
        <w:tc>
          <w:tcPr>
            <w:tcW w:w="730" w:type="dxa"/>
            <w:tcBorders>
              <w:right w:val="single" w:sz="12" w:space="0" w:color="auto"/>
            </w:tcBorders>
            <w:shd w:val="clear" w:color="auto" w:fill="BFBFBF"/>
            <w:vAlign w:val="center"/>
          </w:tcPr>
          <w:p w14:paraId="5A708F34" w14:textId="77777777" w:rsidR="00727C10" w:rsidRPr="00727C10" w:rsidRDefault="00727C10" w:rsidP="00056483">
            <w:pPr>
              <w:jc w:val="right"/>
              <w:rPr>
                <w:rFonts w:ascii="Arial Narrow" w:hAnsi="Arial Narrow" w:cs="Arial"/>
                <w:b/>
                <w:bCs/>
                <w:sz w:val="22"/>
                <w:szCs w:val="22"/>
              </w:rPr>
            </w:pPr>
          </w:p>
        </w:tc>
      </w:tr>
      <w:tr w:rsidR="009A559C" w:rsidRPr="00727C10" w14:paraId="0FAB1E48" w14:textId="77777777" w:rsidTr="00B65B3B">
        <w:trPr>
          <w:cantSplit/>
          <w:trHeight w:val="20"/>
          <w:jc w:val="center"/>
        </w:trPr>
        <w:tc>
          <w:tcPr>
            <w:tcW w:w="2775" w:type="dxa"/>
            <w:tcBorders>
              <w:left w:val="single" w:sz="12" w:space="0" w:color="auto"/>
              <w:right w:val="single" w:sz="12" w:space="0" w:color="auto"/>
            </w:tcBorders>
            <w:shd w:val="clear" w:color="auto" w:fill="D9E2F3" w:themeFill="accent1" w:themeFillTint="33"/>
            <w:vAlign w:val="center"/>
          </w:tcPr>
          <w:p w14:paraId="36323B98" w14:textId="77777777" w:rsidR="009A559C" w:rsidRPr="00727C10" w:rsidRDefault="009A559C" w:rsidP="00056483">
            <w:pPr>
              <w:rPr>
                <w:rFonts w:ascii="Arial Narrow" w:hAnsi="Arial Narrow" w:cs="Arial"/>
                <w:b/>
                <w:bCs/>
                <w:sz w:val="22"/>
                <w:szCs w:val="22"/>
              </w:rPr>
            </w:pPr>
            <w:r w:rsidRPr="00727C10">
              <w:rPr>
                <w:rFonts w:ascii="Arial Narrow" w:hAnsi="Arial Narrow" w:cs="Arial"/>
                <w:b/>
                <w:bCs/>
                <w:sz w:val="22"/>
                <w:szCs w:val="22"/>
              </w:rPr>
              <w:t>Gender</w:t>
            </w:r>
          </w:p>
        </w:tc>
        <w:tc>
          <w:tcPr>
            <w:tcW w:w="990" w:type="dxa"/>
            <w:gridSpan w:val="3"/>
            <w:tcBorders>
              <w:left w:val="single" w:sz="12" w:space="0" w:color="auto"/>
              <w:right w:val="single" w:sz="12" w:space="0" w:color="auto"/>
            </w:tcBorders>
            <w:shd w:val="clear" w:color="auto" w:fill="D9E2F3" w:themeFill="accent1" w:themeFillTint="33"/>
            <w:vAlign w:val="center"/>
          </w:tcPr>
          <w:p w14:paraId="402504E5" w14:textId="77777777" w:rsidR="009A559C" w:rsidRPr="00727C10" w:rsidRDefault="009A559C" w:rsidP="00056483">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67399463" w14:textId="77777777" w:rsidR="009A559C" w:rsidRPr="00727C10" w:rsidRDefault="009A559C" w:rsidP="00056483">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vAlign w:val="center"/>
          </w:tcPr>
          <w:p w14:paraId="26FE99F2" w14:textId="77777777" w:rsidR="009A559C" w:rsidRPr="00727C10" w:rsidRDefault="009A559C" w:rsidP="00056483">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vAlign w:val="center"/>
          </w:tcPr>
          <w:p w14:paraId="106495AF" w14:textId="77777777" w:rsidR="009A559C" w:rsidRPr="00727C10" w:rsidRDefault="009A559C" w:rsidP="00056483">
            <w:pPr>
              <w:rPr>
                <w:rFonts w:ascii="Arial Narrow" w:hAnsi="Arial Narrow" w:cs="Arial"/>
                <w:b/>
                <w:bCs/>
                <w:sz w:val="22"/>
                <w:szCs w:val="22"/>
              </w:rPr>
            </w:pPr>
          </w:p>
        </w:tc>
        <w:tc>
          <w:tcPr>
            <w:tcW w:w="900" w:type="dxa"/>
            <w:tcBorders>
              <w:left w:val="single" w:sz="12" w:space="0" w:color="auto"/>
              <w:right w:val="single" w:sz="12" w:space="0" w:color="auto"/>
            </w:tcBorders>
            <w:shd w:val="clear" w:color="auto" w:fill="D9E2F3" w:themeFill="accent1" w:themeFillTint="33"/>
            <w:vAlign w:val="center"/>
          </w:tcPr>
          <w:p w14:paraId="7DCF19F6" w14:textId="77777777" w:rsidR="009A559C" w:rsidRPr="00727C10" w:rsidRDefault="009A559C" w:rsidP="00056483">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0D23E5D6" w14:textId="77777777" w:rsidR="009A559C" w:rsidRPr="00727C10" w:rsidRDefault="009A559C" w:rsidP="00056483">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vAlign w:val="center"/>
          </w:tcPr>
          <w:p w14:paraId="3534F2C6" w14:textId="77777777" w:rsidR="009A559C" w:rsidRPr="00727C10" w:rsidRDefault="009A559C" w:rsidP="00056483">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vAlign w:val="center"/>
          </w:tcPr>
          <w:p w14:paraId="4F1910EC" w14:textId="13F196C8" w:rsidR="009A559C" w:rsidRPr="00727C10" w:rsidRDefault="009A559C" w:rsidP="00056483">
            <w:pPr>
              <w:rPr>
                <w:rFonts w:ascii="Arial Narrow" w:hAnsi="Arial Narrow" w:cs="Arial"/>
                <w:b/>
                <w:bCs/>
                <w:sz w:val="22"/>
                <w:szCs w:val="22"/>
              </w:rPr>
            </w:pPr>
          </w:p>
        </w:tc>
      </w:tr>
      <w:tr w:rsidR="00BE616C" w:rsidRPr="00727C10" w14:paraId="171D0826" w14:textId="77777777" w:rsidTr="00B65B3B">
        <w:trPr>
          <w:cantSplit/>
          <w:trHeight w:val="20"/>
          <w:jc w:val="center"/>
        </w:trPr>
        <w:tc>
          <w:tcPr>
            <w:tcW w:w="2781" w:type="dxa"/>
            <w:gridSpan w:val="2"/>
            <w:tcBorders>
              <w:left w:val="single" w:sz="12" w:space="0" w:color="auto"/>
            </w:tcBorders>
            <w:vAlign w:val="center"/>
          </w:tcPr>
          <w:p w14:paraId="32B55CE4"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Female</w:t>
            </w:r>
          </w:p>
        </w:tc>
        <w:tc>
          <w:tcPr>
            <w:tcW w:w="935" w:type="dxa"/>
            <w:vAlign w:val="center"/>
          </w:tcPr>
          <w:p w14:paraId="72B95B29"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127,698 </w:t>
            </w:r>
          </w:p>
        </w:tc>
        <w:tc>
          <w:tcPr>
            <w:tcW w:w="733" w:type="dxa"/>
            <w:gridSpan w:val="2"/>
            <w:vAlign w:val="center"/>
          </w:tcPr>
          <w:p w14:paraId="4BEB26E9"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56.0%</w:t>
            </w:r>
          </w:p>
        </w:tc>
        <w:tc>
          <w:tcPr>
            <w:tcW w:w="877" w:type="dxa"/>
            <w:gridSpan w:val="3"/>
            <w:vAlign w:val="center"/>
          </w:tcPr>
          <w:p w14:paraId="17408B98"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115,932 </w:t>
            </w:r>
          </w:p>
        </w:tc>
        <w:tc>
          <w:tcPr>
            <w:tcW w:w="738" w:type="dxa"/>
            <w:vAlign w:val="center"/>
          </w:tcPr>
          <w:p w14:paraId="2237FC9E"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55.9%</w:t>
            </w:r>
          </w:p>
        </w:tc>
        <w:tc>
          <w:tcPr>
            <w:tcW w:w="949" w:type="dxa"/>
            <w:gridSpan w:val="3"/>
            <w:vAlign w:val="center"/>
          </w:tcPr>
          <w:p w14:paraId="58E30E4A"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164,952 </w:t>
            </w:r>
          </w:p>
        </w:tc>
        <w:tc>
          <w:tcPr>
            <w:tcW w:w="734" w:type="dxa"/>
            <w:gridSpan w:val="2"/>
            <w:vAlign w:val="center"/>
          </w:tcPr>
          <w:p w14:paraId="19A8255F"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55.1%</w:t>
            </w:r>
          </w:p>
        </w:tc>
        <w:tc>
          <w:tcPr>
            <w:tcW w:w="878" w:type="dxa"/>
            <w:vAlign w:val="center"/>
          </w:tcPr>
          <w:p w14:paraId="62AE63FC"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85,796 </w:t>
            </w:r>
          </w:p>
        </w:tc>
        <w:tc>
          <w:tcPr>
            <w:tcW w:w="730" w:type="dxa"/>
            <w:tcBorders>
              <w:right w:val="single" w:sz="12" w:space="0" w:color="auto"/>
            </w:tcBorders>
            <w:vAlign w:val="center"/>
          </w:tcPr>
          <w:p w14:paraId="573E9668"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56.9%</w:t>
            </w:r>
          </w:p>
        </w:tc>
      </w:tr>
      <w:tr w:rsidR="00BE616C" w:rsidRPr="00727C10" w14:paraId="76472D3B" w14:textId="77777777" w:rsidTr="00B65B3B">
        <w:trPr>
          <w:cantSplit/>
          <w:trHeight w:val="20"/>
          <w:jc w:val="center"/>
        </w:trPr>
        <w:tc>
          <w:tcPr>
            <w:tcW w:w="2781" w:type="dxa"/>
            <w:gridSpan w:val="2"/>
            <w:tcBorders>
              <w:left w:val="single" w:sz="12" w:space="0" w:color="auto"/>
            </w:tcBorders>
            <w:vAlign w:val="center"/>
          </w:tcPr>
          <w:p w14:paraId="4FCE50A7"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Male</w:t>
            </w:r>
          </w:p>
        </w:tc>
        <w:tc>
          <w:tcPr>
            <w:tcW w:w="935" w:type="dxa"/>
            <w:vAlign w:val="center"/>
          </w:tcPr>
          <w:p w14:paraId="38F8EF02"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100,297 </w:t>
            </w:r>
          </w:p>
        </w:tc>
        <w:tc>
          <w:tcPr>
            <w:tcW w:w="733" w:type="dxa"/>
            <w:gridSpan w:val="2"/>
            <w:vAlign w:val="center"/>
          </w:tcPr>
          <w:p w14:paraId="40F5FF7C"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44.0%</w:t>
            </w:r>
          </w:p>
        </w:tc>
        <w:tc>
          <w:tcPr>
            <w:tcW w:w="877" w:type="dxa"/>
            <w:gridSpan w:val="3"/>
            <w:vAlign w:val="center"/>
          </w:tcPr>
          <w:p w14:paraId="38571722"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91,146 </w:t>
            </w:r>
          </w:p>
        </w:tc>
        <w:tc>
          <w:tcPr>
            <w:tcW w:w="738" w:type="dxa"/>
            <w:vAlign w:val="center"/>
          </w:tcPr>
          <w:p w14:paraId="001F3A17"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44.0%</w:t>
            </w:r>
          </w:p>
        </w:tc>
        <w:tc>
          <w:tcPr>
            <w:tcW w:w="949" w:type="dxa"/>
            <w:gridSpan w:val="3"/>
            <w:vAlign w:val="center"/>
          </w:tcPr>
          <w:p w14:paraId="49042373"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134,146 </w:t>
            </w:r>
          </w:p>
        </w:tc>
        <w:tc>
          <w:tcPr>
            <w:tcW w:w="734" w:type="dxa"/>
            <w:gridSpan w:val="2"/>
            <w:vAlign w:val="center"/>
          </w:tcPr>
          <w:p w14:paraId="3ED0DB3B"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44.8%</w:t>
            </w:r>
          </w:p>
        </w:tc>
        <w:tc>
          <w:tcPr>
            <w:tcW w:w="878" w:type="dxa"/>
            <w:vAlign w:val="center"/>
          </w:tcPr>
          <w:p w14:paraId="6D77303C"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64,822 </w:t>
            </w:r>
          </w:p>
        </w:tc>
        <w:tc>
          <w:tcPr>
            <w:tcW w:w="730" w:type="dxa"/>
            <w:tcBorders>
              <w:right w:val="single" w:sz="12" w:space="0" w:color="auto"/>
            </w:tcBorders>
            <w:vAlign w:val="center"/>
          </w:tcPr>
          <w:p w14:paraId="10826AC8"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43.0%</w:t>
            </w:r>
          </w:p>
        </w:tc>
      </w:tr>
      <w:tr w:rsidR="00BE616C" w:rsidRPr="00727C10" w14:paraId="7D211C4D" w14:textId="77777777" w:rsidTr="00B65B3B">
        <w:trPr>
          <w:cantSplit/>
          <w:trHeight w:val="20"/>
          <w:jc w:val="center"/>
        </w:trPr>
        <w:tc>
          <w:tcPr>
            <w:tcW w:w="2781" w:type="dxa"/>
            <w:gridSpan w:val="2"/>
            <w:tcBorders>
              <w:left w:val="single" w:sz="12" w:space="0" w:color="auto"/>
            </w:tcBorders>
            <w:vAlign w:val="center"/>
          </w:tcPr>
          <w:p w14:paraId="239F2194"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Other/Unknown</w:t>
            </w:r>
          </w:p>
        </w:tc>
        <w:tc>
          <w:tcPr>
            <w:tcW w:w="935" w:type="dxa"/>
            <w:vAlign w:val="center"/>
          </w:tcPr>
          <w:p w14:paraId="2AD7E908"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143 </w:t>
            </w:r>
          </w:p>
        </w:tc>
        <w:tc>
          <w:tcPr>
            <w:tcW w:w="733" w:type="dxa"/>
            <w:gridSpan w:val="2"/>
            <w:vAlign w:val="center"/>
          </w:tcPr>
          <w:p w14:paraId="3813AF93"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0.1%</w:t>
            </w:r>
          </w:p>
        </w:tc>
        <w:tc>
          <w:tcPr>
            <w:tcW w:w="877" w:type="dxa"/>
            <w:gridSpan w:val="3"/>
            <w:vAlign w:val="center"/>
          </w:tcPr>
          <w:p w14:paraId="664361CF"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159 </w:t>
            </w:r>
          </w:p>
        </w:tc>
        <w:tc>
          <w:tcPr>
            <w:tcW w:w="738" w:type="dxa"/>
            <w:vAlign w:val="center"/>
          </w:tcPr>
          <w:p w14:paraId="420C2002"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0.1%</w:t>
            </w:r>
          </w:p>
        </w:tc>
        <w:tc>
          <w:tcPr>
            <w:tcW w:w="949" w:type="dxa"/>
            <w:gridSpan w:val="3"/>
            <w:vAlign w:val="center"/>
          </w:tcPr>
          <w:p w14:paraId="6634D673"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160 </w:t>
            </w:r>
          </w:p>
        </w:tc>
        <w:tc>
          <w:tcPr>
            <w:tcW w:w="734" w:type="dxa"/>
            <w:gridSpan w:val="2"/>
            <w:vAlign w:val="center"/>
          </w:tcPr>
          <w:p w14:paraId="1413DEEF"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0.1%</w:t>
            </w:r>
          </w:p>
        </w:tc>
        <w:tc>
          <w:tcPr>
            <w:tcW w:w="878" w:type="dxa"/>
            <w:vAlign w:val="center"/>
          </w:tcPr>
          <w:p w14:paraId="595C328A"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 xml:space="preserve">107 </w:t>
            </w:r>
          </w:p>
        </w:tc>
        <w:tc>
          <w:tcPr>
            <w:tcW w:w="730" w:type="dxa"/>
            <w:tcBorders>
              <w:right w:val="single" w:sz="12" w:space="0" w:color="auto"/>
            </w:tcBorders>
            <w:vAlign w:val="center"/>
          </w:tcPr>
          <w:p w14:paraId="410BCF6B" w14:textId="77777777" w:rsidR="00727C10" w:rsidRPr="00727C10" w:rsidRDefault="00727C10" w:rsidP="00056483">
            <w:pPr>
              <w:jc w:val="right"/>
              <w:rPr>
                <w:rFonts w:ascii="Arial Narrow" w:hAnsi="Arial Narrow" w:cs="Arial"/>
                <w:sz w:val="22"/>
                <w:szCs w:val="22"/>
              </w:rPr>
            </w:pPr>
            <w:r w:rsidRPr="00727C10">
              <w:rPr>
                <w:rFonts w:ascii="Arial Narrow" w:hAnsi="Arial Narrow" w:cs="Arial"/>
                <w:sz w:val="22"/>
                <w:szCs w:val="22"/>
              </w:rPr>
              <w:t>0.1%</w:t>
            </w:r>
          </w:p>
        </w:tc>
      </w:tr>
      <w:tr w:rsidR="00C04089" w:rsidRPr="00727C10" w14:paraId="2AD45D4D" w14:textId="77777777" w:rsidTr="00C04089">
        <w:trPr>
          <w:cantSplit/>
          <w:trHeight w:val="20"/>
          <w:jc w:val="center"/>
        </w:trPr>
        <w:tc>
          <w:tcPr>
            <w:tcW w:w="2775" w:type="dxa"/>
            <w:tcBorders>
              <w:left w:val="single" w:sz="12" w:space="0" w:color="auto"/>
              <w:right w:val="single" w:sz="12" w:space="0" w:color="auto"/>
            </w:tcBorders>
            <w:shd w:val="clear" w:color="auto" w:fill="D9E2F3" w:themeFill="accent1" w:themeFillTint="33"/>
            <w:vAlign w:val="center"/>
          </w:tcPr>
          <w:p w14:paraId="291C1469" w14:textId="77777777" w:rsidR="00C04089" w:rsidRPr="00727C10" w:rsidRDefault="00C04089" w:rsidP="00056483">
            <w:pPr>
              <w:rPr>
                <w:rFonts w:ascii="Arial Narrow" w:hAnsi="Arial Narrow" w:cs="Arial"/>
                <w:b/>
                <w:bCs/>
                <w:sz w:val="22"/>
                <w:szCs w:val="22"/>
              </w:rPr>
            </w:pPr>
            <w:r w:rsidRPr="00727C10">
              <w:rPr>
                <w:rFonts w:ascii="Arial Narrow" w:hAnsi="Arial Narrow" w:cs="Arial"/>
                <w:b/>
                <w:bCs/>
                <w:sz w:val="22"/>
                <w:szCs w:val="22"/>
              </w:rPr>
              <w:t>Age</w:t>
            </w:r>
          </w:p>
        </w:tc>
        <w:tc>
          <w:tcPr>
            <w:tcW w:w="990" w:type="dxa"/>
            <w:gridSpan w:val="3"/>
            <w:tcBorders>
              <w:left w:val="single" w:sz="12" w:space="0" w:color="auto"/>
              <w:right w:val="single" w:sz="12" w:space="0" w:color="auto"/>
            </w:tcBorders>
            <w:shd w:val="clear" w:color="auto" w:fill="D9E2F3" w:themeFill="accent1" w:themeFillTint="33"/>
            <w:vAlign w:val="center"/>
          </w:tcPr>
          <w:p w14:paraId="3547C7DA" w14:textId="77777777" w:rsidR="00C04089" w:rsidRPr="00727C10" w:rsidRDefault="00C04089" w:rsidP="00056483">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1DCAC985" w14:textId="77777777" w:rsidR="00C04089" w:rsidRPr="00727C10" w:rsidRDefault="00C04089" w:rsidP="00056483">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vAlign w:val="center"/>
          </w:tcPr>
          <w:p w14:paraId="07A1A632" w14:textId="77777777" w:rsidR="00C04089" w:rsidRPr="00727C10" w:rsidRDefault="00C04089" w:rsidP="00056483">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vAlign w:val="center"/>
          </w:tcPr>
          <w:p w14:paraId="5F718C73" w14:textId="77777777" w:rsidR="00C04089" w:rsidRPr="00727C10" w:rsidRDefault="00C04089" w:rsidP="00056483">
            <w:pPr>
              <w:rPr>
                <w:rFonts w:ascii="Arial Narrow" w:hAnsi="Arial Narrow" w:cs="Arial"/>
                <w:b/>
                <w:bCs/>
                <w:sz w:val="22"/>
                <w:szCs w:val="22"/>
              </w:rPr>
            </w:pPr>
          </w:p>
        </w:tc>
        <w:tc>
          <w:tcPr>
            <w:tcW w:w="900" w:type="dxa"/>
            <w:tcBorders>
              <w:left w:val="single" w:sz="12" w:space="0" w:color="auto"/>
              <w:right w:val="single" w:sz="12" w:space="0" w:color="auto"/>
            </w:tcBorders>
            <w:shd w:val="clear" w:color="auto" w:fill="D9E2F3" w:themeFill="accent1" w:themeFillTint="33"/>
            <w:vAlign w:val="center"/>
          </w:tcPr>
          <w:p w14:paraId="22261223" w14:textId="77777777" w:rsidR="00C04089" w:rsidRPr="00727C10" w:rsidRDefault="00C04089" w:rsidP="00056483">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299293F2" w14:textId="77777777" w:rsidR="00C04089" w:rsidRPr="00727C10" w:rsidRDefault="00C04089" w:rsidP="00056483">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vAlign w:val="center"/>
          </w:tcPr>
          <w:p w14:paraId="77426C79" w14:textId="77777777" w:rsidR="00C04089" w:rsidRPr="00727C10" w:rsidRDefault="00C04089" w:rsidP="00056483">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vAlign w:val="center"/>
          </w:tcPr>
          <w:p w14:paraId="7A47AD68" w14:textId="25AAEB92" w:rsidR="00C04089" w:rsidRPr="00727C10" w:rsidRDefault="00C04089" w:rsidP="00056483">
            <w:pPr>
              <w:rPr>
                <w:rFonts w:ascii="Arial Narrow" w:hAnsi="Arial Narrow" w:cs="Arial"/>
                <w:b/>
                <w:bCs/>
                <w:sz w:val="22"/>
                <w:szCs w:val="22"/>
              </w:rPr>
            </w:pPr>
          </w:p>
        </w:tc>
      </w:tr>
      <w:tr w:rsidR="00BE616C" w:rsidRPr="00727C10" w14:paraId="23E49A98" w14:textId="77777777" w:rsidTr="00B65B3B">
        <w:trPr>
          <w:cantSplit/>
          <w:trHeight w:val="20"/>
          <w:jc w:val="center"/>
        </w:trPr>
        <w:tc>
          <w:tcPr>
            <w:tcW w:w="2781" w:type="dxa"/>
            <w:gridSpan w:val="2"/>
            <w:tcBorders>
              <w:left w:val="single" w:sz="12" w:space="0" w:color="auto"/>
            </w:tcBorders>
            <w:vAlign w:val="center"/>
          </w:tcPr>
          <w:p w14:paraId="300C29D1"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0-17</w:t>
            </w:r>
          </w:p>
        </w:tc>
        <w:tc>
          <w:tcPr>
            <w:tcW w:w="935" w:type="dxa"/>
            <w:vAlign w:val="center"/>
          </w:tcPr>
          <w:p w14:paraId="5DACFE68"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35,174 </w:t>
            </w:r>
          </w:p>
        </w:tc>
        <w:tc>
          <w:tcPr>
            <w:tcW w:w="733" w:type="dxa"/>
            <w:gridSpan w:val="2"/>
            <w:vAlign w:val="center"/>
          </w:tcPr>
          <w:p w14:paraId="50A8C08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15.4%</w:t>
            </w:r>
          </w:p>
        </w:tc>
        <w:tc>
          <w:tcPr>
            <w:tcW w:w="877" w:type="dxa"/>
            <w:gridSpan w:val="3"/>
            <w:vAlign w:val="center"/>
          </w:tcPr>
          <w:p w14:paraId="74F0138D"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30,702 </w:t>
            </w:r>
          </w:p>
        </w:tc>
        <w:tc>
          <w:tcPr>
            <w:tcW w:w="738" w:type="dxa"/>
            <w:vAlign w:val="center"/>
          </w:tcPr>
          <w:p w14:paraId="392AEDC0"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14.8%</w:t>
            </w:r>
          </w:p>
        </w:tc>
        <w:tc>
          <w:tcPr>
            <w:tcW w:w="949" w:type="dxa"/>
            <w:gridSpan w:val="3"/>
            <w:vAlign w:val="center"/>
          </w:tcPr>
          <w:p w14:paraId="3EEFBD6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35,705 </w:t>
            </w:r>
          </w:p>
        </w:tc>
        <w:tc>
          <w:tcPr>
            <w:tcW w:w="734" w:type="dxa"/>
            <w:gridSpan w:val="2"/>
            <w:vAlign w:val="center"/>
          </w:tcPr>
          <w:p w14:paraId="0E414241"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11.9%</w:t>
            </w:r>
          </w:p>
        </w:tc>
        <w:tc>
          <w:tcPr>
            <w:tcW w:w="878" w:type="dxa"/>
            <w:vAlign w:val="center"/>
          </w:tcPr>
          <w:p w14:paraId="78976F6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19,253 </w:t>
            </w:r>
          </w:p>
        </w:tc>
        <w:tc>
          <w:tcPr>
            <w:tcW w:w="730" w:type="dxa"/>
            <w:tcBorders>
              <w:right w:val="single" w:sz="12" w:space="0" w:color="auto"/>
            </w:tcBorders>
            <w:vAlign w:val="center"/>
          </w:tcPr>
          <w:p w14:paraId="649ADB86"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12.8%</w:t>
            </w:r>
          </w:p>
        </w:tc>
      </w:tr>
      <w:tr w:rsidR="00BE616C" w:rsidRPr="00727C10" w14:paraId="7C4AEBEB" w14:textId="77777777" w:rsidTr="00B65B3B">
        <w:trPr>
          <w:cantSplit/>
          <w:trHeight w:val="20"/>
          <w:jc w:val="center"/>
        </w:trPr>
        <w:tc>
          <w:tcPr>
            <w:tcW w:w="2781" w:type="dxa"/>
            <w:gridSpan w:val="2"/>
            <w:tcBorders>
              <w:left w:val="single" w:sz="12" w:space="0" w:color="auto"/>
            </w:tcBorders>
            <w:vAlign w:val="center"/>
          </w:tcPr>
          <w:p w14:paraId="140B76D0"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18-64</w:t>
            </w:r>
          </w:p>
        </w:tc>
        <w:tc>
          <w:tcPr>
            <w:tcW w:w="935" w:type="dxa"/>
            <w:vAlign w:val="center"/>
          </w:tcPr>
          <w:p w14:paraId="16D9C8E1"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160,134 </w:t>
            </w:r>
          </w:p>
        </w:tc>
        <w:tc>
          <w:tcPr>
            <w:tcW w:w="733" w:type="dxa"/>
            <w:gridSpan w:val="2"/>
            <w:vAlign w:val="center"/>
          </w:tcPr>
          <w:p w14:paraId="3BFC25D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70.2%</w:t>
            </w:r>
          </w:p>
        </w:tc>
        <w:tc>
          <w:tcPr>
            <w:tcW w:w="877" w:type="dxa"/>
            <w:gridSpan w:val="3"/>
            <w:vAlign w:val="center"/>
          </w:tcPr>
          <w:p w14:paraId="5345B67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145,970 </w:t>
            </w:r>
          </w:p>
        </w:tc>
        <w:tc>
          <w:tcPr>
            <w:tcW w:w="738" w:type="dxa"/>
            <w:vAlign w:val="center"/>
          </w:tcPr>
          <w:p w14:paraId="34753CD5"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70.4%</w:t>
            </w:r>
          </w:p>
        </w:tc>
        <w:tc>
          <w:tcPr>
            <w:tcW w:w="949" w:type="dxa"/>
            <w:gridSpan w:val="3"/>
            <w:vAlign w:val="center"/>
          </w:tcPr>
          <w:p w14:paraId="10AB962B"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220,976 </w:t>
            </w:r>
          </w:p>
        </w:tc>
        <w:tc>
          <w:tcPr>
            <w:tcW w:w="734" w:type="dxa"/>
            <w:gridSpan w:val="2"/>
            <w:vAlign w:val="center"/>
          </w:tcPr>
          <w:p w14:paraId="21AC9A7B"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73.8%</w:t>
            </w:r>
          </w:p>
        </w:tc>
        <w:tc>
          <w:tcPr>
            <w:tcW w:w="878" w:type="dxa"/>
            <w:vAlign w:val="center"/>
          </w:tcPr>
          <w:p w14:paraId="75AF36A0"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108,033 </w:t>
            </w:r>
          </w:p>
        </w:tc>
        <w:tc>
          <w:tcPr>
            <w:tcW w:w="730" w:type="dxa"/>
            <w:tcBorders>
              <w:right w:val="single" w:sz="12" w:space="0" w:color="auto"/>
            </w:tcBorders>
            <w:vAlign w:val="center"/>
          </w:tcPr>
          <w:p w14:paraId="5DCF7F1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71.7%</w:t>
            </w:r>
          </w:p>
        </w:tc>
      </w:tr>
      <w:tr w:rsidR="00BE616C" w:rsidRPr="00727C10" w14:paraId="7BADD8F5" w14:textId="77777777" w:rsidTr="00B65B3B">
        <w:trPr>
          <w:cantSplit/>
          <w:trHeight w:val="20"/>
          <w:jc w:val="center"/>
        </w:trPr>
        <w:tc>
          <w:tcPr>
            <w:tcW w:w="2781" w:type="dxa"/>
            <w:gridSpan w:val="2"/>
            <w:tcBorders>
              <w:left w:val="single" w:sz="12" w:space="0" w:color="auto"/>
            </w:tcBorders>
            <w:vAlign w:val="center"/>
          </w:tcPr>
          <w:p w14:paraId="6149856A" w14:textId="77777777" w:rsidR="00727C10" w:rsidRPr="00727C10" w:rsidRDefault="00727C10" w:rsidP="00056483">
            <w:pPr>
              <w:rPr>
                <w:rFonts w:ascii="Arial Narrow" w:hAnsi="Arial Narrow" w:cs="Arial"/>
                <w:sz w:val="22"/>
                <w:szCs w:val="22"/>
              </w:rPr>
            </w:pPr>
            <w:r w:rsidRPr="00727C10">
              <w:rPr>
                <w:rFonts w:ascii="Arial Narrow" w:hAnsi="Arial Narrow" w:cs="Arial"/>
                <w:sz w:val="22"/>
                <w:szCs w:val="22"/>
              </w:rPr>
              <w:t>65+</w:t>
            </w:r>
          </w:p>
        </w:tc>
        <w:tc>
          <w:tcPr>
            <w:tcW w:w="935" w:type="dxa"/>
            <w:vAlign w:val="center"/>
          </w:tcPr>
          <w:p w14:paraId="5C9014D7"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32,799 </w:t>
            </w:r>
          </w:p>
        </w:tc>
        <w:tc>
          <w:tcPr>
            <w:tcW w:w="733" w:type="dxa"/>
            <w:gridSpan w:val="2"/>
            <w:vAlign w:val="center"/>
          </w:tcPr>
          <w:p w14:paraId="1E7C541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14.4%</w:t>
            </w:r>
          </w:p>
        </w:tc>
        <w:tc>
          <w:tcPr>
            <w:tcW w:w="877" w:type="dxa"/>
            <w:gridSpan w:val="3"/>
            <w:vAlign w:val="center"/>
          </w:tcPr>
          <w:p w14:paraId="22B219D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30,534 </w:t>
            </w:r>
          </w:p>
        </w:tc>
        <w:tc>
          <w:tcPr>
            <w:tcW w:w="738" w:type="dxa"/>
            <w:vAlign w:val="center"/>
          </w:tcPr>
          <w:p w14:paraId="25955A9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14.7%</w:t>
            </w:r>
          </w:p>
        </w:tc>
        <w:tc>
          <w:tcPr>
            <w:tcW w:w="949" w:type="dxa"/>
            <w:gridSpan w:val="3"/>
            <w:vAlign w:val="center"/>
          </w:tcPr>
          <w:p w14:paraId="6DC22441"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42,548 </w:t>
            </w:r>
          </w:p>
        </w:tc>
        <w:tc>
          <w:tcPr>
            <w:tcW w:w="734" w:type="dxa"/>
            <w:gridSpan w:val="2"/>
            <w:vAlign w:val="center"/>
          </w:tcPr>
          <w:p w14:paraId="4BF5CF0B"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14.2%</w:t>
            </w:r>
          </w:p>
        </w:tc>
        <w:tc>
          <w:tcPr>
            <w:tcW w:w="878" w:type="dxa"/>
            <w:vAlign w:val="center"/>
          </w:tcPr>
          <w:p w14:paraId="3014B589"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23,420 </w:t>
            </w:r>
          </w:p>
        </w:tc>
        <w:tc>
          <w:tcPr>
            <w:tcW w:w="730" w:type="dxa"/>
            <w:tcBorders>
              <w:right w:val="single" w:sz="12" w:space="0" w:color="auto"/>
            </w:tcBorders>
            <w:vAlign w:val="center"/>
          </w:tcPr>
          <w:p w14:paraId="258508C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15.5%</w:t>
            </w:r>
          </w:p>
        </w:tc>
      </w:tr>
      <w:tr w:rsidR="00C04089" w:rsidRPr="00727C10" w14:paraId="798CB2B0" w14:textId="77777777" w:rsidTr="00C04089">
        <w:trPr>
          <w:cantSplit/>
          <w:trHeight w:val="20"/>
          <w:jc w:val="center"/>
        </w:trPr>
        <w:tc>
          <w:tcPr>
            <w:tcW w:w="2775" w:type="dxa"/>
            <w:tcBorders>
              <w:left w:val="single" w:sz="12" w:space="0" w:color="auto"/>
              <w:right w:val="single" w:sz="12" w:space="0" w:color="auto"/>
            </w:tcBorders>
            <w:shd w:val="clear" w:color="auto" w:fill="D9E2F3" w:themeFill="accent1" w:themeFillTint="33"/>
          </w:tcPr>
          <w:p w14:paraId="27839649" w14:textId="77777777" w:rsidR="00C04089" w:rsidRPr="00727C10" w:rsidRDefault="00C04089" w:rsidP="00064F18">
            <w:pPr>
              <w:rPr>
                <w:rFonts w:ascii="Arial Narrow" w:hAnsi="Arial Narrow" w:cs="Arial"/>
                <w:b/>
                <w:bCs/>
                <w:sz w:val="22"/>
                <w:szCs w:val="22"/>
              </w:rPr>
            </w:pPr>
            <w:r w:rsidRPr="00727C10">
              <w:rPr>
                <w:rFonts w:ascii="Arial Narrow" w:hAnsi="Arial Narrow" w:cs="Arial"/>
                <w:b/>
                <w:bCs/>
                <w:sz w:val="22"/>
                <w:szCs w:val="22"/>
              </w:rPr>
              <w:t>Race/Ethnicity</w:t>
            </w:r>
            <w:r>
              <w:rPr>
                <w:rFonts w:ascii="ZWAdobeF" w:hAnsi="ZWAdobeF" w:cs="ZWAdobeF"/>
                <w:bCs/>
                <w:sz w:val="2"/>
                <w:szCs w:val="2"/>
              </w:rPr>
              <w:t>5F</w:t>
            </w:r>
            <w:r w:rsidRPr="00727C10">
              <w:rPr>
                <w:rStyle w:val="FootnoteReference"/>
                <w:rFonts w:ascii="Arial Narrow" w:hAnsi="Arial Narrow" w:cs="Arial"/>
                <w:b/>
                <w:bCs/>
                <w:sz w:val="22"/>
                <w:szCs w:val="22"/>
              </w:rPr>
              <w:footnoteReference w:id="6"/>
            </w:r>
          </w:p>
        </w:tc>
        <w:tc>
          <w:tcPr>
            <w:tcW w:w="990" w:type="dxa"/>
            <w:gridSpan w:val="3"/>
            <w:tcBorders>
              <w:left w:val="single" w:sz="12" w:space="0" w:color="auto"/>
              <w:right w:val="single" w:sz="12" w:space="0" w:color="auto"/>
            </w:tcBorders>
            <w:shd w:val="clear" w:color="auto" w:fill="D9E2F3" w:themeFill="accent1" w:themeFillTint="33"/>
          </w:tcPr>
          <w:p w14:paraId="7E294116" w14:textId="77777777" w:rsidR="00C04089" w:rsidRPr="00727C10" w:rsidRDefault="00C04089" w:rsidP="00064F18">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0FB2EFA4" w14:textId="77777777" w:rsidR="00C04089" w:rsidRPr="00727C10" w:rsidRDefault="00C04089" w:rsidP="00064F18">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tcPr>
          <w:p w14:paraId="5EA029CA" w14:textId="77777777" w:rsidR="00C04089" w:rsidRPr="00727C10" w:rsidRDefault="00C04089" w:rsidP="00064F18">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tcPr>
          <w:p w14:paraId="41700199" w14:textId="77777777" w:rsidR="00C04089" w:rsidRPr="00727C10" w:rsidRDefault="00C04089" w:rsidP="00064F18">
            <w:pPr>
              <w:rPr>
                <w:rFonts w:ascii="Arial Narrow" w:hAnsi="Arial Narrow" w:cs="Arial"/>
                <w:b/>
                <w:bCs/>
                <w:sz w:val="22"/>
                <w:szCs w:val="22"/>
              </w:rPr>
            </w:pPr>
          </w:p>
        </w:tc>
        <w:tc>
          <w:tcPr>
            <w:tcW w:w="900" w:type="dxa"/>
            <w:tcBorders>
              <w:left w:val="single" w:sz="12" w:space="0" w:color="auto"/>
              <w:right w:val="single" w:sz="12" w:space="0" w:color="auto"/>
            </w:tcBorders>
            <w:shd w:val="clear" w:color="auto" w:fill="D9E2F3" w:themeFill="accent1" w:themeFillTint="33"/>
          </w:tcPr>
          <w:p w14:paraId="00FA34E9" w14:textId="77777777" w:rsidR="00C04089" w:rsidRPr="00727C10" w:rsidRDefault="00C04089" w:rsidP="00064F18">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19CC7875" w14:textId="77777777" w:rsidR="00C04089" w:rsidRPr="00727C10" w:rsidRDefault="00C04089" w:rsidP="00064F18">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tcPr>
          <w:p w14:paraId="5435E19E" w14:textId="77777777" w:rsidR="00C04089" w:rsidRPr="00727C10" w:rsidRDefault="00C04089" w:rsidP="00064F18">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tcPr>
          <w:p w14:paraId="57693114" w14:textId="2A7A0E4E" w:rsidR="00C04089" w:rsidRPr="00727C10" w:rsidRDefault="00C04089" w:rsidP="00064F18">
            <w:pPr>
              <w:rPr>
                <w:rFonts w:ascii="Arial Narrow" w:hAnsi="Arial Narrow" w:cs="Arial"/>
                <w:b/>
                <w:bCs/>
                <w:sz w:val="22"/>
                <w:szCs w:val="22"/>
              </w:rPr>
            </w:pPr>
          </w:p>
        </w:tc>
      </w:tr>
      <w:tr w:rsidR="00BE616C" w:rsidRPr="00727C10" w14:paraId="46D38335" w14:textId="77777777" w:rsidTr="00B65B3B">
        <w:trPr>
          <w:cantSplit/>
          <w:trHeight w:val="20"/>
          <w:jc w:val="center"/>
        </w:trPr>
        <w:tc>
          <w:tcPr>
            <w:tcW w:w="2781" w:type="dxa"/>
            <w:gridSpan w:val="2"/>
            <w:tcBorders>
              <w:left w:val="single" w:sz="12" w:space="0" w:color="auto"/>
            </w:tcBorders>
            <w:vAlign w:val="center"/>
          </w:tcPr>
          <w:p w14:paraId="25B015C1"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American Indian/Alaska Native</w:t>
            </w:r>
          </w:p>
        </w:tc>
        <w:tc>
          <w:tcPr>
            <w:tcW w:w="935" w:type="dxa"/>
          </w:tcPr>
          <w:p w14:paraId="6F3F64DA"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829 </w:t>
            </w:r>
          </w:p>
        </w:tc>
        <w:tc>
          <w:tcPr>
            <w:tcW w:w="733" w:type="dxa"/>
            <w:gridSpan w:val="2"/>
            <w:vAlign w:val="center"/>
          </w:tcPr>
          <w:p w14:paraId="6E0CF3E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0.4%</w:t>
            </w:r>
          </w:p>
        </w:tc>
        <w:tc>
          <w:tcPr>
            <w:tcW w:w="877" w:type="dxa"/>
            <w:gridSpan w:val="3"/>
            <w:vAlign w:val="center"/>
          </w:tcPr>
          <w:p w14:paraId="01F6F1AB"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766 </w:t>
            </w:r>
          </w:p>
        </w:tc>
        <w:tc>
          <w:tcPr>
            <w:tcW w:w="738" w:type="dxa"/>
            <w:vAlign w:val="center"/>
          </w:tcPr>
          <w:p w14:paraId="79A1D880"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0.4%</w:t>
            </w:r>
          </w:p>
        </w:tc>
        <w:tc>
          <w:tcPr>
            <w:tcW w:w="949" w:type="dxa"/>
            <w:gridSpan w:val="3"/>
            <w:vAlign w:val="center"/>
          </w:tcPr>
          <w:p w14:paraId="50FBAD39"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980 </w:t>
            </w:r>
          </w:p>
        </w:tc>
        <w:tc>
          <w:tcPr>
            <w:tcW w:w="734" w:type="dxa"/>
            <w:gridSpan w:val="2"/>
            <w:vAlign w:val="center"/>
          </w:tcPr>
          <w:p w14:paraId="623144E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0.3%</w:t>
            </w:r>
          </w:p>
        </w:tc>
        <w:tc>
          <w:tcPr>
            <w:tcW w:w="878" w:type="dxa"/>
            <w:vAlign w:val="center"/>
          </w:tcPr>
          <w:p w14:paraId="172CA8D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477 </w:t>
            </w:r>
          </w:p>
        </w:tc>
        <w:tc>
          <w:tcPr>
            <w:tcW w:w="730" w:type="dxa"/>
            <w:tcBorders>
              <w:right w:val="single" w:sz="12" w:space="0" w:color="auto"/>
            </w:tcBorders>
            <w:vAlign w:val="center"/>
          </w:tcPr>
          <w:p w14:paraId="2756C515"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0.3%</w:t>
            </w:r>
          </w:p>
        </w:tc>
      </w:tr>
      <w:tr w:rsidR="00BE616C" w:rsidRPr="00727C10" w14:paraId="41176FDB" w14:textId="77777777" w:rsidTr="00B65B3B">
        <w:trPr>
          <w:cantSplit/>
          <w:trHeight w:val="20"/>
          <w:jc w:val="center"/>
        </w:trPr>
        <w:tc>
          <w:tcPr>
            <w:tcW w:w="2781" w:type="dxa"/>
            <w:gridSpan w:val="2"/>
            <w:tcBorders>
              <w:left w:val="single" w:sz="12" w:space="0" w:color="auto"/>
            </w:tcBorders>
            <w:vAlign w:val="center"/>
          </w:tcPr>
          <w:p w14:paraId="3B5D5428"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Asian</w:t>
            </w:r>
          </w:p>
        </w:tc>
        <w:tc>
          <w:tcPr>
            <w:tcW w:w="935" w:type="dxa"/>
          </w:tcPr>
          <w:p w14:paraId="06725C7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10,344 </w:t>
            </w:r>
          </w:p>
        </w:tc>
        <w:tc>
          <w:tcPr>
            <w:tcW w:w="733" w:type="dxa"/>
            <w:gridSpan w:val="2"/>
            <w:vAlign w:val="center"/>
          </w:tcPr>
          <w:p w14:paraId="6C515A0D"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4.5%</w:t>
            </w:r>
          </w:p>
        </w:tc>
        <w:tc>
          <w:tcPr>
            <w:tcW w:w="877" w:type="dxa"/>
            <w:gridSpan w:val="3"/>
            <w:vAlign w:val="center"/>
          </w:tcPr>
          <w:p w14:paraId="07F8A05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9,395 </w:t>
            </w:r>
          </w:p>
        </w:tc>
        <w:tc>
          <w:tcPr>
            <w:tcW w:w="738" w:type="dxa"/>
            <w:vAlign w:val="center"/>
          </w:tcPr>
          <w:p w14:paraId="682C91C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4.5%</w:t>
            </w:r>
          </w:p>
        </w:tc>
        <w:tc>
          <w:tcPr>
            <w:tcW w:w="949" w:type="dxa"/>
            <w:gridSpan w:val="3"/>
            <w:vAlign w:val="center"/>
          </w:tcPr>
          <w:p w14:paraId="10E2885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16,756 </w:t>
            </w:r>
          </w:p>
        </w:tc>
        <w:tc>
          <w:tcPr>
            <w:tcW w:w="734" w:type="dxa"/>
            <w:gridSpan w:val="2"/>
            <w:vAlign w:val="center"/>
          </w:tcPr>
          <w:p w14:paraId="5D9653A4"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5.6%</w:t>
            </w:r>
          </w:p>
        </w:tc>
        <w:tc>
          <w:tcPr>
            <w:tcW w:w="878" w:type="dxa"/>
            <w:vAlign w:val="center"/>
          </w:tcPr>
          <w:p w14:paraId="6B139E15"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7,578 </w:t>
            </w:r>
          </w:p>
        </w:tc>
        <w:tc>
          <w:tcPr>
            <w:tcW w:w="730" w:type="dxa"/>
            <w:tcBorders>
              <w:right w:val="single" w:sz="12" w:space="0" w:color="auto"/>
            </w:tcBorders>
            <w:vAlign w:val="center"/>
          </w:tcPr>
          <w:p w14:paraId="6AA46DD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5.0%</w:t>
            </w:r>
          </w:p>
        </w:tc>
      </w:tr>
      <w:tr w:rsidR="00BE616C" w:rsidRPr="00727C10" w14:paraId="094560D9" w14:textId="77777777" w:rsidTr="00B65B3B">
        <w:trPr>
          <w:cantSplit/>
          <w:trHeight w:val="20"/>
          <w:jc w:val="center"/>
        </w:trPr>
        <w:tc>
          <w:tcPr>
            <w:tcW w:w="2781" w:type="dxa"/>
            <w:gridSpan w:val="2"/>
            <w:tcBorders>
              <w:left w:val="single" w:sz="12" w:space="0" w:color="auto"/>
            </w:tcBorders>
            <w:vAlign w:val="center"/>
          </w:tcPr>
          <w:p w14:paraId="3B2B03B8"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Black/African American</w:t>
            </w:r>
          </w:p>
        </w:tc>
        <w:tc>
          <w:tcPr>
            <w:tcW w:w="935" w:type="dxa"/>
          </w:tcPr>
          <w:p w14:paraId="7C3A778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78,570 </w:t>
            </w:r>
          </w:p>
        </w:tc>
        <w:tc>
          <w:tcPr>
            <w:tcW w:w="733" w:type="dxa"/>
            <w:gridSpan w:val="2"/>
            <w:vAlign w:val="center"/>
          </w:tcPr>
          <w:p w14:paraId="6A08F73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34.4%</w:t>
            </w:r>
          </w:p>
        </w:tc>
        <w:tc>
          <w:tcPr>
            <w:tcW w:w="877" w:type="dxa"/>
            <w:gridSpan w:val="3"/>
            <w:vAlign w:val="center"/>
          </w:tcPr>
          <w:p w14:paraId="750021F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71,748 </w:t>
            </w:r>
          </w:p>
        </w:tc>
        <w:tc>
          <w:tcPr>
            <w:tcW w:w="738" w:type="dxa"/>
            <w:vAlign w:val="center"/>
          </w:tcPr>
          <w:p w14:paraId="2124C52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34.6%</w:t>
            </w:r>
          </w:p>
        </w:tc>
        <w:tc>
          <w:tcPr>
            <w:tcW w:w="949" w:type="dxa"/>
            <w:gridSpan w:val="3"/>
            <w:vAlign w:val="center"/>
          </w:tcPr>
          <w:p w14:paraId="1AACEFF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87,615 </w:t>
            </w:r>
          </w:p>
        </w:tc>
        <w:tc>
          <w:tcPr>
            <w:tcW w:w="734" w:type="dxa"/>
            <w:gridSpan w:val="2"/>
            <w:vAlign w:val="center"/>
          </w:tcPr>
          <w:p w14:paraId="777DCAE9"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29.3%</w:t>
            </w:r>
          </w:p>
        </w:tc>
        <w:tc>
          <w:tcPr>
            <w:tcW w:w="878" w:type="dxa"/>
            <w:vAlign w:val="center"/>
          </w:tcPr>
          <w:p w14:paraId="2FDE4F19"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50,623 </w:t>
            </w:r>
          </w:p>
        </w:tc>
        <w:tc>
          <w:tcPr>
            <w:tcW w:w="730" w:type="dxa"/>
            <w:tcBorders>
              <w:right w:val="single" w:sz="12" w:space="0" w:color="auto"/>
            </w:tcBorders>
            <w:vAlign w:val="center"/>
          </w:tcPr>
          <w:p w14:paraId="7E8D2EB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33.6%</w:t>
            </w:r>
          </w:p>
        </w:tc>
      </w:tr>
      <w:tr w:rsidR="00BE616C" w:rsidRPr="00727C10" w14:paraId="4A572ECD" w14:textId="77777777" w:rsidTr="00B65B3B">
        <w:trPr>
          <w:cantSplit/>
          <w:trHeight w:val="20"/>
          <w:jc w:val="center"/>
        </w:trPr>
        <w:tc>
          <w:tcPr>
            <w:tcW w:w="2781" w:type="dxa"/>
            <w:gridSpan w:val="2"/>
            <w:tcBorders>
              <w:left w:val="single" w:sz="12" w:space="0" w:color="auto"/>
            </w:tcBorders>
            <w:vAlign w:val="center"/>
          </w:tcPr>
          <w:p w14:paraId="45A113D0"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Hispanic/Latino</w:t>
            </w:r>
          </w:p>
        </w:tc>
        <w:tc>
          <w:tcPr>
            <w:tcW w:w="935" w:type="dxa"/>
          </w:tcPr>
          <w:p w14:paraId="4F81E82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19,844 </w:t>
            </w:r>
          </w:p>
        </w:tc>
        <w:tc>
          <w:tcPr>
            <w:tcW w:w="733" w:type="dxa"/>
            <w:gridSpan w:val="2"/>
            <w:vAlign w:val="center"/>
          </w:tcPr>
          <w:p w14:paraId="45B32476"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8.7%</w:t>
            </w:r>
          </w:p>
        </w:tc>
        <w:tc>
          <w:tcPr>
            <w:tcW w:w="877" w:type="dxa"/>
            <w:gridSpan w:val="3"/>
            <w:vAlign w:val="center"/>
          </w:tcPr>
          <w:p w14:paraId="048AA0FB"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25,105 </w:t>
            </w:r>
          </w:p>
        </w:tc>
        <w:tc>
          <w:tcPr>
            <w:tcW w:w="738" w:type="dxa"/>
            <w:vAlign w:val="center"/>
          </w:tcPr>
          <w:p w14:paraId="554E760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12.1%</w:t>
            </w:r>
          </w:p>
        </w:tc>
        <w:tc>
          <w:tcPr>
            <w:tcW w:w="949" w:type="dxa"/>
            <w:gridSpan w:val="3"/>
            <w:vAlign w:val="center"/>
          </w:tcPr>
          <w:p w14:paraId="3E13CBC1"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35,856 </w:t>
            </w:r>
          </w:p>
        </w:tc>
        <w:tc>
          <w:tcPr>
            <w:tcW w:w="734" w:type="dxa"/>
            <w:gridSpan w:val="2"/>
            <w:vAlign w:val="center"/>
          </w:tcPr>
          <w:p w14:paraId="187C8EB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12.0%</w:t>
            </w:r>
          </w:p>
        </w:tc>
        <w:tc>
          <w:tcPr>
            <w:tcW w:w="878" w:type="dxa"/>
            <w:vAlign w:val="center"/>
          </w:tcPr>
          <w:p w14:paraId="7D7B057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19,757 </w:t>
            </w:r>
          </w:p>
        </w:tc>
        <w:tc>
          <w:tcPr>
            <w:tcW w:w="730" w:type="dxa"/>
            <w:tcBorders>
              <w:right w:val="single" w:sz="12" w:space="0" w:color="auto"/>
            </w:tcBorders>
            <w:vAlign w:val="center"/>
          </w:tcPr>
          <w:p w14:paraId="738EDA3C"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13.1%</w:t>
            </w:r>
          </w:p>
        </w:tc>
      </w:tr>
      <w:tr w:rsidR="00BE616C" w:rsidRPr="00727C10" w14:paraId="48B0F75E" w14:textId="77777777" w:rsidTr="00B65B3B">
        <w:trPr>
          <w:cantSplit/>
          <w:trHeight w:val="20"/>
          <w:jc w:val="center"/>
        </w:trPr>
        <w:tc>
          <w:tcPr>
            <w:tcW w:w="2781" w:type="dxa"/>
            <w:gridSpan w:val="2"/>
            <w:tcBorders>
              <w:left w:val="single" w:sz="12" w:space="0" w:color="auto"/>
            </w:tcBorders>
            <w:vAlign w:val="center"/>
          </w:tcPr>
          <w:p w14:paraId="0DAB43D2"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 xml:space="preserve">Native Hawaiian/Pacific Islander </w:t>
            </w:r>
          </w:p>
        </w:tc>
        <w:tc>
          <w:tcPr>
            <w:tcW w:w="935" w:type="dxa"/>
          </w:tcPr>
          <w:p w14:paraId="7E557E7E"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352 </w:t>
            </w:r>
          </w:p>
        </w:tc>
        <w:tc>
          <w:tcPr>
            <w:tcW w:w="733" w:type="dxa"/>
            <w:gridSpan w:val="2"/>
            <w:vAlign w:val="center"/>
          </w:tcPr>
          <w:p w14:paraId="30E2923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0.2%</w:t>
            </w:r>
          </w:p>
        </w:tc>
        <w:tc>
          <w:tcPr>
            <w:tcW w:w="877" w:type="dxa"/>
            <w:gridSpan w:val="3"/>
            <w:vAlign w:val="center"/>
          </w:tcPr>
          <w:p w14:paraId="7F115911"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384 </w:t>
            </w:r>
          </w:p>
        </w:tc>
        <w:tc>
          <w:tcPr>
            <w:tcW w:w="738" w:type="dxa"/>
            <w:vAlign w:val="center"/>
          </w:tcPr>
          <w:p w14:paraId="5792EDBD"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0.2%</w:t>
            </w:r>
          </w:p>
        </w:tc>
        <w:tc>
          <w:tcPr>
            <w:tcW w:w="949" w:type="dxa"/>
            <w:gridSpan w:val="3"/>
            <w:vAlign w:val="center"/>
          </w:tcPr>
          <w:p w14:paraId="3AB76292"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650 </w:t>
            </w:r>
          </w:p>
        </w:tc>
        <w:tc>
          <w:tcPr>
            <w:tcW w:w="734" w:type="dxa"/>
            <w:gridSpan w:val="2"/>
            <w:vAlign w:val="center"/>
          </w:tcPr>
          <w:p w14:paraId="284D5EF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0.2%</w:t>
            </w:r>
          </w:p>
        </w:tc>
        <w:tc>
          <w:tcPr>
            <w:tcW w:w="878" w:type="dxa"/>
            <w:vAlign w:val="center"/>
          </w:tcPr>
          <w:p w14:paraId="3B421BF4"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294 </w:t>
            </w:r>
          </w:p>
        </w:tc>
        <w:tc>
          <w:tcPr>
            <w:tcW w:w="730" w:type="dxa"/>
            <w:tcBorders>
              <w:right w:val="single" w:sz="12" w:space="0" w:color="auto"/>
            </w:tcBorders>
            <w:vAlign w:val="center"/>
          </w:tcPr>
          <w:p w14:paraId="723725C5"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0.2%</w:t>
            </w:r>
          </w:p>
        </w:tc>
      </w:tr>
      <w:tr w:rsidR="00BE616C" w:rsidRPr="00727C10" w14:paraId="57F8D551" w14:textId="77777777" w:rsidTr="00B65B3B">
        <w:trPr>
          <w:cantSplit/>
          <w:trHeight w:val="20"/>
          <w:jc w:val="center"/>
        </w:trPr>
        <w:tc>
          <w:tcPr>
            <w:tcW w:w="2781" w:type="dxa"/>
            <w:gridSpan w:val="2"/>
            <w:tcBorders>
              <w:left w:val="single" w:sz="12" w:space="0" w:color="auto"/>
            </w:tcBorders>
            <w:vAlign w:val="center"/>
          </w:tcPr>
          <w:p w14:paraId="480EB447" w14:textId="77777777"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 xml:space="preserve">White/Caucasian </w:t>
            </w:r>
          </w:p>
        </w:tc>
        <w:tc>
          <w:tcPr>
            <w:tcW w:w="935" w:type="dxa"/>
          </w:tcPr>
          <w:p w14:paraId="7726ED8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62,296 </w:t>
            </w:r>
          </w:p>
        </w:tc>
        <w:tc>
          <w:tcPr>
            <w:tcW w:w="733" w:type="dxa"/>
            <w:gridSpan w:val="2"/>
            <w:vAlign w:val="center"/>
          </w:tcPr>
          <w:p w14:paraId="2B73E0F6"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27.3%</w:t>
            </w:r>
          </w:p>
        </w:tc>
        <w:tc>
          <w:tcPr>
            <w:tcW w:w="877" w:type="dxa"/>
            <w:gridSpan w:val="3"/>
            <w:vAlign w:val="center"/>
          </w:tcPr>
          <w:p w14:paraId="178A13C3"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54,311 </w:t>
            </w:r>
          </w:p>
        </w:tc>
        <w:tc>
          <w:tcPr>
            <w:tcW w:w="738" w:type="dxa"/>
            <w:vAlign w:val="center"/>
          </w:tcPr>
          <w:p w14:paraId="2724E3E0"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26.2%</w:t>
            </w:r>
          </w:p>
        </w:tc>
        <w:tc>
          <w:tcPr>
            <w:tcW w:w="949" w:type="dxa"/>
            <w:gridSpan w:val="3"/>
            <w:vAlign w:val="center"/>
          </w:tcPr>
          <w:p w14:paraId="4D46DF84"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92,034 </w:t>
            </w:r>
          </w:p>
        </w:tc>
        <w:tc>
          <w:tcPr>
            <w:tcW w:w="734" w:type="dxa"/>
            <w:gridSpan w:val="2"/>
            <w:vAlign w:val="center"/>
          </w:tcPr>
          <w:p w14:paraId="32F9AE4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30.8%</w:t>
            </w:r>
          </w:p>
        </w:tc>
        <w:tc>
          <w:tcPr>
            <w:tcW w:w="878" w:type="dxa"/>
            <w:vAlign w:val="center"/>
          </w:tcPr>
          <w:p w14:paraId="2FA0E0F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37,224 </w:t>
            </w:r>
          </w:p>
        </w:tc>
        <w:tc>
          <w:tcPr>
            <w:tcW w:w="730" w:type="dxa"/>
            <w:tcBorders>
              <w:right w:val="single" w:sz="12" w:space="0" w:color="auto"/>
            </w:tcBorders>
            <w:vAlign w:val="center"/>
          </w:tcPr>
          <w:p w14:paraId="49E45760"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24.7%</w:t>
            </w:r>
          </w:p>
        </w:tc>
      </w:tr>
      <w:tr w:rsidR="00BE616C" w:rsidRPr="00727C10" w14:paraId="3DA9BA43" w14:textId="77777777" w:rsidTr="00B65B3B">
        <w:trPr>
          <w:cantSplit/>
          <w:trHeight w:val="20"/>
          <w:jc w:val="center"/>
        </w:trPr>
        <w:tc>
          <w:tcPr>
            <w:tcW w:w="2781" w:type="dxa"/>
            <w:gridSpan w:val="2"/>
            <w:tcBorders>
              <w:left w:val="single" w:sz="12" w:space="0" w:color="auto"/>
            </w:tcBorders>
            <w:vAlign w:val="center"/>
          </w:tcPr>
          <w:p w14:paraId="001C5D4C" w14:textId="74F87356" w:rsidR="00727C10" w:rsidRPr="00727C10" w:rsidRDefault="00727C10" w:rsidP="00056483">
            <w:pPr>
              <w:ind w:right="-70"/>
              <w:rPr>
                <w:rFonts w:ascii="Arial Narrow" w:hAnsi="Arial Narrow" w:cs="Arial"/>
                <w:sz w:val="22"/>
                <w:szCs w:val="22"/>
              </w:rPr>
            </w:pPr>
            <w:r w:rsidRPr="00727C10">
              <w:rPr>
                <w:rFonts w:ascii="Arial Narrow" w:hAnsi="Arial Narrow" w:cs="Arial"/>
                <w:sz w:val="22"/>
                <w:szCs w:val="22"/>
              </w:rPr>
              <w:t>Other</w:t>
            </w:r>
            <w:r w:rsidR="00FB167B">
              <w:rPr>
                <w:rFonts w:ascii="ZWAdobeF" w:hAnsi="ZWAdobeF" w:cs="ZWAdobeF"/>
                <w:sz w:val="2"/>
                <w:szCs w:val="2"/>
              </w:rPr>
              <w:t>6F</w:t>
            </w:r>
            <w:r w:rsidR="0074124A">
              <w:rPr>
                <w:rStyle w:val="FootnoteReference"/>
                <w:rFonts w:ascii="Arial Narrow" w:hAnsi="Arial Narrow" w:cs="Arial"/>
                <w:sz w:val="22"/>
                <w:szCs w:val="22"/>
              </w:rPr>
              <w:footnoteReference w:id="7"/>
            </w:r>
          </w:p>
        </w:tc>
        <w:tc>
          <w:tcPr>
            <w:tcW w:w="935" w:type="dxa"/>
          </w:tcPr>
          <w:p w14:paraId="5B33CA0E"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55,903 </w:t>
            </w:r>
          </w:p>
        </w:tc>
        <w:tc>
          <w:tcPr>
            <w:tcW w:w="733" w:type="dxa"/>
            <w:gridSpan w:val="2"/>
            <w:vAlign w:val="center"/>
          </w:tcPr>
          <w:p w14:paraId="6CDB63AF"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24.5%</w:t>
            </w:r>
          </w:p>
        </w:tc>
        <w:tc>
          <w:tcPr>
            <w:tcW w:w="877" w:type="dxa"/>
            <w:gridSpan w:val="3"/>
            <w:vAlign w:val="center"/>
          </w:tcPr>
          <w:p w14:paraId="378C2EA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45,528 </w:t>
            </w:r>
          </w:p>
        </w:tc>
        <w:tc>
          <w:tcPr>
            <w:tcW w:w="738" w:type="dxa"/>
            <w:vAlign w:val="center"/>
          </w:tcPr>
          <w:p w14:paraId="17E797AA"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22.0%</w:t>
            </w:r>
          </w:p>
        </w:tc>
        <w:tc>
          <w:tcPr>
            <w:tcW w:w="949" w:type="dxa"/>
            <w:gridSpan w:val="3"/>
            <w:vAlign w:val="center"/>
          </w:tcPr>
          <w:p w14:paraId="2AB20F0E"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65,367 </w:t>
            </w:r>
          </w:p>
        </w:tc>
        <w:tc>
          <w:tcPr>
            <w:tcW w:w="734" w:type="dxa"/>
            <w:gridSpan w:val="2"/>
            <w:vAlign w:val="center"/>
          </w:tcPr>
          <w:p w14:paraId="0BF84BB4"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21.8%</w:t>
            </w:r>
          </w:p>
        </w:tc>
        <w:tc>
          <w:tcPr>
            <w:tcW w:w="878" w:type="dxa"/>
            <w:vAlign w:val="center"/>
          </w:tcPr>
          <w:p w14:paraId="4F7CF408"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 xml:space="preserve">34,772 </w:t>
            </w:r>
          </w:p>
        </w:tc>
        <w:tc>
          <w:tcPr>
            <w:tcW w:w="730" w:type="dxa"/>
            <w:tcBorders>
              <w:right w:val="single" w:sz="12" w:space="0" w:color="auto"/>
            </w:tcBorders>
            <w:vAlign w:val="center"/>
          </w:tcPr>
          <w:p w14:paraId="07AAC73A" w14:textId="77777777" w:rsidR="00727C10" w:rsidRPr="00727C10" w:rsidRDefault="00727C10" w:rsidP="00056483">
            <w:pPr>
              <w:jc w:val="right"/>
              <w:rPr>
                <w:rFonts w:ascii="Arial Narrow" w:hAnsi="Arial Narrow" w:cs="Arial"/>
                <w:sz w:val="22"/>
                <w:szCs w:val="22"/>
              </w:rPr>
            </w:pPr>
            <w:r w:rsidRPr="00727C10">
              <w:rPr>
                <w:rFonts w:ascii="Arial Narrow" w:hAnsi="Arial Narrow" w:cs="Calibri"/>
                <w:sz w:val="22"/>
                <w:szCs w:val="22"/>
              </w:rPr>
              <w:t>23.1%</w:t>
            </w:r>
          </w:p>
        </w:tc>
      </w:tr>
      <w:tr w:rsidR="00C04089" w:rsidRPr="00727C10" w14:paraId="5572E429" w14:textId="77777777" w:rsidTr="00C04089">
        <w:trPr>
          <w:cantSplit/>
          <w:trHeight w:val="20"/>
          <w:jc w:val="center"/>
        </w:trPr>
        <w:tc>
          <w:tcPr>
            <w:tcW w:w="2775" w:type="dxa"/>
            <w:tcBorders>
              <w:left w:val="single" w:sz="12" w:space="0" w:color="auto"/>
              <w:right w:val="single" w:sz="12" w:space="0" w:color="auto"/>
            </w:tcBorders>
            <w:shd w:val="clear" w:color="auto" w:fill="D9E2F3" w:themeFill="accent1" w:themeFillTint="33"/>
          </w:tcPr>
          <w:p w14:paraId="05B6FA40" w14:textId="77777777" w:rsidR="00C04089" w:rsidRPr="00727C10" w:rsidRDefault="00C04089" w:rsidP="00064F18">
            <w:pPr>
              <w:rPr>
                <w:rFonts w:ascii="Arial Narrow" w:hAnsi="Arial Narrow" w:cs="Arial"/>
                <w:b/>
                <w:bCs/>
                <w:sz w:val="22"/>
                <w:szCs w:val="22"/>
              </w:rPr>
            </w:pPr>
            <w:r w:rsidRPr="00727C10">
              <w:rPr>
                <w:rFonts w:ascii="Arial Narrow" w:hAnsi="Arial Narrow" w:cs="Arial"/>
                <w:b/>
                <w:bCs/>
                <w:sz w:val="22"/>
                <w:szCs w:val="22"/>
              </w:rPr>
              <w:t>Geographic Origin</w:t>
            </w:r>
            <w:r>
              <w:rPr>
                <w:rFonts w:ascii="ZWAdobeF" w:hAnsi="ZWAdobeF" w:cs="ZWAdobeF"/>
                <w:bCs/>
                <w:sz w:val="2"/>
                <w:szCs w:val="2"/>
              </w:rPr>
              <w:t>7F</w:t>
            </w:r>
            <w:r w:rsidRPr="00727C10">
              <w:rPr>
                <w:rStyle w:val="FootnoteReference"/>
                <w:rFonts w:ascii="Arial Narrow" w:hAnsi="Arial Narrow" w:cs="Arial"/>
                <w:b/>
                <w:bCs/>
                <w:sz w:val="22"/>
                <w:szCs w:val="22"/>
              </w:rPr>
              <w:footnoteReference w:id="8"/>
            </w:r>
          </w:p>
        </w:tc>
        <w:tc>
          <w:tcPr>
            <w:tcW w:w="990" w:type="dxa"/>
            <w:gridSpan w:val="3"/>
            <w:tcBorders>
              <w:left w:val="single" w:sz="12" w:space="0" w:color="auto"/>
              <w:right w:val="single" w:sz="12" w:space="0" w:color="auto"/>
            </w:tcBorders>
            <w:shd w:val="clear" w:color="auto" w:fill="D9E2F3" w:themeFill="accent1" w:themeFillTint="33"/>
          </w:tcPr>
          <w:p w14:paraId="57AB1814" w14:textId="77777777" w:rsidR="00C04089" w:rsidRPr="00727C10" w:rsidRDefault="00C04089" w:rsidP="00064F18">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59C7A542" w14:textId="77777777" w:rsidR="00C04089" w:rsidRPr="00727C10" w:rsidRDefault="00C04089" w:rsidP="00064F18">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tcPr>
          <w:p w14:paraId="5B1BC7B1" w14:textId="77777777" w:rsidR="00C04089" w:rsidRPr="00727C10" w:rsidRDefault="00C04089" w:rsidP="00064F18">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tcPr>
          <w:p w14:paraId="53C8AEA9" w14:textId="77777777" w:rsidR="00C04089" w:rsidRPr="00727C10" w:rsidRDefault="00C04089" w:rsidP="00064F18">
            <w:pPr>
              <w:rPr>
                <w:rFonts w:ascii="Arial Narrow" w:hAnsi="Arial Narrow" w:cs="Arial"/>
                <w:b/>
                <w:bCs/>
                <w:sz w:val="22"/>
                <w:szCs w:val="22"/>
              </w:rPr>
            </w:pPr>
          </w:p>
        </w:tc>
        <w:tc>
          <w:tcPr>
            <w:tcW w:w="900" w:type="dxa"/>
            <w:tcBorders>
              <w:left w:val="single" w:sz="12" w:space="0" w:color="auto"/>
              <w:right w:val="single" w:sz="12" w:space="0" w:color="auto"/>
            </w:tcBorders>
            <w:shd w:val="clear" w:color="auto" w:fill="D9E2F3" w:themeFill="accent1" w:themeFillTint="33"/>
          </w:tcPr>
          <w:p w14:paraId="54E16FAC" w14:textId="77777777" w:rsidR="00C04089" w:rsidRPr="00727C10" w:rsidRDefault="00C04089" w:rsidP="00064F18">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6785F100" w14:textId="77777777" w:rsidR="00C04089" w:rsidRPr="00727C10" w:rsidRDefault="00C04089" w:rsidP="00064F18">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tcPr>
          <w:p w14:paraId="187B6CD6" w14:textId="77777777" w:rsidR="00C04089" w:rsidRPr="00727C10" w:rsidRDefault="00C04089" w:rsidP="00064F18">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tcPr>
          <w:p w14:paraId="335B6D0A" w14:textId="77BC1678" w:rsidR="00C04089" w:rsidRPr="00727C10" w:rsidRDefault="00C04089" w:rsidP="00064F18">
            <w:pPr>
              <w:rPr>
                <w:rFonts w:ascii="Arial Narrow" w:hAnsi="Arial Narrow" w:cs="Arial"/>
                <w:b/>
                <w:bCs/>
                <w:sz w:val="22"/>
                <w:szCs w:val="22"/>
              </w:rPr>
            </w:pPr>
          </w:p>
        </w:tc>
      </w:tr>
      <w:tr w:rsidR="00BE616C" w:rsidRPr="00727C10" w14:paraId="2AC37B21" w14:textId="77777777" w:rsidTr="00B65B3B">
        <w:trPr>
          <w:cantSplit/>
          <w:trHeight w:val="20"/>
          <w:jc w:val="center"/>
        </w:trPr>
        <w:tc>
          <w:tcPr>
            <w:tcW w:w="2781" w:type="dxa"/>
            <w:gridSpan w:val="2"/>
            <w:tcBorders>
              <w:left w:val="single" w:sz="12" w:space="0" w:color="auto"/>
            </w:tcBorders>
          </w:tcPr>
          <w:p w14:paraId="33A7D655"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Dorchester </w:t>
            </w:r>
          </w:p>
        </w:tc>
        <w:tc>
          <w:tcPr>
            <w:tcW w:w="935" w:type="dxa"/>
          </w:tcPr>
          <w:p w14:paraId="48D641C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41,212 </w:t>
            </w:r>
          </w:p>
        </w:tc>
        <w:tc>
          <w:tcPr>
            <w:tcW w:w="733" w:type="dxa"/>
            <w:gridSpan w:val="2"/>
          </w:tcPr>
          <w:p w14:paraId="5EA5A93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18.1%</w:t>
            </w:r>
          </w:p>
        </w:tc>
        <w:tc>
          <w:tcPr>
            <w:tcW w:w="877" w:type="dxa"/>
            <w:gridSpan w:val="3"/>
          </w:tcPr>
          <w:p w14:paraId="145A430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38,661 </w:t>
            </w:r>
          </w:p>
        </w:tc>
        <w:tc>
          <w:tcPr>
            <w:tcW w:w="738" w:type="dxa"/>
          </w:tcPr>
          <w:p w14:paraId="65C95FE4"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18.7%</w:t>
            </w:r>
          </w:p>
        </w:tc>
        <w:tc>
          <w:tcPr>
            <w:tcW w:w="949" w:type="dxa"/>
            <w:gridSpan w:val="3"/>
          </w:tcPr>
          <w:p w14:paraId="7970A88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50,673 </w:t>
            </w:r>
          </w:p>
        </w:tc>
        <w:tc>
          <w:tcPr>
            <w:tcW w:w="734" w:type="dxa"/>
            <w:gridSpan w:val="2"/>
          </w:tcPr>
          <w:p w14:paraId="71FF6404"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16.9%</w:t>
            </w:r>
          </w:p>
        </w:tc>
        <w:tc>
          <w:tcPr>
            <w:tcW w:w="878" w:type="dxa"/>
          </w:tcPr>
          <w:p w14:paraId="6DACE73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27,665 </w:t>
            </w:r>
          </w:p>
        </w:tc>
        <w:tc>
          <w:tcPr>
            <w:tcW w:w="730" w:type="dxa"/>
            <w:tcBorders>
              <w:right w:val="single" w:sz="12" w:space="0" w:color="auto"/>
            </w:tcBorders>
          </w:tcPr>
          <w:p w14:paraId="1D2EE2E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18.4%</w:t>
            </w:r>
          </w:p>
        </w:tc>
      </w:tr>
      <w:tr w:rsidR="00BE616C" w:rsidRPr="00727C10" w14:paraId="081E89C2" w14:textId="77777777" w:rsidTr="00B65B3B">
        <w:trPr>
          <w:cantSplit/>
          <w:trHeight w:val="20"/>
          <w:jc w:val="center"/>
        </w:trPr>
        <w:tc>
          <w:tcPr>
            <w:tcW w:w="2781" w:type="dxa"/>
            <w:gridSpan w:val="2"/>
            <w:tcBorders>
              <w:left w:val="single" w:sz="12" w:space="0" w:color="auto"/>
            </w:tcBorders>
          </w:tcPr>
          <w:p w14:paraId="28577835"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Boston</w:t>
            </w:r>
          </w:p>
        </w:tc>
        <w:tc>
          <w:tcPr>
            <w:tcW w:w="935" w:type="dxa"/>
          </w:tcPr>
          <w:p w14:paraId="3EAB4D3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31,395 </w:t>
            </w:r>
          </w:p>
        </w:tc>
        <w:tc>
          <w:tcPr>
            <w:tcW w:w="733" w:type="dxa"/>
            <w:gridSpan w:val="2"/>
          </w:tcPr>
          <w:p w14:paraId="4CBE072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13.8%</w:t>
            </w:r>
          </w:p>
        </w:tc>
        <w:tc>
          <w:tcPr>
            <w:tcW w:w="877" w:type="dxa"/>
            <w:gridSpan w:val="3"/>
          </w:tcPr>
          <w:p w14:paraId="31254AA5"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28,539 </w:t>
            </w:r>
          </w:p>
        </w:tc>
        <w:tc>
          <w:tcPr>
            <w:tcW w:w="738" w:type="dxa"/>
          </w:tcPr>
          <w:p w14:paraId="7EAD6FD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13.8%</w:t>
            </w:r>
          </w:p>
        </w:tc>
        <w:tc>
          <w:tcPr>
            <w:tcW w:w="949" w:type="dxa"/>
            <w:gridSpan w:val="3"/>
          </w:tcPr>
          <w:p w14:paraId="5EA9358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47,193 </w:t>
            </w:r>
          </w:p>
        </w:tc>
        <w:tc>
          <w:tcPr>
            <w:tcW w:w="734" w:type="dxa"/>
            <w:gridSpan w:val="2"/>
          </w:tcPr>
          <w:p w14:paraId="1C78019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15.8%</w:t>
            </w:r>
          </w:p>
        </w:tc>
        <w:tc>
          <w:tcPr>
            <w:tcW w:w="878" w:type="dxa"/>
          </w:tcPr>
          <w:p w14:paraId="42E2E85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23,681 </w:t>
            </w:r>
          </w:p>
        </w:tc>
        <w:tc>
          <w:tcPr>
            <w:tcW w:w="730" w:type="dxa"/>
            <w:tcBorders>
              <w:right w:val="single" w:sz="12" w:space="0" w:color="auto"/>
            </w:tcBorders>
          </w:tcPr>
          <w:p w14:paraId="15F8E2B9"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15.7%</w:t>
            </w:r>
          </w:p>
        </w:tc>
      </w:tr>
      <w:tr w:rsidR="00BE616C" w:rsidRPr="00727C10" w14:paraId="0321E6DF" w14:textId="77777777" w:rsidTr="00B65B3B">
        <w:trPr>
          <w:cantSplit/>
          <w:trHeight w:val="20"/>
          <w:jc w:val="center"/>
        </w:trPr>
        <w:tc>
          <w:tcPr>
            <w:tcW w:w="2781" w:type="dxa"/>
            <w:gridSpan w:val="2"/>
            <w:tcBorders>
              <w:left w:val="single" w:sz="12" w:space="0" w:color="auto"/>
            </w:tcBorders>
          </w:tcPr>
          <w:p w14:paraId="169793F2"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Roxbury</w:t>
            </w:r>
          </w:p>
        </w:tc>
        <w:tc>
          <w:tcPr>
            <w:tcW w:w="935" w:type="dxa"/>
          </w:tcPr>
          <w:p w14:paraId="501374C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12,793 </w:t>
            </w:r>
          </w:p>
        </w:tc>
        <w:tc>
          <w:tcPr>
            <w:tcW w:w="733" w:type="dxa"/>
            <w:gridSpan w:val="2"/>
          </w:tcPr>
          <w:p w14:paraId="15746D5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5.6%</w:t>
            </w:r>
          </w:p>
        </w:tc>
        <w:tc>
          <w:tcPr>
            <w:tcW w:w="877" w:type="dxa"/>
            <w:gridSpan w:val="3"/>
          </w:tcPr>
          <w:p w14:paraId="2E932AB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11,990 </w:t>
            </w:r>
          </w:p>
        </w:tc>
        <w:tc>
          <w:tcPr>
            <w:tcW w:w="738" w:type="dxa"/>
          </w:tcPr>
          <w:p w14:paraId="5ED9E02E"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5.8%</w:t>
            </w:r>
          </w:p>
        </w:tc>
        <w:tc>
          <w:tcPr>
            <w:tcW w:w="949" w:type="dxa"/>
            <w:gridSpan w:val="3"/>
          </w:tcPr>
          <w:p w14:paraId="677A25A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14,882 </w:t>
            </w:r>
          </w:p>
        </w:tc>
        <w:tc>
          <w:tcPr>
            <w:tcW w:w="734" w:type="dxa"/>
            <w:gridSpan w:val="2"/>
          </w:tcPr>
          <w:p w14:paraId="5403EC9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5.0%</w:t>
            </w:r>
          </w:p>
        </w:tc>
        <w:tc>
          <w:tcPr>
            <w:tcW w:w="878" w:type="dxa"/>
          </w:tcPr>
          <w:p w14:paraId="3598EE3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8,855 </w:t>
            </w:r>
          </w:p>
        </w:tc>
        <w:tc>
          <w:tcPr>
            <w:tcW w:w="730" w:type="dxa"/>
            <w:tcBorders>
              <w:right w:val="single" w:sz="12" w:space="0" w:color="auto"/>
            </w:tcBorders>
          </w:tcPr>
          <w:p w14:paraId="46F6BF9E"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5.9%</w:t>
            </w:r>
          </w:p>
        </w:tc>
      </w:tr>
      <w:tr w:rsidR="00BE616C" w:rsidRPr="00727C10" w14:paraId="25E1FEF9" w14:textId="77777777" w:rsidTr="00B65B3B">
        <w:trPr>
          <w:cantSplit/>
          <w:trHeight w:val="20"/>
          <w:jc w:val="center"/>
        </w:trPr>
        <w:tc>
          <w:tcPr>
            <w:tcW w:w="2781" w:type="dxa"/>
            <w:gridSpan w:val="2"/>
            <w:tcBorders>
              <w:left w:val="single" w:sz="12" w:space="0" w:color="auto"/>
            </w:tcBorders>
          </w:tcPr>
          <w:p w14:paraId="46A29DA7"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Brockton </w:t>
            </w:r>
          </w:p>
        </w:tc>
        <w:tc>
          <w:tcPr>
            <w:tcW w:w="935" w:type="dxa"/>
          </w:tcPr>
          <w:p w14:paraId="6786E2B0"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8,928 </w:t>
            </w:r>
          </w:p>
        </w:tc>
        <w:tc>
          <w:tcPr>
            <w:tcW w:w="733" w:type="dxa"/>
            <w:gridSpan w:val="2"/>
          </w:tcPr>
          <w:p w14:paraId="3CB374A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3.9%</w:t>
            </w:r>
          </w:p>
        </w:tc>
        <w:tc>
          <w:tcPr>
            <w:tcW w:w="877" w:type="dxa"/>
            <w:gridSpan w:val="3"/>
          </w:tcPr>
          <w:p w14:paraId="4B8FB23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8,035 </w:t>
            </w:r>
          </w:p>
        </w:tc>
        <w:tc>
          <w:tcPr>
            <w:tcW w:w="738" w:type="dxa"/>
          </w:tcPr>
          <w:p w14:paraId="62B3D51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3.9%</w:t>
            </w:r>
          </w:p>
        </w:tc>
        <w:tc>
          <w:tcPr>
            <w:tcW w:w="949" w:type="dxa"/>
            <w:gridSpan w:val="3"/>
          </w:tcPr>
          <w:p w14:paraId="2803DF8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9,239 </w:t>
            </w:r>
          </w:p>
        </w:tc>
        <w:tc>
          <w:tcPr>
            <w:tcW w:w="734" w:type="dxa"/>
            <w:gridSpan w:val="2"/>
          </w:tcPr>
          <w:p w14:paraId="37A2182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3.1%</w:t>
            </w:r>
          </w:p>
        </w:tc>
        <w:tc>
          <w:tcPr>
            <w:tcW w:w="878" w:type="dxa"/>
          </w:tcPr>
          <w:p w14:paraId="60856429"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4,676 </w:t>
            </w:r>
          </w:p>
        </w:tc>
        <w:tc>
          <w:tcPr>
            <w:tcW w:w="730" w:type="dxa"/>
            <w:tcBorders>
              <w:right w:val="single" w:sz="12" w:space="0" w:color="auto"/>
            </w:tcBorders>
          </w:tcPr>
          <w:p w14:paraId="78606A7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3.1%</w:t>
            </w:r>
          </w:p>
        </w:tc>
      </w:tr>
      <w:tr w:rsidR="00BE616C" w:rsidRPr="00727C10" w14:paraId="1DE85AFB" w14:textId="77777777" w:rsidTr="00B65B3B">
        <w:trPr>
          <w:cantSplit/>
          <w:trHeight w:val="20"/>
          <w:jc w:val="center"/>
        </w:trPr>
        <w:tc>
          <w:tcPr>
            <w:tcW w:w="2781" w:type="dxa"/>
            <w:gridSpan w:val="2"/>
            <w:tcBorders>
              <w:left w:val="single" w:sz="12" w:space="0" w:color="auto"/>
            </w:tcBorders>
          </w:tcPr>
          <w:p w14:paraId="69FF6DE5"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Mattapan </w:t>
            </w:r>
          </w:p>
        </w:tc>
        <w:tc>
          <w:tcPr>
            <w:tcW w:w="935" w:type="dxa"/>
          </w:tcPr>
          <w:p w14:paraId="0727E96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7,540 </w:t>
            </w:r>
          </w:p>
        </w:tc>
        <w:tc>
          <w:tcPr>
            <w:tcW w:w="733" w:type="dxa"/>
            <w:gridSpan w:val="2"/>
          </w:tcPr>
          <w:p w14:paraId="2132980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3.3%</w:t>
            </w:r>
          </w:p>
        </w:tc>
        <w:tc>
          <w:tcPr>
            <w:tcW w:w="877" w:type="dxa"/>
            <w:gridSpan w:val="3"/>
          </w:tcPr>
          <w:p w14:paraId="2CFFC699"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6,909 </w:t>
            </w:r>
          </w:p>
        </w:tc>
        <w:tc>
          <w:tcPr>
            <w:tcW w:w="738" w:type="dxa"/>
          </w:tcPr>
          <w:p w14:paraId="6B72A4E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3.3%</w:t>
            </w:r>
          </w:p>
        </w:tc>
        <w:tc>
          <w:tcPr>
            <w:tcW w:w="949" w:type="dxa"/>
            <w:gridSpan w:val="3"/>
          </w:tcPr>
          <w:p w14:paraId="282E5E5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9,139 </w:t>
            </w:r>
          </w:p>
        </w:tc>
        <w:tc>
          <w:tcPr>
            <w:tcW w:w="734" w:type="dxa"/>
            <w:gridSpan w:val="2"/>
          </w:tcPr>
          <w:p w14:paraId="15E6BAE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3.1%</w:t>
            </w:r>
          </w:p>
        </w:tc>
        <w:tc>
          <w:tcPr>
            <w:tcW w:w="878" w:type="dxa"/>
          </w:tcPr>
          <w:p w14:paraId="4F9BF9D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5,466 </w:t>
            </w:r>
          </w:p>
        </w:tc>
        <w:tc>
          <w:tcPr>
            <w:tcW w:w="730" w:type="dxa"/>
            <w:tcBorders>
              <w:right w:val="single" w:sz="12" w:space="0" w:color="auto"/>
            </w:tcBorders>
          </w:tcPr>
          <w:p w14:paraId="2DCC9E79"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3.6%</w:t>
            </w:r>
          </w:p>
        </w:tc>
      </w:tr>
      <w:tr w:rsidR="00BE616C" w:rsidRPr="00727C10" w14:paraId="59341EFA" w14:textId="77777777" w:rsidTr="00B65B3B">
        <w:trPr>
          <w:cantSplit/>
          <w:trHeight w:val="20"/>
          <w:jc w:val="center"/>
        </w:trPr>
        <w:tc>
          <w:tcPr>
            <w:tcW w:w="2781" w:type="dxa"/>
            <w:gridSpan w:val="2"/>
            <w:tcBorders>
              <w:left w:val="single" w:sz="12" w:space="0" w:color="auto"/>
            </w:tcBorders>
          </w:tcPr>
          <w:p w14:paraId="75F70C8C"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Hyde Park </w:t>
            </w:r>
          </w:p>
        </w:tc>
        <w:tc>
          <w:tcPr>
            <w:tcW w:w="935" w:type="dxa"/>
          </w:tcPr>
          <w:p w14:paraId="21A94DF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7,002 </w:t>
            </w:r>
          </w:p>
        </w:tc>
        <w:tc>
          <w:tcPr>
            <w:tcW w:w="733" w:type="dxa"/>
            <w:gridSpan w:val="2"/>
          </w:tcPr>
          <w:p w14:paraId="77220248"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3.1%</w:t>
            </w:r>
          </w:p>
        </w:tc>
        <w:tc>
          <w:tcPr>
            <w:tcW w:w="877" w:type="dxa"/>
            <w:gridSpan w:val="3"/>
          </w:tcPr>
          <w:p w14:paraId="6EBE6B68"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6,293 </w:t>
            </w:r>
          </w:p>
        </w:tc>
        <w:tc>
          <w:tcPr>
            <w:tcW w:w="738" w:type="dxa"/>
          </w:tcPr>
          <w:p w14:paraId="1A2B5A50"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3.0%</w:t>
            </w:r>
          </w:p>
        </w:tc>
        <w:tc>
          <w:tcPr>
            <w:tcW w:w="949" w:type="dxa"/>
            <w:gridSpan w:val="3"/>
          </w:tcPr>
          <w:p w14:paraId="0C34675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9,730 </w:t>
            </w:r>
          </w:p>
        </w:tc>
        <w:tc>
          <w:tcPr>
            <w:tcW w:w="734" w:type="dxa"/>
            <w:gridSpan w:val="2"/>
          </w:tcPr>
          <w:p w14:paraId="516D118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3.3%</w:t>
            </w:r>
          </w:p>
        </w:tc>
        <w:tc>
          <w:tcPr>
            <w:tcW w:w="878" w:type="dxa"/>
          </w:tcPr>
          <w:p w14:paraId="6046463A"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5,053 </w:t>
            </w:r>
          </w:p>
        </w:tc>
        <w:tc>
          <w:tcPr>
            <w:tcW w:w="730" w:type="dxa"/>
            <w:tcBorders>
              <w:right w:val="single" w:sz="12" w:space="0" w:color="auto"/>
            </w:tcBorders>
          </w:tcPr>
          <w:p w14:paraId="0301054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3.4%</w:t>
            </w:r>
          </w:p>
        </w:tc>
      </w:tr>
      <w:tr w:rsidR="00BE616C" w:rsidRPr="00727C10" w14:paraId="5A082F33" w14:textId="77777777" w:rsidTr="00B65B3B">
        <w:trPr>
          <w:cantSplit/>
          <w:trHeight w:val="20"/>
          <w:jc w:val="center"/>
        </w:trPr>
        <w:tc>
          <w:tcPr>
            <w:tcW w:w="2781" w:type="dxa"/>
            <w:gridSpan w:val="2"/>
            <w:tcBorders>
              <w:left w:val="single" w:sz="12" w:space="0" w:color="auto"/>
            </w:tcBorders>
          </w:tcPr>
          <w:p w14:paraId="3F9540C7"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Revere </w:t>
            </w:r>
          </w:p>
        </w:tc>
        <w:tc>
          <w:tcPr>
            <w:tcW w:w="935" w:type="dxa"/>
          </w:tcPr>
          <w:p w14:paraId="5BE2E89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6,547 </w:t>
            </w:r>
          </w:p>
        </w:tc>
        <w:tc>
          <w:tcPr>
            <w:tcW w:w="733" w:type="dxa"/>
            <w:gridSpan w:val="2"/>
          </w:tcPr>
          <w:p w14:paraId="2B028C1A"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2.9%</w:t>
            </w:r>
          </w:p>
        </w:tc>
        <w:tc>
          <w:tcPr>
            <w:tcW w:w="877" w:type="dxa"/>
            <w:gridSpan w:val="3"/>
          </w:tcPr>
          <w:p w14:paraId="1BC59CB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5,984 </w:t>
            </w:r>
          </w:p>
        </w:tc>
        <w:tc>
          <w:tcPr>
            <w:tcW w:w="738" w:type="dxa"/>
          </w:tcPr>
          <w:p w14:paraId="0719AEBD"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2.9%</w:t>
            </w:r>
          </w:p>
        </w:tc>
        <w:tc>
          <w:tcPr>
            <w:tcW w:w="949" w:type="dxa"/>
            <w:gridSpan w:val="3"/>
          </w:tcPr>
          <w:p w14:paraId="7F513A1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6,794 </w:t>
            </w:r>
          </w:p>
        </w:tc>
        <w:tc>
          <w:tcPr>
            <w:tcW w:w="734" w:type="dxa"/>
            <w:gridSpan w:val="2"/>
          </w:tcPr>
          <w:p w14:paraId="6A2F3FE0"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2.3%</w:t>
            </w:r>
          </w:p>
        </w:tc>
        <w:tc>
          <w:tcPr>
            <w:tcW w:w="878" w:type="dxa"/>
          </w:tcPr>
          <w:p w14:paraId="31B2706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3,389 </w:t>
            </w:r>
          </w:p>
        </w:tc>
        <w:tc>
          <w:tcPr>
            <w:tcW w:w="730" w:type="dxa"/>
            <w:tcBorders>
              <w:right w:val="single" w:sz="12" w:space="0" w:color="auto"/>
            </w:tcBorders>
          </w:tcPr>
          <w:p w14:paraId="258E2AA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2.2%</w:t>
            </w:r>
          </w:p>
        </w:tc>
      </w:tr>
      <w:tr w:rsidR="00BE616C" w:rsidRPr="00727C10" w14:paraId="17C9800E" w14:textId="77777777" w:rsidTr="00B65B3B">
        <w:trPr>
          <w:cantSplit/>
          <w:trHeight w:val="20"/>
          <w:jc w:val="center"/>
        </w:trPr>
        <w:tc>
          <w:tcPr>
            <w:tcW w:w="2781" w:type="dxa"/>
            <w:gridSpan w:val="2"/>
            <w:tcBorders>
              <w:left w:val="single" w:sz="12" w:space="0" w:color="auto"/>
            </w:tcBorders>
          </w:tcPr>
          <w:p w14:paraId="07079724"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Quincy</w:t>
            </w:r>
          </w:p>
        </w:tc>
        <w:tc>
          <w:tcPr>
            <w:tcW w:w="935" w:type="dxa"/>
          </w:tcPr>
          <w:p w14:paraId="493DEADD"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6,147 </w:t>
            </w:r>
          </w:p>
        </w:tc>
        <w:tc>
          <w:tcPr>
            <w:tcW w:w="733" w:type="dxa"/>
            <w:gridSpan w:val="2"/>
          </w:tcPr>
          <w:p w14:paraId="6767EF4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2.7%</w:t>
            </w:r>
          </w:p>
        </w:tc>
        <w:tc>
          <w:tcPr>
            <w:tcW w:w="877" w:type="dxa"/>
            <w:gridSpan w:val="3"/>
          </w:tcPr>
          <w:p w14:paraId="1952A20D"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5,673 </w:t>
            </w:r>
          </w:p>
        </w:tc>
        <w:tc>
          <w:tcPr>
            <w:tcW w:w="738" w:type="dxa"/>
          </w:tcPr>
          <w:p w14:paraId="121F95D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2.7%</w:t>
            </w:r>
          </w:p>
        </w:tc>
        <w:tc>
          <w:tcPr>
            <w:tcW w:w="949" w:type="dxa"/>
            <w:gridSpan w:val="3"/>
          </w:tcPr>
          <w:p w14:paraId="60C4B0D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7,759 </w:t>
            </w:r>
          </w:p>
        </w:tc>
        <w:tc>
          <w:tcPr>
            <w:tcW w:w="734" w:type="dxa"/>
            <w:gridSpan w:val="2"/>
          </w:tcPr>
          <w:p w14:paraId="74C0665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2.6%</w:t>
            </w:r>
          </w:p>
        </w:tc>
        <w:tc>
          <w:tcPr>
            <w:tcW w:w="878" w:type="dxa"/>
          </w:tcPr>
          <w:p w14:paraId="14221F3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3,909 </w:t>
            </w:r>
          </w:p>
        </w:tc>
        <w:tc>
          <w:tcPr>
            <w:tcW w:w="730" w:type="dxa"/>
            <w:tcBorders>
              <w:right w:val="single" w:sz="12" w:space="0" w:color="auto"/>
            </w:tcBorders>
          </w:tcPr>
          <w:p w14:paraId="7C139F0C"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2.6%</w:t>
            </w:r>
          </w:p>
        </w:tc>
      </w:tr>
      <w:tr w:rsidR="00BE616C" w:rsidRPr="00727C10" w14:paraId="608BEE3B" w14:textId="77777777" w:rsidTr="00B65B3B">
        <w:trPr>
          <w:cantSplit/>
          <w:trHeight w:val="20"/>
          <w:jc w:val="center"/>
        </w:trPr>
        <w:tc>
          <w:tcPr>
            <w:tcW w:w="2781" w:type="dxa"/>
            <w:gridSpan w:val="2"/>
            <w:tcBorders>
              <w:left w:val="single" w:sz="12" w:space="0" w:color="auto"/>
            </w:tcBorders>
          </w:tcPr>
          <w:p w14:paraId="284253C2"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Chelsea</w:t>
            </w:r>
          </w:p>
        </w:tc>
        <w:tc>
          <w:tcPr>
            <w:tcW w:w="935" w:type="dxa"/>
          </w:tcPr>
          <w:p w14:paraId="1393F59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5,367 </w:t>
            </w:r>
          </w:p>
        </w:tc>
        <w:tc>
          <w:tcPr>
            <w:tcW w:w="733" w:type="dxa"/>
            <w:gridSpan w:val="2"/>
          </w:tcPr>
          <w:p w14:paraId="2E40AF7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2.4%</w:t>
            </w:r>
          </w:p>
        </w:tc>
        <w:tc>
          <w:tcPr>
            <w:tcW w:w="877" w:type="dxa"/>
            <w:gridSpan w:val="3"/>
          </w:tcPr>
          <w:p w14:paraId="02974DE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4,875 </w:t>
            </w:r>
          </w:p>
        </w:tc>
        <w:tc>
          <w:tcPr>
            <w:tcW w:w="738" w:type="dxa"/>
          </w:tcPr>
          <w:p w14:paraId="019383B0"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2.4%</w:t>
            </w:r>
          </w:p>
        </w:tc>
        <w:tc>
          <w:tcPr>
            <w:tcW w:w="949" w:type="dxa"/>
            <w:gridSpan w:val="3"/>
          </w:tcPr>
          <w:p w14:paraId="132FAD5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5,259 </w:t>
            </w:r>
          </w:p>
        </w:tc>
        <w:tc>
          <w:tcPr>
            <w:tcW w:w="734" w:type="dxa"/>
            <w:gridSpan w:val="2"/>
          </w:tcPr>
          <w:p w14:paraId="2719A82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w:t>
            </w:r>
          </w:p>
        </w:tc>
        <w:tc>
          <w:tcPr>
            <w:tcW w:w="878" w:type="dxa"/>
          </w:tcPr>
          <w:p w14:paraId="1E53FCA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2,695 </w:t>
            </w:r>
          </w:p>
        </w:tc>
        <w:tc>
          <w:tcPr>
            <w:tcW w:w="730" w:type="dxa"/>
            <w:tcBorders>
              <w:right w:val="single" w:sz="12" w:space="0" w:color="auto"/>
            </w:tcBorders>
          </w:tcPr>
          <w:p w14:paraId="17101F4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w:t>
            </w:r>
          </w:p>
        </w:tc>
      </w:tr>
      <w:tr w:rsidR="00BE616C" w:rsidRPr="00727C10" w14:paraId="192C9E9C" w14:textId="77777777" w:rsidTr="00B65B3B">
        <w:trPr>
          <w:cantSplit/>
          <w:trHeight w:val="20"/>
          <w:jc w:val="center"/>
        </w:trPr>
        <w:tc>
          <w:tcPr>
            <w:tcW w:w="2781" w:type="dxa"/>
            <w:gridSpan w:val="2"/>
            <w:tcBorders>
              <w:left w:val="single" w:sz="12" w:space="0" w:color="auto"/>
            </w:tcBorders>
          </w:tcPr>
          <w:p w14:paraId="733F43AB"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 xml:space="preserve">Lynn </w:t>
            </w:r>
          </w:p>
        </w:tc>
        <w:tc>
          <w:tcPr>
            <w:tcW w:w="935" w:type="dxa"/>
          </w:tcPr>
          <w:p w14:paraId="5D13E91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5,204 </w:t>
            </w:r>
          </w:p>
        </w:tc>
        <w:tc>
          <w:tcPr>
            <w:tcW w:w="733" w:type="dxa"/>
            <w:gridSpan w:val="2"/>
          </w:tcPr>
          <w:p w14:paraId="5FE1D578"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2.3%</w:t>
            </w:r>
          </w:p>
        </w:tc>
        <w:tc>
          <w:tcPr>
            <w:tcW w:w="877" w:type="dxa"/>
            <w:gridSpan w:val="3"/>
          </w:tcPr>
          <w:p w14:paraId="75C74CAF"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4,775 </w:t>
            </w:r>
          </w:p>
        </w:tc>
        <w:tc>
          <w:tcPr>
            <w:tcW w:w="738" w:type="dxa"/>
          </w:tcPr>
          <w:p w14:paraId="79D5CB95"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2.3%</w:t>
            </w:r>
          </w:p>
        </w:tc>
        <w:tc>
          <w:tcPr>
            <w:tcW w:w="949" w:type="dxa"/>
            <w:gridSpan w:val="3"/>
          </w:tcPr>
          <w:p w14:paraId="19F016A1"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5,081 </w:t>
            </w:r>
          </w:p>
        </w:tc>
        <w:tc>
          <w:tcPr>
            <w:tcW w:w="734" w:type="dxa"/>
            <w:gridSpan w:val="2"/>
          </w:tcPr>
          <w:p w14:paraId="2AA0EFF0"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1.7%</w:t>
            </w:r>
          </w:p>
        </w:tc>
        <w:tc>
          <w:tcPr>
            <w:tcW w:w="878" w:type="dxa"/>
          </w:tcPr>
          <w:p w14:paraId="7B218EAB"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2,645 </w:t>
            </w:r>
          </w:p>
        </w:tc>
        <w:tc>
          <w:tcPr>
            <w:tcW w:w="730" w:type="dxa"/>
            <w:tcBorders>
              <w:right w:val="single" w:sz="12" w:space="0" w:color="auto"/>
            </w:tcBorders>
          </w:tcPr>
          <w:p w14:paraId="516B3712"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1.8%</w:t>
            </w:r>
          </w:p>
        </w:tc>
      </w:tr>
      <w:tr w:rsidR="00BE616C" w:rsidRPr="00727C10" w14:paraId="01BA8050" w14:textId="77777777" w:rsidTr="00B65B3B">
        <w:trPr>
          <w:cantSplit/>
          <w:trHeight w:val="20"/>
          <w:jc w:val="center"/>
        </w:trPr>
        <w:tc>
          <w:tcPr>
            <w:tcW w:w="2781" w:type="dxa"/>
            <w:gridSpan w:val="2"/>
            <w:tcBorders>
              <w:left w:val="single" w:sz="12" w:space="0" w:color="auto"/>
              <w:bottom w:val="single" w:sz="4" w:space="0" w:color="auto"/>
            </w:tcBorders>
          </w:tcPr>
          <w:p w14:paraId="5FCD7DD1" w14:textId="77777777" w:rsidR="00727C10" w:rsidRPr="00727C10" w:rsidRDefault="00727C10" w:rsidP="00EB3E20">
            <w:pPr>
              <w:rPr>
                <w:rFonts w:ascii="Arial Narrow" w:hAnsi="Arial Narrow" w:cs="Arial"/>
                <w:sz w:val="22"/>
                <w:szCs w:val="22"/>
              </w:rPr>
            </w:pPr>
            <w:r w:rsidRPr="00727C10">
              <w:rPr>
                <w:rFonts w:ascii="Arial Narrow" w:hAnsi="Arial Narrow" w:cs="Arial"/>
                <w:sz w:val="22"/>
                <w:szCs w:val="22"/>
              </w:rPr>
              <w:t>All Other</w:t>
            </w:r>
          </w:p>
        </w:tc>
        <w:tc>
          <w:tcPr>
            <w:tcW w:w="935" w:type="dxa"/>
            <w:tcBorders>
              <w:bottom w:val="single" w:sz="4" w:space="0" w:color="auto"/>
            </w:tcBorders>
          </w:tcPr>
          <w:p w14:paraId="6960AF23"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96,003 </w:t>
            </w:r>
          </w:p>
        </w:tc>
        <w:tc>
          <w:tcPr>
            <w:tcW w:w="733" w:type="dxa"/>
            <w:gridSpan w:val="2"/>
            <w:tcBorders>
              <w:bottom w:val="single" w:sz="4" w:space="0" w:color="auto"/>
            </w:tcBorders>
          </w:tcPr>
          <w:p w14:paraId="3D2BC75A"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42.1%</w:t>
            </w:r>
          </w:p>
        </w:tc>
        <w:tc>
          <w:tcPr>
            <w:tcW w:w="877" w:type="dxa"/>
            <w:gridSpan w:val="3"/>
            <w:tcBorders>
              <w:bottom w:val="single" w:sz="4" w:space="0" w:color="auto"/>
            </w:tcBorders>
          </w:tcPr>
          <w:p w14:paraId="538BA847"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85,503 </w:t>
            </w:r>
          </w:p>
        </w:tc>
        <w:tc>
          <w:tcPr>
            <w:tcW w:w="738" w:type="dxa"/>
            <w:tcBorders>
              <w:bottom w:val="single" w:sz="4" w:space="0" w:color="auto"/>
            </w:tcBorders>
          </w:tcPr>
          <w:p w14:paraId="2FC38ACE"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41.3%</w:t>
            </w:r>
          </w:p>
        </w:tc>
        <w:tc>
          <w:tcPr>
            <w:tcW w:w="949" w:type="dxa"/>
            <w:gridSpan w:val="3"/>
            <w:tcBorders>
              <w:bottom w:val="single" w:sz="4" w:space="0" w:color="auto"/>
            </w:tcBorders>
          </w:tcPr>
          <w:p w14:paraId="7BB0C099"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133,509 </w:t>
            </w:r>
          </w:p>
        </w:tc>
        <w:tc>
          <w:tcPr>
            <w:tcW w:w="734" w:type="dxa"/>
            <w:gridSpan w:val="2"/>
            <w:tcBorders>
              <w:bottom w:val="single" w:sz="4" w:space="0" w:color="auto"/>
            </w:tcBorders>
          </w:tcPr>
          <w:p w14:paraId="46D99D86"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44.6%</w:t>
            </w:r>
          </w:p>
        </w:tc>
        <w:tc>
          <w:tcPr>
            <w:tcW w:w="878" w:type="dxa"/>
            <w:tcBorders>
              <w:bottom w:val="single" w:sz="4" w:space="0" w:color="auto"/>
            </w:tcBorders>
          </w:tcPr>
          <w:p w14:paraId="257D05E8"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 xml:space="preserve">62,691 </w:t>
            </w:r>
          </w:p>
        </w:tc>
        <w:tc>
          <w:tcPr>
            <w:tcW w:w="730" w:type="dxa"/>
            <w:tcBorders>
              <w:bottom w:val="single" w:sz="4" w:space="0" w:color="auto"/>
              <w:right w:val="single" w:sz="12" w:space="0" w:color="auto"/>
            </w:tcBorders>
          </w:tcPr>
          <w:p w14:paraId="48586228" w14:textId="77777777" w:rsidR="00727C10" w:rsidRPr="00727C10" w:rsidRDefault="00727C10" w:rsidP="00EB3E20">
            <w:pPr>
              <w:jc w:val="right"/>
              <w:rPr>
                <w:rFonts w:ascii="Arial Narrow" w:hAnsi="Arial Narrow" w:cs="Arial"/>
                <w:sz w:val="22"/>
                <w:szCs w:val="22"/>
              </w:rPr>
            </w:pPr>
            <w:r w:rsidRPr="00727C10">
              <w:rPr>
                <w:rFonts w:ascii="Arial Narrow" w:hAnsi="Arial Narrow" w:cs="Calibri"/>
                <w:sz w:val="22"/>
                <w:szCs w:val="22"/>
              </w:rPr>
              <w:t>41.6%</w:t>
            </w:r>
          </w:p>
        </w:tc>
      </w:tr>
      <w:tr w:rsidR="00BE616C" w:rsidRPr="00727C10" w14:paraId="6FAF8345" w14:textId="77777777" w:rsidTr="00B65B3B">
        <w:trPr>
          <w:cantSplit/>
          <w:trHeight w:val="20"/>
          <w:jc w:val="center"/>
        </w:trPr>
        <w:tc>
          <w:tcPr>
            <w:tcW w:w="2781" w:type="dxa"/>
            <w:gridSpan w:val="2"/>
            <w:tcBorders>
              <w:left w:val="single" w:sz="12" w:space="0" w:color="auto"/>
              <w:bottom w:val="single" w:sz="12" w:space="0" w:color="auto"/>
            </w:tcBorders>
            <w:shd w:val="clear" w:color="auto" w:fill="BFBFBF"/>
          </w:tcPr>
          <w:p w14:paraId="160B0B0E" w14:textId="7DA77009" w:rsidR="00727C10" w:rsidRPr="00727C10" w:rsidRDefault="00727C10" w:rsidP="00727C10">
            <w:pPr>
              <w:rPr>
                <w:rFonts w:ascii="Arial Narrow" w:hAnsi="Arial Narrow" w:cs="Arial"/>
                <w:sz w:val="22"/>
                <w:szCs w:val="22"/>
              </w:rPr>
            </w:pPr>
            <w:r w:rsidRPr="00727C10">
              <w:rPr>
                <w:rFonts w:ascii="Arial Narrow" w:hAnsi="Arial Narrow" w:cs="Arial"/>
                <w:b/>
                <w:bCs/>
                <w:sz w:val="22"/>
                <w:szCs w:val="22"/>
              </w:rPr>
              <w:t>BMC Total Patient</w:t>
            </w:r>
            <w:r>
              <w:rPr>
                <w:rFonts w:ascii="Arial Narrow" w:hAnsi="Arial Narrow" w:cs="Arial"/>
                <w:b/>
                <w:bCs/>
                <w:sz w:val="22"/>
                <w:szCs w:val="22"/>
              </w:rPr>
              <w:t xml:space="preserve"> Visits</w:t>
            </w:r>
          </w:p>
        </w:tc>
        <w:tc>
          <w:tcPr>
            <w:tcW w:w="935" w:type="dxa"/>
            <w:tcBorders>
              <w:bottom w:val="single" w:sz="12" w:space="0" w:color="auto"/>
            </w:tcBorders>
            <w:shd w:val="clear" w:color="auto" w:fill="BFBFBF"/>
          </w:tcPr>
          <w:p w14:paraId="40B3E44A" w14:textId="2046D39D" w:rsidR="00727C10" w:rsidRPr="00727C10" w:rsidRDefault="00727C10" w:rsidP="005640EC">
            <w:pPr>
              <w:ind w:left="-130" w:right="-20" w:firstLine="20"/>
              <w:jc w:val="right"/>
              <w:rPr>
                <w:rFonts w:ascii="Arial Narrow" w:hAnsi="Arial Narrow" w:cs="Calibri"/>
                <w:b/>
                <w:bCs/>
                <w:sz w:val="22"/>
                <w:szCs w:val="22"/>
              </w:rPr>
            </w:pPr>
            <w:r w:rsidRPr="00727C10">
              <w:rPr>
                <w:rFonts w:ascii="Arial Narrow" w:hAnsi="Arial Narrow" w:cs="Calibri"/>
                <w:b/>
                <w:bCs/>
                <w:sz w:val="22"/>
                <w:szCs w:val="22"/>
              </w:rPr>
              <w:t>1,073,269</w:t>
            </w:r>
          </w:p>
        </w:tc>
        <w:tc>
          <w:tcPr>
            <w:tcW w:w="733" w:type="dxa"/>
            <w:gridSpan w:val="2"/>
            <w:tcBorders>
              <w:bottom w:val="single" w:sz="12" w:space="0" w:color="auto"/>
            </w:tcBorders>
            <w:shd w:val="clear" w:color="auto" w:fill="BFBFBF"/>
          </w:tcPr>
          <w:p w14:paraId="5049BA4E" w14:textId="77777777" w:rsidR="00727C10" w:rsidRPr="00727C10" w:rsidRDefault="00727C10" w:rsidP="005640EC">
            <w:pPr>
              <w:jc w:val="right"/>
              <w:rPr>
                <w:rFonts w:ascii="Arial Narrow" w:hAnsi="Arial Narrow" w:cs="Calibri"/>
                <w:sz w:val="22"/>
                <w:szCs w:val="22"/>
              </w:rPr>
            </w:pPr>
          </w:p>
        </w:tc>
        <w:tc>
          <w:tcPr>
            <w:tcW w:w="877" w:type="dxa"/>
            <w:gridSpan w:val="3"/>
            <w:tcBorders>
              <w:bottom w:val="single" w:sz="12" w:space="0" w:color="auto"/>
            </w:tcBorders>
            <w:shd w:val="clear" w:color="auto" w:fill="BFBFBF"/>
          </w:tcPr>
          <w:p w14:paraId="377D30DB" w14:textId="5FC82AD9" w:rsidR="00727C10" w:rsidRPr="00583A3F" w:rsidRDefault="00583A3F" w:rsidP="005640EC">
            <w:pPr>
              <w:ind w:left="-160"/>
              <w:jc w:val="right"/>
              <w:rPr>
                <w:rFonts w:ascii="Arial Narrow" w:hAnsi="Arial Narrow" w:cs="Calibri"/>
                <w:b/>
                <w:bCs/>
                <w:sz w:val="22"/>
                <w:szCs w:val="22"/>
              </w:rPr>
            </w:pPr>
            <w:r w:rsidRPr="00583A3F">
              <w:rPr>
                <w:rFonts w:ascii="Arial Narrow" w:hAnsi="Arial Narrow" w:cs="Calibri"/>
                <w:b/>
                <w:bCs/>
                <w:sz w:val="22"/>
                <w:szCs w:val="22"/>
              </w:rPr>
              <w:t>977,488</w:t>
            </w:r>
          </w:p>
        </w:tc>
        <w:tc>
          <w:tcPr>
            <w:tcW w:w="738" w:type="dxa"/>
            <w:tcBorders>
              <w:bottom w:val="single" w:sz="12" w:space="0" w:color="auto"/>
            </w:tcBorders>
            <w:shd w:val="clear" w:color="auto" w:fill="BFBFBF"/>
          </w:tcPr>
          <w:p w14:paraId="58C81853" w14:textId="77777777" w:rsidR="00727C10" w:rsidRPr="00727C10" w:rsidRDefault="00727C10" w:rsidP="005640EC">
            <w:pPr>
              <w:jc w:val="right"/>
              <w:rPr>
                <w:rFonts w:ascii="Arial Narrow" w:hAnsi="Arial Narrow" w:cs="Calibri"/>
                <w:sz w:val="22"/>
                <w:szCs w:val="22"/>
              </w:rPr>
            </w:pPr>
          </w:p>
        </w:tc>
        <w:tc>
          <w:tcPr>
            <w:tcW w:w="949" w:type="dxa"/>
            <w:gridSpan w:val="3"/>
            <w:tcBorders>
              <w:bottom w:val="single" w:sz="12" w:space="0" w:color="auto"/>
            </w:tcBorders>
            <w:shd w:val="clear" w:color="auto" w:fill="BFBFBF"/>
          </w:tcPr>
          <w:p w14:paraId="0F5A0F08" w14:textId="6F38D49A" w:rsidR="00727C10" w:rsidRPr="00583A3F" w:rsidRDefault="00583A3F" w:rsidP="005640EC">
            <w:pPr>
              <w:ind w:left="-100"/>
              <w:jc w:val="right"/>
              <w:rPr>
                <w:rFonts w:ascii="Arial Narrow" w:hAnsi="Arial Narrow" w:cs="Calibri"/>
                <w:b/>
                <w:bCs/>
                <w:sz w:val="22"/>
                <w:szCs w:val="22"/>
              </w:rPr>
            </w:pPr>
            <w:r>
              <w:rPr>
                <w:rFonts w:ascii="Arial Narrow" w:hAnsi="Arial Narrow" w:cs="Calibri"/>
                <w:b/>
                <w:bCs/>
                <w:sz w:val="22"/>
                <w:szCs w:val="22"/>
              </w:rPr>
              <w:t>1,378,548</w:t>
            </w:r>
          </w:p>
        </w:tc>
        <w:tc>
          <w:tcPr>
            <w:tcW w:w="734" w:type="dxa"/>
            <w:gridSpan w:val="2"/>
            <w:tcBorders>
              <w:bottom w:val="single" w:sz="12" w:space="0" w:color="auto"/>
            </w:tcBorders>
            <w:shd w:val="clear" w:color="auto" w:fill="BFBFBF"/>
          </w:tcPr>
          <w:p w14:paraId="0CFF6872" w14:textId="77777777" w:rsidR="00727C10" w:rsidRPr="00727C10" w:rsidRDefault="00727C10" w:rsidP="005640EC">
            <w:pPr>
              <w:jc w:val="right"/>
              <w:rPr>
                <w:rFonts w:ascii="Arial Narrow" w:hAnsi="Arial Narrow" w:cs="Calibri"/>
                <w:sz w:val="22"/>
                <w:szCs w:val="22"/>
              </w:rPr>
            </w:pPr>
          </w:p>
        </w:tc>
        <w:tc>
          <w:tcPr>
            <w:tcW w:w="878" w:type="dxa"/>
            <w:tcBorders>
              <w:bottom w:val="single" w:sz="12" w:space="0" w:color="auto"/>
            </w:tcBorders>
            <w:shd w:val="clear" w:color="auto" w:fill="BFBFBF"/>
          </w:tcPr>
          <w:p w14:paraId="3D569C48" w14:textId="4F562A55" w:rsidR="00727C10" w:rsidRPr="00583A3F" w:rsidRDefault="00583A3F" w:rsidP="005640EC">
            <w:pPr>
              <w:ind w:left="-160"/>
              <w:jc w:val="right"/>
              <w:rPr>
                <w:rFonts w:ascii="Arial Narrow" w:hAnsi="Arial Narrow" w:cs="Calibri"/>
                <w:b/>
                <w:bCs/>
                <w:sz w:val="22"/>
                <w:szCs w:val="22"/>
              </w:rPr>
            </w:pPr>
            <w:r w:rsidRPr="00583A3F">
              <w:rPr>
                <w:rFonts w:ascii="Arial Narrow" w:hAnsi="Arial Narrow" w:cs="Calibri"/>
                <w:b/>
                <w:bCs/>
                <w:sz w:val="22"/>
                <w:szCs w:val="22"/>
              </w:rPr>
              <w:t>332,588</w:t>
            </w:r>
          </w:p>
        </w:tc>
        <w:tc>
          <w:tcPr>
            <w:tcW w:w="730" w:type="dxa"/>
            <w:tcBorders>
              <w:bottom w:val="single" w:sz="12" w:space="0" w:color="auto"/>
              <w:right w:val="single" w:sz="12" w:space="0" w:color="auto"/>
            </w:tcBorders>
            <w:shd w:val="clear" w:color="auto" w:fill="BFBFBF"/>
          </w:tcPr>
          <w:p w14:paraId="3EB638D8" w14:textId="77777777" w:rsidR="00727C10" w:rsidRPr="00727C10" w:rsidRDefault="00727C10" w:rsidP="005640EC">
            <w:pPr>
              <w:jc w:val="right"/>
              <w:rPr>
                <w:rFonts w:ascii="Arial Narrow" w:hAnsi="Arial Narrow" w:cs="Calibri"/>
                <w:sz w:val="22"/>
                <w:szCs w:val="22"/>
              </w:rPr>
            </w:pPr>
          </w:p>
        </w:tc>
      </w:tr>
    </w:tbl>
    <w:p w14:paraId="2C413335" w14:textId="5DCEFA87" w:rsidR="00954125" w:rsidRDefault="00954125" w:rsidP="00E6464C">
      <w:pPr>
        <w:pStyle w:val="NormalWeb"/>
        <w:spacing w:before="0" w:beforeAutospacing="0" w:after="0" w:afterAutospacing="0"/>
        <w:jc w:val="both"/>
        <w:rPr>
          <w:rFonts w:ascii="Arial" w:hAnsi="Arial" w:cs="Arial"/>
          <w:sz w:val="22"/>
          <w:szCs w:val="22"/>
          <w:u w:val="single"/>
        </w:rPr>
      </w:pPr>
    </w:p>
    <w:p w14:paraId="6E14F67B" w14:textId="6D562EE6" w:rsidR="00C93A41" w:rsidRDefault="004F425B" w:rsidP="00C1204F">
      <w:pPr>
        <w:pStyle w:val="NormalWeb"/>
        <w:spacing w:before="0" w:beforeAutospacing="0" w:after="0" w:afterAutospacing="0"/>
        <w:jc w:val="both"/>
        <w:rPr>
          <w:rFonts w:ascii="ArialMT" w:hAnsi="ArialMT"/>
          <w:sz w:val="22"/>
          <w:szCs w:val="22"/>
        </w:rPr>
      </w:pPr>
      <w:r>
        <w:rPr>
          <w:rFonts w:ascii="ArialMT" w:hAnsi="ArialMT"/>
          <w:sz w:val="22"/>
          <w:szCs w:val="22"/>
        </w:rPr>
        <w:t xml:space="preserve">In addition to the demographics outlined in Table 1, the payer mix for BMC’s patient panel for the last three </w:t>
      </w:r>
      <w:r w:rsidR="0058553D">
        <w:rPr>
          <w:rFonts w:ascii="ArialMT" w:hAnsi="ArialMT"/>
          <w:sz w:val="22"/>
          <w:szCs w:val="22"/>
        </w:rPr>
        <w:t>fiscal year</w:t>
      </w:r>
      <w:r w:rsidR="00F278A4">
        <w:rPr>
          <w:rFonts w:ascii="ArialMT" w:hAnsi="ArialMT"/>
          <w:sz w:val="22"/>
          <w:szCs w:val="22"/>
        </w:rPr>
        <w:t>s</w:t>
      </w:r>
      <w:r w:rsidR="00836A70">
        <w:rPr>
          <w:rFonts w:ascii="ArialMT" w:hAnsi="ArialMT"/>
          <w:sz w:val="22"/>
          <w:szCs w:val="22"/>
        </w:rPr>
        <w:t xml:space="preserve"> is outlined in Table 2</w:t>
      </w:r>
      <w:r>
        <w:rPr>
          <w:rFonts w:ascii="ArialMT" w:hAnsi="ArialMT"/>
          <w:sz w:val="22"/>
          <w:szCs w:val="22"/>
        </w:rPr>
        <w:t xml:space="preserve">. </w:t>
      </w:r>
      <w:r w:rsidR="007B24DE">
        <w:rPr>
          <w:rFonts w:ascii="ArialMT" w:hAnsi="ArialMT"/>
          <w:sz w:val="22"/>
          <w:szCs w:val="22"/>
        </w:rPr>
        <w:t xml:space="preserve">As shown in the table, the percentage of </w:t>
      </w:r>
      <w:r w:rsidR="005816F3">
        <w:rPr>
          <w:rFonts w:ascii="ArialMT" w:hAnsi="ArialMT"/>
          <w:sz w:val="22"/>
          <w:szCs w:val="22"/>
        </w:rPr>
        <w:t xml:space="preserve">BMC’s primary care lives covered </w:t>
      </w:r>
      <w:r w:rsidR="00402113">
        <w:rPr>
          <w:rFonts w:ascii="ArialMT" w:hAnsi="ArialMT"/>
          <w:sz w:val="22"/>
          <w:szCs w:val="22"/>
        </w:rPr>
        <w:t>by</w:t>
      </w:r>
      <w:r w:rsidR="005816F3">
        <w:rPr>
          <w:rFonts w:ascii="ArialMT" w:hAnsi="ArialMT"/>
          <w:sz w:val="22"/>
          <w:szCs w:val="22"/>
        </w:rPr>
        <w:t xml:space="preserve"> alternative payer mix (“APM”) and ACO contracts is </w:t>
      </w:r>
      <w:r w:rsidR="005B6067">
        <w:rPr>
          <w:rFonts w:ascii="ArialMT" w:hAnsi="ArialMT"/>
          <w:sz w:val="22"/>
          <w:szCs w:val="22"/>
        </w:rPr>
        <w:t>23.2</w:t>
      </w:r>
      <w:r w:rsidR="005816F3">
        <w:rPr>
          <w:rFonts w:ascii="ArialMT" w:hAnsi="ArialMT"/>
          <w:sz w:val="22"/>
          <w:szCs w:val="22"/>
        </w:rPr>
        <w:t xml:space="preserve">%, based on FY21 data. </w:t>
      </w:r>
      <w:r w:rsidR="005B6067">
        <w:rPr>
          <w:rFonts w:ascii="ArialMT" w:hAnsi="ArialMT"/>
          <w:sz w:val="22"/>
          <w:szCs w:val="22"/>
        </w:rPr>
        <w:t>The table also shows that</w:t>
      </w:r>
      <w:r w:rsidR="005816F3">
        <w:rPr>
          <w:rFonts w:ascii="ArialMT" w:hAnsi="ArialMT"/>
          <w:sz w:val="22"/>
          <w:szCs w:val="22"/>
        </w:rPr>
        <w:t xml:space="preserve"> the </w:t>
      </w:r>
      <w:r w:rsidR="00C1204F">
        <w:rPr>
          <w:rFonts w:ascii="ArialMT" w:hAnsi="ArialMT"/>
          <w:sz w:val="22"/>
          <w:szCs w:val="22"/>
        </w:rPr>
        <w:t>largest portion</w:t>
      </w:r>
      <w:r w:rsidR="005816F3">
        <w:rPr>
          <w:rFonts w:ascii="ArialMT" w:hAnsi="ArialMT"/>
          <w:sz w:val="22"/>
          <w:szCs w:val="22"/>
        </w:rPr>
        <w:t xml:space="preserve"> of BMC’s patients receive insurance coverage through a public payer</w:t>
      </w:r>
      <w:r w:rsidR="00C1204F">
        <w:rPr>
          <w:rFonts w:ascii="ArialMT" w:hAnsi="ArialMT"/>
          <w:sz w:val="22"/>
          <w:szCs w:val="22"/>
        </w:rPr>
        <w:t>;</w:t>
      </w:r>
      <w:r w:rsidR="005816F3">
        <w:rPr>
          <w:rFonts w:ascii="ArialMT" w:hAnsi="ArialMT"/>
          <w:sz w:val="22"/>
          <w:szCs w:val="22"/>
        </w:rPr>
        <w:t xml:space="preserve"> </w:t>
      </w:r>
      <w:r w:rsidR="00C1204F">
        <w:rPr>
          <w:rFonts w:ascii="ArialMT" w:hAnsi="ArialMT"/>
          <w:sz w:val="22"/>
          <w:szCs w:val="22"/>
        </w:rPr>
        <w:t>i</w:t>
      </w:r>
      <w:r w:rsidR="005816F3">
        <w:rPr>
          <w:rFonts w:ascii="ArialMT" w:hAnsi="ArialMT"/>
          <w:sz w:val="22"/>
          <w:szCs w:val="22"/>
        </w:rPr>
        <w:t>n FY21</w:t>
      </w:r>
      <w:r w:rsidR="007B24DE">
        <w:rPr>
          <w:rFonts w:ascii="ArialMT" w:hAnsi="ArialMT"/>
          <w:sz w:val="22"/>
          <w:szCs w:val="22"/>
        </w:rPr>
        <w:t xml:space="preserve">, </w:t>
      </w:r>
      <w:r w:rsidR="00F95C06">
        <w:rPr>
          <w:rFonts w:ascii="ArialMT" w:hAnsi="ArialMT"/>
          <w:sz w:val="22"/>
          <w:szCs w:val="22"/>
        </w:rPr>
        <w:t xml:space="preserve">BMC’s public payer mix included </w:t>
      </w:r>
      <w:r w:rsidR="00C93A41">
        <w:rPr>
          <w:rFonts w:ascii="ArialMT" w:hAnsi="ArialMT"/>
          <w:sz w:val="22"/>
          <w:szCs w:val="22"/>
        </w:rPr>
        <w:t xml:space="preserve">nearly 50% of all patients. </w:t>
      </w:r>
      <w:r w:rsidR="00F95C06">
        <w:rPr>
          <w:rFonts w:ascii="ArialMT" w:hAnsi="ArialMT"/>
          <w:sz w:val="22"/>
          <w:szCs w:val="22"/>
        </w:rPr>
        <w:t xml:space="preserve">Additionally, commercially insured patients represented </w:t>
      </w:r>
      <w:r w:rsidR="00C93A41">
        <w:rPr>
          <w:rFonts w:ascii="ArialMT" w:hAnsi="ArialMT"/>
          <w:sz w:val="22"/>
          <w:szCs w:val="22"/>
        </w:rPr>
        <w:t>40.6</w:t>
      </w:r>
      <w:r w:rsidR="00F95C06">
        <w:rPr>
          <w:rFonts w:ascii="ArialMT" w:hAnsi="ArialMT"/>
          <w:sz w:val="22"/>
          <w:szCs w:val="22"/>
        </w:rPr>
        <w:t xml:space="preserve">% of </w:t>
      </w:r>
      <w:r w:rsidR="00C93A41">
        <w:rPr>
          <w:rFonts w:ascii="ArialMT" w:hAnsi="ArialMT"/>
          <w:sz w:val="22"/>
          <w:szCs w:val="22"/>
        </w:rPr>
        <w:t>BMC</w:t>
      </w:r>
      <w:r w:rsidR="00F95C06">
        <w:rPr>
          <w:rFonts w:ascii="ArialMT" w:hAnsi="ArialMT"/>
          <w:sz w:val="22"/>
          <w:szCs w:val="22"/>
        </w:rPr>
        <w:t>’s patient panel</w:t>
      </w:r>
      <w:r w:rsidR="00C93A41">
        <w:rPr>
          <w:rFonts w:ascii="ArialMT" w:hAnsi="ArialMT"/>
          <w:sz w:val="22"/>
          <w:szCs w:val="22"/>
        </w:rPr>
        <w:t xml:space="preserve"> and free care and HSN patients represented 2.7%</w:t>
      </w:r>
      <w:r w:rsidR="00F95C06">
        <w:rPr>
          <w:rFonts w:ascii="ArialMT" w:hAnsi="ArialMT"/>
          <w:sz w:val="22"/>
          <w:szCs w:val="22"/>
        </w:rPr>
        <w:t xml:space="preserve">. </w:t>
      </w:r>
      <w:r w:rsidR="00D81874">
        <w:rPr>
          <w:rFonts w:ascii="ArialMT" w:hAnsi="ArialMT"/>
          <w:sz w:val="22"/>
          <w:szCs w:val="22"/>
        </w:rPr>
        <w:t>Remaining</w:t>
      </w:r>
      <w:r w:rsidR="00F95C06">
        <w:rPr>
          <w:rFonts w:ascii="ArialMT" w:hAnsi="ArialMT"/>
          <w:sz w:val="22"/>
          <w:szCs w:val="22"/>
        </w:rPr>
        <w:t xml:space="preserve"> patients (7.4%) were covered by some other form of insurance.</w:t>
      </w:r>
    </w:p>
    <w:p w14:paraId="1E521316" w14:textId="77777777" w:rsidR="002F1435" w:rsidRDefault="002F1435" w:rsidP="00C1204F">
      <w:pPr>
        <w:pStyle w:val="NormalWeb"/>
        <w:spacing w:before="0" w:beforeAutospacing="0" w:after="0" w:afterAutospacing="0"/>
        <w:jc w:val="both"/>
        <w:rPr>
          <w:rFonts w:ascii="ArialMT" w:hAnsi="ArialMT"/>
          <w:sz w:val="22"/>
          <w:szCs w:val="22"/>
        </w:rPr>
      </w:pPr>
    </w:p>
    <w:p w14:paraId="18A61CF1" w14:textId="2F57BF00" w:rsidR="00402113" w:rsidRPr="00C93A41" w:rsidRDefault="003E7AA7" w:rsidP="00C1204F">
      <w:pPr>
        <w:pStyle w:val="NormalWeb"/>
        <w:spacing w:before="0" w:beforeAutospacing="0" w:after="0" w:afterAutospacing="0"/>
        <w:jc w:val="both"/>
        <w:rPr>
          <w:rFonts w:ascii="ArialMT" w:hAnsi="ArialMT"/>
          <w:sz w:val="22"/>
          <w:szCs w:val="22"/>
        </w:rPr>
      </w:pPr>
      <w:r w:rsidRPr="003E7AA7">
        <w:rPr>
          <w:rFonts w:ascii="Arial Narrow" w:hAnsi="Arial Narrow" w:cs="Arial"/>
          <w:b/>
          <w:bCs/>
          <w:sz w:val="22"/>
          <w:szCs w:val="22"/>
        </w:rPr>
        <w:t>Table 2: BMC APM/ACO and Payer Mix Percentages</w:t>
      </w:r>
    </w:p>
    <w:tbl>
      <w:tblPr>
        <w:tblStyle w:val="TableGrid"/>
        <w:tblW w:w="9265" w:type="dxa"/>
        <w:jc w:val="center"/>
        <w:tblLook w:val="04A0" w:firstRow="1" w:lastRow="0" w:firstColumn="1" w:lastColumn="0" w:noHBand="0" w:noVBand="1"/>
      </w:tblPr>
      <w:tblGrid>
        <w:gridCol w:w="3071"/>
        <w:gridCol w:w="1548"/>
        <w:gridCol w:w="1549"/>
        <w:gridCol w:w="1548"/>
        <w:gridCol w:w="1549"/>
      </w:tblGrid>
      <w:tr w:rsidR="00E8351E" w:rsidRPr="006D5B97" w14:paraId="5B47D9D5" w14:textId="77777777" w:rsidTr="00BC6CC8">
        <w:trPr>
          <w:cantSplit/>
          <w:trHeight w:val="20"/>
          <w:tblHeader/>
          <w:jc w:val="center"/>
        </w:trPr>
        <w:tc>
          <w:tcPr>
            <w:tcW w:w="3071" w:type="dxa"/>
            <w:tcBorders>
              <w:top w:val="single" w:sz="12" w:space="0" w:color="auto"/>
              <w:left w:val="single" w:sz="12" w:space="0" w:color="auto"/>
            </w:tcBorders>
            <w:shd w:val="clear" w:color="auto" w:fill="8DA9DB"/>
          </w:tcPr>
          <w:p w14:paraId="2BE7DBA5" w14:textId="77777777" w:rsidR="00E8351E" w:rsidRPr="00E8351E" w:rsidRDefault="00E8351E" w:rsidP="00963E14">
            <w:pPr>
              <w:rPr>
                <w:rFonts w:ascii="Arial" w:hAnsi="Arial" w:cs="Arial"/>
                <w:b/>
                <w:bCs/>
                <w:sz w:val="22"/>
                <w:szCs w:val="22"/>
              </w:rPr>
            </w:pPr>
          </w:p>
        </w:tc>
        <w:tc>
          <w:tcPr>
            <w:tcW w:w="1548" w:type="dxa"/>
            <w:tcBorders>
              <w:top w:val="single" w:sz="12" w:space="0" w:color="auto"/>
            </w:tcBorders>
            <w:shd w:val="clear" w:color="auto" w:fill="8DA9DB"/>
          </w:tcPr>
          <w:p w14:paraId="78E20A93" w14:textId="63469722" w:rsidR="00E8351E" w:rsidRPr="00E8351E" w:rsidRDefault="00E8351E" w:rsidP="00963E14">
            <w:pPr>
              <w:jc w:val="center"/>
              <w:rPr>
                <w:rFonts w:ascii="Arial Narrow" w:hAnsi="Arial Narrow" w:cs="Arial"/>
                <w:b/>
                <w:bCs/>
                <w:sz w:val="22"/>
                <w:szCs w:val="22"/>
              </w:rPr>
            </w:pPr>
            <w:r w:rsidRPr="00E8351E">
              <w:rPr>
                <w:rFonts w:ascii="Arial Narrow" w:hAnsi="Arial Narrow" w:cs="Arial"/>
                <w:b/>
                <w:bCs/>
                <w:sz w:val="22"/>
                <w:szCs w:val="22"/>
              </w:rPr>
              <w:t>FY19</w:t>
            </w:r>
          </w:p>
        </w:tc>
        <w:tc>
          <w:tcPr>
            <w:tcW w:w="1549" w:type="dxa"/>
            <w:tcBorders>
              <w:top w:val="single" w:sz="12" w:space="0" w:color="auto"/>
            </w:tcBorders>
            <w:shd w:val="clear" w:color="auto" w:fill="8DA9DB"/>
          </w:tcPr>
          <w:p w14:paraId="12BCAE1A" w14:textId="5D9CFE5F" w:rsidR="00E8351E" w:rsidRPr="00E8351E" w:rsidRDefault="00E8351E" w:rsidP="00963E14">
            <w:pPr>
              <w:jc w:val="center"/>
              <w:rPr>
                <w:rFonts w:ascii="Arial Narrow" w:hAnsi="Arial Narrow" w:cs="Arial"/>
                <w:b/>
                <w:bCs/>
                <w:sz w:val="22"/>
                <w:szCs w:val="22"/>
              </w:rPr>
            </w:pPr>
            <w:r w:rsidRPr="00E8351E">
              <w:rPr>
                <w:rFonts w:ascii="Arial Narrow" w:hAnsi="Arial Narrow" w:cs="Arial"/>
                <w:b/>
                <w:bCs/>
                <w:sz w:val="22"/>
                <w:szCs w:val="22"/>
              </w:rPr>
              <w:t>FY20</w:t>
            </w:r>
          </w:p>
        </w:tc>
        <w:tc>
          <w:tcPr>
            <w:tcW w:w="1548" w:type="dxa"/>
            <w:tcBorders>
              <w:top w:val="single" w:sz="12" w:space="0" w:color="auto"/>
            </w:tcBorders>
            <w:shd w:val="clear" w:color="auto" w:fill="8DA9DB"/>
          </w:tcPr>
          <w:p w14:paraId="6B6FE94B" w14:textId="5C443029" w:rsidR="00E8351E" w:rsidRPr="00E8351E" w:rsidRDefault="00E8351E" w:rsidP="00963E14">
            <w:pPr>
              <w:jc w:val="center"/>
              <w:rPr>
                <w:rFonts w:ascii="Arial Narrow" w:hAnsi="Arial Narrow" w:cs="Arial"/>
                <w:b/>
                <w:bCs/>
                <w:sz w:val="22"/>
                <w:szCs w:val="22"/>
              </w:rPr>
            </w:pPr>
            <w:r w:rsidRPr="00E8351E">
              <w:rPr>
                <w:rFonts w:ascii="Arial Narrow" w:hAnsi="Arial Narrow" w:cs="Arial"/>
                <w:b/>
                <w:bCs/>
                <w:sz w:val="22"/>
                <w:szCs w:val="22"/>
              </w:rPr>
              <w:t>FY21</w:t>
            </w:r>
          </w:p>
        </w:tc>
        <w:tc>
          <w:tcPr>
            <w:tcW w:w="1549" w:type="dxa"/>
            <w:tcBorders>
              <w:top w:val="single" w:sz="12" w:space="0" w:color="auto"/>
              <w:right w:val="single" w:sz="12" w:space="0" w:color="auto"/>
            </w:tcBorders>
            <w:shd w:val="clear" w:color="auto" w:fill="8DA9DB"/>
          </w:tcPr>
          <w:p w14:paraId="3F55D7E2" w14:textId="2DB69BEE" w:rsidR="00E8351E" w:rsidRPr="00E8351E" w:rsidRDefault="00E8351E" w:rsidP="00963E14">
            <w:pPr>
              <w:jc w:val="center"/>
              <w:rPr>
                <w:rFonts w:ascii="Arial Narrow" w:hAnsi="Arial Narrow" w:cs="Arial"/>
                <w:b/>
                <w:bCs/>
                <w:sz w:val="22"/>
                <w:szCs w:val="22"/>
              </w:rPr>
            </w:pPr>
            <w:r w:rsidRPr="00E8351E">
              <w:rPr>
                <w:rFonts w:ascii="Arial Narrow" w:hAnsi="Arial Narrow" w:cs="Arial"/>
                <w:b/>
                <w:bCs/>
                <w:sz w:val="22"/>
                <w:szCs w:val="22"/>
              </w:rPr>
              <w:t>FY22 YTD</w:t>
            </w:r>
          </w:p>
        </w:tc>
      </w:tr>
      <w:tr w:rsidR="00114B7C" w:rsidRPr="006D5B97" w14:paraId="4012270A" w14:textId="77777777" w:rsidTr="00BC6CC8">
        <w:trPr>
          <w:cantSplit/>
          <w:trHeight w:val="20"/>
          <w:jc w:val="center"/>
        </w:trPr>
        <w:tc>
          <w:tcPr>
            <w:tcW w:w="3071" w:type="dxa"/>
            <w:tcBorders>
              <w:left w:val="single" w:sz="12" w:space="0" w:color="auto"/>
              <w:right w:val="single" w:sz="12" w:space="0" w:color="auto"/>
            </w:tcBorders>
            <w:shd w:val="clear" w:color="auto" w:fill="D9E2F3" w:themeFill="accent1" w:themeFillTint="33"/>
          </w:tcPr>
          <w:p w14:paraId="6106B3A7" w14:textId="77777777" w:rsidR="00114B7C" w:rsidRPr="00E8351E" w:rsidRDefault="00114B7C" w:rsidP="00963E14">
            <w:pPr>
              <w:rPr>
                <w:rFonts w:ascii="Arial Narrow" w:hAnsi="Arial Narrow" w:cs="Arial"/>
                <w:b/>
                <w:bCs/>
                <w:sz w:val="22"/>
                <w:szCs w:val="22"/>
              </w:rPr>
            </w:pPr>
            <w:r w:rsidRPr="00E8351E">
              <w:rPr>
                <w:rFonts w:ascii="Arial Narrow" w:hAnsi="Arial Narrow" w:cs="Arial"/>
                <w:b/>
                <w:bCs/>
                <w:sz w:val="22"/>
                <w:szCs w:val="22"/>
              </w:rPr>
              <w:t>APM Contract Percentages (for any system-affiliated Primary Care Physicians)</w:t>
            </w:r>
          </w:p>
        </w:tc>
        <w:tc>
          <w:tcPr>
            <w:tcW w:w="1548" w:type="dxa"/>
            <w:tcBorders>
              <w:left w:val="single" w:sz="12" w:space="0" w:color="auto"/>
              <w:right w:val="single" w:sz="12" w:space="0" w:color="auto"/>
            </w:tcBorders>
            <w:shd w:val="clear" w:color="auto" w:fill="D9E2F3" w:themeFill="accent1" w:themeFillTint="33"/>
          </w:tcPr>
          <w:p w14:paraId="59270361" w14:textId="77777777" w:rsidR="00114B7C" w:rsidRPr="00E8351E" w:rsidRDefault="00114B7C"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48B987CA" w14:textId="77777777" w:rsidR="00114B7C" w:rsidRPr="00E8351E" w:rsidRDefault="00114B7C" w:rsidP="00963E14">
            <w:pPr>
              <w:rPr>
                <w:rFonts w:ascii="Arial Narrow" w:hAnsi="Arial Narrow" w:cs="Arial"/>
                <w:b/>
                <w:bCs/>
                <w:sz w:val="22"/>
                <w:szCs w:val="22"/>
              </w:rPr>
            </w:pPr>
          </w:p>
        </w:tc>
        <w:tc>
          <w:tcPr>
            <w:tcW w:w="1548" w:type="dxa"/>
            <w:tcBorders>
              <w:left w:val="single" w:sz="12" w:space="0" w:color="auto"/>
              <w:right w:val="single" w:sz="12" w:space="0" w:color="auto"/>
            </w:tcBorders>
            <w:shd w:val="clear" w:color="auto" w:fill="D9E2F3" w:themeFill="accent1" w:themeFillTint="33"/>
          </w:tcPr>
          <w:p w14:paraId="109B2B46" w14:textId="77777777" w:rsidR="00114B7C" w:rsidRPr="00E8351E" w:rsidRDefault="00114B7C"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6E7CAD52" w14:textId="7799C425" w:rsidR="00114B7C" w:rsidRPr="00E8351E" w:rsidRDefault="00114B7C" w:rsidP="00963E14">
            <w:pPr>
              <w:rPr>
                <w:rFonts w:ascii="Arial Narrow" w:hAnsi="Arial Narrow" w:cs="Arial"/>
                <w:b/>
                <w:bCs/>
                <w:sz w:val="22"/>
                <w:szCs w:val="22"/>
              </w:rPr>
            </w:pPr>
          </w:p>
        </w:tc>
      </w:tr>
      <w:tr w:rsidR="00E8351E" w:rsidRPr="006D5B97" w14:paraId="7EC39E4B" w14:textId="77777777" w:rsidTr="00BC6CC8">
        <w:trPr>
          <w:cantSplit/>
          <w:trHeight w:val="20"/>
          <w:jc w:val="center"/>
        </w:trPr>
        <w:tc>
          <w:tcPr>
            <w:tcW w:w="3071" w:type="dxa"/>
            <w:tcBorders>
              <w:left w:val="single" w:sz="12" w:space="0" w:color="auto"/>
            </w:tcBorders>
          </w:tcPr>
          <w:p w14:paraId="1370750A"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APM and ACO Contracts</w:t>
            </w:r>
          </w:p>
        </w:tc>
        <w:tc>
          <w:tcPr>
            <w:tcW w:w="1548" w:type="dxa"/>
          </w:tcPr>
          <w:p w14:paraId="5C46C245"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25.1%</w:t>
            </w:r>
          </w:p>
        </w:tc>
        <w:tc>
          <w:tcPr>
            <w:tcW w:w="1549" w:type="dxa"/>
          </w:tcPr>
          <w:p w14:paraId="2197AF67"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26.2%</w:t>
            </w:r>
          </w:p>
        </w:tc>
        <w:tc>
          <w:tcPr>
            <w:tcW w:w="1548" w:type="dxa"/>
          </w:tcPr>
          <w:p w14:paraId="5330D031"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23.2%</w:t>
            </w:r>
          </w:p>
        </w:tc>
        <w:tc>
          <w:tcPr>
            <w:tcW w:w="1549" w:type="dxa"/>
            <w:tcBorders>
              <w:right w:val="single" w:sz="12" w:space="0" w:color="auto"/>
            </w:tcBorders>
          </w:tcPr>
          <w:p w14:paraId="12AFD679"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25.8%</w:t>
            </w:r>
          </w:p>
        </w:tc>
      </w:tr>
      <w:tr w:rsidR="00E8351E" w:rsidRPr="006D5B97" w14:paraId="3EC34BDA" w14:textId="77777777" w:rsidTr="00BC6CC8">
        <w:trPr>
          <w:cantSplit/>
          <w:trHeight w:val="20"/>
          <w:jc w:val="center"/>
        </w:trPr>
        <w:tc>
          <w:tcPr>
            <w:tcW w:w="3071" w:type="dxa"/>
            <w:tcBorders>
              <w:left w:val="single" w:sz="12" w:space="0" w:color="auto"/>
            </w:tcBorders>
          </w:tcPr>
          <w:p w14:paraId="319CA83F"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Non-APM and Non-ACO Contracts</w:t>
            </w:r>
          </w:p>
        </w:tc>
        <w:tc>
          <w:tcPr>
            <w:tcW w:w="1548" w:type="dxa"/>
          </w:tcPr>
          <w:p w14:paraId="61EF3C3F"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74.9%</w:t>
            </w:r>
          </w:p>
        </w:tc>
        <w:tc>
          <w:tcPr>
            <w:tcW w:w="1549" w:type="dxa"/>
          </w:tcPr>
          <w:p w14:paraId="31E7220B"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73.8%</w:t>
            </w:r>
          </w:p>
        </w:tc>
        <w:tc>
          <w:tcPr>
            <w:tcW w:w="1548" w:type="dxa"/>
          </w:tcPr>
          <w:p w14:paraId="0B11BBB8"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76.8%</w:t>
            </w:r>
          </w:p>
        </w:tc>
        <w:tc>
          <w:tcPr>
            <w:tcW w:w="1549" w:type="dxa"/>
            <w:tcBorders>
              <w:right w:val="single" w:sz="12" w:space="0" w:color="auto"/>
            </w:tcBorders>
          </w:tcPr>
          <w:p w14:paraId="425B2C67"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74.2%</w:t>
            </w:r>
          </w:p>
        </w:tc>
      </w:tr>
      <w:tr w:rsidR="00114B7C" w:rsidRPr="006D5B97" w14:paraId="25BA0E13" w14:textId="77777777" w:rsidTr="00BC6CC8">
        <w:trPr>
          <w:cantSplit/>
          <w:trHeight w:val="20"/>
          <w:jc w:val="center"/>
        </w:trPr>
        <w:tc>
          <w:tcPr>
            <w:tcW w:w="3071" w:type="dxa"/>
            <w:tcBorders>
              <w:left w:val="single" w:sz="12" w:space="0" w:color="auto"/>
              <w:right w:val="single" w:sz="12" w:space="0" w:color="auto"/>
            </w:tcBorders>
            <w:shd w:val="clear" w:color="auto" w:fill="D9E2F3" w:themeFill="accent1" w:themeFillTint="33"/>
          </w:tcPr>
          <w:p w14:paraId="3525FB98" w14:textId="77777777" w:rsidR="00114B7C" w:rsidRPr="00E8351E" w:rsidRDefault="00114B7C" w:rsidP="00963E14">
            <w:pPr>
              <w:rPr>
                <w:rFonts w:ascii="Arial Narrow" w:hAnsi="Arial Narrow" w:cs="Arial"/>
                <w:b/>
                <w:bCs/>
                <w:sz w:val="22"/>
                <w:szCs w:val="22"/>
              </w:rPr>
            </w:pPr>
            <w:r w:rsidRPr="00E8351E">
              <w:rPr>
                <w:rFonts w:ascii="Arial Narrow" w:hAnsi="Arial Narrow" w:cs="Arial"/>
                <w:b/>
                <w:bCs/>
                <w:sz w:val="22"/>
                <w:szCs w:val="22"/>
              </w:rPr>
              <w:t>Payer Mix Percentages</w:t>
            </w:r>
          </w:p>
        </w:tc>
        <w:tc>
          <w:tcPr>
            <w:tcW w:w="1548" w:type="dxa"/>
            <w:tcBorders>
              <w:left w:val="single" w:sz="12" w:space="0" w:color="auto"/>
              <w:right w:val="single" w:sz="12" w:space="0" w:color="auto"/>
            </w:tcBorders>
            <w:shd w:val="clear" w:color="auto" w:fill="D9E2F3" w:themeFill="accent1" w:themeFillTint="33"/>
          </w:tcPr>
          <w:p w14:paraId="0D31B8FC" w14:textId="77777777" w:rsidR="00114B7C" w:rsidRPr="00E8351E" w:rsidRDefault="00114B7C"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479248F4" w14:textId="77777777" w:rsidR="00114B7C" w:rsidRPr="00E8351E" w:rsidRDefault="00114B7C" w:rsidP="00963E14">
            <w:pPr>
              <w:rPr>
                <w:rFonts w:ascii="Arial Narrow" w:hAnsi="Arial Narrow" w:cs="Arial"/>
                <w:b/>
                <w:bCs/>
                <w:sz w:val="22"/>
                <w:szCs w:val="22"/>
              </w:rPr>
            </w:pPr>
          </w:p>
        </w:tc>
        <w:tc>
          <w:tcPr>
            <w:tcW w:w="1548" w:type="dxa"/>
            <w:tcBorders>
              <w:left w:val="single" w:sz="12" w:space="0" w:color="auto"/>
              <w:right w:val="single" w:sz="12" w:space="0" w:color="auto"/>
            </w:tcBorders>
            <w:shd w:val="clear" w:color="auto" w:fill="D9E2F3" w:themeFill="accent1" w:themeFillTint="33"/>
          </w:tcPr>
          <w:p w14:paraId="52059553" w14:textId="77777777" w:rsidR="00114B7C" w:rsidRPr="00E8351E" w:rsidRDefault="00114B7C"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6541BB44" w14:textId="710DB001" w:rsidR="00114B7C" w:rsidRPr="00E8351E" w:rsidRDefault="00114B7C" w:rsidP="00963E14">
            <w:pPr>
              <w:rPr>
                <w:rFonts w:ascii="Arial Narrow" w:hAnsi="Arial Narrow" w:cs="Arial"/>
                <w:b/>
                <w:bCs/>
                <w:sz w:val="22"/>
                <w:szCs w:val="22"/>
              </w:rPr>
            </w:pPr>
          </w:p>
        </w:tc>
      </w:tr>
      <w:tr w:rsidR="00E8351E" w:rsidRPr="006D5B97" w14:paraId="1E765159" w14:textId="77777777" w:rsidTr="00BC6CC8">
        <w:trPr>
          <w:cantSplit/>
          <w:trHeight w:val="20"/>
          <w:jc w:val="center"/>
        </w:trPr>
        <w:tc>
          <w:tcPr>
            <w:tcW w:w="3071" w:type="dxa"/>
            <w:tcBorders>
              <w:left w:val="single" w:sz="12" w:space="0" w:color="auto"/>
            </w:tcBorders>
          </w:tcPr>
          <w:p w14:paraId="6DBAB7BB" w14:textId="5C56076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Commercial</w:t>
            </w:r>
            <w:r w:rsidR="00FB167B">
              <w:rPr>
                <w:rFonts w:ascii="ZWAdobeF" w:hAnsi="ZWAdobeF" w:cs="ZWAdobeF"/>
                <w:sz w:val="2"/>
                <w:szCs w:val="2"/>
              </w:rPr>
              <w:t>8F</w:t>
            </w:r>
            <w:r w:rsidRPr="00E8351E">
              <w:rPr>
                <w:rStyle w:val="FootnoteReference"/>
                <w:rFonts w:ascii="Arial Narrow" w:hAnsi="Arial Narrow" w:cs="Arial"/>
                <w:sz w:val="22"/>
                <w:szCs w:val="22"/>
              </w:rPr>
              <w:footnoteReference w:id="9"/>
            </w:r>
          </w:p>
        </w:tc>
        <w:tc>
          <w:tcPr>
            <w:tcW w:w="1548" w:type="dxa"/>
          </w:tcPr>
          <w:p w14:paraId="2F27700E"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34.0%</w:t>
            </w:r>
          </w:p>
        </w:tc>
        <w:tc>
          <w:tcPr>
            <w:tcW w:w="1549" w:type="dxa"/>
          </w:tcPr>
          <w:p w14:paraId="17028AF3"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34.5%</w:t>
            </w:r>
          </w:p>
        </w:tc>
        <w:tc>
          <w:tcPr>
            <w:tcW w:w="1548" w:type="dxa"/>
          </w:tcPr>
          <w:p w14:paraId="57995927"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40.6%</w:t>
            </w:r>
          </w:p>
        </w:tc>
        <w:tc>
          <w:tcPr>
            <w:tcW w:w="1549" w:type="dxa"/>
            <w:tcBorders>
              <w:right w:val="single" w:sz="12" w:space="0" w:color="auto"/>
            </w:tcBorders>
          </w:tcPr>
          <w:p w14:paraId="30FE14F2"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33.3%</w:t>
            </w:r>
          </w:p>
        </w:tc>
      </w:tr>
      <w:tr w:rsidR="00E8351E" w:rsidRPr="006D5B97" w14:paraId="1F540245" w14:textId="77777777" w:rsidTr="00BC6CC8">
        <w:trPr>
          <w:cantSplit/>
          <w:trHeight w:val="20"/>
          <w:jc w:val="center"/>
        </w:trPr>
        <w:tc>
          <w:tcPr>
            <w:tcW w:w="3071" w:type="dxa"/>
            <w:tcBorders>
              <w:left w:val="single" w:sz="12" w:space="0" w:color="auto"/>
            </w:tcBorders>
          </w:tcPr>
          <w:p w14:paraId="3C1B771C" w14:textId="77777777" w:rsidR="00E8351E" w:rsidRPr="00520084" w:rsidRDefault="00E8351E" w:rsidP="00963E14">
            <w:pPr>
              <w:rPr>
                <w:rFonts w:ascii="Arial Narrow" w:hAnsi="Arial Narrow" w:cs="Arial"/>
                <w:i/>
                <w:iCs/>
                <w:sz w:val="22"/>
                <w:szCs w:val="22"/>
              </w:rPr>
            </w:pPr>
            <w:r w:rsidRPr="00520084">
              <w:rPr>
                <w:rFonts w:ascii="Arial Narrow" w:hAnsi="Arial Narrow" w:cs="Arial"/>
                <w:i/>
                <w:iCs/>
                <w:sz w:val="22"/>
                <w:szCs w:val="22"/>
              </w:rPr>
              <w:t xml:space="preserve">     HMO/POS</w:t>
            </w:r>
          </w:p>
        </w:tc>
        <w:tc>
          <w:tcPr>
            <w:tcW w:w="1548" w:type="dxa"/>
          </w:tcPr>
          <w:p w14:paraId="04B5345C"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10.2%</w:t>
            </w:r>
          </w:p>
        </w:tc>
        <w:tc>
          <w:tcPr>
            <w:tcW w:w="1549" w:type="dxa"/>
          </w:tcPr>
          <w:p w14:paraId="36A64FF7"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10.4%</w:t>
            </w:r>
          </w:p>
        </w:tc>
        <w:tc>
          <w:tcPr>
            <w:tcW w:w="1548" w:type="dxa"/>
          </w:tcPr>
          <w:p w14:paraId="25568675"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13.9%</w:t>
            </w:r>
          </w:p>
        </w:tc>
        <w:tc>
          <w:tcPr>
            <w:tcW w:w="1549" w:type="dxa"/>
            <w:tcBorders>
              <w:right w:val="single" w:sz="12" w:space="0" w:color="auto"/>
            </w:tcBorders>
          </w:tcPr>
          <w:p w14:paraId="0370F42D"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11.0%</w:t>
            </w:r>
          </w:p>
        </w:tc>
      </w:tr>
      <w:tr w:rsidR="00E8351E" w:rsidRPr="006D5B97" w14:paraId="79821B6D" w14:textId="77777777" w:rsidTr="00BC6CC8">
        <w:trPr>
          <w:cantSplit/>
          <w:trHeight w:val="20"/>
          <w:jc w:val="center"/>
        </w:trPr>
        <w:tc>
          <w:tcPr>
            <w:tcW w:w="3071" w:type="dxa"/>
            <w:tcBorders>
              <w:left w:val="single" w:sz="12" w:space="0" w:color="auto"/>
            </w:tcBorders>
          </w:tcPr>
          <w:p w14:paraId="74E7D313" w14:textId="77777777" w:rsidR="00E8351E" w:rsidRPr="00520084" w:rsidRDefault="00E8351E" w:rsidP="00963E14">
            <w:pPr>
              <w:rPr>
                <w:rFonts w:ascii="Arial Narrow" w:hAnsi="Arial Narrow" w:cs="Arial"/>
                <w:i/>
                <w:iCs/>
                <w:sz w:val="22"/>
                <w:szCs w:val="22"/>
              </w:rPr>
            </w:pPr>
            <w:r w:rsidRPr="00520084">
              <w:rPr>
                <w:rFonts w:ascii="Arial Narrow" w:hAnsi="Arial Narrow" w:cs="Arial"/>
                <w:i/>
                <w:iCs/>
                <w:sz w:val="22"/>
                <w:szCs w:val="22"/>
              </w:rPr>
              <w:t xml:space="preserve">     PPO</w:t>
            </w:r>
          </w:p>
        </w:tc>
        <w:tc>
          <w:tcPr>
            <w:tcW w:w="1548" w:type="dxa"/>
          </w:tcPr>
          <w:p w14:paraId="7C998113"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8.8%</w:t>
            </w:r>
          </w:p>
        </w:tc>
        <w:tc>
          <w:tcPr>
            <w:tcW w:w="1549" w:type="dxa"/>
          </w:tcPr>
          <w:p w14:paraId="27F9BBCD"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8.8%</w:t>
            </w:r>
          </w:p>
        </w:tc>
        <w:tc>
          <w:tcPr>
            <w:tcW w:w="1548" w:type="dxa"/>
          </w:tcPr>
          <w:p w14:paraId="32A671BA"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11.6%</w:t>
            </w:r>
          </w:p>
        </w:tc>
        <w:tc>
          <w:tcPr>
            <w:tcW w:w="1549" w:type="dxa"/>
            <w:tcBorders>
              <w:right w:val="single" w:sz="12" w:space="0" w:color="auto"/>
            </w:tcBorders>
          </w:tcPr>
          <w:p w14:paraId="3665C6A3"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8.9%</w:t>
            </w:r>
          </w:p>
        </w:tc>
      </w:tr>
      <w:tr w:rsidR="00E8351E" w:rsidRPr="006D5B97" w14:paraId="1F32E1CA" w14:textId="77777777" w:rsidTr="00BC6CC8">
        <w:trPr>
          <w:cantSplit/>
          <w:trHeight w:val="20"/>
          <w:jc w:val="center"/>
        </w:trPr>
        <w:tc>
          <w:tcPr>
            <w:tcW w:w="3071" w:type="dxa"/>
            <w:tcBorders>
              <w:left w:val="single" w:sz="12" w:space="0" w:color="auto"/>
            </w:tcBorders>
          </w:tcPr>
          <w:p w14:paraId="0F6317FE" w14:textId="6B66EB08" w:rsidR="00E8351E" w:rsidRPr="00520084" w:rsidRDefault="00E8351E" w:rsidP="00963E14">
            <w:pPr>
              <w:rPr>
                <w:rFonts w:ascii="Arial Narrow" w:hAnsi="Arial Narrow" w:cs="Arial"/>
                <w:i/>
                <w:iCs/>
                <w:sz w:val="22"/>
                <w:szCs w:val="22"/>
              </w:rPr>
            </w:pPr>
            <w:r w:rsidRPr="00520084">
              <w:rPr>
                <w:rFonts w:ascii="Arial Narrow" w:hAnsi="Arial Narrow" w:cs="Arial"/>
                <w:i/>
                <w:iCs/>
                <w:sz w:val="22"/>
                <w:szCs w:val="22"/>
              </w:rPr>
              <w:t xml:space="preserve">     Other</w:t>
            </w:r>
            <w:r w:rsidR="00FB167B">
              <w:rPr>
                <w:rFonts w:ascii="ZWAdobeF" w:hAnsi="ZWAdobeF" w:cs="ZWAdobeF"/>
                <w:iCs/>
                <w:sz w:val="2"/>
                <w:szCs w:val="2"/>
              </w:rPr>
              <w:t>9F</w:t>
            </w:r>
            <w:r w:rsidRPr="00520084">
              <w:rPr>
                <w:rStyle w:val="FootnoteReference"/>
                <w:rFonts w:ascii="Arial Narrow" w:hAnsi="Arial Narrow" w:cs="Arial"/>
                <w:i/>
                <w:iCs/>
                <w:sz w:val="22"/>
                <w:szCs w:val="22"/>
              </w:rPr>
              <w:footnoteReference w:id="10"/>
            </w:r>
          </w:p>
        </w:tc>
        <w:tc>
          <w:tcPr>
            <w:tcW w:w="1548" w:type="dxa"/>
          </w:tcPr>
          <w:p w14:paraId="679C1442"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15.0%</w:t>
            </w:r>
          </w:p>
        </w:tc>
        <w:tc>
          <w:tcPr>
            <w:tcW w:w="1549" w:type="dxa"/>
          </w:tcPr>
          <w:p w14:paraId="69C20F86"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15.3%</w:t>
            </w:r>
          </w:p>
        </w:tc>
        <w:tc>
          <w:tcPr>
            <w:tcW w:w="1548" w:type="dxa"/>
          </w:tcPr>
          <w:p w14:paraId="54DA88EE"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15.1%</w:t>
            </w:r>
          </w:p>
        </w:tc>
        <w:tc>
          <w:tcPr>
            <w:tcW w:w="1549" w:type="dxa"/>
            <w:tcBorders>
              <w:right w:val="single" w:sz="12" w:space="0" w:color="auto"/>
            </w:tcBorders>
          </w:tcPr>
          <w:p w14:paraId="5EC3F8F6" w14:textId="77777777" w:rsidR="00E8351E" w:rsidRPr="00520084" w:rsidRDefault="00E8351E" w:rsidP="00963E14">
            <w:pPr>
              <w:ind w:right="144"/>
              <w:jc w:val="right"/>
              <w:rPr>
                <w:rFonts w:ascii="Arial Narrow" w:hAnsi="Arial Narrow" w:cs="Arial"/>
                <w:i/>
                <w:iCs/>
                <w:sz w:val="22"/>
                <w:szCs w:val="22"/>
              </w:rPr>
            </w:pPr>
            <w:r w:rsidRPr="00520084">
              <w:rPr>
                <w:rFonts w:ascii="Arial Narrow" w:hAnsi="Arial Narrow" w:cs="Arial"/>
                <w:i/>
                <w:iCs/>
                <w:sz w:val="22"/>
                <w:szCs w:val="22"/>
              </w:rPr>
              <w:t>13.4%</w:t>
            </w:r>
          </w:p>
        </w:tc>
      </w:tr>
      <w:tr w:rsidR="00E8351E" w:rsidRPr="006D5B97" w14:paraId="2213CB02" w14:textId="77777777" w:rsidTr="00BC6CC8">
        <w:trPr>
          <w:cantSplit/>
          <w:trHeight w:val="20"/>
          <w:jc w:val="center"/>
        </w:trPr>
        <w:tc>
          <w:tcPr>
            <w:tcW w:w="3071" w:type="dxa"/>
            <w:tcBorders>
              <w:left w:val="single" w:sz="12" w:space="0" w:color="auto"/>
            </w:tcBorders>
          </w:tcPr>
          <w:p w14:paraId="7E0CD5D9"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MassHealth</w:t>
            </w:r>
          </w:p>
        </w:tc>
        <w:tc>
          <w:tcPr>
            <w:tcW w:w="1548" w:type="dxa"/>
          </w:tcPr>
          <w:p w14:paraId="4D74F35F"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14.6%</w:t>
            </w:r>
          </w:p>
        </w:tc>
        <w:tc>
          <w:tcPr>
            <w:tcW w:w="1549" w:type="dxa"/>
          </w:tcPr>
          <w:p w14:paraId="1AA96200"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13.6%</w:t>
            </w:r>
          </w:p>
        </w:tc>
        <w:tc>
          <w:tcPr>
            <w:tcW w:w="1548" w:type="dxa"/>
          </w:tcPr>
          <w:p w14:paraId="6F214F59"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10.9%</w:t>
            </w:r>
          </w:p>
        </w:tc>
        <w:tc>
          <w:tcPr>
            <w:tcW w:w="1549" w:type="dxa"/>
            <w:tcBorders>
              <w:right w:val="single" w:sz="12" w:space="0" w:color="auto"/>
            </w:tcBorders>
          </w:tcPr>
          <w:p w14:paraId="6BEDEFC2"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10.8%</w:t>
            </w:r>
          </w:p>
        </w:tc>
      </w:tr>
      <w:tr w:rsidR="00E8351E" w:rsidRPr="006D5B97" w14:paraId="4BEB8290" w14:textId="77777777" w:rsidTr="00BC6CC8">
        <w:trPr>
          <w:cantSplit/>
          <w:trHeight w:val="20"/>
          <w:jc w:val="center"/>
        </w:trPr>
        <w:tc>
          <w:tcPr>
            <w:tcW w:w="3071" w:type="dxa"/>
            <w:tcBorders>
              <w:left w:val="single" w:sz="12" w:space="0" w:color="auto"/>
            </w:tcBorders>
          </w:tcPr>
          <w:p w14:paraId="6C5FC3FF"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Managed Medicaid</w:t>
            </w:r>
          </w:p>
        </w:tc>
        <w:tc>
          <w:tcPr>
            <w:tcW w:w="1548" w:type="dxa"/>
          </w:tcPr>
          <w:p w14:paraId="30EEF749"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28.3%</w:t>
            </w:r>
          </w:p>
        </w:tc>
        <w:tc>
          <w:tcPr>
            <w:tcW w:w="1549" w:type="dxa"/>
          </w:tcPr>
          <w:p w14:paraId="5A9189DA"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28.3%</w:t>
            </w:r>
          </w:p>
        </w:tc>
        <w:tc>
          <w:tcPr>
            <w:tcW w:w="1548" w:type="dxa"/>
          </w:tcPr>
          <w:p w14:paraId="1C626456"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24.6%</w:t>
            </w:r>
          </w:p>
        </w:tc>
        <w:tc>
          <w:tcPr>
            <w:tcW w:w="1549" w:type="dxa"/>
            <w:tcBorders>
              <w:right w:val="single" w:sz="12" w:space="0" w:color="auto"/>
            </w:tcBorders>
          </w:tcPr>
          <w:p w14:paraId="05AFFF8D"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27.1%</w:t>
            </w:r>
          </w:p>
        </w:tc>
      </w:tr>
      <w:tr w:rsidR="00E8351E" w:rsidRPr="006D5B97" w14:paraId="71D2FF1F" w14:textId="77777777" w:rsidTr="00BC6CC8">
        <w:trPr>
          <w:cantSplit/>
          <w:trHeight w:val="20"/>
          <w:jc w:val="center"/>
        </w:trPr>
        <w:tc>
          <w:tcPr>
            <w:tcW w:w="3071" w:type="dxa"/>
            <w:tcBorders>
              <w:left w:val="single" w:sz="12" w:space="0" w:color="auto"/>
            </w:tcBorders>
          </w:tcPr>
          <w:p w14:paraId="24FCACF3"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Commercial Medicare</w:t>
            </w:r>
          </w:p>
        </w:tc>
        <w:tc>
          <w:tcPr>
            <w:tcW w:w="1548" w:type="dxa"/>
          </w:tcPr>
          <w:p w14:paraId="0C83A991"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5.8%</w:t>
            </w:r>
          </w:p>
        </w:tc>
        <w:tc>
          <w:tcPr>
            <w:tcW w:w="1549" w:type="dxa"/>
          </w:tcPr>
          <w:p w14:paraId="320CD780"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6.5%</w:t>
            </w:r>
          </w:p>
        </w:tc>
        <w:tc>
          <w:tcPr>
            <w:tcW w:w="1548" w:type="dxa"/>
          </w:tcPr>
          <w:p w14:paraId="31B40957"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6.1%</w:t>
            </w:r>
          </w:p>
        </w:tc>
        <w:tc>
          <w:tcPr>
            <w:tcW w:w="1549" w:type="dxa"/>
            <w:tcBorders>
              <w:right w:val="single" w:sz="12" w:space="0" w:color="auto"/>
            </w:tcBorders>
          </w:tcPr>
          <w:p w14:paraId="62D71F27"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7.4%</w:t>
            </w:r>
          </w:p>
        </w:tc>
      </w:tr>
      <w:tr w:rsidR="00E8351E" w:rsidRPr="006D5B97" w14:paraId="011AC1AA" w14:textId="77777777" w:rsidTr="00BC6CC8">
        <w:trPr>
          <w:cantSplit/>
          <w:trHeight w:val="20"/>
          <w:jc w:val="center"/>
        </w:trPr>
        <w:tc>
          <w:tcPr>
            <w:tcW w:w="3071" w:type="dxa"/>
            <w:tcBorders>
              <w:left w:val="single" w:sz="12" w:space="0" w:color="auto"/>
            </w:tcBorders>
          </w:tcPr>
          <w:p w14:paraId="46922DF0"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Medicare FFS</w:t>
            </w:r>
          </w:p>
        </w:tc>
        <w:tc>
          <w:tcPr>
            <w:tcW w:w="1548" w:type="dxa"/>
          </w:tcPr>
          <w:p w14:paraId="70F93CC2"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9.5%</w:t>
            </w:r>
          </w:p>
        </w:tc>
        <w:tc>
          <w:tcPr>
            <w:tcW w:w="1549" w:type="dxa"/>
          </w:tcPr>
          <w:p w14:paraId="249CBFE3"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9.3%</w:t>
            </w:r>
          </w:p>
        </w:tc>
        <w:tc>
          <w:tcPr>
            <w:tcW w:w="1548" w:type="dxa"/>
          </w:tcPr>
          <w:p w14:paraId="2C7A200A"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7.8%</w:t>
            </w:r>
          </w:p>
        </w:tc>
        <w:tc>
          <w:tcPr>
            <w:tcW w:w="1549" w:type="dxa"/>
            <w:tcBorders>
              <w:right w:val="single" w:sz="12" w:space="0" w:color="auto"/>
            </w:tcBorders>
          </w:tcPr>
          <w:p w14:paraId="642BD86D"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7.7%</w:t>
            </w:r>
          </w:p>
        </w:tc>
      </w:tr>
      <w:tr w:rsidR="00E8351E" w:rsidRPr="006D5B97" w14:paraId="723BA7BE" w14:textId="77777777" w:rsidTr="00BC6CC8">
        <w:trPr>
          <w:cantSplit/>
          <w:trHeight w:val="20"/>
          <w:jc w:val="center"/>
        </w:trPr>
        <w:tc>
          <w:tcPr>
            <w:tcW w:w="3071" w:type="dxa"/>
            <w:tcBorders>
              <w:left w:val="single" w:sz="12" w:space="0" w:color="auto"/>
            </w:tcBorders>
          </w:tcPr>
          <w:p w14:paraId="7A845818" w14:textId="77777777" w:rsidR="00E8351E" w:rsidRPr="00E8351E" w:rsidRDefault="00E8351E" w:rsidP="00963E14">
            <w:pPr>
              <w:rPr>
                <w:rFonts w:ascii="Arial Narrow" w:hAnsi="Arial Narrow" w:cs="Arial"/>
                <w:sz w:val="22"/>
                <w:szCs w:val="22"/>
              </w:rPr>
            </w:pPr>
            <w:r w:rsidRPr="00E8351E">
              <w:rPr>
                <w:rFonts w:ascii="Arial Narrow" w:hAnsi="Arial Narrow" w:cs="Arial"/>
                <w:sz w:val="22"/>
                <w:szCs w:val="22"/>
              </w:rPr>
              <w:t>Free Care/HSN</w:t>
            </w:r>
          </w:p>
        </w:tc>
        <w:tc>
          <w:tcPr>
            <w:tcW w:w="1548" w:type="dxa"/>
          </w:tcPr>
          <w:p w14:paraId="4234798B"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4.9%</w:t>
            </w:r>
          </w:p>
        </w:tc>
        <w:tc>
          <w:tcPr>
            <w:tcW w:w="1549" w:type="dxa"/>
          </w:tcPr>
          <w:p w14:paraId="7227B35E"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4.4%</w:t>
            </w:r>
          </w:p>
        </w:tc>
        <w:tc>
          <w:tcPr>
            <w:tcW w:w="1548" w:type="dxa"/>
          </w:tcPr>
          <w:p w14:paraId="7819103C"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2.7%</w:t>
            </w:r>
          </w:p>
        </w:tc>
        <w:tc>
          <w:tcPr>
            <w:tcW w:w="1549" w:type="dxa"/>
            <w:tcBorders>
              <w:right w:val="single" w:sz="12" w:space="0" w:color="auto"/>
            </w:tcBorders>
          </w:tcPr>
          <w:p w14:paraId="7490CDFF" w14:textId="77777777" w:rsidR="00E8351E" w:rsidRPr="00E8351E" w:rsidRDefault="00E8351E" w:rsidP="00963E14">
            <w:pPr>
              <w:jc w:val="center"/>
              <w:rPr>
                <w:rFonts w:ascii="Arial Narrow" w:hAnsi="Arial Narrow" w:cs="Arial"/>
                <w:sz w:val="22"/>
                <w:szCs w:val="22"/>
              </w:rPr>
            </w:pPr>
            <w:r w:rsidRPr="00E8351E">
              <w:rPr>
                <w:rFonts w:ascii="Arial Narrow" w:hAnsi="Arial Narrow" w:cs="Arial"/>
                <w:sz w:val="22"/>
                <w:szCs w:val="22"/>
              </w:rPr>
              <w:t>1.3%</w:t>
            </w:r>
          </w:p>
        </w:tc>
      </w:tr>
      <w:tr w:rsidR="00E8351E" w:rsidRPr="006D5B97" w14:paraId="5511A7EE" w14:textId="77777777" w:rsidTr="00BC6CC8">
        <w:trPr>
          <w:cantSplit/>
          <w:trHeight w:val="287"/>
          <w:jc w:val="center"/>
        </w:trPr>
        <w:tc>
          <w:tcPr>
            <w:tcW w:w="3071" w:type="dxa"/>
            <w:tcBorders>
              <w:left w:val="single" w:sz="12" w:space="0" w:color="auto"/>
              <w:bottom w:val="single" w:sz="12" w:space="0" w:color="auto"/>
            </w:tcBorders>
            <w:vAlign w:val="center"/>
          </w:tcPr>
          <w:p w14:paraId="759F2AD1" w14:textId="66539255" w:rsidR="00E8351E" w:rsidRPr="00E8351E" w:rsidRDefault="00E8351E" w:rsidP="00F00FB8">
            <w:pPr>
              <w:rPr>
                <w:rFonts w:ascii="Arial Narrow" w:hAnsi="Arial Narrow" w:cs="Arial"/>
                <w:sz w:val="22"/>
                <w:szCs w:val="22"/>
              </w:rPr>
            </w:pPr>
            <w:r w:rsidRPr="00E8351E">
              <w:rPr>
                <w:rFonts w:ascii="Arial Narrow" w:hAnsi="Arial Narrow" w:cs="Arial"/>
                <w:sz w:val="22"/>
                <w:szCs w:val="22"/>
              </w:rPr>
              <w:t>All Other</w:t>
            </w:r>
            <w:r w:rsidR="00FB167B">
              <w:rPr>
                <w:rFonts w:ascii="ZWAdobeF" w:hAnsi="ZWAdobeF" w:cs="ZWAdobeF"/>
                <w:sz w:val="2"/>
                <w:szCs w:val="2"/>
              </w:rPr>
              <w:t>10F</w:t>
            </w:r>
            <w:r w:rsidRPr="00E8351E">
              <w:rPr>
                <w:rStyle w:val="FootnoteReference"/>
                <w:rFonts w:ascii="Arial Narrow" w:hAnsi="Arial Narrow" w:cs="Arial"/>
                <w:sz w:val="22"/>
                <w:szCs w:val="22"/>
              </w:rPr>
              <w:footnoteReference w:id="11"/>
            </w:r>
          </w:p>
        </w:tc>
        <w:tc>
          <w:tcPr>
            <w:tcW w:w="1548" w:type="dxa"/>
            <w:tcBorders>
              <w:bottom w:val="single" w:sz="12" w:space="0" w:color="auto"/>
            </w:tcBorders>
            <w:vAlign w:val="center"/>
          </w:tcPr>
          <w:p w14:paraId="763A8B6F" w14:textId="77777777" w:rsidR="00E8351E" w:rsidRPr="00E8351E" w:rsidRDefault="00E8351E" w:rsidP="00F00FB8">
            <w:pPr>
              <w:jc w:val="center"/>
              <w:rPr>
                <w:rFonts w:ascii="Arial Narrow" w:hAnsi="Arial Narrow" w:cs="Arial"/>
                <w:sz w:val="22"/>
                <w:szCs w:val="22"/>
              </w:rPr>
            </w:pPr>
            <w:r w:rsidRPr="00E8351E">
              <w:rPr>
                <w:rFonts w:ascii="Arial Narrow" w:hAnsi="Arial Narrow" w:cs="Arial"/>
                <w:sz w:val="22"/>
                <w:szCs w:val="22"/>
              </w:rPr>
              <w:t>2.8%</w:t>
            </w:r>
          </w:p>
        </w:tc>
        <w:tc>
          <w:tcPr>
            <w:tcW w:w="1549" w:type="dxa"/>
            <w:tcBorders>
              <w:bottom w:val="single" w:sz="12" w:space="0" w:color="auto"/>
            </w:tcBorders>
            <w:vAlign w:val="center"/>
          </w:tcPr>
          <w:p w14:paraId="3F0416BD" w14:textId="77777777" w:rsidR="00E8351E" w:rsidRPr="00E8351E" w:rsidRDefault="00E8351E" w:rsidP="00F00FB8">
            <w:pPr>
              <w:jc w:val="center"/>
              <w:rPr>
                <w:rFonts w:ascii="Arial Narrow" w:hAnsi="Arial Narrow" w:cs="Arial"/>
                <w:sz w:val="22"/>
                <w:szCs w:val="22"/>
              </w:rPr>
            </w:pPr>
            <w:r w:rsidRPr="00E8351E">
              <w:rPr>
                <w:rFonts w:ascii="Arial Narrow" w:hAnsi="Arial Narrow" w:cs="Arial"/>
                <w:sz w:val="22"/>
                <w:szCs w:val="22"/>
              </w:rPr>
              <w:t>3.4%</w:t>
            </w:r>
          </w:p>
        </w:tc>
        <w:tc>
          <w:tcPr>
            <w:tcW w:w="1548" w:type="dxa"/>
            <w:tcBorders>
              <w:bottom w:val="single" w:sz="12" w:space="0" w:color="auto"/>
            </w:tcBorders>
            <w:vAlign w:val="center"/>
          </w:tcPr>
          <w:p w14:paraId="1AE91C6A" w14:textId="77777777" w:rsidR="00E8351E" w:rsidRPr="00E8351E" w:rsidRDefault="00E8351E" w:rsidP="00F00FB8">
            <w:pPr>
              <w:jc w:val="center"/>
              <w:rPr>
                <w:rFonts w:ascii="Arial Narrow" w:hAnsi="Arial Narrow" w:cs="Arial"/>
                <w:sz w:val="22"/>
                <w:szCs w:val="22"/>
              </w:rPr>
            </w:pPr>
            <w:r w:rsidRPr="00E8351E">
              <w:rPr>
                <w:rFonts w:ascii="Arial Narrow" w:hAnsi="Arial Narrow" w:cs="Arial"/>
                <w:sz w:val="22"/>
                <w:szCs w:val="22"/>
              </w:rPr>
              <w:t>7.4%</w:t>
            </w:r>
          </w:p>
        </w:tc>
        <w:tc>
          <w:tcPr>
            <w:tcW w:w="1549" w:type="dxa"/>
            <w:tcBorders>
              <w:bottom w:val="single" w:sz="12" w:space="0" w:color="auto"/>
              <w:right w:val="single" w:sz="12" w:space="0" w:color="auto"/>
            </w:tcBorders>
            <w:vAlign w:val="center"/>
          </w:tcPr>
          <w:p w14:paraId="7BF3DA7B" w14:textId="77777777" w:rsidR="00E8351E" w:rsidRPr="00E8351E" w:rsidRDefault="00E8351E" w:rsidP="00F00FB8">
            <w:pPr>
              <w:jc w:val="center"/>
              <w:rPr>
                <w:rFonts w:ascii="Arial Narrow" w:hAnsi="Arial Narrow" w:cs="Arial"/>
                <w:sz w:val="22"/>
                <w:szCs w:val="22"/>
              </w:rPr>
            </w:pPr>
            <w:r w:rsidRPr="00E8351E">
              <w:rPr>
                <w:rFonts w:ascii="Arial Narrow" w:hAnsi="Arial Narrow" w:cs="Arial"/>
                <w:sz w:val="22"/>
                <w:szCs w:val="22"/>
              </w:rPr>
              <w:t>12.3%</w:t>
            </w:r>
          </w:p>
        </w:tc>
      </w:tr>
    </w:tbl>
    <w:p w14:paraId="1ECEAFF5" w14:textId="77777777" w:rsidR="00E8351E" w:rsidRPr="00E31DA4" w:rsidRDefault="00E8351E" w:rsidP="0011254C">
      <w:pPr>
        <w:pStyle w:val="NormalWeb"/>
        <w:spacing w:before="0" w:beforeAutospacing="0" w:after="0" w:afterAutospacing="0"/>
        <w:jc w:val="both"/>
        <w:rPr>
          <w:rFonts w:ascii="Arial" w:hAnsi="Arial" w:cs="Arial"/>
          <w:sz w:val="22"/>
          <w:szCs w:val="22"/>
          <w:u w:val="single"/>
        </w:rPr>
      </w:pPr>
    </w:p>
    <w:p w14:paraId="0AFB33C3" w14:textId="6D983E0A" w:rsidR="009F76F1" w:rsidRPr="00E31DA4" w:rsidRDefault="009F76F1" w:rsidP="00ED172C">
      <w:pPr>
        <w:pStyle w:val="NormalWeb"/>
        <w:numPr>
          <w:ilvl w:val="2"/>
          <w:numId w:val="4"/>
        </w:numPr>
        <w:spacing w:before="0" w:beforeAutospacing="0" w:after="0" w:afterAutospacing="0"/>
        <w:ind w:left="720"/>
        <w:jc w:val="both"/>
        <w:rPr>
          <w:rFonts w:ascii="Arial" w:hAnsi="Arial" w:cs="Arial"/>
          <w:sz w:val="22"/>
          <w:szCs w:val="22"/>
          <w:u w:val="single"/>
        </w:rPr>
      </w:pPr>
      <w:r w:rsidRPr="00E31DA4">
        <w:rPr>
          <w:rFonts w:ascii="Arial" w:hAnsi="Arial" w:cs="Arial"/>
          <w:sz w:val="22"/>
          <w:szCs w:val="22"/>
          <w:u w:val="single"/>
        </w:rPr>
        <w:t>Project-Specific Patient Panels</w:t>
      </w:r>
    </w:p>
    <w:p w14:paraId="55EBE027" w14:textId="635150E3" w:rsidR="00ED172C" w:rsidRDefault="00ED172C" w:rsidP="00ED172C">
      <w:pPr>
        <w:rPr>
          <w:rFonts w:ascii="Arial" w:hAnsi="Arial" w:cs="Arial"/>
          <w:sz w:val="22"/>
          <w:szCs w:val="22"/>
          <w:u w:val="single"/>
        </w:rPr>
      </w:pPr>
    </w:p>
    <w:p w14:paraId="28087DD0" w14:textId="1D38E733" w:rsidR="00646420" w:rsidRDefault="00646420" w:rsidP="00646420">
      <w:pPr>
        <w:pStyle w:val="NormalWeb"/>
        <w:spacing w:before="0" w:beforeAutospacing="0" w:after="0" w:afterAutospacing="0"/>
        <w:jc w:val="both"/>
      </w:pPr>
      <w:r>
        <w:rPr>
          <w:rFonts w:ascii="ArialMT" w:hAnsi="ArialMT"/>
          <w:sz w:val="22"/>
          <w:szCs w:val="22"/>
        </w:rPr>
        <w:t xml:space="preserve">The Proposed Project will increase access to medical/surgical and ICU inpatients beds as well as inpatient ORs. Accordingly, in addition to reviewing the demographic data for the Hospital overall, the Applicant also conducted a focused review of its patient panel’s historical medical/surgical, ICU, and inpatient </w:t>
      </w:r>
      <w:r w:rsidR="00C1204F">
        <w:rPr>
          <w:rFonts w:ascii="ArialMT" w:hAnsi="ArialMT"/>
          <w:sz w:val="22"/>
          <w:szCs w:val="22"/>
        </w:rPr>
        <w:t>surgical</w:t>
      </w:r>
      <w:r>
        <w:rPr>
          <w:rFonts w:ascii="ArialMT" w:hAnsi="ArialMT"/>
          <w:sz w:val="22"/>
          <w:szCs w:val="22"/>
        </w:rPr>
        <w:t xml:space="preserve"> demographic profiles to determine the need for the Proposed Project. </w:t>
      </w:r>
    </w:p>
    <w:p w14:paraId="41991006" w14:textId="77777777" w:rsidR="00646420" w:rsidRPr="00ED172C" w:rsidRDefault="00646420" w:rsidP="00ED172C">
      <w:pPr>
        <w:rPr>
          <w:rFonts w:ascii="Arial" w:hAnsi="Arial" w:cs="Arial"/>
          <w:sz w:val="22"/>
          <w:szCs w:val="22"/>
          <w:u w:val="single"/>
        </w:rPr>
      </w:pPr>
    </w:p>
    <w:p w14:paraId="15B18299" w14:textId="40874718" w:rsidR="00ED172C" w:rsidRPr="00ED172C" w:rsidRDefault="00ED172C" w:rsidP="00ED172C">
      <w:pPr>
        <w:pStyle w:val="NormalWeb"/>
        <w:numPr>
          <w:ilvl w:val="3"/>
          <w:numId w:val="4"/>
        </w:numPr>
        <w:spacing w:before="0" w:beforeAutospacing="0" w:after="0" w:afterAutospacing="0"/>
        <w:ind w:left="1080"/>
        <w:jc w:val="both"/>
        <w:rPr>
          <w:rFonts w:ascii="Arial" w:hAnsi="Arial" w:cs="Arial"/>
          <w:i/>
          <w:iCs/>
          <w:sz w:val="22"/>
          <w:szCs w:val="22"/>
          <w:u w:val="single"/>
        </w:rPr>
      </w:pPr>
      <w:r w:rsidRPr="00ED172C">
        <w:rPr>
          <w:rFonts w:ascii="Arial" w:hAnsi="Arial" w:cs="Arial"/>
          <w:i/>
          <w:iCs/>
          <w:sz w:val="22"/>
          <w:szCs w:val="22"/>
          <w:u w:val="single"/>
        </w:rPr>
        <w:t>Inpatient Bed Panels</w:t>
      </w:r>
    </w:p>
    <w:p w14:paraId="126C6452" w14:textId="77777777" w:rsidR="00646420" w:rsidRDefault="00646420" w:rsidP="00C63013">
      <w:pPr>
        <w:pStyle w:val="NormalWeb"/>
        <w:spacing w:before="0" w:beforeAutospacing="0" w:after="0" w:afterAutospacing="0"/>
        <w:jc w:val="both"/>
      </w:pPr>
    </w:p>
    <w:p w14:paraId="2B23B6BC" w14:textId="2C37B340" w:rsidR="00B60325" w:rsidRPr="00646420" w:rsidRDefault="00656218" w:rsidP="005816F3">
      <w:pPr>
        <w:pStyle w:val="NormalWeb"/>
        <w:spacing w:before="0" w:beforeAutospacing="0" w:after="0" w:afterAutospacing="0"/>
        <w:jc w:val="both"/>
        <w:rPr>
          <w:rFonts w:ascii="ArialMT" w:hAnsi="ArialMT"/>
          <w:sz w:val="22"/>
          <w:szCs w:val="22"/>
        </w:rPr>
      </w:pPr>
      <w:r>
        <w:rPr>
          <w:rFonts w:ascii="ArialMT" w:hAnsi="ArialMT"/>
          <w:sz w:val="22"/>
          <w:szCs w:val="22"/>
        </w:rPr>
        <w:t>T</w:t>
      </w:r>
      <w:r w:rsidR="00CB48B3">
        <w:rPr>
          <w:rFonts w:ascii="ArialMT" w:hAnsi="ArialMT"/>
          <w:sz w:val="22"/>
          <w:szCs w:val="22"/>
        </w:rPr>
        <w:t xml:space="preserve">he demographic profiles outlined in Tables 3 </w:t>
      </w:r>
      <w:r w:rsidR="00D03B74">
        <w:rPr>
          <w:rFonts w:ascii="ArialMT" w:hAnsi="ArialMT"/>
          <w:sz w:val="22"/>
          <w:szCs w:val="22"/>
        </w:rPr>
        <w:t>through</w:t>
      </w:r>
      <w:r w:rsidR="00CB48B3">
        <w:rPr>
          <w:rFonts w:ascii="ArialMT" w:hAnsi="ArialMT"/>
          <w:sz w:val="22"/>
          <w:szCs w:val="22"/>
        </w:rPr>
        <w:t xml:space="preserve"> </w:t>
      </w:r>
      <w:r w:rsidR="00D03B74">
        <w:rPr>
          <w:rFonts w:ascii="ArialMT" w:hAnsi="ArialMT"/>
          <w:sz w:val="22"/>
          <w:szCs w:val="22"/>
        </w:rPr>
        <w:t>6</w:t>
      </w:r>
      <w:r w:rsidR="00CB48B3">
        <w:rPr>
          <w:rFonts w:ascii="ArialMT" w:hAnsi="ArialMT"/>
          <w:sz w:val="22"/>
          <w:szCs w:val="22"/>
        </w:rPr>
        <w:t xml:space="preserve"> below </w:t>
      </w:r>
      <w:r w:rsidR="002007F6">
        <w:rPr>
          <w:rFonts w:ascii="ArialMT" w:hAnsi="ArialMT"/>
          <w:sz w:val="22"/>
          <w:szCs w:val="22"/>
        </w:rPr>
        <w:t>illustrate</w:t>
      </w:r>
      <w:r w:rsidR="00BA2D75">
        <w:rPr>
          <w:rFonts w:ascii="ArialMT" w:hAnsi="ArialMT"/>
          <w:sz w:val="22"/>
          <w:szCs w:val="22"/>
        </w:rPr>
        <w:t xml:space="preserve"> that </w:t>
      </w:r>
      <w:r w:rsidR="005816F3" w:rsidRPr="00DA2F20">
        <w:rPr>
          <w:rFonts w:ascii="ArialMT" w:hAnsi="ArialMT"/>
          <w:sz w:val="22"/>
          <w:szCs w:val="22"/>
        </w:rPr>
        <w:t xml:space="preserve">BMC’s </w:t>
      </w:r>
      <w:r w:rsidR="00520363">
        <w:rPr>
          <w:rFonts w:ascii="ArialMT" w:hAnsi="ArialMT"/>
          <w:sz w:val="22"/>
          <w:szCs w:val="22"/>
        </w:rPr>
        <w:t>medical/surgical and ICU inpatient</w:t>
      </w:r>
      <w:r w:rsidR="005816F3" w:rsidRPr="00DA2F20">
        <w:rPr>
          <w:rFonts w:ascii="ArialMT" w:hAnsi="ArialMT"/>
          <w:sz w:val="22"/>
          <w:szCs w:val="22"/>
        </w:rPr>
        <w:t xml:space="preserve"> panels are largely reflective of the Hospital</w:t>
      </w:r>
      <w:r w:rsidR="002007F6">
        <w:rPr>
          <w:rFonts w:ascii="ArialMT" w:hAnsi="ArialMT"/>
          <w:sz w:val="22"/>
          <w:szCs w:val="22"/>
        </w:rPr>
        <w:t>’s panel</w:t>
      </w:r>
      <w:r w:rsidR="005816F3" w:rsidRPr="00DA2F20">
        <w:rPr>
          <w:rFonts w:ascii="ArialMT" w:hAnsi="ArialMT"/>
          <w:sz w:val="22"/>
          <w:szCs w:val="22"/>
        </w:rPr>
        <w:t xml:space="preserve"> overall</w:t>
      </w:r>
      <w:r w:rsidR="00DD3AA5">
        <w:rPr>
          <w:rFonts w:ascii="ArialMT" w:hAnsi="ArialMT"/>
          <w:sz w:val="22"/>
          <w:szCs w:val="22"/>
        </w:rPr>
        <w:t xml:space="preserve"> in terms of gender, age, race/ethnicity, and geographic origin</w:t>
      </w:r>
      <w:r w:rsidR="005816F3" w:rsidRPr="00DA2F20">
        <w:rPr>
          <w:rFonts w:ascii="ArialMT" w:hAnsi="ArialMT"/>
          <w:sz w:val="22"/>
          <w:szCs w:val="22"/>
        </w:rPr>
        <w:t xml:space="preserve">. </w:t>
      </w:r>
      <w:r w:rsidR="007345A7">
        <w:rPr>
          <w:rFonts w:ascii="ArialMT" w:hAnsi="ArialMT"/>
          <w:sz w:val="22"/>
          <w:szCs w:val="22"/>
        </w:rPr>
        <w:t xml:space="preserve">As outlined in Table </w:t>
      </w:r>
      <w:r w:rsidR="00520363">
        <w:rPr>
          <w:rFonts w:ascii="ArialMT" w:hAnsi="ArialMT"/>
          <w:sz w:val="22"/>
          <w:szCs w:val="22"/>
        </w:rPr>
        <w:t>3</w:t>
      </w:r>
      <w:r w:rsidR="007345A7">
        <w:rPr>
          <w:rFonts w:ascii="ArialMT" w:hAnsi="ArialMT"/>
          <w:sz w:val="22"/>
          <w:szCs w:val="22"/>
        </w:rPr>
        <w:t>, i</w:t>
      </w:r>
      <w:r w:rsidR="005816F3" w:rsidRPr="00DA2F20">
        <w:rPr>
          <w:rFonts w:ascii="ArialMT" w:hAnsi="ArialMT"/>
          <w:sz w:val="22"/>
          <w:szCs w:val="22"/>
        </w:rPr>
        <w:t>n FY</w:t>
      </w:r>
      <w:r w:rsidR="00F278A4">
        <w:rPr>
          <w:rFonts w:ascii="ArialMT" w:hAnsi="ArialMT"/>
          <w:sz w:val="22"/>
          <w:szCs w:val="22"/>
        </w:rPr>
        <w:t>2</w:t>
      </w:r>
      <w:r w:rsidR="005816F3" w:rsidRPr="00DA2F20">
        <w:rPr>
          <w:rFonts w:ascii="ArialMT" w:hAnsi="ArialMT"/>
          <w:sz w:val="22"/>
          <w:szCs w:val="22"/>
        </w:rPr>
        <w:t xml:space="preserve">1, </w:t>
      </w:r>
      <w:r w:rsidR="00B60325">
        <w:rPr>
          <w:rFonts w:ascii="ArialMT" w:hAnsi="ArialMT"/>
          <w:sz w:val="22"/>
          <w:szCs w:val="22"/>
        </w:rPr>
        <w:t>47</w:t>
      </w:r>
      <w:r w:rsidR="005816F3" w:rsidRPr="00DA2F20">
        <w:rPr>
          <w:rFonts w:ascii="ArialMT" w:hAnsi="ArialMT"/>
          <w:sz w:val="22"/>
          <w:szCs w:val="22"/>
        </w:rPr>
        <w:t xml:space="preserve">% of </w:t>
      </w:r>
      <w:r w:rsidR="007345A7">
        <w:rPr>
          <w:rFonts w:ascii="ArialMT" w:hAnsi="ArialMT"/>
          <w:sz w:val="22"/>
          <w:szCs w:val="22"/>
        </w:rPr>
        <w:t xml:space="preserve">the Hospital’s </w:t>
      </w:r>
      <w:r w:rsidR="00B60325">
        <w:rPr>
          <w:rFonts w:ascii="ArialMT" w:hAnsi="ArialMT"/>
          <w:sz w:val="22"/>
          <w:szCs w:val="22"/>
        </w:rPr>
        <w:t xml:space="preserve">medical/surgical </w:t>
      </w:r>
      <w:r w:rsidR="005816F3" w:rsidRPr="00DA2F20">
        <w:rPr>
          <w:rFonts w:ascii="ArialMT" w:hAnsi="ArialMT"/>
          <w:sz w:val="22"/>
          <w:szCs w:val="22"/>
        </w:rPr>
        <w:t xml:space="preserve">patients were female and </w:t>
      </w:r>
      <w:r w:rsidR="00B60325">
        <w:rPr>
          <w:rFonts w:ascii="ArialMT" w:hAnsi="ArialMT"/>
          <w:sz w:val="22"/>
          <w:szCs w:val="22"/>
        </w:rPr>
        <w:t>53</w:t>
      </w:r>
      <w:r w:rsidR="005816F3" w:rsidRPr="00DA2F20">
        <w:rPr>
          <w:rFonts w:ascii="ArialMT" w:hAnsi="ArialMT"/>
          <w:sz w:val="22"/>
          <w:szCs w:val="22"/>
        </w:rPr>
        <w:t>% were male</w:t>
      </w:r>
      <w:r w:rsidR="007345A7">
        <w:rPr>
          <w:rFonts w:ascii="ArialMT" w:hAnsi="ArialMT"/>
          <w:sz w:val="22"/>
          <w:szCs w:val="22"/>
        </w:rPr>
        <w:t xml:space="preserve">, and </w:t>
      </w:r>
      <w:r w:rsidR="00CB48B3" w:rsidRPr="00CB48B3">
        <w:rPr>
          <w:rFonts w:ascii="ArialMT" w:hAnsi="ArialMT"/>
          <w:sz w:val="22"/>
          <w:szCs w:val="22"/>
        </w:rPr>
        <w:t>39.3</w:t>
      </w:r>
      <w:r w:rsidR="00B60325" w:rsidRPr="00CB48B3">
        <w:rPr>
          <w:rFonts w:ascii="ArialMT" w:hAnsi="ArialMT"/>
          <w:sz w:val="22"/>
          <w:szCs w:val="22"/>
        </w:rPr>
        <w:t xml:space="preserve">% of </w:t>
      </w:r>
      <w:r w:rsidR="007345A7">
        <w:rPr>
          <w:rFonts w:ascii="ArialMT" w:hAnsi="ArialMT"/>
          <w:sz w:val="22"/>
          <w:szCs w:val="22"/>
        </w:rPr>
        <w:t xml:space="preserve">the Hospital’s </w:t>
      </w:r>
      <w:r w:rsidR="00B60325" w:rsidRPr="00CB48B3">
        <w:rPr>
          <w:rFonts w:ascii="ArialMT" w:hAnsi="ArialMT"/>
          <w:sz w:val="22"/>
          <w:szCs w:val="22"/>
        </w:rPr>
        <w:t xml:space="preserve">ICU patients were female and </w:t>
      </w:r>
      <w:r w:rsidR="00CB48B3" w:rsidRPr="00CB48B3">
        <w:rPr>
          <w:rFonts w:ascii="ArialMT" w:hAnsi="ArialMT"/>
          <w:sz w:val="22"/>
          <w:szCs w:val="22"/>
        </w:rPr>
        <w:t>60.7</w:t>
      </w:r>
      <w:r w:rsidR="00B60325" w:rsidRPr="00CB48B3">
        <w:rPr>
          <w:rFonts w:ascii="ArialMT" w:hAnsi="ArialMT"/>
          <w:sz w:val="22"/>
          <w:szCs w:val="22"/>
        </w:rPr>
        <w:t>% were</w:t>
      </w:r>
      <w:r w:rsidR="00B60325" w:rsidRPr="00DA2F20">
        <w:rPr>
          <w:rFonts w:ascii="ArialMT" w:hAnsi="ArialMT"/>
          <w:sz w:val="22"/>
          <w:szCs w:val="22"/>
        </w:rPr>
        <w:t xml:space="preserve"> male</w:t>
      </w:r>
      <w:r w:rsidR="00CB48B3">
        <w:rPr>
          <w:rFonts w:ascii="ArialMT" w:hAnsi="ArialMT"/>
          <w:sz w:val="22"/>
          <w:szCs w:val="22"/>
        </w:rPr>
        <w:t>/other</w:t>
      </w:r>
      <w:r w:rsidR="00B60325">
        <w:rPr>
          <w:rFonts w:ascii="ArialMT" w:hAnsi="ArialMT"/>
          <w:sz w:val="22"/>
          <w:szCs w:val="22"/>
        </w:rPr>
        <w:t xml:space="preserve">. </w:t>
      </w:r>
    </w:p>
    <w:p w14:paraId="4E41551F" w14:textId="77777777" w:rsidR="005762B1" w:rsidRDefault="005762B1" w:rsidP="005816F3">
      <w:pPr>
        <w:pStyle w:val="NormalWeb"/>
        <w:spacing w:before="0" w:beforeAutospacing="0" w:after="0" w:afterAutospacing="0"/>
        <w:jc w:val="both"/>
        <w:rPr>
          <w:rFonts w:ascii="Arial Narrow" w:hAnsi="Arial Narrow" w:cs="Arial"/>
          <w:b/>
          <w:bCs/>
          <w:sz w:val="22"/>
          <w:szCs w:val="22"/>
        </w:rPr>
      </w:pPr>
    </w:p>
    <w:p w14:paraId="3A2A8349" w14:textId="4290F630" w:rsidR="007345A7" w:rsidRDefault="005762B1" w:rsidP="005816F3">
      <w:pPr>
        <w:pStyle w:val="NormalWeb"/>
        <w:spacing w:before="0" w:beforeAutospacing="0" w:after="0" w:afterAutospacing="0"/>
        <w:jc w:val="both"/>
        <w:rPr>
          <w:rFonts w:ascii="Arial" w:hAnsi="Arial" w:cs="Arial"/>
          <w:i/>
          <w:iCs/>
          <w:sz w:val="22"/>
          <w:szCs w:val="22"/>
          <w:u w:val="single"/>
        </w:rPr>
      </w:pPr>
      <w:r w:rsidRPr="005762B1">
        <w:rPr>
          <w:rFonts w:ascii="Arial Narrow" w:hAnsi="Arial Narrow" w:cs="Arial"/>
          <w:b/>
          <w:bCs/>
          <w:sz w:val="22"/>
          <w:szCs w:val="22"/>
        </w:rPr>
        <w:t>Table 3: BMC Medical/Surgical and ICU Patient Panel Demographics – Gender</w:t>
      </w:r>
    </w:p>
    <w:tbl>
      <w:tblPr>
        <w:tblStyle w:val="TableGrid"/>
        <w:tblW w:w="9271" w:type="dxa"/>
        <w:jc w:val="center"/>
        <w:tblLook w:val="04A0" w:firstRow="1" w:lastRow="0" w:firstColumn="1" w:lastColumn="0" w:noHBand="0" w:noVBand="1"/>
      </w:tblPr>
      <w:tblGrid>
        <w:gridCol w:w="2784"/>
        <w:gridCol w:w="809"/>
        <w:gridCol w:w="810"/>
        <w:gridCol w:w="809"/>
        <w:gridCol w:w="810"/>
        <w:gridCol w:w="809"/>
        <w:gridCol w:w="813"/>
        <w:gridCol w:w="809"/>
        <w:gridCol w:w="810"/>
        <w:gridCol w:w="8"/>
      </w:tblGrid>
      <w:tr w:rsidR="005E67A0" w:rsidRPr="00B60325" w14:paraId="0277BC67" w14:textId="77777777" w:rsidTr="005762B1">
        <w:trPr>
          <w:cantSplit/>
          <w:trHeight w:val="20"/>
          <w:tblHeader/>
          <w:jc w:val="center"/>
        </w:trPr>
        <w:tc>
          <w:tcPr>
            <w:tcW w:w="2784" w:type="dxa"/>
            <w:vMerge w:val="restart"/>
            <w:tcBorders>
              <w:top w:val="single" w:sz="12" w:space="0" w:color="auto"/>
              <w:left w:val="single" w:sz="12" w:space="0" w:color="auto"/>
            </w:tcBorders>
            <w:shd w:val="clear" w:color="auto" w:fill="8DA9DB"/>
            <w:vAlign w:val="center"/>
          </w:tcPr>
          <w:p w14:paraId="4125D3F2" w14:textId="77777777" w:rsidR="005E67A0" w:rsidRPr="00B60325" w:rsidRDefault="005E67A0" w:rsidP="00963E14">
            <w:pPr>
              <w:rPr>
                <w:rFonts w:ascii="Arial Narrow" w:hAnsi="Arial Narrow" w:cs="Arial"/>
                <w:b/>
                <w:bCs/>
                <w:sz w:val="22"/>
                <w:szCs w:val="22"/>
              </w:rPr>
            </w:pPr>
          </w:p>
        </w:tc>
        <w:tc>
          <w:tcPr>
            <w:tcW w:w="1619" w:type="dxa"/>
            <w:gridSpan w:val="2"/>
            <w:tcBorders>
              <w:top w:val="single" w:sz="12" w:space="0" w:color="auto"/>
            </w:tcBorders>
            <w:shd w:val="clear" w:color="auto" w:fill="8DA9DB"/>
            <w:vAlign w:val="center"/>
          </w:tcPr>
          <w:p w14:paraId="6340CF8A" w14:textId="71D9D55C"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FY19</w:t>
            </w:r>
          </w:p>
        </w:tc>
        <w:tc>
          <w:tcPr>
            <w:tcW w:w="1619" w:type="dxa"/>
            <w:gridSpan w:val="2"/>
            <w:tcBorders>
              <w:top w:val="single" w:sz="12" w:space="0" w:color="auto"/>
            </w:tcBorders>
            <w:shd w:val="clear" w:color="auto" w:fill="8DA9DB"/>
            <w:vAlign w:val="center"/>
          </w:tcPr>
          <w:p w14:paraId="4866DF29" w14:textId="0E9A7254"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FY20</w:t>
            </w:r>
          </w:p>
        </w:tc>
        <w:tc>
          <w:tcPr>
            <w:tcW w:w="1622" w:type="dxa"/>
            <w:gridSpan w:val="2"/>
            <w:tcBorders>
              <w:top w:val="single" w:sz="12" w:space="0" w:color="auto"/>
            </w:tcBorders>
            <w:shd w:val="clear" w:color="auto" w:fill="8DA9DB"/>
            <w:vAlign w:val="center"/>
          </w:tcPr>
          <w:p w14:paraId="2D8C15AA" w14:textId="3E3319A1"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FY21</w:t>
            </w:r>
          </w:p>
        </w:tc>
        <w:tc>
          <w:tcPr>
            <w:tcW w:w="1627" w:type="dxa"/>
            <w:gridSpan w:val="3"/>
            <w:tcBorders>
              <w:top w:val="single" w:sz="12" w:space="0" w:color="auto"/>
              <w:right w:val="single" w:sz="12" w:space="0" w:color="auto"/>
            </w:tcBorders>
            <w:shd w:val="clear" w:color="auto" w:fill="8DA9DB"/>
            <w:vAlign w:val="center"/>
          </w:tcPr>
          <w:p w14:paraId="7227F891" w14:textId="337230B4"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FY22 YTD</w:t>
            </w:r>
          </w:p>
        </w:tc>
      </w:tr>
      <w:tr w:rsidR="005E67A0" w:rsidRPr="00B60325" w14:paraId="63AF243E" w14:textId="77777777" w:rsidTr="005762B1">
        <w:trPr>
          <w:gridAfter w:val="1"/>
          <w:wAfter w:w="8" w:type="dxa"/>
          <w:cantSplit/>
          <w:trHeight w:val="20"/>
          <w:tblHeader/>
          <w:jc w:val="center"/>
        </w:trPr>
        <w:tc>
          <w:tcPr>
            <w:tcW w:w="2784" w:type="dxa"/>
            <w:vMerge/>
            <w:tcBorders>
              <w:left w:val="single" w:sz="12" w:space="0" w:color="auto"/>
              <w:bottom w:val="single" w:sz="12" w:space="0" w:color="auto"/>
            </w:tcBorders>
            <w:shd w:val="clear" w:color="auto" w:fill="8DA9DB"/>
          </w:tcPr>
          <w:p w14:paraId="46837A48" w14:textId="77777777" w:rsidR="005E67A0" w:rsidRPr="00B60325" w:rsidRDefault="005E67A0" w:rsidP="00963E14">
            <w:pPr>
              <w:rPr>
                <w:rFonts w:ascii="Arial Narrow" w:hAnsi="Arial Narrow" w:cs="Arial"/>
                <w:b/>
                <w:bCs/>
                <w:sz w:val="22"/>
                <w:szCs w:val="22"/>
              </w:rPr>
            </w:pPr>
          </w:p>
        </w:tc>
        <w:tc>
          <w:tcPr>
            <w:tcW w:w="809" w:type="dxa"/>
            <w:tcBorders>
              <w:bottom w:val="single" w:sz="12" w:space="0" w:color="auto"/>
            </w:tcBorders>
            <w:shd w:val="clear" w:color="auto" w:fill="8DA9DB"/>
            <w:vAlign w:val="center"/>
          </w:tcPr>
          <w:p w14:paraId="3CF70535"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6B8FA60E"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00E26532"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0850D741"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205E92E9"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3" w:type="dxa"/>
            <w:tcBorders>
              <w:bottom w:val="single" w:sz="12" w:space="0" w:color="auto"/>
            </w:tcBorders>
            <w:shd w:val="clear" w:color="auto" w:fill="8DA9DB"/>
            <w:vAlign w:val="center"/>
          </w:tcPr>
          <w:p w14:paraId="6736BFC2"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3A676622"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right w:val="single" w:sz="12" w:space="0" w:color="auto"/>
            </w:tcBorders>
            <w:shd w:val="clear" w:color="auto" w:fill="8DA9DB"/>
            <w:vAlign w:val="center"/>
          </w:tcPr>
          <w:p w14:paraId="2BC5F0AF"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r>
      <w:tr w:rsidR="005E67A0" w:rsidRPr="00B60325" w14:paraId="394F3CF6" w14:textId="77777777" w:rsidTr="005762B1">
        <w:trPr>
          <w:gridAfter w:val="1"/>
          <w:wAfter w:w="8" w:type="dxa"/>
          <w:cantSplit/>
          <w:trHeight w:val="20"/>
          <w:jc w:val="center"/>
        </w:trPr>
        <w:tc>
          <w:tcPr>
            <w:tcW w:w="2784" w:type="dxa"/>
            <w:tcBorders>
              <w:top w:val="single" w:sz="12" w:space="0" w:color="auto"/>
              <w:left w:val="single" w:sz="12" w:space="0" w:color="auto"/>
            </w:tcBorders>
            <w:shd w:val="clear" w:color="auto" w:fill="BFBFBF"/>
            <w:vAlign w:val="center"/>
          </w:tcPr>
          <w:p w14:paraId="510E40FA" w14:textId="77777777" w:rsidR="005E67A0" w:rsidRPr="005E67A0" w:rsidRDefault="005E67A0" w:rsidP="00963E14">
            <w:pPr>
              <w:rPr>
                <w:rFonts w:ascii="Arial Narrow" w:hAnsi="Arial Narrow" w:cs="Arial"/>
                <w:sz w:val="22"/>
                <w:szCs w:val="22"/>
              </w:rPr>
            </w:pPr>
            <w:r w:rsidRPr="005E67A0">
              <w:rPr>
                <w:rFonts w:ascii="Arial Narrow" w:hAnsi="Arial Narrow" w:cs="Arial"/>
                <w:b/>
                <w:bCs/>
                <w:sz w:val="22"/>
                <w:szCs w:val="22"/>
              </w:rPr>
              <w:t>Total Unique M/S Patients</w:t>
            </w:r>
          </w:p>
        </w:tc>
        <w:tc>
          <w:tcPr>
            <w:tcW w:w="809" w:type="dxa"/>
            <w:tcBorders>
              <w:top w:val="single" w:sz="12" w:space="0" w:color="auto"/>
            </w:tcBorders>
            <w:shd w:val="clear" w:color="auto" w:fill="BFBFBF"/>
            <w:vAlign w:val="center"/>
          </w:tcPr>
          <w:p w14:paraId="2ADFAA96"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b/>
                <w:bCs/>
                <w:sz w:val="22"/>
                <w:szCs w:val="22"/>
              </w:rPr>
              <w:t>11,719</w:t>
            </w:r>
          </w:p>
        </w:tc>
        <w:tc>
          <w:tcPr>
            <w:tcW w:w="810" w:type="dxa"/>
            <w:tcBorders>
              <w:top w:val="single" w:sz="12" w:space="0" w:color="auto"/>
            </w:tcBorders>
            <w:shd w:val="clear" w:color="auto" w:fill="BFBFBF"/>
            <w:vAlign w:val="center"/>
          </w:tcPr>
          <w:p w14:paraId="61A00851" w14:textId="77777777" w:rsidR="005E67A0" w:rsidRPr="005E67A0"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536C04BC"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b/>
                <w:bCs/>
                <w:sz w:val="22"/>
                <w:szCs w:val="22"/>
              </w:rPr>
              <w:t>10,541</w:t>
            </w:r>
          </w:p>
        </w:tc>
        <w:tc>
          <w:tcPr>
            <w:tcW w:w="810" w:type="dxa"/>
            <w:tcBorders>
              <w:top w:val="single" w:sz="12" w:space="0" w:color="auto"/>
            </w:tcBorders>
            <w:shd w:val="clear" w:color="auto" w:fill="BFBFBF"/>
            <w:vAlign w:val="center"/>
          </w:tcPr>
          <w:p w14:paraId="71FE7D0E" w14:textId="77777777" w:rsidR="005E67A0" w:rsidRPr="005E67A0"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4B107D58"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b/>
                <w:bCs/>
                <w:sz w:val="22"/>
                <w:szCs w:val="22"/>
              </w:rPr>
              <w:t>11,002</w:t>
            </w:r>
          </w:p>
        </w:tc>
        <w:tc>
          <w:tcPr>
            <w:tcW w:w="813" w:type="dxa"/>
            <w:tcBorders>
              <w:top w:val="single" w:sz="12" w:space="0" w:color="auto"/>
            </w:tcBorders>
            <w:shd w:val="clear" w:color="auto" w:fill="BFBFBF"/>
            <w:vAlign w:val="center"/>
          </w:tcPr>
          <w:p w14:paraId="52A56B2A" w14:textId="77777777" w:rsidR="005E67A0" w:rsidRPr="005E67A0"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2F0D0E10"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b/>
                <w:bCs/>
                <w:sz w:val="22"/>
                <w:szCs w:val="22"/>
              </w:rPr>
              <w:t>2,970</w:t>
            </w:r>
          </w:p>
        </w:tc>
        <w:tc>
          <w:tcPr>
            <w:tcW w:w="810" w:type="dxa"/>
            <w:tcBorders>
              <w:top w:val="single" w:sz="12" w:space="0" w:color="auto"/>
              <w:right w:val="single" w:sz="12" w:space="0" w:color="auto"/>
            </w:tcBorders>
            <w:shd w:val="clear" w:color="auto" w:fill="BFBFBF"/>
            <w:vAlign w:val="center"/>
          </w:tcPr>
          <w:p w14:paraId="22E1538E" w14:textId="77777777" w:rsidR="005E67A0" w:rsidRPr="005E67A0" w:rsidRDefault="005E67A0" w:rsidP="00963E14">
            <w:pPr>
              <w:jc w:val="right"/>
              <w:rPr>
                <w:rFonts w:ascii="Arial Narrow" w:hAnsi="Arial Narrow" w:cs="Arial"/>
                <w:sz w:val="22"/>
                <w:szCs w:val="22"/>
              </w:rPr>
            </w:pPr>
          </w:p>
        </w:tc>
      </w:tr>
      <w:tr w:rsidR="005E67A0" w:rsidRPr="00B60325" w14:paraId="1DEF449B" w14:textId="77777777" w:rsidTr="005762B1">
        <w:trPr>
          <w:gridAfter w:val="1"/>
          <w:wAfter w:w="8" w:type="dxa"/>
          <w:cantSplit/>
          <w:trHeight w:val="20"/>
          <w:jc w:val="center"/>
        </w:trPr>
        <w:tc>
          <w:tcPr>
            <w:tcW w:w="2784" w:type="dxa"/>
            <w:tcBorders>
              <w:left w:val="single" w:sz="12" w:space="0" w:color="auto"/>
            </w:tcBorders>
            <w:vAlign w:val="center"/>
          </w:tcPr>
          <w:p w14:paraId="2FE2830F" w14:textId="77777777" w:rsidR="005E67A0" w:rsidRPr="005E67A0" w:rsidRDefault="005E67A0" w:rsidP="00963E14">
            <w:pPr>
              <w:rPr>
                <w:rFonts w:ascii="Arial Narrow" w:hAnsi="Arial Narrow" w:cs="Arial"/>
                <w:sz w:val="22"/>
                <w:szCs w:val="22"/>
              </w:rPr>
            </w:pPr>
            <w:r w:rsidRPr="005E67A0">
              <w:rPr>
                <w:rFonts w:ascii="Arial Narrow" w:hAnsi="Arial Narrow" w:cs="Arial"/>
                <w:sz w:val="22"/>
                <w:szCs w:val="22"/>
              </w:rPr>
              <w:t>Female</w:t>
            </w:r>
          </w:p>
        </w:tc>
        <w:tc>
          <w:tcPr>
            <w:tcW w:w="809" w:type="dxa"/>
            <w:vAlign w:val="center"/>
          </w:tcPr>
          <w:p w14:paraId="1FCA9A30"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5,602 </w:t>
            </w:r>
          </w:p>
        </w:tc>
        <w:tc>
          <w:tcPr>
            <w:tcW w:w="810" w:type="dxa"/>
            <w:vAlign w:val="center"/>
          </w:tcPr>
          <w:p w14:paraId="3A89DEB5"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47.8%</w:t>
            </w:r>
          </w:p>
        </w:tc>
        <w:tc>
          <w:tcPr>
            <w:tcW w:w="809" w:type="dxa"/>
            <w:vAlign w:val="center"/>
          </w:tcPr>
          <w:p w14:paraId="5631933B"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4,894 </w:t>
            </w:r>
          </w:p>
        </w:tc>
        <w:tc>
          <w:tcPr>
            <w:tcW w:w="810" w:type="dxa"/>
            <w:vAlign w:val="center"/>
          </w:tcPr>
          <w:p w14:paraId="46EA113B"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46.4%</w:t>
            </w:r>
          </w:p>
        </w:tc>
        <w:tc>
          <w:tcPr>
            <w:tcW w:w="809" w:type="dxa"/>
            <w:vAlign w:val="center"/>
          </w:tcPr>
          <w:p w14:paraId="1CA3D343"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5,176 </w:t>
            </w:r>
          </w:p>
        </w:tc>
        <w:tc>
          <w:tcPr>
            <w:tcW w:w="813" w:type="dxa"/>
            <w:vAlign w:val="center"/>
          </w:tcPr>
          <w:p w14:paraId="53EC681D"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47.0%</w:t>
            </w:r>
          </w:p>
        </w:tc>
        <w:tc>
          <w:tcPr>
            <w:tcW w:w="809" w:type="dxa"/>
            <w:vAlign w:val="center"/>
          </w:tcPr>
          <w:p w14:paraId="2F62F1E9"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1,443 </w:t>
            </w:r>
          </w:p>
        </w:tc>
        <w:tc>
          <w:tcPr>
            <w:tcW w:w="810" w:type="dxa"/>
            <w:tcBorders>
              <w:right w:val="single" w:sz="12" w:space="0" w:color="auto"/>
            </w:tcBorders>
            <w:vAlign w:val="center"/>
          </w:tcPr>
          <w:p w14:paraId="01E7352A"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48.6%</w:t>
            </w:r>
          </w:p>
        </w:tc>
      </w:tr>
      <w:tr w:rsidR="005E67A0" w:rsidRPr="00B60325" w14:paraId="6F64BD33" w14:textId="77777777" w:rsidTr="005762B1">
        <w:trPr>
          <w:gridAfter w:val="1"/>
          <w:wAfter w:w="8" w:type="dxa"/>
          <w:cantSplit/>
          <w:trHeight w:val="20"/>
          <w:jc w:val="center"/>
        </w:trPr>
        <w:tc>
          <w:tcPr>
            <w:tcW w:w="2784" w:type="dxa"/>
            <w:tcBorders>
              <w:left w:val="single" w:sz="12" w:space="0" w:color="auto"/>
              <w:bottom w:val="single" w:sz="12" w:space="0" w:color="auto"/>
            </w:tcBorders>
            <w:vAlign w:val="center"/>
          </w:tcPr>
          <w:p w14:paraId="7F27B890" w14:textId="77777777" w:rsidR="005E67A0" w:rsidRPr="005E67A0" w:rsidRDefault="005E67A0" w:rsidP="00963E14">
            <w:pPr>
              <w:rPr>
                <w:rFonts w:ascii="Arial Narrow" w:hAnsi="Arial Narrow" w:cs="Arial"/>
                <w:sz w:val="22"/>
                <w:szCs w:val="22"/>
              </w:rPr>
            </w:pPr>
            <w:r w:rsidRPr="005E67A0">
              <w:rPr>
                <w:rFonts w:ascii="Arial Narrow" w:hAnsi="Arial Narrow" w:cs="Arial"/>
                <w:sz w:val="22"/>
                <w:szCs w:val="22"/>
              </w:rPr>
              <w:t>Male</w:t>
            </w:r>
          </w:p>
        </w:tc>
        <w:tc>
          <w:tcPr>
            <w:tcW w:w="809" w:type="dxa"/>
            <w:tcBorders>
              <w:bottom w:val="single" w:sz="12" w:space="0" w:color="auto"/>
            </w:tcBorders>
            <w:vAlign w:val="center"/>
          </w:tcPr>
          <w:p w14:paraId="31E05D61"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6,117 </w:t>
            </w:r>
          </w:p>
        </w:tc>
        <w:tc>
          <w:tcPr>
            <w:tcW w:w="810" w:type="dxa"/>
            <w:tcBorders>
              <w:bottom w:val="single" w:sz="12" w:space="0" w:color="auto"/>
            </w:tcBorders>
            <w:vAlign w:val="center"/>
          </w:tcPr>
          <w:p w14:paraId="076B2FD4"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52.2%</w:t>
            </w:r>
          </w:p>
        </w:tc>
        <w:tc>
          <w:tcPr>
            <w:tcW w:w="809" w:type="dxa"/>
            <w:tcBorders>
              <w:bottom w:val="single" w:sz="12" w:space="0" w:color="auto"/>
            </w:tcBorders>
            <w:vAlign w:val="center"/>
          </w:tcPr>
          <w:p w14:paraId="36168679"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5,647 </w:t>
            </w:r>
          </w:p>
        </w:tc>
        <w:tc>
          <w:tcPr>
            <w:tcW w:w="810" w:type="dxa"/>
            <w:tcBorders>
              <w:bottom w:val="single" w:sz="12" w:space="0" w:color="auto"/>
            </w:tcBorders>
            <w:vAlign w:val="center"/>
          </w:tcPr>
          <w:p w14:paraId="19319B1D"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53.6%</w:t>
            </w:r>
          </w:p>
        </w:tc>
        <w:tc>
          <w:tcPr>
            <w:tcW w:w="809" w:type="dxa"/>
            <w:tcBorders>
              <w:bottom w:val="single" w:sz="12" w:space="0" w:color="auto"/>
            </w:tcBorders>
            <w:vAlign w:val="center"/>
          </w:tcPr>
          <w:p w14:paraId="1F186222"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5,826 </w:t>
            </w:r>
          </w:p>
        </w:tc>
        <w:tc>
          <w:tcPr>
            <w:tcW w:w="813" w:type="dxa"/>
            <w:tcBorders>
              <w:bottom w:val="single" w:sz="12" w:space="0" w:color="auto"/>
            </w:tcBorders>
            <w:vAlign w:val="center"/>
          </w:tcPr>
          <w:p w14:paraId="0579677B"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53.0%</w:t>
            </w:r>
          </w:p>
        </w:tc>
        <w:tc>
          <w:tcPr>
            <w:tcW w:w="809" w:type="dxa"/>
            <w:tcBorders>
              <w:bottom w:val="single" w:sz="12" w:space="0" w:color="auto"/>
            </w:tcBorders>
            <w:vAlign w:val="center"/>
          </w:tcPr>
          <w:p w14:paraId="1D8384D8"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1,527 </w:t>
            </w:r>
          </w:p>
        </w:tc>
        <w:tc>
          <w:tcPr>
            <w:tcW w:w="810" w:type="dxa"/>
            <w:tcBorders>
              <w:bottom w:val="single" w:sz="12" w:space="0" w:color="auto"/>
              <w:right w:val="single" w:sz="12" w:space="0" w:color="auto"/>
            </w:tcBorders>
            <w:vAlign w:val="center"/>
          </w:tcPr>
          <w:p w14:paraId="598C1DEC"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51.4%</w:t>
            </w:r>
          </w:p>
        </w:tc>
      </w:tr>
      <w:tr w:rsidR="00882C41" w:rsidRPr="00B60325" w14:paraId="332D88BD" w14:textId="77777777" w:rsidTr="005762B1">
        <w:trPr>
          <w:gridAfter w:val="1"/>
          <w:wAfter w:w="8" w:type="dxa"/>
          <w:cantSplit/>
          <w:trHeight w:val="20"/>
          <w:jc w:val="center"/>
        </w:trPr>
        <w:tc>
          <w:tcPr>
            <w:tcW w:w="2784" w:type="dxa"/>
            <w:tcBorders>
              <w:top w:val="single" w:sz="12" w:space="0" w:color="auto"/>
              <w:left w:val="single" w:sz="12" w:space="0" w:color="auto"/>
            </w:tcBorders>
            <w:shd w:val="clear" w:color="auto" w:fill="BFBFBF"/>
            <w:vAlign w:val="center"/>
          </w:tcPr>
          <w:p w14:paraId="06BB3EE6" w14:textId="77777777" w:rsidR="00882C41" w:rsidRPr="005E67A0" w:rsidRDefault="00882C41" w:rsidP="00882C41">
            <w:pPr>
              <w:rPr>
                <w:rFonts w:ascii="Arial Narrow" w:hAnsi="Arial Narrow" w:cs="Arial"/>
                <w:sz w:val="22"/>
                <w:szCs w:val="22"/>
              </w:rPr>
            </w:pPr>
            <w:r w:rsidRPr="005E67A0">
              <w:rPr>
                <w:rFonts w:ascii="Arial Narrow" w:hAnsi="Arial Narrow" w:cs="Arial"/>
                <w:b/>
                <w:bCs/>
                <w:sz w:val="22"/>
                <w:szCs w:val="22"/>
              </w:rPr>
              <w:t>Total Unique ICU Patients</w:t>
            </w:r>
          </w:p>
        </w:tc>
        <w:tc>
          <w:tcPr>
            <w:tcW w:w="809" w:type="dxa"/>
            <w:tcBorders>
              <w:top w:val="single" w:sz="12" w:space="0" w:color="auto"/>
            </w:tcBorders>
            <w:shd w:val="clear" w:color="auto" w:fill="BFBFBF"/>
            <w:vAlign w:val="center"/>
          </w:tcPr>
          <w:p w14:paraId="5868AA49" w14:textId="69FD7B25" w:rsidR="00882C41" w:rsidRPr="005E67A0" w:rsidRDefault="00882C41" w:rsidP="00882C41">
            <w:pPr>
              <w:jc w:val="right"/>
              <w:rPr>
                <w:rFonts w:ascii="Arial Narrow" w:hAnsi="Arial Narrow" w:cs="Arial"/>
                <w:sz w:val="22"/>
                <w:szCs w:val="22"/>
              </w:rPr>
            </w:pPr>
            <w:r>
              <w:rPr>
                <w:rFonts w:ascii="Arial Narrow" w:hAnsi="Arial Narrow" w:cs="Arial"/>
                <w:b/>
                <w:bCs/>
                <w:sz w:val="22"/>
                <w:szCs w:val="22"/>
              </w:rPr>
              <w:t>3,751</w:t>
            </w:r>
          </w:p>
        </w:tc>
        <w:tc>
          <w:tcPr>
            <w:tcW w:w="810" w:type="dxa"/>
            <w:tcBorders>
              <w:top w:val="single" w:sz="12" w:space="0" w:color="auto"/>
            </w:tcBorders>
            <w:shd w:val="clear" w:color="auto" w:fill="BFBFBF"/>
            <w:vAlign w:val="center"/>
          </w:tcPr>
          <w:p w14:paraId="42599D38" w14:textId="77777777" w:rsidR="00882C41" w:rsidRPr="005E67A0"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02F13A00" w14:textId="3C6A2271" w:rsidR="00882C41" w:rsidRPr="005E67A0" w:rsidRDefault="00882C41" w:rsidP="00882C41">
            <w:pPr>
              <w:jc w:val="right"/>
              <w:rPr>
                <w:rFonts w:ascii="Arial Narrow" w:hAnsi="Arial Narrow" w:cs="Arial"/>
                <w:sz w:val="22"/>
                <w:szCs w:val="22"/>
              </w:rPr>
            </w:pPr>
            <w:r>
              <w:rPr>
                <w:rFonts w:ascii="Arial Narrow" w:hAnsi="Arial Narrow" w:cs="Arial"/>
                <w:b/>
                <w:bCs/>
                <w:sz w:val="22"/>
                <w:szCs w:val="22"/>
              </w:rPr>
              <w:t>3,291</w:t>
            </w:r>
          </w:p>
        </w:tc>
        <w:tc>
          <w:tcPr>
            <w:tcW w:w="810" w:type="dxa"/>
            <w:tcBorders>
              <w:top w:val="single" w:sz="12" w:space="0" w:color="auto"/>
            </w:tcBorders>
            <w:shd w:val="clear" w:color="auto" w:fill="BFBFBF"/>
            <w:vAlign w:val="center"/>
          </w:tcPr>
          <w:p w14:paraId="7B4ABE81" w14:textId="77777777" w:rsidR="00882C41" w:rsidRPr="005E67A0"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7D7B5705" w14:textId="4EB82763" w:rsidR="00882C41" w:rsidRPr="005E67A0" w:rsidRDefault="00882C41" w:rsidP="00882C41">
            <w:pPr>
              <w:jc w:val="right"/>
              <w:rPr>
                <w:rFonts w:ascii="Arial Narrow" w:hAnsi="Arial Narrow" w:cs="Arial"/>
                <w:sz w:val="22"/>
                <w:szCs w:val="22"/>
              </w:rPr>
            </w:pPr>
            <w:r>
              <w:rPr>
                <w:rFonts w:ascii="Arial Narrow" w:hAnsi="Arial Narrow" w:cs="Arial"/>
                <w:b/>
                <w:bCs/>
                <w:sz w:val="22"/>
                <w:szCs w:val="22"/>
              </w:rPr>
              <w:t>3,403</w:t>
            </w:r>
          </w:p>
        </w:tc>
        <w:tc>
          <w:tcPr>
            <w:tcW w:w="813" w:type="dxa"/>
            <w:tcBorders>
              <w:top w:val="single" w:sz="12" w:space="0" w:color="auto"/>
            </w:tcBorders>
            <w:shd w:val="clear" w:color="auto" w:fill="BFBFBF"/>
            <w:vAlign w:val="center"/>
          </w:tcPr>
          <w:p w14:paraId="7FC64AD5" w14:textId="77777777" w:rsidR="00882C41" w:rsidRPr="005E67A0"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7531BC7F" w14:textId="09CBCEBE" w:rsidR="00882C41" w:rsidRPr="005E67A0" w:rsidRDefault="00882C41" w:rsidP="00882C41">
            <w:pPr>
              <w:jc w:val="right"/>
              <w:rPr>
                <w:rFonts w:ascii="Arial Narrow" w:hAnsi="Arial Narrow" w:cs="Arial"/>
                <w:sz w:val="22"/>
                <w:szCs w:val="22"/>
              </w:rPr>
            </w:pPr>
            <w:r>
              <w:rPr>
                <w:rFonts w:ascii="Arial Narrow" w:hAnsi="Arial Narrow" w:cs="Arial"/>
                <w:b/>
                <w:bCs/>
                <w:sz w:val="22"/>
                <w:szCs w:val="22"/>
              </w:rPr>
              <w:t>895</w:t>
            </w:r>
          </w:p>
        </w:tc>
        <w:tc>
          <w:tcPr>
            <w:tcW w:w="810" w:type="dxa"/>
            <w:tcBorders>
              <w:top w:val="single" w:sz="12" w:space="0" w:color="auto"/>
              <w:right w:val="single" w:sz="12" w:space="0" w:color="auto"/>
            </w:tcBorders>
            <w:shd w:val="clear" w:color="auto" w:fill="BFBFBF"/>
            <w:vAlign w:val="center"/>
          </w:tcPr>
          <w:p w14:paraId="10193C5D" w14:textId="77777777" w:rsidR="00882C41" w:rsidRPr="005E67A0" w:rsidRDefault="00882C41" w:rsidP="00882C41">
            <w:pPr>
              <w:jc w:val="right"/>
              <w:rPr>
                <w:rFonts w:ascii="Arial Narrow" w:hAnsi="Arial Narrow" w:cs="Arial"/>
                <w:sz w:val="22"/>
                <w:szCs w:val="22"/>
              </w:rPr>
            </w:pPr>
          </w:p>
        </w:tc>
      </w:tr>
      <w:tr w:rsidR="005E67A0" w:rsidRPr="00B60325" w14:paraId="4AEC6954" w14:textId="77777777" w:rsidTr="005762B1">
        <w:trPr>
          <w:gridAfter w:val="1"/>
          <w:wAfter w:w="8" w:type="dxa"/>
          <w:cantSplit/>
          <w:trHeight w:val="20"/>
          <w:jc w:val="center"/>
        </w:trPr>
        <w:tc>
          <w:tcPr>
            <w:tcW w:w="2784" w:type="dxa"/>
            <w:tcBorders>
              <w:left w:val="single" w:sz="12" w:space="0" w:color="auto"/>
            </w:tcBorders>
            <w:vAlign w:val="center"/>
          </w:tcPr>
          <w:p w14:paraId="74E3830A" w14:textId="77777777" w:rsidR="005E67A0" w:rsidRPr="005E67A0" w:rsidRDefault="005E67A0" w:rsidP="00963E14">
            <w:pPr>
              <w:rPr>
                <w:rFonts w:ascii="Arial Narrow" w:hAnsi="Arial Narrow" w:cs="Arial"/>
                <w:sz w:val="22"/>
                <w:szCs w:val="22"/>
              </w:rPr>
            </w:pPr>
            <w:r w:rsidRPr="005E67A0">
              <w:rPr>
                <w:rFonts w:ascii="Arial Narrow" w:hAnsi="Arial Narrow" w:cs="Arial"/>
                <w:sz w:val="22"/>
                <w:szCs w:val="22"/>
              </w:rPr>
              <w:t>Female</w:t>
            </w:r>
          </w:p>
        </w:tc>
        <w:tc>
          <w:tcPr>
            <w:tcW w:w="809" w:type="dxa"/>
            <w:vAlign w:val="center"/>
          </w:tcPr>
          <w:p w14:paraId="5727024E"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1,545 </w:t>
            </w:r>
          </w:p>
        </w:tc>
        <w:tc>
          <w:tcPr>
            <w:tcW w:w="810" w:type="dxa"/>
            <w:vAlign w:val="center"/>
          </w:tcPr>
          <w:p w14:paraId="0E9044ED"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41.2%</w:t>
            </w:r>
          </w:p>
        </w:tc>
        <w:tc>
          <w:tcPr>
            <w:tcW w:w="809" w:type="dxa"/>
            <w:vAlign w:val="center"/>
          </w:tcPr>
          <w:p w14:paraId="4FB102BA" w14:textId="77777777" w:rsidR="005E67A0" w:rsidRPr="005E67A0" w:rsidRDefault="005E67A0" w:rsidP="00F22052">
            <w:pPr>
              <w:jc w:val="right"/>
              <w:rPr>
                <w:rFonts w:ascii="Arial Narrow" w:hAnsi="Arial Narrow" w:cs="Arial"/>
                <w:sz w:val="22"/>
                <w:szCs w:val="22"/>
              </w:rPr>
            </w:pPr>
            <w:r w:rsidRPr="005E67A0">
              <w:rPr>
                <w:rFonts w:ascii="Arial Narrow" w:hAnsi="Arial Narrow" w:cs="Arial"/>
                <w:sz w:val="22"/>
                <w:szCs w:val="22"/>
              </w:rPr>
              <w:t xml:space="preserve">1,293 </w:t>
            </w:r>
          </w:p>
        </w:tc>
        <w:tc>
          <w:tcPr>
            <w:tcW w:w="810" w:type="dxa"/>
            <w:vAlign w:val="center"/>
          </w:tcPr>
          <w:p w14:paraId="54C2701D"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39.3%</w:t>
            </w:r>
          </w:p>
        </w:tc>
        <w:tc>
          <w:tcPr>
            <w:tcW w:w="809" w:type="dxa"/>
            <w:vAlign w:val="center"/>
          </w:tcPr>
          <w:p w14:paraId="4253DA82"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1,338 </w:t>
            </w:r>
          </w:p>
        </w:tc>
        <w:tc>
          <w:tcPr>
            <w:tcW w:w="813" w:type="dxa"/>
            <w:vAlign w:val="center"/>
          </w:tcPr>
          <w:p w14:paraId="25F27C21"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39.3%</w:t>
            </w:r>
          </w:p>
        </w:tc>
        <w:tc>
          <w:tcPr>
            <w:tcW w:w="809" w:type="dxa"/>
            <w:vAlign w:val="center"/>
          </w:tcPr>
          <w:p w14:paraId="6290BBBA"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370 </w:t>
            </w:r>
          </w:p>
        </w:tc>
        <w:tc>
          <w:tcPr>
            <w:tcW w:w="810" w:type="dxa"/>
            <w:tcBorders>
              <w:right w:val="single" w:sz="12" w:space="0" w:color="auto"/>
            </w:tcBorders>
            <w:vAlign w:val="center"/>
          </w:tcPr>
          <w:p w14:paraId="657EC22F"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41.3%</w:t>
            </w:r>
          </w:p>
        </w:tc>
      </w:tr>
      <w:tr w:rsidR="005E67A0" w:rsidRPr="00B60325" w14:paraId="22FAADBB" w14:textId="77777777" w:rsidTr="005762B1">
        <w:trPr>
          <w:gridAfter w:val="1"/>
          <w:wAfter w:w="8" w:type="dxa"/>
          <w:cantSplit/>
          <w:trHeight w:val="20"/>
          <w:jc w:val="center"/>
        </w:trPr>
        <w:tc>
          <w:tcPr>
            <w:tcW w:w="2784" w:type="dxa"/>
            <w:tcBorders>
              <w:left w:val="single" w:sz="12" w:space="0" w:color="auto"/>
              <w:bottom w:val="single" w:sz="12" w:space="0" w:color="auto"/>
            </w:tcBorders>
            <w:vAlign w:val="center"/>
          </w:tcPr>
          <w:p w14:paraId="6A9196B3" w14:textId="2F21AD9B" w:rsidR="005E67A0" w:rsidRPr="005E67A0" w:rsidRDefault="00882C41" w:rsidP="00963E14">
            <w:pPr>
              <w:rPr>
                <w:rFonts w:ascii="Arial Narrow" w:hAnsi="Arial Narrow" w:cs="Arial"/>
                <w:sz w:val="22"/>
                <w:szCs w:val="22"/>
              </w:rPr>
            </w:pPr>
            <w:r w:rsidRPr="00B60325">
              <w:rPr>
                <w:rFonts w:ascii="Arial Narrow" w:hAnsi="Arial Narrow" w:cs="Arial"/>
                <w:sz w:val="22"/>
                <w:szCs w:val="22"/>
              </w:rPr>
              <w:t>Male</w:t>
            </w:r>
            <w:r>
              <w:rPr>
                <w:rFonts w:ascii="Arial Narrow" w:hAnsi="Arial Narrow" w:cs="Arial"/>
                <w:sz w:val="22"/>
                <w:szCs w:val="22"/>
              </w:rPr>
              <w:t>/Other/Unknown</w:t>
            </w:r>
            <w:r w:rsidR="00FB167B">
              <w:rPr>
                <w:rFonts w:ascii="ZWAdobeF" w:hAnsi="ZWAdobeF" w:cs="ZWAdobeF"/>
                <w:sz w:val="2"/>
                <w:szCs w:val="2"/>
              </w:rPr>
              <w:t>11F</w:t>
            </w:r>
            <w:r>
              <w:rPr>
                <w:rStyle w:val="FootnoteReference"/>
                <w:rFonts w:ascii="Arial Narrow" w:hAnsi="Arial Narrow" w:cs="Arial"/>
                <w:sz w:val="22"/>
                <w:szCs w:val="22"/>
              </w:rPr>
              <w:footnoteReference w:id="12"/>
            </w:r>
          </w:p>
        </w:tc>
        <w:tc>
          <w:tcPr>
            <w:tcW w:w="809" w:type="dxa"/>
            <w:tcBorders>
              <w:bottom w:val="single" w:sz="12" w:space="0" w:color="auto"/>
            </w:tcBorders>
            <w:vAlign w:val="center"/>
          </w:tcPr>
          <w:p w14:paraId="6E4F5366"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2,206 </w:t>
            </w:r>
          </w:p>
        </w:tc>
        <w:tc>
          <w:tcPr>
            <w:tcW w:w="810" w:type="dxa"/>
            <w:tcBorders>
              <w:bottom w:val="single" w:sz="12" w:space="0" w:color="auto"/>
            </w:tcBorders>
            <w:vAlign w:val="center"/>
          </w:tcPr>
          <w:p w14:paraId="743F725A"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58.8%</w:t>
            </w:r>
          </w:p>
        </w:tc>
        <w:tc>
          <w:tcPr>
            <w:tcW w:w="809" w:type="dxa"/>
            <w:tcBorders>
              <w:bottom w:val="single" w:sz="12" w:space="0" w:color="auto"/>
            </w:tcBorders>
            <w:vAlign w:val="center"/>
          </w:tcPr>
          <w:p w14:paraId="4112E21A"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1,998 </w:t>
            </w:r>
          </w:p>
        </w:tc>
        <w:tc>
          <w:tcPr>
            <w:tcW w:w="810" w:type="dxa"/>
            <w:tcBorders>
              <w:bottom w:val="single" w:sz="12" w:space="0" w:color="auto"/>
            </w:tcBorders>
            <w:vAlign w:val="center"/>
          </w:tcPr>
          <w:p w14:paraId="0C78DF95"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60.7%</w:t>
            </w:r>
          </w:p>
        </w:tc>
        <w:tc>
          <w:tcPr>
            <w:tcW w:w="809" w:type="dxa"/>
            <w:tcBorders>
              <w:bottom w:val="single" w:sz="12" w:space="0" w:color="auto"/>
            </w:tcBorders>
            <w:vAlign w:val="center"/>
          </w:tcPr>
          <w:p w14:paraId="14260C55"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2,065 </w:t>
            </w:r>
          </w:p>
        </w:tc>
        <w:tc>
          <w:tcPr>
            <w:tcW w:w="813" w:type="dxa"/>
            <w:tcBorders>
              <w:bottom w:val="single" w:sz="12" w:space="0" w:color="auto"/>
            </w:tcBorders>
            <w:vAlign w:val="center"/>
          </w:tcPr>
          <w:p w14:paraId="12B3CB02"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60.7%</w:t>
            </w:r>
          </w:p>
        </w:tc>
        <w:tc>
          <w:tcPr>
            <w:tcW w:w="809" w:type="dxa"/>
            <w:tcBorders>
              <w:bottom w:val="single" w:sz="12" w:space="0" w:color="auto"/>
            </w:tcBorders>
            <w:vAlign w:val="center"/>
          </w:tcPr>
          <w:p w14:paraId="167FD310"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 xml:space="preserve">525 </w:t>
            </w:r>
          </w:p>
        </w:tc>
        <w:tc>
          <w:tcPr>
            <w:tcW w:w="810" w:type="dxa"/>
            <w:tcBorders>
              <w:bottom w:val="single" w:sz="12" w:space="0" w:color="auto"/>
              <w:right w:val="single" w:sz="12" w:space="0" w:color="auto"/>
            </w:tcBorders>
            <w:vAlign w:val="center"/>
          </w:tcPr>
          <w:p w14:paraId="40D0BD4B" w14:textId="77777777" w:rsidR="005E67A0" w:rsidRPr="005E67A0" w:rsidRDefault="005E67A0" w:rsidP="00963E14">
            <w:pPr>
              <w:jc w:val="right"/>
              <w:rPr>
                <w:rFonts w:ascii="Arial Narrow" w:hAnsi="Arial Narrow" w:cs="Arial"/>
                <w:sz w:val="22"/>
                <w:szCs w:val="22"/>
              </w:rPr>
            </w:pPr>
            <w:r w:rsidRPr="005E67A0">
              <w:rPr>
                <w:rFonts w:ascii="Arial Narrow" w:hAnsi="Arial Narrow" w:cs="Arial"/>
                <w:sz w:val="22"/>
                <w:szCs w:val="22"/>
              </w:rPr>
              <w:t>58.7%</w:t>
            </w:r>
          </w:p>
        </w:tc>
      </w:tr>
    </w:tbl>
    <w:p w14:paraId="55DF2531" w14:textId="77777777" w:rsidR="00C6570E" w:rsidRDefault="00C6570E" w:rsidP="005816F3">
      <w:pPr>
        <w:pStyle w:val="NormalWeb"/>
        <w:spacing w:before="0" w:beforeAutospacing="0" w:after="0" w:afterAutospacing="0"/>
        <w:jc w:val="both"/>
        <w:rPr>
          <w:rFonts w:ascii="ArialMT" w:hAnsi="ArialMT"/>
          <w:sz w:val="22"/>
          <w:szCs w:val="22"/>
        </w:rPr>
      </w:pPr>
    </w:p>
    <w:p w14:paraId="08D4BB8A" w14:textId="10EFAD7C" w:rsidR="005E67A0" w:rsidRDefault="007345A7" w:rsidP="005816F3">
      <w:pPr>
        <w:pStyle w:val="NormalWeb"/>
        <w:spacing w:before="0" w:beforeAutospacing="0" w:after="0" w:afterAutospacing="0"/>
        <w:jc w:val="both"/>
        <w:rPr>
          <w:rFonts w:ascii="ArialMT" w:hAnsi="ArialMT"/>
          <w:sz w:val="22"/>
          <w:szCs w:val="22"/>
        </w:rPr>
      </w:pPr>
      <w:r>
        <w:rPr>
          <w:rFonts w:ascii="ArialMT" w:hAnsi="ArialMT"/>
          <w:sz w:val="22"/>
          <w:szCs w:val="22"/>
        </w:rPr>
        <w:t xml:space="preserve">Additionally, </w:t>
      </w:r>
      <w:r w:rsidR="00DB6244">
        <w:rPr>
          <w:rFonts w:ascii="ArialMT" w:hAnsi="ArialMT"/>
          <w:sz w:val="22"/>
          <w:szCs w:val="22"/>
        </w:rPr>
        <w:t xml:space="preserve">as shown in Table 4, while </w:t>
      </w:r>
      <w:r>
        <w:rPr>
          <w:rFonts w:ascii="ArialMT" w:hAnsi="ArialMT"/>
          <w:sz w:val="22"/>
          <w:szCs w:val="22"/>
        </w:rPr>
        <w:t>t</w:t>
      </w:r>
      <w:r w:rsidR="005E67A0" w:rsidRPr="00BA2D75">
        <w:rPr>
          <w:rFonts w:ascii="ArialMT" w:hAnsi="ArialMT"/>
          <w:sz w:val="22"/>
          <w:szCs w:val="22"/>
        </w:rPr>
        <w:t xml:space="preserve">he </w:t>
      </w:r>
      <w:r w:rsidR="00DB6244">
        <w:rPr>
          <w:rFonts w:ascii="ArialMT" w:hAnsi="ArialMT"/>
          <w:sz w:val="22"/>
          <w:szCs w:val="22"/>
        </w:rPr>
        <w:t>majority of BMC’s medical/surgical and ICU patients</w:t>
      </w:r>
      <w:r w:rsidR="005E67A0" w:rsidRPr="00BA2D75">
        <w:rPr>
          <w:rFonts w:ascii="ArialMT" w:hAnsi="ArialMT"/>
          <w:sz w:val="22"/>
          <w:szCs w:val="22"/>
        </w:rPr>
        <w:t xml:space="preserve"> </w:t>
      </w:r>
      <w:r w:rsidR="00520363">
        <w:rPr>
          <w:rFonts w:ascii="ArialMT" w:hAnsi="ArialMT"/>
          <w:sz w:val="22"/>
          <w:szCs w:val="22"/>
        </w:rPr>
        <w:t>are under 65 years old, there</w:t>
      </w:r>
      <w:r w:rsidR="005E67A0" w:rsidRPr="00BA2D75">
        <w:rPr>
          <w:rFonts w:ascii="ArialMT" w:hAnsi="ArialMT"/>
          <w:sz w:val="22"/>
          <w:szCs w:val="22"/>
        </w:rPr>
        <w:t xml:space="preserve"> </w:t>
      </w:r>
      <w:r w:rsidR="00DB6244">
        <w:rPr>
          <w:rFonts w:ascii="ArialMT" w:hAnsi="ArialMT"/>
          <w:sz w:val="22"/>
          <w:szCs w:val="22"/>
        </w:rPr>
        <w:t xml:space="preserve">are </w:t>
      </w:r>
      <w:r w:rsidR="007065BC">
        <w:rPr>
          <w:rFonts w:ascii="ArialMT" w:hAnsi="ArialMT"/>
          <w:sz w:val="22"/>
          <w:szCs w:val="22"/>
        </w:rPr>
        <w:t xml:space="preserve">also </w:t>
      </w:r>
      <w:r w:rsidR="00DB6244">
        <w:rPr>
          <w:rFonts w:ascii="ArialMT" w:hAnsi="ArialMT"/>
          <w:sz w:val="22"/>
          <w:szCs w:val="22"/>
        </w:rPr>
        <w:t>substantial percentages of these panels that are 65+</w:t>
      </w:r>
      <w:r w:rsidR="007065BC">
        <w:rPr>
          <w:rFonts w:ascii="ArialMT" w:hAnsi="ArialMT"/>
          <w:sz w:val="22"/>
          <w:szCs w:val="22"/>
        </w:rPr>
        <w:t xml:space="preserve">. </w:t>
      </w:r>
      <w:r w:rsidR="00DB6244">
        <w:rPr>
          <w:rFonts w:ascii="ArialMT" w:hAnsi="ArialMT"/>
          <w:sz w:val="22"/>
          <w:szCs w:val="22"/>
        </w:rPr>
        <w:t xml:space="preserve">In FY21, </w:t>
      </w:r>
      <w:r w:rsidR="00DB6244" w:rsidRPr="00BA2D75">
        <w:rPr>
          <w:rFonts w:ascii="ArialMT" w:hAnsi="ArialMT"/>
          <w:sz w:val="22"/>
          <w:szCs w:val="22"/>
        </w:rPr>
        <w:t xml:space="preserve">63.5% of medical/surgical patients and 59.8% of ICU patients </w:t>
      </w:r>
      <w:r w:rsidR="00DB6244">
        <w:rPr>
          <w:rFonts w:ascii="ArialMT" w:hAnsi="ArialMT"/>
          <w:sz w:val="22"/>
          <w:szCs w:val="22"/>
        </w:rPr>
        <w:t xml:space="preserve">were </w:t>
      </w:r>
      <w:r w:rsidR="005E67A0" w:rsidRPr="00BA2D75">
        <w:rPr>
          <w:rFonts w:ascii="ArialMT" w:hAnsi="ArialMT"/>
          <w:sz w:val="22"/>
          <w:szCs w:val="22"/>
        </w:rPr>
        <w:t>0-64</w:t>
      </w:r>
      <w:r w:rsidR="007065BC">
        <w:rPr>
          <w:rFonts w:ascii="ArialMT" w:hAnsi="ArialMT"/>
          <w:sz w:val="22"/>
          <w:szCs w:val="22"/>
        </w:rPr>
        <w:t xml:space="preserve"> years old</w:t>
      </w:r>
      <w:r w:rsidR="005E67A0" w:rsidRPr="00BA2D75">
        <w:rPr>
          <w:rFonts w:ascii="ArialMT" w:hAnsi="ArialMT"/>
          <w:sz w:val="22"/>
          <w:szCs w:val="22"/>
        </w:rPr>
        <w:t xml:space="preserve">, followed by </w:t>
      </w:r>
      <w:r w:rsidR="00DB6244" w:rsidRPr="00D836EB">
        <w:rPr>
          <w:rFonts w:ascii="ArialMT" w:hAnsi="ArialMT"/>
          <w:sz w:val="22"/>
          <w:szCs w:val="22"/>
        </w:rPr>
        <w:t>36.5% of medical/surgical patients and 40.2% of ICU patients</w:t>
      </w:r>
      <w:r w:rsidR="00DB6244" w:rsidRPr="00BA2D75">
        <w:rPr>
          <w:rFonts w:ascii="ArialMT" w:hAnsi="ArialMT"/>
          <w:sz w:val="22"/>
          <w:szCs w:val="22"/>
        </w:rPr>
        <w:t xml:space="preserve"> </w:t>
      </w:r>
      <w:r w:rsidR="005E67A0" w:rsidRPr="00BA2D75">
        <w:rPr>
          <w:rFonts w:ascii="ArialMT" w:hAnsi="ArialMT"/>
          <w:sz w:val="22"/>
          <w:szCs w:val="22"/>
        </w:rPr>
        <w:t xml:space="preserve">65 </w:t>
      </w:r>
      <w:r w:rsidR="007065BC">
        <w:rPr>
          <w:rFonts w:ascii="ArialMT" w:hAnsi="ArialMT"/>
          <w:sz w:val="22"/>
          <w:szCs w:val="22"/>
        </w:rPr>
        <w:t xml:space="preserve">years </w:t>
      </w:r>
      <w:r w:rsidR="005E67A0" w:rsidRPr="00BA2D75">
        <w:rPr>
          <w:rFonts w:ascii="ArialMT" w:hAnsi="ArialMT"/>
          <w:sz w:val="22"/>
          <w:szCs w:val="22"/>
        </w:rPr>
        <w:t xml:space="preserve">and </w:t>
      </w:r>
      <w:r w:rsidR="005E67A0" w:rsidRPr="00D836EB">
        <w:rPr>
          <w:rFonts w:ascii="ArialMT" w:hAnsi="ArialMT"/>
          <w:sz w:val="22"/>
          <w:szCs w:val="22"/>
        </w:rPr>
        <w:t>older.</w:t>
      </w:r>
      <w:r w:rsidR="00A11324">
        <w:rPr>
          <w:rFonts w:ascii="ArialMT" w:hAnsi="ArialMT"/>
          <w:sz w:val="22"/>
          <w:szCs w:val="22"/>
        </w:rPr>
        <w:t xml:space="preserve"> </w:t>
      </w:r>
    </w:p>
    <w:p w14:paraId="1E081CB9" w14:textId="77777777" w:rsidR="00375919" w:rsidRDefault="00375919" w:rsidP="005816F3">
      <w:pPr>
        <w:pStyle w:val="NormalWeb"/>
        <w:spacing w:before="0" w:beforeAutospacing="0" w:after="0" w:afterAutospacing="0"/>
        <w:jc w:val="both"/>
        <w:rPr>
          <w:rFonts w:ascii="Arial Narrow" w:hAnsi="Arial Narrow" w:cs="Arial"/>
          <w:b/>
          <w:bCs/>
          <w:sz w:val="22"/>
          <w:szCs w:val="22"/>
        </w:rPr>
      </w:pPr>
    </w:p>
    <w:p w14:paraId="5FB88DD0" w14:textId="68B5B5B0" w:rsidR="005E67A0" w:rsidRDefault="00375919" w:rsidP="005816F3">
      <w:pPr>
        <w:pStyle w:val="NormalWeb"/>
        <w:spacing w:before="0" w:beforeAutospacing="0" w:after="0" w:afterAutospacing="0"/>
        <w:jc w:val="both"/>
        <w:rPr>
          <w:rFonts w:ascii="Arial" w:hAnsi="Arial" w:cs="Arial"/>
          <w:i/>
          <w:iCs/>
          <w:sz w:val="22"/>
          <w:szCs w:val="22"/>
          <w:u w:val="single"/>
        </w:rPr>
      </w:pPr>
      <w:r w:rsidRPr="00375919">
        <w:rPr>
          <w:rFonts w:ascii="Arial Narrow" w:hAnsi="Arial Narrow" w:cs="Arial"/>
          <w:b/>
          <w:bCs/>
          <w:sz w:val="22"/>
          <w:szCs w:val="22"/>
        </w:rPr>
        <w:t>Table 4: BMC Medical/Surgical and ICU Patient Panel Demographics – Age</w:t>
      </w:r>
    </w:p>
    <w:tbl>
      <w:tblPr>
        <w:tblStyle w:val="TableGrid"/>
        <w:tblW w:w="9271" w:type="dxa"/>
        <w:jc w:val="center"/>
        <w:tblLook w:val="04A0" w:firstRow="1" w:lastRow="0" w:firstColumn="1" w:lastColumn="0" w:noHBand="0" w:noVBand="1"/>
      </w:tblPr>
      <w:tblGrid>
        <w:gridCol w:w="2784"/>
        <w:gridCol w:w="809"/>
        <w:gridCol w:w="810"/>
        <w:gridCol w:w="809"/>
        <w:gridCol w:w="810"/>
        <w:gridCol w:w="809"/>
        <w:gridCol w:w="813"/>
        <w:gridCol w:w="809"/>
        <w:gridCol w:w="810"/>
        <w:gridCol w:w="8"/>
      </w:tblGrid>
      <w:tr w:rsidR="005E67A0" w:rsidRPr="0061787F" w14:paraId="3A0D6D17" w14:textId="77777777" w:rsidTr="00375919">
        <w:trPr>
          <w:cantSplit/>
          <w:trHeight w:val="20"/>
          <w:tblHeader/>
          <w:jc w:val="center"/>
        </w:trPr>
        <w:tc>
          <w:tcPr>
            <w:tcW w:w="2784" w:type="dxa"/>
            <w:vMerge w:val="restart"/>
            <w:tcBorders>
              <w:top w:val="single" w:sz="12" w:space="0" w:color="auto"/>
              <w:left w:val="single" w:sz="12" w:space="0" w:color="auto"/>
            </w:tcBorders>
            <w:shd w:val="clear" w:color="auto" w:fill="8DA9DB"/>
            <w:vAlign w:val="center"/>
          </w:tcPr>
          <w:p w14:paraId="272A9C1F" w14:textId="77777777" w:rsidR="005E67A0" w:rsidRPr="0061787F" w:rsidRDefault="005E67A0" w:rsidP="00963E14">
            <w:pPr>
              <w:rPr>
                <w:rFonts w:ascii="Arial Narrow" w:hAnsi="Arial Narrow" w:cs="Arial"/>
                <w:b/>
                <w:bCs/>
                <w:sz w:val="22"/>
                <w:szCs w:val="22"/>
              </w:rPr>
            </w:pPr>
          </w:p>
        </w:tc>
        <w:tc>
          <w:tcPr>
            <w:tcW w:w="1619" w:type="dxa"/>
            <w:gridSpan w:val="2"/>
            <w:tcBorders>
              <w:top w:val="single" w:sz="12" w:space="0" w:color="auto"/>
            </w:tcBorders>
            <w:shd w:val="clear" w:color="auto" w:fill="8DA9DB"/>
            <w:vAlign w:val="center"/>
          </w:tcPr>
          <w:p w14:paraId="28B409D6" w14:textId="78A4361D"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color w:val="000000"/>
                <w:sz w:val="22"/>
                <w:szCs w:val="22"/>
              </w:rPr>
              <w:t>FY19</w:t>
            </w:r>
          </w:p>
        </w:tc>
        <w:tc>
          <w:tcPr>
            <w:tcW w:w="1619" w:type="dxa"/>
            <w:gridSpan w:val="2"/>
            <w:tcBorders>
              <w:top w:val="single" w:sz="12" w:space="0" w:color="auto"/>
            </w:tcBorders>
            <w:shd w:val="clear" w:color="auto" w:fill="8DA9DB"/>
            <w:vAlign w:val="center"/>
          </w:tcPr>
          <w:p w14:paraId="1DEA0F8A" w14:textId="47CCFBE5"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color w:val="000000"/>
                <w:sz w:val="22"/>
                <w:szCs w:val="22"/>
              </w:rPr>
              <w:t>FY20</w:t>
            </w:r>
          </w:p>
        </w:tc>
        <w:tc>
          <w:tcPr>
            <w:tcW w:w="1622" w:type="dxa"/>
            <w:gridSpan w:val="2"/>
            <w:tcBorders>
              <w:top w:val="single" w:sz="12" w:space="0" w:color="auto"/>
            </w:tcBorders>
            <w:shd w:val="clear" w:color="auto" w:fill="8DA9DB"/>
            <w:vAlign w:val="center"/>
          </w:tcPr>
          <w:p w14:paraId="3762EED6" w14:textId="75D58D02"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color w:val="000000"/>
                <w:sz w:val="22"/>
                <w:szCs w:val="22"/>
              </w:rPr>
              <w:t>FY21</w:t>
            </w:r>
          </w:p>
        </w:tc>
        <w:tc>
          <w:tcPr>
            <w:tcW w:w="1627" w:type="dxa"/>
            <w:gridSpan w:val="3"/>
            <w:tcBorders>
              <w:top w:val="single" w:sz="12" w:space="0" w:color="auto"/>
              <w:right w:val="single" w:sz="12" w:space="0" w:color="auto"/>
            </w:tcBorders>
            <w:shd w:val="clear" w:color="auto" w:fill="8DA9DB"/>
            <w:vAlign w:val="center"/>
          </w:tcPr>
          <w:p w14:paraId="69714914" w14:textId="457C89F1"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color w:val="000000"/>
                <w:sz w:val="22"/>
                <w:szCs w:val="22"/>
              </w:rPr>
              <w:t>FY22 YTD</w:t>
            </w:r>
          </w:p>
        </w:tc>
      </w:tr>
      <w:tr w:rsidR="005E67A0" w:rsidRPr="0061787F" w14:paraId="36D9BCE1" w14:textId="77777777" w:rsidTr="00375919">
        <w:trPr>
          <w:gridAfter w:val="1"/>
          <w:wAfter w:w="8" w:type="dxa"/>
          <w:cantSplit/>
          <w:trHeight w:val="20"/>
          <w:tblHeader/>
          <w:jc w:val="center"/>
        </w:trPr>
        <w:tc>
          <w:tcPr>
            <w:tcW w:w="2784" w:type="dxa"/>
            <w:vMerge/>
            <w:tcBorders>
              <w:left w:val="single" w:sz="12" w:space="0" w:color="auto"/>
              <w:bottom w:val="single" w:sz="12" w:space="0" w:color="auto"/>
            </w:tcBorders>
            <w:shd w:val="clear" w:color="auto" w:fill="8DA9DB"/>
          </w:tcPr>
          <w:p w14:paraId="301EE99E" w14:textId="77777777" w:rsidR="005E67A0" w:rsidRPr="0061787F" w:rsidRDefault="005E67A0" w:rsidP="00963E14">
            <w:pPr>
              <w:rPr>
                <w:rFonts w:ascii="Arial Narrow" w:hAnsi="Arial Narrow" w:cs="Arial"/>
                <w:b/>
                <w:bCs/>
                <w:sz w:val="22"/>
                <w:szCs w:val="22"/>
              </w:rPr>
            </w:pPr>
          </w:p>
        </w:tc>
        <w:tc>
          <w:tcPr>
            <w:tcW w:w="809" w:type="dxa"/>
            <w:tcBorders>
              <w:bottom w:val="single" w:sz="12" w:space="0" w:color="auto"/>
            </w:tcBorders>
            <w:shd w:val="clear" w:color="auto" w:fill="8DA9DB"/>
            <w:vAlign w:val="center"/>
          </w:tcPr>
          <w:p w14:paraId="2CF51935"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51D4D2AE"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6CA3418A"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4E162D4A"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43D447EC"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Count</w:t>
            </w:r>
          </w:p>
        </w:tc>
        <w:tc>
          <w:tcPr>
            <w:tcW w:w="813" w:type="dxa"/>
            <w:tcBorders>
              <w:bottom w:val="single" w:sz="12" w:space="0" w:color="auto"/>
            </w:tcBorders>
            <w:shd w:val="clear" w:color="auto" w:fill="8DA9DB"/>
            <w:vAlign w:val="center"/>
          </w:tcPr>
          <w:p w14:paraId="41D812FC"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w:t>
            </w:r>
          </w:p>
        </w:tc>
        <w:tc>
          <w:tcPr>
            <w:tcW w:w="809" w:type="dxa"/>
            <w:tcBorders>
              <w:bottom w:val="single" w:sz="12" w:space="0" w:color="auto"/>
            </w:tcBorders>
            <w:shd w:val="clear" w:color="auto" w:fill="8DA9DB"/>
            <w:vAlign w:val="center"/>
          </w:tcPr>
          <w:p w14:paraId="195D16C1"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Count</w:t>
            </w:r>
          </w:p>
        </w:tc>
        <w:tc>
          <w:tcPr>
            <w:tcW w:w="810" w:type="dxa"/>
            <w:tcBorders>
              <w:bottom w:val="single" w:sz="12" w:space="0" w:color="auto"/>
              <w:right w:val="single" w:sz="12" w:space="0" w:color="auto"/>
            </w:tcBorders>
            <w:shd w:val="clear" w:color="auto" w:fill="8DA9DB"/>
            <w:vAlign w:val="center"/>
          </w:tcPr>
          <w:p w14:paraId="233EAF59" w14:textId="77777777" w:rsidR="005E67A0" w:rsidRPr="0061787F" w:rsidRDefault="005E67A0" w:rsidP="00963E14">
            <w:pPr>
              <w:jc w:val="center"/>
              <w:rPr>
                <w:rFonts w:ascii="Arial Narrow" w:hAnsi="Arial Narrow" w:cs="Arial"/>
                <w:b/>
                <w:bCs/>
                <w:sz w:val="22"/>
                <w:szCs w:val="22"/>
              </w:rPr>
            </w:pPr>
            <w:r w:rsidRPr="0061787F">
              <w:rPr>
                <w:rFonts w:ascii="Arial Narrow" w:hAnsi="Arial Narrow" w:cs="Arial"/>
                <w:b/>
                <w:bCs/>
                <w:sz w:val="22"/>
                <w:szCs w:val="22"/>
              </w:rPr>
              <w:t>%</w:t>
            </w:r>
          </w:p>
        </w:tc>
      </w:tr>
      <w:tr w:rsidR="005E67A0" w:rsidRPr="0061787F" w14:paraId="16BF961C" w14:textId="77777777" w:rsidTr="00375919">
        <w:trPr>
          <w:gridAfter w:val="1"/>
          <w:wAfter w:w="8" w:type="dxa"/>
          <w:cantSplit/>
          <w:trHeight w:val="20"/>
          <w:jc w:val="center"/>
        </w:trPr>
        <w:tc>
          <w:tcPr>
            <w:tcW w:w="2784" w:type="dxa"/>
            <w:tcBorders>
              <w:top w:val="single" w:sz="12" w:space="0" w:color="auto"/>
              <w:left w:val="single" w:sz="12" w:space="0" w:color="auto"/>
            </w:tcBorders>
            <w:shd w:val="clear" w:color="auto" w:fill="BFBFBF"/>
            <w:vAlign w:val="center"/>
          </w:tcPr>
          <w:p w14:paraId="5A2FCB85" w14:textId="77777777" w:rsidR="005E67A0" w:rsidRPr="0061787F" w:rsidRDefault="005E67A0" w:rsidP="00963E14">
            <w:pPr>
              <w:rPr>
                <w:rFonts w:ascii="Arial Narrow" w:hAnsi="Arial Narrow" w:cs="Arial"/>
                <w:sz w:val="22"/>
                <w:szCs w:val="22"/>
              </w:rPr>
            </w:pPr>
            <w:r w:rsidRPr="0061787F">
              <w:rPr>
                <w:rFonts w:ascii="Arial Narrow" w:hAnsi="Arial Narrow" w:cs="Arial"/>
                <w:b/>
                <w:bCs/>
                <w:sz w:val="22"/>
                <w:szCs w:val="22"/>
              </w:rPr>
              <w:t>Total Unique M/S Patients</w:t>
            </w:r>
          </w:p>
        </w:tc>
        <w:tc>
          <w:tcPr>
            <w:tcW w:w="809" w:type="dxa"/>
            <w:tcBorders>
              <w:top w:val="single" w:sz="12" w:space="0" w:color="auto"/>
            </w:tcBorders>
            <w:shd w:val="clear" w:color="auto" w:fill="BFBFBF"/>
            <w:vAlign w:val="center"/>
          </w:tcPr>
          <w:p w14:paraId="769F879A"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b/>
                <w:bCs/>
                <w:sz w:val="22"/>
                <w:szCs w:val="22"/>
              </w:rPr>
              <w:t>11,719</w:t>
            </w:r>
          </w:p>
        </w:tc>
        <w:tc>
          <w:tcPr>
            <w:tcW w:w="810" w:type="dxa"/>
            <w:tcBorders>
              <w:top w:val="single" w:sz="12" w:space="0" w:color="auto"/>
            </w:tcBorders>
            <w:shd w:val="clear" w:color="auto" w:fill="BFBFBF"/>
            <w:vAlign w:val="center"/>
          </w:tcPr>
          <w:p w14:paraId="61221A6D" w14:textId="77777777" w:rsidR="005E67A0" w:rsidRPr="0061787F"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745CAE9F"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b/>
                <w:bCs/>
                <w:sz w:val="22"/>
                <w:szCs w:val="22"/>
              </w:rPr>
              <w:t>10,541</w:t>
            </w:r>
          </w:p>
        </w:tc>
        <w:tc>
          <w:tcPr>
            <w:tcW w:w="810" w:type="dxa"/>
            <w:tcBorders>
              <w:top w:val="single" w:sz="12" w:space="0" w:color="auto"/>
            </w:tcBorders>
            <w:shd w:val="clear" w:color="auto" w:fill="BFBFBF"/>
            <w:vAlign w:val="center"/>
          </w:tcPr>
          <w:p w14:paraId="22A4009A" w14:textId="77777777" w:rsidR="005E67A0" w:rsidRPr="0061787F"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08B7CAB9"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b/>
                <w:bCs/>
                <w:sz w:val="22"/>
                <w:szCs w:val="22"/>
              </w:rPr>
              <w:t>11,002</w:t>
            </w:r>
          </w:p>
        </w:tc>
        <w:tc>
          <w:tcPr>
            <w:tcW w:w="813" w:type="dxa"/>
            <w:tcBorders>
              <w:top w:val="single" w:sz="12" w:space="0" w:color="auto"/>
            </w:tcBorders>
            <w:shd w:val="clear" w:color="auto" w:fill="BFBFBF"/>
            <w:vAlign w:val="center"/>
          </w:tcPr>
          <w:p w14:paraId="0DE8C638" w14:textId="77777777" w:rsidR="005E67A0" w:rsidRPr="0061787F" w:rsidRDefault="005E67A0" w:rsidP="00963E14">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36090FDC"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b/>
                <w:bCs/>
                <w:sz w:val="22"/>
                <w:szCs w:val="22"/>
              </w:rPr>
              <w:t>2,970</w:t>
            </w:r>
          </w:p>
        </w:tc>
        <w:tc>
          <w:tcPr>
            <w:tcW w:w="810" w:type="dxa"/>
            <w:tcBorders>
              <w:top w:val="single" w:sz="12" w:space="0" w:color="auto"/>
              <w:right w:val="single" w:sz="12" w:space="0" w:color="auto"/>
            </w:tcBorders>
            <w:shd w:val="clear" w:color="auto" w:fill="BFBFBF"/>
            <w:vAlign w:val="center"/>
          </w:tcPr>
          <w:p w14:paraId="14B249A2" w14:textId="77777777" w:rsidR="005E67A0" w:rsidRPr="0061787F" w:rsidRDefault="005E67A0" w:rsidP="00963E14">
            <w:pPr>
              <w:jc w:val="right"/>
              <w:rPr>
                <w:rFonts w:ascii="Arial Narrow" w:hAnsi="Arial Narrow" w:cs="Arial"/>
                <w:sz w:val="22"/>
                <w:szCs w:val="22"/>
              </w:rPr>
            </w:pPr>
          </w:p>
        </w:tc>
      </w:tr>
      <w:tr w:rsidR="005E67A0" w:rsidRPr="0061787F" w14:paraId="29E4F229" w14:textId="77777777" w:rsidTr="00375919">
        <w:trPr>
          <w:gridAfter w:val="1"/>
          <w:wAfter w:w="8" w:type="dxa"/>
          <w:cantSplit/>
          <w:trHeight w:val="20"/>
          <w:jc w:val="center"/>
        </w:trPr>
        <w:tc>
          <w:tcPr>
            <w:tcW w:w="2784" w:type="dxa"/>
            <w:tcBorders>
              <w:left w:val="single" w:sz="12" w:space="0" w:color="auto"/>
            </w:tcBorders>
            <w:vAlign w:val="center"/>
          </w:tcPr>
          <w:p w14:paraId="4EEE63DF" w14:textId="3A0DEE46" w:rsidR="005E67A0" w:rsidRPr="0061787F" w:rsidRDefault="005E67A0" w:rsidP="00963E14">
            <w:pPr>
              <w:rPr>
                <w:rFonts w:ascii="Arial Narrow" w:hAnsi="Arial Narrow" w:cs="Arial"/>
                <w:sz w:val="22"/>
                <w:szCs w:val="22"/>
              </w:rPr>
            </w:pPr>
            <w:r w:rsidRPr="0061787F">
              <w:rPr>
                <w:rFonts w:ascii="Arial Narrow" w:hAnsi="Arial Narrow" w:cs="Arial"/>
                <w:sz w:val="22"/>
                <w:szCs w:val="22"/>
              </w:rPr>
              <w:t>0-64</w:t>
            </w:r>
            <w:r w:rsidR="00FB167B">
              <w:rPr>
                <w:rFonts w:ascii="ZWAdobeF" w:hAnsi="ZWAdobeF" w:cs="ZWAdobeF"/>
                <w:sz w:val="2"/>
                <w:szCs w:val="2"/>
              </w:rPr>
              <w:t>12F</w:t>
            </w:r>
            <w:r w:rsidRPr="0061787F">
              <w:rPr>
                <w:rStyle w:val="FootnoteReference"/>
                <w:rFonts w:ascii="Arial Narrow" w:hAnsi="Arial Narrow" w:cs="Arial"/>
                <w:sz w:val="22"/>
                <w:szCs w:val="22"/>
              </w:rPr>
              <w:footnoteReference w:id="13"/>
            </w:r>
          </w:p>
        </w:tc>
        <w:tc>
          <w:tcPr>
            <w:tcW w:w="809" w:type="dxa"/>
            <w:vAlign w:val="center"/>
          </w:tcPr>
          <w:p w14:paraId="2A7A4897"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7,639 </w:t>
            </w:r>
          </w:p>
        </w:tc>
        <w:tc>
          <w:tcPr>
            <w:tcW w:w="810" w:type="dxa"/>
            <w:vAlign w:val="center"/>
          </w:tcPr>
          <w:p w14:paraId="303F95E2"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65.2%</w:t>
            </w:r>
          </w:p>
        </w:tc>
        <w:tc>
          <w:tcPr>
            <w:tcW w:w="809" w:type="dxa"/>
            <w:vAlign w:val="center"/>
          </w:tcPr>
          <w:p w14:paraId="1265CE74"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6,875 </w:t>
            </w:r>
          </w:p>
        </w:tc>
        <w:tc>
          <w:tcPr>
            <w:tcW w:w="810" w:type="dxa"/>
            <w:vAlign w:val="center"/>
          </w:tcPr>
          <w:p w14:paraId="66ADF954"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65.2%</w:t>
            </w:r>
          </w:p>
        </w:tc>
        <w:tc>
          <w:tcPr>
            <w:tcW w:w="809" w:type="dxa"/>
            <w:vAlign w:val="center"/>
          </w:tcPr>
          <w:p w14:paraId="3B42E667"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6,989 </w:t>
            </w:r>
          </w:p>
        </w:tc>
        <w:tc>
          <w:tcPr>
            <w:tcW w:w="813" w:type="dxa"/>
            <w:vAlign w:val="center"/>
          </w:tcPr>
          <w:p w14:paraId="108DE3EC"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63.5%</w:t>
            </w:r>
          </w:p>
        </w:tc>
        <w:tc>
          <w:tcPr>
            <w:tcW w:w="809" w:type="dxa"/>
            <w:vAlign w:val="center"/>
          </w:tcPr>
          <w:p w14:paraId="2E6D9ACB"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1,798 </w:t>
            </w:r>
          </w:p>
        </w:tc>
        <w:tc>
          <w:tcPr>
            <w:tcW w:w="810" w:type="dxa"/>
            <w:tcBorders>
              <w:right w:val="single" w:sz="12" w:space="0" w:color="auto"/>
            </w:tcBorders>
            <w:vAlign w:val="center"/>
          </w:tcPr>
          <w:p w14:paraId="3DD83137"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60.5%</w:t>
            </w:r>
          </w:p>
        </w:tc>
      </w:tr>
      <w:tr w:rsidR="005E67A0" w:rsidRPr="0061787F" w14:paraId="1068AE45" w14:textId="77777777" w:rsidTr="00375919">
        <w:trPr>
          <w:gridAfter w:val="1"/>
          <w:wAfter w:w="8" w:type="dxa"/>
          <w:cantSplit/>
          <w:trHeight w:val="20"/>
          <w:jc w:val="center"/>
        </w:trPr>
        <w:tc>
          <w:tcPr>
            <w:tcW w:w="2784" w:type="dxa"/>
            <w:tcBorders>
              <w:left w:val="single" w:sz="12" w:space="0" w:color="auto"/>
              <w:bottom w:val="single" w:sz="12" w:space="0" w:color="auto"/>
            </w:tcBorders>
            <w:vAlign w:val="center"/>
          </w:tcPr>
          <w:p w14:paraId="4F2AC6F1" w14:textId="77777777" w:rsidR="005E67A0" w:rsidRPr="0061787F" w:rsidRDefault="005E67A0" w:rsidP="00963E14">
            <w:pPr>
              <w:rPr>
                <w:rFonts w:ascii="Arial Narrow" w:hAnsi="Arial Narrow" w:cs="Arial"/>
                <w:sz w:val="22"/>
                <w:szCs w:val="22"/>
              </w:rPr>
            </w:pPr>
            <w:r w:rsidRPr="0061787F">
              <w:rPr>
                <w:rFonts w:ascii="Arial Narrow" w:hAnsi="Arial Narrow" w:cs="Arial"/>
                <w:sz w:val="22"/>
                <w:szCs w:val="22"/>
              </w:rPr>
              <w:t>65+</w:t>
            </w:r>
          </w:p>
        </w:tc>
        <w:tc>
          <w:tcPr>
            <w:tcW w:w="809" w:type="dxa"/>
            <w:tcBorders>
              <w:bottom w:val="single" w:sz="12" w:space="0" w:color="auto"/>
            </w:tcBorders>
            <w:vAlign w:val="center"/>
          </w:tcPr>
          <w:p w14:paraId="371EE04C"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4,080 </w:t>
            </w:r>
          </w:p>
        </w:tc>
        <w:tc>
          <w:tcPr>
            <w:tcW w:w="810" w:type="dxa"/>
            <w:tcBorders>
              <w:bottom w:val="single" w:sz="12" w:space="0" w:color="auto"/>
            </w:tcBorders>
            <w:vAlign w:val="center"/>
          </w:tcPr>
          <w:p w14:paraId="368F87CC"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34.8%</w:t>
            </w:r>
          </w:p>
        </w:tc>
        <w:tc>
          <w:tcPr>
            <w:tcW w:w="809" w:type="dxa"/>
            <w:tcBorders>
              <w:bottom w:val="single" w:sz="12" w:space="0" w:color="auto"/>
            </w:tcBorders>
            <w:vAlign w:val="center"/>
          </w:tcPr>
          <w:p w14:paraId="3B595BD3"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3,666 </w:t>
            </w:r>
          </w:p>
        </w:tc>
        <w:tc>
          <w:tcPr>
            <w:tcW w:w="810" w:type="dxa"/>
            <w:tcBorders>
              <w:bottom w:val="single" w:sz="12" w:space="0" w:color="auto"/>
            </w:tcBorders>
            <w:vAlign w:val="center"/>
          </w:tcPr>
          <w:p w14:paraId="6E2488C3"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34.8%</w:t>
            </w:r>
          </w:p>
        </w:tc>
        <w:tc>
          <w:tcPr>
            <w:tcW w:w="809" w:type="dxa"/>
            <w:tcBorders>
              <w:bottom w:val="single" w:sz="12" w:space="0" w:color="auto"/>
            </w:tcBorders>
            <w:vAlign w:val="center"/>
          </w:tcPr>
          <w:p w14:paraId="0A9F9C40"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4,013 </w:t>
            </w:r>
          </w:p>
        </w:tc>
        <w:tc>
          <w:tcPr>
            <w:tcW w:w="813" w:type="dxa"/>
            <w:tcBorders>
              <w:bottom w:val="single" w:sz="12" w:space="0" w:color="auto"/>
            </w:tcBorders>
            <w:vAlign w:val="center"/>
          </w:tcPr>
          <w:p w14:paraId="2839FD06"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36.5%</w:t>
            </w:r>
          </w:p>
        </w:tc>
        <w:tc>
          <w:tcPr>
            <w:tcW w:w="809" w:type="dxa"/>
            <w:tcBorders>
              <w:bottom w:val="single" w:sz="12" w:space="0" w:color="auto"/>
            </w:tcBorders>
            <w:vAlign w:val="center"/>
          </w:tcPr>
          <w:p w14:paraId="53AC8461"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 xml:space="preserve">1,172 </w:t>
            </w:r>
          </w:p>
        </w:tc>
        <w:tc>
          <w:tcPr>
            <w:tcW w:w="810" w:type="dxa"/>
            <w:tcBorders>
              <w:bottom w:val="single" w:sz="12" w:space="0" w:color="auto"/>
              <w:right w:val="single" w:sz="12" w:space="0" w:color="auto"/>
            </w:tcBorders>
            <w:vAlign w:val="center"/>
          </w:tcPr>
          <w:p w14:paraId="1C5F55BB" w14:textId="77777777" w:rsidR="005E67A0" w:rsidRPr="0061787F" w:rsidRDefault="005E67A0" w:rsidP="00963E14">
            <w:pPr>
              <w:jc w:val="right"/>
              <w:rPr>
                <w:rFonts w:ascii="Arial Narrow" w:hAnsi="Arial Narrow" w:cs="Arial"/>
                <w:sz w:val="22"/>
                <w:szCs w:val="22"/>
              </w:rPr>
            </w:pPr>
            <w:r w:rsidRPr="0061787F">
              <w:rPr>
                <w:rFonts w:ascii="Arial Narrow" w:hAnsi="Arial Narrow" w:cs="Arial"/>
                <w:sz w:val="22"/>
                <w:szCs w:val="22"/>
              </w:rPr>
              <w:t>39.5%</w:t>
            </w:r>
          </w:p>
        </w:tc>
      </w:tr>
      <w:tr w:rsidR="00882C41" w:rsidRPr="0061787F" w14:paraId="3A340DF0" w14:textId="77777777" w:rsidTr="00375919">
        <w:trPr>
          <w:gridAfter w:val="1"/>
          <w:wAfter w:w="8" w:type="dxa"/>
          <w:cantSplit/>
          <w:trHeight w:val="20"/>
          <w:jc w:val="center"/>
        </w:trPr>
        <w:tc>
          <w:tcPr>
            <w:tcW w:w="2784" w:type="dxa"/>
            <w:tcBorders>
              <w:top w:val="single" w:sz="12" w:space="0" w:color="auto"/>
              <w:left w:val="single" w:sz="12" w:space="0" w:color="auto"/>
            </w:tcBorders>
            <w:shd w:val="clear" w:color="auto" w:fill="BFBFBF"/>
            <w:vAlign w:val="center"/>
          </w:tcPr>
          <w:p w14:paraId="1AF23D8C" w14:textId="77777777" w:rsidR="00882C41" w:rsidRPr="0061787F" w:rsidRDefault="00882C41" w:rsidP="00882C41">
            <w:pPr>
              <w:rPr>
                <w:rFonts w:ascii="Arial Narrow" w:hAnsi="Arial Narrow" w:cs="Arial"/>
                <w:sz w:val="22"/>
                <w:szCs w:val="22"/>
              </w:rPr>
            </w:pPr>
            <w:r w:rsidRPr="0061787F">
              <w:rPr>
                <w:rFonts w:ascii="Arial Narrow" w:hAnsi="Arial Narrow" w:cs="Arial"/>
                <w:b/>
                <w:bCs/>
                <w:sz w:val="22"/>
                <w:szCs w:val="22"/>
              </w:rPr>
              <w:t>Total Unique ICU Patients</w:t>
            </w:r>
          </w:p>
        </w:tc>
        <w:tc>
          <w:tcPr>
            <w:tcW w:w="809" w:type="dxa"/>
            <w:tcBorders>
              <w:top w:val="single" w:sz="12" w:space="0" w:color="auto"/>
            </w:tcBorders>
            <w:shd w:val="clear" w:color="auto" w:fill="BFBFBF"/>
            <w:vAlign w:val="center"/>
          </w:tcPr>
          <w:p w14:paraId="5A2FEB57" w14:textId="1E7682D4" w:rsidR="00882C41" w:rsidRPr="0061787F" w:rsidRDefault="00882C41" w:rsidP="00882C41">
            <w:pPr>
              <w:jc w:val="right"/>
              <w:rPr>
                <w:rFonts w:ascii="Arial Narrow" w:hAnsi="Arial Narrow" w:cs="Arial"/>
                <w:sz w:val="22"/>
                <w:szCs w:val="22"/>
              </w:rPr>
            </w:pPr>
            <w:r w:rsidRPr="0061787F">
              <w:rPr>
                <w:rFonts w:ascii="Arial Narrow" w:hAnsi="Arial Narrow" w:cs="Arial"/>
                <w:b/>
                <w:bCs/>
                <w:sz w:val="22"/>
                <w:szCs w:val="22"/>
              </w:rPr>
              <w:t>3,751</w:t>
            </w:r>
          </w:p>
        </w:tc>
        <w:tc>
          <w:tcPr>
            <w:tcW w:w="810" w:type="dxa"/>
            <w:tcBorders>
              <w:top w:val="single" w:sz="12" w:space="0" w:color="auto"/>
            </w:tcBorders>
            <w:shd w:val="clear" w:color="auto" w:fill="BFBFBF"/>
            <w:vAlign w:val="center"/>
          </w:tcPr>
          <w:p w14:paraId="7B644D61" w14:textId="77777777" w:rsidR="00882C41" w:rsidRPr="0061787F"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51F98E34" w14:textId="4385B6C4" w:rsidR="00882C41" w:rsidRPr="0061787F" w:rsidRDefault="00882C41" w:rsidP="00882C41">
            <w:pPr>
              <w:jc w:val="right"/>
              <w:rPr>
                <w:rFonts w:ascii="Arial Narrow" w:hAnsi="Arial Narrow" w:cs="Arial"/>
                <w:sz w:val="22"/>
                <w:szCs w:val="22"/>
              </w:rPr>
            </w:pPr>
            <w:r w:rsidRPr="0061787F">
              <w:rPr>
                <w:rFonts w:ascii="Arial Narrow" w:hAnsi="Arial Narrow" w:cs="Arial"/>
                <w:b/>
                <w:bCs/>
                <w:sz w:val="22"/>
                <w:szCs w:val="22"/>
              </w:rPr>
              <w:t>3,291</w:t>
            </w:r>
          </w:p>
        </w:tc>
        <w:tc>
          <w:tcPr>
            <w:tcW w:w="810" w:type="dxa"/>
            <w:tcBorders>
              <w:top w:val="single" w:sz="12" w:space="0" w:color="auto"/>
            </w:tcBorders>
            <w:shd w:val="clear" w:color="auto" w:fill="BFBFBF"/>
            <w:vAlign w:val="center"/>
          </w:tcPr>
          <w:p w14:paraId="6DD1466A" w14:textId="77777777" w:rsidR="00882C41" w:rsidRPr="0061787F"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1087556F" w14:textId="7BC14D13" w:rsidR="00882C41" w:rsidRPr="0061787F" w:rsidRDefault="00882C41" w:rsidP="00882C41">
            <w:pPr>
              <w:jc w:val="right"/>
              <w:rPr>
                <w:rFonts w:ascii="Arial Narrow" w:hAnsi="Arial Narrow" w:cs="Arial"/>
                <w:sz w:val="22"/>
                <w:szCs w:val="22"/>
              </w:rPr>
            </w:pPr>
            <w:r w:rsidRPr="0061787F">
              <w:rPr>
                <w:rFonts w:ascii="Arial Narrow" w:hAnsi="Arial Narrow" w:cs="Arial"/>
                <w:b/>
                <w:bCs/>
                <w:sz w:val="22"/>
                <w:szCs w:val="22"/>
              </w:rPr>
              <w:t>3,403</w:t>
            </w:r>
          </w:p>
        </w:tc>
        <w:tc>
          <w:tcPr>
            <w:tcW w:w="813" w:type="dxa"/>
            <w:tcBorders>
              <w:top w:val="single" w:sz="12" w:space="0" w:color="auto"/>
            </w:tcBorders>
            <w:shd w:val="clear" w:color="auto" w:fill="BFBFBF"/>
            <w:vAlign w:val="center"/>
          </w:tcPr>
          <w:p w14:paraId="32E53FCB" w14:textId="77777777" w:rsidR="00882C41" w:rsidRPr="0061787F" w:rsidRDefault="00882C41" w:rsidP="00882C41">
            <w:pPr>
              <w:jc w:val="right"/>
              <w:rPr>
                <w:rFonts w:ascii="Arial Narrow" w:hAnsi="Arial Narrow" w:cs="Arial"/>
                <w:sz w:val="22"/>
                <w:szCs w:val="22"/>
              </w:rPr>
            </w:pPr>
          </w:p>
        </w:tc>
        <w:tc>
          <w:tcPr>
            <w:tcW w:w="809" w:type="dxa"/>
            <w:tcBorders>
              <w:top w:val="single" w:sz="12" w:space="0" w:color="auto"/>
            </w:tcBorders>
            <w:shd w:val="clear" w:color="auto" w:fill="BFBFBF"/>
            <w:vAlign w:val="center"/>
          </w:tcPr>
          <w:p w14:paraId="1FCD18A1" w14:textId="41B6C3DE" w:rsidR="00882C41" w:rsidRPr="0061787F" w:rsidRDefault="00882C41" w:rsidP="00882C41">
            <w:pPr>
              <w:jc w:val="right"/>
              <w:rPr>
                <w:rFonts w:ascii="Arial Narrow" w:hAnsi="Arial Narrow" w:cs="Arial"/>
                <w:sz w:val="22"/>
                <w:szCs w:val="22"/>
              </w:rPr>
            </w:pPr>
            <w:r w:rsidRPr="0061787F">
              <w:rPr>
                <w:rFonts w:ascii="Arial Narrow" w:hAnsi="Arial Narrow" w:cs="Arial"/>
                <w:b/>
                <w:bCs/>
                <w:sz w:val="22"/>
                <w:szCs w:val="22"/>
              </w:rPr>
              <w:t>895</w:t>
            </w:r>
          </w:p>
        </w:tc>
        <w:tc>
          <w:tcPr>
            <w:tcW w:w="810" w:type="dxa"/>
            <w:tcBorders>
              <w:top w:val="single" w:sz="12" w:space="0" w:color="auto"/>
              <w:right w:val="single" w:sz="12" w:space="0" w:color="auto"/>
            </w:tcBorders>
            <w:shd w:val="clear" w:color="auto" w:fill="BFBFBF"/>
            <w:vAlign w:val="center"/>
          </w:tcPr>
          <w:p w14:paraId="1A368FB7" w14:textId="77777777" w:rsidR="00882C41" w:rsidRPr="0061787F" w:rsidRDefault="00882C41" w:rsidP="00882C41">
            <w:pPr>
              <w:jc w:val="right"/>
              <w:rPr>
                <w:rFonts w:ascii="Arial Narrow" w:hAnsi="Arial Narrow" w:cs="Arial"/>
                <w:sz w:val="22"/>
                <w:szCs w:val="22"/>
              </w:rPr>
            </w:pPr>
          </w:p>
        </w:tc>
      </w:tr>
      <w:tr w:rsidR="00882C41" w:rsidRPr="0061787F" w14:paraId="6224AED5" w14:textId="77777777" w:rsidTr="00375919">
        <w:trPr>
          <w:gridAfter w:val="1"/>
          <w:wAfter w:w="8" w:type="dxa"/>
          <w:cantSplit/>
          <w:trHeight w:val="20"/>
          <w:jc w:val="center"/>
        </w:trPr>
        <w:tc>
          <w:tcPr>
            <w:tcW w:w="2784" w:type="dxa"/>
            <w:tcBorders>
              <w:left w:val="single" w:sz="12" w:space="0" w:color="auto"/>
            </w:tcBorders>
            <w:vAlign w:val="center"/>
          </w:tcPr>
          <w:p w14:paraId="7A077B56" w14:textId="437ABA89" w:rsidR="00882C41" w:rsidRPr="0061787F" w:rsidRDefault="00882C41" w:rsidP="00882C41">
            <w:pPr>
              <w:rPr>
                <w:rFonts w:ascii="Arial Narrow" w:hAnsi="Arial Narrow" w:cs="Arial"/>
                <w:sz w:val="22"/>
                <w:szCs w:val="22"/>
              </w:rPr>
            </w:pPr>
            <w:r w:rsidRPr="0061787F">
              <w:rPr>
                <w:rFonts w:ascii="Arial Narrow" w:hAnsi="Arial Narrow" w:cs="Arial"/>
                <w:sz w:val="22"/>
                <w:szCs w:val="22"/>
              </w:rPr>
              <w:t>0-64</w:t>
            </w:r>
            <w:r w:rsidR="00FB167B">
              <w:rPr>
                <w:rFonts w:ascii="ZWAdobeF" w:hAnsi="ZWAdobeF" w:cs="ZWAdobeF"/>
                <w:sz w:val="2"/>
                <w:szCs w:val="2"/>
              </w:rPr>
              <w:t>13F</w:t>
            </w:r>
            <w:r w:rsidRPr="0061787F">
              <w:rPr>
                <w:rStyle w:val="FootnoteReference"/>
                <w:rFonts w:ascii="Arial Narrow" w:hAnsi="Arial Narrow" w:cs="Arial"/>
                <w:sz w:val="22"/>
                <w:szCs w:val="22"/>
              </w:rPr>
              <w:footnoteReference w:id="14"/>
            </w:r>
          </w:p>
        </w:tc>
        <w:tc>
          <w:tcPr>
            <w:tcW w:w="809" w:type="dxa"/>
            <w:vAlign w:val="center"/>
          </w:tcPr>
          <w:p w14:paraId="0C139991" w14:textId="2D979396"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2,284 </w:t>
            </w:r>
          </w:p>
        </w:tc>
        <w:tc>
          <w:tcPr>
            <w:tcW w:w="810" w:type="dxa"/>
            <w:vAlign w:val="center"/>
          </w:tcPr>
          <w:p w14:paraId="66F704F3" w14:textId="2B05B484"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60.9%</w:t>
            </w:r>
          </w:p>
        </w:tc>
        <w:tc>
          <w:tcPr>
            <w:tcW w:w="809" w:type="dxa"/>
            <w:vAlign w:val="center"/>
          </w:tcPr>
          <w:p w14:paraId="2D85BDBD" w14:textId="14EAE953" w:rsidR="00882C41" w:rsidRPr="0061787F" w:rsidRDefault="00882C41" w:rsidP="00F22052">
            <w:pPr>
              <w:jc w:val="right"/>
              <w:rPr>
                <w:rFonts w:ascii="Arial Narrow" w:hAnsi="Arial Narrow" w:cs="Arial"/>
                <w:sz w:val="22"/>
                <w:szCs w:val="22"/>
              </w:rPr>
            </w:pPr>
            <w:r w:rsidRPr="0061787F">
              <w:rPr>
                <w:rFonts w:ascii="Arial Narrow" w:hAnsi="Arial Narrow" w:cs="Arial"/>
                <w:sz w:val="22"/>
                <w:szCs w:val="22"/>
              </w:rPr>
              <w:t xml:space="preserve">2,043 </w:t>
            </w:r>
          </w:p>
        </w:tc>
        <w:tc>
          <w:tcPr>
            <w:tcW w:w="810" w:type="dxa"/>
            <w:vAlign w:val="center"/>
          </w:tcPr>
          <w:p w14:paraId="7ECCBEDE" w14:textId="1305BF91"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62.1%</w:t>
            </w:r>
          </w:p>
        </w:tc>
        <w:tc>
          <w:tcPr>
            <w:tcW w:w="809" w:type="dxa"/>
            <w:vAlign w:val="center"/>
          </w:tcPr>
          <w:p w14:paraId="0FC3483B" w14:textId="4054E384"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2,035 </w:t>
            </w:r>
          </w:p>
        </w:tc>
        <w:tc>
          <w:tcPr>
            <w:tcW w:w="813" w:type="dxa"/>
            <w:vAlign w:val="center"/>
          </w:tcPr>
          <w:p w14:paraId="51B6C365" w14:textId="13A90637"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59.8%</w:t>
            </w:r>
          </w:p>
        </w:tc>
        <w:tc>
          <w:tcPr>
            <w:tcW w:w="809" w:type="dxa"/>
            <w:vAlign w:val="center"/>
          </w:tcPr>
          <w:p w14:paraId="6B72C9DD" w14:textId="5660157D"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521 </w:t>
            </w:r>
          </w:p>
        </w:tc>
        <w:tc>
          <w:tcPr>
            <w:tcW w:w="810" w:type="dxa"/>
            <w:tcBorders>
              <w:right w:val="single" w:sz="12" w:space="0" w:color="auto"/>
            </w:tcBorders>
            <w:vAlign w:val="center"/>
          </w:tcPr>
          <w:p w14:paraId="2DB70AC3" w14:textId="3F254E60"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58.2%</w:t>
            </w:r>
          </w:p>
        </w:tc>
      </w:tr>
      <w:tr w:rsidR="00882C41" w:rsidRPr="0061787F" w14:paraId="257EF893" w14:textId="77777777" w:rsidTr="00375919">
        <w:trPr>
          <w:gridAfter w:val="1"/>
          <w:wAfter w:w="8" w:type="dxa"/>
          <w:cantSplit/>
          <w:trHeight w:val="20"/>
          <w:jc w:val="center"/>
        </w:trPr>
        <w:tc>
          <w:tcPr>
            <w:tcW w:w="2784" w:type="dxa"/>
            <w:tcBorders>
              <w:left w:val="single" w:sz="12" w:space="0" w:color="auto"/>
              <w:bottom w:val="single" w:sz="12" w:space="0" w:color="auto"/>
            </w:tcBorders>
            <w:vAlign w:val="center"/>
          </w:tcPr>
          <w:p w14:paraId="345412F9" w14:textId="77777777" w:rsidR="00882C41" w:rsidRPr="0061787F" w:rsidRDefault="00882C41" w:rsidP="00882C41">
            <w:pPr>
              <w:rPr>
                <w:rFonts w:ascii="Arial Narrow" w:hAnsi="Arial Narrow" w:cs="Arial"/>
                <w:sz w:val="22"/>
                <w:szCs w:val="22"/>
              </w:rPr>
            </w:pPr>
            <w:r w:rsidRPr="0061787F">
              <w:rPr>
                <w:rFonts w:ascii="Arial Narrow" w:hAnsi="Arial Narrow" w:cs="Arial"/>
                <w:sz w:val="22"/>
                <w:szCs w:val="22"/>
              </w:rPr>
              <w:t>65+</w:t>
            </w:r>
          </w:p>
        </w:tc>
        <w:tc>
          <w:tcPr>
            <w:tcW w:w="809" w:type="dxa"/>
            <w:tcBorders>
              <w:bottom w:val="single" w:sz="12" w:space="0" w:color="auto"/>
            </w:tcBorders>
            <w:vAlign w:val="center"/>
          </w:tcPr>
          <w:p w14:paraId="18689C06" w14:textId="516A95EB"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1,467 </w:t>
            </w:r>
          </w:p>
        </w:tc>
        <w:tc>
          <w:tcPr>
            <w:tcW w:w="810" w:type="dxa"/>
            <w:tcBorders>
              <w:bottom w:val="single" w:sz="12" w:space="0" w:color="auto"/>
            </w:tcBorders>
            <w:vAlign w:val="center"/>
          </w:tcPr>
          <w:p w14:paraId="00364330" w14:textId="01062C25"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39.1%</w:t>
            </w:r>
          </w:p>
        </w:tc>
        <w:tc>
          <w:tcPr>
            <w:tcW w:w="809" w:type="dxa"/>
            <w:tcBorders>
              <w:bottom w:val="single" w:sz="12" w:space="0" w:color="auto"/>
            </w:tcBorders>
            <w:vAlign w:val="center"/>
          </w:tcPr>
          <w:p w14:paraId="3CBC33F9" w14:textId="56C65621"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1,248 </w:t>
            </w:r>
          </w:p>
        </w:tc>
        <w:tc>
          <w:tcPr>
            <w:tcW w:w="810" w:type="dxa"/>
            <w:tcBorders>
              <w:bottom w:val="single" w:sz="12" w:space="0" w:color="auto"/>
            </w:tcBorders>
            <w:vAlign w:val="center"/>
          </w:tcPr>
          <w:p w14:paraId="1B229F64" w14:textId="11E311B3"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37.9%</w:t>
            </w:r>
          </w:p>
        </w:tc>
        <w:tc>
          <w:tcPr>
            <w:tcW w:w="809" w:type="dxa"/>
            <w:tcBorders>
              <w:bottom w:val="single" w:sz="12" w:space="0" w:color="auto"/>
            </w:tcBorders>
            <w:vAlign w:val="center"/>
          </w:tcPr>
          <w:p w14:paraId="1A498F94" w14:textId="336636D9"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1,368 </w:t>
            </w:r>
          </w:p>
        </w:tc>
        <w:tc>
          <w:tcPr>
            <w:tcW w:w="813" w:type="dxa"/>
            <w:tcBorders>
              <w:bottom w:val="single" w:sz="12" w:space="0" w:color="auto"/>
            </w:tcBorders>
            <w:vAlign w:val="center"/>
          </w:tcPr>
          <w:p w14:paraId="1315E8DA" w14:textId="7352F207"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40.2%</w:t>
            </w:r>
          </w:p>
        </w:tc>
        <w:tc>
          <w:tcPr>
            <w:tcW w:w="809" w:type="dxa"/>
            <w:tcBorders>
              <w:bottom w:val="single" w:sz="12" w:space="0" w:color="auto"/>
            </w:tcBorders>
            <w:vAlign w:val="center"/>
          </w:tcPr>
          <w:p w14:paraId="4A929CA1" w14:textId="5BCD2F72"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 xml:space="preserve">374 </w:t>
            </w:r>
          </w:p>
        </w:tc>
        <w:tc>
          <w:tcPr>
            <w:tcW w:w="810" w:type="dxa"/>
            <w:tcBorders>
              <w:bottom w:val="single" w:sz="12" w:space="0" w:color="auto"/>
              <w:right w:val="single" w:sz="12" w:space="0" w:color="auto"/>
            </w:tcBorders>
            <w:vAlign w:val="center"/>
          </w:tcPr>
          <w:p w14:paraId="758FB77C" w14:textId="69A20E2A" w:rsidR="00882C41" w:rsidRPr="0061787F" w:rsidRDefault="00882C41" w:rsidP="00882C41">
            <w:pPr>
              <w:jc w:val="right"/>
              <w:rPr>
                <w:rFonts w:ascii="Arial Narrow" w:hAnsi="Arial Narrow" w:cs="Arial"/>
                <w:sz w:val="22"/>
                <w:szCs w:val="22"/>
              </w:rPr>
            </w:pPr>
            <w:r w:rsidRPr="0061787F">
              <w:rPr>
                <w:rFonts w:ascii="Arial Narrow" w:hAnsi="Arial Narrow" w:cs="Arial"/>
                <w:sz w:val="22"/>
                <w:szCs w:val="22"/>
              </w:rPr>
              <w:t>41.8%</w:t>
            </w:r>
          </w:p>
        </w:tc>
      </w:tr>
    </w:tbl>
    <w:p w14:paraId="68D1D199" w14:textId="055E8C67" w:rsidR="005E67A0" w:rsidRDefault="005E67A0" w:rsidP="005816F3">
      <w:pPr>
        <w:pStyle w:val="NormalWeb"/>
        <w:spacing w:before="0" w:beforeAutospacing="0" w:after="0" w:afterAutospacing="0"/>
        <w:jc w:val="both"/>
        <w:rPr>
          <w:rFonts w:ascii="Arial" w:hAnsi="Arial" w:cs="Arial"/>
          <w:i/>
          <w:iCs/>
          <w:sz w:val="22"/>
          <w:szCs w:val="22"/>
          <w:u w:val="single"/>
        </w:rPr>
      </w:pPr>
    </w:p>
    <w:p w14:paraId="5774AF56" w14:textId="01FFF695" w:rsidR="00CC2F37" w:rsidRDefault="005E67A0" w:rsidP="005816F3">
      <w:pPr>
        <w:pStyle w:val="NormalWeb"/>
        <w:spacing w:before="0" w:beforeAutospacing="0" w:after="0" w:afterAutospacing="0"/>
        <w:jc w:val="both"/>
        <w:rPr>
          <w:rFonts w:ascii="ArialMT" w:hAnsi="ArialMT"/>
          <w:sz w:val="22"/>
          <w:szCs w:val="22"/>
        </w:rPr>
      </w:pPr>
      <w:r w:rsidRPr="00D836EB">
        <w:rPr>
          <w:rFonts w:ascii="ArialMT" w:hAnsi="ArialMT"/>
          <w:sz w:val="22"/>
          <w:szCs w:val="22"/>
        </w:rPr>
        <w:t>With respect to race and ethnicity</w:t>
      </w:r>
      <w:r w:rsidR="007065BC">
        <w:rPr>
          <w:rFonts w:ascii="ArialMT" w:hAnsi="ArialMT"/>
          <w:sz w:val="22"/>
          <w:szCs w:val="22"/>
        </w:rPr>
        <w:t xml:space="preserve">, the data which </w:t>
      </w:r>
      <w:r w:rsidR="00EA338D">
        <w:rPr>
          <w:rFonts w:ascii="ArialMT" w:hAnsi="ArialMT"/>
          <w:sz w:val="22"/>
          <w:szCs w:val="22"/>
        </w:rPr>
        <w:t xml:space="preserve">are </w:t>
      </w:r>
      <w:r w:rsidR="007065BC">
        <w:rPr>
          <w:rFonts w:ascii="ArialMT" w:hAnsi="ArialMT"/>
          <w:sz w:val="22"/>
          <w:szCs w:val="22"/>
        </w:rPr>
        <w:t>self-reported by patients</w:t>
      </w:r>
      <w:r w:rsidR="00E52674">
        <w:rPr>
          <w:rFonts w:ascii="ArialMT" w:hAnsi="ArialMT"/>
          <w:sz w:val="22"/>
          <w:szCs w:val="22"/>
        </w:rPr>
        <w:t xml:space="preserve"> provide that</w:t>
      </w:r>
      <w:r w:rsidR="007065BC">
        <w:rPr>
          <w:rFonts w:ascii="ArialMT" w:hAnsi="ArialMT"/>
          <w:sz w:val="22"/>
          <w:szCs w:val="22"/>
        </w:rPr>
        <w:t xml:space="preserve"> </w:t>
      </w:r>
      <w:r w:rsidR="0061787F">
        <w:rPr>
          <w:rFonts w:ascii="ArialMT" w:hAnsi="ArialMT"/>
          <w:sz w:val="22"/>
          <w:szCs w:val="22"/>
        </w:rPr>
        <w:t xml:space="preserve">BMC’s medical/surgical and ICU patient panels </w:t>
      </w:r>
      <w:r w:rsidR="006B4329">
        <w:rPr>
          <w:rFonts w:ascii="ArialMT" w:hAnsi="ArialMT"/>
          <w:sz w:val="22"/>
          <w:szCs w:val="22"/>
        </w:rPr>
        <w:t xml:space="preserve">are </w:t>
      </w:r>
      <w:r w:rsidR="0061787F">
        <w:rPr>
          <w:rFonts w:ascii="ArialMT" w:hAnsi="ArialMT"/>
          <w:sz w:val="22"/>
          <w:szCs w:val="22"/>
        </w:rPr>
        <w:t>reflect</w:t>
      </w:r>
      <w:r w:rsidR="006B4329">
        <w:rPr>
          <w:rFonts w:ascii="ArialMT" w:hAnsi="ArialMT"/>
          <w:sz w:val="22"/>
          <w:szCs w:val="22"/>
        </w:rPr>
        <w:t>ive</w:t>
      </w:r>
      <w:r w:rsidR="0061787F">
        <w:rPr>
          <w:rFonts w:ascii="ArialMT" w:hAnsi="ArialMT"/>
          <w:sz w:val="22"/>
          <w:szCs w:val="22"/>
        </w:rPr>
        <w:t xml:space="preserve"> </w:t>
      </w:r>
      <w:r w:rsidR="006B4329">
        <w:rPr>
          <w:rFonts w:ascii="ArialMT" w:hAnsi="ArialMT"/>
          <w:sz w:val="22"/>
          <w:szCs w:val="22"/>
        </w:rPr>
        <w:t>of</w:t>
      </w:r>
      <w:r w:rsidR="00A11324">
        <w:rPr>
          <w:rFonts w:ascii="ArialMT" w:hAnsi="ArialMT"/>
          <w:sz w:val="22"/>
          <w:szCs w:val="22"/>
        </w:rPr>
        <w:t xml:space="preserve"> the Hospital’</w:t>
      </w:r>
      <w:r w:rsidR="006B4329">
        <w:rPr>
          <w:rFonts w:ascii="ArialMT" w:hAnsi="ArialMT"/>
          <w:sz w:val="22"/>
          <w:szCs w:val="22"/>
        </w:rPr>
        <w:t xml:space="preserve">s commitment to provide equitable care </w:t>
      </w:r>
      <w:r w:rsidR="00A05BFA">
        <w:rPr>
          <w:rFonts w:ascii="ArialMT" w:hAnsi="ArialMT"/>
          <w:sz w:val="22"/>
          <w:szCs w:val="22"/>
        </w:rPr>
        <w:t>to a</w:t>
      </w:r>
      <w:r w:rsidR="0061787F">
        <w:rPr>
          <w:rFonts w:ascii="ArialMT" w:hAnsi="ArialMT"/>
          <w:sz w:val="22"/>
          <w:szCs w:val="22"/>
        </w:rPr>
        <w:t xml:space="preserve"> divers</w:t>
      </w:r>
      <w:r w:rsidR="006B4329">
        <w:rPr>
          <w:rFonts w:ascii="ArialMT" w:hAnsi="ArialMT"/>
          <w:sz w:val="22"/>
          <w:szCs w:val="22"/>
        </w:rPr>
        <w:t>e</w:t>
      </w:r>
      <w:r w:rsidR="0061787F">
        <w:rPr>
          <w:rFonts w:ascii="ArialMT" w:hAnsi="ArialMT"/>
          <w:sz w:val="22"/>
          <w:szCs w:val="22"/>
        </w:rPr>
        <w:t xml:space="preserve"> </w:t>
      </w:r>
      <w:r w:rsidR="006B4329" w:rsidRPr="006B4329">
        <w:rPr>
          <w:rFonts w:ascii="ArialMT" w:hAnsi="ArialMT"/>
          <w:sz w:val="22"/>
          <w:szCs w:val="22"/>
        </w:rPr>
        <w:t xml:space="preserve">patient population. As </w:t>
      </w:r>
      <w:r w:rsidR="00A11324">
        <w:rPr>
          <w:rFonts w:ascii="ArialMT" w:hAnsi="ArialMT"/>
          <w:sz w:val="22"/>
          <w:szCs w:val="22"/>
        </w:rPr>
        <w:t>outlined</w:t>
      </w:r>
      <w:r w:rsidR="006B4329" w:rsidRPr="006B4329">
        <w:rPr>
          <w:rFonts w:ascii="ArialMT" w:hAnsi="ArialMT"/>
          <w:sz w:val="22"/>
          <w:szCs w:val="22"/>
        </w:rPr>
        <w:t xml:space="preserve"> in Table 5</w:t>
      </w:r>
      <w:r w:rsidR="00A11324">
        <w:rPr>
          <w:rFonts w:ascii="ArialMT" w:hAnsi="ArialMT"/>
          <w:sz w:val="22"/>
          <w:szCs w:val="22"/>
        </w:rPr>
        <w:t>,</w:t>
      </w:r>
      <w:r w:rsidR="006B4329">
        <w:rPr>
          <w:rFonts w:ascii="ArialMT" w:hAnsi="ArialMT"/>
          <w:sz w:val="22"/>
          <w:szCs w:val="22"/>
        </w:rPr>
        <w:t xml:space="preserve"> i</w:t>
      </w:r>
      <w:r w:rsidR="00882C41">
        <w:rPr>
          <w:rFonts w:ascii="ArialMT" w:hAnsi="ArialMT"/>
          <w:sz w:val="22"/>
          <w:szCs w:val="22"/>
        </w:rPr>
        <w:t xml:space="preserve">n FY21, </w:t>
      </w:r>
      <w:r w:rsidRPr="00D836EB">
        <w:rPr>
          <w:rFonts w:ascii="ArialMT" w:hAnsi="ArialMT"/>
          <w:sz w:val="22"/>
          <w:szCs w:val="22"/>
        </w:rPr>
        <w:t>medical/surgical patients self-identified as follows: 37.7% as Black/African American, 34.2% as White/Caucasian, 18.1% as Hispanic/Latino, 4.0% as Asian, 0.3% as American Indian/Alaska Native, and 5.7% as Other</w:t>
      </w:r>
      <w:r w:rsidR="00FD2753">
        <w:rPr>
          <w:rFonts w:ascii="ArialMT" w:hAnsi="ArialMT"/>
          <w:sz w:val="22"/>
          <w:szCs w:val="22"/>
        </w:rPr>
        <w:t xml:space="preserve"> or declined to respond</w:t>
      </w:r>
      <w:r w:rsidR="00DB6244">
        <w:rPr>
          <w:rFonts w:ascii="ArialMT" w:hAnsi="ArialMT"/>
          <w:sz w:val="22"/>
          <w:szCs w:val="22"/>
        </w:rPr>
        <w:t>.</w:t>
      </w:r>
      <w:r w:rsidR="00882C41">
        <w:rPr>
          <w:rFonts w:ascii="ArialMT" w:hAnsi="ArialMT"/>
          <w:sz w:val="22"/>
          <w:szCs w:val="22"/>
        </w:rPr>
        <w:t xml:space="preserve"> </w:t>
      </w:r>
      <w:r w:rsidR="006B4329">
        <w:rPr>
          <w:rFonts w:ascii="ArialMT" w:hAnsi="ArialMT"/>
          <w:sz w:val="22"/>
          <w:szCs w:val="22"/>
        </w:rPr>
        <w:t xml:space="preserve">During this same time period, </w:t>
      </w:r>
      <w:r w:rsidRPr="00D836EB">
        <w:rPr>
          <w:rFonts w:ascii="ArialMT" w:hAnsi="ArialMT"/>
          <w:sz w:val="22"/>
          <w:szCs w:val="22"/>
        </w:rPr>
        <w:t xml:space="preserve">ICU patients self-identified </w:t>
      </w:r>
      <w:r w:rsidR="00DB6244">
        <w:rPr>
          <w:rFonts w:ascii="ArialMT" w:hAnsi="ArialMT"/>
          <w:sz w:val="22"/>
          <w:szCs w:val="22"/>
        </w:rPr>
        <w:t xml:space="preserve">similarly, </w:t>
      </w:r>
      <w:r w:rsidRPr="00D836EB">
        <w:rPr>
          <w:rFonts w:ascii="ArialMT" w:hAnsi="ArialMT"/>
          <w:sz w:val="22"/>
          <w:szCs w:val="22"/>
        </w:rPr>
        <w:t>as follows: 36.8% as White/Caucasian, 35.8% as Black/African American, 13.4% as Hispanic/Latino, 3.5% as Asian, and 10.4% as Other</w:t>
      </w:r>
      <w:r w:rsidR="00FD2753">
        <w:rPr>
          <w:rFonts w:ascii="ArialMT" w:hAnsi="ArialMT"/>
          <w:sz w:val="22"/>
          <w:szCs w:val="22"/>
        </w:rPr>
        <w:t xml:space="preserve"> or declined to respond</w:t>
      </w:r>
      <w:r w:rsidRPr="00D836EB">
        <w:rPr>
          <w:rFonts w:ascii="ArialMT" w:hAnsi="ArialMT"/>
          <w:sz w:val="22"/>
          <w:szCs w:val="22"/>
        </w:rPr>
        <w:t>.</w:t>
      </w:r>
      <w:r>
        <w:rPr>
          <w:rFonts w:ascii="ArialMT" w:hAnsi="ArialMT"/>
          <w:sz w:val="22"/>
          <w:szCs w:val="22"/>
        </w:rPr>
        <w:t xml:space="preserve"> </w:t>
      </w:r>
    </w:p>
    <w:p w14:paraId="537F7F07" w14:textId="77777777" w:rsidR="00886459" w:rsidRDefault="00886459" w:rsidP="005816F3">
      <w:pPr>
        <w:pStyle w:val="NormalWeb"/>
        <w:spacing w:before="0" w:beforeAutospacing="0" w:after="0" w:afterAutospacing="0"/>
        <w:jc w:val="both"/>
        <w:rPr>
          <w:rFonts w:ascii="Arial Narrow" w:hAnsi="Arial Narrow" w:cs="Arial"/>
          <w:b/>
          <w:bCs/>
          <w:sz w:val="22"/>
          <w:szCs w:val="22"/>
        </w:rPr>
      </w:pPr>
    </w:p>
    <w:p w14:paraId="4650C1A8" w14:textId="67B98711" w:rsidR="00506C43" w:rsidRPr="0061787F" w:rsidRDefault="00886459" w:rsidP="005816F3">
      <w:pPr>
        <w:pStyle w:val="NormalWeb"/>
        <w:spacing w:before="0" w:beforeAutospacing="0" w:after="0" w:afterAutospacing="0"/>
        <w:jc w:val="both"/>
        <w:rPr>
          <w:rFonts w:ascii="ArialMT" w:hAnsi="ArialMT"/>
          <w:sz w:val="22"/>
          <w:szCs w:val="22"/>
        </w:rPr>
      </w:pPr>
      <w:r w:rsidRPr="00886459">
        <w:rPr>
          <w:rFonts w:ascii="Arial Narrow" w:hAnsi="Arial Narrow" w:cs="Arial"/>
          <w:b/>
          <w:bCs/>
          <w:sz w:val="22"/>
          <w:szCs w:val="22"/>
        </w:rPr>
        <w:t>Table 5: BMC Medical/Surgical and ICU Patient Panel Demographics – Race/Ethnicity</w:t>
      </w:r>
      <w:r w:rsidRPr="00886459">
        <w:rPr>
          <w:rFonts w:ascii="ZWAdobeF" w:hAnsi="ZWAdobeF" w:cs="ZWAdobeF"/>
          <w:bCs/>
          <w:sz w:val="2"/>
          <w:szCs w:val="2"/>
        </w:rPr>
        <w:t>14F</w:t>
      </w:r>
      <w:r w:rsidRPr="00886459">
        <w:rPr>
          <w:rStyle w:val="FootnoteReference"/>
          <w:rFonts w:ascii="Arial Narrow" w:hAnsi="Arial Narrow" w:cs="Arial"/>
          <w:b/>
          <w:bCs/>
          <w:sz w:val="22"/>
          <w:szCs w:val="22"/>
        </w:rPr>
        <w:footnoteReference w:id="15"/>
      </w:r>
    </w:p>
    <w:tbl>
      <w:tblPr>
        <w:tblStyle w:val="TableGrid"/>
        <w:tblW w:w="9271" w:type="dxa"/>
        <w:jc w:val="center"/>
        <w:tblLook w:val="04A0" w:firstRow="1" w:lastRow="0" w:firstColumn="1" w:lastColumn="0" w:noHBand="0" w:noVBand="1"/>
      </w:tblPr>
      <w:tblGrid>
        <w:gridCol w:w="2780"/>
        <w:gridCol w:w="808"/>
        <w:gridCol w:w="810"/>
        <w:gridCol w:w="810"/>
        <w:gridCol w:w="810"/>
        <w:gridCol w:w="810"/>
        <w:gridCol w:w="813"/>
        <w:gridCol w:w="810"/>
        <w:gridCol w:w="812"/>
        <w:gridCol w:w="8"/>
      </w:tblGrid>
      <w:tr w:rsidR="005E67A0" w:rsidRPr="00B60325" w14:paraId="5258C0D8" w14:textId="77777777" w:rsidTr="00886459">
        <w:trPr>
          <w:cantSplit/>
          <w:trHeight w:val="20"/>
          <w:tblHeader/>
          <w:jc w:val="center"/>
        </w:trPr>
        <w:tc>
          <w:tcPr>
            <w:tcW w:w="2780" w:type="dxa"/>
            <w:vMerge w:val="restart"/>
            <w:tcBorders>
              <w:top w:val="single" w:sz="12" w:space="0" w:color="auto"/>
              <w:left w:val="single" w:sz="12" w:space="0" w:color="auto"/>
            </w:tcBorders>
            <w:shd w:val="clear" w:color="auto" w:fill="8DA9DB"/>
            <w:vAlign w:val="center"/>
          </w:tcPr>
          <w:p w14:paraId="45F22FA4" w14:textId="77777777" w:rsidR="005E67A0" w:rsidRPr="00B60325" w:rsidRDefault="005E67A0" w:rsidP="00963E14">
            <w:pPr>
              <w:rPr>
                <w:rFonts w:ascii="Arial Narrow" w:hAnsi="Arial Narrow" w:cs="Arial"/>
                <w:b/>
                <w:bCs/>
                <w:sz w:val="22"/>
                <w:szCs w:val="22"/>
              </w:rPr>
            </w:pPr>
          </w:p>
        </w:tc>
        <w:tc>
          <w:tcPr>
            <w:tcW w:w="1618" w:type="dxa"/>
            <w:gridSpan w:val="2"/>
            <w:tcBorders>
              <w:top w:val="single" w:sz="12" w:space="0" w:color="auto"/>
            </w:tcBorders>
            <w:shd w:val="clear" w:color="auto" w:fill="8DA9DB"/>
            <w:vAlign w:val="center"/>
          </w:tcPr>
          <w:p w14:paraId="771A739A" w14:textId="16FC222E"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FY19</w:t>
            </w:r>
          </w:p>
        </w:tc>
        <w:tc>
          <w:tcPr>
            <w:tcW w:w="1620" w:type="dxa"/>
            <w:gridSpan w:val="2"/>
            <w:tcBorders>
              <w:top w:val="single" w:sz="12" w:space="0" w:color="auto"/>
            </w:tcBorders>
            <w:shd w:val="clear" w:color="auto" w:fill="8DA9DB"/>
            <w:vAlign w:val="center"/>
          </w:tcPr>
          <w:p w14:paraId="4CD1D0A8" w14:textId="33E1DEB8"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FY20</w:t>
            </w:r>
          </w:p>
        </w:tc>
        <w:tc>
          <w:tcPr>
            <w:tcW w:w="1623" w:type="dxa"/>
            <w:gridSpan w:val="2"/>
            <w:tcBorders>
              <w:top w:val="single" w:sz="12" w:space="0" w:color="auto"/>
            </w:tcBorders>
            <w:shd w:val="clear" w:color="auto" w:fill="8DA9DB"/>
            <w:vAlign w:val="center"/>
          </w:tcPr>
          <w:p w14:paraId="283EA4A9" w14:textId="7584B519"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FY21</w:t>
            </w:r>
          </w:p>
        </w:tc>
        <w:tc>
          <w:tcPr>
            <w:tcW w:w="1630" w:type="dxa"/>
            <w:gridSpan w:val="3"/>
            <w:tcBorders>
              <w:top w:val="single" w:sz="12" w:space="0" w:color="auto"/>
              <w:right w:val="single" w:sz="12" w:space="0" w:color="auto"/>
            </w:tcBorders>
            <w:shd w:val="clear" w:color="auto" w:fill="8DA9DB"/>
            <w:vAlign w:val="center"/>
          </w:tcPr>
          <w:p w14:paraId="063FA2E4" w14:textId="292E7578"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color w:val="000000"/>
                <w:sz w:val="22"/>
                <w:szCs w:val="22"/>
              </w:rPr>
              <w:t>FY22 YTD</w:t>
            </w:r>
          </w:p>
        </w:tc>
      </w:tr>
      <w:tr w:rsidR="005E67A0" w:rsidRPr="00B60325" w14:paraId="3968A6B1" w14:textId="77777777" w:rsidTr="00886459">
        <w:trPr>
          <w:gridAfter w:val="1"/>
          <w:wAfter w:w="8" w:type="dxa"/>
          <w:cantSplit/>
          <w:trHeight w:val="20"/>
          <w:tblHeader/>
          <w:jc w:val="center"/>
        </w:trPr>
        <w:tc>
          <w:tcPr>
            <w:tcW w:w="2780" w:type="dxa"/>
            <w:vMerge/>
            <w:tcBorders>
              <w:left w:val="single" w:sz="12" w:space="0" w:color="auto"/>
              <w:bottom w:val="single" w:sz="12" w:space="0" w:color="auto"/>
            </w:tcBorders>
            <w:shd w:val="clear" w:color="auto" w:fill="8DA9DB"/>
          </w:tcPr>
          <w:p w14:paraId="31EB0B44" w14:textId="77777777" w:rsidR="005E67A0" w:rsidRPr="00B60325" w:rsidRDefault="005E67A0" w:rsidP="00963E14">
            <w:pPr>
              <w:rPr>
                <w:rFonts w:ascii="Arial Narrow" w:hAnsi="Arial Narrow" w:cs="Arial"/>
                <w:b/>
                <w:bCs/>
                <w:sz w:val="22"/>
                <w:szCs w:val="22"/>
              </w:rPr>
            </w:pPr>
          </w:p>
        </w:tc>
        <w:tc>
          <w:tcPr>
            <w:tcW w:w="808" w:type="dxa"/>
            <w:tcBorders>
              <w:bottom w:val="single" w:sz="12" w:space="0" w:color="auto"/>
            </w:tcBorders>
            <w:shd w:val="clear" w:color="auto" w:fill="8DA9DB"/>
            <w:vAlign w:val="center"/>
          </w:tcPr>
          <w:p w14:paraId="211BFFA7"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4A2B7C3D"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014A1072"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1165A88E"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03FFF97A"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3" w:type="dxa"/>
            <w:tcBorders>
              <w:bottom w:val="single" w:sz="12" w:space="0" w:color="auto"/>
            </w:tcBorders>
            <w:shd w:val="clear" w:color="auto" w:fill="8DA9DB"/>
            <w:vAlign w:val="center"/>
          </w:tcPr>
          <w:p w14:paraId="0E126A8B"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738E0E94"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2" w:type="dxa"/>
            <w:tcBorders>
              <w:bottom w:val="single" w:sz="12" w:space="0" w:color="auto"/>
              <w:right w:val="single" w:sz="12" w:space="0" w:color="auto"/>
            </w:tcBorders>
            <w:shd w:val="clear" w:color="auto" w:fill="8DA9DB"/>
            <w:vAlign w:val="center"/>
          </w:tcPr>
          <w:p w14:paraId="2BD22F2D" w14:textId="77777777" w:rsidR="005E67A0" w:rsidRPr="00B60325" w:rsidRDefault="005E67A0" w:rsidP="00963E14">
            <w:pPr>
              <w:jc w:val="center"/>
              <w:rPr>
                <w:rFonts w:ascii="Arial Narrow" w:hAnsi="Arial Narrow" w:cs="Arial"/>
                <w:b/>
                <w:bCs/>
                <w:sz w:val="22"/>
                <w:szCs w:val="22"/>
              </w:rPr>
            </w:pPr>
            <w:r w:rsidRPr="00B60325">
              <w:rPr>
                <w:rFonts w:ascii="Arial Narrow" w:hAnsi="Arial Narrow" w:cs="Arial"/>
                <w:b/>
                <w:bCs/>
                <w:sz w:val="22"/>
                <w:szCs w:val="22"/>
              </w:rPr>
              <w:t>%</w:t>
            </w:r>
          </w:p>
        </w:tc>
      </w:tr>
      <w:tr w:rsidR="005E67A0" w:rsidRPr="00B60325" w14:paraId="4DABA23C" w14:textId="77777777" w:rsidTr="00886459">
        <w:trPr>
          <w:gridAfter w:val="1"/>
          <w:wAfter w:w="8" w:type="dxa"/>
          <w:cantSplit/>
          <w:trHeight w:val="144"/>
          <w:jc w:val="center"/>
        </w:trPr>
        <w:tc>
          <w:tcPr>
            <w:tcW w:w="2780" w:type="dxa"/>
            <w:tcBorders>
              <w:top w:val="single" w:sz="12" w:space="0" w:color="auto"/>
              <w:left w:val="single" w:sz="12" w:space="0" w:color="auto"/>
            </w:tcBorders>
            <w:shd w:val="clear" w:color="auto" w:fill="BFBFBF"/>
            <w:vAlign w:val="center"/>
          </w:tcPr>
          <w:p w14:paraId="7ECFA9DE" w14:textId="77777777" w:rsidR="005E67A0" w:rsidRPr="00B60325" w:rsidRDefault="005E67A0" w:rsidP="00963E14">
            <w:pPr>
              <w:rPr>
                <w:rFonts w:ascii="Arial Narrow" w:hAnsi="Arial Narrow" w:cs="Arial"/>
                <w:sz w:val="22"/>
                <w:szCs w:val="22"/>
              </w:rPr>
            </w:pPr>
            <w:r w:rsidRPr="00B60325">
              <w:rPr>
                <w:rFonts w:ascii="Arial Narrow" w:hAnsi="Arial Narrow" w:cs="Arial"/>
                <w:b/>
                <w:bCs/>
                <w:sz w:val="22"/>
                <w:szCs w:val="22"/>
              </w:rPr>
              <w:t xml:space="preserve">Total </w:t>
            </w:r>
            <w:r w:rsidRPr="00520363">
              <w:rPr>
                <w:rFonts w:ascii="Arial Narrow" w:hAnsi="Arial Narrow" w:cs="Arial"/>
                <w:b/>
                <w:bCs/>
                <w:sz w:val="22"/>
                <w:szCs w:val="22"/>
              </w:rPr>
              <w:t>Unique M/S Patients</w:t>
            </w:r>
          </w:p>
        </w:tc>
        <w:tc>
          <w:tcPr>
            <w:tcW w:w="808" w:type="dxa"/>
            <w:tcBorders>
              <w:top w:val="single" w:sz="12" w:space="0" w:color="auto"/>
            </w:tcBorders>
            <w:shd w:val="clear" w:color="auto" w:fill="BFBFBF"/>
            <w:vAlign w:val="center"/>
          </w:tcPr>
          <w:p w14:paraId="7FB4941E"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b/>
                <w:bCs/>
                <w:sz w:val="22"/>
                <w:szCs w:val="22"/>
              </w:rPr>
              <w:t>11,719</w:t>
            </w:r>
          </w:p>
        </w:tc>
        <w:tc>
          <w:tcPr>
            <w:tcW w:w="810" w:type="dxa"/>
            <w:tcBorders>
              <w:top w:val="single" w:sz="12" w:space="0" w:color="auto"/>
            </w:tcBorders>
            <w:shd w:val="clear" w:color="auto" w:fill="BFBFBF"/>
            <w:vAlign w:val="center"/>
          </w:tcPr>
          <w:p w14:paraId="4DA34772" w14:textId="77777777" w:rsidR="005E67A0" w:rsidRPr="00B60325" w:rsidRDefault="005E67A0"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0BF8C6B2"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b/>
                <w:bCs/>
                <w:sz w:val="22"/>
                <w:szCs w:val="22"/>
              </w:rPr>
              <w:t>10,541</w:t>
            </w:r>
          </w:p>
        </w:tc>
        <w:tc>
          <w:tcPr>
            <w:tcW w:w="810" w:type="dxa"/>
            <w:tcBorders>
              <w:top w:val="single" w:sz="12" w:space="0" w:color="auto"/>
            </w:tcBorders>
            <w:shd w:val="clear" w:color="auto" w:fill="BFBFBF"/>
            <w:vAlign w:val="center"/>
          </w:tcPr>
          <w:p w14:paraId="61EB4BD1" w14:textId="77777777" w:rsidR="005E67A0" w:rsidRPr="00B60325" w:rsidRDefault="005E67A0"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1AC870C3"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b/>
                <w:bCs/>
                <w:sz w:val="22"/>
                <w:szCs w:val="22"/>
              </w:rPr>
              <w:t>11,002</w:t>
            </w:r>
          </w:p>
        </w:tc>
        <w:tc>
          <w:tcPr>
            <w:tcW w:w="813" w:type="dxa"/>
            <w:tcBorders>
              <w:top w:val="single" w:sz="12" w:space="0" w:color="auto"/>
            </w:tcBorders>
            <w:shd w:val="clear" w:color="auto" w:fill="BFBFBF"/>
            <w:vAlign w:val="center"/>
          </w:tcPr>
          <w:p w14:paraId="169AA888" w14:textId="77777777" w:rsidR="005E67A0" w:rsidRPr="00B60325" w:rsidRDefault="005E67A0"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46402C04"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b/>
                <w:bCs/>
                <w:sz w:val="22"/>
                <w:szCs w:val="22"/>
              </w:rPr>
              <w:t>2,970</w:t>
            </w:r>
          </w:p>
        </w:tc>
        <w:tc>
          <w:tcPr>
            <w:tcW w:w="812" w:type="dxa"/>
            <w:tcBorders>
              <w:top w:val="single" w:sz="12" w:space="0" w:color="auto"/>
              <w:right w:val="single" w:sz="12" w:space="0" w:color="auto"/>
            </w:tcBorders>
            <w:shd w:val="clear" w:color="auto" w:fill="BFBFBF"/>
            <w:vAlign w:val="center"/>
          </w:tcPr>
          <w:p w14:paraId="26E581A7" w14:textId="77777777" w:rsidR="005E67A0" w:rsidRPr="00B60325" w:rsidRDefault="005E67A0" w:rsidP="00963E14">
            <w:pPr>
              <w:jc w:val="right"/>
              <w:rPr>
                <w:rFonts w:ascii="Arial Narrow" w:hAnsi="Arial Narrow" w:cs="Arial"/>
                <w:sz w:val="22"/>
                <w:szCs w:val="22"/>
              </w:rPr>
            </w:pPr>
          </w:p>
        </w:tc>
      </w:tr>
      <w:tr w:rsidR="005E67A0" w:rsidRPr="00B60325" w14:paraId="7323DCEB" w14:textId="77777777" w:rsidTr="00886459">
        <w:trPr>
          <w:gridAfter w:val="1"/>
          <w:wAfter w:w="8" w:type="dxa"/>
          <w:cantSplit/>
          <w:trHeight w:val="144"/>
          <w:jc w:val="center"/>
        </w:trPr>
        <w:tc>
          <w:tcPr>
            <w:tcW w:w="2780" w:type="dxa"/>
            <w:tcBorders>
              <w:left w:val="single" w:sz="12" w:space="0" w:color="auto"/>
            </w:tcBorders>
            <w:vAlign w:val="center"/>
          </w:tcPr>
          <w:p w14:paraId="4C7BA4F9" w14:textId="77777777"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American Indian/Alaska Native</w:t>
            </w:r>
          </w:p>
        </w:tc>
        <w:tc>
          <w:tcPr>
            <w:tcW w:w="808" w:type="dxa"/>
            <w:vAlign w:val="center"/>
          </w:tcPr>
          <w:p w14:paraId="3E74C1BE"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29 </w:t>
            </w:r>
          </w:p>
        </w:tc>
        <w:tc>
          <w:tcPr>
            <w:tcW w:w="810" w:type="dxa"/>
            <w:vAlign w:val="center"/>
          </w:tcPr>
          <w:p w14:paraId="20397556"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0.2%</w:t>
            </w:r>
          </w:p>
        </w:tc>
        <w:tc>
          <w:tcPr>
            <w:tcW w:w="810" w:type="dxa"/>
            <w:vAlign w:val="center"/>
          </w:tcPr>
          <w:p w14:paraId="57571984"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32 </w:t>
            </w:r>
          </w:p>
        </w:tc>
        <w:tc>
          <w:tcPr>
            <w:tcW w:w="810" w:type="dxa"/>
            <w:vAlign w:val="center"/>
          </w:tcPr>
          <w:p w14:paraId="437ABC69"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0.3%</w:t>
            </w:r>
          </w:p>
        </w:tc>
        <w:tc>
          <w:tcPr>
            <w:tcW w:w="810" w:type="dxa"/>
            <w:vAlign w:val="center"/>
          </w:tcPr>
          <w:p w14:paraId="569AF1B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33 </w:t>
            </w:r>
          </w:p>
        </w:tc>
        <w:tc>
          <w:tcPr>
            <w:tcW w:w="813" w:type="dxa"/>
            <w:vAlign w:val="center"/>
          </w:tcPr>
          <w:p w14:paraId="1137F710"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0.3%</w:t>
            </w:r>
          </w:p>
        </w:tc>
        <w:tc>
          <w:tcPr>
            <w:tcW w:w="810" w:type="dxa"/>
            <w:vAlign w:val="center"/>
          </w:tcPr>
          <w:p w14:paraId="2B0DE4C6"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13 </w:t>
            </w:r>
          </w:p>
        </w:tc>
        <w:tc>
          <w:tcPr>
            <w:tcW w:w="812" w:type="dxa"/>
            <w:tcBorders>
              <w:right w:val="single" w:sz="12" w:space="0" w:color="auto"/>
            </w:tcBorders>
            <w:vAlign w:val="center"/>
          </w:tcPr>
          <w:p w14:paraId="4F0E501A"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0.4%</w:t>
            </w:r>
          </w:p>
        </w:tc>
      </w:tr>
      <w:tr w:rsidR="005E67A0" w:rsidRPr="00B60325" w14:paraId="34EEE1E6" w14:textId="77777777" w:rsidTr="00886459">
        <w:trPr>
          <w:gridAfter w:val="1"/>
          <w:wAfter w:w="8" w:type="dxa"/>
          <w:cantSplit/>
          <w:trHeight w:val="144"/>
          <w:jc w:val="center"/>
        </w:trPr>
        <w:tc>
          <w:tcPr>
            <w:tcW w:w="2780" w:type="dxa"/>
            <w:tcBorders>
              <w:left w:val="single" w:sz="12" w:space="0" w:color="auto"/>
            </w:tcBorders>
            <w:vAlign w:val="center"/>
          </w:tcPr>
          <w:p w14:paraId="41DF1DA7" w14:textId="77777777"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Asian</w:t>
            </w:r>
          </w:p>
        </w:tc>
        <w:tc>
          <w:tcPr>
            <w:tcW w:w="808" w:type="dxa"/>
            <w:vAlign w:val="center"/>
          </w:tcPr>
          <w:p w14:paraId="27817A4B"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312 </w:t>
            </w:r>
          </w:p>
        </w:tc>
        <w:tc>
          <w:tcPr>
            <w:tcW w:w="810" w:type="dxa"/>
            <w:vAlign w:val="center"/>
          </w:tcPr>
          <w:p w14:paraId="2D3D54EE"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2.7%</w:t>
            </w:r>
          </w:p>
        </w:tc>
        <w:tc>
          <w:tcPr>
            <w:tcW w:w="810" w:type="dxa"/>
            <w:vAlign w:val="center"/>
          </w:tcPr>
          <w:p w14:paraId="24F00574"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312 </w:t>
            </w:r>
          </w:p>
        </w:tc>
        <w:tc>
          <w:tcPr>
            <w:tcW w:w="810" w:type="dxa"/>
            <w:vAlign w:val="center"/>
          </w:tcPr>
          <w:p w14:paraId="270E0890"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3.0%</w:t>
            </w:r>
          </w:p>
        </w:tc>
        <w:tc>
          <w:tcPr>
            <w:tcW w:w="810" w:type="dxa"/>
            <w:vAlign w:val="center"/>
          </w:tcPr>
          <w:p w14:paraId="606B327C"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440 </w:t>
            </w:r>
          </w:p>
        </w:tc>
        <w:tc>
          <w:tcPr>
            <w:tcW w:w="813" w:type="dxa"/>
            <w:vAlign w:val="center"/>
          </w:tcPr>
          <w:p w14:paraId="0B7CA567"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4.0%</w:t>
            </w:r>
          </w:p>
        </w:tc>
        <w:tc>
          <w:tcPr>
            <w:tcW w:w="810" w:type="dxa"/>
            <w:vAlign w:val="center"/>
          </w:tcPr>
          <w:p w14:paraId="47E2188A"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106 </w:t>
            </w:r>
          </w:p>
        </w:tc>
        <w:tc>
          <w:tcPr>
            <w:tcW w:w="812" w:type="dxa"/>
            <w:tcBorders>
              <w:right w:val="single" w:sz="12" w:space="0" w:color="auto"/>
            </w:tcBorders>
            <w:vAlign w:val="center"/>
          </w:tcPr>
          <w:p w14:paraId="47D441D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3.6%</w:t>
            </w:r>
          </w:p>
        </w:tc>
      </w:tr>
      <w:tr w:rsidR="005E67A0" w:rsidRPr="00B60325" w14:paraId="037AA65C" w14:textId="77777777" w:rsidTr="00886459">
        <w:trPr>
          <w:gridAfter w:val="1"/>
          <w:wAfter w:w="8" w:type="dxa"/>
          <w:cantSplit/>
          <w:trHeight w:val="144"/>
          <w:jc w:val="center"/>
        </w:trPr>
        <w:tc>
          <w:tcPr>
            <w:tcW w:w="2780" w:type="dxa"/>
            <w:tcBorders>
              <w:left w:val="single" w:sz="12" w:space="0" w:color="auto"/>
            </w:tcBorders>
            <w:vAlign w:val="center"/>
          </w:tcPr>
          <w:p w14:paraId="4B5CF3A5" w14:textId="77777777"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Black/African American</w:t>
            </w:r>
          </w:p>
        </w:tc>
        <w:tc>
          <w:tcPr>
            <w:tcW w:w="808" w:type="dxa"/>
            <w:vAlign w:val="center"/>
          </w:tcPr>
          <w:p w14:paraId="47FBD88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4,349 </w:t>
            </w:r>
          </w:p>
        </w:tc>
        <w:tc>
          <w:tcPr>
            <w:tcW w:w="810" w:type="dxa"/>
            <w:vAlign w:val="center"/>
          </w:tcPr>
          <w:p w14:paraId="23AEC036"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37.1%</w:t>
            </w:r>
          </w:p>
        </w:tc>
        <w:tc>
          <w:tcPr>
            <w:tcW w:w="810" w:type="dxa"/>
            <w:vAlign w:val="center"/>
          </w:tcPr>
          <w:p w14:paraId="02109330"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4,143 </w:t>
            </w:r>
          </w:p>
        </w:tc>
        <w:tc>
          <w:tcPr>
            <w:tcW w:w="810" w:type="dxa"/>
            <w:vAlign w:val="center"/>
          </w:tcPr>
          <w:p w14:paraId="50EB5B6C"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39.3%</w:t>
            </w:r>
          </w:p>
        </w:tc>
        <w:tc>
          <w:tcPr>
            <w:tcW w:w="810" w:type="dxa"/>
            <w:vAlign w:val="center"/>
          </w:tcPr>
          <w:p w14:paraId="701F26E9"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4,144 </w:t>
            </w:r>
          </w:p>
        </w:tc>
        <w:tc>
          <w:tcPr>
            <w:tcW w:w="813" w:type="dxa"/>
            <w:vAlign w:val="center"/>
          </w:tcPr>
          <w:p w14:paraId="76249FF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37.7%</w:t>
            </w:r>
          </w:p>
        </w:tc>
        <w:tc>
          <w:tcPr>
            <w:tcW w:w="810" w:type="dxa"/>
            <w:vAlign w:val="center"/>
          </w:tcPr>
          <w:p w14:paraId="7619D983"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1,195 </w:t>
            </w:r>
          </w:p>
        </w:tc>
        <w:tc>
          <w:tcPr>
            <w:tcW w:w="812" w:type="dxa"/>
            <w:tcBorders>
              <w:right w:val="single" w:sz="12" w:space="0" w:color="auto"/>
            </w:tcBorders>
            <w:vAlign w:val="center"/>
          </w:tcPr>
          <w:p w14:paraId="58BA707F"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40.2%</w:t>
            </w:r>
          </w:p>
        </w:tc>
      </w:tr>
      <w:tr w:rsidR="005E67A0" w:rsidRPr="00B60325" w14:paraId="15468C92" w14:textId="77777777" w:rsidTr="00886459">
        <w:trPr>
          <w:gridAfter w:val="1"/>
          <w:wAfter w:w="8" w:type="dxa"/>
          <w:cantSplit/>
          <w:trHeight w:val="144"/>
          <w:jc w:val="center"/>
        </w:trPr>
        <w:tc>
          <w:tcPr>
            <w:tcW w:w="2780" w:type="dxa"/>
            <w:tcBorders>
              <w:left w:val="single" w:sz="12" w:space="0" w:color="auto"/>
            </w:tcBorders>
            <w:vAlign w:val="center"/>
          </w:tcPr>
          <w:p w14:paraId="134CD252" w14:textId="77777777"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Hispanic/Latino</w:t>
            </w:r>
          </w:p>
        </w:tc>
        <w:tc>
          <w:tcPr>
            <w:tcW w:w="808" w:type="dxa"/>
            <w:vAlign w:val="center"/>
          </w:tcPr>
          <w:p w14:paraId="052D3E6D"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1,043 </w:t>
            </w:r>
          </w:p>
        </w:tc>
        <w:tc>
          <w:tcPr>
            <w:tcW w:w="810" w:type="dxa"/>
            <w:vAlign w:val="center"/>
          </w:tcPr>
          <w:p w14:paraId="33C09CA3"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8.9%</w:t>
            </w:r>
          </w:p>
        </w:tc>
        <w:tc>
          <w:tcPr>
            <w:tcW w:w="810" w:type="dxa"/>
            <w:vAlign w:val="center"/>
          </w:tcPr>
          <w:p w14:paraId="7F45E62A"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1,563 </w:t>
            </w:r>
          </w:p>
        </w:tc>
        <w:tc>
          <w:tcPr>
            <w:tcW w:w="810" w:type="dxa"/>
            <w:vAlign w:val="center"/>
          </w:tcPr>
          <w:p w14:paraId="379BC801"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14.8%</w:t>
            </w:r>
          </w:p>
        </w:tc>
        <w:tc>
          <w:tcPr>
            <w:tcW w:w="810" w:type="dxa"/>
            <w:vAlign w:val="center"/>
          </w:tcPr>
          <w:p w14:paraId="6E5493D2"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1,988 </w:t>
            </w:r>
          </w:p>
        </w:tc>
        <w:tc>
          <w:tcPr>
            <w:tcW w:w="813" w:type="dxa"/>
            <w:vAlign w:val="center"/>
          </w:tcPr>
          <w:p w14:paraId="3DB7C7BD"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18.1%</w:t>
            </w:r>
          </w:p>
        </w:tc>
        <w:tc>
          <w:tcPr>
            <w:tcW w:w="810" w:type="dxa"/>
            <w:vAlign w:val="center"/>
          </w:tcPr>
          <w:p w14:paraId="4E767F97"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477 </w:t>
            </w:r>
          </w:p>
        </w:tc>
        <w:tc>
          <w:tcPr>
            <w:tcW w:w="812" w:type="dxa"/>
            <w:tcBorders>
              <w:right w:val="single" w:sz="12" w:space="0" w:color="auto"/>
            </w:tcBorders>
            <w:vAlign w:val="center"/>
          </w:tcPr>
          <w:p w14:paraId="3309AD35"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16.1%</w:t>
            </w:r>
          </w:p>
        </w:tc>
      </w:tr>
      <w:tr w:rsidR="005E67A0" w:rsidRPr="00B60325" w14:paraId="25A434C1" w14:textId="77777777" w:rsidTr="00886459">
        <w:trPr>
          <w:gridAfter w:val="1"/>
          <w:wAfter w:w="8" w:type="dxa"/>
          <w:cantSplit/>
          <w:trHeight w:val="144"/>
          <w:jc w:val="center"/>
        </w:trPr>
        <w:tc>
          <w:tcPr>
            <w:tcW w:w="2780" w:type="dxa"/>
            <w:tcBorders>
              <w:left w:val="single" w:sz="12" w:space="0" w:color="auto"/>
            </w:tcBorders>
            <w:vAlign w:val="center"/>
          </w:tcPr>
          <w:p w14:paraId="4E8B6700" w14:textId="77777777"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 xml:space="preserve">White/Caucasian </w:t>
            </w:r>
          </w:p>
        </w:tc>
        <w:tc>
          <w:tcPr>
            <w:tcW w:w="808" w:type="dxa"/>
            <w:vAlign w:val="center"/>
          </w:tcPr>
          <w:p w14:paraId="54FB3A0C"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4,393 </w:t>
            </w:r>
          </w:p>
        </w:tc>
        <w:tc>
          <w:tcPr>
            <w:tcW w:w="810" w:type="dxa"/>
            <w:vAlign w:val="center"/>
          </w:tcPr>
          <w:p w14:paraId="44EED066"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37.5%</w:t>
            </w:r>
          </w:p>
        </w:tc>
        <w:tc>
          <w:tcPr>
            <w:tcW w:w="810" w:type="dxa"/>
            <w:vAlign w:val="center"/>
          </w:tcPr>
          <w:p w14:paraId="18BDC46E"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3,571 </w:t>
            </w:r>
          </w:p>
        </w:tc>
        <w:tc>
          <w:tcPr>
            <w:tcW w:w="810" w:type="dxa"/>
            <w:vAlign w:val="center"/>
          </w:tcPr>
          <w:p w14:paraId="43256E9A"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33.9%</w:t>
            </w:r>
          </w:p>
        </w:tc>
        <w:tc>
          <w:tcPr>
            <w:tcW w:w="810" w:type="dxa"/>
            <w:vAlign w:val="center"/>
          </w:tcPr>
          <w:p w14:paraId="0E10DE1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3,765 </w:t>
            </w:r>
          </w:p>
        </w:tc>
        <w:tc>
          <w:tcPr>
            <w:tcW w:w="813" w:type="dxa"/>
            <w:vAlign w:val="center"/>
          </w:tcPr>
          <w:p w14:paraId="3824F185"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34.2%</w:t>
            </w:r>
          </w:p>
        </w:tc>
        <w:tc>
          <w:tcPr>
            <w:tcW w:w="810" w:type="dxa"/>
            <w:vAlign w:val="center"/>
          </w:tcPr>
          <w:p w14:paraId="7C525AFF"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1,048 </w:t>
            </w:r>
          </w:p>
        </w:tc>
        <w:tc>
          <w:tcPr>
            <w:tcW w:w="812" w:type="dxa"/>
            <w:tcBorders>
              <w:right w:val="single" w:sz="12" w:space="0" w:color="auto"/>
            </w:tcBorders>
            <w:vAlign w:val="center"/>
          </w:tcPr>
          <w:p w14:paraId="7E79E71D"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35.3%</w:t>
            </w:r>
          </w:p>
        </w:tc>
      </w:tr>
      <w:tr w:rsidR="005E67A0" w:rsidRPr="00B60325" w14:paraId="1045BD9B" w14:textId="77777777" w:rsidTr="00886459">
        <w:trPr>
          <w:gridAfter w:val="1"/>
          <w:wAfter w:w="8" w:type="dxa"/>
          <w:cantSplit/>
          <w:trHeight w:val="144"/>
          <w:jc w:val="center"/>
        </w:trPr>
        <w:tc>
          <w:tcPr>
            <w:tcW w:w="2780" w:type="dxa"/>
            <w:tcBorders>
              <w:left w:val="single" w:sz="12" w:space="0" w:color="auto"/>
              <w:bottom w:val="single" w:sz="12" w:space="0" w:color="auto"/>
            </w:tcBorders>
            <w:vAlign w:val="center"/>
          </w:tcPr>
          <w:p w14:paraId="27889546" w14:textId="49834062" w:rsidR="005E67A0" w:rsidRPr="00B60325" w:rsidRDefault="005E67A0" w:rsidP="00963E14">
            <w:pPr>
              <w:rPr>
                <w:rFonts w:ascii="Arial Narrow" w:hAnsi="Arial Narrow" w:cs="Arial"/>
                <w:sz w:val="22"/>
                <w:szCs w:val="22"/>
              </w:rPr>
            </w:pPr>
            <w:r w:rsidRPr="00B60325">
              <w:rPr>
                <w:rFonts w:ascii="Arial Narrow" w:hAnsi="Arial Narrow" w:cs="Arial"/>
                <w:sz w:val="22"/>
                <w:szCs w:val="22"/>
              </w:rPr>
              <w:t>Other</w:t>
            </w:r>
            <w:r w:rsidR="00FB167B">
              <w:rPr>
                <w:rFonts w:ascii="ZWAdobeF" w:hAnsi="ZWAdobeF" w:cs="ZWAdobeF"/>
                <w:sz w:val="2"/>
                <w:szCs w:val="2"/>
              </w:rPr>
              <w:t>15F</w:t>
            </w:r>
            <w:r w:rsidRPr="00B60325">
              <w:rPr>
                <w:rStyle w:val="FootnoteReference"/>
                <w:rFonts w:ascii="Arial Narrow" w:hAnsi="Arial Narrow" w:cs="Arial"/>
                <w:sz w:val="22"/>
                <w:szCs w:val="22"/>
              </w:rPr>
              <w:footnoteReference w:id="16"/>
            </w:r>
          </w:p>
        </w:tc>
        <w:tc>
          <w:tcPr>
            <w:tcW w:w="808" w:type="dxa"/>
            <w:tcBorders>
              <w:bottom w:val="single" w:sz="12" w:space="0" w:color="auto"/>
            </w:tcBorders>
            <w:vAlign w:val="center"/>
          </w:tcPr>
          <w:p w14:paraId="3DD36B02"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1,593 </w:t>
            </w:r>
          </w:p>
        </w:tc>
        <w:tc>
          <w:tcPr>
            <w:tcW w:w="810" w:type="dxa"/>
            <w:tcBorders>
              <w:bottom w:val="single" w:sz="12" w:space="0" w:color="auto"/>
            </w:tcBorders>
            <w:vAlign w:val="center"/>
          </w:tcPr>
          <w:p w14:paraId="72BCF7A0"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13.6%</w:t>
            </w:r>
          </w:p>
        </w:tc>
        <w:tc>
          <w:tcPr>
            <w:tcW w:w="810" w:type="dxa"/>
            <w:tcBorders>
              <w:bottom w:val="single" w:sz="12" w:space="0" w:color="auto"/>
            </w:tcBorders>
            <w:vAlign w:val="center"/>
          </w:tcPr>
          <w:p w14:paraId="5674B567"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920 </w:t>
            </w:r>
          </w:p>
        </w:tc>
        <w:tc>
          <w:tcPr>
            <w:tcW w:w="810" w:type="dxa"/>
            <w:tcBorders>
              <w:bottom w:val="single" w:sz="12" w:space="0" w:color="auto"/>
            </w:tcBorders>
            <w:vAlign w:val="center"/>
          </w:tcPr>
          <w:p w14:paraId="5660090F"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8.7%</w:t>
            </w:r>
          </w:p>
        </w:tc>
        <w:tc>
          <w:tcPr>
            <w:tcW w:w="810" w:type="dxa"/>
            <w:tcBorders>
              <w:bottom w:val="single" w:sz="12" w:space="0" w:color="auto"/>
            </w:tcBorders>
            <w:vAlign w:val="center"/>
          </w:tcPr>
          <w:p w14:paraId="3D4859B8"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632 </w:t>
            </w:r>
          </w:p>
        </w:tc>
        <w:tc>
          <w:tcPr>
            <w:tcW w:w="813" w:type="dxa"/>
            <w:tcBorders>
              <w:bottom w:val="single" w:sz="12" w:space="0" w:color="auto"/>
            </w:tcBorders>
            <w:vAlign w:val="center"/>
          </w:tcPr>
          <w:p w14:paraId="1BA6B672"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5.7%</w:t>
            </w:r>
          </w:p>
        </w:tc>
        <w:tc>
          <w:tcPr>
            <w:tcW w:w="810" w:type="dxa"/>
            <w:tcBorders>
              <w:bottom w:val="single" w:sz="12" w:space="0" w:color="auto"/>
            </w:tcBorders>
            <w:vAlign w:val="center"/>
          </w:tcPr>
          <w:p w14:paraId="65B1FBA5"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 xml:space="preserve">131 </w:t>
            </w:r>
          </w:p>
        </w:tc>
        <w:tc>
          <w:tcPr>
            <w:tcW w:w="812" w:type="dxa"/>
            <w:tcBorders>
              <w:bottom w:val="single" w:sz="12" w:space="0" w:color="auto"/>
              <w:right w:val="single" w:sz="12" w:space="0" w:color="auto"/>
            </w:tcBorders>
            <w:vAlign w:val="center"/>
          </w:tcPr>
          <w:p w14:paraId="780FC6AC" w14:textId="77777777" w:rsidR="005E67A0" w:rsidRPr="00B60325" w:rsidRDefault="005E67A0" w:rsidP="00963E14">
            <w:pPr>
              <w:jc w:val="right"/>
              <w:rPr>
                <w:rFonts w:ascii="Arial Narrow" w:hAnsi="Arial Narrow" w:cs="Arial"/>
                <w:sz w:val="22"/>
                <w:szCs w:val="22"/>
              </w:rPr>
            </w:pPr>
            <w:r w:rsidRPr="00B60325">
              <w:rPr>
                <w:rFonts w:ascii="Arial Narrow" w:hAnsi="Arial Narrow" w:cs="Arial"/>
                <w:sz w:val="22"/>
                <w:szCs w:val="22"/>
              </w:rPr>
              <w:t>4.4%</w:t>
            </w:r>
          </w:p>
        </w:tc>
      </w:tr>
      <w:tr w:rsidR="00FD2753" w:rsidRPr="00B60325" w14:paraId="53744713" w14:textId="77777777" w:rsidTr="00886459">
        <w:trPr>
          <w:gridAfter w:val="1"/>
          <w:wAfter w:w="8" w:type="dxa"/>
          <w:cantSplit/>
          <w:trHeight w:val="144"/>
          <w:jc w:val="center"/>
        </w:trPr>
        <w:tc>
          <w:tcPr>
            <w:tcW w:w="2780" w:type="dxa"/>
            <w:tcBorders>
              <w:top w:val="single" w:sz="12" w:space="0" w:color="auto"/>
              <w:left w:val="single" w:sz="12" w:space="0" w:color="auto"/>
            </w:tcBorders>
            <w:shd w:val="clear" w:color="auto" w:fill="BFBFBF"/>
            <w:vAlign w:val="center"/>
          </w:tcPr>
          <w:p w14:paraId="5E87A65E" w14:textId="77777777" w:rsidR="00FD2753" w:rsidRPr="00882C41" w:rsidRDefault="00FD2753" w:rsidP="00FD2753">
            <w:pPr>
              <w:rPr>
                <w:rFonts w:ascii="Arial Narrow" w:hAnsi="Arial Narrow" w:cs="Arial"/>
                <w:sz w:val="22"/>
                <w:szCs w:val="22"/>
              </w:rPr>
            </w:pPr>
            <w:r w:rsidRPr="00882C41">
              <w:rPr>
                <w:rFonts w:ascii="Arial Narrow" w:hAnsi="Arial Narrow" w:cs="Arial"/>
                <w:b/>
                <w:bCs/>
                <w:sz w:val="22"/>
                <w:szCs w:val="22"/>
              </w:rPr>
              <w:t>Total Unique ICU Patients</w:t>
            </w:r>
          </w:p>
        </w:tc>
        <w:tc>
          <w:tcPr>
            <w:tcW w:w="808" w:type="dxa"/>
            <w:tcBorders>
              <w:top w:val="single" w:sz="12" w:space="0" w:color="auto"/>
            </w:tcBorders>
            <w:shd w:val="clear" w:color="auto" w:fill="BFBFBF"/>
            <w:vAlign w:val="center"/>
          </w:tcPr>
          <w:p w14:paraId="150653CB" w14:textId="446FB855" w:rsidR="00FD2753" w:rsidRPr="00882C41" w:rsidRDefault="00FD2753" w:rsidP="00FD2753">
            <w:pPr>
              <w:jc w:val="right"/>
              <w:rPr>
                <w:rFonts w:ascii="Arial Narrow" w:hAnsi="Arial Narrow" w:cs="Arial"/>
                <w:sz w:val="22"/>
                <w:szCs w:val="22"/>
              </w:rPr>
            </w:pPr>
            <w:r w:rsidRPr="0061787F">
              <w:rPr>
                <w:rFonts w:ascii="Arial Narrow" w:hAnsi="Arial Narrow" w:cs="Arial"/>
                <w:b/>
                <w:bCs/>
                <w:sz w:val="22"/>
                <w:szCs w:val="22"/>
              </w:rPr>
              <w:t>3,751</w:t>
            </w:r>
          </w:p>
        </w:tc>
        <w:tc>
          <w:tcPr>
            <w:tcW w:w="810" w:type="dxa"/>
            <w:tcBorders>
              <w:top w:val="single" w:sz="12" w:space="0" w:color="auto"/>
            </w:tcBorders>
            <w:shd w:val="clear" w:color="auto" w:fill="BFBFBF"/>
            <w:vAlign w:val="center"/>
          </w:tcPr>
          <w:p w14:paraId="2EC95EF3" w14:textId="77777777" w:rsidR="00FD2753" w:rsidRPr="00882C41" w:rsidRDefault="00FD2753" w:rsidP="00FD2753">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7E4C5FB3" w14:textId="0CFF7C5C" w:rsidR="00FD2753" w:rsidRPr="00882C41" w:rsidRDefault="00FD2753" w:rsidP="00FD2753">
            <w:pPr>
              <w:jc w:val="right"/>
              <w:rPr>
                <w:rFonts w:ascii="Arial Narrow" w:hAnsi="Arial Narrow" w:cs="Arial"/>
                <w:sz w:val="22"/>
                <w:szCs w:val="22"/>
              </w:rPr>
            </w:pPr>
            <w:r w:rsidRPr="0061787F">
              <w:rPr>
                <w:rFonts w:ascii="Arial Narrow" w:hAnsi="Arial Narrow" w:cs="Arial"/>
                <w:b/>
                <w:bCs/>
                <w:sz w:val="22"/>
                <w:szCs w:val="22"/>
              </w:rPr>
              <w:t>3,291</w:t>
            </w:r>
          </w:p>
        </w:tc>
        <w:tc>
          <w:tcPr>
            <w:tcW w:w="810" w:type="dxa"/>
            <w:tcBorders>
              <w:top w:val="single" w:sz="12" w:space="0" w:color="auto"/>
            </w:tcBorders>
            <w:shd w:val="clear" w:color="auto" w:fill="BFBFBF"/>
            <w:vAlign w:val="center"/>
          </w:tcPr>
          <w:p w14:paraId="5300448C" w14:textId="77777777" w:rsidR="00FD2753" w:rsidRPr="00882C41" w:rsidRDefault="00FD2753" w:rsidP="00FD2753">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4C5285B3" w14:textId="405282FB" w:rsidR="00FD2753" w:rsidRPr="00882C41" w:rsidRDefault="00FD2753" w:rsidP="00FD2753">
            <w:pPr>
              <w:jc w:val="right"/>
              <w:rPr>
                <w:rFonts w:ascii="Arial Narrow" w:hAnsi="Arial Narrow" w:cs="Arial"/>
                <w:sz w:val="22"/>
                <w:szCs w:val="22"/>
              </w:rPr>
            </w:pPr>
            <w:r w:rsidRPr="0061787F">
              <w:rPr>
                <w:rFonts w:ascii="Arial Narrow" w:hAnsi="Arial Narrow" w:cs="Arial"/>
                <w:b/>
                <w:bCs/>
                <w:sz w:val="22"/>
                <w:szCs w:val="22"/>
              </w:rPr>
              <w:t>3,403</w:t>
            </w:r>
          </w:p>
        </w:tc>
        <w:tc>
          <w:tcPr>
            <w:tcW w:w="813" w:type="dxa"/>
            <w:tcBorders>
              <w:top w:val="single" w:sz="12" w:space="0" w:color="auto"/>
            </w:tcBorders>
            <w:shd w:val="clear" w:color="auto" w:fill="BFBFBF"/>
            <w:vAlign w:val="center"/>
          </w:tcPr>
          <w:p w14:paraId="14E011E0" w14:textId="77777777" w:rsidR="00FD2753" w:rsidRPr="00882C41" w:rsidRDefault="00FD2753" w:rsidP="00FD2753">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731A7CCA" w14:textId="38779B72" w:rsidR="00FD2753" w:rsidRPr="00882C41" w:rsidRDefault="00FD2753" w:rsidP="00FD2753">
            <w:pPr>
              <w:jc w:val="right"/>
              <w:rPr>
                <w:rFonts w:ascii="Arial Narrow" w:hAnsi="Arial Narrow" w:cs="Arial"/>
                <w:sz w:val="22"/>
                <w:szCs w:val="22"/>
              </w:rPr>
            </w:pPr>
            <w:r w:rsidRPr="0061787F">
              <w:rPr>
                <w:rFonts w:ascii="Arial Narrow" w:hAnsi="Arial Narrow" w:cs="Arial"/>
                <w:b/>
                <w:bCs/>
                <w:sz w:val="22"/>
                <w:szCs w:val="22"/>
              </w:rPr>
              <w:t>895</w:t>
            </w:r>
          </w:p>
        </w:tc>
        <w:tc>
          <w:tcPr>
            <w:tcW w:w="812" w:type="dxa"/>
            <w:tcBorders>
              <w:top w:val="single" w:sz="12" w:space="0" w:color="auto"/>
              <w:right w:val="single" w:sz="12" w:space="0" w:color="auto"/>
            </w:tcBorders>
            <w:shd w:val="clear" w:color="auto" w:fill="BFBFBF"/>
            <w:vAlign w:val="center"/>
          </w:tcPr>
          <w:p w14:paraId="5A3236FC" w14:textId="77777777" w:rsidR="00FD2753" w:rsidRPr="00882C41" w:rsidRDefault="00FD2753" w:rsidP="00FD2753">
            <w:pPr>
              <w:jc w:val="right"/>
              <w:rPr>
                <w:rFonts w:ascii="Arial Narrow" w:hAnsi="Arial Narrow" w:cs="Arial"/>
                <w:sz w:val="22"/>
                <w:szCs w:val="22"/>
              </w:rPr>
            </w:pPr>
          </w:p>
        </w:tc>
      </w:tr>
      <w:tr w:rsidR="0061787F" w:rsidRPr="00B60325" w14:paraId="65BA5759" w14:textId="77777777" w:rsidTr="00886459">
        <w:trPr>
          <w:gridAfter w:val="1"/>
          <w:wAfter w:w="8" w:type="dxa"/>
          <w:cantSplit/>
          <w:trHeight w:val="144"/>
          <w:jc w:val="center"/>
        </w:trPr>
        <w:tc>
          <w:tcPr>
            <w:tcW w:w="2780" w:type="dxa"/>
            <w:tcBorders>
              <w:left w:val="single" w:sz="12" w:space="0" w:color="auto"/>
            </w:tcBorders>
            <w:vAlign w:val="center"/>
          </w:tcPr>
          <w:p w14:paraId="2ED78277" w14:textId="286645CD" w:rsidR="0061787F" w:rsidRPr="00882C41" w:rsidRDefault="0061787F" w:rsidP="0061787F">
            <w:pPr>
              <w:rPr>
                <w:rFonts w:ascii="Arial Narrow" w:hAnsi="Arial Narrow" w:cs="Arial"/>
                <w:sz w:val="22"/>
                <w:szCs w:val="22"/>
              </w:rPr>
            </w:pPr>
            <w:r w:rsidRPr="00B60325">
              <w:rPr>
                <w:rFonts w:ascii="Arial Narrow" w:hAnsi="Arial Narrow" w:cs="Arial"/>
                <w:sz w:val="22"/>
                <w:szCs w:val="22"/>
              </w:rPr>
              <w:t>Asian</w:t>
            </w:r>
          </w:p>
        </w:tc>
        <w:tc>
          <w:tcPr>
            <w:tcW w:w="808" w:type="dxa"/>
            <w:vAlign w:val="center"/>
          </w:tcPr>
          <w:p w14:paraId="1CB4CB8D" w14:textId="21E7F300" w:rsidR="0061787F" w:rsidRPr="00882C41" w:rsidRDefault="0061787F" w:rsidP="0061787F">
            <w:pPr>
              <w:jc w:val="right"/>
              <w:rPr>
                <w:rFonts w:ascii="Arial Narrow" w:hAnsi="Arial Narrow" w:cs="Arial"/>
                <w:sz w:val="22"/>
                <w:szCs w:val="22"/>
              </w:rPr>
            </w:pPr>
            <w:r>
              <w:rPr>
                <w:rFonts w:ascii="Arial Narrow" w:hAnsi="Arial Narrow" w:cs="Arial"/>
                <w:sz w:val="22"/>
                <w:szCs w:val="22"/>
              </w:rPr>
              <w:t>109</w:t>
            </w:r>
            <w:r w:rsidRPr="00B60325">
              <w:rPr>
                <w:rFonts w:ascii="Arial Narrow" w:hAnsi="Arial Narrow" w:cs="Arial"/>
                <w:sz w:val="22"/>
                <w:szCs w:val="22"/>
              </w:rPr>
              <w:t xml:space="preserve"> </w:t>
            </w:r>
          </w:p>
        </w:tc>
        <w:tc>
          <w:tcPr>
            <w:tcW w:w="810" w:type="dxa"/>
            <w:vAlign w:val="center"/>
          </w:tcPr>
          <w:p w14:paraId="5EF19C2A" w14:textId="7F314531" w:rsidR="0061787F" w:rsidRPr="00882C41" w:rsidRDefault="0061787F" w:rsidP="0061787F">
            <w:pPr>
              <w:jc w:val="right"/>
              <w:rPr>
                <w:rFonts w:ascii="Arial Narrow" w:hAnsi="Arial Narrow" w:cs="Arial"/>
                <w:sz w:val="22"/>
                <w:szCs w:val="22"/>
              </w:rPr>
            </w:pPr>
            <w:r>
              <w:rPr>
                <w:rFonts w:ascii="Arial Narrow" w:hAnsi="Arial Narrow" w:cs="Arial"/>
                <w:sz w:val="22"/>
                <w:szCs w:val="22"/>
              </w:rPr>
              <w:t>2.9</w:t>
            </w:r>
            <w:r w:rsidRPr="00B60325">
              <w:rPr>
                <w:rFonts w:ascii="Arial Narrow" w:hAnsi="Arial Narrow" w:cs="Arial"/>
                <w:sz w:val="22"/>
                <w:szCs w:val="22"/>
              </w:rPr>
              <w:t>%</w:t>
            </w:r>
          </w:p>
        </w:tc>
        <w:tc>
          <w:tcPr>
            <w:tcW w:w="810" w:type="dxa"/>
            <w:vAlign w:val="center"/>
          </w:tcPr>
          <w:p w14:paraId="7600DD15" w14:textId="2DC26CE4" w:rsidR="0061787F" w:rsidRPr="00882C41" w:rsidRDefault="0061787F" w:rsidP="0061787F">
            <w:pPr>
              <w:jc w:val="center"/>
              <w:rPr>
                <w:rFonts w:ascii="Arial Narrow" w:hAnsi="Arial Narrow" w:cs="Arial"/>
                <w:sz w:val="22"/>
                <w:szCs w:val="22"/>
              </w:rPr>
            </w:pPr>
            <w:r>
              <w:rPr>
                <w:rFonts w:ascii="Arial Narrow" w:hAnsi="Arial Narrow" w:cs="Arial"/>
                <w:sz w:val="22"/>
                <w:szCs w:val="22"/>
              </w:rPr>
              <w:t>93</w:t>
            </w:r>
            <w:r w:rsidRPr="00B60325">
              <w:rPr>
                <w:rFonts w:ascii="Arial Narrow" w:hAnsi="Arial Narrow" w:cs="Arial"/>
                <w:sz w:val="22"/>
                <w:szCs w:val="22"/>
              </w:rPr>
              <w:t xml:space="preserve"> </w:t>
            </w:r>
          </w:p>
        </w:tc>
        <w:tc>
          <w:tcPr>
            <w:tcW w:w="810" w:type="dxa"/>
            <w:vAlign w:val="center"/>
          </w:tcPr>
          <w:p w14:paraId="1A2E6910" w14:textId="7D0B41C5" w:rsidR="0061787F" w:rsidRPr="00882C41" w:rsidRDefault="0061787F" w:rsidP="0061787F">
            <w:pPr>
              <w:jc w:val="right"/>
              <w:rPr>
                <w:rFonts w:ascii="Arial Narrow" w:hAnsi="Arial Narrow" w:cs="Arial"/>
                <w:sz w:val="22"/>
                <w:szCs w:val="22"/>
              </w:rPr>
            </w:pPr>
            <w:r>
              <w:rPr>
                <w:rFonts w:ascii="Arial Narrow" w:hAnsi="Arial Narrow" w:cs="Arial"/>
                <w:sz w:val="22"/>
                <w:szCs w:val="22"/>
              </w:rPr>
              <w:t>2.8</w:t>
            </w:r>
            <w:r w:rsidRPr="00B60325">
              <w:rPr>
                <w:rFonts w:ascii="Arial Narrow" w:hAnsi="Arial Narrow" w:cs="Arial"/>
                <w:sz w:val="22"/>
                <w:szCs w:val="22"/>
              </w:rPr>
              <w:t>%</w:t>
            </w:r>
          </w:p>
        </w:tc>
        <w:tc>
          <w:tcPr>
            <w:tcW w:w="810" w:type="dxa"/>
            <w:vAlign w:val="center"/>
          </w:tcPr>
          <w:p w14:paraId="01815D2A" w14:textId="4444DBDD" w:rsidR="0061787F" w:rsidRPr="00882C41" w:rsidRDefault="0061787F" w:rsidP="0061787F">
            <w:pPr>
              <w:jc w:val="right"/>
              <w:rPr>
                <w:rFonts w:ascii="Arial Narrow" w:hAnsi="Arial Narrow" w:cs="Arial"/>
                <w:sz w:val="22"/>
                <w:szCs w:val="22"/>
              </w:rPr>
            </w:pPr>
            <w:r>
              <w:rPr>
                <w:rFonts w:ascii="Arial Narrow" w:hAnsi="Arial Narrow" w:cs="Arial"/>
                <w:sz w:val="22"/>
                <w:szCs w:val="22"/>
              </w:rPr>
              <w:t>119</w:t>
            </w:r>
            <w:r w:rsidRPr="00B60325">
              <w:rPr>
                <w:rFonts w:ascii="Arial Narrow" w:hAnsi="Arial Narrow" w:cs="Arial"/>
                <w:sz w:val="22"/>
                <w:szCs w:val="22"/>
              </w:rPr>
              <w:t xml:space="preserve"> </w:t>
            </w:r>
          </w:p>
        </w:tc>
        <w:tc>
          <w:tcPr>
            <w:tcW w:w="813" w:type="dxa"/>
            <w:vAlign w:val="center"/>
          </w:tcPr>
          <w:p w14:paraId="5ADFB945" w14:textId="22A144CF" w:rsidR="0061787F" w:rsidRPr="00882C41" w:rsidRDefault="0061787F" w:rsidP="0061787F">
            <w:pPr>
              <w:jc w:val="right"/>
              <w:rPr>
                <w:rFonts w:ascii="Arial Narrow" w:hAnsi="Arial Narrow" w:cs="Arial"/>
                <w:sz w:val="22"/>
                <w:szCs w:val="22"/>
              </w:rPr>
            </w:pPr>
            <w:r>
              <w:rPr>
                <w:rFonts w:ascii="Arial Narrow" w:hAnsi="Arial Narrow" w:cs="Arial"/>
                <w:sz w:val="22"/>
                <w:szCs w:val="22"/>
              </w:rPr>
              <w:t>3.5</w:t>
            </w:r>
            <w:r w:rsidRPr="00B60325">
              <w:rPr>
                <w:rFonts w:ascii="Arial Narrow" w:hAnsi="Arial Narrow" w:cs="Arial"/>
                <w:sz w:val="22"/>
                <w:szCs w:val="22"/>
              </w:rPr>
              <w:t>%</w:t>
            </w:r>
          </w:p>
        </w:tc>
        <w:tc>
          <w:tcPr>
            <w:tcW w:w="810" w:type="dxa"/>
            <w:vAlign w:val="center"/>
          </w:tcPr>
          <w:p w14:paraId="53D381EE" w14:textId="73AC54B2" w:rsidR="0061787F" w:rsidRPr="00882C41" w:rsidRDefault="0061787F" w:rsidP="0061787F">
            <w:pPr>
              <w:jc w:val="right"/>
              <w:rPr>
                <w:rFonts w:ascii="Arial Narrow" w:hAnsi="Arial Narrow" w:cs="Arial"/>
                <w:sz w:val="22"/>
                <w:szCs w:val="22"/>
              </w:rPr>
            </w:pPr>
            <w:r>
              <w:rPr>
                <w:rFonts w:ascii="Arial Narrow" w:hAnsi="Arial Narrow" w:cs="Arial"/>
                <w:sz w:val="22"/>
                <w:szCs w:val="22"/>
              </w:rPr>
              <w:t>33</w:t>
            </w:r>
            <w:r w:rsidRPr="00B60325">
              <w:rPr>
                <w:rFonts w:ascii="Arial Narrow" w:hAnsi="Arial Narrow" w:cs="Arial"/>
                <w:sz w:val="22"/>
                <w:szCs w:val="22"/>
              </w:rPr>
              <w:t xml:space="preserve"> </w:t>
            </w:r>
          </w:p>
        </w:tc>
        <w:tc>
          <w:tcPr>
            <w:tcW w:w="812" w:type="dxa"/>
            <w:tcBorders>
              <w:right w:val="single" w:sz="12" w:space="0" w:color="auto"/>
            </w:tcBorders>
            <w:vAlign w:val="center"/>
          </w:tcPr>
          <w:p w14:paraId="742C620C" w14:textId="15549C42" w:rsidR="0061787F" w:rsidRPr="00882C41" w:rsidRDefault="0061787F" w:rsidP="0061787F">
            <w:pPr>
              <w:jc w:val="right"/>
              <w:rPr>
                <w:rFonts w:ascii="Arial Narrow" w:hAnsi="Arial Narrow" w:cs="Arial"/>
                <w:sz w:val="22"/>
                <w:szCs w:val="22"/>
              </w:rPr>
            </w:pPr>
            <w:r>
              <w:rPr>
                <w:rFonts w:ascii="Arial Narrow" w:hAnsi="Arial Narrow" w:cs="Arial"/>
                <w:sz w:val="22"/>
                <w:szCs w:val="22"/>
              </w:rPr>
              <w:t>3.7</w:t>
            </w:r>
            <w:r w:rsidRPr="00B60325">
              <w:rPr>
                <w:rFonts w:ascii="Arial Narrow" w:hAnsi="Arial Narrow" w:cs="Arial"/>
                <w:sz w:val="22"/>
                <w:szCs w:val="22"/>
              </w:rPr>
              <w:t>%</w:t>
            </w:r>
          </w:p>
        </w:tc>
      </w:tr>
      <w:tr w:rsidR="0061787F" w:rsidRPr="00B60325" w14:paraId="3380E18B" w14:textId="77777777" w:rsidTr="00886459">
        <w:trPr>
          <w:gridAfter w:val="1"/>
          <w:wAfter w:w="8" w:type="dxa"/>
          <w:cantSplit/>
          <w:trHeight w:val="144"/>
          <w:jc w:val="center"/>
        </w:trPr>
        <w:tc>
          <w:tcPr>
            <w:tcW w:w="2780" w:type="dxa"/>
            <w:tcBorders>
              <w:left w:val="single" w:sz="12" w:space="0" w:color="auto"/>
            </w:tcBorders>
            <w:vAlign w:val="center"/>
          </w:tcPr>
          <w:p w14:paraId="38B5EE3D" w14:textId="69FB3E48" w:rsidR="0061787F" w:rsidRPr="00882C41" w:rsidRDefault="0061787F" w:rsidP="0061787F">
            <w:pPr>
              <w:rPr>
                <w:rFonts w:ascii="Arial Narrow" w:hAnsi="Arial Narrow" w:cs="Arial"/>
                <w:sz w:val="22"/>
                <w:szCs w:val="22"/>
              </w:rPr>
            </w:pPr>
            <w:r w:rsidRPr="00B60325">
              <w:rPr>
                <w:rFonts w:ascii="Arial Narrow" w:hAnsi="Arial Narrow" w:cs="Arial"/>
                <w:sz w:val="22"/>
                <w:szCs w:val="22"/>
              </w:rPr>
              <w:t>Black/African American</w:t>
            </w:r>
          </w:p>
        </w:tc>
        <w:tc>
          <w:tcPr>
            <w:tcW w:w="808" w:type="dxa"/>
            <w:vAlign w:val="center"/>
          </w:tcPr>
          <w:p w14:paraId="36816C22" w14:textId="6B7A9C7E" w:rsidR="0061787F" w:rsidRPr="00882C41" w:rsidRDefault="0061787F" w:rsidP="0061787F">
            <w:pPr>
              <w:jc w:val="right"/>
              <w:rPr>
                <w:rFonts w:ascii="Arial Narrow" w:hAnsi="Arial Narrow" w:cs="Arial"/>
                <w:sz w:val="22"/>
                <w:szCs w:val="22"/>
              </w:rPr>
            </w:pPr>
            <w:r>
              <w:rPr>
                <w:rFonts w:ascii="Arial Narrow" w:hAnsi="Arial Narrow" w:cs="Arial"/>
                <w:sz w:val="22"/>
                <w:szCs w:val="22"/>
              </w:rPr>
              <w:t>1,339</w:t>
            </w:r>
            <w:r w:rsidRPr="00B60325">
              <w:rPr>
                <w:rFonts w:ascii="Arial Narrow" w:hAnsi="Arial Narrow" w:cs="Arial"/>
                <w:sz w:val="22"/>
                <w:szCs w:val="22"/>
              </w:rPr>
              <w:t xml:space="preserve"> </w:t>
            </w:r>
          </w:p>
        </w:tc>
        <w:tc>
          <w:tcPr>
            <w:tcW w:w="810" w:type="dxa"/>
            <w:vAlign w:val="center"/>
          </w:tcPr>
          <w:p w14:paraId="1E1E2341" w14:textId="7DC00003" w:rsidR="0061787F" w:rsidRPr="00882C41" w:rsidRDefault="0061787F" w:rsidP="0061787F">
            <w:pPr>
              <w:jc w:val="right"/>
              <w:rPr>
                <w:rFonts w:ascii="Arial Narrow" w:hAnsi="Arial Narrow" w:cs="Arial"/>
                <w:sz w:val="22"/>
                <w:szCs w:val="22"/>
              </w:rPr>
            </w:pPr>
            <w:r>
              <w:rPr>
                <w:rFonts w:ascii="Arial Narrow" w:hAnsi="Arial Narrow" w:cs="Arial"/>
                <w:sz w:val="22"/>
                <w:szCs w:val="22"/>
              </w:rPr>
              <w:t>35.7</w:t>
            </w:r>
            <w:r w:rsidRPr="00B60325">
              <w:rPr>
                <w:rFonts w:ascii="Arial Narrow" w:hAnsi="Arial Narrow" w:cs="Arial"/>
                <w:sz w:val="22"/>
                <w:szCs w:val="22"/>
              </w:rPr>
              <w:t>%</w:t>
            </w:r>
          </w:p>
        </w:tc>
        <w:tc>
          <w:tcPr>
            <w:tcW w:w="810" w:type="dxa"/>
            <w:vAlign w:val="center"/>
          </w:tcPr>
          <w:p w14:paraId="053B325C" w14:textId="691D7DF4" w:rsidR="0061787F" w:rsidRPr="00882C41" w:rsidRDefault="0061787F" w:rsidP="0061787F">
            <w:pPr>
              <w:jc w:val="center"/>
              <w:rPr>
                <w:rFonts w:ascii="Arial Narrow" w:hAnsi="Arial Narrow" w:cs="Arial"/>
                <w:sz w:val="22"/>
                <w:szCs w:val="22"/>
              </w:rPr>
            </w:pPr>
            <w:r>
              <w:rPr>
                <w:rFonts w:ascii="Arial Narrow" w:hAnsi="Arial Narrow" w:cs="Arial"/>
                <w:sz w:val="22"/>
                <w:szCs w:val="22"/>
              </w:rPr>
              <w:t>1,232</w:t>
            </w:r>
            <w:r w:rsidRPr="00B60325">
              <w:rPr>
                <w:rFonts w:ascii="Arial Narrow" w:hAnsi="Arial Narrow" w:cs="Arial"/>
                <w:sz w:val="22"/>
                <w:szCs w:val="22"/>
              </w:rPr>
              <w:t xml:space="preserve"> </w:t>
            </w:r>
          </w:p>
        </w:tc>
        <w:tc>
          <w:tcPr>
            <w:tcW w:w="810" w:type="dxa"/>
            <w:vAlign w:val="center"/>
          </w:tcPr>
          <w:p w14:paraId="4B079A4F" w14:textId="6771CB7A" w:rsidR="0061787F" w:rsidRPr="00882C41" w:rsidRDefault="0061787F" w:rsidP="0061787F">
            <w:pPr>
              <w:jc w:val="right"/>
              <w:rPr>
                <w:rFonts w:ascii="Arial Narrow" w:hAnsi="Arial Narrow" w:cs="Arial"/>
                <w:sz w:val="22"/>
                <w:szCs w:val="22"/>
              </w:rPr>
            </w:pPr>
            <w:r>
              <w:rPr>
                <w:rFonts w:ascii="Arial Narrow" w:hAnsi="Arial Narrow" w:cs="Arial"/>
                <w:sz w:val="22"/>
                <w:szCs w:val="22"/>
              </w:rPr>
              <w:t>37.4</w:t>
            </w:r>
            <w:r w:rsidRPr="00B60325">
              <w:rPr>
                <w:rFonts w:ascii="Arial Narrow" w:hAnsi="Arial Narrow" w:cs="Arial"/>
                <w:sz w:val="22"/>
                <w:szCs w:val="22"/>
              </w:rPr>
              <w:t>%</w:t>
            </w:r>
          </w:p>
        </w:tc>
        <w:tc>
          <w:tcPr>
            <w:tcW w:w="810" w:type="dxa"/>
            <w:vAlign w:val="center"/>
          </w:tcPr>
          <w:p w14:paraId="7DB7ACF3" w14:textId="461882E2" w:rsidR="0061787F" w:rsidRPr="00882C41" w:rsidRDefault="0061787F" w:rsidP="0061787F">
            <w:pPr>
              <w:jc w:val="right"/>
              <w:rPr>
                <w:rFonts w:ascii="Arial Narrow" w:hAnsi="Arial Narrow" w:cs="Arial"/>
                <w:sz w:val="22"/>
                <w:szCs w:val="22"/>
              </w:rPr>
            </w:pPr>
            <w:r>
              <w:rPr>
                <w:rFonts w:ascii="Arial Narrow" w:hAnsi="Arial Narrow" w:cs="Arial"/>
                <w:sz w:val="22"/>
                <w:szCs w:val="22"/>
              </w:rPr>
              <w:t>1,218</w:t>
            </w:r>
            <w:r w:rsidRPr="00B60325">
              <w:rPr>
                <w:rFonts w:ascii="Arial Narrow" w:hAnsi="Arial Narrow" w:cs="Arial"/>
                <w:sz w:val="22"/>
                <w:szCs w:val="22"/>
              </w:rPr>
              <w:t xml:space="preserve"> </w:t>
            </w:r>
          </w:p>
        </w:tc>
        <w:tc>
          <w:tcPr>
            <w:tcW w:w="813" w:type="dxa"/>
            <w:vAlign w:val="center"/>
          </w:tcPr>
          <w:p w14:paraId="0A72E7D5" w14:textId="0A4C1390" w:rsidR="0061787F" w:rsidRPr="00882C41" w:rsidRDefault="0061787F" w:rsidP="0061787F">
            <w:pPr>
              <w:jc w:val="right"/>
              <w:rPr>
                <w:rFonts w:ascii="Arial Narrow" w:hAnsi="Arial Narrow" w:cs="Arial"/>
                <w:sz w:val="22"/>
                <w:szCs w:val="22"/>
              </w:rPr>
            </w:pPr>
            <w:r>
              <w:rPr>
                <w:rFonts w:ascii="Arial Narrow" w:hAnsi="Arial Narrow" w:cs="Arial"/>
                <w:sz w:val="22"/>
                <w:szCs w:val="22"/>
              </w:rPr>
              <w:t>35.8</w:t>
            </w:r>
            <w:r w:rsidRPr="00B60325">
              <w:rPr>
                <w:rFonts w:ascii="Arial Narrow" w:hAnsi="Arial Narrow" w:cs="Arial"/>
                <w:sz w:val="22"/>
                <w:szCs w:val="22"/>
              </w:rPr>
              <w:t>%</w:t>
            </w:r>
          </w:p>
        </w:tc>
        <w:tc>
          <w:tcPr>
            <w:tcW w:w="810" w:type="dxa"/>
            <w:vAlign w:val="center"/>
          </w:tcPr>
          <w:p w14:paraId="75348C19" w14:textId="78B73AE4" w:rsidR="0061787F" w:rsidRPr="00882C41" w:rsidRDefault="0061787F" w:rsidP="0061787F">
            <w:pPr>
              <w:jc w:val="right"/>
              <w:rPr>
                <w:rFonts w:ascii="Arial Narrow" w:hAnsi="Arial Narrow" w:cs="Arial"/>
                <w:sz w:val="22"/>
                <w:szCs w:val="22"/>
              </w:rPr>
            </w:pPr>
            <w:r>
              <w:rPr>
                <w:rFonts w:ascii="Arial Narrow" w:hAnsi="Arial Narrow" w:cs="Arial"/>
                <w:sz w:val="22"/>
                <w:szCs w:val="22"/>
              </w:rPr>
              <w:t>315</w:t>
            </w:r>
            <w:r w:rsidRPr="00B60325">
              <w:rPr>
                <w:rFonts w:ascii="Arial Narrow" w:hAnsi="Arial Narrow" w:cs="Arial"/>
                <w:sz w:val="22"/>
                <w:szCs w:val="22"/>
              </w:rPr>
              <w:t xml:space="preserve"> </w:t>
            </w:r>
          </w:p>
        </w:tc>
        <w:tc>
          <w:tcPr>
            <w:tcW w:w="812" w:type="dxa"/>
            <w:tcBorders>
              <w:right w:val="single" w:sz="12" w:space="0" w:color="auto"/>
            </w:tcBorders>
            <w:vAlign w:val="center"/>
          </w:tcPr>
          <w:p w14:paraId="7BEFA459" w14:textId="4C477000" w:rsidR="0061787F" w:rsidRPr="00882C41" w:rsidRDefault="0061787F" w:rsidP="0061787F">
            <w:pPr>
              <w:jc w:val="right"/>
              <w:rPr>
                <w:rFonts w:ascii="Arial Narrow" w:hAnsi="Arial Narrow" w:cs="Arial"/>
                <w:sz w:val="22"/>
                <w:szCs w:val="22"/>
              </w:rPr>
            </w:pPr>
            <w:r>
              <w:rPr>
                <w:rFonts w:ascii="Arial Narrow" w:hAnsi="Arial Narrow" w:cs="Arial"/>
                <w:sz w:val="22"/>
                <w:szCs w:val="22"/>
              </w:rPr>
              <w:t>35.2</w:t>
            </w:r>
            <w:r w:rsidRPr="00B60325">
              <w:rPr>
                <w:rFonts w:ascii="Arial Narrow" w:hAnsi="Arial Narrow" w:cs="Arial"/>
                <w:sz w:val="22"/>
                <w:szCs w:val="22"/>
              </w:rPr>
              <w:t>%</w:t>
            </w:r>
          </w:p>
        </w:tc>
      </w:tr>
      <w:tr w:rsidR="0061787F" w:rsidRPr="00B60325" w14:paraId="63EC2E10" w14:textId="77777777" w:rsidTr="00886459">
        <w:trPr>
          <w:gridAfter w:val="1"/>
          <w:wAfter w:w="8" w:type="dxa"/>
          <w:cantSplit/>
          <w:trHeight w:val="144"/>
          <w:jc w:val="center"/>
        </w:trPr>
        <w:tc>
          <w:tcPr>
            <w:tcW w:w="2780" w:type="dxa"/>
            <w:tcBorders>
              <w:left w:val="single" w:sz="12" w:space="0" w:color="auto"/>
            </w:tcBorders>
            <w:vAlign w:val="center"/>
          </w:tcPr>
          <w:p w14:paraId="72596B08" w14:textId="6BA082DE" w:rsidR="0061787F" w:rsidRPr="00882C41" w:rsidRDefault="0061787F" w:rsidP="0061787F">
            <w:pPr>
              <w:rPr>
                <w:rFonts w:ascii="Arial Narrow" w:hAnsi="Arial Narrow" w:cs="Arial"/>
                <w:sz w:val="22"/>
                <w:szCs w:val="22"/>
              </w:rPr>
            </w:pPr>
            <w:r w:rsidRPr="00B60325">
              <w:rPr>
                <w:rFonts w:ascii="Arial Narrow" w:hAnsi="Arial Narrow" w:cs="Arial"/>
                <w:sz w:val="22"/>
                <w:szCs w:val="22"/>
              </w:rPr>
              <w:t>Hispanic/Latino</w:t>
            </w:r>
          </w:p>
        </w:tc>
        <w:tc>
          <w:tcPr>
            <w:tcW w:w="808" w:type="dxa"/>
            <w:vAlign w:val="center"/>
          </w:tcPr>
          <w:p w14:paraId="6B6C146E" w14:textId="577909ED" w:rsidR="0061787F" w:rsidRPr="00882C41" w:rsidRDefault="0061787F" w:rsidP="0061787F">
            <w:pPr>
              <w:jc w:val="right"/>
              <w:rPr>
                <w:rFonts w:ascii="Arial Narrow" w:hAnsi="Arial Narrow" w:cs="Arial"/>
                <w:sz w:val="22"/>
                <w:szCs w:val="22"/>
              </w:rPr>
            </w:pPr>
            <w:r>
              <w:rPr>
                <w:rFonts w:ascii="Arial Narrow" w:hAnsi="Arial Narrow" w:cs="Arial"/>
                <w:sz w:val="22"/>
                <w:szCs w:val="22"/>
              </w:rPr>
              <w:t>273</w:t>
            </w:r>
            <w:r w:rsidRPr="00B60325">
              <w:rPr>
                <w:rFonts w:ascii="Arial Narrow" w:hAnsi="Arial Narrow" w:cs="Arial"/>
                <w:sz w:val="22"/>
                <w:szCs w:val="22"/>
              </w:rPr>
              <w:t xml:space="preserve"> </w:t>
            </w:r>
          </w:p>
        </w:tc>
        <w:tc>
          <w:tcPr>
            <w:tcW w:w="810" w:type="dxa"/>
            <w:vAlign w:val="center"/>
          </w:tcPr>
          <w:p w14:paraId="2C58A9FC" w14:textId="6A1284CC" w:rsidR="0061787F" w:rsidRPr="00882C41" w:rsidRDefault="0061787F" w:rsidP="0061787F">
            <w:pPr>
              <w:jc w:val="right"/>
              <w:rPr>
                <w:rFonts w:ascii="Arial Narrow" w:hAnsi="Arial Narrow" w:cs="Arial"/>
                <w:sz w:val="22"/>
                <w:szCs w:val="22"/>
              </w:rPr>
            </w:pPr>
            <w:r>
              <w:rPr>
                <w:rFonts w:ascii="Arial Narrow" w:hAnsi="Arial Narrow" w:cs="Arial"/>
                <w:sz w:val="22"/>
                <w:szCs w:val="22"/>
              </w:rPr>
              <w:t>7.3</w:t>
            </w:r>
            <w:r w:rsidRPr="00B60325">
              <w:rPr>
                <w:rFonts w:ascii="Arial Narrow" w:hAnsi="Arial Narrow" w:cs="Arial"/>
                <w:sz w:val="22"/>
                <w:szCs w:val="22"/>
              </w:rPr>
              <w:t>%</w:t>
            </w:r>
          </w:p>
        </w:tc>
        <w:tc>
          <w:tcPr>
            <w:tcW w:w="810" w:type="dxa"/>
            <w:vAlign w:val="center"/>
          </w:tcPr>
          <w:p w14:paraId="607E0349" w14:textId="5F49373F" w:rsidR="0061787F" w:rsidRPr="00882C41" w:rsidRDefault="0061787F" w:rsidP="0061787F">
            <w:pPr>
              <w:jc w:val="center"/>
              <w:rPr>
                <w:rFonts w:ascii="Arial Narrow" w:hAnsi="Arial Narrow" w:cs="Arial"/>
                <w:sz w:val="22"/>
                <w:szCs w:val="22"/>
              </w:rPr>
            </w:pPr>
            <w:r>
              <w:rPr>
                <w:rFonts w:ascii="Arial Narrow" w:hAnsi="Arial Narrow" w:cs="Arial"/>
                <w:sz w:val="22"/>
                <w:szCs w:val="22"/>
              </w:rPr>
              <w:t>378</w:t>
            </w:r>
            <w:r w:rsidRPr="00B60325">
              <w:rPr>
                <w:rFonts w:ascii="Arial Narrow" w:hAnsi="Arial Narrow" w:cs="Arial"/>
                <w:sz w:val="22"/>
                <w:szCs w:val="22"/>
              </w:rPr>
              <w:t xml:space="preserve"> </w:t>
            </w:r>
          </w:p>
        </w:tc>
        <w:tc>
          <w:tcPr>
            <w:tcW w:w="810" w:type="dxa"/>
            <w:vAlign w:val="center"/>
          </w:tcPr>
          <w:p w14:paraId="5D50E015" w14:textId="28632199" w:rsidR="0061787F" w:rsidRPr="00882C41" w:rsidRDefault="0061787F" w:rsidP="0061787F">
            <w:pPr>
              <w:jc w:val="right"/>
              <w:rPr>
                <w:rFonts w:ascii="Arial Narrow" w:hAnsi="Arial Narrow" w:cs="Arial"/>
                <w:sz w:val="22"/>
                <w:szCs w:val="22"/>
              </w:rPr>
            </w:pPr>
            <w:r>
              <w:rPr>
                <w:rFonts w:ascii="Arial Narrow" w:hAnsi="Arial Narrow" w:cs="Arial"/>
                <w:sz w:val="22"/>
                <w:szCs w:val="22"/>
              </w:rPr>
              <w:t>11.5</w:t>
            </w:r>
            <w:r w:rsidRPr="00B60325">
              <w:rPr>
                <w:rFonts w:ascii="Arial Narrow" w:hAnsi="Arial Narrow" w:cs="Arial"/>
                <w:sz w:val="22"/>
                <w:szCs w:val="22"/>
              </w:rPr>
              <w:t>%</w:t>
            </w:r>
          </w:p>
        </w:tc>
        <w:tc>
          <w:tcPr>
            <w:tcW w:w="810" w:type="dxa"/>
            <w:vAlign w:val="center"/>
          </w:tcPr>
          <w:p w14:paraId="02B17A4C" w14:textId="47B0793F" w:rsidR="0061787F" w:rsidRPr="00882C41" w:rsidRDefault="0061787F" w:rsidP="0061787F">
            <w:pPr>
              <w:jc w:val="right"/>
              <w:rPr>
                <w:rFonts w:ascii="Arial Narrow" w:hAnsi="Arial Narrow" w:cs="Arial"/>
                <w:sz w:val="22"/>
                <w:szCs w:val="22"/>
              </w:rPr>
            </w:pPr>
            <w:r>
              <w:rPr>
                <w:rFonts w:ascii="Arial Narrow" w:hAnsi="Arial Narrow" w:cs="Arial"/>
                <w:sz w:val="22"/>
                <w:szCs w:val="22"/>
              </w:rPr>
              <w:t>457</w:t>
            </w:r>
            <w:r w:rsidRPr="00B60325">
              <w:rPr>
                <w:rFonts w:ascii="Arial Narrow" w:hAnsi="Arial Narrow" w:cs="Arial"/>
                <w:sz w:val="22"/>
                <w:szCs w:val="22"/>
              </w:rPr>
              <w:t xml:space="preserve"> </w:t>
            </w:r>
          </w:p>
        </w:tc>
        <w:tc>
          <w:tcPr>
            <w:tcW w:w="813" w:type="dxa"/>
            <w:vAlign w:val="center"/>
          </w:tcPr>
          <w:p w14:paraId="6DAD61F7" w14:textId="1C24489B" w:rsidR="0061787F" w:rsidRPr="00882C41" w:rsidRDefault="0061787F" w:rsidP="0061787F">
            <w:pPr>
              <w:jc w:val="right"/>
              <w:rPr>
                <w:rFonts w:ascii="Arial Narrow" w:hAnsi="Arial Narrow" w:cs="Arial"/>
                <w:sz w:val="22"/>
                <w:szCs w:val="22"/>
              </w:rPr>
            </w:pPr>
            <w:r>
              <w:rPr>
                <w:rFonts w:ascii="Arial Narrow" w:hAnsi="Arial Narrow" w:cs="Arial"/>
                <w:sz w:val="22"/>
                <w:szCs w:val="22"/>
              </w:rPr>
              <w:t>13.4</w:t>
            </w:r>
            <w:r w:rsidRPr="00B60325">
              <w:rPr>
                <w:rFonts w:ascii="Arial Narrow" w:hAnsi="Arial Narrow" w:cs="Arial"/>
                <w:sz w:val="22"/>
                <w:szCs w:val="22"/>
              </w:rPr>
              <w:t>%</w:t>
            </w:r>
          </w:p>
        </w:tc>
        <w:tc>
          <w:tcPr>
            <w:tcW w:w="810" w:type="dxa"/>
            <w:vAlign w:val="center"/>
          </w:tcPr>
          <w:p w14:paraId="2F942EF4" w14:textId="67E1FC7B" w:rsidR="0061787F" w:rsidRPr="00882C41" w:rsidRDefault="0061787F" w:rsidP="0061787F">
            <w:pPr>
              <w:jc w:val="right"/>
              <w:rPr>
                <w:rFonts w:ascii="Arial Narrow" w:hAnsi="Arial Narrow" w:cs="Arial"/>
                <w:sz w:val="22"/>
                <w:szCs w:val="22"/>
              </w:rPr>
            </w:pPr>
            <w:r>
              <w:rPr>
                <w:rFonts w:ascii="Arial Narrow" w:hAnsi="Arial Narrow" w:cs="Arial"/>
                <w:sz w:val="22"/>
                <w:szCs w:val="22"/>
              </w:rPr>
              <w:t>116</w:t>
            </w:r>
            <w:r w:rsidRPr="00B60325">
              <w:rPr>
                <w:rFonts w:ascii="Arial Narrow" w:hAnsi="Arial Narrow" w:cs="Arial"/>
                <w:sz w:val="22"/>
                <w:szCs w:val="22"/>
              </w:rPr>
              <w:t xml:space="preserve"> </w:t>
            </w:r>
          </w:p>
        </w:tc>
        <w:tc>
          <w:tcPr>
            <w:tcW w:w="812" w:type="dxa"/>
            <w:tcBorders>
              <w:right w:val="single" w:sz="12" w:space="0" w:color="auto"/>
            </w:tcBorders>
            <w:vAlign w:val="center"/>
          </w:tcPr>
          <w:p w14:paraId="62DA1889" w14:textId="07CB11C9" w:rsidR="0061787F" w:rsidRPr="00882C41" w:rsidRDefault="0061787F" w:rsidP="0061787F">
            <w:pPr>
              <w:jc w:val="right"/>
              <w:rPr>
                <w:rFonts w:ascii="Arial Narrow" w:hAnsi="Arial Narrow" w:cs="Arial"/>
                <w:sz w:val="22"/>
                <w:szCs w:val="22"/>
              </w:rPr>
            </w:pPr>
            <w:r>
              <w:rPr>
                <w:rFonts w:ascii="Arial Narrow" w:hAnsi="Arial Narrow" w:cs="Arial"/>
                <w:sz w:val="22"/>
                <w:szCs w:val="22"/>
              </w:rPr>
              <w:t>13.0</w:t>
            </w:r>
            <w:r w:rsidRPr="00B60325">
              <w:rPr>
                <w:rFonts w:ascii="Arial Narrow" w:hAnsi="Arial Narrow" w:cs="Arial"/>
                <w:sz w:val="22"/>
                <w:szCs w:val="22"/>
              </w:rPr>
              <w:t>%</w:t>
            </w:r>
          </w:p>
        </w:tc>
      </w:tr>
      <w:tr w:rsidR="0061787F" w:rsidRPr="00B60325" w14:paraId="114A2459" w14:textId="77777777" w:rsidTr="00886459">
        <w:trPr>
          <w:gridAfter w:val="1"/>
          <w:wAfter w:w="8" w:type="dxa"/>
          <w:cantSplit/>
          <w:trHeight w:val="144"/>
          <w:jc w:val="center"/>
        </w:trPr>
        <w:tc>
          <w:tcPr>
            <w:tcW w:w="2780" w:type="dxa"/>
            <w:tcBorders>
              <w:left w:val="single" w:sz="12" w:space="0" w:color="auto"/>
            </w:tcBorders>
            <w:vAlign w:val="center"/>
          </w:tcPr>
          <w:p w14:paraId="76B00409" w14:textId="1475EF50" w:rsidR="0061787F" w:rsidRPr="00882C41" w:rsidRDefault="0061787F" w:rsidP="0061787F">
            <w:pPr>
              <w:rPr>
                <w:rFonts w:ascii="Arial Narrow" w:hAnsi="Arial Narrow" w:cs="Arial"/>
                <w:sz w:val="22"/>
                <w:szCs w:val="22"/>
              </w:rPr>
            </w:pPr>
            <w:r w:rsidRPr="00B60325">
              <w:rPr>
                <w:rFonts w:ascii="Arial Narrow" w:hAnsi="Arial Narrow" w:cs="Arial"/>
                <w:sz w:val="22"/>
                <w:szCs w:val="22"/>
              </w:rPr>
              <w:t xml:space="preserve">White/Caucasian </w:t>
            </w:r>
          </w:p>
        </w:tc>
        <w:tc>
          <w:tcPr>
            <w:tcW w:w="808" w:type="dxa"/>
            <w:vAlign w:val="center"/>
          </w:tcPr>
          <w:p w14:paraId="5997C082" w14:textId="13729235" w:rsidR="0061787F" w:rsidRPr="00882C41" w:rsidRDefault="0061787F" w:rsidP="0061787F">
            <w:pPr>
              <w:jc w:val="right"/>
              <w:rPr>
                <w:rFonts w:ascii="Arial Narrow" w:hAnsi="Arial Narrow" w:cs="Arial"/>
                <w:sz w:val="22"/>
                <w:szCs w:val="22"/>
              </w:rPr>
            </w:pPr>
            <w:r>
              <w:rPr>
                <w:rFonts w:ascii="Arial Narrow" w:hAnsi="Arial Narrow" w:cs="Arial"/>
                <w:sz w:val="22"/>
                <w:szCs w:val="22"/>
              </w:rPr>
              <w:t>1,498</w:t>
            </w:r>
            <w:r w:rsidRPr="00B60325">
              <w:rPr>
                <w:rFonts w:ascii="Arial Narrow" w:hAnsi="Arial Narrow" w:cs="Arial"/>
                <w:sz w:val="22"/>
                <w:szCs w:val="22"/>
              </w:rPr>
              <w:t xml:space="preserve"> </w:t>
            </w:r>
          </w:p>
        </w:tc>
        <w:tc>
          <w:tcPr>
            <w:tcW w:w="810" w:type="dxa"/>
            <w:vAlign w:val="center"/>
          </w:tcPr>
          <w:p w14:paraId="2DC12327" w14:textId="4E2046AE" w:rsidR="0061787F" w:rsidRPr="00882C41" w:rsidRDefault="0061787F" w:rsidP="0061787F">
            <w:pPr>
              <w:jc w:val="right"/>
              <w:rPr>
                <w:rFonts w:ascii="Arial Narrow" w:hAnsi="Arial Narrow" w:cs="Arial"/>
                <w:sz w:val="22"/>
                <w:szCs w:val="22"/>
              </w:rPr>
            </w:pPr>
            <w:r>
              <w:rPr>
                <w:rFonts w:ascii="Arial Narrow" w:hAnsi="Arial Narrow" w:cs="Arial"/>
                <w:sz w:val="22"/>
                <w:szCs w:val="22"/>
              </w:rPr>
              <w:t>39.9</w:t>
            </w:r>
            <w:r w:rsidRPr="00B60325">
              <w:rPr>
                <w:rFonts w:ascii="Arial Narrow" w:hAnsi="Arial Narrow" w:cs="Arial"/>
                <w:sz w:val="22"/>
                <w:szCs w:val="22"/>
              </w:rPr>
              <w:t>%</w:t>
            </w:r>
          </w:p>
        </w:tc>
        <w:tc>
          <w:tcPr>
            <w:tcW w:w="810" w:type="dxa"/>
            <w:vAlign w:val="center"/>
          </w:tcPr>
          <w:p w14:paraId="656E6688" w14:textId="22690A4A" w:rsidR="0061787F" w:rsidRPr="00882C41" w:rsidRDefault="0061787F" w:rsidP="0061787F">
            <w:pPr>
              <w:jc w:val="center"/>
              <w:rPr>
                <w:rFonts w:ascii="Arial Narrow" w:hAnsi="Arial Narrow" w:cs="Arial"/>
                <w:sz w:val="22"/>
                <w:szCs w:val="22"/>
              </w:rPr>
            </w:pPr>
            <w:r>
              <w:rPr>
                <w:rFonts w:ascii="Arial Narrow" w:hAnsi="Arial Narrow" w:cs="Arial"/>
                <w:sz w:val="22"/>
                <w:szCs w:val="22"/>
              </w:rPr>
              <w:t>1,212</w:t>
            </w:r>
            <w:r w:rsidRPr="00B60325">
              <w:rPr>
                <w:rFonts w:ascii="Arial Narrow" w:hAnsi="Arial Narrow" w:cs="Arial"/>
                <w:sz w:val="22"/>
                <w:szCs w:val="22"/>
              </w:rPr>
              <w:t xml:space="preserve"> </w:t>
            </w:r>
          </w:p>
        </w:tc>
        <w:tc>
          <w:tcPr>
            <w:tcW w:w="810" w:type="dxa"/>
            <w:vAlign w:val="center"/>
          </w:tcPr>
          <w:p w14:paraId="576067AA" w14:textId="0198B6F8" w:rsidR="0061787F" w:rsidRPr="00882C41" w:rsidRDefault="0061787F" w:rsidP="0061787F">
            <w:pPr>
              <w:jc w:val="right"/>
              <w:rPr>
                <w:rFonts w:ascii="Arial Narrow" w:hAnsi="Arial Narrow" w:cs="Arial"/>
                <w:sz w:val="22"/>
                <w:szCs w:val="22"/>
              </w:rPr>
            </w:pPr>
            <w:r>
              <w:rPr>
                <w:rFonts w:ascii="Arial Narrow" w:hAnsi="Arial Narrow" w:cs="Arial"/>
                <w:sz w:val="22"/>
                <w:szCs w:val="22"/>
              </w:rPr>
              <w:t>36.8</w:t>
            </w:r>
            <w:r w:rsidRPr="00B60325">
              <w:rPr>
                <w:rFonts w:ascii="Arial Narrow" w:hAnsi="Arial Narrow" w:cs="Arial"/>
                <w:sz w:val="22"/>
                <w:szCs w:val="22"/>
              </w:rPr>
              <w:t>%</w:t>
            </w:r>
          </w:p>
        </w:tc>
        <w:tc>
          <w:tcPr>
            <w:tcW w:w="810" w:type="dxa"/>
            <w:vAlign w:val="center"/>
          </w:tcPr>
          <w:p w14:paraId="2875D30E" w14:textId="2BA3899A" w:rsidR="0061787F" w:rsidRPr="00882C41" w:rsidRDefault="0061787F" w:rsidP="0061787F">
            <w:pPr>
              <w:jc w:val="right"/>
              <w:rPr>
                <w:rFonts w:ascii="Arial Narrow" w:hAnsi="Arial Narrow" w:cs="Arial"/>
                <w:sz w:val="22"/>
                <w:szCs w:val="22"/>
              </w:rPr>
            </w:pPr>
            <w:r>
              <w:rPr>
                <w:rFonts w:ascii="Arial Narrow" w:hAnsi="Arial Narrow" w:cs="Arial"/>
                <w:sz w:val="22"/>
                <w:szCs w:val="22"/>
              </w:rPr>
              <w:t>1,254</w:t>
            </w:r>
            <w:r w:rsidRPr="00B60325">
              <w:rPr>
                <w:rFonts w:ascii="Arial Narrow" w:hAnsi="Arial Narrow" w:cs="Arial"/>
                <w:sz w:val="22"/>
                <w:szCs w:val="22"/>
              </w:rPr>
              <w:t xml:space="preserve"> </w:t>
            </w:r>
          </w:p>
        </w:tc>
        <w:tc>
          <w:tcPr>
            <w:tcW w:w="813" w:type="dxa"/>
            <w:vAlign w:val="center"/>
          </w:tcPr>
          <w:p w14:paraId="4B2E81F3" w14:textId="0205E54D" w:rsidR="0061787F" w:rsidRPr="00882C41" w:rsidRDefault="0061787F" w:rsidP="0061787F">
            <w:pPr>
              <w:jc w:val="right"/>
              <w:rPr>
                <w:rFonts w:ascii="Arial Narrow" w:hAnsi="Arial Narrow" w:cs="Arial"/>
                <w:sz w:val="22"/>
                <w:szCs w:val="22"/>
              </w:rPr>
            </w:pPr>
            <w:r>
              <w:rPr>
                <w:rFonts w:ascii="Arial Narrow" w:hAnsi="Arial Narrow" w:cs="Arial"/>
                <w:sz w:val="22"/>
                <w:szCs w:val="22"/>
              </w:rPr>
              <w:t>36.8</w:t>
            </w:r>
            <w:r w:rsidRPr="00B60325">
              <w:rPr>
                <w:rFonts w:ascii="Arial Narrow" w:hAnsi="Arial Narrow" w:cs="Arial"/>
                <w:sz w:val="22"/>
                <w:szCs w:val="22"/>
              </w:rPr>
              <w:t>%</w:t>
            </w:r>
          </w:p>
        </w:tc>
        <w:tc>
          <w:tcPr>
            <w:tcW w:w="810" w:type="dxa"/>
            <w:vAlign w:val="center"/>
          </w:tcPr>
          <w:p w14:paraId="523C1427" w14:textId="568110E6" w:rsidR="0061787F" w:rsidRPr="00882C41" w:rsidRDefault="0061787F" w:rsidP="0061787F">
            <w:pPr>
              <w:jc w:val="right"/>
              <w:rPr>
                <w:rFonts w:ascii="Arial Narrow" w:hAnsi="Arial Narrow" w:cs="Arial"/>
                <w:sz w:val="22"/>
                <w:szCs w:val="22"/>
              </w:rPr>
            </w:pPr>
            <w:r>
              <w:rPr>
                <w:rFonts w:ascii="Arial Narrow" w:hAnsi="Arial Narrow" w:cs="Arial"/>
                <w:sz w:val="22"/>
                <w:szCs w:val="22"/>
              </w:rPr>
              <w:t>348</w:t>
            </w:r>
            <w:r w:rsidRPr="00B60325">
              <w:rPr>
                <w:rFonts w:ascii="Arial Narrow" w:hAnsi="Arial Narrow" w:cs="Arial"/>
                <w:sz w:val="22"/>
                <w:szCs w:val="22"/>
              </w:rPr>
              <w:t xml:space="preserve"> </w:t>
            </w:r>
          </w:p>
        </w:tc>
        <w:tc>
          <w:tcPr>
            <w:tcW w:w="812" w:type="dxa"/>
            <w:tcBorders>
              <w:right w:val="single" w:sz="12" w:space="0" w:color="auto"/>
            </w:tcBorders>
            <w:vAlign w:val="center"/>
          </w:tcPr>
          <w:p w14:paraId="65DE03F1" w14:textId="29D61F0F" w:rsidR="0061787F" w:rsidRPr="00882C41" w:rsidRDefault="0061787F" w:rsidP="0061787F">
            <w:pPr>
              <w:jc w:val="right"/>
              <w:rPr>
                <w:rFonts w:ascii="Arial Narrow" w:hAnsi="Arial Narrow" w:cs="Arial"/>
                <w:sz w:val="22"/>
                <w:szCs w:val="22"/>
              </w:rPr>
            </w:pPr>
            <w:r>
              <w:rPr>
                <w:rFonts w:ascii="Arial Narrow" w:hAnsi="Arial Narrow" w:cs="Arial"/>
                <w:sz w:val="22"/>
                <w:szCs w:val="22"/>
              </w:rPr>
              <w:t>38.9</w:t>
            </w:r>
            <w:r w:rsidRPr="00B60325">
              <w:rPr>
                <w:rFonts w:ascii="Arial Narrow" w:hAnsi="Arial Narrow" w:cs="Arial"/>
                <w:sz w:val="22"/>
                <w:szCs w:val="22"/>
              </w:rPr>
              <w:t>%</w:t>
            </w:r>
          </w:p>
        </w:tc>
      </w:tr>
      <w:tr w:rsidR="0061787F" w:rsidRPr="00B60325" w14:paraId="7E659E3C" w14:textId="77777777" w:rsidTr="00886459">
        <w:trPr>
          <w:gridAfter w:val="1"/>
          <w:wAfter w:w="8" w:type="dxa"/>
          <w:cantSplit/>
          <w:trHeight w:val="144"/>
          <w:jc w:val="center"/>
        </w:trPr>
        <w:tc>
          <w:tcPr>
            <w:tcW w:w="2780" w:type="dxa"/>
            <w:tcBorders>
              <w:left w:val="single" w:sz="12" w:space="0" w:color="auto"/>
              <w:bottom w:val="single" w:sz="12" w:space="0" w:color="auto"/>
            </w:tcBorders>
            <w:vAlign w:val="center"/>
          </w:tcPr>
          <w:p w14:paraId="5221B317" w14:textId="4B49D341" w:rsidR="0061787F" w:rsidRPr="00882C41" w:rsidRDefault="0061787F" w:rsidP="0061787F">
            <w:pPr>
              <w:rPr>
                <w:rFonts w:ascii="Arial Narrow" w:hAnsi="Arial Narrow" w:cs="Arial"/>
                <w:sz w:val="22"/>
                <w:szCs w:val="22"/>
              </w:rPr>
            </w:pPr>
            <w:r w:rsidRPr="00B60325">
              <w:rPr>
                <w:rFonts w:ascii="Arial Narrow" w:hAnsi="Arial Narrow" w:cs="Arial"/>
                <w:sz w:val="22"/>
                <w:szCs w:val="22"/>
              </w:rPr>
              <w:t>Other</w:t>
            </w:r>
            <w:r w:rsidR="00FB167B">
              <w:rPr>
                <w:rFonts w:ascii="ZWAdobeF" w:hAnsi="ZWAdobeF" w:cs="ZWAdobeF"/>
                <w:sz w:val="2"/>
                <w:szCs w:val="2"/>
              </w:rPr>
              <w:t>16F</w:t>
            </w:r>
            <w:r w:rsidRPr="00B60325">
              <w:rPr>
                <w:rStyle w:val="FootnoteReference"/>
                <w:rFonts w:ascii="Arial Narrow" w:hAnsi="Arial Narrow" w:cs="Arial"/>
                <w:sz w:val="22"/>
                <w:szCs w:val="22"/>
              </w:rPr>
              <w:footnoteReference w:id="17"/>
            </w:r>
          </w:p>
        </w:tc>
        <w:tc>
          <w:tcPr>
            <w:tcW w:w="808" w:type="dxa"/>
            <w:tcBorders>
              <w:bottom w:val="single" w:sz="12" w:space="0" w:color="auto"/>
            </w:tcBorders>
            <w:vAlign w:val="center"/>
          </w:tcPr>
          <w:p w14:paraId="71E06912" w14:textId="5585CA5F" w:rsidR="0061787F" w:rsidRPr="00882C41" w:rsidRDefault="0061787F" w:rsidP="0061787F">
            <w:pPr>
              <w:jc w:val="right"/>
              <w:rPr>
                <w:rFonts w:ascii="Arial Narrow" w:hAnsi="Arial Narrow" w:cs="Arial"/>
                <w:sz w:val="22"/>
                <w:szCs w:val="22"/>
              </w:rPr>
            </w:pPr>
            <w:r>
              <w:rPr>
                <w:rFonts w:ascii="Arial Narrow" w:hAnsi="Arial Narrow" w:cs="Arial"/>
                <w:sz w:val="22"/>
                <w:szCs w:val="22"/>
              </w:rPr>
              <w:t>532</w:t>
            </w:r>
            <w:r w:rsidRPr="00B60325">
              <w:rPr>
                <w:rFonts w:ascii="Arial Narrow" w:hAnsi="Arial Narrow" w:cs="Arial"/>
                <w:sz w:val="22"/>
                <w:szCs w:val="22"/>
              </w:rPr>
              <w:t xml:space="preserve"> </w:t>
            </w:r>
          </w:p>
        </w:tc>
        <w:tc>
          <w:tcPr>
            <w:tcW w:w="810" w:type="dxa"/>
            <w:tcBorders>
              <w:bottom w:val="single" w:sz="12" w:space="0" w:color="auto"/>
            </w:tcBorders>
            <w:vAlign w:val="center"/>
          </w:tcPr>
          <w:p w14:paraId="492BD113" w14:textId="1D684F17" w:rsidR="0061787F" w:rsidRPr="00882C41" w:rsidRDefault="0061787F" w:rsidP="0061787F">
            <w:pPr>
              <w:jc w:val="right"/>
              <w:rPr>
                <w:rFonts w:ascii="Arial Narrow" w:hAnsi="Arial Narrow" w:cs="Arial"/>
                <w:sz w:val="22"/>
                <w:szCs w:val="22"/>
              </w:rPr>
            </w:pPr>
            <w:r>
              <w:rPr>
                <w:rFonts w:ascii="Arial Narrow" w:hAnsi="Arial Narrow" w:cs="Arial"/>
                <w:sz w:val="22"/>
                <w:szCs w:val="22"/>
              </w:rPr>
              <w:t>14.2</w:t>
            </w:r>
            <w:r w:rsidRPr="00B60325">
              <w:rPr>
                <w:rFonts w:ascii="Arial Narrow" w:hAnsi="Arial Narrow" w:cs="Arial"/>
                <w:sz w:val="22"/>
                <w:szCs w:val="22"/>
              </w:rPr>
              <w:t>%</w:t>
            </w:r>
          </w:p>
        </w:tc>
        <w:tc>
          <w:tcPr>
            <w:tcW w:w="810" w:type="dxa"/>
            <w:tcBorders>
              <w:bottom w:val="single" w:sz="12" w:space="0" w:color="auto"/>
            </w:tcBorders>
            <w:vAlign w:val="center"/>
          </w:tcPr>
          <w:p w14:paraId="3100915B" w14:textId="638149DB" w:rsidR="0061787F" w:rsidRPr="00882C41" w:rsidRDefault="0061787F" w:rsidP="0061787F">
            <w:pPr>
              <w:jc w:val="right"/>
              <w:rPr>
                <w:rFonts w:ascii="Arial Narrow" w:hAnsi="Arial Narrow" w:cs="Arial"/>
                <w:sz w:val="22"/>
                <w:szCs w:val="22"/>
              </w:rPr>
            </w:pPr>
            <w:r>
              <w:rPr>
                <w:rFonts w:ascii="Arial Narrow" w:hAnsi="Arial Narrow" w:cs="Arial"/>
                <w:sz w:val="22"/>
                <w:szCs w:val="22"/>
              </w:rPr>
              <w:t>376</w:t>
            </w:r>
            <w:r w:rsidRPr="00B60325">
              <w:rPr>
                <w:rFonts w:ascii="Arial Narrow" w:hAnsi="Arial Narrow" w:cs="Arial"/>
                <w:sz w:val="22"/>
                <w:szCs w:val="22"/>
              </w:rPr>
              <w:t xml:space="preserve"> </w:t>
            </w:r>
          </w:p>
        </w:tc>
        <w:tc>
          <w:tcPr>
            <w:tcW w:w="810" w:type="dxa"/>
            <w:tcBorders>
              <w:bottom w:val="single" w:sz="12" w:space="0" w:color="auto"/>
            </w:tcBorders>
            <w:vAlign w:val="center"/>
          </w:tcPr>
          <w:p w14:paraId="7DD52686" w14:textId="4D1D837C" w:rsidR="0061787F" w:rsidRPr="00882C41" w:rsidRDefault="0061787F" w:rsidP="0061787F">
            <w:pPr>
              <w:jc w:val="right"/>
              <w:rPr>
                <w:rFonts w:ascii="Arial Narrow" w:hAnsi="Arial Narrow" w:cs="Arial"/>
                <w:sz w:val="22"/>
                <w:szCs w:val="22"/>
              </w:rPr>
            </w:pPr>
            <w:r>
              <w:rPr>
                <w:rFonts w:ascii="Arial Narrow" w:hAnsi="Arial Narrow" w:cs="Arial"/>
                <w:sz w:val="22"/>
                <w:szCs w:val="22"/>
              </w:rPr>
              <w:t>11.4</w:t>
            </w:r>
            <w:r w:rsidRPr="00B60325">
              <w:rPr>
                <w:rFonts w:ascii="Arial Narrow" w:hAnsi="Arial Narrow" w:cs="Arial"/>
                <w:sz w:val="22"/>
                <w:szCs w:val="22"/>
              </w:rPr>
              <w:t>%</w:t>
            </w:r>
          </w:p>
        </w:tc>
        <w:tc>
          <w:tcPr>
            <w:tcW w:w="810" w:type="dxa"/>
            <w:tcBorders>
              <w:bottom w:val="single" w:sz="12" w:space="0" w:color="auto"/>
            </w:tcBorders>
            <w:vAlign w:val="center"/>
          </w:tcPr>
          <w:p w14:paraId="7533D40B" w14:textId="32AE28B1" w:rsidR="0061787F" w:rsidRPr="00882C41" w:rsidRDefault="0061787F" w:rsidP="0061787F">
            <w:pPr>
              <w:jc w:val="right"/>
              <w:rPr>
                <w:rFonts w:ascii="Arial Narrow" w:hAnsi="Arial Narrow" w:cs="Arial"/>
                <w:sz w:val="22"/>
                <w:szCs w:val="22"/>
              </w:rPr>
            </w:pPr>
            <w:r>
              <w:rPr>
                <w:rFonts w:ascii="Arial Narrow" w:hAnsi="Arial Narrow" w:cs="Arial"/>
                <w:sz w:val="22"/>
                <w:szCs w:val="22"/>
              </w:rPr>
              <w:t>355</w:t>
            </w:r>
            <w:r w:rsidRPr="00B60325">
              <w:rPr>
                <w:rFonts w:ascii="Arial Narrow" w:hAnsi="Arial Narrow" w:cs="Arial"/>
                <w:sz w:val="22"/>
                <w:szCs w:val="22"/>
              </w:rPr>
              <w:t xml:space="preserve"> </w:t>
            </w:r>
          </w:p>
        </w:tc>
        <w:tc>
          <w:tcPr>
            <w:tcW w:w="813" w:type="dxa"/>
            <w:tcBorders>
              <w:bottom w:val="single" w:sz="12" w:space="0" w:color="auto"/>
            </w:tcBorders>
            <w:vAlign w:val="center"/>
          </w:tcPr>
          <w:p w14:paraId="605AA374" w14:textId="02BDFCFE" w:rsidR="0061787F" w:rsidRPr="00882C41" w:rsidRDefault="0061787F" w:rsidP="0061787F">
            <w:pPr>
              <w:jc w:val="right"/>
              <w:rPr>
                <w:rFonts w:ascii="Arial Narrow" w:hAnsi="Arial Narrow" w:cs="Arial"/>
                <w:sz w:val="22"/>
                <w:szCs w:val="22"/>
              </w:rPr>
            </w:pPr>
            <w:r>
              <w:rPr>
                <w:rFonts w:ascii="Arial Narrow" w:hAnsi="Arial Narrow" w:cs="Arial"/>
                <w:sz w:val="22"/>
                <w:szCs w:val="22"/>
              </w:rPr>
              <w:t>10.4</w:t>
            </w:r>
            <w:r w:rsidRPr="00B60325">
              <w:rPr>
                <w:rFonts w:ascii="Arial Narrow" w:hAnsi="Arial Narrow" w:cs="Arial"/>
                <w:sz w:val="22"/>
                <w:szCs w:val="22"/>
              </w:rPr>
              <w:t>%</w:t>
            </w:r>
          </w:p>
        </w:tc>
        <w:tc>
          <w:tcPr>
            <w:tcW w:w="810" w:type="dxa"/>
            <w:tcBorders>
              <w:bottom w:val="single" w:sz="12" w:space="0" w:color="auto"/>
            </w:tcBorders>
            <w:vAlign w:val="center"/>
          </w:tcPr>
          <w:p w14:paraId="103D83EB" w14:textId="71846449" w:rsidR="0061787F" w:rsidRPr="00882C41" w:rsidRDefault="0061787F" w:rsidP="0061787F">
            <w:pPr>
              <w:jc w:val="right"/>
              <w:rPr>
                <w:rFonts w:ascii="Arial Narrow" w:hAnsi="Arial Narrow" w:cs="Arial"/>
                <w:sz w:val="22"/>
                <w:szCs w:val="22"/>
              </w:rPr>
            </w:pPr>
            <w:r>
              <w:rPr>
                <w:rFonts w:ascii="Arial Narrow" w:hAnsi="Arial Narrow" w:cs="Arial"/>
                <w:sz w:val="22"/>
                <w:szCs w:val="22"/>
              </w:rPr>
              <w:t>83</w:t>
            </w:r>
            <w:r w:rsidRPr="00B60325">
              <w:rPr>
                <w:rFonts w:ascii="Arial Narrow" w:hAnsi="Arial Narrow" w:cs="Arial"/>
                <w:sz w:val="22"/>
                <w:szCs w:val="22"/>
              </w:rPr>
              <w:t xml:space="preserve"> </w:t>
            </w:r>
          </w:p>
        </w:tc>
        <w:tc>
          <w:tcPr>
            <w:tcW w:w="812" w:type="dxa"/>
            <w:tcBorders>
              <w:bottom w:val="single" w:sz="12" w:space="0" w:color="auto"/>
              <w:right w:val="single" w:sz="12" w:space="0" w:color="auto"/>
            </w:tcBorders>
            <w:vAlign w:val="center"/>
          </w:tcPr>
          <w:p w14:paraId="22FA7BA1" w14:textId="7BAB9A17" w:rsidR="0061787F" w:rsidRPr="00882C41" w:rsidRDefault="0061787F" w:rsidP="0061787F">
            <w:pPr>
              <w:jc w:val="right"/>
              <w:rPr>
                <w:rFonts w:ascii="Arial Narrow" w:hAnsi="Arial Narrow" w:cs="Arial"/>
                <w:sz w:val="22"/>
                <w:szCs w:val="22"/>
              </w:rPr>
            </w:pPr>
            <w:r>
              <w:rPr>
                <w:rFonts w:ascii="Arial Narrow" w:hAnsi="Arial Narrow" w:cs="Arial"/>
                <w:sz w:val="22"/>
                <w:szCs w:val="22"/>
              </w:rPr>
              <w:t>9.3</w:t>
            </w:r>
            <w:r w:rsidRPr="00B60325">
              <w:rPr>
                <w:rFonts w:ascii="Arial Narrow" w:hAnsi="Arial Narrow" w:cs="Arial"/>
                <w:sz w:val="22"/>
                <w:szCs w:val="22"/>
              </w:rPr>
              <w:t>%</w:t>
            </w:r>
          </w:p>
        </w:tc>
      </w:tr>
    </w:tbl>
    <w:p w14:paraId="79B61325" w14:textId="77777777" w:rsidR="005E67A0" w:rsidRDefault="005E67A0" w:rsidP="005816F3">
      <w:pPr>
        <w:pStyle w:val="NormalWeb"/>
        <w:spacing w:before="0" w:beforeAutospacing="0" w:after="0" w:afterAutospacing="0"/>
        <w:jc w:val="both"/>
        <w:rPr>
          <w:rFonts w:ascii="Arial" w:hAnsi="Arial" w:cs="Arial"/>
          <w:i/>
          <w:iCs/>
          <w:sz w:val="22"/>
          <w:szCs w:val="22"/>
          <w:u w:val="single"/>
        </w:rPr>
      </w:pPr>
    </w:p>
    <w:p w14:paraId="1498D7A9" w14:textId="18D649E4" w:rsidR="00B60325" w:rsidRDefault="005E67A0" w:rsidP="005816F3">
      <w:pPr>
        <w:pStyle w:val="NormalWeb"/>
        <w:spacing w:before="0" w:beforeAutospacing="0" w:after="0" w:afterAutospacing="0"/>
        <w:jc w:val="both"/>
        <w:rPr>
          <w:rFonts w:ascii="Arial" w:hAnsi="Arial" w:cs="Arial"/>
          <w:sz w:val="22"/>
          <w:szCs w:val="22"/>
        </w:rPr>
      </w:pPr>
      <w:r>
        <w:rPr>
          <w:rFonts w:ascii="ArialMT" w:hAnsi="ArialMT"/>
          <w:sz w:val="22"/>
          <w:szCs w:val="22"/>
        </w:rPr>
        <w:t xml:space="preserve">Finally, geographic origin demographics </w:t>
      </w:r>
      <w:r w:rsidR="00757DE1">
        <w:rPr>
          <w:rFonts w:ascii="ArialMT" w:hAnsi="ArialMT"/>
          <w:sz w:val="22"/>
          <w:szCs w:val="22"/>
        </w:rPr>
        <w:t>in Table 6 indicate</w:t>
      </w:r>
      <w:r>
        <w:rPr>
          <w:rFonts w:ascii="ArialMT" w:hAnsi="ArialMT"/>
          <w:sz w:val="22"/>
          <w:szCs w:val="22"/>
        </w:rPr>
        <w:t xml:space="preserve"> that BMC’s medical/surgical and ICU patients mainly reside in the Boston/Greater Boston area, similar to the Hospital’s panel overall.</w:t>
      </w:r>
      <w:r w:rsidR="00FD2753">
        <w:rPr>
          <w:rFonts w:ascii="ArialMT" w:hAnsi="ArialMT"/>
          <w:sz w:val="22"/>
          <w:szCs w:val="22"/>
        </w:rPr>
        <w:t xml:space="preserve"> </w:t>
      </w:r>
    </w:p>
    <w:p w14:paraId="2E780197" w14:textId="77777777" w:rsidR="00E013A4" w:rsidRDefault="00E013A4" w:rsidP="005816F3">
      <w:pPr>
        <w:pStyle w:val="NormalWeb"/>
        <w:spacing w:before="0" w:beforeAutospacing="0" w:after="0" w:afterAutospacing="0"/>
        <w:jc w:val="both"/>
        <w:rPr>
          <w:rFonts w:ascii="Arial Narrow" w:hAnsi="Arial Narrow" w:cs="Arial"/>
          <w:b/>
          <w:bCs/>
          <w:sz w:val="22"/>
          <w:szCs w:val="22"/>
        </w:rPr>
      </w:pPr>
    </w:p>
    <w:p w14:paraId="1E404BA9" w14:textId="50783437" w:rsidR="005E67A0" w:rsidRDefault="00E013A4" w:rsidP="005816F3">
      <w:pPr>
        <w:pStyle w:val="NormalWeb"/>
        <w:spacing w:before="0" w:beforeAutospacing="0" w:after="0" w:afterAutospacing="0"/>
        <w:jc w:val="both"/>
        <w:rPr>
          <w:rFonts w:ascii="Arial" w:hAnsi="Arial" w:cs="Arial"/>
          <w:sz w:val="22"/>
          <w:szCs w:val="22"/>
        </w:rPr>
      </w:pPr>
      <w:r w:rsidRPr="00E013A4">
        <w:rPr>
          <w:rFonts w:ascii="Arial Narrow" w:hAnsi="Arial Narrow" w:cs="Arial"/>
          <w:b/>
          <w:bCs/>
          <w:sz w:val="22"/>
          <w:szCs w:val="22"/>
        </w:rPr>
        <w:t>Table 6: BMC Medical/Surgical and ICU Patient Panel Demographics – Geographic Origin</w:t>
      </w:r>
    </w:p>
    <w:tbl>
      <w:tblPr>
        <w:tblStyle w:val="TableGrid"/>
        <w:tblW w:w="9271" w:type="dxa"/>
        <w:jc w:val="center"/>
        <w:tblLook w:val="04A0" w:firstRow="1" w:lastRow="0" w:firstColumn="1" w:lastColumn="0" w:noHBand="0" w:noVBand="1"/>
      </w:tblPr>
      <w:tblGrid>
        <w:gridCol w:w="2780"/>
        <w:gridCol w:w="808"/>
        <w:gridCol w:w="810"/>
        <w:gridCol w:w="810"/>
        <w:gridCol w:w="810"/>
        <w:gridCol w:w="810"/>
        <w:gridCol w:w="813"/>
        <w:gridCol w:w="810"/>
        <w:gridCol w:w="812"/>
        <w:gridCol w:w="8"/>
      </w:tblGrid>
      <w:tr w:rsidR="00FD2753" w:rsidRPr="00B60325" w14:paraId="14854FD2" w14:textId="77777777" w:rsidTr="00E013A4">
        <w:trPr>
          <w:cantSplit/>
          <w:trHeight w:val="20"/>
          <w:tblHeader/>
          <w:jc w:val="center"/>
        </w:trPr>
        <w:tc>
          <w:tcPr>
            <w:tcW w:w="2780" w:type="dxa"/>
            <w:vMerge w:val="restart"/>
            <w:tcBorders>
              <w:top w:val="single" w:sz="12" w:space="0" w:color="auto"/>
              <w:left w:val="single" w:sz="12" w:space="0" w:color="auto"/>
            </w:tcBorders>
            <w:shd w:val="clear" w:color="auto" w:fill="8DA9DB"/>
            <w:vAlign w:val="center"/>
          </w:tcPr>
          <w:p w14:paraId="151C250D" w14:textId="77777777" w:rsidR="00FD2753" w:rsidRPr="00B60325" w:rsidRDefault="00FD2753" w:rsidP="00963E14">
            <w:pPr>
              <w:rPr>
                <w:rFonts w:ascii="Arial Narrow" w:hAnsi="Arial Narrow" w:cs="Arial"/>
                <w:b/>
                <w:bCs/>
                <w:sz w:val="22"/>
                <w:szCs w:val="22"/>
              </w:rPr>
            </w:pPr>
          </w:p>
        </w:tc>
        <w:tc>
          <w:tcPr>
            <w:tcW w:w="1618" w:type="dxa"/>
            <w:gridSpan w:val="2"/>
            <w:tcBorders>
              <w:top w:val="single" w:sz="12" w:space="0" w:color="auto"/>
            </w:tcBorders>
            <w:shd w:val="clear" w:color="auto" w:fill="8DA9DB"/>
            <w:vAlign w:val="center"/>
          </w:tcPr>
          <w:p w14:paraId="73C62761" w14:textId="0A4C735A"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color w:val="000000"/>
                <w:sz w:val="22"/>
                <w:szCs w:val="22"/>
              </w:rPr>
              <w:t>FY19</w:t>
            </w:r>
          </w:p>
        </w:tc>
        <w:tc>
          <w:tcPr>
            <w:tcW w:w="1620" w:type="dxa"/>
            <w:gridSpan w:val="2"/>
            <w:tcBorders>
              <w:top w:val="single" w:sz="12" w:space="0" w:color="auto"/>
            </w:tcBorders>
            <w:shd w:val="clear" w:color="auto" w:fill="8DA9DB"/>
            <w:vAlign w:val="center"/>
          </w:tcPr>
          <w:p w14:paraId="13E1B545" w14:textId="2E264BBD"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color w:val="000000"/>
                <w:sz w:val="22"/>
                <w:szCs w:val="22"/>
              </w:rPr>
              <w:t>FY20</w:t>
            </w:r>
          </w:p>
        </w:tc>
        <w:tc>
          <w:tcPr>
            <w:tcW w:w="1623" w:type="dxa"/>
            <w:gridSpan w:val="2"/>
            <w:tcBorders>
              <w:top w:val="single" w:sz="12" w:space="0" w:color="auto"/>
            </w:tcBorders>
            <w:shd w:val="clear" w:color="auto" w:fill="8DA9DB"/>
            <w:vAlign w:val="center"/>
          </w:tcPr>
          <w:p w14:paraId="54F3C373" w14:textId="2FA564FF"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color w:val="000000"/>
                <w:sz w:val="22"/>
                <w:szCs w:val="22"/>
              </w:rPr>
              <w:t>FY21</w:t>
            </w:r>
          </w:p>
        </w:tc>
        <w:tc>
          <w:tcPr>
            <w:tcW w:w="1630" w:type="dxa"/>
            <w:gridSpan w:val="3"/>
            <w:tcBorders>
              <w:top w:val="single" w:sz="12" w:space="0" w:color="auto"/>
              <w:right w:val="single" w:sz="12" w:space="0" w:color="auto"/>
            </w:tcBorders>
            <w:shd w:val="clear" w:color="auto" w:fill="8DA9DB"/>
            <w:vAlign w:val="center"/>
          </w:tcPr>
          <w:p w14:paraId="269DF323" w14:textId="61EE4903"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color w:val="000000"/>
                <w:sz w:val="22"/>
                <w:szCs w:val="22"/>
              </w:rPr>
              <w:t>FY22 YTD</w:t>
            </w:r>
          </w:p>
        </w:tc>
      </w:tr>
      <w:tr w:rsidR="00FD2753" w:rsidRPr="00B60325" w14:paraId="7A8892FD" w14:textId="77777777" w:rsidTr="00E013A4">
        <w:trPr>
          <w:gridAfter w:val="1"/>
          <w:wAfter w:w="8" w:type="dxa"/>
          <w:cantSplit/>
          <w:trHeight w:val="20"/>
          <w:tblHeader/>
          <w:jc w:val="center"/>
        </w:trPr>
        <w:tc>
          <w:tcPr>
            <w:tcW w:w="2780" w:type="dxa"/>
            <w:vMerge/>
            <w:tcBorders>
              <w:left w:val="single" w:sz="12" w:space="0" w:color="auto"/>
              <w:bottom w:val="single" w:sz="12" w:space="0" w:color="auto"/>
            </w:tcBorders>
            <w:shd w:val="clear" w:color="auto" w:fill="8DA9DB"/>
          </w:tcPr>
          <w:p w14:paraId="5953F76A" w14:textId="77777777" w:rsidR="00FD2753" w:rsidRPr="00B60325" w:rsidRDefault="00FD2753" w:rsidP="00963E14">
            <w:pPr>
              <w:rPr>
                <w:rFonts w:ascii="Arial Narrow" w:hAnsi="Arial Narrow" w:cs="Arial"/>
                <w:b/>
                <w:bCs/>
                <w:sz w:val="22"/>
                <w:szCs w:val="22"/>
              </w:rPr>
            </w:pPr>
          </w:p>
        </w:tc>
        <w:tc>
          <w:tcPr>
            <w:tcW w:w="808" w:type="dxa"/>
            <w:tcBorders>
              <w:bottom w:val="single" w:sz="12" w:space="0" w:color="auto"/>
            </w:tcBorders>
            <w:shd w:val="clear" w:color="auto" w:fill="8DA9DB"/>
            <w:vAlign w:val="center"/>
          </w:tcPr>
          <w:p w14:paraId="05478C55"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24DF3ECB"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2378C824"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0" w:type="dxa"/>
            <w:tcBorders>
              <w:bottom w:val="single" w:sz="12" w:space="0" w:color="auto"/>
            </w:tcBorders>
            <w:shd w:val="clear" w:color="auto" w:fill="8DA9DB"/>
            <w:vAlign w:val="center"/>
          </w:tcPr>
          <w:p w14:paraId="6BA2D11C"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603D1CAD"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3" w:type="dxa"/>
            <w:tcBorders>
              <w:bottom w:val="single" w:sz="12" w:space="0" w:color="auto"/>
            </w:tcBorders>
            <w:shd w:val="clear" w:color="auto" w:fill="8DA9DB"/>
            <w:vAlign w:val="center"/>
          </w:tcPr>
          <w:p w14:paraId="2381FC48"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w:t>
            </w:r>
          </w:p>
        </w:tc>
        <w:tc>
          <w:tcPr>
            <w:tcW w:w="810" w:type="dxa"/>
            <w:tcBorders>
              <w:bottom w:val="single" w:sz="12" w:space="0" w:color="auto"/>
            </w:tcBorders>
            <w:shd w:val="clear" w:color="auto" w:fill="8DA9DB"/>
            <w:vAlign w:val="center"/>
          </w:tcPr>
          <w:p w14:paraId="4CB80B0E"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Count</w:t>
            </w:r>
          </w:p>
        </w:tc>
        <w:tc>
          <w:tcPr>
            <w:tcW w:w="812" w:type="dxa"/>
            <w:tcBorders>
              <w:bottom w:val="single" w:sz="12" w:space="0" w:color="auto"/>
              <w:right w:val="single" w:sz="12" w:space="0" w:color="auto"/>
            </w:tcBorders>
            <w:shd w:val="clear" w:color="auto" w:fill="8DA9DB"/>
            <w:vAlign w:val="center"/>
          </w:tcPr>
          <w:p w14:paraId="4B8CFB11" w14:textId="77777777" w:rsidR="00FD2753" w:rsidRPr="00B60325" w:rsidRDefault="00FD2753" w:rsidP="00963E14">
            <w:pPr>
              <w:jc w:val="center"/>
              <w:rPr>
                <w:rFonts w:ascii="Arial Narrow" w:hAnsi="Arial Narrow" w:cs="Arial"/>
                <w:b/>
                <w:bCs/>
                <w:sz w:val="22"/>
                <w:szCs w:val="22"/>
              </w:rPr>
            </w:pPr>
            <w:r w:rsidRPr="00B60325">
              <w:rPr>
                <w:rFonts w:ascii="Arial Narrow" w:hAnsi="Arial Narrow" w:cs="Arial"/>
                <w:b/>
                <w:bCs/>
                <w:sz w:val="22"/>
                <w:szCs w:val="22"/>
              </w:rPr>
              <w:t>%</w:t>
            </w:r>
          </w:p>
        </w:tc>
      </w:tr>
      <w:tr w:rsidR="00FD2753" w:rsidRPr="00B60325" w14:paraId="766E6AA3" w14:textId="77777777" w:rsidTr="00E013A4">
        <w:trPr>
          <w:gridAfter w:val="1"/>
          <w:wAfter w:w="8" w:type="dxa"/>
          <w:cantSplit/>
          <w:trHeight w:val="20"/>
          <w:jc w:val="center"/>
        </w:trPr>
        <w:tc>
          <w:tcPr>
            <w:tcW w:w="2780" w:type="dxa"/>
            <w:tcBorders>
              <w:top w:val="single" w:sz="12" w:space="0" w:color="auto"/>
              <w:left w:val="single" w:sz="12" w:space="0" w:color="auto"/>
            </w:tcBorders>
            <w:shd w:val="clear" w:color="auto" w:fill="BFBFBF"/>
            <w:vAlign w:val="center"/>
          </w:tcPr>
          <w:p w14:paraId="647BEF9D" w14:textId="6A3A54C7" w:rsidR="00FD2753" w:rsidRPr="00B60325" w:rsidRDefault="00FD2753" w:rsidP="00963E14">
            <w:pPr>
              <w:rPr>
                <w:rFonts w:ascii="Arial Narrow" w:hAnsi="Arial Narrow" w:cs="Arial"/>
                <w:sz w:val="22"/>
                <w:szCs w:val="22"/>
              </w:rPr>
            </w:pPr>
            <w:r w:rsidRPr="00B60325">
              <w:rPr>
                <w:rFonts w:ascii="Arial Narrow" w:hAnsi="Arial Narrow" w:cs="Arial"/>
                <w:b/>
                <w:bCs/>
                <w:sz w:val="22"/>
                <w:szCs w:val="22"/>
              </w:rPr>
              <w:t xml:space="preserve">Total </w:t>
            </w:r>
            <w:r w:rsidRPr="00520363">
              <w:rPr>
                <w:rFonts w:ascii="Arial Narrow" w:hAnsi="Arial Narrow" w:cs="Arial"/>
                <w:b/>
                <w:bCs/>
                <w:sz w:val="22"/>
                <w:szCs w:val="22"/>
              </w:rPr>
              <w:t>Unique M/S Patients</w:t>
            </w:r>
            <w:r w:rsidR="00FB167B">
              <w:rPr>
                <w:rFonts w:ascii="ZWAdobeF" w:hAnsi="ZWAdobeF" w:cs="ZWAdobeF"/>
                <w:bCs/>
                <w:sz w:val="2"/>
                <w:szCs w:val="2"/>
              </w:rPr>
              <w:t>17F</w:t>
            </w:r>
            <w:r w:rsidR="00757DE1">
              <w:rPr>
                <w:rStyle w:val="FootnoteReference"/>
                <w:rFonts w:ascii="Arial Narrow" w:hAnsi="Arial Narrow" w:cs="Arial"/>
                <w:b/>
                <w:bCs/>
                <w:sz w:val="22"/>
                <w:szCs w:val="22"/>
              </w:rPr>
              <w:footnoteReference w:id="18"/>
            </w:r>
          </w:p>
        </w:tc>
        <w:tc>
          <w:tcPr>
            <w:tcW w:w="808" w:type="dxa"/>
            <w:tcBorders>
              <w:top w:val="single" w:sz="12" w:space="0" w:color="auto"/>
            </w:tcBorders>
            <w:shd w:val="clear" w:color="auto" w:fill="BFBFBF"/>
            <w:vAlign w:val="center"/>
          </w:tcPr>
          <w:p w14:paraId="01A4560C" w14:textId="77777777" w:rsidR="00FD2753" w:rsidRPr="00B60325" w:rsidRDefault="00FD2753" w:rsidP="00963E14">
            <w:pPr>
              <w:jc w:val="right"/>
              <w:rPr>
                <w:rFonts w:ascii="Arial Narrow" w:hAnsi="Arial Narrow" w:cs="Arial"/>
                <w:sz w:val="22"/>
                <w:szCs w:val="22"/>
              </w:rPr>
            </w:pPr>
            <w:r w:rsidRPr="00B60325">
              <w:rPr>
                <w:rFonts w:ascii="Arial Narrow" w:hAnsi="Arial Narrow" w:cs="Arial"/>
                <w:b/>
                <w:bCs/>
                <w:sz w:val="22"/>
                <w:szCs w:val="22"/>
              </w:rPr>
              <w:t>11,719</w:t>
            </w:r>
          </w:p>
        </w:tc>
        <w:tc>
          <w:tcPr>
            <w:tcW w:w="810" w:type="dxa"/>
            <w:tcBorders>
              <w:top w:val="single" w:sz="12" w:space="0" w:color="auto"/>
            </w:tcBorders>
            <w:shd w:val="clear" w:color="auto" w:fill="BFBFBF"/>
            <w:vAlign w:val="center"/>
          </w:tcPr>
          <w:p w14:paraId="1885AF14" w14:textId="77777777" w:rsidR="00FD2753" w:rsidRPr="00B60325"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5B9A45E4" w14:textId="77777777" w:rsidR="00FD2753" w:rsidRPr="00B60325" w:rsidRDefault="00FD2753" w:rsidP="00963E14">
            <w:pPr>
              <w:jc w:val="right"/>
              <w:rPr>
                <w:rFonts w:ascii="Arial Narrow" w:hAnsi="Arial Narrow" w:cs="Arial"/>
                <w:sz w:val="22"/>
                <w:szCs w:val="22"/>
              </w:rPr>
            </w:pPr>
            <w:r w:rsidRPr="00B60325">
              <w:rPr>
                <w:rFonts w:ascii="Arial Narrow" w:hAnsi="Arial Narrow" w:cs="Arial"/>
                <w:b/>
                <w:bCs/>
                <w:sz w:val="22"/>
                <w:szCs w:val="22"/>
              </w:rPr>
              <w:t>10,541</w:t>
            </w:r>
          </w:p>
        </w:tc>
        <w:tc>
          <w:tcPr>
            <w:tcW w:w="810" w:type="dxa"/>
            <w:tcBorders>
              <w:top w:val="single" w:sz="12" w:space="0" w:color="auto"/>
            </w:tcBorders>
            <w:shd w:val="clear" w:color="auto" w:fill="BFBFBF"/>
            <w:vAlign w:val="center"/>
          </w:tcPr>
          <w:p w14:paraId="487826F0" w14:textId="77777777" w:rsidR="00FD2753" w:rsidRPr="00B60325"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447AA4F2" w14:textId="77777777" w:rsidR="00FD2753" w:rsidRPr="00B60325" w:rsidRDefault="00FD2753" w:rsidP="00963E14">
            <w:pPr>
              <w:jc w:val="right"/>
              <w:rPr>
                <w:rFonts w:ascii="Arial Narrow" w:hAnsi="Arial Narrow" w:cs="Arial"/>
                <w:sz w:val="22"/>
                <w:szCs w:val="22"/>
              </w:rPr>
            </w:pPr>
            <w:r w:rsidRPr="00B60325">
              <w:rPr>
                <w:rFonts w:ascii="Arial Narrow" w:hAnsi="Arial Narrow" w:cs="Arial"/>
                <w:b/>
                <w:bCs/>
                <w:sz w:val="22"/>
                <w:szCs w:val="22"/>
              </w:rPr>
              <w:t>11,002</w:t>
            </w:r>
          </w:p>
        </w:tc>
        <w:tc>
          <w:tcPr>
            <w:tcW w:w="813" w:type="dxa"/>
            <w:tcBorders>
              <w:top w:val="single" w:sz="12" w:space="0" w:color="auto"/>
            </w:tcBorders>
            <w:shd w:val="clear" w:color="auto" w:fill="BFBFBF"/>
            <w:vAlign w:val="center"/>
          </w:tcPr>
          <w:p w14:paraId="3016B700" w14:textId="77777777" w:rsidR="00FD2753" w:rsidRPr="00B60325"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727741BB" w14:textId="77777777" w:rsidR="00FD2753" w:rsidRPr="00B60325" w:rsidRDefault="00FD2753" w:rsidP="00963E14">
            <w:pPr>
              <w:jc w:val="right"/>
              <w:rPr>
                <w:rFonts w:ascii="Arial Narrow" w:hAnsi="Arial Narrow" w:cs="Arial"/>
                <w:sz w:val="22"/>
                <w:szCs w:val="22"/>
              </w:rPr>
            </w:pPr>
            <w:r w:rsidRPr="00B60325">
              <w:rPr>
                <w:rFonts w:ascii="Arial Narrow" w:hAnsi="Arial Narrow" w:cs="Arial"/>
                <w:b/>
                <w:bCs/>
                <w:sz w:val="22"/>
                <w:szCs w:val="22"/>
              </w:rPr>
              <w:t>2,970</w:t>
            </w:r>
          </w:p>
        </w:tc>
        <w:tc>
          <w:tcPr>
            <w:tcW w:w="812" w:type="dxa"/>
            <w:tcBorders>
              <w:top w:val="single" w:sz="12" w:space="0" w:color="auto"/>
              <w:right w:val="single" w:sz="12" w:space="0" w:color="auto"/>
            </w:tcBorders>
            <w:shd w:val="clear" w:color="auto" w:fill="BFBFBF"/>
            <w:vAlign w:val="center"/>
          </w:tcPr>
          <w:p w14:paraId="64218EC1" w14:textId="77777777" w:rsidR="00FD2753" w:rsidRPr="00B60325" w:rsidRDefault="00FD2753" w:rsidP="00963E14">
            <w:pPr>
              <w:jc w:val="right"/>
              <w:rPr>
                <w:rFonts w:ascii="Arial Narrow" w:hAnsi="Arial Narrow" w:cs="Arial"/>
                <w:sz w:val="22"/>
                <w:szCs w:val="22"/>
              </w:rPr>
            </w:pPr>
          </w:p>
        </w:tc>
      </w:tr>
      <w:tr w:rsidR="00757DE1" w:rsidRPr="00B60325" w14:paraId="099C3CAE" w14:textId="77777777" w:rsidTr="00E013A4">
        <w:trPr>
          <w:gridAfter w:val="1"/>
          <w:wAfter w:w="8" w:type="dxa"/>
          <w:cantSplit/>
          <w:trHeight w:val="20"/>
          <w:jc w:val="center"/>
        </w:trPr>
        <w:tc>
          <w:tcPr>
            <w:tcW w:w="2780" w:type="dxa"/>
            <w:tcBorders>
              <w:left w:val="single" w:sz="12" w:space="0" w:color="auto"/>
            </w:tcBorders>
            <w:vAlign w:val="center"/>
          </w:tcPr>
          <w:p w14:paraId="6AB37A82" w14:textId="49ED235E"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Dorchester </w:t>
            </w:r>
          </w:p>
        </w:tc>
        <w:tc>
          <w:tcPr>
            <w:tcW w:w="808" w:type="dxa"/>
            <w:vAlign w:val="center"/>
          </w:tcPr>
          <w:p w14:paraId="026FAC51" w14:textId="2972B9C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2,242 </w:t>
            </w:r>
          </w:p>
        </w:tc>
        <w:tc>
          <w:tcPr>
            <w:tcW w:w="810" w:type="dxa"/>
            <w:vAlign w:val="center"/>
          </w:tcPr>
          <w:p w14:paraId="11323FCC" w14:textId="314E891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19.1%</w:t>
            </w:r>
          </w:p>
        </w:tc>
        <w:tc>
          <w:tcPr>
            <w:tcW w:w="810" w:type="dxa"/>
            <w:vAlign w:val="center"/>
          </w:tcPr>
          <w:p w14:paraId="4FC63A92" w14:textId="2CEF4514"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2,243 </w:t>
            </w:r>
          </w:p>
        </w:tc>
        <w:tc>
          <w:tcPr>
            <w:tcW w:w="810" w:type="dxa"/>
            <w:vAlign w:val="center"/>
          </w:tcPr>
          <w:p w14:paraId="02C1CC22" w14:textId="7239C96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21.3%</w:t>
            </w:r>
          </w:p>
        </w:tc>
        <w:tc>
          <w:tcPr>
            <w:tcW w:w="810" w:type="dxa"/>
            <w:vAlign w:val="center"/>
          </w:tcPr>
          <w:p w14:paraId="5FC0E6B4" w14:textId="2DF197DE"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2,361 </w:t>
            </w:r>
          </w:p>
        </w:tc>
        <w:tc>
          <w:tcPr>
            <w:tcW w:w="813" w:type="dxa"/>
            <w:vAlign w:val="center"/>
          </w:tcPr>
          <w:p w14:paraId="065F63A2" w14:textId="285BF2E5"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21.5%</w:t>
            </w:r>
          </w:p>
        </w:tc>
        <w:tc>
          <w:tcPr>
            <w:tcW w:w="810" w:type="dxa"/>
            <w:vAlign w:val="center"/>
          </w:tcPr>
          <w:p w14:paraId="147DF8F9" w14:textId="6A820D7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652 </w:t>
            </w:r>
          </w:p>
        </w:tc>
        <w:tc>
          <w:tcPr>
            <w:tcW w:w="812" w:type="dxa"/>
            <w:tcBorders>
              <w:right w:val="single" w:sz="12" w:space="0" w:color="auto"/>
            </w:tcBorders>
            <w:vAlign w:val="center"/>
          </w:tcPr>
          <w:p w14:paraId="3FC527FF" w14:textId="1A4B52A5"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22.0%</w:t>
            </w:r>
          </w:p>
        </w:tc>
      </w:tr>
      <w:tr w:rsidR="00757DE1" w:rsidRPr="00B60325" w14:paraId="257CB557" w14:textId="77777777" w:rsidTr="00E013A4">
        <w:trPr>
          <w:gridAfter w:val="1"/>
          <w:wAfter w:w="8" w:type="dxa"/>
          <w:cantSplit/>
          <w:trHeight w:val="20"/>
          <w:jc w:val="center"/>
        </w:trPr>
        <w:tc>
          <w:tcPr>
            <w:tcW w:w="2780" w:type="dxa"/>
            <w:tcBorders>
              <w:left w:val="single" w:sz="12" w:space="0" w:color="auto"/>
            </w:tcBorders>
            <w:vAlign w:val="center"/>
          </w:tcPr>
          <w:p w14:paraId="7773987B" w14:textId="56AE3132"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Boston</w:t>
            </w:r>
          </w:p>
        </w:tc>
        <w:tc>
          <w:tcPr>
            <w:tcW w:w="808" w:type="dxa"/>
            <w:vAlign w:val="center"/>
          </w:tcPr>
          <w:p w14:paraId="28ADB02E" w14:textId="73A2404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1,762 </w:t>
            </w:r>
          </w:p>
        </w:tc>
        <w:tc>
          <w:tcPr>
            <w:tcW w:w="810" w:type="dxa"/>
            <w:vAlign w:val="center"/>
          </w:tcPr>
          <w:p w14:paraId="2A4C942D" w14:textId="3288B9F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15.0%</w:t>
            </w:r>
          </w:p>
        </w:tc>
        <w:tc>
          <w:tcPr>
            <w:tcW w:w="810" w:type="dxa"/>
            <w:vAlign w:val="center"/>
          </w:tcPr>
          <w:p w14:paraId="56DD566B" w14:textId="4252E803"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1,819 </w:t>
            </w:r>
          </w:p>
        </w:tc>
        <w:tc>
          <w:tcPr>
            <w:tcW w:w="810" w:type="dxa"/>
            <w:vAlign w:val="center"/>
          </w:tcPr>
          <w:p w14:paraId="04491912" w14:textId="019B862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17.3%</w:t>
            </w:r>
          </w:p>
        </w:tc>
        <w:tc>
          <w:tcPr>
            <w:tcW w:w="810" w:type="dxa"/>
            <w:vAlign w:val="center"/>
          </w:tcPr>
          <w:p w14:paraId="035384FC" w14:textId="4676F99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1,644 </w:t>
            </w:r>
          </w:p>
        </w:tc>
        <w:tc>
          <w:tcPr>
            <w:tcW w:w="813" w:type="dxa"/>
            <w:vAlign w:val="center"/>
          </w:tcPr>
          <w:p w14:paraId="362168ED" w14:textId="5D52B54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14.9%</w:t>
            </w:r>
          </w:p>
        </w:tc>
        <w:tc>
          <w:tcPr>
            <w:tcW w:w="810" w:type="dxa"/>
            <w:vAlign w:val="center"/>
          </w:tcPr>
          <w:p w14:paraId="3AC31A7A" w14:textId="490167C4"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468 </w:t>
            </w:r>
          </w:p>
        </w:tc>
        <w:tc>
          <w:tcPr>
            <w:tcW w:w="812" w:type="dxa"/>
            <w:tcBorders>
              <w:right w:val="single" w:sz="12" w:space="0" w:color="auto"/>
            </w:tcBorders>
            <w:vAlign w:val="center"/>
          </w:tcPr>
          <w:p w14:paraId="69DB84A6" w14:textId="55F6B78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15.8%</w:t>
            </w:r>
          </w:p>
        </w:tc>
      </w:tr>
      <w:tr w:rsidR="00757DE1" w:rsidRPr="00B60325" w14:paraId="0980213F" w14:textId="77777777" w:rsidTr="00E013A4">
        <w:trPr>
          <w:gridAfter w:val="1"/>
          <w:wAfter w:w="8" w:type="dxa"/>
          <w:cantSplit/>
          <w:trHeight w:val="20"/>
          <w:jc w:val="center"/>
        </w:trPr>
        <w:tc>
          <w:tcPr>
            <w:tcW w:w="2780" w:type="dxa"/>
            <w:tcBorders>
              <w:left w:val="single" w:sz="12" w:space="0" w:color="auto"/>
            </w:tcBorders>
            <w:vAlign w:val="center"/>
          </w:tcPr>
          <w:p w14:paraId="20667A05" w14:textId="74EB6A0A"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Roxbury</w:t>
            </w:r>
          </w:p>
        </w:tc>
        <w:tc>
          <w:tcPr>
            <w:tcW w:w="808" w:type="dxa"/>
            <w:vAlign w:val="center"/>
          </w:tcPr>
          <w:p w14:paraId="1663D854" w14:textId="0650041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751 </w:t>
            </w:r>
          </w:p>
        </w:tc>
        <w:tc>
          <w:tcPr>
            <w:tcW w:w="810" w:type="dxa"/>
            <w:vAlign w:val="center"/>
          </w:tcPr>
          <w:p w14:paraId="0F6EBF13" w14:textId="46B97C9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6.4%</w:t>
            </w:r>
          </w:p>
        </w:tc>
        <w:tc>
          <w:tcPr>
            <w:tcW w:w="810" w:type="dxa"/>
            <w:vAlign w:val="center"/>
          </w:tcPr>
          <w:p w14:paraId="26A4E3FE" w14:textId="54EE447D"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770 </w:t>
            </w:r>
          </w:p>
        </w:tc>
        <w:tc>
          <w:tcPr>
            <w:tcW w:w="810" w:type="dxa"/>
            <w:vAlign w:val="center"/>
          </w:tcPr>
          <w:p w14:paraId="1ECB4192" w14:textId="53C644C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7.3%</w:t>
            </w:r>
          </w:p>
        </w:tc>
        <w:tc>
          <w:tcPr>
            <w:tcW w:w="810" w:type="dxa"/>
            <w:vAlign w:val="center"/>
          </w:tcPr>
          <w:p w14:paraId="769F3DA6" w14:textId="784875AE"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762 </w:t>
            </w:r>
          </w:p>
        </w:tc>
        <w:tc>
          <w:tcPr>
            <w:tcW w:w="813" w:type="dxa"/>
            <w:vAlign w:val="center"/>
          </w:tcPr>
          <w:p w14:paraId="560D11AC" w14:textId="0ED77EB0"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6.9%</w:t>
            </w:r>
          </w:p>
        </w:tc>
        <w:tc>
          <w:tcPr>
            <w:tcW w:w="810" w:type="dxa"/>
            <w:vAlign w:val="center"/>
          </w:tcPr>
          <w:p w14:paraId="4E6BE3CD" w14:textId="7C23DDC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216 </w:t>
            </w:r>
          </w:p>
        </w:tc>
        <w:tc>
          <w:tcPr>
            <w:tcW w:w="812" w:type="dxa"/>
            <w:tcBorders>
              <w:right w:val="single" w:sz="12" w:space="0" w:color="auto"/>
            </w:tcBorders>
            <w:vAlign w:val="center"/>
          </w:tcPr>
          <w:p w14:paraId="1C0F1407" w14:textId="06FF41A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7.3%</w:t>
            </w:r>
          </w:p>
        </w:tc>
      </w:tr>
      <w:tr w:rsidR="00757DE1" w:rsidRPr="00B60325" w14:paraId="2B7DA427" w14:textId="77777777" w:rsidTr="00E013A4">
        <w:trPr>
          <w:gridAfter w:val="1"/>
          <w:wAfter w:w="8" w:type="dxa"/>
          <w:cantSplit/>
          <w:trHeight w:val="20"/>
          <w:jc w:val="center"/>
        </w:trPr>
        <w:tc>
          <w:tcPr>
            <w:tcW w:w="2780" w:type="dxa"/>
            <w:tcBorders>
              <w:left w:val="single" w:sz="12" w:space="0" w:color="auto"/>
            </w:tcBorders>
            <w:vAlign w:val="center"/>
          </w:tcPr>
          <w:p w14:paraId="4C886E47" w14:textId="098780C3"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Brockton </w:t>
            </w:r>
          </w:p>
        </w:tc>
        <w:tc>
          <w:tcPr>
            <w:tcW w:w="808" w:type="dxa"/>
            <w:vAlign w:val="center"/>
          </w:tcPr>
          <w:p w14:paraId="28FB73C9" w14:textId="2E63766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415 </w:t>
            </w:r>
          </w:p>
        </w:tc>
        <w:tc>
          <w:tcPr>
            <w:tcW w:w="810" w:type="dxa"/>
            <w:vAlign w:val="center"/>
          </w:tcPr>
          <w:p w14:paraId="51959F44" w14:textId="38C33FA4"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3.5%</w:t>
            </w:r>
          </w:p>
        </w:tc>
        <w:tc>
          <w:tcPr>
            <w:tcW w:w="810" w:type="dxa"/>
            <w:vAlign w:val="center"/>
          </w:tcPr>
          <w:p w14:paraId="740BC4D9" w14:textId="356D3CB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395 </w:t>
            </w:r>
          </w:p>
        </w:tc>
        <w:tc>
          <w:tcPr>
            <w:tcW w:w="810" w:type="dxa"/>
            <w:vAlign w:val="center"/>
          </w:tcPr>
          <w:p w14:paraId="028BAE2C" w14:textId="3ABEEC8E"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3.7%</w:t>
            </w:r>
          </w:p>
        </w:tc>
        <w:tc>
          <w:tcPr>
            <w:tcW w:w="810" w:type="dxa"/>
            <w:vAlign w:val="center"/>
          </w:tcPr>
          <w:p w14:paraId="43A592D8" w14:textId="4985E6A4"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387 </w:t>
            </w:r>
          </w:p>
        </w:tc>
        <w:tc>
          <w:tcPr>
            <w:tcW w:w="813" w:type="dxa"/>
            <w:vAlign w:val="center"/>
          </w:tcPr>
          <w:p w14:paraId="41FF3F8A" w14:textId="30EE005D"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3.5%</w:t>
            </w:r>
          </w:p>
        </w:tc>
        <w:tc>
          <w:tcPr>
            <w:tcW w:w="810" w:type="dxa"/>
            <w:vAlign w:val="center"/>
          </w:tcPr>
          <w:p w14:paraId="78355E28" w14:textId="3590C102"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92 </w:t>
            </w:r>
          </w:p>
        </w:tc>
        <w:tc>
          <w:tcPr>
            <w:tcW w:w="812" w:type="dxa"/>
            <w:tcBorders>
              <w:right w:val="single" w:sz="12" w:space="0" w:color="auto"/>
            </w:tcBorders>
            <w:vAlign w:val="center"/>
          </w:tcPr>
          <w:p w14:paraId="326A1A3F" w14:textId="0D493FA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3.1%</w:t>
            </w:r>
          </w:p>
        </w:tc>
      </w:tr>
      <w:tr w:rsidR="00757DE1" w:rsidRPr="00B60325" w14:paraId="37284C61" w14:textId="77777777" w:rsidTr="00E013A4">
        <w:trPr>
          <w:gridAfter w:val="1"/>
          <w:wAfter w:w="8" w:type="dxa"/>
          <w:cantSplit/>
          <w:trHeight w:val="20"/>
          <w:jc w:val="center"/>
        </w:trPr>
        <w:tc>
          <w:tcPr>
            <w:tcW w:w="2780" w:type="dxa"/>
            <w:tcBorders>
              <w:left w:val="single" w:sz="12" w:space="0" w:color="auto"/>
            </w:tcBorders>
            <w:vAlign w:val="center"/>
          </w:tcPr>
          <w:p w14:paraId="4E7C29F9" w14:textId="4E1C6A12"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Mattapan </w:t>
            </w:r>
          </w:p>
        </w:tc>
        <w:tc>
          <w:tcPr>
            <w:tcW w:w="808" w:type="dxa"/>
            <w:vAlign w:val="center"/>
          </w:tcPr>
          <w:p w14:paraId="0C630303" w14:textId="331E246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399 </w:t>
            </w:r>
          </w:p>
        </w:tc>
        <w:tc>
          <w:tcPr>
            <w:tcW w:w="810" w:type="dxa"/>
            <w:vAlign w:val="center"/>
          </w:tcPr>
          <w:p w14:paraId="4D773D7D" w14:textId="26678AE4"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3.4%</w:t>
            </w:r>
          </w:p>
        </w:tc>
        <w:tc>
          <w:tcPr>
            <w:tcW w:w="810" w:type="dxa"/>
            <w:vAlign w:val="center"/>
          </w:tcPr>
          <w:p w14:paraId="727ED579" w14:textId="6D480FE3"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361 </w:t>
            </w:r>
          </w:p>
        </w:tc>
        <w:tc>
          <w:tcPr>
            <w:tcW w:w="810" w:type="dxa"/>
            <w:vAlign w:val="center"/>
          </w:tcPr>
          <w:p w14:paraId="06D086D6" w14:textId="0096671D"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3.4%</w:t>
            </w:r>
          </w:p>
        </w:tc>
        <w:tc>
          <w:tcPr>
            <w:tcW w:w="810" w:type="dxa"/>
            <w:vAlign w:val="center"/>
          </w:tcPr>
          <w:p w14:paraId="08D1673C" w14:textId="24FE6987"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409 </w:t>
            </w:r>
          </w:p>
        </w:tc>
        <w:tc>
          <w:tcPr>
            <w:tcW w:w="813" w:type="dxa"/>
            <w:vAlign w:val="center"/>
          </w:tcPr>
          <w:p w14:paraId="647211B5" w14:textId="4F23170A"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3.7%</w:t>
            </w:r>
          </w:p>
        </w:tc>
        <w:tc>
          <w:tcPr>
            <w:tcW w:w="810" w:type="dxa"/>
            <w:vAlign w:val="center"/>
          </w:tcPr>
          <w:p w14:paraId="071E2D57" w14:textId="1037CC6A"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95 </w:t>
            </w:r>
          </w:p>
        </w:tc>
        <w:tc>
          <w:tcPr>
            <w:tcW w:w="812" w:type="dxa"/>
            <w:tcBorders>
              <w:right w:val="single" w:sz="12" w:space="0" w:color="auto"/>
            </w:tcBorders>
            <w:vAlign w:val="center"/>
          </w:tcPr>
          <w:p w14:paraId="2BBE1B41" w14:textId="47A9BE59"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3.2%</w:t>
            </w:r>
          </w:p>
        </w:tc>
      </w:tr>
      <w:tr w:rsidR="00757DE1" w:rsidRPr="00B60325" w14:paraId="2A622F3F" w14:textId="77777777" w:rsidTr="00E013A4">
        <w:trPr>
          <w:gridAfter w:val="1"/>
          <w:wAfter w:w="8" w:type="dxa"/>
          <w:cantSplit/>
          <w:trHeight w:val="20"/>
          <w:jc w:val="center"/>
        </w:trPr>
        <w:tc>
          <w:tcPr>
            <w:tcW w:w="2780" w:type="dxa"/>
            <w:tcBorders>
              <w:left w:val="single" w:sz="12" w:space="0" w:color="auto"/>
            </w:tcBorders>
            <w:vAlign w:val="center"/>
          </w:tcPr>
          <w:p w14:paraId="1A40AC55" w14:textId="55F82CE1"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Quincy</w:t>
            </w:r>
          </w:p>
        </w:tc>
        <w:tc>
          <w:tcPr>
            <w:tcW w:w="808" w:type="dxa"/>
            <w:vAlign w:val="center"/>
          </w:tcPr>
          <w:p w14:paraId="3E1FED83" w14:textId="2CDE97B2"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357 </w:t>
            </w:r>
          </w:p>
        </w:tc>
        <w:tc>
          <w:tcPr>
            <w:tcW w:w="810" w:type="dxa"/>
            <w:vAlign w:val="center"/>
          </w:tcPr>
          <w:p w14:paraId="69E790BD" w14:textId="726E46FA"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3.0%</w:t>
            </w:r>
          </w:p>
        </w:tc>
        <w:tc>
          <w:tcPr>
            <w:tcW w:w="810" w:type="dxa"/>
            <w:vAlign w:val="center"/>
          </w:tcPr>
          <w:p w14:paraId="73A88005" w14:textId="0BA5D152"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314 </w:t>
            </w:r>
          </w:p>
        </w:tc>
        <w:tc>
          <w:tcPr>
            <w:tcW w:w="810" w:type="dxa"/>
            <w:vAlign w:val="center"/>
          </w:tcPr>
          <w:p w14:paraId="22442618" w14:textId="735BEADD"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3.0%</w:t>
            </w:r>
          </w:p>
        </w:tc>
        <w:tc>
          <w:tcPr>
            <w:tcW w:w="810" w:type="dxa"/>
            <w:vAlign w:val="center"/>
          </w:tcPr>
          <w:p w14:paraId="2B763E50" w14:textId="284E035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361 </w:t>
            </w:r>
          </w:p>
        </w:tc>
        <w:tc>
          <w:tcPr>
            <w:tcW w:w="813" w:type="dxa"/>
            <w:vAlign w:val="center"/>
          </w:tcPr>
          <w:p w14:paraId="72414380" w14:textId="53E2FF8A"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3.3%</w:t>
            </w:r>
          </w:p>
        </w:tc>
        <w:tc>
          <w:tcPr>
            <w:tcW w:w="810" w:type="dxa"/>
            <w:vAlign w:val="center"/>
          </w:tcPr>
          <w:p w14:paraId="4CC7676E" w14:textId="4672304B"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85 </w:t>
            </w:r>
          </w:p>
        </w:tc>
        <w:tc>
          <w:tcPr>
            <w:tcW w:w="812" w:type="dxa"/>
            <w:tcBorders>
              <w:right w:val="single" w:sz="12" w:space="0" w:color="auto"/>
            </w:tcBorders>
            <w:vAlign w:val="center"/>
          </w:tcPr>
          <w:p w14:paraId="18D7D063" w14:textId="25B37AF3"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2.9%</w:t>
            </w:r>
          </w:p>
        </w:tc>
      </w:tr>
      <w:tr w:rsidR="00757DE1" w:rsidRPr="00B60325" w14:paraId="71028393" w14:textId="77777777" w:rsidTr="00E013A4">
        <w:trPr>
          <w:gridAfter w:val="1"/>
          <w:wAfter w:w="8" w:type="dxa"/>
          <w:cantSplit/>
          <w:trHeight w:val="20"/>
          <w:jc w:val="center"/>
        </w:trPr>
        <w:tc>
          <w:tcPr>
            <w:tcW w:w="2780" w:type="dxa"/>
            <w:tcBorders>
              <w:left w:val="single" w:sz="12" w:space="0" w:color="auto"/>
            </w:tcBorders>
            <w:vAlign w:val="center"/>
          </w:tcPr>
          <w:p w14:paraId="13B13E1F" w14:textId="71807D9D"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Hyde Park </w:t>
            </w:r>
          </w:p>
        </w:tc>
        <w:tc>
          <w:tcPr>
            <w:tcW w:w="808" w:type="dxa"/>
            <w:vAlign w:val="center"/>
          </w:tcPr>
          <w:p w14:paraId="11A8DBAB" w14:textId="695FD8D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278 </w:t>
            </w:r>
          </w:p>
        </w:tc>
        <w:tc>
          <w:tcPr>
            <w:tcW w:w="810" w:type="dxa"/>
            <w:vAlign w:val="center"/>
          </w:tcPr>
          <w:p w14:paraId="15FFEFA3" w14:textId="1D0F4E42"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2.4%</w:t>
            </w:r>
          </w:p>
        </w:tc>
        <w:tc>
          <w:tcPr>
            <w:tcW w:w="810" w:type="dxa"/>
            <w:vAlign w:val="center"/>
          </w:tcPr>
          <w:p w14:paraId="169902C1" w14:textId="6F3A07C0"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250 </w:t>
            </w:r>
          </w:p>
        </w:tc>
        <w:tc>
          <w:tcPr>
            <w:tcW w:w="810" w:type="dxa"/>
            <w:vAlign w:val="center"/>
          </w:tcPr>
          <w:p w14:paraId="070B64FB" w14:textId="20483F6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2.4%</w:t>
            </w:r>
          </w:p>
        </w:tc>
        <w:tc>
          <w:tcPr>
            <w:tcW w:w="810" w:type="dxa"/>
            <w:vAlign w:val="center"/>
          </w:tcPr>
          <w:p w14:paraId="5B2DB3DE" w14:textId="0EB5D0A7"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264 </w:t>
            </w:r>
          </w:p>
        </w:tc>
        <w:tc>
          <w:tcPr>
            <w:tcW w:w="813" w:type="dxa"/>
            <w:vAlign w:val="center"/>
          </w:tcPr>
          <w:p w14:paraId="035A3ED1" w14:textId="701255E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2.4%</w:t>
            </w:r>
          </w:p>
        </w:tc>
        <w:tc>
          <w:tcPr>
            <w:tcW w:w="810" w:type="dxa"/>
            <w:vAlign w:val="center"/>
          </w:tcPr>
          <w:p w14:paraId="3828925F" w14:textId="0A768AD0"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79 </w:t>
            </w:r>
          </w:p>
        </w:tc>
        <w:tc>
          <w:tcPr>
            <w:tcW w:w="812" w:type="dxa"/>
            <w:tcBorders>
              <w:right w:val="single" w:sz="12" w:space="0" w:color="auto"/>
            </w:tcBorders>
            <w:vAlign w:val="center"/>
          </w:tcPr>
          <w:p w14:paraId="07841411" w14:textId="00B805D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2.7%</w:t>
            </w:r>
          </w:p>
        </w:tc>
      </w:tr>
      <w:tr w:rsidR="00757DE1" w:rsidRPr="00B60325" w14:paraId="2FB554E4" w14:textId="77777777" w:rsidTr="00E013A4">
        <w:trPr>
          <w:gridAfter w:val="1"/>
          <w:wAfter w:w="8" w:type="dxa"/>
          <w:cantSplit/>
          <w:trHeight w:val="20"/>
          <w:jc w:val="center"/>
        </w:trPr>
        <w:tc>
          <w:tcPr>
            <w:tcW w:w="2780" w:type="dxa"/>
            <w:tcBorders>
              <w:left w:val="single" w:sz="12" w:space="0" w:color="auto"/>
            </w:tcBorders>
            <w:vAlign w:val="center"/>
          </w:tcPr>
          <w:p w14:paraId="755A2A7A" w14:textId="2EC4A607"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Revere </w:t>
            </w:r>
          </w:p>
        </w:tc>
        <w:tc>
          <w:tcPr>
            <w:tcW w:w="808" w:type="dxa"/>
            <w:vAlign w:val="center"/>
          </w:tcPr>
          <w:p w14:paraId="1F1C82CF" w14:textId="492238BB"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219 </w:t>
            </w:r>
          </w:p>
        </w:tc>
        <w:tc>
          <w:tcPr>
            <w:tcW w:w="810" w:type="dxa"/>
            <w:vAlign w:val="center"/>
          </w:tcPr>
          <w:p w14:paraId="23D2F5AD" w14:textId="40E7294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1.9%</w:t>
            </w:r>
          </w:p>
        </w:tc>
        <w:tc>
          <w:tcPr>
            <w:tcW w:w="810" w:type="dxa"/>
            <w:vAlign w:val="center"/>
          </w:tcPr>
          <w:p w14:paraId="6F27A358" w14:textId="7F27419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185 </w:t>
            </w:r>
          </w:p>
        </w:tc>
        <w:tc>
          <w:tcPr>
            <w:tcW w:w="810" w:type="dxa"/>
            <w:vAlign w:val="center"/>
          </w:tcPr>
          <w:p w14:paraId="5EB25B55" w14:textId="200C0B8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7B66A929" w14:textId="09242E5E"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199 </w:t>
            </w:r>
          </w:p>
        </w:tc>
        <w:tc>
          <w:tcPr>
            <w:tcW w:w="813" w:type="dxa"/>
            <w:vAlign w:val="center"/>
          </w:tcPr>
          <w:p w14:paraId="2C748F91" w14:textId="4C136F37"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0EB48951" w14:textId="209E6B1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43 </w:t>
            </w:r>
          </w:p>
        </w:tc>
        <w:tc>
          <w:tcPr>
            <w:tcW w:w="812" w:type="dxa"/>
            <w:tcBorders>
              <w:right w:val="single" w:sz="12" w:space="0" w:color="auto"/>
            </w:tcBorders>
            <w:vAlign w:val="center"/>
          </w:tcPr>
          <w:p w14:paraId="3F04A186" w14:textId="78804B7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1.4%</w:t>
            </w:r>
          </w:p>
        </w:tc>
      </w:tr>
      <w:tr w:rsidR="00757DE1" w:rsidRPr="00B60325" w14:paraId="16844859" w14:textId="77777777" w:rsidTr="00E013A4">
        <w:trPr>
          <w:gridAfter w:val="1"/>
          <w:wAfter w:w="8" w:type="dxa"/>
          <w:cantSplit/>
          <w:trHeight w:val="20"/>
          <w:jc w:val="center"/>
        </w:trPr>
        <w:tc>
          <w:tcPr>
            <w:tcW w:w="2780" w:type="dxa"/>
            <w:tcBorders>
              <w:left w:val="single" w:sz="12" w:space="0" w:color="auto"/>
            </w:tcBorders>
            <w:vAlign w:val="center"/>
          </w:tcPr>
          <w:p w14:paraId="4B78CE02" w14:textId="6CDB1D51"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Chelsea</w:t>
            </w:r>
          </w:p>
        </w:tc>
        <w:tc>
          <w:tcPr>
            <w:tcW w:w="808" w:type="dxa"/>
            <w:vAlign w:val="center"/>
          </w:tcPr>
          <w:p w14:paraId="7483FE5C" w14:textId="2D00A297"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214 </w:t>
            </w:r>
          </w:p>
        </w:tc>
        <w:tc>
          <w:tcPr>
            <w:tcW w:w="810" w:type="dxa"/>
            <w:vAlign w:val="center"/>
          </w:tcPr>
          <w:p w14:paraId="06C2153F" w14:textId="0C6A3F9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5EB5D53F" w14:textId="631566CE"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218 </w:t>
            </w:r>
          </w:p>
        </w:tc>
        <w:tc>
          <w:tcPr>
            <w:tcW w:w="810" w:type="dxa"/>
            <w:vAlign w:val="center"/>
          </w:tcPr>
          <w:p w14:paraId="00C2B70B" w14:textId="4715D177"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2.1%</w:t>
            </w:r>
          </w:p>
        </w:tc>
        <w:tc>
          <w:tcPr>
            <w:tcW w:w="810" w:type="dxa"/>
            <w:vAlign w:val="center"/>
          </w:tcPr>
          <w:p w14:paraId="48F4DCB7" w14:textId="2B1199E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199 </w:t>
            </w:r>
          </w:p>
        </w:tc>
        <w:tc>
          <w:tcPr>
            <w:tcW w:w="813" w:type="dxa"/>
            <w:vAlign w:val="center"/>
          </w:tcPr>
          <w:p w14:paraId="74C42967" w14:textId="5D49D3F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24754051" w14:textId="7455622D"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39 </w:t>
            </w:r>
          </w:p>
        </w:tc>
        <w:tc>
          <w:tcPr>
            <w:tcW w:w="812" w:type="dxa"/>
            <w:tcBorders>
              <w:right w:val="single" w:sz="12" w:space="0" w:color="auto"/>
            </w:tcBorders>
            <w:vAlign w:val="center"/>
          </w:tcPr>
          <w:p w14:paraId="41312C7B" w14:textId="0AA44213"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1.3%</w:t>
            </w:r>
          </w:p>
        </w:tc>
      </w:tr>
      <w:tr w:rsidR="00757DE1" w:rsidRPr="00B60325" w14:paraId="12EE39CE" w14:textId="77777777" w:rsidTr="00E013A4">
        <w:trPr>
          <w:gridAfter w:val="1"/>
          <w:wAfter w:w="8" w:type="dxa"/>
          <w:cantSplit/>
          <w:trHeight w:val="20"/>
          <w:jc w:val="center"/>
        </w:trPr>
        <w:tc>
          <w:tcPr>
            <w:tcW w:w="2780" w:type="dxa"/>
            <w:tcBorders>
              <w:left w:val="single" w:sz="12" w:space="0" w:color="auto"/>
            </w:tcBorders>
            <w:vAlign w:val="center"/>
          </w:tcPr>
          <w:p w14:paraId="56070B9C" w14:textId="5A8791C4"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Jamaica Plain </w:t>
            </w:r>
          </w:p>
        </w:tc>
        <w:tc>
          <w:tcPr>
            <w:tcW w:w="808" w:type="dxa"/>
            <w:vAlign w:val="center"/>
          </w:tcPr>
          <w:p w14:paraId="67554798" w14:textId="1DEFF54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208 </w:t>
            </w:r>
          </w:p>
        </w:tc>
        <w:tc>
          <w:tcPr>
            <w:tcW w:w="810" w:type="dxa"/>
            <w:vAlign w:val="center"/>
          </w:tcPr>
          <w:p w14:paraId="4DA88FF3" w14:textId="19A08B6B"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56A72F2C" w14:textId="3F114251"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217 </w:t>
            </w:r>
          </w:p>
        </w:tc>
        <w:tc>
          <w:tcPr>
            <w:tcW w:w="810" w:type="dxa"/>
            <w:vAlign w:val="center"/>
          </w:tcPr>
          <w:p w14:paraId="66C99947" w14:textId="1429EAFB"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2.1%</w:t>
            </w:r>
          </w:p>
        </w:tc>
        <w:tc>
          <w:tcPr>
            <w:tcW w:w="810" w:type="dxa"/>
            <w:vAlign w:val="center"/>
          </w:tcPr>
          <w:p w14:paraId="5F0A2104" w14:textId="2728529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193 </w:t>
            </w:r>
          </w:p>
        </w:tc>
        <w:tc>
          <w:tcPr>
            <w:tcW w:w="813" w:type="dxa"/>
            <w:vAlign w:val="center"/>
          </w:tcPr>
          <w:p w14:paraId="22A189B2" w14:textId="50F50F32"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1.8%</w:t>
            </w:r>
          </w:p>
        </w:tc>
        <w:tc>
          <w:tcPr>
            <w:tcW w:w="810" w:type="dxa"/>
            <w:vAlign w:val="center"/>
          </w:tcPr>
          <w:p w14:paraId="2A2C3314" w14:textId="6454CEAC"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55 </w:t>
            </w:r>
          </w:p>
        </w:tc>
        <w:tc>
          <w:tcPr>
            <w:tcW w:w="812" w:type="dxa"/>
            <w:tcBorders>
              <w:bottom w:val="single" w:sz="4" w:space="0" w:color="auto"/>
              <w:right w:val="single" w:sz="12" w:space="0" w:color="auto"/>
            </w:tcBorders>
            <w:vAlign w:val="center"/>
          </w:tcPr>
          <w:p w14:paraId="7CB04FB1" w14:textId="248990B3"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1.9%</w:t>
            </w:r>
          </w:p>
        </w:tc>
      </w:tr>
      <w:tr w:rsidR="00757DE1" w:rsidRPr="00B60325" w14:paraId="19A52853" w14:textId="77777777" w:rsidTr="00E013A4">
        <w:trPr>
          <w:gridAfter w:val="1"/>
          <w:wAfter w:w="8" w:type="dxa"/>
          <w:cantSplit/>
          <w:trHeight w:val="20"/>
          <w:jc w:val="center"/>
        </w:trPr>
        <w:tc>
          <w:tcPr>
            <w:tcW w:w="2780" w:type="dxa"/>
            <w:tcBorders>
              <w:left w:val="single" w:sz="12" w:space="0" w:color="auto"/>
              <w:bottom w:val="single" w:sz="12" w:space="0" w:color="auto"/>
            </w:tcBorders>
            <w:vAlign w:val="center"/>
          </w:tcPr>
          <w:p w14:paraId="097088D5" w14:textId="4C80F24D"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All Other</w:t>
            </w:r>
          </w:p>
        </w:tc>
        <w:tc>
          <w:tcPr>
            <w:tcW w:w="808" w:type="dxa"/>
            <w:tcBorders>
              <w:bottom w:val="single" w:sz="12" w:space="0" w:color="auto"/>
            </w:tcBorders>
            <w:vAlign w:val="center"/>
          </w:tcPr>
          <w:p w14:paraId="3D3DFA31" w14:textId="09DC548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4,874 </w:t>
            </w:r>
          </w:p>
        </w:tc>
        <w:tc>
          <w:tcPr>
            <w:tcW w:w="810" w:type="dxa"/>
            <w:tcBorders>
              <w:bottom w:val="single" w:sz="12" w:space="0" w:color="auto"/>
            </w:tcBorders>
            <w:vAlign w:val="center"/>
          </w:tcPr>
          <w:p w14:paraId="0DB40717" w14:textId="64A4AA9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41.6%</w:t>
            </w:r>
          </w:p>
        </w:tc>
        <w:tc>
          <w:tcPr>
            <w:tcW w:w="810" w:type="dxa"/>
            <w:tcBorders>
              <w:bottom w:val="single" w:sz="12" w:space="0" w:color="auto"/>
            </w:tcBorders>
            <w:vAlign w:val="center"/>
          </w:tcPr>
          <w:p w14:paraId="4E80B64D" w14:textId="1C316F59"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3,769 </w:t>
            </w:r>
          </w:p>
        </w:tc>
        <w:tc>
          <w:tcPr>
            <w:tcW w:w="810" w:type="dxa"/>
            <w:tcBorders>
              <w:bottom w:val="single" w:sz="12" w:space="0" w:color="auto"/>
            </w:tcBorders>
            <w:vAlign w:val="center"/>
          </w:tcPr>
          <w:p w14:paraId="3ADE839C" w14:textId="2F8972EA"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35.8%</w:t>
            </w:r>
          </w:p>
        </w:tc>
        <w:tc>
          <w:tcPr>
            <w:tcW w:w="810" w:type="dxa"/>
            <w:tcBorders>
              <w:bottom w:val="single" w:sz="12" w:space="0" w:color="auto"/>
            </w:tcBorders>
            <w:vAlign w:val="center"/>
          </w:tcPr>
          <w:p w14:paraId="056BD722" w14:textId="470A3CB8"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4,223 </w:t>
            </w:r>
          </w:p>
        </w:tc>
        <w:tc>
          <w:tcPr>
            <w:tcW w:w="813" w:type="dxa"/>
            <w:tcBorders>
              <w:bottom w:val="single" w:sz="12" w:space="0" w:color="auto"/>
            </w:tcBorders>
            <w:vAlign w:val="center"/>
          </w:tcPr>
          <w:p w14:paraId="1528F691" w14:textId="6EC84425"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38.4%</w:t>
            </w:r>
          </w:p>
        </w:tc>
        <w:tc>
          <w:tcPr>
            <w:tcW w:w="810" w:type="dxa"/>
            <w:tcBorders>
              <w:bottom w:val="single" w:sz="12" w:space="0" w:color="auto"/>
            </w:tcBorders>
            <w:vAlign w:val="center"/>
          </w:tcPr>
          <w:p w14:paraId="5F87C987" w14:textId="13EB2F76"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 xml:space="preserve">1,146 </w:t>
            </w:r>
          </w:p>
        </w:tc>
        <w:tc>
          <w:tcPr>
            <w:tcW w:w="812" w:type="dxa"/>
            <w:tcBorders>
              <w:top w:val="single" w:sz="4" w:space="0" w:color="auto"/>
              <w:bottom w:val="single" w:sz="12" w:space="0" w:color="auto"/>
              <w:right w:val="single" w:sz="12" w:space="0" w:color="auto"/>
            </w:tcBorders>
            <w:vAlign w:val="center"/>
          </w:tcPr>
          <w:p w14:paraId="774B2A5D" w14:textId="40888A9F" w:rsidR="00757DE1" w:rsidRPr="00B60325" w:rsidRDefault="00757DE1" w:rsidP="00757DE1">
            <w:pPr>
              <w:jc w:val="right"/>
              <w:rPr>
                <w:rFonts w:ascii="Arial Narrow" w:hAnsi="Arial Narrow" w:cs="Arial"/>
                <w:sz w:val="22"/>
                <w:szCs w:val="22"/>
              </w:rPr>
            </w:pPr>
            <w:r w:rsidRPr="00B60325">
              <w:rPr>
                <w:rFonts w:ascii="Arial Narrow" w:hAnsi="Arial Narrow" w:cs="Arial"/>
                <w:sz w:val="22"/>
                <w:szCs w:val="22"/>
              </w:rPr>
              <w:t>38.6%</w:t>
            </w:r>
          </w:p>
        </w:tc>
      </w:tr>
      <w:tr w:rsidR="00FD2753" w:rsidRPr="00B60325" w14:paraId="715060E2" w14:textId="77777777" w:rsidTr="00E013A4">
        <w:trPr>
          <w:gridAfter w:val="1"/>
          <w:wAfter w:w="8" w:type="dxa"/>
          <w:cantSplit/>
          <w:trHeight w:val="20"/>
          <w:jc w:val="center"/>
        </w:trPr>
        <w:tc>
          <w:tcPr>
            <w:tcW w:w="2780" w:type="dxa"/>
            <w:tcBorders>
              <w:top w:val="single" w:sz="12" w:space="0" w:color="auto"/>
              <w:left w:val="single" w:sz="12" w:space="0" w:color="auto"/>
            </w:tcBorders>
            <w:shd w:val="clear" w:color="auto" w:fill="BFBFBF"/>
            <w:vAlign w:val="center"/>
          </w:tcPr>
          <w:p w14:paraId="4E981F66" w14:textId="5AD35346" w:rsidR="00FD2753" w:rsidRPr="00882C41" w:rsidRDefault="00FD2753" w:rsidP="00963E14">
            <w:pPr>
              <w:rPr>
                <w:rFonts w:ascii="Arial Narrow" w:hAnsi="Arial Narrow" w:cs="Arial"/>
                <w:sz w:val="22"/>
                <w:szCs w:val="22"/>
              </w:rPr>
            </w:pPr>
            <w:r w:rsidRPr="00882C41">
              <w:rPr>
                <w:rFonts w:ascii="Arial Narrow" w:hAnsi="Arial Narrow" w:cs="Arial"/>
                <w:b/>
                <w:bCs/>
                <w:sz w:val="22"/>
                <w:szCs w:val="22"/>
              </w:rPr>
              <w:t>Total Unique ICU Patients</w:t>
            </w:r>
            <w:r w:rsidR="00FB167B">
              <w:rPr>
                <w:rFonts w:ascii="ZWAdobeF" w:hAnsi="ZWAdobeF" w:cs="ZWAdobeF"/>
                <w:bCs/>
                <w:sz w:val="2"/>
                <w:szCs w:val="2"/>
              </w:rPr>
              <w:t>18F</w:t>
            </w:r>
            <w:r w:rsidR="00DD3AA5">
              <w:rPr>
                <w:rStyle w:val="FootnoteReference"/>
                <w:rFonts w:ascii="Arial Narrow" w:hAnsi="Arial Narrow" w:cs="Arial"/>
                <w:b/>
                <w:bCs/>
                <w:sz w:val="22"/>
                <w:szCs w:val="22"/>
              </w:rPr>
              <w:footnoteReference w:id="19"/>
            </w:r>
          </w:p>
        </w:tc>
        <w:tc>
          <w:tcPr>
            <w:tcW w:w="808" w:type="dxa"/>
            <w:tcBorders>
              <w:top w:val="single" w:sz="12" w:space="0" w:color="auto"/>
            </w:tcBorders>
            <w:shd w:val="clear" w:color="auto" w:fill="BFBFBF"/>
            <w:vAlign w:val="center"/>
          </w:tcPr>
          <w:p w14:paraId="3CF96B11" w14:textId="77777777" w:rsidR="00FD2753" w:rsidRPr="00882C41" w:rsidRDefault="00FD2753" w:rsidP="00963E14">
            <w:pPr>
              <w:jc w:val="right"/>
              <w:rPr>
                <w:rFonts w:ascii="Arial Narrow" w:hAnsi="Arial Narrow" w:cs="Arial"/>
                <w:sz w:val="22"/>
                <w:szCs w:val="22"/>
              </w:rPr>
            </w:pPr>
            <w:r w:rsidRPr="0061787F">
              <w:rPr>
                <w:rFonts w:ascii="Arial Narrow" w:hAnsi="Arial Narrow" w:cs="Arial"/>
                <w:b/>
                <w:bCs/>
                <w:sz w:val="22"/>
                <w:szCs w:val="22"/>
              </w:rPr>
              <w:t>3,751</w:t>
            </w:r>
          </w:p>
        </w:tc>
        <w:tc>
          <w:tcPr>
            <w:tcW w:w="810" w:type="dxa"/>
            <w:tcBorders>
              <w:top w:val="single" w:sz="12" w:space="0" w:color="auto"/>
            </w:tcBorders>
            <w:shd w:val="clear" w:color="auto" w:fill="BFBFBF"/>
            <w:vAlign w:val="center"/>
          </w:tcPr>
          <w:p w14:paraId="478D41F1" w14:textId="77777777" w:rsidR="00FD2753" w:rsidRPr="00882C41"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1127A16E" w14:textId="77777777" w:rsidR="00FD2753" w:rsidRPr="00882C41" w:rsidRDefault="00FD2753" w:rsidP="00963E14">
            <w:pPr>
              <w:jc w:val="right"/>
              <w:rPr>
                <w:rFonts w:ascii="Arial Narrow" w:hAnsi="Arial Narrow" w:cs="Arial"/>
                <w:sz w:val="22"/>
                <w:szCs w:val="22"/>
              </w:rPr>
            </w:pPr>
            <w:r w:rsidRPr="0061787F">
              <w:rPr>
                <w:rFonts w:ascii="Arial Narrow" w:hAnsi="Arial Narrow" w:cs="Arial"/>
                <w:b/>
                <w:bCs/>
                <w:sz w:val="22"/>
                <w:szCs w:val="22"/>
              </w:rPr>
              <w:t>3,291</w:t>
            </w:r>
          </w:p>
        </w:tc>
        <w:tc>
          <w:tcPr>
            <w:tcW w:w="810" w:type="dxa"/>
            <w:tcBorders>
              <w:top w:val="single" w:sz="12" w:space="0" w:color="auto"/>
            </w:tcBorders>
            <w:shd w:val="clear" w:color="auto" w:fill="BFBFBF"/>
            <w:vAlign w:val="center"/>
          </w:tcPr>
          <w:p w14:paraId="3868BB80" w14:textId="77777777" w:rsidR="00FD2753" w:rsidRPr="00882C41"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24EDDC5E" w14:textId="77777777" w:rsidR="00FD2753" w:rsidRPr="00882C41" w:rsidRDefault="00FD2753" w:rsidP="00963E14">
            <w:pPr>
              <w:jc w:val="right"/>
              <w:rPr>
                <w:rFonts w:ascii="Arial Narrow" w:hAnsi="Arial Narrow" w:cs="Arial"/>
                <w:sz w:val="22"/>
                <w:szCs w:val="22"/>
              </w:rPr>
            </w:pPr>
            <w:r w:rsidRPr="0061787F">
              <w:rPr>
                <w:rFonts w:ascii="Arial Narrow" w:hAnsi="Arial Narrow" w:cs="Arial"/>
                <w:b/>
                <w:bCs/>
                <w:sz w:val="22"/>
                <w:szCs w:val="22"/>
              </w:rPr>
              <w:t>3,403</w:t>
            </w:r>
          </w:p>
        </w:tc>
        <w:tc>
          <w:tcPr>
            <w:tcW w:w="813" w:type="dxa"/>
            <w:tcBorders>
              <w:top w:val="single" w:sz="12" w:space="0" w:color="auto"/>
            </w:tcBorders>
            <w:shd w:val="clear" w:color="auto" w:fill="BFBFBF"/>
            <w:vAlign w:val="center"/>
          </w:tcPr>
          <w:p w14:paraId="542BC4D5" w14:textId="77777777" w:rsidR="00FD2753" w:rsidRPr="00882C41" w:rsidRDefault="00FD2753" w:rsidP="00963E14">
            <w:pPr>
              <w:jc w:val="right"/>
              <w:rPr>
                <w:rFonts w:ascii="Arial Narrow" w:hAnsi="Arial Narrow" w:cs="Arial"/>
                <w:sz w:val="22"/>
                <w:szCs w:val="22"/>
              </w:rPr>
            </w:pPr>
          </w:p>
        </w:tc>
        <w:tc>
          <w:tcPr>
            <w:tcW w:w="810" w:type="dxa"/>
            <w:tcBorders>
              <w:top w:val="single" w:sz="12" w:space="0" w:color="auto"/>
            </w:tcBorders>
            <w:shd w:val="clear" w:color="auto" w:fill="BFBFBF"/>
            <w:vAlign w:val="center"/>
          </w:tcPr>
          <w:p w14:paraId="2E2B128C" w14:textId="77777777" w:rsidR="00FD2753" w:rsidRPr="00882C41" w:rsidRDefault="00FD2753" w:rsidP="00963E14">
            <w:pPr>
              <w:jc w:val="right"/>
              <w:rPr>
                <w:rFonts w:ascii="Arial Narrow" w:hAnsi="Arial Narrow" w:cs="Arial"/>
                <w:sz w:val="22"/>
                <w:szCs w:val="22"/>
              </w:rPr>
            </w:pPr>
            <w:r w:rsidRPr="0061787F">
              <w:rPr>
                <w:rFonts w:ascii="Arial Narrow" w:hAnsi="Arial Narrow" w:cs="Arial"/>
                <w:b/>
                <w:bCs/>
                <w:sz w:val="22"/>
                <w:szCs w:val="22"/>
              </w:rPr>
              <w:t>895</w:t>
            </w:r>
          </w:p>
        </w:tc>
        <w:tc>
          <w:tcPr>
            <w:tcW w:w="812" w:type="dxa"/>
            <w:tcBorders>
              <w:top w:val="single" w:sz="12" w:space="0" w:color="auto"/>
              <w:right w:val="single" w:sz="12" w:space="0" w:color="auto"/>
            </w:tcBorders>
            <w:shd w:val="clear" w:color="auto" w:fill="BFBFBF"/>
            <w:vAlign w:val="center"/>
          </w:tcPr>
          <w:p w14:paraId="45733F4E" w14:textId="77777777" w:rsidR="00FD2753" w:rsidRPr="00882C41" w:rsidRDefault="00FD2753" w:rsidP="00963E14">
            <w:pPr>
              <w:jc w:val="right"/>
              <w:rPr>
                <w:rFonts w:ascii="Arial Narrow" w:hAnsi="Arial Narrow" w:cs="Arial"/>
                <w:sz w:val="22"/>
                <w:szCs w:val="22"/>
              </w:rPr>
            </w:pPr>
          </w:p>
        </w:tc>
      </w:tr>
      <w:tr w:rsidR="00757DE1" w:rsidRPr="00B60325" w14:paraId="515A4F24" w14:textId="77777777" w:rsidTr="00E013A4">
        <w:trPr>
          <w:gridAfter w:val="1"/>
          <w:wAfter w:w="8" w:type="dxa"/>
          <w:cantSplit/>
          <w:trHeight w:val="20"/>
          <w:jc w:val="center"/>
        </w:trPr>
        <w:tc>
          <w:tcPr>
            <w:tcW w:w="2780" w:type="dxa"/>
            <w:tcBorders>
              <w:left w:val="single" w:sz="12" w:space="0" w:color="auto"/>
            </w:tcBorders>
            <w:vAlign w:val="center"/>
          </w:tcPr>
          <w:p w14:paraId="07A2C022" w14:textId="1EBF8A37"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Dorchester </w:t>
            </w:r>
          </w:p>
        </w:tc>
        <w:tc>
          <w:tcPr>
            <w:tcW w:w="808" w:type="dxa"/>
            <w:vAlign w:val="center"/>
          </w:tcPr>
          <w:p w14:paraId="09B194D3" w14:textId="35262165" w:rsidR="00757DE1" w:rsidRDefault="00757DE1" w:rsidP="00757DE1">
            <w:pPr>
              <w:jc w:val="right"/>
              <w:rPr>
                <w:rFonts w:ascii="Arial Narrow" w:hAnsi="Arial Narrow" w:cs="Arial"/>
                <w:sz w:val="22"/>
                <w:szCs w:val="22"/>
              </w:rPr>
            </w:pPr>
            <w:r>
              <w:rPr>
                <w:rFonts w:ascii="Arial Narrow" w:hAnsi="Arial Narrow" w:cs="Arial"/>
                <w:sz w:val="22"/>
                <w:szCs w:val="22"/>
              </w:rPr>
              <w:t>715</w:t>
            </w:r>
            <w:r w:rsidRPr="00B60325">
              <w:rPr>
                <w:rFonts w:ascii="Arial Narrow" w:hAnsi="Arial Narrow" w:cs="Arial"/>
                <w:sz w:val="22"/>
                <w:szCs w:val="22"/>
              </w:rPr>
              <w:t xml:space="preserve"> </w:t>
            </w:r>
          </w:p>
        </w:tc>
        <w:tc>
          <w:tcPr>
            <w:tcW w:w="810" w:type="dxa"/>
            <w:vAlign w:val="center"/>
          </w:tcPr>
          <w:p w14:paraId="7CA7062A" w14:textId="12DBE920" w:rsidR="00757DE1" w:rsidRDefault="00757DE1" w:rsidP="00757DE1">
            <w:pPr>
              <w:jc w:val="right"/>
              <w:rPr>
                <w:rFonts w:ascii="Arial Narrow" w:hAnsi="Arial Narrow" w:cs="Arial"/>
                <w:sz w:val="22"/>
                <w:szCs w:val="22"/>
              </w:rPr>
            </w:pPr>
            <w:r>
              <w:rPr>
                <w:rFonts w:ascii="Arial Narrow" w:hAnsi="Arial Narrow" w:cs="Arial"/>
                <w:sz w:val="22"/>
                <w:szCs w:val="22"/>
              </w:rPr>
              <w:t>19.1</w:t>
            </w:r>
            <w:r w:rsidRPr="00B60325">
              <w:rPr>
                <w:rFonts w:ascii="Arial Narrow" w:hAnsi="Arial Narrow" w:cs="Arial"/>
                <w:sz w:val="22"/>
                <w:szCs w:val="22"/>
              </w:rPr>
              <w:t>%</w:t>
            </w:r>
          </w:p>
        </w:tc>
        <w:tc>
          <w:tcPr>
            <w:tcW w:w="810" w:type="dxa"/>
            <w:vAlign w:val="center"/>
          </w:tcPr>
          <w:p w14:paraId="2EA47D35" w14:textId="198B2467" w:rsidR="00757DE1" w:rsidRDefault="00757DE1" w:rsidP="00757DE1">
            <w:pPr>
              <w:jc w:val="right"/>
              <w:rPr>
                <w:rFonts w:ascii="Arial Narrow" w:hAnsi="Arial Narrow" w:cs="Arial"/>
                <w:sz w:val="22"/>
                <w:szCs w:val="22"/>
              </w:rPr>
            </w:pPr>
            <w:r>
              <w:rPr>
                <w:rFonts w:ascii="Arial Narrow" w:hAnsi="Arial Narrow" w:cs="Arial"/>
                <w:sz w:val="22"/>
                <w:szCs w:val="22"/>
              </w:rPr>
              <w:t>725</w:t>
            </w:r>
            <w:r w:rsidRPr="00B60325">
              <w:rPr>
                <w:rFonts w:ascii="Arial Narrow" w:hAnsi="Arial Narrow" w:cs="Arial"/>
                <w:sz w:val="22"/>
                <w:szCs w:val="22"/>
              </w:rPr>
              <w:t xml:space="preserve"> </w:t>
            </w:r>
          </w:p>
        </w:tc>
        <w:tc>
          <w:tcPr>
            <w:tcW w:w="810" w:type="dxa"/>
            <w:vAlign w:val="center"/>
          </w:tcPr>
          <w:p w14:paraId="77642F25" w14:textId="0A004A9A" w:rsidR="00757DE1" w:rsidRDefault="00757DE1" w:rsidP="00757DE1">
            <w:pPr>
              <w:jc w:val="right"/>
              <w:rPr>
                <w:rFonts w:ascii="Arial Narrow" w:hAnsi="Arial Narrow" w:cs="Arial"/>
                <w:sz w:val="22"/>
                <w:szCs w:val="22"/>
              </w:rPr>
            </w:pPr>
            <w:r>
              <w:rPr>
                <w:rFonts w:ascii="Arial Narrow" w:hAnsi="Arial Narrow" w:cs="Arial"/>
                <w:sz w:val="22"/>
                <w:szCs w:val="22"/>
              </w:rPr>
              <w:t>22.0</w:t>
            </w:r>
            <w:r w:rsidRPr="00B60325">
              <w:rPr>
                <w:rFonts w:ascii="Arial Narrow" w:hAnsi="Arial Narrow" w:cs="Arial"/>
                <w:sz w:val="22"/>
                <w:szCs w:val="22"/>
              </w:rPr>
              <w:t>%</w:t>
            </w:r>
          </w:p>
        </w:tc>
        <w:tc>
          <w:tcPr>
            <w:tcW w:w="810" w:type="dxa"/>
            <w:vAlign w:val="center"/>
          </w:tcPr>
          <w:p w14:paraId="597196ED" w14:textId="483ABEDA" w:rsidR="00757DE1" w:rsidRDefault="00757DE1" w:rsidP="00757DE1">
            <w:pPr>
              <w:jc w:val="right"/>
              <w:rPr>
                <w:rFonts w:ascii="Arial Narrow" w:hAnsi="Arial Narrow" w:cs="Arial"/>
                <w:sz w:val="22"/>
                <w:szCs w:val="22"/>
              </w:rPr>
            </w:pPr>
            <w:r>
              <w:rPr>
                <w:rFonts w:ascii="Arial Narrow" w:hAnsi="Arial Narrow" w:cs="Arial"/>
                <w:sz w:val="22"/>
                <w:szCs w:val="22"/>
              </w:rPr>
              <w:t>695</w:t>
            </w:r>
          </w:p>
        </w:tc>
        <w:tc>
          <w:tcPr>
            <w:tcW w:w="813" w:type="dxa"/>
            <w:vAlign w:val="center"/>
          </w:tcPr>
          <w:p w14:paraId="75B7DEEE" w14:textId="10B880EC" w:rsidR="00757DE1" w:rsidRDefault="00757DE1" w:rsidP="00757DE1">
            <w:pPr>
              <w:jc w:val="right"/>
              <w:rPr>
                <w:rFonts w:ascii="Arial Narrow" w:hAnsi="Arial Narrow" w:cs="Arial"/>
                <w:sz w:val="22"/>
                <w:szCs w:val="22"/>
              </w:rPr>
            </w:pPr>
            <w:r>
              <w:rPr>
                <w:rFonts w:ascii="Arial Narrow" w:hAnsi="Arial Narrow" w:cs="Arial"/>
                <w:sz w:val="22"/>
                <w:szCs w:val="22"/>
              </w:rPr>
              <w:t>20.4</w:t>
            </w:r>
            <w:r w:rsidRPr="00B60325">
              <w:rPr>
                <w:rFonts w:ascii="Arial Narrow" w:hAnsi="Arial Narrow" w:cs="Arial"/>
                <w:sz w:val="22"/>
                <w:szCs w:val="22"/>
              </w:rPr>
              <w:t>%</w:t>
            </w:r>
          </w:p>
        </w:tc>
        <w:tc>
          <w:tcPr>
            <w:tcW w:w="810" w:type="dxa"/>
            <w:vAlign w:val="center"/>
          </w:tcPr>
          <w:p w14:paraId="29F052B0" w14:textId="11369B67" w:rsidR="00757DE1" w:rsidRDefault="00757DE1" w:rsidP="00757DE1">
            <w:pPr>
              <w:jc w:val="right"/>
              <w:rPr>
                <w:rFonts w:ascii="Arial Narrow" w:hAnsi="Arial Narrow" w:cs="Arial"/>
                <w:sz w:val="22"/>
                <w:szCs w:val="22"/>
              </w:rPr>
            </w:pPr>
            <w:r>
              <w:rPr>
                <w:rFonts w:ascii="Arial Narrow" w:hAnsi="Arial Narrow" w:cs="Arial"/>
                <w:sz w:val="22"/>
                <w:szCs w:val="22"/>
              </w:rPr>
              <w:t>186</w:t>
            </w:r>
          </w:p>
        </w:tc>
        <w:tc>
          <w:tcPr>
            <w:tcW w:w="812" w:type="dxa"/>
            <w:tcBorders>
              <w:right w:val="single" w:sz="12" w:space="0" w:color="auto"/>
            </w:tcBorders>
            <w:vAlign w:val="center"/>
          </w:tcPr>
          <w:p w14:paraId="03A0F817" w14:textId="76F484B3" w:rsidR="00757DE1" w:rsidRDefault="00757DE1" w:rsidP="00757DE1">
            <w:pPr>
              <w:jc w:val="right"/>
              <w:rPr>
                <w:rFonts w:ascii="Arial Narrow" w:hAnsi="Arial Narrow" w:cs="Arial"/>
                <w:sz w:val="22"/>
                <w:szCs w:val="22"/>
              </w:rPr>
            </w:pPr>
            <w:r>
              <w:rPr>
                <w:rFonts w:ascii="Arial Narrow" w:hAnsi="Arial Narrow" w:cs="Arial"/>
                <w:sz w:val="22"/>
                <w:szCs w:val="22"/>
              </w:rPr>
              <w:t>20.8</w:t>
            </w:r>
            <w:r w:rsidRPr="00B60325">
              <w:rPr>
                <w:rFonts w:ascii="Arial Narrow" w:hAnsi="Arial Narrow" w:cs="Arial"/>
                <w:sz w:val="22"/>
                <w:szCs w:val="22"/>
              </w:rPr>
              <w:t>%</w:t>
            </w:r>
          </w:p>
        </w:tc>
      </w:tr>
      <w:tr w:rsidR="00757DE1" w:rsidRPr="00B60325" w14:paraId="5629C48B" w14:textId="77777777" w:rsidTr="00E013A4">
        <w:trPr>
          <w:gridAfter w:val="1"/>
          <w:wAfter w:w="8" w:type="dxa"/>
          <w:cantSplit/>
          <w:trHeight w:val="20"/>
          <w:jc w:val="center"/>
        </w:trPr>
        <w:tc>
          <w:tcPr>
            <w:tcW w:w="2780" w:type="dxa"/>
            <w:tcBorders>
              <w:left w:val="single" w:sz="12" w:space="0" w:color="auto"/>
            </w:tcBorders>
            <w:vAlign w:val="center"/>
          </w:tcPr>
          <w:p w14:paraId="42C5FE23" w14:textId="1D93AF68"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Boston</w:t>
            </w:r>
          </w:p>
        </w:tc>
        <w:tc>
          <w:tcPr>
            <w:tcW w:w="808" w:type="dxa"/>
            <w:vAlign w:val="center"/>
          </w:tcPr>
          <w:p w14:paraId="40B36513" w14:textId="45BCDD4E" w:rsidR="00757DE1" w:rsidRDefault="00757DE1" w:rsidP="00757DE1">
            <w:pPr>
              <w:jc w:val="right"/>
              <w:rPr>
                <w:rFonts w:ascii="Arial Narrow" w:hAnsi="Arial Narrow" w:cs="Arial"/>
                <w:sz w:val="22"/>
                <w:szCs w:val="22"/>
              </w:rPr>
            </w:pPr>
            <w:r>
              <w:rPr>
                <w:rFonts w:ascii="Arial Narrow" w:hAnsi="Arial Narrow" w:cs="Arial"/>
                <w:sz w:val="22"/>
                <w:szCs w:val="22"/>
              </w:rPr>
              <w:t>575</w:t>
            </w:r>
            <w:r w:rsidRPr="00B60325">
              <w:rPr>
                <w:rFonts w:ascii="Arial Narrow" w:hAnsi="Arial Narrow" w:cs="Arial"/>
                <w:sz w:val="22"/>
                <w:szCs w:val="22"/>
              </w:rPr>
              <w:t xml:space="preserve"> </w:t>
            </w:r>
          </w:p>
        </w:tc>
        <w:tc>
          <w:tcPr>
            <w:tcW w:w="810" w:type="dxa"/>
            <w:vAlign w:val="center"/>
          </w:tcPr>
          <w:p w14:paraId="3D395402" w14:textId="7982DFD6" w:rsidR="00757DE1" w:rsidRDefault="00757DE1" w:rsidP="00757DE1">
            <w:pPr>
              <w:jc w:val="right"/>
              <w:rPr>
                <w:rFonts w:ascii="Arial Narrow" w:hAnsi="Arial Narrow" w:cs="Arial"/>
                <w:sz w:val="22"/>
                <w:szCs w:val="22"/>
              </w:rPr>
            </w:pPr>
            <w:r>
              <w:rPr>
                <w:rFonts w:ascii="Arial Narrow" w:hAnsi="Arial Narrow" w:cs="Arial"/>
                <w:sz w:val="22"/>
                <w:szCs w:val="22"/>
              </w:rPr>
              <w:t>15.3</w:t>
            </w:r>
            <w:r w:rsidRPr="00B60325">
              <w:rPr>
                <w:rFonts w:ascii="Arial Narrow" w:hAnsi="Arial Narrow" w:cs="Arial"/>
                <w:sz w:val="22"/>
                <w:szCs w:val="22"/>
              </w:rPr>
              <w:t>%</w:t>
            </w:r>
          </w:p>
        </w:tc>
        <w:tc>
          <w:tcPr>
            <w:tcW w:w="810" w:type="dxa"/>
            <w:vAlign w:val="center"/>
          </w:tcPr>
          <w:p w14:paraId="5B589CDA" w14:textId="2CD2012A" w:rsidR="00757DE1" w:rsidRDefault="00757DE1" w:rsidP="00757DE1">
            <w:pPr>
              <w:jc w:val="right"/>
              <w:rPr>
                <w:rFonts w:ascii="Arial Narrow" w:hAnsi="Arial Narrow" w:cs="Arial"/>
                <w:sz w:val="22"/>
                <w:szCs w:val="22"/>
              </w:rPr>
            </w:pPr>
            <w:r>
              <w:rPr>
                <w:rFonts w:ascii="Arial Narrow" w:hAnsi="Arial Narrow" w:cs="Arial"/>
                <w:sz w:val="22"/>
                <w:szCs w:val="22"/>
              </w:rPr>
              <w:t>510</w:t>
            </w:r>
            <w:r w:rsidRPr="00B60325">
              <w:rPr>
                <w:rFonts w:ascii="Arial Narrow" w:hAnsi="Arial Narrow" w:cs="Arial"/>
                <w:sz w:val="22"/>
                <w:szCs w:val="22"/>
              </w:rPr>
              <w:t xml:space="preserve"> </w:t>
            </w:r>
          </w:p>
        </w:tc>
        <w:tc>
          <w:tcPr>
            <w:tcW w:w="810" w:type="dxa"/>
            <w:vAlign w:val="center"/>
          </w:tcPr>
          <w:p w14:paraId="71864603" w14:textId="0F837BCE" w:rsidR="00757DE1" w:rsidRDefault="00757DE1" w:rsidP="00757DE1">
            <w:pPr>
              <w:jc w:val="right"/>
              <w:rPr>
                <w:rFonts w:ascii="Arial Narrow" w:hAnsi="Arial Narrow" w:cs="Arial"/>
                <w:sz w:val="22"/>
                <w:szCs w:val="22"/>
              </w:rPr>
            </w:pPr>
            <w:r>
              <w:rPr>
                <w:rFonts w:ascii="Arial Narrow" w:hAnsi="Arial Narrow" w:cs="Arial"/>
                <w:sz w:val="22"/>
                <w:szCs w:val="22"/>
              </w:rPr>
              <w:t>15.5</w:t>
            </w:r>
            <w:r w:rsidRPr="00B60325">
              <w:rPr>
                <w:rFonts w:ascii="Arial Narrow" w:hAnsi="Arial Narrow" w:cs="Arial"/>
                <w:sz w:val="22"/>
                <w:szCs w:val="22"/>
              </w:rPr>
              <w:t>%</w:t>
            </w:r>
          </w:p>
        </w:tc>
        <w:tc>
          <w:tcPr>
            <w:tcW w:w="810" w:type="dxa"/>
            <w:vAlign w:val="center"/>
          </w:tcPr>
          <w:p w14:paraId="4738D3BB" w14:textId="4231559E" w:rsidR="00757DE1" w:rsidRDefault="00757DE1" w:rsidP="00757DE1">
            <w:pPr>
              <w:jc w:val="right"/>
              <w:rPr>
                <w:rFonts w:ascii="Arial Narrow" w:hAnsi="Arial Narrow" w:cs="Arial"/>
                <w:sz w:val="22"/>
                <w:szCs w:val="22"/>
              </w:rPr>
            </w:pPr>
            <w:r>
              <w:rPr>
                <w:rFonts w:ascii="Arial Narrow" w:hAnsi="Arial Narrow" w:cs="Arial"/>
                <w:sz w:val="22"/>
                <w:szCs w:val="22"/>
              </w:rPr>
              <w:t>503</w:t>
            </w:r>
          </w:p>
        </w:tc>
        <w:tc>
          <w:tcPr>
            <w:tcW w:w="813" w:type="dxa"/>
            <w:vAlign w:val="center"/>
          </w:tcPr>
          <w:p w14:paraId="6A1F8379" w14:textId="79AE68AF" w:rsidR="00757DE1" w:rsidRDefault="00757DE1" w:rsidP="00757DE1">
            <w:pPr>
              <w:jc w:val="right"/>
              <w:rPr>
                <w:rFonts w:ascii="Arial Narrow" w:hAnsi="Arial Narrow" w:cs="Arial"/>
                <w:sz w:val="22"/>
                <w:szCs w:val="22"/>
              </w:rPr>
            </w:pPr>
            <w:r>
              <w:rPr>
                <w:rFonts w:ascii="Arial Narrow" w:hAnsi="Arial Narrow" w:cs="Arial"/>
                <w:sz w:val="22"/>
                <w:szCs w:val="22"/>
              </w:rPr>
              <w:t>14.8</w:t>
            </w:r>
            <w:r w:rsidRPr="00B60325">
              <w:rPr>
                <w:rFonts w:ascii="Arial Narrow" w:hAnsi="Arial Narrow" w:cs="Arial"/>
                <w:sz w:val="22"/>
                <w:szCs w:val="22"/>
              </w:rPr>
              <w:t>%</w:t>
            </w:r>
          </w:p>
        </w:tc>
        <w:tc>
          <w:tcPr>
            <w:tcW w:w="810" w:type="dxa"/>
            <w:vAlign w:val="center"/>
          </w:tcPr>
          <w:p w14:paraId="5603B14A" w14:textId="32F2FD0F" w:rsidR="00757DE1" w:rsidRDefault="00757DE1" w:rsidP="00757DE1">
            <w:pPr>
              <w:jc w:val="right"/>
              <w:rPr>
                <w:rFonts w:ascii="Arial Narrow" w:hAnsi="Arial Narrow" w:cs="Arial"/>
                <w:sz w:val="22"/>
                <w:szCs w:val="22"/>
              </w:rPr>
            </w:pPr>
            <w:r>
              <w:rPr>
                <w:rFonts w:ascii="Arial Narrow" w:hAnsi="Arial Narrow" w:cs="Arial"/>
                <w:sz w:val="22"/>
                <w:szCs w:val="22"/>
              </w:rPr>
              <w:t>147</w:t>
            </w:r>
          </w:p>
        </w:tc>
        <w:tc>
          <w:tcPr>
            <w:tcW w:w="812" w:type="dxa"/>
            <w:tcBorders>
              <w:right w:val="single" w:sz="12" w:space="0" w:color="auto"/>
            </w:tcBorders>
            <w:vAlign w:val="center"/>
          </w:tcPr>
          <w:p w14:paraId="66B55925" w14:textId="2EE2E91D" w:rsidR="00757DE1" w:rsidRDefault="00757DE1" w:rsidP="00757DE1">
            <w:pPr>
              <w:jc w:val="right"/>
              <w:rPr>
                <w:rFonts w:ascii="Arial Narrow" w:hAnsi="Arial Narrow" w:cs="Arial"/>
                <w:sz w:val="22"/>
                <w:szCs w:val="22"/>
              </w:rPr>
            </w:pPr>
            <w:r>
              <w:rPr>
                <w:rFonts w:ascii="Arial Narrow" w:hAnsi="Arial Narrow" w:cs="Arial"/>
                <w:sz w:val="22"/>
                <w:szCs w:val="22"/>
              </w:rPr>
              <w:t>16.4</w:t>
            </w:r>
            <w:r w:rsidRPr="00B60325">
              <w:rPr>
                <w:rFonts w:ascii="Arial Narrow" w:hAnsi="Arial Narrow" w:cs="Arial"/>
                <w:sz w:val="22"/>
                <w:szCs w:val="22"/>
              </w:rPr>
              <w:t>%</w:t>
            </w:r>
          </w:p>
        </w:tc>
      </w:tr>
      <w:tr w:rsidR="00757DE1" w:rsidRPr="00B60325" w14:paraId="60F61CF8" w14:textId="77777777" w:rsidTr="00E013A4">
        <w:trPr>
          <w:gridAfter w:val="1"/>
          <w:wAfter w:w="8" w:type="dxa"/>
          <w:cantSplit/>
          <w:trHeight w:val="20"/>
          <w:jc w:val="center"/>
        </w:trPr>
        <w:tc>
          <w:tcPr>
            <w:tcW w:w="2780" w:type="dxa"/>
            <w:tcBorders>
              <w:left w:val="single" w:sz="12" w:space="0" w:color="auto"/>
            </w:tcBorders>
            <w:vAlign w:val="center"/>
          </w:tcPr>
          <w:p w14:paraId="66E0FBE0" w14:textId="5215CE02"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Roxbury</w:t>
            </w:r>
          </w:p>
        </w:tc>
        <w:tc>
          <w:tcPr>
            <w:tcW w:w="808" w:type="dxa"/>
            <w:vAlign w:val="center"/>
          </w:tcPr>
          <w:p w14:paraId="602B9BB6" w14:textId="298CFFB7" w:rsidR="00757DE1" w:rsidRDefault="00757DE1" w:rsidP="00757DE1">
            <w:pPr>
              <w:jc w:val="right"/>
              <w:rPr>
                <w:rFonts w:ascii="Arial Narrow" w:hAnsi="Arial Narrow" w:cs="Arial"/>
                <w:sz w:val="22"/>
                <w:szCs w:val="22"/>
              </w:rPr>
            </w:pPr>
            <w:r>
              <w:rPr>
                <w:rFonts w:ascii="Arial Narrow" w:hAnsi="Arial Narrow" w:cs="Arial"/>
                <w:sz w:val="22"/>
                <w:szCs w:val="22"/>
              </w:rPr>
              <w:t>251</w:t>
            </w:r>
            <w:r w:rsidRPr="00B60325">
              <w:rPr>
                <w:rFonts w:ascii="Arial Narrow" w:hAnsi="Arial Narrow" w:cs="Arial"/>
                <w:sz w:val="22"/>
                <w:szCs w:val="22"/>
              </w:rPr>
              <w:t xml:space="preserve"> </w:t>
            </w:r>
          </w:p>
        </w:tc>
        <w:tc>
          <w:tcPr>
            <w:tcW w:w="810" w:type="dxa"/>
            <w:vAlign w:val="center"/>
          </w:tcPr>
          <w:p w14:paraId="04017F12" w14:textId="213AD2EB" w:rsidR="00757DE1" w:rsidRDefault="00757DE1" w:rsidP="00757DE1">
            <w:pPr>
              <w:jc w:val="right"/>
              <w:rPr>
                <w:rFonts w:ascii="Arial Narrow" w:hAnsi="Arial Narrow" w:cs="Arial"/>
                <w:sz w:val="22"/>
                <w:szCs w:val="22"/>
              </w:rPr>
            </w:pPr>
            <w:r>
              <w:rPr>
                <w:rFonts w:ascii="Arial Narrow" w:hAnsi="Arial Narrow" w:cs="Arial"/>
                <w:sz w:val="22"/>
                <w:szCs w:val="22"/>
              </w:rPr>
              <w:t>6.7</w:t>
            </w:r>
            <w:r w:rsidRPr="00B60325">
              <w:rPr>
                <w:rFonts w:ascii="Arial Narrow" w:hAnsi="Arial Narrow" w:cs="Arial"/>
                <w:sz w:val="22"/>
                <w:szCs w:val="22"/>
              </w:rPr>
              <w:t>%</w:t>
            </w:r>
          </w:p>
        </w:tc>
        <w:tc>
          <w:tcPr>
            <w:tcW w:w="810" w:type="dxa"/>
            <w:vAlign w:val="center"/>
          </w:tcPr>
          <w:p w14:paraId="487482DF" w14:textId="68BA4721" w:rsidR="00757DE1" w:rsidRDefault="00757DE1" w:rsidP="00757DE1">
            <w:pPr>
              <w:jc w:val="right"/>
              <w:rPr>
                <w:rFonts w:ascii="Arial Narrow" w:hAnsi="Arial Narrow" w:cs="Arial"/>
                <w:sz w:val="22"/>
                <w:szCs w:val="22"/>
              </w:rPr>
            </w:pPr>
            <w:r>
              <w:rPr>
                <w:rFonts w:ascii="Arial Narrow" w:hAnsi="Arial Narrow" w:cs="Arial"/>
                <w:sz w:val="22"/>
                <w:szCs w:val="22"/>
              </w:rPr>
              <w:t>258</w:t>
            </w:r>
            <w:r w:rsidRPr="00B60325">
              <w:rPr>
                <w:rFonts w:ascii="Arial Narrow" w:hAnsi="Arial Narrow" w:cs="Arial"/>
                <w:sz w:val="22"/>
                <w:szCs w:val="22"/>
              </w:rPr>
              <w:t xml:space="preserve"> </w:t>
            </w:r>
          </w:p>
        </w:tc>
        <w:tc>
          <w:tcPr>
            <w:tcW w:w="810" w:type="dxa"/>
            <w:vAlign w:val="center"/>
          </w:tcPr>
          <w:p w14:paraId="38CD7ABB" w14:textId="4D479AF3" w:rsidR="00757DE1" w:rsidRDefault="00757DE1" w:rsidP="00757DE1">
            <w:pPr>
              <w:jc w:val="right"/>
              <w:rPr>
                <w:rFonts w:ascii="Arial Narrow" w:hAnsi="Arial Narrow" w:cs="Arial"/>
                <w:sz w:val="22"/>
                <w:szCs w:val="22"/>
              </w:rPr>
            </w:pPr>
            <w:r>
              <w:rPr>
                <w:rFonts w:ascii="Arial Narrow" w:hAnsi="Arial Narrow" w:cs="Arial"/>
                <w:sz w:val="22"/>
                <w:szCs w:val="22"/>
              </w:rPr>
              <w:t>7.8</w:t>
            </w:r>
            <w:r w:rsidRPr="00B60325">
              <w:rPr>
                <w:rFonts w:ascii="Arial Narrow" w:hAnsi="Arial Narrow" w:cs="Arial"/>
                <w:sz w:val="22"/>
                <w:szCs w:val="22"/>
              </w:rPr>
              <w:t>%</w:t>
            </w:r>
          </w:p>
        </w:tc>
        <w:tc>
          <w:tcPr>
            <w:tcW w:w="810" w:type="dxa"/>
            <w:vAlign w:val="center"/>
          </w:tcPr>
          <w:p w14:paraId="3DEA29FB" w14:textId="4F102D93" w:rsidR="00757DE1" w:rsidRDefault="00757DE1" w:rsidP="00757DE1">
            <w:pPr>
              <w:jc w:val="right"/>
              <w:rPr>
                <w:rFonts w:ascii="Arial Narrow" w:hAnsi="Arial Narrow" w:cs="Arial"/>
                <w:sz w:val="22"/>
                <w:szCs w:val="22"/>
              </w:rPr>
            </w:pPr>
            <w:r>
              <w:rPr>
                <w:rFonts w:ascii="Arial Narrow" w:hAnsi="Arial Narrow" w:cs="Arial"/>
                <w:sz w:val="22"/>
                <w:szCs w:val="22"/>
              </w:rPr>
              <w:t>232</w:t>
            </w:r>
          </w:p>
        </w:tc>
        <w:tc>
          <w:tcPr>
            <w:tcW w:w="813" w:type="dxa"/>
            <w:vAlign w:val="center"/>
          </w:tcPr>
          <w:p w14:paraId="5B59580D" w14:textId="3AB13D50" w:rsidR="00757DE1" w:rsidRDefault="00757DE1" w:rsidP="00757DE1">
            <w:pPr>
              <w:jc w:val="right"/>
              <w:rPr>
                <w:rFonts w:ascii="Arial Narrow" w:hAnsi="Arial Narrow" w:cs="Arial"/>
                <w:sz w:val="22"/>
                <w:szCs w:val="22"/>
              </w:rPr>
            </w:pPr>
            <w:r>
              <w:rPr>
                <w:rFonts w:ascii="Arial Narrow" w:hAnsi="Arial Narrow" w:cs="Arial"/>
                <w:sz w:val="22"/>
                <w:szCs w:val="22"/>
              </w:rPr>
              <w:t>6.8</w:t>
            </w:r>
            <w:r w:rsidRPr="00B60325">
              <w:rPr>
                <w:rFonts w:ascii="Arial Narrow" w:hAnsi="Arial Narrow" w:cs="Arial"/>
                <w:sz w:val="22"/>
                <w:szCs w:val="22"/>
              </w:rPr>
              <w:t>%</w:t>
            </w:r>
          </w:p>
        </w:tc>
        <w:tc>
          <w:tcPr>
            <w:tcW w:w="810" w:type="dxa"/>
            <w:vAlign w:val="center"/>
          </w:tcPr>
          <w:p w14:paraId="0D93CAB6" w14:textId="3C8A08E5" w:rsidR="00757DE1" w:rsidRDefault="00757DE1" w:rsidP="00757DE1">
            <w:pPr>
              <w:jc w:val="right"/>
              <w:rPr>
                <w:rFonts w:ascii="Arial Narrow" w:hAnsi="Arial Narrow" w:cs="Arial"/>
                <w:sz w:val="22"/>
                <w:szCs w:val="22"/>
              </w:rPr>
            </w:pPr>
            <w:r>
              <w:rPr>
                <w:rFonts w:ascii="Arial Narrow" w:hAnsi="Arial Narrow" w:cs="Arial"/>
                <w:sz w:val="22"/>
                <w:szCs w:val="22"/>
              </w:rPr>
              <w:t>64</w:t>
            </w:r>
          </w:p>
        </w:tc>
        <w:tc>
          <w:tcPr>
            <w:tcW w:w="812" w:type="dxa"/>
            <w:tcBorders>
              <w:right w:val="single" w:sz="12" w:space="0" w:color="auto"/>
            </w:tcBorders>
            <w:vAlign w:val="center"/>
          </w:tcPr>
          <w:p w14:paraId="79D44F60" w14:textId="16840313" w:rsidR="00757DE1" w:rsidRDefault="00757DE1" w:rsidP="00757DE1">
            <w:pPr>
              <w:jc w:val="right"/>
              <w:rPr>
                <w:rFonts w:ascii="Arial Narrow" w:hAnsi="Arial Narrow" w:cs="Arial"/>
                <w:sz w:val="22"/>
                <w:szCs w:val="22"/>
              </w:rPr>
            </w:pPr>
            <w:r>
              <w:rPr>
                <w:rFonts w:ascii="Arial Narrow" w:hAnsi="Arial Narrow" w:cs="Arial"/>
                <w:sz w:val="22"/>
                <w:szCs w:val="22"/>
              </w:rPr>
              <w:t>7.2</w:t>
            </w:r>
            <w:r w:rsidRPr="00B60325">
              <w:rPr>
                <w:rFonts w:ascii="Arial Narrow" w:hAnsi="Arial Narrow" w:cs="Arial"/>
                <w:sz w:val="22"/>
                <w:szCs w:val="22"/>
              </w:rPr>
              <w:t>%</w:t>
            </w:r>
          </w:p>
        </w:tc>
      </w:tr>
      <w:tr w:rsidR="00757DE1" w:rsidRPr="00B60325" w14:paraId="4D520510" w14:textId="77777777" w:rsidTr="00E013A4">
        <w:trPr>
          <w:gridAfter w:val="1"/>
          <w:wAfter w:w="8" w:type="dxa"/>
          <w:cantSplit/>
          <w:trHeight w:val="20"/>
          <w:jc w:val="center"/>
        </w:trPr>
        <w:tc>
          <w:tcPr>
            <w:tcW w:w="2780" w:type="dxa"/>
            <w:tcBorders>
              <w:left w:val="single" w:sz="12" w:space="0" w:color="auto"/>
            </w:tcBorders>
            <w:vAlign w:val="center"/>
          </w:tcPr>
          <w:p w14:paraId="64C516A7" w14:textId="6176A71F"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Brockton </w:t>
            </w:r>
          </w:p>
        </w:tc>
        <w:tc>
          <w:tcPr>
            <w:tcW w:w="808" w:type="dxa"/>
            <w:vAlign w:val="center"/>
          </w:tcPr>
          <w:p w14:paraId="7802E77F" w14:textId="1FF64B72" w:rsidR="00757DE1" w:rsidRDefault="00757DE1" w:rsidP="00757DE1">
            <w:pPr>
              <w:jc w:val="right"/>
              <w:rPr>
                <w:rFonts w:ascii="Arial Narrow" w:hAnsi="Arial Narrow" w:cs="Arial"/>
                <w:sz w:val="22"/>
                <w:szCs w:val="22"/>
              </w:rPr>
            </w:pPr>
            <w:r>
              <w:rPr>
                <w:rFonts w:ascii="Arial Narrow" w:hAnsi="Arial Narrow" w:cs="Arial"/>
                <w:sz w:val="22"/>
                <w:szCs w:val="22"/>
              </w:rPr>
              <w:t>150</w:t>
            </w:r>
            <w:r w:rsidRPr="00B60325">
              <w:rPr>
                <w:rFonts w:ascii="Arial Narrow" w:hAnsi="Arial Narrow" w:cs="Arial"/>
                <w:sz w:val="22"/>
                <w:szCs w:val="22"/>
              </w:rPr>
              <w:t xml:space="preserve"> </w:t>
            </w:r>
          </w:p>
        </w:tc>
        <w:tc>
          <w:tcPr>
            <w:tcW w:w="810" w:type="dxa"/>
            <w:vAlign w:val="center"/>
          </w:tcPr>
          <w:p w14:paraId="2277E362" w14:textId="46B91F91" w:rsidR="00757DE1" w:rsidRDefault="00757DE1" w:rsidP="00757DE1">
            <w:pPr>
              <w:jc w:val="right"/>
              <w:rPr>
                <w:rFonts w:ascii="Arial Narrow" w:hAnsi="Arial Narrow" w:cs="Arial"/>
                <w:sz w:val="22"/>
                <w:szCs w:val="22"/>
              </w:rPr>
            </w:pPr>
            <w:r>
              <w:rPr>
                <w:rFonts w:ascii="Arial Narrow" w:hAnsi="Arial Narrow" w:cs="Arial"/>
                <w:sz w:val="22"/>
                <w:szCs w:val="22"/>
              </w:rPr>
              <w:t>4.0</w:t>
            </w:r>
            <w:r w:rsidRPr="00B60325">
              <w:rPr>
                <w:rFonts w:ascii="Arial Narrow" w:hAnsi="Arial Narrow" w:cs="Arial"/>
                <w:sz w:val="22"/>
                <w:szCs w:val="22"/>
              </w:rPr>
              <w:t>%</w:t>
            </w:r>
          </w:p>
        </w:tc>
        <w:tc>
          <w:tcPr>
            <w:tcW w:w="810" w:type="dxa"/>
            <w:vAlign w:val="center"/>
          </w:tcPr>
          <w:p w14:paraId="6C5ADDF9" w14:textId="46FCDEA2" w:rsidR="00757DE1" w:rsidRDefault="00757DE1" w:rsidP="00757DE1">
            <w:pPr>
              <w:jc w:val="right"/>
              <w:rPr>
                <w:rFonts w:ascii="Arial Narrow" w:hAnsi="Arial Narrow" w:cs="Arial"/>
                <w:sz w:val="22"/>
                <w:szCs w:val="22"/>
              </w:rPr>
            </w:pPr>
            <w:r>
              <w:rPr>
                <w:rFonts w:ascii="Arial Narrow" w:hAnsi="Arial Narrow" w:cs="Arial"/>
                <w:sz w:val="22"/>
                <w:szCs w:val="22"/>
              </w:rPr>
              <w:t>146</w:t>
            </w:r>
            <w:r w:rsidRPr="00B60325">
              <w:rPr>
                <w:rFonts w:ascii="Arial Narrow" w:hAnsi="Arial Narrow" w:cs="Arial"/>
                <w:sz w:val="22"/>
                <w:szCs w:val="22"/>
              </w:rPr>
              <w:t xml:space="preserve"> </w:t>
            </w:r>
          </w:p>
        </w:tc>
        <w:tc>
          <w:tcPr>
            <w:tcW w:w="810" w:type="dxa"/>
            <w:vAlign w:val="center"/>
          </w:tcPr>
          <w:p w14:paraId="75027C36" w14:textId="6DF5C856" w:rsidR="00757DE1" w:rsidRDefault="00757DE1" w:rsidP="00757DE1">
            <w:pPr>
              <w:jc w:val="right"/>
              <w:rPr>
                <w:rFonts w:ascii="Arial Narrow" w:hAnsi="Arial Narrow" w:cs="Arial"/>
                <w:sz w:val="22"/>
                <w:szCs w:val="22"/>
              </w:rPr>
            </w:pPr>
            <w:r>
              <w:rPr>
                <w:rFonts w:ascii="Arial Narrow" w:hAnsi="Arial Narrow" w:cs="Arial"/>
                <w:sz w:val="22"/>
                <w:szCs w:val="22"/>
              </w:rPr>
              <w:t>4.4</w:t>
            </w:r>
            <w:r w:rsidRPr="00B60325">
              <w:rPr>
                <w:rFonts w:ascii="Arial Narrow" w:hAnsi="Arial Narrow" w:cs="Arial"/>
                <w:sz w:val="22"/>
                <w:szCs w:val="22"/>
              </w:rPr>
              <w:t>%</w:t>
            </w:r>
          </w:p>
        </w:tc>
        <w:tc>
          <w:tcPr>
            <w:tcW w:w="810" w:type="dxa"/>
            <w:vAlign w:val="center"/>
          </w:tcPr>
          <w:p w14:paraId="7B640D0A" w14:textId="09138322" w:rsidR="00757DE1" w:rsidRDefault="00757DE1" w:rsidP="00757DE1">
            <w:pPr>
              <w:jc w:val="right"/>
              <w:rPr>
                <w:rFonts w:ascii="Arial Narrow" w:hAnsi="Arial Narrow" w:cs="Arial"/>
                <w:sz w:val="22"/>
                <w:szCs w:val="22"/>
              </w:rPr>
            </w:pPr>
            <w:r>
              <w:rPr>
                <w:rFonts w:ascii="Arial Narrow" w:hAnsi="Arial Narrow" w:cs="Arial"/>
                <w:sz w:val="22"/>
                <w:szCs w:val="22"/>
              </w:rPr>
              <w:t>134</w:t>
            </w:r>
          </w:p>
        </w:tc>
        <w:tc>
          <w:tcPr>
            <w:tcW w:w="813" w:type="dxa"/>
            <w:vAlign w:val="center"/>
          </w:tcPr>
          <w:p w14:paraId="4855285A" w14:textId="4C9A5471" w:rsidR="00757DE1" w:rsidRDefault="00757DE1" w:rsidP="00757DE1">
            <w:pPr>
              <w:jc w:val="right"/>
              <w:rPr>
                <w:rFonts w:ascii="Arial Narrow" w:hAnsi="Arial Narrow" w:cs="Arial"/>
                <w:sz w:val="22"/>
                <w:szCs w:val="22"/>
              </w:rPr>
            </w:pPr>
            <w:r>
              <w:rPr>
                <w:rFonts w:ascii="Arial Narrow" w:hAnsi="Arial Narrow" w:cs="Arial"/>
                <w:sz w:val="22"/>
                <w:szCs w:val="22"/>
              </w:rPr>
              <w:t>3.9</w:t>
            </w:r>
            <w:r w:rsidRPr="00B60325">
              <w:rPr>
                <w:rFonts w:ascii="Arial Narrow" w:hAnsi="Arial Narrow" w:cs="Arial"/>
                <w:sz w:val="22"/>
                <w:szCs w:val="22"/>
              </w:rPr>
              <w:t>%</w:t>
            </w:r>
          </w:p>
        </w:tc>
        <w:tc>
          <w:tcPr>
            <w:tcW w:w="810" w:type="dxa"/>
            <w:vAlign w:val="center"/>
          </w:tcPr>
          <w:p w14:paraId="05F9D7F2" w14:textId="57A64984" w:rsidR="00757DE1" w:rsidRDefault="00757DE1" w:rsidP="00757DE1">
            <w:pPr>
              <w:jc w:val="right"/>
              <w:rPr>
                <w:rFonts w:ascii="Arial Narrow" w:hAnsi="Arial Narrow" w:cs="Arial"/>
                <w:sz w:val="22"/>
                <w:szCs w:val="22"/>
              </w:rPr>
            </w:pPr>
            <w:r>
              <w:rPr>
                <w:rFonts w:ascii="Arial Narrow" w:hAnsi="Arial Narrow" w:cs="Arial"/>
                <w:sz w:val="22"/>
                <w:szCs w:val="22"/>
              </w:rPr>
              <w:t>32</w:t>
            </w:r>
          </w:p>
        </w:tc>
        <w:tc>
          <w:tcPr>
            <w:tcW w:w="812" w:type="dxa"/>
            <w:tcBorders>
              <w:right w:val="single" w:sz="12" w:space="0" w:color="auto"/>
            </w:tcBorders>
            <w:vAlign w:val="center"/>
          </w:tcPr>
          <w:p w14:paraId="5CDE0AD2" w14:textId="215F3E52" w:rsidR="00757DE1" w:rsidRDefault="00757DE1" w:rsidP="00757DE1">
            <w:pPr>
              <w:jc w:val="right"/>
              <w:rPr>
                <w:rFonts w:ascii="Arial Narrow" w:hAnsi="Arial Narrow" w:cs="Arial"/>
                <w:sz w:val="22"/>
                <w:szCs w:val="22"/>
              </w:rPr>
            </w:pPr>
            <w:r>
              <w:rPr>
                <w:rFonts w:ascii="Arial Narrow" w:hAnsi="Arial Narrow" w:cs="Arial"/>
                <w:sz w:val="22"/>
                <w:szCs w:val="22"/>
              </w:rPr>
              <w:t>3.6</w:t>
            </w:r>
            <w:r w:rsidRPr="00B60325">
              <w:rPr>
                <w:rFonts w:ascii="Arial Narrow" w:hAnsi="Arial Narrow" w:cs="Arial"/>
                <w:sz w:val="22"/>
                <w:szCs w:val="22"/>
              </w:rPr>
              <w:t>%</w:t>
            </w:r>
          </w:p>
        </w:tc>
      </w:tr>
      <w:tr w:rsidR="00757DE1" w:rsidRPr="00B60325" w14:paraId="55BFFCB0" w14:textId="77777777" w:rsidTr="00E013A4">
        <w:trPr>
          <w:gridAfter w:val="1"/>
          <w:wAfter w:w="8" w:type="dxa"/>
          <w:cantSplit/>
          <w:trHeight w:val="20"/>
          <w:jc w:val="center"/>
        </w:trPr>
        <w:tc>
          <w:tcPr>
            <w:tcW w:w="2780" w:type="dxa"/>
            <w:tcBorders>
              <w:left w:val="single" w:sz="12" w:space="0" w:color="auto"/>
            </w:tcBorders>
            <w:vAlign w:val="center"/>
          </w:tcPr>
          <w:p w14:paraId="03E852C4" w14:textId="5DE6A2CF"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Quincy</w:t>
            </w:r>
          </w:p>
        </w:tc>
        <w:tc>
          <w:tcPr>
            <w:tcW w:w="808" w:type="dxa"/>
            <w:vAlign w:val="center"/>
          </w:tcPr>
          <w:p w14:paraId="02BBC8D4" w14:textId="7400C2ED" w:rsidR="00757DE1" w:rsidRDefault="00757DE1" w:rsidP="00757DE1">
            <w:pPr>
              <w:jc w:val="right"/>
              <w:rPr>
                <w:rFonts w:ascii="Arial Narrow" w:hAnsi="Arial Narrow" w:cs="Arial"/>
                <w:sz w:val="22"/>
                <w:szCs w:val="22"/>
              </w:rPr>
            </w:pPr>
            <w:r>
              <w:rPr>
                <w:rFonts w:ascii="Arial Narrow" w:hAnsi="Arial Narrow" w:cs="Arial"/>
                <w:sz w:val="22"/>
                <w:szCs w:val="22"/>
              </w:rPr>
              <w:t>132</w:t>
            </w:r>
            <w:r w:rsidRPr="00B60325">
              <w:rPr>
                <w:rFonts w:ascii="Arial Narrow" w:hAnsi="Arial Narrow" w:cs="Arial"/>
                <w:sz w:val="22"/>
                <w:szCs w:val="22"/>
              </w:rPr>
              <w:t xml:space="preserve"> </w:t>
            </w:r>
          </w:p>
        </w:tc>
        <w:tc>
          <w:tcPr>
            <w:tcW w:w="810" w:type="dxa"/>
            <w:vAlign w:val="center"/>
          </w:tcPr>
          <w:p w14:paraId="79141327" w14:textId="5C42F53B" w:rsidR="00757DE1" w:rsidRDefault="00757DE1" w:rsidP="00757DE1">
            <w:pPr>
              <w:jc w:val="right"/>
              <w:rPr>
                <w:rFonts w:ascii="Arial Narrow" w:hAnsi="Arial Narrow" w:cs="Arial"/>
                <w:sz w:val="22"/>
                <w:szCs w:val="22"/>
              </w:rPr>
            </w:pPr>
            <w:r>
              <w:rPr>
                <w:rFonts w:ascii="Arial Narrow" w:hAnsi="Arial Narrow" w:cs="Arial"/>
                <w:sz w:val="22"/>
                <w:szCs w:val="22"/>
              </w:rPr>
              <w:t>3.5</w:t>
            </w:r>
            <w:r w:rsidRPr="00B60325">
              <w:rPr>
                <w:rFonts w:ascii="Arial Narrow" w:hAnsi="Arial Narrow" w:cs="Arial"/>
                <w:sz w:val="22"/>
                <w:szCs w:val="22"/>
              </w:rPr>
              <w:t>%</w:t>
            </w:r>
          </w:p>
        </w:tc>
        <w:tc>
          <w:tcPr>
            <w:tcW w:w="810" w:type="dxa"/>
            <w:vAlign w:val="center"/>
          </w:tcPr>
          <w:p w14:paraId="122FAA79" w14:textId="0FC6D172" w:rsidR="00757DE1" w:rsidRDefault="00757DE1" w:rsidP="00757DE1">
            <w:pPr>
              <w:jc w:val="right"/>
              <w:rPr>
                <w:rFonts w:ascii="Arial Narrow" w:hAnsi="Arial Narrow" w:cs="Arial"/>
                <w:sz w:val="22"/>
                <w:szCs w:val="22"/>
              </w:rPr>
            </w:pPr>
            <w:r>
              <w:rPr>
                <w:rFonts w:ascii="Arial Narrow" w:hAnsi="Arial Narrow" w:cs="Arial"/>
                <w:sz w:val="22"/>
                <w:szCs w:val="22"/>
              </w:rPr>
              <w:t>120</w:t>
            </w:r>
            <w:r w:rsidRPr="00B60325">
              <w:rPr>
                <w:rFonts w:ascii="Arial Narrow" w:hAnsi="Arial Narrow" w:cs="Arial"/>
                <w:sz w:val="22"/>
                <w:szCs w:val="22"/>
              </w:rPr>
              <w:t xml:space="preserve"> </w:t>
            </w:r>
          </w:p>
        </w:tc>
        <w:tc>
          <w:tcPr>
            <w:tcW w:w="810" w:type="dxa"/>
            <w:vAlign w:val="center"/>
          </w:tcPr>
          <w:p w14:paraId="49AB8C58" w14:textId="595DC34D" w:rsidR="00757DE1" w:rsidRDefault="00757DE1" w:rsidP="00757DE1">
            <w:pPr>
              <w:jc w:val="right"/>
              <w:rPr>
                <w:rFonts w:ascii="Arial Narrow" w:hAnsi="Arial Narrow" w:cs="Arial"/>
                <w:sz w:val="22"/>
                <w:szCs w:val="22"/>
              </w:rPr>
            </w:pPr>
            <w:r>
              <w:rPr>
                <w:rFonts w:ascii="Arial Narrow" w:hAnsi="Arial Narrow" w:cs="Arial"/>
                <w:sz w:val="22"/>
                <w:szCs w:val="22"/>
              </w:rPr>
              <w:t>3.6</w:t>
            </w:r>
            <w:r w:rsidRPr="00B60325">
              <w:rPr>
                <w:rFonts w:ascii="Arial Narrow" w:hAnsi="Arial Narrow" w:cs="Arial"/>
                <w:sz w:val="22"/>
                <w:szCs w:val="22"/>
              </w:rPr>
              <w:t>%</w:t>
            </w:r>
          </w:p>
        </w:tc>
        <w:tc>
          <w:tcPr>
            <w:tcW w:w="810" w:type="dxa"/>
            <w:vAlign w:val="center"/>
          </w:tcPr>
          <w:p w14:paraId="5533E223" w14:textId="7D1A4659" w:rsidR="00757DE1" w:rsidRDefault="00757DE1" w:rsidP="00757DE1">
            <w:pPr>
              <w:jc w:val="right"/>
              <w:rPr>
                <w:rFonts w:ascii="Arial Narrow" w:hAnsi="Arial Narrow" w:cs="Arial"/>
                <w:sz w:val="22"/>
                <w:szCs w:val="22"/>
              </w:rPr>
            </w:pPr>
            <w:r>
              <w:rPr>
                <w:rFonts w:ascii="Arial Narrow" w:hAnsi="Arial Narrow" w:cs="Arial"/>
                <w:sz w:val="22"/>
                <w:szCs w:val="22"/>
              </w:rPr>
              <w:t>133</w:t>
            </w:r>
          </w:p>
        </w:tc>
        <w:tc>
          <w:tcPr>
            <w:tcW w:w="813" w:type="dxa"/>
            <w:vAlign w:val="center"/>
          </w:tcPr>
          <w:p w14:paraId="42772E35" w14:textId="7409BB51" w:rsidR="00757DE1" w:rsidRDefault="00757DE1" w:rsidP="00757DE1">
            <w:pPr>
              <w:jc w:val="right"/>
              <w:rPr>
                <w:rFonts w:ascii="Arial Narrow" w:hAnsi="Arial Narrow" w:cs="Arial"/>
                <w:sz w:val="22"/>
                <w:szCs w:val="22"/>
              </w:rPr>
            </w:pPr>
            <w:r>
              <w:rPr>
                <w:rFonts w:ascii="Arial Narrow" w:hAnsi="Arial Narrow" w:cs="Arial"/>
                <w:sz w:val="22"/>
                <w:szCs w:val="22"/>
              </w:rPr>
              <w:t>3.9</w:t>
            </w:r>
            <w:r w:rsidRPr="00B60325">
              <w:rPr>
                <w:rFonts w:ascii="Arial Narrow" w:hAnsi="Arial Narrow" w:cs="Arial"/>
                <w:sz w:val="22"/>
                <w:szCs w:val="22"/>
              </w:rPr>
              <w:t>%</w:t>
            </w:r>
          </w:p>
        </w:tc>
        <w:tc>
          <w:tcPr>
            <w:tcW w:w="810" w:type="dxa"/>
            <w:vAlign w:val="center"/>
          </w:tcPr>
          <w:p w14:paraId="71348AC2" w14:textId="3463FD59" w:rsidR="00757DE1" w:rsidRDefault="00757DE1" w:rsidP="00757DE1">
            <w:pPr>
              <w:jc w:val="right"/>
              <w:rPr>
                <w:rFonts w:ascii="Arial Narrow" w:hAnsi="Arial Narrow" w:cs="Arial"/>
                <w:sz w:val="22"/>
                <w:szCs w:val="22"/>
              </w:rPr>
            </w:pPr>
            <w:r>
              <w:rPr>
                <w:rFonts w:ascii="Arial Narrow" w:hAnsi="Arial Narrow" w:cs="Arial"/>
                <w:sz w:val="22"/>
                <w:szCs w:val="22"/>
              </w:rPr>
              <w:t>29</w:t>
            </w:r>
          </w:p>
        </w:tc>
        <w:tc>
          <w:tcPr>
            <w:tcW w:w="812" w:type="dxa"/>
            <w:tcBorders>
              <w:right w:val="single" w:sz="12" w:space="0" w:color="auto"/>
            </w:tcBorders>
            <w:vAlign w:val="center"/>
          </w:tcPr>
          <w:p w14:paraId="07BC16B6" w14:textId="7AFB20F6" w:rsidR="00757DE1" w:rsidRDefault="00757DE1" w:rsidP="00757DE1">
            <w:pPr>
              <w:jc w:val="right"/>
              <w:rPr>
                <w:rFonts w:ascii="Arial Narrow" w:hAnsi="Arial Narrow" w:cs="Arial"/>
                <w:sz w:val="22"/>
                <w:szCs w:val="22"/>
              </w:rPr>
            </w:pPr>
            <w:r>
              <w:rPr>
                <w:rFonts w:ascii="Arial Narrow" w:hAnsi="Arial Narrow" w:cs="Arial"/>
                <w:sz w:val="22"/>
                <w:szCs w:val="22"/>
              </w:rPr>
              <w:t>3.2</w:t>
            </w:r>
            <w:r w:rsidRPr="00B60325">
              <w:rPr>
                <w:rFonts w:ascii="Arial Narrow" w:hAnsi="Arial Narrow" w:cs="Arial"/>
                <w:sz w:val="22"/>
                <w:szCs w:val="22"/>
              </w:rPr>
              <w:t>%</w:t>
            </w:r>
          </w:p>
        </w:tc>
      </w:tr>
      <w:tr w:rsidR="00757DE1" w:rsidRPr="00B60325" w14:paraId="72820C90" w14:textId="77777777" w:rsidTr="00E013A4">
        <w:trPr>
          <w:gridAfter w:val="1"/>
          <w:wAfter w:w="8" w:type="dxa"/>
          <w:cantSplit/>
          <w:trHeight w:val="20"/>
          <w:jc w:val="center"/>
        </w:trPr>
        <w:tc>
          <w:tcPr>
            <w:tcW w:w="2780" w:type="dxa"/>
            <w:tcBorders>
              <w:left w:val="single" w:sz="12" w:space="0" w:color="auto"/>
            </w:tcBorders>
            <w:vAlign w:val="center"/>
          </w:tcPr>
          <w:p w14:paraId="5448C499" w14:textId="0F2C7136" w:rsidR="00757DE1" w:rsidRPr="00B60325" w:rsidRDefault="00757DE1" w:rsidP="00757DE1">
            <w:pPr>
              <w:rPr>
                <w:rFonts w:ascii="Arial Narrow" w:hAnsi="Arial Narrow" w:cs="Arial"/>
                <w:sz w:val="22"/>
                <w:szCs w:val="22"/>
              </w:rPr>
            </w:pPr>
            <w:r>
              <w:rPr>
                <w:rFonts w:ascii="Arial Narrow" w:hAnsi="Arial Narrow" w:cs="Arial"/>
                <w:sz w:val="22"/>
                <w:szCs w:val="22"/>
              </w:rPr>
              <w:t>Mattapan</w:t>
            </w:r>
          </w:p>
        </w:tc>
        <w:tc>
          <w:tcPr>
            <w:tcW w:w="808" w:type="dxa"/>
            <w:vAlign w:val="center"/>
          </w:tcPr>
          <w:p w14:paraId="06AAFDE6" w14:textId="36FFD133" w:rsidR="00757DE1" w:rsidRDefault="00757DE1" w:rsidP="00757DE1">
            <w:pPr>
              <w:jc w:val="right"/>
              <w:rPr>
                <w:rFonts w:ascii="Arial Narrow" w:hAnsi="Arial Narrow" w:cs="Arial"/>
                <w:sz w:val="22"/>
                <w:szCs w:val="22"/>
              </w:rPr>
            </w:pPr>
            <w:r>
              <w:rPr>
                <w:rFonts w:ascii="Arial Narrow" w:hAnsi="Arial Narrow" w:cs="Arial"/>
                <w:sz w:val="22"/>
                <w:szCs w:val="22"/>
              </w:rPr>
              <w:t>125</w:t>
            </w:r>
            <w:r w:rsidRPr="00B60325">
              <w:rPr>
                <w:rFonts w:ascii="Arial Narrow" w:hAnsi="Arial Narrow" w:cs="Arial"/>
                <w:sz w:val="22"/>
                <w:szCs w:val="22"/>
              </w:rPr>
              <w:t xml:space="preserve"> </w:t>
            </w:r>
          </w:p>
        </w:tc>
        <w:tc>
          <w:tcPr>
            <w:tcW w:w="810" w:type="dxa"/>
            <w:vAlign w:val="center"/>
          </w:tcPr>
          <w:p w14:paraId="68DB0BA3" w14:textId="0F096E4B" w:rsidR="00757DE1" w:rsidRDefault="00757DE1" w:rsidP="00757DE1">
            <w:pPr>
              <w:jc w:val="right"/>
              <w:rPr>
                <w:rFonts w:ascii="Arial Narrow" w:hAnsi="Arial Narrow" w:cs="Arial"/>
                <w:sz w:val="22"/>
                <w:szCs w:val="22"/>
              </w:rPr>
            </w:pPr>
            <w:r>
              <w:rPr>
                <w:rFonts w:ascii="Arial Narrow" w:hAnsi="Arial Narrow" w:cs="Arial"/>
                <w:sz w:val="22"/>
                <w:szCs w:val="22"/>
              </w:rPr>
              <w:t>3.3</w:t>
            </w:r>
            <w:r w:rsidRPr="00B60325">
              <w:rPr>
                <w:rFonts w:ascii="Arial Narrow" w:hAnsi="Arial Narrow" w:cs="Arial"/>
                <w:sz w:val="22"/>
                <w:szCs w:val="22"/>
              </w:rPr>
              <w:t>%</w:t>
            </w:r>
          </w:p>
        </w:tc>
        <w:tc>
          <w:tcPr>
            <w:tcW w:w="810" w:type="dxa"/>
            <w:vAlign w:val="center"/>
          </w:tcPr>
          <w:p w14:paraId="365A5710" w14:textId="77D8E1C6" w:rsidR="00757DE1" w:rsidRDefault="00757DE1" w:rsidP="00757DE1">
            <w:pPr>
              <w:jc w:val="right"/>
              <w:rPr>
                <w:rFonts w:ascii="Arial Narrow" w:hAnsi="Arial Narrow" w:cs="Arial"/>
                <w:sz w:val="22"/>
                <w:szCs w:val="22"/>
              </w:rPr>
            </w:pPr>
            <w:r>
              <w:rPr>
                <w:rFonts w:ascii="Arial Narrow" w:hAnsi="Arial Narrow" w:cs="Arial"/>
                <w:sz w:val="22"/>
                <w:szCs w:val="22"/>
              </w:rPr>
              <w:t>106</w:t>
            </w:r>
            <w:r w:rsidRPr="00B60325">
              <w:rPr>
                <w:rFonts w:ascii="Arial Narrow" w:hAnsi="Arial Narrow" w:cs="Arial"/>
                <w:sz w:val="22"/>
                <w:szCs w:val="22"/>
              </w:rPr>
              <w:t xml:space="preserve"> </w:t>
            </w:r>
          </w:p>
        </w:tc>
        <w:tc>
          <w:tcPr>
            <w:tcW w:w="810" w:type="dxa"/>
            <w:vAlign w:val="center"/>
          </w:tcPr>
          <w:p w14:paraId="42CADB67" w14:textId="565A616A" w:rsidR="00757DE1" w:rsidRDefault="00757DE1" w:rsidP="00757DE1">
            <w:pPr>
              <w:jc w:val="right"/>
              <w:rPr>
                <w:rFonts w:ascii="Arial Narrow" w:hAnsi="Arial Narrow" w:cs="Arial"/>
                <w:sz w:val="22"/>
                <w:szCs w:val="22"/>
              </w:rPr>
            </w:pPr>
            <w:r>
              <w:rPr>
                <w:rFonts w:ascii="Arial Narrow" w:hAnsi="Arial Narrow" w:cs="Arial"/>
                <w:sz w:val="22"/>
                <w:szCs w:val="22"/>
              </w:rPr>
              <w:t>3.2</w:t>
            </w:r>
            <w:r w:rsidRPr="00B60325">
              <w:rPr>
                <w:rFonts w:ascii="Arial Narrow" w:hAnsi="Arial Narrow" w:cs="Arial"/>
                <w:sz w:val="22"/>
                <w:szCs w:val="22"/>
              </w:rPr>
              <w:t>%</w:t>
            </w:r>
          </w:p>
        </w:tc>
        <w:tc>
          <w:tcPr>
            <w:tcW w:w="810" w:type="dxa"/>
            <w:vAlign w:val="center"/>
          </w:tcPr>
          <w:p w14:paraId="7B4FC90B" w14:textId="6457FC58" w:rsidR="00757DE1" w:rsidRDefault="00757DE1" w:rsidP="00757DE1">
            <w:pPr>
              <w:jc w:val="right"/>
              <w:rPr>
                <w:rFonts w:ascii="Arial Narrow" w:hAnsi="Arial Narrow" w:cs="Arial"/>
                <w:sz w:val="22"/>
                <w:szCs w:val="22"/>
              </w:rPr>
            </w:pPr>
            <w:r>
              <w:rPr>
                <w:rFonts w:ascii="Arial Narrow" w:hAnsi="Arial Narrow" w:cs="Arial"/>
                <w:sz w:val="22"/>
                <w:szCs w:val="22"/>
              </w:rPr>
              <w:t>126</w:t>
            </w:r>
          </w:p>
        </w:tc>
        <w:tc>
          <w:tcPr>
            <w:tcW w:w="813" w:type="dxa"/>
            <w:vAlign w:val="center"/>
          </w:tcPr>
          <w:p w14:paraId="3EE0A7E7" w14:textId="1E7897D5" w:rsidR="00757DE1" w:rsidRDefault="00757DE1" w:rsidP="00757DE1">
            <w:pPr>
              <w:jc w:val="right"/>
              <w:rPr>
                <w:rFonts w:ascii="Arial Narrow" w:hAnsi="Arial Narrow" w:cs="Arial"/>
                <w:sz w:val="22"/>
                <w:szCs w:val="22"/>
              </w:rPr>
            </w:pPr>
            <w:r>
              <w:rPr>
                <w:rFonts w:ascii="Arial Narrow" w:hAnsi="Arial Narrow" w:cs="Arial"/>
                <w:sz w:val="22"/>
                <w:szCs w:val="22"/>
              </w:rPr>
              <w:t>3.7</w:t>
            </w:r>
            <w:r w:rsidRPr="00B60325">
              <w:rPr>
                <w:rFonts w:ascii="Arial Narrow" w:hAnsi="Arial Narrow" w:cs="Arial"/>
                <w:sz w:val="22"/>
                <w:szCs w:val="22"/>
              </w:rPr>
              <w:t>%</w:t>
            </w:r>
          </w:p>
        </w:tc>
        <w:tc>
          <w:tcPr>
            <w:tcW w:w="810" w:type="dxa"/>
            <w:vAlign w:val="center"/>
          </w:tcPr>
          <w:p w14:paraId="4B961AF7" w14:textId="13659462" w:rsidR="00757DE1" w:rsidRDefault="00757DE1" w:rsidP="00757DE1">
            <w:pPr>
              <w:jc w:val="right"/>
              <w:rPr>
                <w:rFonts w:ascii="Arial Narrow" w:hAnsi="Arial Narrow" w:cs="Arial"/>
                <w:sz w:val="22"/>
                <w:szCs w:val="22"/>
              </w:rPr>
            </w:pPr>
            <w:r>
              <w:rPr>
                <w:rFonts w:ascii="Arial Narrow" w:hAnsi="Arial Narrow" w:cs="Arial"/>
                <w:sz w:val="22"/>
                <w:szCs w:val="22"/>
              </w:rPr>
              <w:t>28</w:t>
            </w:r>
          </w:p>
        </w:tc>
        <w:tc>
          <w:tcPr>
            <w:tcW w:w="812" w:type="dxa"/>
            <w:tcBorders>
              <w:right w:val="single" w:sz="12" w:space="0" w:color="auto"/>
            </w:tcBorders>
            <w:vAlign w:val="center"/>
          </w:tcPr>
          <w:p w14:paraId="58954B99" w14:textId="3AFA2A73" w:rsidR="00757DE1" w:rsidRDefault="00757DE1" w:rsidP="00757DE1">
            <w:pPr>
              <w:jc w:val="right"/>
              <w:rPr>
                <w:rFonts w:ascii="Arial Narrow" w:hAnsi="Arial Narrow" w:cs="Arial"/>
                <w:sz w:val="22"/>
                <w:szCs w:val="22"/>
              </w:rPr>
            </w:pPr>
            <w:r>
              <w:rPr>
                <w:rFonts w:ascii="Arial Narrow" w:hAnsi="Arial Narrow" w:cs="Arial"/>
                <w:sz w:val="22"/>
                <w:szCs w:val="22"/>
              </w:rPr>
              <w:t>3.1</w:t>
            </w:r>
            <w:r w:rsidRPr="00B60325">
              <w:rPr>
                <w:rFonts w:ascii="Arial Narrow" w:hAnsi="Arial Narrow" w:cs="Arial"/>
                <w:sz w:val="22"/>
                <w:szCs w:val="22"/>
              </w:rPr>
              <w:t>%</w:t>
            </w:r>
          </w:p>
        </w:tc>
      </w:tr>
      <w:tr w:rsidR="00757DE1" w:rsidRPr="00B60325" w14:paraId="2652D0C4" w14:textId="77777777" w:rsidTr="00E013A4">
        <w:trPr>
          <w:gridAfter w:val="1"/>
          <w:wAfter w:w="8" w:type="dxa"/>
          <w:cantSplit/>
          <w:trHeight w:val="20"/>
          <w:jc w:val="center"/>
        </w:trPr>
        <w:tc>
          <w:tcPr>
            <w:tcW w:w="2780" w:type="dxa"/>
            <w:tcBorders>
              <w:left w:val="single" w:sz="12" w:space="0" w:color="auto"/>
            </w:tcBorders>
            <w:vAlign w:val="center"/>
          </w:tcPr>
          <w:p w14:paraId="4426F6FE" w14:textId="2A3B561F"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Hyde Park </w:t>
            </w:r>
          </w:p>
        </w:tc>
        <w:tc>
          <w:tcPr>
            <w:tcW w:w="808" w:type="dxa"/>
            <w:vAlign w:val="center"/>
          </w:tcPr>
          <w:p w14:paraId="25DE3DB3" w14:textId="41639CA8" w:rsidR="00757DE1" w:rsidRDefault="00757DE1" w:rsidP="00757DE1">
            <w:pPr>
              <w:jc w:val="right"/>
              <w:rPr>
                <w:rFonts w:ascii="Arial Narrow" w:hAnsi="Arial Narrow" w:cs="Arial"/>
                <w:sz w:val="22"/>
                <w:szCs w:val="22"/>
              </w:rPr>
            </w:pPr>
            <w:r>
              <w:rPr>
                <w:rFonts w:ascii="Arial Narrow" w:hAnsi="Arial Narrow" w:cs="Arial"/>
                <w:sz w:val="22"/>
                <w:szCs w:val="22"/>
              </w:rPr>
              <w:t>84</w:t>
            </w:r>
            <w:r w:rsidRPr="00B60325">
              <w:rPr>
                <w:rFonts w:ascii="Arial Narrow" w:hAnsi="Arial Narrow" w:cs="Arial"/>
                <w:sz w:val="22"/>
                <w:szCs w:val="22"/>
              </w:rPr>
              <w:t xml:space="preserve"> </w:t>
            </w:r>
          </w:p>
        </w:tc>
        <w:tc>
          <w:tcPr>
            <w:tcW w:w="810" w:type="dxa"/>
            <w:vAlign w:val="center"/>
          </w:tcPr>
          <w:p w14:paraId="59F1C42F" w14:textId="257DB81E" w:rsidR="00757DE1" w:rsidRDefault="00757DE1" w:rsidP="00757DE1">
            <w:pPr>
              <w:jc w:val="right"/>
              <w:rPr>
                <w:rFonts w:ascii="Arial Narrow" w:hAnsi="Arial Narrow" w:cs="Arial"/>
                <w:sz w:val="22"/>
                <w:szCs w:val="22"/>
              </w:rPr>
            </w:pPr>
            <w:r>
              <w:rPr>
                <w:rFonts w:ascii="Arial Narrow" w:hAnsi="Arial Narrow" w:cs="Arial"/>
                <w:sz w:val="22"/>
                <w:szCs w:val="22"/>
              </w:rPr>
              <w:t>2.2</w:t>
            </w:r>
            <w:r w:rsidRPr="00B60325">
              <w:rPr>
                <w:rFonts w:ascii="Arial Narrow" w:hAnsi="Arial Narrow" w:cs="Arial"/>
                <w:sz w:val="22"/>
                <w:szCs w:val="22"/>
              </w:rPr>
              <w:t>%</w:t>
            </w:r>
          </w:p>
        </w:tc>
        <w:tc>
          <w:tcPr>
            <w:tcW w:w="810" w:type="dxa"/>
            <w:vAlign w:val="center"/>
          </w:tcPr>
          <w:p w14:paraId="2B0015D8" w14:textId="630D1DA1" w:rsidR="00757DE1" w:rsidRDefault="00757DE1" w:rsidP="00757DE1">
            <w:pPr>
              <w:jc w:val="right"/>
              <w:rPr>
                <w:rFonts w:ascii="Arial Narrow" w:hAnsi="Arial Narrow" w:cs="Arial"/>
                <w:sz w:val="22"/>
                <w:szCs w:val="22"/>
              </w:rPr>
            </w:pPr>
            <w:r>
              <w:rPr>
                <w:rFonts w:ascii="Arial Narrow" w:hAnsi="Arial Narrow" w:cs="Arial"/>
                <w:sz w:val="22"/>
                <w:szCs w:val="22"/>
              </w:rPr>
              <w:t>62</w:t>
            </w:r>
            <w:r w:rsidRPr="00B60325">
              <w:rPr>
                <w:rFonts w:ascii="Arial Narrow" w:hAnsi="Arial Narrow" w:cs="Arial"/>
                <w:sz w:val="22"/>
                <w:szCs w:val="22"/>
              </w:rPr>
              <w:t xml:space="preserve"> </w:t>
            </w:r>
          </w:p>
        </w:tc>
        <w:tc>
          <w:tcPr>
            <w:tcW w:w="810" w:type="dxa"/>
            <w:vAlign w:val="center"/>
          </w:tcPr>
          <w:p w14:paraId="3D52BFFC" w14:textId="09369550" w:rsidR="00757DE1" w:rsidRDefault="00757DE1" w:rsidP="00757DE1">
            <w:pPr>
              <w:jc w:val="right"/>
              <w:rPr>
                <w:rFonts w:ascii="Arial Narrow" w:hAnsi="Arial Narrow" w:cs="Arial"/>
                <w:sz w:val="22"/>
                <w:szCs w:val="22"/>
              </w:rPr>
            </w:pPr>
            <w:r>
              <w:rPr>
                <w:rFonts w:ascii="Arial Narrow" w:hAnsi="Arial Narrow" w:cs="Arial"/>
                <w:sz w:val="22"/>
                <w:szCs w:val="22"/>
              </w:rPr>
              <w:t>1.9</w:t>
            </w:r>
            <w:r w:rsidRPr="00B60325">
              <w:rPr>
                <w:rFonts w:ascii="Arial Narrow" w:hAnsi="Arial Narrow" w:cs="Arial"/>
                <w:sz w:val="22"/>
                <w:szCs w:val="22"/>
              </w:rPr>
              <w:t>%</w:t>
            </w:r>
          </w:p>
        </w:tc>
        <w:tc>
          <w:tcPr>
            <w:tcW w:w="810" w:type="dxa"/>
            <w:vAlign w:val="center"/>
          </w:tcPr>
          <w:p w14:paraId="2A9BE916" w14:textId="0E0AE027" w:rsidR="00757DE1" w:rsidRDefault="00757DE1" w:rsidP="00757DE1">
            <w:pPr>
              <w:jc w:val="right"/>
              <w:rPr>
                <w:rFonts w:ascii="Arial Narrow" w:hAnsi="Arial Narrow" w:cs="Arial"/>
                <w:sz w:val="22"/>
                <w:szCs w:val="22"/>
              </w:rPr>
            </w:pPr>
            <w:r>
              <w:rPr>
                <w:rFonts w:ascii="Arial Narrow" w:hAnsi="Arial Narrow" w:cs="Arial"/>
                <w:sz w:val="22"/>
                <w:szCs w:val="22"/>
              </w:rPr>
              <w:t>61</w:t>
            </w:r>
          </w:p>
        </w:tc>
        <w:tc>
          <w:tcPr>
            <w:tcW w:w="813" w:type="dxa"/>
            <w:vAlign w:val="center"/>
          </w:tcPr>
          <w:p w14:paraId="3A49AFDC" w14:textId="5245F396" w:rsidR="00757DE1" w:rsidRDefault="00757DE1" w:rsidP="00757DE1">
            <w:pPr>
              <w:jc w:val="right"/>
              <w:rPr>
                <w:rFonts w:ascii="Arial Narrow" w:hAnsi="Arial Narrow" w:cs="Arial"/>
                <w:sz w:val="22"/>
                <w:szCs w:val="22"/>
              </w:rPr>
            </w:pPr>
            <w:r>
              <w:rPr>
                <w:rFonts w:ascii="Arial Narrow" w:hAnsi="Arial Narrow" w:cs="Arial"/>
                <w:sz w:val="22"/>
                <w:szCs w:val="22"/>
              </w:rPr>
              <w:t>1.8</w:t>
            </w:r>
            <w:r w:rsidRPr="00B60325">
              <w:rPr>
                <w:rFonts w:ascii="Arial Narrow" w:hAnsi="Arial Narrow" w:cs="Arial"/>
                <w:sz w:val="22"/>
                <w:szCs w:val="22"/>
              </w:rPr>
              <w:t>%</w:t>
            </w:r>
          </w:p>
        </w:tc>
        <w:tc>
          <w:tcPr>
            <w:tcW w:w="810" w:type="dxa"/>
            <w:vAlign w:val="center"/>
          </w:tcPr>
          <w:p w14:paraId="37EC4D9C" w14:textId="609E9CE7" w:rsidR="00757DE1" w:rsidRDefault="00757DE1" w:rsidP="00757DE1">
            <w:pPr>
              <w:jc w:val="right"/>
              <w:rPr>
                <w:rFonts w:ascii="Arial Narrow" w:hAnsi="Arial Narrow" w:cs="Arial"/>
                <w:sz w:val="22"/>
                <w:szCs w:val="22"/>
              </w:rPr>
            </w:pPr>
            <w:r>
              <w:rPr>
                <w:rFonts w:ascii="Arial Narrow" w:hAnsi="Arial Narrow" w:cs="Arial"/>
                <w:sz w:val="22"/>
                <w:szCs w:val="22"/>
              </w:rPr>
              <w:t>16</w:t>
            </w:r>
          </w:p>
        </w:tc>
        <w:tc>
          <w:tcPr>
            <w:tcW w:w="812" w:type="dxa"/>
            <w:tcBorders>
              <w:right w:val="single" w:sz="12" w:space="0" w:color="auto"/>
            </w:tcBorders>
            <w:vAlign w:val="center"/>
          </w:tcPr>
          <w:p w14:paraId="7F6A2678" w14:textId="3FF63AD6" w:rsidR="00757DE1" w:rsidRDefault="00757DE1" w:rsidP="00757DE1">
            <w:pPr>
              <w:jc w:val="right"/>
              <w:rPr>
                <w:rFonts w:ascii="Arial Narrow" w:hAnsi="Arial Narrow" w:cs="Arial"/>
                <w:sz w:val="22"/>
                <w:szCs w:val="22"/>
              </w:rPr>
            </w:pPr>
            <w:r>
              <w:rPr>
                <w:rFonts w:ascii="Arial Narrow" w:hAnsi="Arial Narrow" w:cs="Arial"/>
                <w:sz w:val="22"/>
                <w:szCs w:val="22"/>
              </w:rPr>
              <w:t>1.8</w:t>
            </w:r>
            <w:r w:rsidRPr="00B60325">
              <w:rPr>
                <w:rFonts w:ascii="Arial Narrow" w:hAnsi="Arial Narrow" w:cs="Arial"/>
                <w:sz w:val="22"/>
                <w:szCs w:val="22"/>
              </w:rPr>
              <w:t>%</w:t>
            </w:r>
          </w:p>
        </w:tc>
      </w:tr>
      <w:tr w:rsidR="00757DE1" w:rsidRPr="00B60325" w14:paraId="06854BE7" w14:textId="77777777" w:rsidTr="00E013A4">
        <w:trPr>
          <w:gridAfter w:val="1"/>
          <w:wAfter w:w="8" w:type="dxa"/>
          <w:cantSplit/>
          <w:trHeight w:val="20"/>
          <w:jc w:val="center"/>
        </w:trPr>
        <w:tc>
          <w:tcPr>
            <w:tcW w:w="2780" w:type="dxa"/>
            <w:tcBorders>
              <w:left w:val="single" w:sz="12" w:space="0" w:color="auto"/>
            </w:tcBorders>
            <w:vAlign w:val="center"/>
          </w:tcPr>
          <w:p w14:paraId="0CEC0915" w14:textId="643BF350" w:rsidR="00757DE1" w:rsidRPr="00B60325" w:rsidRDefault="00757DE1" w:rsidP="00757DE1">
            <w:pPr>
              <w:rPr>
                <w:rFonts w:ascii="Arial Narrow" w:hAnsi="Arial Narrow" w:cs="Arial"/>
                <w:sz w:val="22"/>
                <w:szCs w:val="22"/>
              </w:rPr>
            </w:pPr>
            <w:r>
              <w:rPr>
                <w:rFonts w:ascii="Arial Narrow" w:hAnsi="Arial Narrow" w:cs="Arial"/>
                <w:sz w:val="22"/>
                <w:szCs w:val="22"/>
              </w:rPr>
              <w:t>Randolph</w:t>
            </w:r>
            <w:r w:rsidRPr="00B60325">
              <w:rPr>
                <w:rFonts w:ascii="Arial Narrow" w:hAnsi="Arial Narrow" w:cs="Arial"/>
                <w:sz w:val="22"/>
                <w:szCs w:val="22"/>
              </w:rPr>
              <w:t xml:space="preserve"> </w:t>
            </w:r>
          </w:p>
        </w:tc>
        <w:tc>
          <w:tcPr>
            <w:tcW w:w="808" w:type="dxa"/>
            <w:vAlign w:val="center"/>
          </w:tcPr>
          <w:p w14:paraId="56252C57" w14:textId="6AF24084" w:rsidR="00757DE1" w:rsidRDefault="00757DE1" w:rsidP="00757DE1">
            <w:pPr>
              <w:jc w:val="right"/>
              <w:rPr>
                <w:rFonts w:ascii="Arial Narrow" w:hAnsi="Arial Narrow" w:cs="Arial"/>
                <w:sz w:val="22"/>
                <w:szCs w:val="22"/>
              </w:rPr>
            </w:pPr>
            <w:r>
              <w:rPr>
                <w:rFonts w:ascii="Arial Narrow" w:hAnsi="Arial Narrow" w:cs="Arial"/>
                <w:sz w:val="22"/>
                <w:szCs w:val="22"/>
              </w:rPr>
              <w:t>69</w:t>
            </w:r>
            <w:r w:rsidRPr="00B60325">
              <w:rPr>
                <w:rFonts w:ascii="Arial Narrow" w:hAnsi="Arial Narrow" w:cs="Arial"/>
                <w:sz w:val="22"/>
                <w:szCs w:val="22"/>
              </w:rPr>
              <w:t xml:space="preserve"> </w:t>
            </w:r>
          </w:p>
        </w:tc>
        <w:tc>
          <w:tcPr>
            <w:tcW w:w="810" w:type="dxa"/>
            <w:vAlign w:val="center"/>
          </w:tcPr>
          <w:p w14:paraId="6B22EAE8" w14:textId="6AA1FCD7" w:rsidR="00757DE1" w:rsidRDefault="00757DE1" w:rsidP="00757DE1">
            <w:pPr>
              <w:jc w:val="right"/>
              <w:rPr>
                <w:rFonts w:ascii="Arial Narrow" w:hAnsi="Arial Narrow" w:cs="Arial"/>
                <w:sz w:val="22"/>
                <w:szCs w:val="22"/>
              </w:rPr>
            </w:pPr>
            <w:r>
              <w:rPr>
                <w:rFonts w:ascii="Arial Narrow" w:hAnsi="Arial Narrow" w:cs="Arial"/>
                <w:sz w:val="22"/>
                <w:szCs w:val="22"/>
              </w:rPr>
              <w:t>1.8</w:t>
            </w:r>
            <w:r w:rsidRPr="00B60325">
              <w:rPr>
                <w:rFonts w:ascii="Arial Narrow" w:hAnsi="Arial Narrow" w:cs="Arial"/>
                <w:sz w:val="22"/>
                <w:szCs w:val="22"/>
              </w:rPr>
              <w:t>%</w:t>
            </w:r>
          </w:p>
        </w:tc>
        <w:tc>
          <w:tcPr>
            <w:tcW w:w="810" w:type="dxa"/>
            <w:vAlign w:val="center"/>
          </w:tcPr>
          <w:p w14:paraId="359AB64D" w14:textId="636DABBB" w:rsidR="00757DE1" w:rsidRDefault="00757DE1" w:rsidP="00757DE1">
            <w:pPr>
              <w:jc w:val="right"/>
              <w:rPr>
                <w:rFonts w:ascii="Arial Narrow" w:hAnsi="Arial Narrow" w:cs="Arial"/>
                <w:sz w:val="22"/>
                <w:szCs w:val="22"/>
              </w:rPr>
            </w:pPr>
            <w:r>
              <w:rPr>
                <w:rFonts w:ascii="Arial Narrow" w:hAnsi="Arial Narrow" w:cs="Arial"/>
                <w:sz w:val="22"/>
                <w:szCs w:val="22"/>
              </w:rPr>
              <w:t>50</w:t>
            </w:r>
            <w:r w:rsidRPr="00B60325">
              <w:rPr>
                <w:rFonts w:ascii="Arial Narrow" w:hAnsi="Arial Narrow" w:cs="Arial"/>
                <w:sz w:val="22"/>
                <w:szCs w:val="22"/>
              </w:rPr>
              <w:t xml:space="preserve"> </w:t>
            </w:r>
          </w:p>
        </w:tc>
        <w:tc>
          <w:tcPr>
            <w:tcW w:w="810" w:type="dxa"/>
            <w:vAlign w:val="center"/>
          </w:tcPr>
          <w:p w14:paraId="0B5070BB" w14:textId="016206CB" w:rsidR="00757DE1" w:rsidRDefault="00757DE1" w:rsidP="00757DE1">
            <w:pPr>
              <w:jc w:val="right"/>
              <w:rPr>
                <w:rFonts w:ascii="Arial Narrow" w:hAnsi="Arial Narrow" w:cs="Arial"/>
                <w:sz w:val="22"/>
                <w:szCs w:val="22"/>
              </w:rPr>
            </w:pPr>
            <w:r>
              <w:rPr>
                <w:rFonts w:ascii="Arial Narrow" w:hAnsi="Arial Narrow" w:cs="Arial"/>
                <w:sz w:val="22"/>
                <w:szCs w:val="22"/>
              </w:rPr>
              <w:t>1.5</w:t>
            </w:r>
            <w:r w:rsidRPr="00B60325">
              <w:rPr>
                <w:rFonts w:ascii="Arial Narrow" w:hAnsi="Arial Narrow" w:cs="Arial"/>
                <w:sz w:val="22"/>
                <w:szCs w:val="22"/>
              </w:rPr>
              <w:t>%</w:t>
            </w:r>
          </w:p>
        </w:tc>
        <w:tc>
          <w:tcPr>
            <w:tcW w:w="810" w:type="dxa"/>
            <w:vAlign w:val="center"/>
          </w:tcPr>
          <w:p w14:paraId="280177B9" w14:textId="28AB55C4" w:rsidR="00757DE1" w:rsidRDefault="00757DE1" w:rsidP="00757DE1">
            <w:pPr>
              <w:jc w:val="right"/>
              <w:rPr>
                <w:rFonts w:ascii="Arial Narrow" w:hAnsi="Arial Narrow" w:cs="Arial"/>
                <w:sz w:val="22"/>
                <w:szCs w:val="22"/>
              </w:rPr>
            </w:pPr>
            <w:r>
              <w:rPr>
                <w:rFonts w:ascii="Arial Narrow" w:hAnsi="Arial Narrow" w:cs="Arial"/>
                <w:sz w:val="22"/>
                <w:szCs w:val="22"/>
              </w:rPr>
              <w:t>48</w:t>
            </w:r>
          </w:p>
        </w:tc>
        <w:tc>
          <w:tcPr>
            <w:tcW w:w="813" w:type="dxa"/>
            <w:vAlign w:val="center"/>
          </w:tcPr>
          <w:p w14:paraId="5B5ABA1D" w14:textId="500606A3" w:rsidR="00757DE1" w:rsidRDefault="00757DE1" w:rsidP="00757DE1">
            <w:pPr>
              <w:jc w:val="right"/>
              <w:rPr>
                <w:rFonts w:ascii="Arial Narrow" w:hAnsi="Arial Narrow" w:cs="Arial"/>
                <w:sz w:val="22"/>
                <w:szCs w:val="22"/>
              </w:rPr>
            </w:pPr>
            <w:r>
              <w:rPr>
                <w:rFonts w:ascii="Arial Narrow" w:hAnsi="Arial Narrow" w:cs="Arial"/>
                <w:sz w:val="22"/>
                <w:szCs w:val="22"/>
              </w:rPr>
              <w:t>1.4</w:t>
            </w:r>
            <w:r w:rsidRPr="00B60325">
              <w:rPr>
                <w:rFonts w:ascii="Arial Narrow" w:hAnsi="Arial Narrow" w:cs="Arial"/>
                <w:sz w:val="22"/>
                <w:szCs w:val="22"/>
              </w:rPr>
              <w:t>%</w:t>
            </w:r>
          </w:p>
        </w:tc>
        <w:tc>
          <w:tcPr>
            <w:tcW w:w="810" w:type="dxa"/>
            <w:vAlign w:val="center"/>
          </w:tcPr>
          <w:p w14:paraId="42A2D66F" w14:textId="123976AB" w:rsidR="00757DE1" w:rsidRDefault="00757DE1" w:rsidP="00757DE1">
            <w:pPr>
              <w:jc w:val="right"/>
              <w:rPr>
                <w:rFonts w:ascii="Arial Narrow" w:hAnsi="Arial Narrow" w:cs="Arial"/>
                <w:sz w:val="22"/>
                <w:szCs w:val="22"/>
              </w:rPr>
            </w:pPr>
            <w:r>
              <w:rPr>
                <w:rFonts w:ascii="Arial Narrow" w:hAnsi="Arial Narrow" w:cs="Arial"/>
                <w:sz w:val="22"/>
                <w:szCs w:val="22"/>
              </w:rPr>
              <w:t>15</w:t>
            </w:r>
          </w:p>
        </w:tc>
        <w:tc>
          <w:tcPr>
            <w:tcW w:w="812" w:type="dxa"/>
            <w:tcBorders>
              <w:right w:val="single" w:sz="12" w:space="0" w:color="auto"/>
            </w:tcBorders>
            <w:vAlign w:val="center"/>
          </w:tcPr>
          <w:p w14:paraId="7C092960" w14:textId="418A3904" w:rsidR="00757DE1" w:rsidRDefault="00757DE1" w:rsidP="00757DE1">
            <w:pPr>
              <w:jc w:val="right"/>
              <w:rPr>
                <w:rFonts w:ascii="Arial Narrow" w:hAnsi="Arial Narrow" w:cs="Arial"/>
                <w:sz w:val="22"/>
                <w:szCs w:val="22"/>
              </w:rPr>
            </w:pPr>
            <w:r>
              <w:rPr>
                <w:rFonts w:ascii="Arial Narrow" w:hAnsi="Arial Narrow" w:cs="Arial"/>
                <w:sz w:val="22"/>
                <w:szCs w:val="22"/>
              </w:rPr>
              <w:t>1.7</w:t>
            </w:r>
            <w:r w:rsidRPr="00B60325">
              <w:rPr>
                <w:rFonts w:ascii="Arial Narrow" w:hAnsi="Arial Narrow" w:cs="Arial"/>
                <w:sz w:val="22"/>
                <w:szCs w:val="22"/>
              </w:rPr>
              <w:t>%</w:t>
            </w:r>
          </w:p>
        </w:tc>
      </w:tr>
      <w:tr w:rsidR="00757DE1" w:rsidRPr="00B60325" w14:paraId="518F0F67" w14:textId="77777777" w:rsidTr="00E013A4">
        <w:trPr>
          <w:gridAfter w:val="1"/>
          <w:wAfter w:w="8" w:type="dxa"/>
          <w:cantSplit/>
          <w:trHeight w:val="20"/>
          <w:jc w:val="center"/>
        </w:trPr>
        <w:tc>
          <w:tcPr>
            <w:tcW w:w="2780" w:type="dxa"/>
            <w:tcBorders>
              <w:left w:val="single" w:sz="12" w:space="0" w:color="auto"/>
            </w:tcBorders>
            <w:vAlign w:val="center"/>
          </w:tcPr>
          <w:p w14:paraId="0118868C" w14:textId="6EBA1F73"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 xml:space="preserve">Jamaica Plain </w:t>
            </w:r>
            <w:r>
              <w:rPr>
                <w:rFonts w:ascii="Arial Narrow" w:hAnsi="Arial Narrow" w:cs="Arial"/>
                <w:sz w:val="22"/>
                <w:szCs w:val="22"/>
              </w:rPr>
              <w:t xml:space="preserve">&amp; </w:t>
            </w:r>
            <w:r w:rsidRPr="00B60325">
              <w:rPr>
                <w:rFonts w:ascii="Arial Narrow" w:hAnsi="Arial Narrow" w:cs="Arial"/>
                <w:sz w:val="22"/>
                <w:szCs w:val="22"/>
              </w:rPr>
              <w:t>Chelsea</w:t>
            </w:r>
          </w:p>
        </w:tc>
        <w:tc>
          <w:tcPr>
            <w:tcW w:w="808" w:type="dxa"/>
            <w:vAlign w:val="center"/>
          </w:tcPr>
          <w:p w14:paraId="24EE4D47" w14:textId="7555662D" w:rsidR="00757DE1" w:rsidRDefault="00757DE1" w:rsidP="00757DE1">
            <w:pPr>
              <w:jc w:val="right"/>
              <w:rPr>
                <w:rFonts w:ascii="Arial Narrow" w:hAnsi="Arial Narrow" w:cs="Arial"/>
                <w:sz w:val="22"/>
                <w:szCs w:val="22"/>
              </w:rPr>
            </w:pPr>
            <w:r>
              <w:rPr>
                <w:rFonts w:ascii="Arial Narrow" w:hAnsi="Arial Narrow" w:cs="Arial"/>
                <w:sz w:val="22"/>
                <w:szCs w:val="22"/>
              </w:rPr>
              <w:t>128</w:t>
            </w:r>
            <w:r w:rsidRPr="00B60325">
              <w:rPr>
                <w:rFonts w:ascii="Arial Narrow" w:hAnsi="Arial Narrow" w:cs="Arial"/>
                <w:sz w:val="22"/>
                <w:szCs w:val="22"/>
              </w:rPr>
              <w:t xml:space="preserve"> </w:t>
            </w:r>
          </w:p>
        </w:tc>
        <w:tc>
          <w:tcPr>
            <w:tcW w:w="810" w:type="dxa"/>
            <w:vAlign w:val="center"/>
          </w:tcPr>
          <w:p w14:paraId="65175AE8" w14:textId="683DBFA9" w:rsidR="00757DE1" w:rsidRDefault="00757DE1" w:rsidP="00757DE1">
            <w:pPr>
              <w:jc w:val="right"/>
              <w:rPr>
                <w:rFonts w:ascii="Arial Narrow" w:hAnsi="Arial Narrow" w:cs="Arial"/>
                <w:sz w:val="22"/>
                <w:szCs w:val="22"/>
              </w:rPr>
            </w:pPr>
            <w:r>
              <w:rPr>
                <w:rFonts w:ascii="Arial Narrow" w:hAnsi="Arial Narrow" w:cs="Arial"/>
                <w:sz w:val="22"/>
                <w:szCs w:val="22"/>
              </w:rPr>
              <w:t>3.4</w:t>
            </w:r>
            <w:r w:rsidRPr="00B60325">
              <w:rPr>
                <w:rFonts w:ascii="Arial Narrow" w:hAnsi="Arial Narrow" w:cs="Arial"/>
                <w:sz w:val="22"/>
                <w:szCs w:val="22"/>
              </w:rPr>
              <w:t>%</w:t>
            </w:r>
          </w:p>
        </w:tc>
        <w:tc>
          <w:tcPr>
            <w:tcW w:w="810" w:type="dxa"/>
            <w:vAlign w:val="center"/>
          </w:tcPr>
          <w:p w14:paraId="4C0771E0" w14:textId="23EEA537" w:rsidR="00757DE1" w:rsidRDefault="00757DE1" w:rsidP="00757DE1">
            <w:pPr>
              <w:jc w:val="right"/>
              <w:rPr>
                <w:rFonts w:ascii="Arial Narrow" w:hAnsi="Arial Narrow" w:cs="Arial"/>
                <w:sz w:val="22"/>
                <w:szCs w:val="22"/>
              </w:rPr>
            </w:pPr>
            <w:r>
              <w:rPr>
                <w:rFonts w:ascii="Arial Narrow" w:hAnsi="Arial Narrow" w:cs="Arial"/>
                <w:sz w:val="22"/>
                <w:szCs w:val="22"/>
              </w:rPr>
              <w:t>127</w:t>
            </w:r>
            <w:r w:rsidRPr="00B60325">
              <w:rPr>
                <w:rFonts w:ascii="Arial Narrow" w:hAnsi="Arial Narrow" w:cs="Arial"/>
                <w:sz w:val="22"/>
                <w:szCs w:val="22"/>
              </w:rPr>
              <w:t xml:space="preserve"> </w:t>
            </w:r>
          </w:p>
        </w:tc>
        <w:tc>
          <w:tcPr>
            <w:tcW w:w="810" w:type="dxa"/>
            <w:vAlign w:val="center"/>
          </w:tcPr>
          <w:p w14:paraId="54A87CA2" w14:textId="1544FB43" w:rsidR="00757DE1" w:rsidRDefault="00757DE1" w:rsidP="00757DE1">
            <w:pPr>
              <w:jc w:val="right"/>
              <w:rPr>
                <w:rFonts w:ascii="Arial Narrow" w:hAnsi="Arial Narrow" w:cs="Arial"/>
                <w:sz w:val="22"/>
                <w:szCs w:val="22"/>
              </w:rPr>
            </w:pPr>
            <w:r>
              <w:rPr>
                <w:rFonts w:ascii="Arial Narrow" w:hAnsi="Arial Narrow" w:cs="Arial"/>
                <w:sz w:val="22"/>
                <w:szCs w:val="22"/>
              </w:rPr>
              <w:t>3.9</w:t>
            </w:r>
            <w:r w:rsidRPr="00B60325">
              <w:rPr>
                <w:rFonts w:ascii="Arial Narrow" w:hAnsi="Arial Narrow" w:cs="Arial"/>
                <w:sz w:val="22"/>
                <w:szCs w:val="22"/>
              </w:rPr>
              <w:t>%</w:t>
            </w:r>
          </w:p>
        </w:tc>
        <w:tc>
          <w:tcPr>
            <w:tcW w:w="810" w:type="dxa"/>
            <w:vAlign w:val="center"/>
          </w:tcPr>
          <w:p w14:paraId="5EC24005" w14:textId="1267E95F" w:rsidR="00757DE1" w:rsidRDefault="00757DE1" w:rsidP="00757DE1">
            <w:pPr>
              <w:jc w:val="right"/>
              <w:rPr>
                <w:rFonts w:ascii="Arial Narrow" w:hAnsi="Arial Narrow" w:cs="Arial"/>
                <w:sz w:val="22"/>
                <w:szCs w:val="22"/>
              </w:rPr>
            </w:pPr>
            <w:r>
              <w:rPr>
                <w:rFonts w:ascii="Arial Narrow" w:hAnsi="Arial Narrow" w:cs="Arial"/>
                <w:sz w:val="22"/>
                <w:szCs w:val="22"/>
              </w:rPr>
              <w:t>100</w:t>
            </w:r>
          </w:p>
        </w:tc>
        <w:tc>
          <w:tcPr>
            <w:tcW w:w="813" w:type="dxa"/>
            <w:vAlign w:val="center"/>
          </w:tcPr>
          <w:p w14:paraId="5D1EF29B" w14:textId="3770A58C" w:rsidR="00757DE1" w:rsidRDefault="00757DE1" w:rsidP="00757DE1">
            <w:pPr>
              <w:jc w:val="right"/>
              <w:rPr>
                <w:rFonts w:ascii="Arial Narrow" w:hAnsi="Arial Narrow" w:cs="Arial"/>
                <w:sz w:val="22"/>
                <w:szCs w:val="22"/>
              </w:rPr>
            </w:pPr>
            <w:r>
              <w:rPr>
                <w:rFonts w:ascii="Arial Narrow" w:hAnsi="Arial Narrow" w:cs="Arial"/>
                <w:sz w:val="22"/>
                <w:szCs w:val="22"/>
              </w:rPr>
              <w:t>2.9</w:t>
            </w:r>
            <w:r w:rsidRPr="00B60325">
              <w:rPr>
                <w:rFonts w:ascii="Arial Narrow" w:hAnsi="Arial Narrow" w:cs="Arial"/>
                <w:sz w:val="22"/>
                <w:szCs w:val="22"/>
              </w:rPr>
              <w:t>%</w:t>
            </w:r>
          </w:p>
        </w:tc>
        <w:tc>
          <w:tcPr>
            <w:tcW w:w="810" w:type="dxa"/>
            <w:vAlign w:val="center"/>
          </w:tcPr>
          <w:p w14:paraId="074E08A4" w14:textId="778BC2FF" w:rsidR="00757DE1" w:rsidRDefault="00757DE1" w:rsidP="00757DE1">
            <w:pPr>
              <w:jc w:val="right"/>
              <w:rPr>
                <w:rFonts w:ascii="Arial Narrow" w:hAnsi="Arial Narrow" w:cs="Arial"/>
                <w:sz w:val="22"/>
                <w:szCs w:val="22"/>
              </w:rPr>
            </w:pPr>
            <w:r>
              <w:rPr>
                <w:rFonts w:ascii="Arial Narrow" w:hAnsi="Arial Narrow" w:cs="Arial"/>
                <w:sz w:val="22"/>
                <w:szCs w:val="22"/>
              </w:rPr>
              <w:t>14</w:t>
            </w:r>
          </w:p>
        </w:tc>
        <w:tc>
          <w:tcPr>
            <w:tcW w:w="812" w:type="dxa"/>
            <w:tcBorders>
              <w:right w:val="single" w:sz="12" w:space="0" w:color="auto"/>
            </w:tcBorders>
            <w:vAlign w:val="center"/>
          </w:tcPr>
          <w:p w14:paraId="57AE375F" w14:textId="47C4BA5B" w:rsidR="00757DE1" w:rsidRDefault="00757DE1" w:rsidP="00757DE1">
            <w:pPr>
              <w:jc w:val="right"/>
              <w:rPr>
                <w:rFonts w:ascii="Arial Narrow" w:hAnsi="Arial Narrow" w:cs="Arial"/>
                <w:sz w:val="22"/>
                <w:szCs w:val="22"/>
              </w:rPr>
            </w:pPr>
            <w:r>
              <w:rPr>
                <w:rFonts w:ascii="Arial Narrow" w:hAnsi="Arial Narrow" w:cs="Arial"/>
                <w:sz w:val="22"/>
                <w:szCs w:val="22"/>
              </w:rPr>
              <w:t>1.6</w:t>
            </w:r>
            <w:r w:rsidRPr="00B60325">
              <w:rPr>
                <w:rFonts w:ascii="Arial Narrow" w:hAnsi="Arial Narrow" w:cs="Arial"/>
                <w:sz w:val="22"/>
                <w:szCs w:val="22"/>
              </w:rPr>
              <w:t>%</w:t>
            </w:r>
          </w:p>
        </w:tc>
      </w:tr>
      <w:tr w:rsidR="00757DE1" w:rsidRPr="00B60325" w14:paraId="444035FF" w14:textId="77777777" w:rsidTr="00E013A4">
        <w:trPr>
          <w:gridAfter w:val="1"/>
          <w:wAfter w:w="8" w:type="dxa"/>
          <w:cantSplit/>
          <w:trHeight w:val="20"/>
          <w:jc w:val="center"/>
        </w:trPr>
        <w:tc>
          <w:tcPr>
            <w:tcW w:w="2780" w:type="dxa"/>
            <w:tcBorders>
              <w:left w:val="single" w:sz="12" w:space="0" w:color="auto"/>
              <w:bottom w:val="single" w:sz="12" w:space="0" w:color="auto"/>
            </w:tcBorders>
            <w:vAlign w:val="center"/>
          </w:tcPr>
          <w:p w14:paraId="0C2739AC" w14:textId="612E0980" w:rsidR="00757DE1" w:rsidRPr="00B60325" w:rsidRDefault="00757DE1" w:rsidP="00757DE1">
            <w:pPr>
              <w:rPr>
                <w:rFonts w:ascii="Arial Narrow" w:hAnsi="Arial Narrow" w:cs="Arial"/>
                <w:sz w:val="22"/>
                <w:szCs w:val="22"/>
              </w:rPr>
            </w:pPr>
            <w:r w:rsidRPr="00B60325">
              <w:rPr>
                <w:rFonts w:ascii="Arial Narrow" w:hAnsi="Arial Narrow" w:cs="Arial"/>
                <w:sz w:val="22"/>
                <w:szCs w:val="22"/>
              </w:rPr>
              <w:t>All Other</w:t>
            </w:r>
          </w:p>
        </w:tc>
        <w:tc>
          <w:tcPr>
            <w:tcW w:w="808" w:type="dxa"/>
            <w:tcBorders>
              <w:bottom w:val="single" w:sz="12" w:space="0" w:color="auto"/>
            </w:tcBorders>
            <w:vAlign w:val="center"/>
          </w:tcPr>
          <w:p w14:paraId="57DC33D4" w14:textId="3E2F688A" w:rsidR="00757DE1" w:rsidRDefault="00757DE1" w:rsidP="00757DE1">
            <w:pPr>
              <w:jc w:val="right"/>
              <w:rPr>
                <w:rFonts w:ascii="Arial Narrow" w:hAnsi="Arial Narrow" w:cs="Arial"/>
                <w:sz w:val="22"/>
                <w:szCs w:val="22"/>
              </w:rPr>
            </w:pPr>
            <w:r>
              <w:rPr>
                <w:rFonts w:ascii="Arial Narrow" w:hAnsi="Arial Narrow" w:cs="Arial"/>
                <w:sz w:val="22"/>
                <w:szCs w:val="22"/>
              </w:rPr>
              <w:t>1,552</w:t>
            </w:r>
            <w:r w:rsidRPr="00B60325">
              <w:rPr>
                <w:rFonts w:ascii="Arial Narrow" w:hAnsi="Arial Narrow" w:cs="Arial"/>
                <w:sz w:val="22"/>
                <w:szCs w:val="22"/>
              </w:rPr>
              <w:t xml:space="preserve"> </w:t>
            </w:r>
          </w:p>
        </w:tc>
        <w:tc>
          <w:tcPr>
            <w:tcW w:w="810" w:type="dxa"/>
            <w:tcBorders>
              <w:bottom w:val="single" w:sz="12" w:space="0" w:color="auto"/>
            </w:tcBorders>
            <w:vAlign w:val="center"/>
          </w:tcPr>
          <w:p w14:paraId="35BD3CA2" w14:textId="3BCA4555" w:rsidR="00757DE1" w:rsidRDefault="00757DE1" w:rsidP="00757DE1">
            <w:pPr>
              <w:jc w:val="right"/>
              <w:rPr>
                <w:rFonts w:ascii="Arial Narrow" w:hAnsi="Arial Narrow" w:cs="Arial"/>
                <w:sz w:val="22"/>
                <w:szCs w:val="22"/>
              </w:rPr>
            </w:pPr>
            <w:r>
              <w:rPr>
                <w:rFonts w:ascii="Arial Narrow" w:hAnsi="Arial Narrow" w:cs="Arial"/>
                <w:sz w:val="22"/>
                <w:szCs w:val="22"/>
              </w:rPr>
              <w:t>40.6</w:t>
            </w:r>
            <w:r w:rsidRPr="00B60325">
              <w:rPr>
                <w:rFonts w:ascii="Arial Narrow" w:hAnsi="Arial Narrow" w:cs="Arial"/>
                <w:sz w:val="22"/>
                <w:szCs w:val="22"/>
              </w:rPr>
              <w:t>%</w:t>
            </w:r>
          </w:p>
        </w:tc>
        <w:tc>
          <w:tcPr>
            <w:tcW w:w="810" w:type="dxa"/>
            <w:tcBorders>
              <w:bottom w:val="single" w:sz="12" w:space="0" w:color="auto"/>
            </w:tcBorders>
            <w:vAlign w:val="center"/>
          </w:tcPr>
          <w:p w14:paraId="37CBECEB" w14:textId="59D2A77E" w:rsidR="00757DE1" w:rsidRDefault="00757DE1" w:rsidP="00757DE1">
            <w:pPr>
              <w:jc w:val="right"/>
              <w:rPr>
                <w:rFonts w:ascii="Arial Narrow" w:hAnsi="Arial Narrow" w:cs="Arial"/>
                <w:sz w:val="22"/>
                <w:szCs w:val="22"/>
              </w:rPr>
            </w:pPr>
            <w:r>
              <w:rPr>
                <w:rFonts w:ascii="Arial Narrow" w:hAnsi="Arial Narrow" w:cs="Arial"/>
                <w:sz w:val="22"/>
                <w:szCs w:val="22"/>
              </w:rPr>
              <w:t>1,187</w:t>
            </w:r>
            <w:r w:rsidRPr="00B60325">
              <w:rPr>
                <w:rFonts w:ascii="Arial Narrow" w:hAnsi="Arial Narrow" w:cs="Arial"/>
                <w:sz w:val="22"/>
                <w:szCs w:val="22"/>
              </w:rPr>
              <w:t xml:space="preserve"> </w:t>
            </w:r>
          </w:p>
        </w:tc>
        <w:tc>
          <w:tcPr>
            <w:tcW w:w="810" w:type="dxa"/>
            <w:tcBorders>
              <w:bottom w:val="single" w:sz="12" w:space="0" w:color="auto"/>
            </w:tcBorders>
            <w:vAlign w:val="center"/>
          </w:tcPr>
          <w:p w14:paraId="254CB396" w14:textId="01706FE8" w:rsidR="00757DE1" w:rsidRDefault="00757DE1" w:rsidP="00757DE1">
            <w:pPr>
              <w:jc w:val="right"/>
              <w:rPr>
                <w:rFonts w:ascii="Arial Narrow" w:hAnsi="Arial Narrow" w:cs="Arial"/>
                <w:sz w:val="22"/>
                <w:szCs w:val="22"/>
              </w:rPr>
            </w:pPr>
            <w:r>
              <w:rPr>
                <w:rFonts w:ascii="Arial Narrow" w:hAnsi="Arial Narrow" w:cs="Arial"/>
                <w:sz w:val="22"/>
                <w:szCs w:val="22"/>
              </w:rPr>
              <w:t>36.1</w:t>
            </w:r>
            <w:r w:rsidRPr="00B60325">
              <w:rPr>
                <w:rFonts w:ascii="Arial Narrow" w:hAnsi="Arial Narrow" w:cs="Arial"/>
                <w:sz w:val="22"/>
                <w:szCs w:val="22"/>
              </w:rPr>
              <w:t>%</w:t>
            </w:r>
          </w:p>
        </w:tc>
        <w:tc>
          <w:tcPr>
            <w:tcW w:w="810" w:type="dxa"/>
            <w:tcBorders>
              <w:bottom w:val="single" w:sz="12" w:space="0" w:color="auto"/>
            </w:tcBorders>
            <w:vAlign w:val="center"/>
          </w:tcPr>
          <w:p w14:paraId="0A924E86" w14:textId="5181D6AB" w:rsidR="00757DE1" w:rsidRDefault="00757DE1" w:rsidP="00757DE1">
            <w:pPr>
              <w:jc w:val="right"/>
              <w:rPr>
                <w:rFonts w:ascii="Arial Narrow" w:hAnsi="Arial Narrow" w:cs="Arial"/>
                <w:sz w:val="22"/>
                <w:szCs w:val="22"/>
              </w:rPr>
            </w:pPr>
            <w:r>
              <w:rPr>
                <w:rFonts w:ascii="Arial Narrow" w:hAnsi="Arial Narrow" w:cs="Arial"/>
                <w:sz w:val="22"/>
                <w:szCs w:val="22"/>
              </w:rPr>
              <w:t>1,371</w:t>
            </w:r>
            <w:r w:rsidRPr="00B60325">
              <w:rPr>
                <w:rFonts w:ascii="Arial Narrow" w:hAnsi="Arial Narrow" w:cs="Arial"/>
                <w:sz w:val="22"/>
                <w:szCs w:val="22"/>
              </w:rPr>
              <w:t xml:space="preserve"> </w:t>
            </w:r>
          </w:p>
        </w:tc>
        <w:tc>
          <w:tcPr>
            <w:tcW w:w="813" w:type="dxa"/>
            <w:tcBorders>
              <w:bottom w:val="single" w:sz="12" w:space="0" w:color="auto"/>
            </w:tcBorders>
            <w:vAlign w:val="center"/>
          </w:tcPr>
          <w:p w14:paraId="29DB13AB" w14:textId="7D155195" w:rsidR="00757DE1" w:rsidRDefault="00757DE1" w:rsidP="00757DE1">
            <w:pPr>
              <w:jc w:val="right"/>
              <w:rPr>
                <w:rFonts w:ascii="Arial Narrow" w:hAnsi="Arial Narrow" w:cs="Arial"/>
                <w:sz w:val="22"/>
                <w:szCs w:val="22"/>
              </w:rPr>
            </w:pPr>
            <w:r>
              <w:rPr>
                <w:rFonts w:ascii="Arial Narrow" w:hAnsi="Arial Narrow" w:cs="Arial"/>
                <w:sz w:val="22"/>
                <w:szCs w:val="22"/>
              </w:rPr>
              <w:t>40.3</w:t>
            </w:r>
            <w:r w:rsidRPr="00B60325">
              <w:rPr>
                <w:rFonts w:ascii="Arial Narrow" w:hAnsi="Arial Narrow" w:cs="Arial"/>
                <w:sz w:val="22"/>
                <w:szCs w:val="22"/>
              </w:rPr>
              <w:t>%</w:t>
            </w:r>
          </w:p>
        </w:tc>
        <w:tc>
          <w:tcPr>
            <w:tcW w:w="810" w:type="dxa"/>
            <w:tcBorders>
              <w:bottom w:val="single" w:sz="12" w:space="0" w:color="auto"/>
            </w:tcBorders>
            <w:vAlign w:val="center"/>
          </w:tcPr>
          <w:p w14:paraId="548E484F" w14:textId="35E7C946" w:rsidR="00757DE1" w:rsidRDefault="00757DE1" w:rsidP="00757DE1">
            <w:pPr>
              <w:jc w:val="right"/>
              <w:rPr>
                <w:rFonts w:ascii="Arial Narrow" w:hAnsi="Arial Narrow" w:cs="Arial"/>
                <w:sz w:val="22"/>
                <w:szCs w:val="22"/>
              </w:rPr>
            </w:pPr>
            <w:r>
              <w:rPr>
                <w:rFonts w:ascii="Arial Narrow" w:hAnsi="Arial Narrow" w:cs="Arial"/>
                <w:sz w:val="22"/>
                <w:szCs w:val="22"/>
              </w:rPr>
              <w:t>364</w:t>
            </w:r>
            <w:r w:rsidRPr="00B60325">
              <w:rPr>
                <w:rFonts w:ascii="Arial Narrow" w:hAnsi="Arial Narrow" w:cs="Arial"/>
                <w:sz w:val="22"/>
                <w:szCs w:val="22"/>
              </w:rPr>
              <w:t xml:space="preserve"> </w:t>
            </w:r>
          </w:p>
        </w:tc>
        <w:tc>
          <w:tcPr>
            <w:tcW w:w="812" w:type="dxa"/>
            <w:tcBorders>
              <w:bottom w:val="single" w:sz="12" w:space="0" w:color="auto"/>
              <w:right w:val="single" w:sz="12" w:space="0" w:color="auto"/>
            </w:tcBorders>
            <w:vAlign w:val="center"/>
          </w:tcPr>
          <w:p w14:paraId="7178D996" w14:textId="18215DEB" w:rsidR="00757DE1" w:rsidRDefault="00757DE1" w:rsidP="00757DE1">
            <w:pPr>
              <w:jc w:val="right"/>
              <w:rPr>
                <w:rFonts w:ascii="Arial Narrow" w:hAnsi="Arial Narrow" w:cs="Arial"/>
                <w:sz w:val="22"/>
                <w:szCs w:val="22"/>
              </w:rPr>
            </w:pPr>
            <w:r>
              <w:rPr>
                <w:rFonts w:ascii="Arial Narrow" w:hAnsi="Arial Narrow" w:cs="Arial"/>
                <w:sz w:val="22"/>
                <w:szCs w:val="22"/>
              </w:rPr>
              <w:t>40.7</w:t>
            </w:r>
            <w:r w:rsidRPr="00B60325">
              <w:rPr>
                <w:rFonts w:ascii="Arial Narrow" w:hAnsi="Arial Narrow" w:cs="Arial"/>
                <w:sz w:val="22"/>
                <w:szCs w:val="22"/>
              </w:rPr>
              <w:t>%</w:t>
            </w:r>
          </w:p>
        </w:tc>
      </w:tr>
    </w:tbl>
    <w:p w14:paraId="6F051616" w14:textId="312D48B2" w:rsidR="0049553F" w:rsidRDefault="0049553F" w:rsidP="005816F3">
      <w:pPr>
        <w:pStyle w:val="NormalWeb"/>
        <w:spacing w:before="0" w:beforeAutospacing="0" w:after="0" w:afterAutospacing="0"/>
        <w:jc w:val="both"/>
        <w:rPr>
          <w:rFonts w:ascii="ArialMT" w:hAnsi="ArialMT"/>
          <w:sz w:val="22"/>
          <w:szCs w:val="22"/>
        </w:rPr>
      </w:pPr>
    </w:p>
    <w:p w14:paraId="5D40C943" w14:textId="4DB2EB43" w:rsidR="00A01E60" w:rsidRDefault="001020C4" w:rsidP="005816F3">
      <w:pPr>
        <w:pStyle w:val="NormalWeb"/>
        <w:spacing w:before="0" w:beforeAutospacing="0" w:after="0" w:afterAutospacing="0"/>
        <w:jc w:val="both"/>
        <w:rPr>
          <w:rFonts w:ascii="ArialMT" w:hAnsi="ArialMT"/>
          <w:sz w:val="22"/>
          <w:szCs w:val="22"/>
        </w:rPr>
      </w:pPr>
      <w:r>
        <w:rPr>
          <w:rFonts w:ascii="Arial" w:hAnsi="Arial" w:cs="Arial"/>
          <w:sz w:val="22"/>
          <w:szCs w:val="22"/>
        </w:rPr>
        <w:t>In addition to the above-outlined demographics, the Applicant also reviewed the payer mixes for its medical/surgical and ICU patient panels.</w:t>
      </w:r>
      <w:r w:rsidR="0049553F" w:rsidRPr="0049553F">
        <w:rPr>
          <w:rFonts w:ascii="Arial" w:hAnsi="Arial" w:cs="Arial"/>
          <w:sz w:val="22"/>
          <w:szCs w:val="22"/>
        </w:rPr>
        <w:t xml:space="preserve"> </w:t>
      </w:r>
      <w:r w:rsidR="00466C62">
        <w:rPr>
          <w:rFonts w:ascii="Arial" w:hAnsi="Arial" w:cs="Arial"/>
          <w:sz w:val="22"/>
          <w:szCs w:val="22"/>
        </w:rPr>
        <w:t xml:space="preserve">As shown in </w:t>
      </w:r>
      <w:r w:rsidR="000F2874">
        <w:rPr>
          <w:rFonts w:ascii="Arial" w:hAnsi="Arial" w:cs="Arial"/>
          <w:sz w:val="22"/>
          <w:szCs w:val="22"/>
        </w:rPr>
        <w:t>T</w:t>
      </w:r>
      <w:r w:rsidR="00466C62">
        <w:rPr>
          <w:rFonts w:ascii="Arial" w:hAnsi="Arial" w:cs="Arial"/>
          <w:sz w:val="22"/>
          <w:szCs w:val="22"/>
        </w:rPr>
        <w:t>able</w:t>
      </w:r>
      <w:r w:rsidR="000F2874">
        <w:rPr>
          <w:rFonts w:ascii="Arial" w:hAnsi="Arial" w:cs="Arial"/>
          <w:sz w:val="22"/>
          <w:szCs w:val="22"/>
        </w:rPr>
        <w:t xml:space="preserve"> 7</w:t>
      </w:r>
      <w:r w:rsidR="00466C62">
        <w:rPr>
          <w:rFonts w:ascii="Arial" w:hAnsi="Arial" w:cs="Arial"/>
          <w:sz w:val="22"/>
          <w:szCs w:val="22"/>
        </w:rPr>
        <w:t xml:space="preserve">, </w:t>
      </w:r>
      <w:r w:rsidR="005B6067">
        <w:rPr>
          <w:rFonts w:ascii="Arial" w:hAnsi="Arial" w:cs="Arial"/>
          <w:sz w:val="22"/>
          <w:szCs w:val="22"/>
        </w:rPr>
        <w:t>APM/ACO contract percentages are similar to the BMC panel overall</w:t>
      </w:r>
      <w:r>
        <w:rPr>
          <w:rFonts w:ascii="ArialMT" w:hAnsi="ArialMT"/>
          <w:sz w:val="22"/>
          <w:szCs w:val="22"/>
        </w:rPr>
        <w:t xml:space="preserve"> – nearly 25% of the Hospital’s medical/surgical and ICU patients are covered by APM/ACO contacts.</w:t>
      </w:r>
      <w:r w:rsidR="005B6067">
        <w:rPr>
          <w:rFonts w:ascii="ArialMT" w:hAnsi="ArialMT"/>
          <w:sz w:val="22"/>
          <w:szCs w:val="22"/>
        </w:rPr>
        <w:t xml:space="preserve"> However, a</w:t>
      </w:r>
      <w:r w:rsidR="00EA00ED">
        <w:rPr>
          <w:rFonts w:ascii="ArialMT" w:hAnsi="ArialMT"/>
          <w:sz w:val="22"/>
          <w:szCs w:val="22"/>
        </w:rPr>
        <w:t>n even</w:t>
      </w:r>
      <w:r w:rsidR="005B6067">
        <w:rPr>
          <w:rFonts w:ascii="ArialMT" w:hAnsi="ArialMT"/>
          <w:sz w:val="22"/>
          <w:szCs w:val="22"/>
        </w:rPr>
        <w:t xml:space="preserve"> greater percentage of medical/surgical and ICU patients receive insurance coverage through a public payer when compared with the Hospital panel overall.</w:t>
      </w:r>
      <w:r w:rsidR="00EA00ED">
        <w:rPr>
          <w:rFonts w:ascii="ArialMT" w:hAnsi="ArialMT"/>
          <w:sz w:val="22"/>
          <w:szCs w:val="22"/>
        </w:rPr>
        <w:t xml:space="preserve"> </w:t>
      </w:r>
      <w:r w:rsidR="005B6067">
        <w:rPr>
          <w:rFonts w:ascii="ArialMT" w:hAnsi="ArialMT"/>
          <w:sz w:val="22"/>
          <w:szCs w:val="22"/>
        </w:rPr>
        <w:t xml:space="preserve">In FY21, BMC’s medical/surgical public payer mix included </w:t>
      </w:r>
      <w:r w:rsidR="00EA00ED">
        <w:rPr>
          <w:rFonts w:ascii="ArialMT" w:hAnsi="ArialMT"/>
          <w:sz w:val="22"/>
          <w:szCs w:val="22"/>
        </w:rPr>
        <w:t>78</w:t>
      </w:r>
      <w:r w:rsidR="005B6067">
        <w:rPr>
          <w:rFonts w:ascii="ArialMT" w:hAnsi="ArialMT"/>
          <w:sz w:val="22"/>
          <w:szCs w:val="22"/>
        </w:rPr>
        <w:t xml:space="preserve">% of all </w:t>
      </w:r>
      <w:r w:rsidR="00EA00ED">
        <w:rPr>
          <w:rFonts w:ascii="ArialMT" w:hAnsi="ArialMT"/>
          <w:sz w:val="22"/>
          <w:szCs w:val="22"/>
        </w:rPr>
        <w:t xml:space="preserve">medical/surgical </w:t>
      </w:r>
      <w:r w:rsidR="005B6067">
        <w:rPr>
          <w:rFonts w:ascii="ArialMT" w:hAnsi="ArialMT"/>
          <w:sz w:val="22"/>
          <w:szCs w:val="22"/>
        </w:rPr>
        <w:t>patients, including MassHealth</w:t>
      </w:r>
      <w:r w:rsidR="000F2874">
        <w:rPr>
          <w:rFonts w:ascii="ArialMT" w:hAnsi="ArialMT"/>
          <w:sz w:val="22"/>
          <w:szCs w:val="22"/>
        </w:rPr>
        <w:t>,</w:t>
      </w:r>
      <w:r w:rsidR="00A01E60" w:rsidRPr="00A01E60">
        <w:rPr>
          <w:rFonts w:ascii="ArialMT" w:hAnsi="ArialMT"/>
          <w:sz w:val="22"/>
          <w:szCs w:val="22"/>
        </w:rPr>
        <w:t xml:space="preserve"> </w:t>
      </w:r>
      <w:r w:rsidR="005B6067" w:rsidRPr="00A01E60">
        <w:rPr>
          <w:rFonts w:ascii="ArialMT" w:hAnsi="ArialMT"/>
          <w:sz w:val="22"/>
          <w:szCs w:val="22"/>
        </w:rPr>
        <w:t>Managed Medicaid,</w:t>
      </w:r>
      <w:r w:rsidR="00A01E60" w:rsidRPr="00A01E60">
        <w:rPr>
          <w:rFonts w:ascii="ArialMT" w:hAnsi="ArialMT"/>
          <w:sz w:val="22"/>
          <w:szCs w:val="22"/>
        </w:rPr>
        <w:t xml:space="preserve"> </w:t>
      </w:r>
      <w:r w:rsidR="005B6067" w:rsidRPr="00A01E60">
        <w:rPr>
          <w:rFonts w:ascii="ArialMT" w:hAnsi="ArialMT"/>
          <w:sz w:val="22"/>
          <w:szCs w:val="22"/>
        </w:rPr>
        <w:t>Commercial Medicare, and Medicare FFS beneficiaries</w:t>
      </w:r>
      <w:r w:rsidR="005B6067">
        <w:rPr>
          <w:rFonts w:ascii="ArialMT" w:hAnsi="ArialMT"/>
          <w:sz w:val="22"/>
          <w:szCs w:val="22"/>
        </w:rPr>
        <w:t xml:space="preserve">. </w:t>
      </w:r>
      <w:r w:rsidR="00EA00ED">
        <w:rPr>
          <w:rFonts w:ascii="ArialMT" w:hAnsi="ArialMT"/>
          <w:sz w:val="22"/>
          <w:szCs w:val="22"/>
        </w:rPr>
        <w:t xml:space="preserve">During </w:t>
      </w:r>
      <w:r w:rsidR="00EA00ED" w:rsidRPr="002926D8">
        <w:rPr>
          <w:rFonts w:ascii="ArialMT" w:hAnsi="ArialMT"/>
          <w:sz w:val="22"/>
          <w:szCs w:val="22"/>
        </w:rPr>
        <w:t>this same time period, BMC’s ICU public payer mix included 79% of all ICU patients. The remainder of patients were covered by a commercial plan</w:t>
      </w:r>
      <w:r w:rsidR="00DF0193" w:rsidRPr="002926D8">
        <w:rPr>
          <w:rFonts w:ascii="ArialMT" w:hAnsi="ArialMT"/>
          <w:sz w:val="22"/>
          <w:szCs w:val="22"/>
        </w:rPr>
        <w:t xml:space="preserve">, </w:t>
      </w:r>
      <w:r w:rsidR="00A01E60" w:rsidRPr="002926D8">
        <w:rPr>
          <w:rFonts w:ascii="ArialMT" w:hAnsi="ArialMT"/>
          <w:sz w:val="22"/>
          <w:szCs w:val="22"/>
        </w:rPr>
        <w:t>under</w:t>
      </w:r>
      <w:r w:rsidR="00DF0193" w:rsidRPr="002926D8">
        <w:rPr>
          <w:rFonts w:ascii="ArialMT" w:hAnsi="ArialMT"/>
          <w:sz w:val="22"/>
          <w:szCs w:val="22"/>
        </w:rPr>
        <w:t xml:space="preserve"> </w:t>
      </w:r>
      <w:r w:rsidR="00A01E60" w:rsidRPr="002926D8">
        <w:rPr>
          <w:rFonts w:ascii="ArialMT" w:hAnsi="ArialMT"/>
          <w:sz w:val="22"/>
          <w:szCs w:val="22"/>
        </w:rPr>
        <w:t>the HSN</w:t>
      </w:r>
      <w:r w:rsidR="00DF0193" w:rsidRPr="002926D8">
        <w:rPr>
          <w:rFonts w:ascii="ArialMT" w:hAnsi="ArialMT"/>
          <w:sz w:val="22"/>
          <w:szCs w:val="22"/>
        </w:rPr>
        <w:t>,</w:t>
      </w:r>
      <w:r w:rsidR="00EA00ED" w:rsidRPr="002926D8">
        <w:rPr>
          <w:rFonts w:ascii="ArialMT" w:hAnsi="ArialMT"/>
          <w:sz w:val="22"/>
          <w:szCs w:val="22"/>
        </w:rPr>
        <w:t xml:space="preserve"> </w:t>
      </w:r>
      <w:r w:rsidR="00DF0193" w:rsidRPr="002926D8">
        <w:rPr>
          <w:rFonts w:ascii="ArialMT" w:hAnsi="ArialMT"/>
          <w:sz w:val="22"/>
          <w:szCs w:val="22"/>
        </w:rPr>
        <w:t xml:space="preserve">or </w:t>
      </w:r>
      <w:r w:rsidR="00A01E60" w:rsidRPr="002926D8">
        <w:rPr>
          <w:rFonts w:ascii="ArialMT" w:hAnsi="ArialMT"/>
          <w:sz w:val="22"/>
          <w:szCs w:val="22"/>
        </w:rPr>
        <w:t xml:space="preserve">through </w:t>
      </w:r>
      <w:r w:rsidR="00EA00ED" w:rsidRPr="002926D8">
        <w:rPr>
          <w:rFonts w:ascii="ArialMT" w:hAnsi="ArialMT"/>
          <w:sz w:val="22"/>
          <w:szCs w:val="22"/>
        </w:rPr>
        <w:t>some other form of insurance</w:t>
      </w:r>
      <w:r w:rsidR="00DF0193" w:rsidRPr="002926D8">
        <w:rPr>
          <w:rFonts w:ascii="ArialMT" w:hAnsi="ArialMT"/>
          <w:sz w:val="22"/>
          <w:szCs w:val="22"/>
        </w:rPr>
        <w:t>.</w:t>
      </w:r>
    </w:p>
    <w:p w14:paraId="63F852FD" w14:textId="77777777" w:rsidR="002F1435" w:rsidRDefault="002F1435" w:rsidP="005816F3">
      <w:pPr>
        <w:pStyle w:val="NormalWeb"/>
        <w:spacing w:before="0" w:beforeAutospacing="0" w:after="0" w:afterAutospacing="0"/>
        <w:jc w:val="both"/>
        <w:rPr>
          <w:rFonts w:ascii="ArialMT" w:hAnsi="ArialMT"/>
          <w:sz w:val="22"/>
          <w:szCs w:val="22"/>
        </w:rPr>
      </w:pPr>
    </w:p>
    <w:p w14:paraId="6D0BBC7B" w14:textId="1A6D9092" w:rsidR="002A6625" w:rsidRPr="00B53310" w:rsidRDefault="00814C10" w:rsidP="005816F3">
      <w:pPr>
        <w:pStyle w:val="NormalWeb"/>
        <w:spacing w:before="0" w:beforeAutospacing="0" w:after="0" w:afterAutospacing="0"/>
        <w:jc w:val="both"/>
        <w:rPr>
          <w:rFonts w:ascii="ArialMT" w:hAnsi="ArialMT"/>
          <w:sz w:val="22"/>
          <w:szCs w:val="22"/>
        </w:rPr>
      </w:pPr>
      <w:r w:rsidRPr="00814C10">
        <w:rPr>
          <w:rFonts w:ascii="Arial Narrow" w:hAnsi="Arial Narrow" w:cs="Arial"/>
          <w:b/>
          <w:bCs/>
          <w:sz w:val="22"/>
          <w:szCs w:val="22"/>
        </w:rPr>
        <w:t>Table 7: BMC Medical/Surgical and ICU APM/ACO and Payer Mix Percentages</w:t>
      </w:r>
    </w:p>
    <w:tbl>
      <w:tblPr>
        <w:tblStyle w:val="TableGrid"/>
        <w:tblW w:w="9350" w:type="dxa"/>
        <w:jc w:val="center"/>
        <w:tblLayout w:type="fixed"/>
        <w:tblLook w:val="04A0" w:firstRow="1" w:lastRow="0" w:firstColumn="1" w:lastColumn="0" w:noHBand="0" w:noVBand="1"/>
      </w:tblPr>
      <w:tblGrid>
        <w:gridCol w:w="1965"/>
        <w:gridCol w:w="9"/>
        <w:gridCol w:w="791"/>
        <w:gridCol w:w="10"/>
        <w:gridCol w:w="800"/>
        <w:gridCol w:w="10"/>
        <w:gridCol w:w="800"/>
        <w:gridCol w:w="10"/>
        <w:gridCol w:w="1260"/>
        <w:gridCol w:w="800"/>
        <w:gridCol w:w="10"/>
        <w:gridCol w:w="804"/>
        <w:gridCol w:w="813"/>
        <w:gridCol w:w="1268"/>
      </w:tblGrid>
      <w:tr w:rsidR="00BA11EB" w:rsidRPr="006D5B97" w14:paraId="3E48A96D" w14:textId="420A96F5" w:rsidTr="00E416AF">
        <w:trPr>
          <w:trHeight w:val="20"/>
          <w:jc w:val="center"/>
        </w:trPr>
        <w:tc>
          <w:tcPr>
            <w:tcW w:w="1974" w:type="dxa"/>
            <w:gridSpan w:val="2"/>
            <w:tcBorders>
              <w:top w:val="single" w:sz="12" w:space="0" w:color="auto"/>
              <w:left w:val="single" w:sz="12" w:space="0" w:color="auto"/>
              <w:bottom w:val="single" w:sz="12" w:space="0" w:color="auto"/>
              <w:right w:val="single" w:sz="12" w:space="0" w:color="auto"/>
            </w:tcBorders>
            <w:shd w:val="clear" w:color="auto" w:fill="8DA9DB"/>
          </w:tcPr>
          <w:p w14:paraId="7181F23C" w14:textId="77777777" w:rsidR="00BA11EB" w:rsidRPr="00E8351E" w:rsidRDefault="00BA11EB" w:rsidP="00963E14">
            <w:pPr>
              <w:rPr>
                <w:rFonts w:ascii="Arial" w:hAnsi="Arial" w:cs="Arial"/>
                <w:b/>
                <w:bCs/>
                <w:sz w:val="22"/>
                <w:szCs w:val="22"/>
              </w:rPr>
            </w:pPr>
          </w:p>
        </w:tc>
        <w:tc>
          <w:tcPr>
            <w:tcW w:w="3681" w:type="dxa"/>
            <w:gridSpan w:val="7"/>
            <w:tcBorders>
              <w:top w:val="single" w:sz="12" w:space="0" w:color="auto"/>
              <w:left w:val="single" w:sz="12" w:space="0" w:color="auto"/>
              <w:bottom w:val="single" w:sz="12" w:space="0" w:color="auto"/>
              <w:right w:val="single" w:sz="12" w:space="0" w:color="auto"/>
            </w:tcBorders>
            <w:shd w:val="clear" w:color="auto" w:fill="8DA9DB"/>
            <w:vAlign w:val="center"/>
          </w:tcPr>
          <w:p w14:paraId="7A94ECAD" w14:textId="7C83119B" w:rsidR="00BA11EB" w:rsidRPr="00E8351E" w:rsidRDefault="00BA11EB" w:rsidP="004F7E6B">
            <w:pPr>
              <w:jc w:val="center"/>
              <w:rPr>
                <w:rFonts w:ascii="Arial Narrow" w:hAnsi="Arial Narrow" w:cs="Arial"/>
                <w:b/>
                <w:bCs/>
                <w:sz w:val="22"/>
                <w:szCs w:val="22"/>
              </w:rPr>
            </w:pPr>
            <w:r>
              <w:rPr>
                <w:rFonts w:ascii="Arial Narrow" w:hAnsi="Arial Narrow" w:cs="Arial"/>
                <w:b/>
                <w:bCs/>
                <w:sz w:val="22"/>
                <w:szCs w:val="22"/>
              </w:rPr>
              <w:t>Medical/Surgical</w:t>
            </w:r>
          </w:p>
        </w:tc>
        <w:tc>
          <w:tcPr>
            <w:tcW w:w="3695" w:type="dxa"/>
            <w:gridSpan w:val="5"/>
            <w:tcBorders>
              <w:top w:val="single" w:sz="12" w:space="0" w:color="auto"/>
              <w:left w:val="single" w:sz="12" w:space="0" w:color="auto"/>
              <w:bottom w:val="single" w:sz="12" w:space="0" w:color="auto"/>
              <w:right w:val="single" w:sz="12" w:space="0" w:color="auto"/>
            </w:tcBorders>
            <w:shd w:val="clear" w:color="auto" w:fill="8DA9DB"/>
            <w:vAlign w:val="center"/>
          </w:tcPr>
          <w:p w14:paraId="2B4E10A5" w14:textId="0EBAEB31" w:rsidR="00BA11EB" w:rsidRPr="00E8351E" w:rsidRDefault="00BA11EB" w:rsidP="00BA11EB">
            <w:pPr>
              <w:jc w:val="center"/>
              <w:rPr>
                <w:rFonts w:ascii="Arial Narrow" w:hAnsi="Arial Narrow" w:cs="Arial"/>
                <w:b/>
                <w:bCs/>
                <w:sz w:val="22"/>
                <w:szCs w:val="22"/>
              </w:rPr>
            </w:pPr>
            <w:r>
              <w:rPr>
                <w:rFonts w:ascii="Arial Narrow" w:hAnsi="Arial Narrow" w:cs="Arial"/>
                <w:b/>
                <w:bCs/>
                <w:sz w:val="22"/>
                <w:szCs w:val="22"/>
              </w:rPr>
              <w:t>ICU</w:t>
            </w:r>
          </w:p>
        </w:tc>
      </w:tr>
      <w:tr w:rsidR="000F2874" w:rsidRPr="006D5B97" w14:paraId="37A0ED85" w14:textId="77777777" w:rsidTr="00E416AF">
        <w:trPr>
          <w:trHeight w:val="20"/>
          <w:jc w:val="center"/>
        </w:trPr>
        <w:tc>
          <w:tcPr>
            <w:tcW w:w="1974" w:type="dxa"/>
            <w:gridSpan w:val="2"/>
            <w:tcBorders>
              <w:top w:val="single" w:sz="12" w:space="0" w:color="auto"/>
              <w:left w:val="single" w:sz="12" w:space="0" w:color="auto"/>
              <w:bottom w:val="single" w:sz="12" w:space="0" w:color="auto"/>
              <w:right w:val="single" w:sz="12" w:space="0" w:color="auto"/>
            </w:tcBorders>
            <w:shd w:val="clear" w:color="auto" w:fill="BFBFBF"/>
          </w:tcPr>
          <w:p w14:paraId="14B8AB75" w14:textId="77777777" w:rsidR="00B86DBF" w:rsidRPr="00E8351E" w:rsidRDefault="00B86DBF" w:rsidP="00B86DBF">
            <w:pPr>
              <w:rPr>
                <w:rFonts w:ascii="Arial Narrow" w:hAnsi="Arial Narrow" w:cs="Arial"/>
                <w:sz w:val="22"/>
                <w:szCs w:val="22"/>
              </w:rPr>
            </w:pPr>
          </w:p>
        </w:tc>
        <w:tc>
          <w:tcPr>
            <w:tcW w:w="791" w:type="dxa"/>
            <w:tcBorders>
              <w:top w:val="single" w:sz="12" w:space="0" w:color="auto"/>
              <w:left w:val="single" w:sz="12" w:space="0" w:color="auto"/>
              <w:bottom w:val="single" w:sz="12" w:space="0" w:color="auto"/>
            </w:tcBorders>
            <w:shd w:val="clear" w:color="auto" w:fill="BFBFBF"/>
            <w:vAlign w:val="center"/>
          </w:tcPr>
          <w:p w14:paraId="0B9667DF" w14:textId="6BE0F720" w:rsidR="00B86DBF" w:rsidRPr="00E8351E" w:rsidRDefault="00B86DBF" w:rsidP="004F7E6B">
            <w:pPr>
              <w:ind w:left="-128" w:right="-146"/>
              <w:jc w:val="center"/>
              <w:rPr>
                <w:rFonts w:ascii="Arial Narrow" w:hAnsi="Arial Narrow" w:cs="Arial"/>
                <w:sz w:val="22"/>
                <w:szCs w:val="22"/>
              </w:rPr>
            </w:pPr>
            <w:r w:rsidRPr="00E8351E">
              <w:rPr>
                <w:rFonts w:ascii="Arial Narrow" w:hAnsi="Arial Narrow" w:cs="Arial"/>
                <w:b/>
                <w:bCs/>
                <w:sz w:val="22"/>
                <w:szCs w:val="22"/>
              </w:rPr>
              <w:t>FY19</w:t>
            </w:r>
          </w:p>
        </w:tc>
        <w:tc>
          <w:tcPr>
            <w:tcW w:w="810" w:type="dxa"/>
            <w:gridSpan w:val="2"/>
            <w:tcBorders>
              <w:top w:val="single" w:sz="12" w:space="0" w:color="auto"/>
              <w:bottom w:val="single" w:sz="12" w:space="0" w:color="auto"/>
            </w:tcBorders>
            <w:shd w:val="clear" w:color="auto" w:fill="BFBFBF"/>
            <w:vAlign w:val="center"/>
          </w:tcPr>
          <w:p w14:paraId="241B961D" w14:textId="6C7B940A"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FY20</w:t>
            </w:r>
          </w:p>
        </w:tc>
        <w:tc>
          <w:tcPr>
            <w:tcW w:w="810" w:type="dxa"/>
            <w:gridSpan w:val="2"/>
            <w:tcBorders>
              <w:top w:val="single" w:sz="12" w:space="0" w:color="auto"/>
              <w:bottom w:val="single" w:sz="12" w:space="0" w:color="auto"/>
            </w:tcBorders>
            <w:shd w:val="clear" w:color="auto" w:fill="BFBFBF"/>
            <w:vAlign w:val="center"/>
          </w:tcPr>
          <w:p w14:paraId="515AAC4A" w14:textId="154F0BEC"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FY21</w:t>
            </w:r>
          </w:p>
        </w:tc>
        <w:tc>
          <w:tcPr>
            <w:tcW w:w="1270" w:type="dxa"/>
            <w:gridSpan w:val="2"/>
            <w:tcBorders>
              <w:top w:val="single" w:sz="12" w:space="0" w:color="auto"/>
              <w:bottom w:val="single" w:sz="12" w:space="0" w:color="auto"/>
              <w:right w:val="single" w:sz="12" w:space="0" w:color="auto"/>
            </w:tcBorders>
            <w:shd w:val="clear" w:color="auto" w:fill="BFBFBF"/>
            <w:vAlign w:val="center"/>
          </w:tcPr>
          <w:p w14:paraId="1E907B99" w14:textId="782E7D5E"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FY22</w:t>
            </w:r>
            <w:r w:rsidR="000F2874">
              <w:rPr>
                <w:rFonts w:ascii="Arial Narrow" w:hAnsi="Arial Narrow" w:cs="Arial"/>
                <w:b/>
                <w:bCs/>
                <w:sz w:val="22"/>
                <w:szCs w:val="22"/>
              </w:rPr>
              <w:t xml:space="preserve"> </w:t>
            </w:r>
            <w:r w:rsidRPr="00E8351E">
              <w:rPr>
                <w:rFonts w:ascii="Arial Narrow" w:hAnsi="Arial Narrow" w:cs="Arial"/>
                <w:b/>
                <w:bCs/>
                <w:sz w:val="22"/>
                <w:szCs w:val="22"/>
              </w:rPr>
              <w:t>YTD</w:t>
            </w:r>
            <w:r w:rsidR="00FB167B">
              <w:rPr>
                <w:rFonts w:ascii="ZWAdobeF" w:hAnsi="ZWAdobeF" w:cs="ZWAdobeF"/>
                <w:bCs/>
                <w:sz w:val="2"/>
                <w:szCs w:val="2"/>
              </w:rPr>
              <w:t>19F</w:t>
            </w:r>
            <w:r w:rsidRPr="00E8351E">
              <w:rPr>
                <w:rStyle w:val="FootnoteReference"/>
                <w:rFonts w:ascii="Arial Narrow" w:hAnsi="Arial Narrow" w:cs="Arial"/>
                <w:b/>
                <w:bCs/>
                <w:sz w:val="22"/>
                <w:szCs w:val="22"/>
              </w:rPr>
              <w:footnoteReference w:id="20"/>
            </w:r>
          </w:p>
        </w:tc>
        <w:tc>
          <w:tcPr>
            <w:tcW w:w="800" w:type="dxa"/>
            <w:tcBorders>
              <w:top w:val="single" w:sz="12" w:space="0" w:color="auto"/>
              <w:left w:val="single" w:sz="12" w:space="0" w:color="auto"/>
              <w:bottom w:val="single" w:sz="12" w:space="0" w:color="auto"/>
            </w:tcBorders>
            <w:shd w:val="clear" w:color="auto" w:fill="BFBFBF"/>
            <w:vAlign w:val="center"/>
          </w:tcPr>
          <w:p w14:paraId="27E25D2C" w14:textId="22F4803A"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FY19</w:t>
            </w:r>
          </w:p>
        </w:tc>
        <w:tc>
          <w:tcPr>
            <w:tcW w:w="814" w:type="dxa"/>
            <w:gridSpan w:val="2"/>
            <w:tcBorders>
              <w:top w:val="single" w:sz="12" w:space="0" w:color="auto"/>
              <w:bottom w:val="single" w:sz="12" w:space="0" w:color="auto"/>
            </w:tcBorders>
            <w:shd w:val="clear" w:color="auto" w:fill="BFBFBF"/>
            <w:vAlign w:val="center"/>
          </w:tcPr>
          <w:p w14:paraId="321D2A7D" w14:textId="2131A6D3"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FY20</w:t>
            </w:r>
          </w:p>
        </w:tc>
        <w:tc>
          <w:tcPr>
            <w:tcW w:w="813" w:type="dxa"/>
            <w:tcBorders>
              <w:top w:val="single" w:sz="12" w:space="0" w:color="auto"/>
              <w:bottom w:val="single" w:sz="12" w:space="0" w:color="auto"/>
            </w:tcBorders>
            <w:shd w:val="clear" w:color="auto" w:fill="BFBFBF"/>
            <w:vAlign w:val="center"/>
          </w:tcPr>
          <w:p w14:paraId="23F3DE85" w14:textId="12546A86"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FY21</w:t>
            </w:r>
          </w:p>
        </w:tc>
        <w:tc>
          <w:tcPr>
            <w:tcW w:w="1268" w:type="dxa"/>
            <w:tcBorders>
              <w:top w:val="single" w:sz="12" w:space="0" w:color="auto"/>
              <w:bottom w:val="single" w:sz="12" w:space="0" w:color="auto"/>
              <w:right w:val="single" w:sz="12" w:space="0" w:color="auto"/>
            </w:tcBorders>
            <w:shd w:val="clear" w:color="auto" w:fill="BFBFBF"/>
            <w:vAlign w:val="center"/>
          </w:tcPr>
          <w:p w14:paraId="5DAC5760" w14:textId="2A8C704B" w:rsidR="00B86DBF" w:rsidRPr="00E8351E" w:rsidRDefault="00B86DBF" w:rsidP="00B86DBF">
            <w:pPr>
              <w:jc w:val="center"/>
              <w:rPr>
                <w:rFonts w:ascii="Arial Narrow" w:hAnsi="Arial Narrow" w:cs="Arial"/>
                <w:sz w:val="22"/>
                <w:szCs w:val="22"/>
              </w:rPr>
            </w:pPr>
            <w:r w:rsidRPr="00E8351E">
              <w:rPr>
                <w:rFonts w:ascii="Arial Narrow" w:hAnsi="Arial Narrow" w:cs="Arial"/>
                <w:b/>
                <w:bCs/>
                <w:sz w:val="22"/>
                <w:szCs w:val="22"/>
              </w:rPr>
              <w:t>FY22 YTD</w:t>
            </w:r>
            <w:r w:rsidR="00FB167B">
              <w:rPr>
                <w:rFonts w:ascii="ZWAdobeF" w:hAnsi="ZWAdobeF" w:cs="ZWAdobeF"/>
                <w:bCs/>
                <w:sz w:val="2"/>
                <w:szCs w:val="2"/>
              </w:rPr>
              <w:t>20F</w:t>
            </w:r>
            <w:r w:rsidRPr="00E8351E">
              <w:rPr>
                <w:rStyle w:val="FootnoteReference"/>
                <w:rFonts w:ascii="Arial Narrow" w:hAnsi="Arial Narrow" w:cs="Arial"/>
                <w:b/>
                <w:bCs/>
                <w:sz w:val="22"/>
                <w:szCs w:val="22"/>
              </w:rPr>
              <w:footnoteReference w:id="21"/>
            </w:r>
          </w:p>
        </w:tc>
      </w:tr>
      <w:tr w:rsidR="00814C10" w:rsidRPr="006D5B97" w14:paraId="304E9C91" w14:textId="77777777" w:rsidTr="00E416AF">
        <w:trPr>
          <w:trHeight w:val="20"/>
          <w:jc w:val="center"/>
        </w:trPr>
        <w:tc>
          <w:tcPr>
            <w:tcW w:w="1965"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04A8902" w14:textId="77777777" w:rsidR="00814C10" w:rsidRPr="00E8351E" w:rsidRDefault="00814C10" w:rsidP="006F7976">
            <w:pPr>
              <w:rPr>
                <w:rFonts w:ascii="Arial Narrow" w:hAnsi="Arial Narrow" w:cs="Arial"/>
                <w:sz w:val="22"/>
                <w:szCs w:val="22"/>
              </w:rPr>
            </w:pPr>
            <w:r w:rsidRPr="00E416AF">
              <w:rPr>
                <w:rFonts w:ascii="Arial Narrow" w:hAnsi="Arial Narrow" w:cs="Arial"/>
                <w:b/>
                <w:bCs/>
                <w:sz w:val="20"/>
                <w:szCs w:val="20"/>
              </w:rPr>
              <w:t>APM Contract Percentages (for any system-affiliated Primary Care Physicians)</w:t>
            </w:r>
          </w:p>
        </w:tc>
        <w:tc>
          <w:tcPr>
            <w:tcW w:w="810" w:type="dxa"/>
            <w:gridSpan w:val="3"/>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676ED12" w14:textId="77777777" w:rsidR="00814C10" w:rsidRPr="00E8351E" w:rsidRDefault="00814C10" w:rsidP="006F7976">
            <w:pPr>
              <w:rPr>
                <w:rFonts w:ascii="Arial Narrow" w:hAnsi="Arial Narrow" w:cs="Arial"/>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B717FC4" w14:textId="77777777" w:rsidR="00814C10" w:rsidRPr="00E8351E" w:rsidRDefault="00814C10" w:rsidP="006F7976">
            <w:pPr>
              <w:rPr>
                <w:rFonts w:ascii="Arial Narrow" w:hAnsi="Arial Narrow" w:cs="Arial"/>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C3F4CD4" w14:textId="77777777" w:rsidR="00814C10" w:rsidRPr="00E8351E" w:rsidRDefault="00814C10" w:rsidP="006F7976">
            <w:pPr>
              <w:rPr>
                <w:rFonts w:ascii="Arial Narrow" w:hAnsi="Arial Narrow" w:cs="Arial"/>
                <w:sz w:val="22"/>
                <w:szCs w:val="22"/>
              </w:rPr>
            </w:pPr>
          </w:p>
        </w:tc>
        <w:tc>
          <w:tcPr>
            <w:tcW w:w="12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3735DEC" w14:textId="77777777" w:rsidR="00814C10" w:rsidRPr="00E8351E" w:rsidRDefault="00814C10" w:rsidP="006F7976">
            <w:pPr>
              <w:rPr>
                <w:rFonts w:ascii="Arial Narrow" w:hAnsi="Arial Narrow" w:cs="Arial"/>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BE6F8C9" w14:textId="77777777" w:rsidR="00814C10" w:rsidRPr="00E8351E" w:rsidRDefault="00814C10" w:rsidP="006F7976">
            <w:pPr>
              <w:rPr>
                <w:rFonts w:ascii="Arial Narrow" w:hAnsi="Arial Narrow" w:cs="Arial"/>
                <w:sz w:val="22"/>
                <w:szCs w:val="22"/>
              </w:rPr>
            </w:pPr>
          </w:p>
        </w:tc>
        <w:tc>
          <w:tcPr>
            <w:tcW w:w="804"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6E2E686" w14:textId="77777777" w:rsidR="00814C10" w:rsidRPr="00E8351E" w:rsidRDefault="00814C10" w:rsidP="006F7976">
            <w:pPr>
              <w:rPr>
                <w:rFonts w:ascii="Arial Narrow" w:hAnsi="Arial Narrow" w:cs="Arial"/>
                <w:sz w:val="22"/>
                <w:szCs w:val="22"/>
              </w:rPr>
            </w:pPr>
          </w:p>
        </w:tc>
        <w:tc>
          <w:tcPr>
            <w:tcW w:w="813"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9B282AA" w14:textId="77777777" w:rsidR="00814C10" w:rsidRPr="00E8351E" w:rsidRDefault="00814C10" w:rsidP="006F7976">
            <w:pPr>
              <w:rPr>
                <w:rFonts w:ascii="Arial Narrow" w:hAnsi="Arial Narrow" w:cs="Arial"/>
                <w:sz w:val="22"/>
                <w:szCs w:val="22"/>
              </w:rPr>
            </w:pPr>
          </w:p>
        </w:tc>
        <w:tc>
          <w:tcPr>
            <w:tcW w:w="126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E2A8575" w14:textId="022E2B94" w:rsidR="00814C10" w:rsidRPr="00E8351E" w:rsidRDefault="00814C10" w:rsidP="006F7976">
            <w:pPr>
              <w:rPr>
                <w:rFonts w:ascii="Arial Narrow" w:hAnsi="Arial Narrow" w:cs="Arial"/>
                <w:sz w:val="22"/>
                <w:szCs w:val="22"/>
              </w:rPr>
            </w:pPr>
          </w:p>
        </w:tc>
      </w:tr>
      <w:tr w:rsidR="004F7E6B" w:rsidRPr="006D5B97" w14:paraId="634AEBA0" w14:textId="6E33029E" w:rsidTr="00E416AF">
        <w:trPr>
          <w:trHeight w:val="20"/>
          <w:jc w:val="center"/>
        </w:trPr>
        <w:tc>
          <w:tcPr>
            <w:tcW w:w="1974" w:type="dxa"/>
            <w:gridSpan w:val="2"/>
            <w:tcBorders>
              <w:top w:val="single" w:sz="12" w:space="0" w:color="auto"/>
              <w:left w:val="single" w:sz="12" w:space="0" w:color="auto"/>
              <w:bottom w:val="single" w:sz="4" w:space="0" w:color="auto"/>
              <w:right w:val="single" w:sz="12" w:space="0" w:color="auto"/>
            </w:tcBorders>
          </w:tcPr>
          <w:p w14:paraId="15593A0A" w14:textId="77777777" w:rsidR="00BA11EB" w:rsidRPr="00E8351E" w:rsidRDefault="00BA11EB" w:rsidP="00963E14">
            <w:pPr>
              <w:rPr>
                <w:rFonts w:ascii="Arial Narrow" w:hAnsi="Arial Narrow" w:cs="Arial"/>
                <w:sz w:val="22"/>
                <w:szCs w:val="22"/>
              </w:rPr>
            </w:pPr>
            <w:r w:rsidRPr="00E8351E">
              <w:rPr>
                <w:rFonts w:ascii="Arial Narrow" w:hAnsi="Arial Narrow" w:cs="Arial"/>
                <w:sz w:val="22"/>
                <w:szCs w:val="22"/>
              </w:rPr>
              <w:t>APM and ACO Contracts</w:t>
            </w:r>
          </w:p>
        </w:tc>
        <w:tc>
          <w:tcPr>
            <w:tcW w:w="791" w:type="dxa"/>
            <w:tcBorders>
              <w:top w:val="single" w:sz="12" w:space="0" w:color="auto"/>
              <w:left w:val="single" w:sz="12" w:space="0" w:color="auto"/>
              <w:bottom w:val="single" w:sz="4" w:space="0" w:color="auto"/>
            </w:tcBorders>
            <w:vAlign w:val="center"/>
          </w:tcPr>
          <w:p w14:paraId="1B145871" w14:textId="35196FB2" w:rsidR="00BA11EB" w:rsidRPr="00E8351E" w:rsidRDefault="00BA11EB" w:rsidP="00BA11EB">
            <w:pPr>
              <w:jc w:val="center"/>
              <w:rPr>
                <w:rFonts w:ascii="Arial Narrow" w:hAnsi="Arial Narrow" w:cs="Arial"/>
                <w:sz w:val="22"/>
                <w:szCs w:val="22"/>
              </w:rPr>
            </w:pPr>
            <w:r w:rsidRPr="00E8351E">
              <w:rPr>
                <w:rFonts w:ascii="Arial Narrow" w:hAnsi="Arial Narrow" w:cs="Arial"/>
                <w:sz w:val="22"/>
                <w:szCs w:val="22"/>
              </w:rPr>
              <w:t>2</w:t>
            </w:r>
            <w:r w:rsidR="0049553F">
              <w:rPr>
                <w:rFonts w:ascii="Arial Narrow" w:hAnsi="Arial Narrow" w:cs="Arial"/>
                <w:sz w:val="22"/>
                <w:szCs w:val="22"/>
              </w:rPr>
              <w:t>0.2</w:t>
            </w:r>
            <w:r w:rsidRPr="00E8351E">
              <w:rPr>
                <w:rFonts w:ascii="Arial Narrow" w:hAnsi="Arial Narrow" w:cs="Arial"/>
                <w:sz w:val="22"/>
                <w:szCs w:val="22"/>
              </w:rPr>
              <w:t>%</w:t>
            </w:r>
          </w:p>
        </w:tc>
        <w:tc>
          <w:tcPr>
            <w:tcW w:w="810" w:type="dxa"/>
            <w:gridSpan w:val="2"/>
            <w:tcBorders>
              <w:top w:val="single" w:sz="12" w:space="0" w:color="auto"/>
              <w:bottom w:val="single" w:sz="4" w:space="0" w:color="auto"/>
            </w:tcBorders>
            <w:vAlign w:val="center"/>
          </w:tcPr>
          <w:p w14:paraId="7691B37A" w14:textId="1D12C708" w:rsidR="00BA11EB" w:rsidRPr="00E8351E" w:rsidRDefault="00BA11EB" w:rsidP="00BA11EB">
            <w:pPr>
              <w:jc w:val="center"/>
              <w:rPr>
                <w:rFonts w:ascii="Arial Narrow" w:hAnsi="Arial Narrow" w:cs="Arial"/>
                <w:sz w:val="22"/>
                <w:szCs w:val="22"/>
              </w:rPr>
            </w:pPr>
            <w:r w:rsidRPr="00E8351E">
              <w:rPr>
                <w:rFonts w:ascii="Arial Narrow" w:hAnsi="Arial Narrow" w:cs="Arial"/>
                <w:sz w:val="22"/>
                <w:szCs w:val="22"/>
              </w:rPr>
              <w:t>2</w:t>
            </w:r>
            <w:r w:rsidR="0049553F">
              <w:rPr>
                <w:rFonts w:ascii="Arial Narrow" w:hAnsi="Arial Narrow" w:cs="Arial"/>
                <w:sz w:val="22"/>
                <w:szCs w:val="22"/>
              </w:rPr>
              <w:t>2.6</w:t>
            </w:r>
            <w:r w:rsidRPr="00E8351E">
              <w:rPr>
                <w:rFonts w:ascii="Arial Narrow" w:hAnsi="Arial Narrow" w:cs="Arial"/>
                <w:sz w:val="22"/>
                <w:szCs w:val="22"/>
              </w:rPr>
              <w:t>%</w:t>
            </w:r>
          </w:p>
        </w:tc>
        <w:tc>
          <w:tcPr>
            <w:tcW w:w="810" w:type="dxa"/>
            <w:gridSpan w:val="2"/>
            <w:tcBorders>
              <w:top w:val="single" w:sz="12" w:space="0" w:color="auto"/>
              <w:bottom w:val="single" w:sz="4" w:space="0" w:color="auto"/>
            </w:tcBorders>
            <w:vAlign w:val="center"/>
          </w:tcPr>
          <w:p w14:paraId="4E9F33A6" w14:textId="4E20115F" w:rsidR="00BA11EB" w:rsidRPr="00E8351E" w:rsidRDefault="00BA11EB" w:rsidP="00BA11EB">
            <w:pPr>
              <w:jc w:val="center"/>
              <w:rPr>
                <w:rFonts w:ascii="Arial Narrow" w:hAnsi="Arial Narrow" w:cs="Arial"/>
                <w:sz w:val="22"/>
                <w:szCs w:val="22"/>
              </w:rPr>
            </w:pPr>
            <w:r w:rsidRPr="00E8351E">
              <w:rPr>
                <w:rFonts w:ascii="Arial Narrow" w:hAnsi="Arial Narrow" w:cs="Arial"/>
                <w:sz w:val="22"/>
                <w:szCs w:val="22"/>
              </w:rPr>
              <w:t>2</w:t>
            </w:r>
            <w:r w:rsidR="0049553F">
              <w:rPr>
                <w:rFonts w:ascii="Arial Narrow" w:hAnsi="Arial Narrow" w:cs="Arial"/>
                <w:sz w:val="22"/>
                <w:szCs w:val="22"/>
              </w:rPr>
              <w:t>2</w:t>
            </w:r>
            <w:r w:rsidRPr="00E8351E">
              <w:rPr>
                <w:rFonts w:ascii="Arial Narrow" w:hAnsi="Arial Narrow" w:cs="Arial"/>
                <w:sz w:val="22"/>
                <w:szCs w:val="22"/>
              </w:rPr>
              <w:t>.</w:t>
            </w:r>
            <w:r w:rsidR="0049553F">
              <w:rPr>
                <w:rFonts w:ascii="Arial Narrow" w:hAnsi="Arial Narrow" w:cs="Arial"/>
                <w:sz w:val="22"/>
                <w:szCs w:val="22"/>
              </w:rPr>
              <w:t>9</w:t>
            </w:r>
            <w:r w:rsidRPr="00E8351E">
              <w:rPr>
                <w:rFonts w:ascii="Arial Narrow" w:hAnsi="Arial Narrow" w:cs="Arial"/>
                <w:sz w:val="22"/>
                <w:szCs w:val="22"/>
              </w:rPr>
              <w:t>%</w:t>
            </w:r>
          </w:p>
        </w:tc>
        <w:tc>
          <w:tcPr>
            <w:tcW w:w="1270" w:type="dxa"/>
            <w:gridSpan w:val="2"/>
            <w:tcBorders>
              <w:top w:val="single" w:sz="12" w:space="0" w:color="auto"/>
              <w:bottom w:val="single" w:sz="4" w:space="0" w:color="auto"/>
              <w:right w:val="single" w:sz="12" w:space="0" w:color="auto"/>
            </w:tcBorders>
            <w:vAlign w:val="center"/>
          </w:tcPr>
          <w:p w14:paraId="4C8D4989" w14:textId="25C55013" w:rsidR="00BA11EB" w:rsidRPr="00E8351E" w:rsidRDefault="00BA11EB" w:rsidP="00BA11EB">
            <w:pPr>
              <w:jc w:val="center"/>
              <w:rPr>
                <w:rFonts w:ascii="Arial Narrow" w:hAnsi="Arial Narrow" w:cs="Arial"/>
                <w:sz w:val="22"/>
                <w:szCs w:val="22"/>
              </w:rPr>
            </w:pPr>
            <w:r w:rsidRPr="00E8351E">
              <w:rPr>
                <w:rFonts w:ascii="Arial Narrow" w:hAnsi="Arial Narrow" w:cs="Arial"/>
                <w:sz w:val="22"/>
                <w:szCs w:val="22"/>
              </w:rPr>
              <w:t>2</w:t>
            </w:r>
            <w:r w:rsidR="0049553F">
              <w:rPr>
                <w:rFonts w:ascii="Arial Narrow" w:hAnsi="Arial Narrow" w:cs="Arial"/>
                <w:sz w:val="22"/>
                <w:szCs w:val="22"/>
              </w:rPr>
              <w:t>3.1</w:t>
            </w:r>
            <w:r w:rsidRPr="00E8351E">
              <w:rPr>
                <w:rFonts w:ascii="Arial Narrow" w:hAnsi="Arial Narrow" w:cs="Arial"/>
                <w:sz w:val="22"/>
                <w:szCs w:val="22"/>
              </w:rPr>
              <w:t>%</w:t>
            </w:r>
          </w:p>
        </w:tc>
        <w:tc>
          <w:tcPr>
            <w:tcW w:w="800" w:type="dxa"/>
            <w:tcBorders>
              <w:top w:val="single" w:sz="12" w:space="0" w:color="auto"/>
              <w:left w:val="single" w:sz="12" w:space="0" w:color="auto"/>
              <w:bottom w:val="single" w:sz="4" w:space="0" w:color="auto"/>
            </w:tcBorders>
            <w:vAlign w:val="center"/>
          </w:tcPr>
          <w:p w14:paraId="37798023" w14:textId="67CA8369" w:rsidR="00BA11EB" w:rsidRPr="00E8351E" w:rsidRDefault="006F7976" w:rsidP="00BA11EB">
            <w:pPr>
              <w:jc w:val="center"/>
              <w:rPr>
                <w:rFonts w:ascii="Arial Narrow" w:hAnsi="Arial Narrow" w:cs="Arial"/>
                <w:sz w:val="22"/>
                <w:szCs w:val="22"/>
              </w:rPr>
            </w:pPr>
            <w:r>
              <w:rPr>
                <w:rFonts w:ascii="Arial Narrow" w:hAnsi="Arial Narrow" w:cs="Arial"/>
                <w:sz w:val="22"/>
                <w:szCs w:val="22"/>
              </w:rPr>
              <w:t>19.4%</w:t>
            </w:r>
          </w:p>
        </w:tc>
        <w:tc>
          <w:tcPr>
            <w:tcW w:w="814" w:type="dxa"/>
            <w:gridSpan w:val="2"/>
            <w:tcBorders>
              <w:top w:val="single" w:sz="12" w:space="0" w:color="auto"/>
              <w:bottom w:val="single" w:sz="4" w:space="0" w:color="auto"/>
            </w:tcBorders>
            <w:vAlign w:val="center"/>
          </w:tcPr>
          <w:p w14:paraId="4B35885E" w14:textId="2F1D9E0F" w:rsidR="00BA11EB" w:rsidRPr="00E8351E" w:rsidRDefault="006F7976" w:rsidP="00BA11EB">
            <w:pPr>
              <w:jc w:val="center"/>
              <w:rPr>
                <w:rFonts w:ascii="Arial Narrow" w:hAnsi="Arial Narrow" w:cs="Arial"/>
                <w:sz w:val="22"/>
                <w:szCs w:val="22"/>
              </w:rPr>
            </w:pPr>
            <w:r>
              <w:rPr>
                <w:rFonts w:ascii="Arial Narrow" w:hAnsi="Arial Narrow" w:cs="Arial"/>
                <w:sz w:val="22"/>
                <w:szCs w:val="22"/>
              </w:rPr>
              <w:t>21.7%</w:t>
            </w:r>
          </w:p>
        </w:tc>
        <w:tc>
          <w:tcPr>
            <w:tcW w:w="813" w:type="dxa"/>
            <w:tcBorders>
              <w:top w:val="single" w:sz="12" w:space="0" w:color="auto"/>
              <w:bottom w:val="single" w:sz="4" w:space="0" w:color="auto"/>
            </w:tcBorders>
            <w:vAlign w:val="center"/>
          </w:tcPr>
          <w:p w14:paraId="5FBD6D31" w14:textId="5CEC96B3" w:rsidR="00BA11EB" w:rsidRPr="00E8351E" w:rsidRDefault="006F7976" w:rsidP="00BA11EB">
            <w:pPr>
              <w:jc w:val="center"/>
              <w:rPr>
                <w:rFonts w:ascii="Arial Narrow" w:hAnsi="Arial Narrow" w:cs="Arial"/>
                <w:sz w:val="22"/>
                <w:szCs w:val="22"/>
              </w:rPr>
            </w:pPr>
            <w:r>
              <w:rPr>
                <w:rFonts w:ascii="Arial Narrow" w:hAnsi="Arial Narrow" w:cs="Arial"/>
                <w:sz w:val="22"/>
                <w:szCs w:val="22"/>
              </w:rPr>
              <w:t>23.0%</w:t>
            </w:r>
          </w:p>
        </w:tc>
        <w:tc>
          <w:tcPr>
            <w:tcW w:w="1268" w:type="dxa"/>
            <w:tcBorders>
              <w:top w:val="single" w:sz="12" w:space="0" w:color="auto"/>
              <w:bottom w:val="single" w:sz="4" w:space="0" w:color="auto"/>
              <w:right w:val="single" w:sz="12" w:space="0" w:color="auto"/>
            </w:tcBorders>
            <w:vAlign w:val="center"/>
          </w:tcPr>
          <w:p w14:paraId="35F84F40" w14:textId="70083EA1" w:rsidR="00BA11EB" w:rsidRPr="00E8351E" w:rsidRDefault="006F7976" w:rsidP="00BA11EB">
            <w:pPr>
              <w:jc w:val="center"/>
              <w:rPr>
                <w:rFonts w:ascii="Arial Narrow" w:hAnsi="Arial Narrow" w:cs="Arial"/>
                <w:sz w:val="22"/>
                <w:szCs w:val="22"/>
              </w:rPr>
            </w:pPr>
            <w:r>
              <w:rPr>
                <w:rFonts w:ascii="Arial Narrow" w:hAnsi="Arial Narrow" w:cs="Arial"/>
                <w:sz w:val="22"/>
                <w:szCs w:val="22"/>
              </w:rPr>
              <w:t>23.0%</w:t>
            </w:r>
          </w:p>
        </w:tc>
      </w:tr>
      <w:tr w:rsidR="00EC0D84" w:rsidRPr="006D5B97" w14:paraId="0EFC97D5" w14:textId="12051ACD" w:rsidTr="00E416AF">
        <w:trPr>
          <w:trHeight w:val="20"/>
          <w:jc w:val="center"/>
        </w:trPr>
        <w:tc>
          <w:tcPr>
            <w:tcW w:w="1974" w:type="dxa"/>
            <w:gridSpan w:val="2"/>
            <w:tcBorders>
              <w:top w:val="single" w:sz="4" w:space="0" w:color="auto"/>
              <w:left w:val="single" w:sz="12" w:space="0" w:color="auto"/>
              <w:bottom w:val="single" w:sz="12" w:space="0" w:color="auto"/>
              <w:right w:val="single" w:sz="12" w:space="0" w:color="auto"/>
            </w:tcBorders>
          </w:tcPr>
          <w:p w14:paraId="4C3E57AE" w14:textId="77777777" w:rsidR="00BA11EB" w:rsidRPr="00E8351E" w:rsidRDefault="00BA11EB" w:rsidP="00963E14">
            <w:pPr>
              <w:rPr>
                <w:rFonts w:ascii="Arial Narrow" w:hAnsi="Arial Narrow" w:cs="Arial"/>
                <w:sz w:val="22"/>
                <w:szCs w:val="22"/>
              </w:rPr>
            </w:pPr>
            <w:r w:rsidRPr="00E8351E">
              <w:rPr>
                <w:rFonts w:ascii="Arial Narrow" w:hAnsi="Arial Narrow" w:cs="Arial"/>
                <w:sz w:val="22"/>
                <w:szCs w:val="22"/>
              </w:rPr>
              <w:t>Non-APM and Non-ACO Contracts</w:t>
            </w:r>
          </w:p>
        </w:tc>
        <w:tc>
          <w:tcPr>
            <w:tcW w:w="791" w:type="dxa"/>
            <w:tcBorders>
              <w:top w:val="single" w:sz="4" w:space="0" w:color="auto"/>
              <w:left w:val="single" w:sz="12" w:space="0" w:color="auto"/>
              <w:bottom w:val="single" w:sz="12" w:space="0" w:color="auto"/>
            </w:tcBorders>
            <w:vAlign w:val="center"/>
          </w:tcPr>
          <w:p w14:paraId="0EB68009" w14:textId="316E910F" w:rsidR="00BA11EB" w:rsidRPr="00E8351E" w:rsidRDefault="00BA11EB" w:rsidP="00BA11EB">
            <w:pPr>
              <w:jc w:val="center"/>
              <w:rPr>
                <w:rFonts w:ascii="Arial Narrow" w:hAnsi="Arial Narrow" w:cs="Arial"/>
                <w:sz w:val="22"/>
                <w:szCs w:val="22"/>
              </w:rPr>
            </w:pPr>
            <w:r w:rsidRPr="00E8351E">
              <w:rPr>
                <w:rFonts w:ascii="Arial Narrow" w:hAnsi="Arial Narrow" w:cs="Arial"/>
                <w:sz w:val="22"/>
                <w:szCs w:val="22"/>
              </w:rPr>
              <w:t>7</w:t>
            </w:r>
            <w:r w:rsidR="0049553F">
              <w:rPr>
                <w:rFonts w:ascii="Arial Narrow" w:hAnsi="Arial Narrow" w:cs="Arial"/>
                <w:sz w:val="22"/>
                <w:szCs w:val="22"/>
              </w:rPr>
              <w:t>9.8</w:t>
            </w:r>
            <w:r w:rsidRPr="00E8351E">
              <w:rPr>
                <w:rFonts w:ascii="Arial Narrow" w:hAnsi="Arial Narrow" w:cs="Arial"/>
                <w:sz w:val="22"/>
                <w:szCs w:val="22"/>
              </w:rPr>
              <w:t>%</w:t>
            </w:r>
          </w:p>
        </w:tc>
        <w:tc>
          <w:tcPr>
            <w:tcW w:w="810" w:type="dxa"/>
            <w:gridSpan w:val="2"/>
            <w:tcBorders>
              <w:top w:val="single" w:sz="4" w:space="0" w:color="auto"/>
              <w:bottom w:val="single" w:sz="12" w:space="0" w:color="auto"/>
            </w:tcBorders>
            <w:vAlign w:val="center"/>
          </w:tcPr>
          <w:p w14:paraId="0A5A9A3C" w14:textId="2D3D784D" w:rsidR="00BA11EB" w:rsidRPr="00E8351E" w:rsidRDefault="0049553F" w:rsidP="00BA11EB">
            <w:pPr>
              <w:jc w:val="center"/>
              <w:rPr>
                <w:rFonts w:ascii="Arial Narrow" w:hAnsi="Arial Narrow" w:cs="Arial"/>
                <w:sz w:val="22"/>
                <w:szCs w:val="22"/>
              </w:rPr>
            </w:pPr>
            <w:r>
              <w:rPr>
                <w:rFonts w:ascii="Arial Narrow" w:hAnsi="Arial Narrow" w:cs="Arial"/>
                <w:sz w:val="22"/>
                <w:szCs w:val="22"/>
              </w:rPr>
              <w:t>77.4</w:t>
            </w:r>
            <w:r w:rsidR="00BA11EB" w:rsidRPr="00E8351E">
              <w:rPr>
                <w:rFonts w:ascii="Arial Narrow" w:hAnsi="Arial Narrow" w:cs="Arial"/>
                <w:sz w:val="22"/>
                <w:szCs w:val="22"/>
              </w:rPr>
              <w:t>%</w:t>
            </w:r>
          </w:p>
        </w:tc>
        <w:tc>
          <w:tcPr>
            <w:tcW w:w="810" w:type="dxa"/>
            <w:gridSpan w:val="2"/>
            <w:tcBorders>
              <w:top w:val="single" w:sz="4" w:space="0" w:color="auto"/>
              <w:bottom w:val="single" w:sz="12" w:space="0" w:color="auto"/>
            </w:tcBorders>
            <w:vAlign w:val="center"/>
          </w:tcPr>
          <w:p w14:paraId="50DBB5C7" w14:textId="3143AF2E" w:rsidR="00BA11EB" w:rsidRPr="00E8351E" w:rsidRDefault="0049553F" w:rsidP="00BA11EB">
            <w:pPr>
              <w:jc w:val="center"/>
              <w:rPr>
                <w:rFonts w:ascii="Arial Narrow" w:hAnsi="Arial Narrow" w:cs="Arial"/>
                <w:sz w:val="22"/>
                <w:szCs w:val="22"/>
              </w:rPr>
            </w:pPr>
            <w:r>
              <w:rPr>
                <w:rFonts w:ascii="Arial Narrow" w:hAnsi="Arial Narrow" w:cs="Arial"/>
                <w:sz w:val="22"/>
                <w:szCs w:val="22"/>
              </w:rPr>
              <w:t>77.1</w:t>
            </w:r>
            <w:r w:rsidR="00BA11EB" w:rsidRPr="00E8351E">
              <w:rPr>
                <w:rFonts w:ascii="Arial Narrow" w:hAnsi="Arial Narrow" w:cs="Arial"/>
                <w:sz w:val="22"/>
                <w:szCs w:val="22"/>
              </w:rPr>
              <w:t>%</w:t>
            </w:r>
          </w:p>
        </w:tc>
        <w:tc>
          <w:tcPr>
            <w:tcW w:w="1270" w:type="dxa"/>
            <w:gridSpan w:val="2"/>
            <w:tcBorders>
              <w:top w:val="single" w:sz="4" w:space="0" w:color="auto"/>
              <w:bottom w:val="single" w:sz="12" w:space="0" w:color="auto"/>
              <w:right w:val="single" w:sz="12" w:space="0" w:color="auto"/>
            </w:tcBorders>
            <w:vAlign w:val="center"/>
          </w:tcPr>
          <w:p w14:paraId="17D98629" w14:textId="7AEE3B1C" w:rsidR="00BA11EB" w:rsidRPr="00E8351E" w:rsidRDefault="0049553F" w:rsidP="00BA11EB">
            <w:pPr>
              <w:jc w:val="center"/>
              <w:rPr>
                <w:rFonts w:ascii="Arial Narrow" w:hAnsi="Arial Narrow" w:cs="Arial"/>
                <w:sz w:val="22"/>
                <w:szCs w:val="22"/>
              </w:rPr>
            </w:pPr>
            <w:r>
              <w:rPr>
                <w:rFonts w:ascii="Arial Narrow" w:hAnsi="Arial Narrow" w:cs="Arial"/>
                <w:sz w:val="22"/>
                <w:szCs w:val="22"/>
              </w:rPr>
              <w:t>76.9</w:t>
            </w:r>
            <w:r w:rsidR="00BA11EB" w:rsidRPr="00E8351E">
              <w:rPr>
                <w:rFonts w:ascii="Arial Narrow" w:hAnsi="Arial Narrow" w:cs="Arial"/>
                <w:sz w:val="22"/>
                <w:szCs w:val="22"/>
              </w:rPr>
              <w:t>%</w:t>
            </w:r>
          </w:p>
        </w:tc>
        <w:tc>
          <w:tcPr>
            <w:tcW w:w="800" w:type="dxa"/>
            <w:tcBorders>
              <w:top w:val="single" w:sz="4" w:space="0" w:color="auto"/>
              <w:left w:val="single" w:sz="12" w:space="0" w:color="auto"/>
              <w:bottom w:val="single" w:sz="12" w:space="0" w:color="auto"/>
            </w:tcBorders>
            <w:vAlign w:val="center"/>
          </w:tcPr>
          <w:p w14:paraId="2702B15D" w14:textId="50541C98" w:rsidR="00BA11EB" w:rsidRPr="00E8351E" w:rsidRDefault="006F7976" w:rsidP="00BA11EB">
            <w:pPr>
              <w:jc w:val="center"/>
              <w:rPr>
                <w:rFonts w:ascii="Arial Narrow" w:hAnsi="Arial Narrow" w:cs="Arial"/>
                <w:sz w:val="22"/>
                <w:szCs w:val="22"/>
              </w:rPr>
            </w:pPr>
            <w:r>
              <w:rPr>
                <w:rFonts w:ascii="Arial Narrow" w:hAnsi="Arial Narrow" w:cs="Arial"/>
                <w:sz w:val="22"/>
                <w:szCs w:val="22"/>
              </w:rPr>
              <w:t>80.6%</w:t>
            </w:r>
          </w:p>
        </w:tc>
        <w:tc>
          <w:tcPr>
            <w:tcW w:w="814" w:type="dxa"/>
            <w:gridSpan w:val="2"/>
            <w:tcBorders>
              <w:top w:val="single" w:sz="4" w:space="0" w:color="auto"/>
              <w:bottom w:val="single" w:sz="12" w:space="0" w:color="auto"/>
            </w:tcBorders>
            <w:vAlign w:val="center"/>
          </w:tcPr>
          <w:p w14:paraId="2D5B0C10" w14:textId="357F25E8" w:rsidR="00BA11EB" w:rsidRPr="00E8351E" w:rsidRDefault="006F7976" w:rsidP="00BA11EB">
            <w:pPr>
              <w:jc w:val="center"/>
              <w:rPr>
                <w:rFonts w:ascii="Arial Narrow" w:hAnsi="Arial Narrow" w:cs="Arial"/>
                <w:sz w:val="22"/>
                <w:szCs w:val="22"/>
              </w:rPr>
            </w:pPr>
            <w:r>
              <w:rPr>
                <w:rFonts w:ascii="Arial Narrow" w:hAnsi="Arial Narrow" w:cs="Arial"/>
                <w:sz w:val="22"/>
                <w:szCs w:val="22"/>
              </w:rPr>
              <w:t>78.3%</w:t>
            </w:r>
          </w:p>
        </w:tc>
        <w:tc>
          <w:tcPr>
            <w:tcW w:w="813" w:type="dxa"/>
            <w:tcBorders>
              <w:top w:val="single" w:sz="4" w:space="0" w:color="auto"/>
              <w:bottom w:val="single" w:sz="12" w:space="0" w:color="auto"/>
            </w:tcBorders>
            <w:vAlign w:val="center"/>
          </w:tcPr>
          <w:p w14:paraId="18EA7C09" w14:textId="1841BF30" w:rsidR="00BA11EB" w:rsidRPr="00E8351E" w:rsidRDefault="006F7976" w:rsidP="00BA11EB">
            <w:pPr>
              <w:jc w:val="center"/>
              <w:rPr>
                <w:rFonts w:ascii="Arial Narrow" w:hAnsi="Arial Narrow" w:cs="Arial"/>
                <w:sz w:val="22"/>
                <w:szCs w:val="22"/>
              </w:rPr>
            </w:pPr>
            <w:r>
              <w:rPr>
                <w:rFonts w:ascii="Arial Narrow" w:hAnsi="Arial Narrow" w:cs="Arial"/>
                <w:sz w:val="22"/>
                <w:szCs w:val="22"/>
              </w:rPr>
              <w:t>77.0%</w:t>
            </w:r>
          </w:p>
        </w:tc>
        <w:tc>
          <w:tcPr>
            <w:tcW w:w="1268" w:type="dxa"/>
            <w:tcBorders>
              <w:top w:val="single" w:sz="4" w:space="0" w:color="auto"/>
              <w:bottom w:val="single" w:sz="12" w:space="0" w:color="auto"/>
              <w:right w:val="single" w:sz="12" w:space="0" w:color="auto"/>
            </w:tcBorders>
            <w:vAlign w:val="center"/>
          </w:tcPr>
          <w:p w14:paraId="68E1E810" w14:textId="6F381F52" w:rsidR="00BA11EB" w:rsidRPr="00E8351E" w:rsidRDefault="006F7976" w:rsidP="00BA11EB">
            <w:pPr>
              <w:jc w:val="center"/>
              <w:rPr>
                <w:rFonts w:ascii="Arial Narrow" w:hAnsi="Arial Narrow" w:cs="Arial"/>
                <w:sz w:val="22"/>
                <w:szCs w:val="22"/>
              </w:rPr>
            </w:pPr>
            <w:r>
              <w:rPr>
                <w:rFonts w:ascii="Arial Narrow" w:hAnsi="Arial Narrow" w:cs="Arial"/>
                <w:sz w:val="22"/>
                <w:szCs w:val="22"/>
              </w:rPr>
              <w:t>77.0%</w:t>
            </w:r>
          </w:p>
        </w:tc>
      </w:tr>
      <w:tr w:rsidR="00814C10" w:rsidRPr="006D5B97" w14:paraId="034590FE" w14:textId="3D90937E" w:rsidTr="00E416AF">
        <w:trPr>
          <w:trHeight w:val="20"/>
          <w:jc w:val="center"/>
        </w:trPr>
        <w:tc>
          <w:tcPr>
            <w:tcW w:w="1965"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35CC771" w14:textId="77777777" w:rsidR="00814C10" w:rsidRPr="00E8351E" w:rsidRDefault="00814C10" w:rsidP="00EC0D84">
            <w:pPr>
              <w:rPr>
                <w:rFonts w:ascii="Arial Narrow" w:hAnsi="Arial Narrow" w:cs="Arial"/>
                <w:b/>
                <w:bCs/>
                <w:sz w:val="22"/>
                <w:szCs w:val="22"/>
              </w:rPr>
            </w:pPr>
            <w:r w:rsidRPr="00E8351E">
              <w:rPr>
                <w:rFonts w:ascii="Arial Narrow" w:hAnsi="Arial Narrow" w:cs="Arial"/>
                <w:b/>
                <w:bCs/>
                <w:sz w:val="22"/>
                <w:szCs w:val="22"/>
              </w:rPr>
              <w:t>Payer Mix Percentages</w:t>
            </w:r>
          </w:p>
        </w:tc>
        <w:tc>
          <w:tcPr>
            <w:tcW w:w="810" w:type="dxa"/>
            <w:gridSpan w:val="3"/>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95BE25D" w14:textId="77777777" w:rsidR="00814C10" w:rsidRPr="00E8351E" w:rsidRDefault="00814C10" w:rsidP="00EC0D84">
            <w:pPr>
              <w:rPr>
                <w:rFonts w:ascii="Arial Narrow" w:hAnsi="Arial Narrow" w:cs="Arial"/>
                <w:b/>
                <w:bCs/>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507D8FB" w14:textId="77777777" w:rsidR="00814C10" w:rsidRPr="00E8351E" w:rsidRDefault="00814C10" w:rsidP="00EC0D84">
            <w:pPr>
              <w:rPr>
                <w:rFonts w:ascii="Arial Narrow" w:hAnsi="Arial Narrow" w:cs="Arial"/>
                <w:b/>
                <w:bCs/>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91C1529" w14:textId="77777777" w:rsidR="00814C10" w:rsidRPr="00E8351E" w:rsidRDefault="00814C10" w:rsidP="00EC0D84">
            <w:pPr>
              <w:rPr>
                <w:rFonts w:ascii="Arial Narrow" w:hAnsi="Arial Narrow" w:cs="Arial"/>
                <w:b/>
                <w:bCs/>
                <w:sz w:val="22"/>
                <w:szCs w:val="22"/>
              </w:rPr>
            </w:pPr>
          </w:p>
        </w:tc>
        <w:tc>
          <w:tcPr>
            <w:tcW w:w="126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564A906" w14:textId="77777777" w:rsidR="00814C10" w:rsidRPr="00E8351E" w:rsidRDefault="00814C10" w:rsidP="00EC0D84">
            <w:pPr>
              <w:rPr>
                <w:rFonts w:ascii="Arial Narrow" w:hAnsi="Arial Narrow" w:cs="Arial"/>
                <w:b/>
                <w:bCs/>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1B530EF" w14:textId="77777777" w:rsidR="00814C10" w:rsidRPr="00E8351E" w:rsidRDefault="00814C10" w:rsidP="00EC0D84">
            <w:pPr>
              <w:rPr>
                <w:rFonts w:ascii="Arial Narrow" w:hAnsi="Arial Narrow" w:cs="Arial"/>
                <w:b/>
                <w:bCs/>
                <w:sz w:val="22"/>
                <w:szCs w:val="22"/>
              </w:rPr>
            </w:pPr>
          </w:p>
        </w:tc>
        <w:tc>
          <w:tcPr>
            <w:tcW w:w="804"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F230DEC" w14:textId="77777777" w:rsidR="00814C10" w:rsidRPr="00E8351E" w:rsidRDefault="00814C10" w:rsidP="00EC0D84">
            <w:pPr>
              <w:rPr>
                <w:rFonts w:ascii="Arial Narrow" w:hAnsi="Arial Narrow" w:cs="Arial"/>
                <w:b/>
                <w:bCs/>
                <w:sz w:val="22"/>
                <w:szCs w:val="22"/>
              </w:rPr>
            </w:pPr>
          </w:p>
        </w:tc>
        <w:tc>
          <w:tcPr>
            <w:tcW w:w="813"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EDA136B" w14:textId="77777777" w:rsidR="00814C10" w:rsidRPr="00E8351E" w:rsidRDefault="00814C10" w:rsidP="00EC0D84">
            <w:pPr>
              <w:rPr>
                <w:rFonts w:ascii="Arial Narrow" w:hAnsi="Arial Narrow" w:cs="Arial"/>
                <w:b/>
                <w:bCs/>
                <w:sz w:val="22"/>
                <w:szCs w:val="22"/>
              </w:rPr>
            </w:pPr>
          </w:p>
        </w:tc>
        <w:tc>
          <w:tcPr>
            <w:tcW w:w="126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E770EE7" w14:textId="4486D316" w:rsidR="00814C10" w:rsidRPr="00E8351E" w:rsidRDefault="00814C10" w:rsidP="00EC0D84">
            <w:pPr>
              <w:rPr>
                <w:rFonts w:ascii="Arial Narrow" w:hAnsi="Arial Narrow" w:cs="Arial"/>
                <w:b/>
                <w:bCs/>
                <w:sz w:val="22"/>
                <w:szCs w:val="22"/>
              </w:rPr>
            </w:pPr>
          </w:p>
        </w:tc>
      </w:tr>
      <w:tr w:rsidR="00EC0D84" w:rsidRPr="006D5B97" w14:paraId="4553C350" w14:textId="6883B4B8" w:rsidTr="00E416AF">
        <w:trPr>
          <w:trHeight w:val="20"/>
          <w:jc w:val="center"/>
        </w:trPr>
        <w:tc>
          <w:tcPr>
            <w:tcW w:w="1974" w:type="dxa"/>
            <w:gridSpan w:val="2"/>
            <w:tcBorders>
              <w:top w:val="single" w:sz="12" w:space="0" w:color="auto"/>
              <w:left w:val="single" w:sz="12" w:space="0" w:color="auto"/>
              <w:right w:val="single" w:sz="12" w:space="0" w:color="auto"/>
            </w:tcBorders>
          </w:tcPr>
          <w:p w14:paraId="1ED812B4" w14:textId="68BCAB82"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Commercial</w:t>
            </w:r>
            <w:r w:rsidR="00FB167B">
              <w:rPr>
                <w:rFonts w:ascii="ZWAdobeF" w:hAnsi="ZWAdobeF" w:cs="ZWAdobeF"/>
                <w:sz w:val="2"/>
                <w:szCs w:val="2"/>
              </w:rPr>
              <w:t>21F</w:t>
            </w:r>
            <w:r w:rsidRPr="00E8351E">
              <w:rPr>
                <w:rStyle w:val="FootnoteReference"/>
                <w:rFonts w:ascii="Arial Narrow" w:hAnsi="Arial Narrow" w:cs="Arial"/>
                <w:sz w:val="22"/>
                <w:szCs w:val="22"/>
              </w:rPr>
              <w:footnoteReference w:id="22"/>
            </w:r>
          </w:p>
        </w:tc>
        <w:tc>
          <w:tcPr>
            <w:tcW w:w="791" w:type="dxa"/>
            <w:tcBorders>
              <w:top w:val="single" w:sz="12" w:space="0" w:color="auto"/>
              <w:left w:val="single" w:sz="12" w:space="0" w:color="auto"/>
            </w:tcBorders>
            <w:vAlign w:val="center"/>
          </w:tcPr>
          <w:p w14:paraId="6252403C" w14:textId="40C6BF8F" w:rsidR="00EC0D84" w:rsidRPr="00E8351E" w:rsidRDefault="00EC0D84" w:rsidP="00EC0D84">
            <w:pPr>
              <w:jc w:val="center"/>
              <w:rPr>
                <w:rFonts w:ascii="Arial Narrow" w:hAnsi="Arial Narrow" w:cs="Arial"/>
                <w:sz w:val="22"/>
                <w:szCs w:val="22"/>
              </w:rPr>
            </w:pPr>
            <w:r>
              <w:rPr>
                <w:rFonts w:ascii="Arial Narrow" w:hAnsi="Arial Narrow" w:cs="Arial"/>
                <w:sz w:val="22"/>
                <w:szCs w:val="22"/>
              </w:rPr>
              <w:t>18.0</w:t>
            </w:r>
            <w:r w:rsidRPr="00E8351E">
              <w:rPr>
                <w:rFonts w:ascii="Arial Narrow" w:hAnsi="Arial Narrow" w:cs="Arial"/>
                <w:sz w:val="22"/>
                <w:szCs w:val="22"/>
              </w:rPr>
              <w:t>%</w:t>
            </w:r>
          </w:p>
        </w:tc>
        <w:tc>
          <w:tcPr>
            <w:tcW w:w="810" w:type="dxa"/>
            <w:gridSpan w:val="2"/>
            <w:tcBorders>
              <w:top w:val="single" w:sz="12" w:space="0" w:color="auto"/>
            </w:tcBorders>
            <w:vAlign w:val="center"/>
          </w:tcPr>
          <w:p w14:paraId="08771B29" w14:textId="5D798DE1"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17.3%</w:t>
            </w:r>
          </w:p>
        </w:tc>
        <w:tc>
          <w:tcPr>
            <w:tcW w:w="810" w:type="dxa"/>
            <w:gridSpan w:val="2"/>
            <w:tcBorders>
              <w:top w:val="single" w:sz="12" w:space="0" w:color="auto"/>
            </w:tcBorders>
            <w:vAlign w:val="center"/>
          </w:tcPr>
          <w:p w14:paraId="5C59B3CF" w14:textId="70E10E7F"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18.0%</w:t>
            </w:r>
          </w:p>
        </w:tc>
        <w:tc>
          <w:tcPr>
            <w:tcW w:w="1270" w:type="dxa"/>
            <w:gridSpan w:val="2"/>
            <w:tcBorders>
              <w:top w:val="single" w:sz="12" w:space="0" w:color="auto"/>
              <w:right w:val="single" w:sz="12" w:space="0" w:color="auto"/>
            </w:tcBorders>
            <w:vAlign w:val="center"/>
          </w:tcPr>
          <w:p w14:paraId="7853E3B6" w14:textId="18C1C069"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15.5%</w:t>
            </w:r>
          </w:p>
        </w:tc>
        <w:tc>
          <w:tcPr>
            <w:tcW w:w="800" w:type="dxa"/>
            <w:tcBorders>
              <w:top w:val="single" w:sz="12" w:space="0" w:color="auto"/>
              <w:left w:val="single" w:sz="12" w:space="0" w:color="auto"/>
            </w:tcBorders>
            <w:vAlign w:val="center"/>
          </w:tcPr>
          <w:p w14:paraId="40E2D175" w14:textId="2ECA6BB5" w:rsidR="00EC0D84" w:rsidRPr="00E8351E" w:rsidRDefault="00EC0D84" w:rsidP="00EC0D84">
            <w:pPr>
              <w:jc w:val="center"/>
              <w:rPr>
                <w:rFonts w:ascii="Arial Narrow" w:hAnsi="Arial Narrow" w:cs="Arial"/>
                <w:sz w:val="22"/>
                <w:szCs w:val="22"/>
              </w:rPr>
            </w:pPr>
            <w:r>
              <w:rPr>
                <w:rFonts w:ascii="Arial Narrow" w:hAnsi="Arial Narrow" w:cs="Arial"/>
                <w:sz w:val="22"/>
                <w:szCs w:val="22"/>
              </w:rPr>
              <w:t>15.2%</w:t>
            </w:r>
          </w:p>
        </w:tc>
        <w:tc>
          <w:tcPr>
            <w:tcW w:w="814" w:type="dxa"/>
            <w:gridSpan w:val="2"/>
            <w:tcBorders>
              <w:top w:val="single" w:sz="12" w:space="0" w:color="auto"/>
            </w:tcBorders>
            <w:vAlign w:val="center"/>
          </w:tcPr>
          <w:p w14:paraId="588A42AE" w14:textId="0450E769" w:rsidR="00EC0D84" w:rsidRPr="00E8351E" w:rsidRDefault="00EC0D84" w:rsidP="00EC0D84">
            <w:pPr>
              <w:jc w:val="center"/>
              <w:rPr>
                <w:rFonts w:ascii="Arial Narrow" w:hAnsi="Arial Narrow" w:cs="Arial"/>
                <w:sz w:val="22"/>
                <w:szCs w:val="22"/>
              </w:rPr>
            </w:pPr>
            <w:r>
              <w:rPr>
                <w:rFonts w:ascii="Arial Narrow" w:hAnsi="Arial Narrow" w:cs="Arial"/>
                <w:sz w:val="22"/>
                <w:szCs w:val="22"/>
              </w:rPr>
              <w:t>14.4%</w:t>
            </w:r>
          </w:p>
        </w:tc>
        <w:tc>
          <w:tcPr>
            <w:tcW w:w="813" w:type="dxa"/>
            <w:tcBorders>
              <w:top w:val="single" w:sz="12" w:space="0" w:color="auto"/>
            </w:tcBorders>
            <w:vAlign w:val="center"/>
          </w:tcPr>
          <w:p w14:paraId="4B2CEA7F" w14:textId="5645BD5D" w:rsidR="00EC0D84" w:rsidRPr="00E8351E" w:rsidRDefault="00EC0D84" w:rsidP="00EC0D84">
            <w:pPr>
              <w:jc w:val="center"/>
              <w:rPr>
                <w:rFonts w:ascii="Arial Narrow" w:hAnsi="Arial Narrow" w:cs="Arial"/>
                <w:sz w:val="22"/>
                <w:szCs w:val="22"/>
              </w:rPr>
            </w:pPr>
            <w:r>
              <w:rPr>
                <w:rFonts w:ascii="Arial Narrow" w:hAnsi="Arial Narrow" w:cs="Arial"/>
                <w:sz w:val="22"/>
                <w:szCs w:val="22"/>
              </w:rPr>
              <w:t>15.1%</w:t>
            </w:r>
          </w:p>
        </w:tc>
        <w:tc>
          <w:tcPr>
            <w:tcW w:w="1268" w:type="dxa"/>
            <w:tcBorders>
              <w:top w:val="single" w:sz="12" w:space="0" w:color="auto"/>
              <w:right w:val="single" w:sz="12" w:space="0" w:color="auto"/>
            </w:tcBorders>
            <w:vAlign w:val="center"/>
          </w:tcPr>
          <w:p w14:paraId="1FB8D9FA" w14:textId="71048A97" w:rsidR="00EC0D84" w:rsidRPr="00E8351E" w:rsidRDefault="00EC0D84" w:rsidP="00EC0D84">
            <w:pPr>
              <w:jc w:val="center"/>
              <w:rPr>
                <w:rFonts w:ascii="Arial Narrow" w:hAnsi="Arial Narrow" w:cs="Arial"/>
                <w:sz w:val="22"/>
                <w:szCs w:val="22"/>
              </w:rPr>
            </w:pPr>
            <w:r>
              <w:rPr>
                <w:rFonts w:ascii="Arial Narrow" w:hAnsi="Arial Narrow" w:cs="Arial"/>
                <w:sz w:val="22"/>
                <w:szCs w:val="22"/>
              </w:rPr>
              <w:t>13.3%</w:t>
            </w:r>
          </w:p>
        </w:tc>
      </w:tr>
      <w:tr w:rsidR="00EC0D84" w:rsidRPr="006D5B97" w14:paraId="6D4F7484" w14:textId="118F0B36" w:rsidTr="00E416AF">
        <w:trPr>
          <w:trHeight w:val="20"/>
          <w:jc w:val="center"/>
        </w:trPr>
        <w:tc>
          <w:tcPr>
            <w:tcW w:w="1974" w:type="dxa"/>
            <w:gridSpan w:val="2"/>
            <w:tcBorders>
              <w:left w:val="single" w:sz="12" w:space="0" w:color="auto"/>
              <w:right w:val="single" w:sz="12" w:space="0" w:color="auto"/>
            </w:tcBorders>
          </w:tcPr>
          <w:p w14:paraId="3978BA31" w14:textId="77777777" w:rsidR="00EC0D84" w:rsidRPr="00520084" w:rsidRDefault="00EC0D84" w:rsidP="00EC0D84">
            <w:pPr>
              <w:rPr>
                <w:rFonts w:ascii="Arial Narrow" w:hAnsi="Arial Narrow" w:cs="Arial"/>
                <w:i/>
                <w:iCs/>
                <w:sz w:val="22"/>
                <w:szCs w:val="22"/>
              </w:rPr>
            </w:pPr>
            <w:r w:rsidRPr="00520084">
              <w:rPr>
                <w:rFonts w:ascii="Arial Narrow" w:hAnsi="Arial Narrow" w:cs="Arial"/>
                <w:i/>
                <w:iCs/>
                <w:sz w:val="22"/>
                <w:szCs w:val="22"/>
              </w:rPr>
              <w:t xml:space="preserve">     HMO/POS</w:t>
            </w:r>
          </w:p>
        </w:tc>
        <w:tc>
          <w:tcPr>
            <w:tcW w:w="791" w:type="dxa"/>
            <w:tcBorders>
              <w:left w:val="single" w:sz="12" w:space="0" w:color="auto"/>
            </w:tcBorders>
            <w:vAlign w:val="center"/>
          </w:tcPr>
          <w:p w14:paraId="678BB361" w14:textId="3AB67933" w:rsidR="00EC0D84" w:rsidRPr="00520084" w:rsidRDefault="00EC0D84" w:rsidP="00EC0D84">
            <w:pPr>
              <w:ind w:left="-218"/>
              <w:jc w:val="right"/>
              <w:rPr>
                <w:rFonts w:ascii="Arial Narrow" w:hAnsi="Arial Narrow" w:cs="Arial"/>
                <w:i/>
                <w:iCs/>
                <w:sz w:val="22"/>
                <w:szCs w:val="22"/>
              </w:rPr>
            </w:pPr>
            <w:r>
              <w:rPr>
                <w:rFonts w:ascii="Arial Narrow" w:hAnsi="Arial Narrow" w:cs="Arial"/>
                <w:i/>
                <w:iCs/>
                <w:sz w:val="22"/>
                <w:szCs w:val="22"/>
              </w:rPr>
              <w:t>6.3</w:t>
            </w:r>
            <w:r w:rsidRPr="00520084">
              <w:rPr>
                <w:rFonts w:ascii="Arial Narrow" w:hAnsi="Arial Narrow" w:cs="Arial"/>
                <w:i/>
                <w:iCs/>
                <w:sz w:val="22"/>
                <w:szCs w:val="22"/>
              </w:rPr>
              <w:t>%</w:t>
            </w:r>
          </w:p>
        </w:tc>
        <w:tc>
          <w:tcPr>
            <w:tcW w:w="810" w:type="dxa"/>
            <w:gridSpan w:val="2"/>
          </w:tcPr>
          <w:p w14:paraId="756D7850" w14:textId="11AE1F9A" w:rsidR="00EC0D84" w:rsidRPr="00466C62" w:rsidRDefault="00EC0D84" w:rsidP="00EC0D84">
            <w:pPr>
              <w:ind w:left="-145"/>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5.9%</w:t>
            </w:r>
          </w:p>
        </w:tc>
        <w:tc>
          <w:tcPr>
            <w:tcW w:w="810" w:type="dxa"/>
            <w:gridSpan w:val="2"/>
            <w:vAlign w:val="center"/>
          </w:tcPr>
          <w:p w14:paraId="03AD7A5F" w14:textId="3EA0D52B" w:rsidR="00EC0D84" w:rsidRPr="00466C62" w:rsidRDefault="00EC0D84" w:rsidP="00EC0D84">
            <w:pPr>
              <w:ind w:left="-161"/>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6.4%</w:t>
            </w:r>
          </w:p>
        </w:tc>
        <w:tc>
          <w:tcPr>
            <w:tcW w:w="1270" w:type="dxa"/>
            <w:gridSpan w:val="2"/>
            <w:tcBorders>
              <w:right w:val="single" w:sz="12" w:space="0" w:color="auto"/>
            </w:tcBorders>
            <w:vAlign w:val="center"/>
          </w:tcPr>
          <w:p w14:paraId="313C31CE" w14:textId="2FC3E154" w:rsidR="00EC0D84" w:rsidRPr="00466C62" w:rsidRDefault="00EC0D84" w:rsidP="00EC0D84">
            <w:pPr>
              <w:ind w:left="-102" w:right="-19"/>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5.2%</w:t>
            </w:r>
          </w:p>
        </w:tc>
        <w:tc>
          <w:tcPr>
            <w:tcW w:w="800" w:type="dxa"/>
            <w:tcBorders>
              <w:left w:val="single" w:sz="12" w:space="0" w:color="auto"/>
            </w:tcBorders>
            <w:vAlign w:val="center"/>
          </w:tcPr>
          <w:p w14:paraId="691841E6" w14:textId="2692B9F3" w:rsidR="00EC0D84" w:rsidRPr="00520084" w:rsidRDefault="00EC0D84" w:rsidP="00EC0D84">
            <w:pPr>
              <w:ind w:left="-118" w:right="-3"/>
              <w:jc w:val="right"/>
              <w:rPr>
                <w:rFonts w:ascii="Arial Narrow" w:hAnsi="Arial Narrow" w:cs="Arial"/>
                <w:i/>
                <w:iCs/>
                <w:sz w:val="22"/>
                <w:szCs w:val="22"/>
              </w:rPr>
            </w:pPr>
            <w:r w:rsidRPr="00520084">
              <w:rPr>
                <w:rFonts w:ascii="Arial Narrow" w:hAnsi="Arial Narrow" w:cs="Arial"/>
                <w:i/>
                <w:iCs/>
                <w:sz w:val="22"/>
                <w:szCs w:val="22"/>
              </w:rPr>
              <w:t>5.9</w:t>
            </w:r>
            <w:r>
              <w:rPr>
                <w:rFonts w:ascii="Arial Narrow" w:hAnsi="Arial Narrow" w:cs="Arial"/>
                <w:i/>
                <w:iCs/>
                <w:sz w:val="22"/>
                <w:szCs w:val="22"/>
              </w:rPr>
              <w:t>%</w:t>
            </w:r>
          </w:p>
        </w:tc>
        <w:tc>
          <w:tcPr>
            <w:tcW w:w="814" w:type="dxa"/>
            <w:gridSpan w:val="2"/>
            <w:vAlign w:val="center"/>
          </w:tcPr>
          <w:p w14:paraId="62A5023F" w14:textId="712A717E" w:rsidR="00EC0D84" w:rsidRPr="00520084" w:rsidRDefault="00EC0D84" w:rsidP="00EC0D84">
            <w:pPr>
              <w:ind w:left="-225"/>
              <w:jc w:val="right"/>
              <w:rPr>
                <w:rFonts w:ascii="Arial Narrow" w:hAnsi="Arial Narrow" w:cs="Arial"/>
                <w:i/>
                <w:iCs/>
                <w:sz w:val="22"/>
                <w:szCs w:val="22"/>
              </w:rPr>
            </w:pPr>
            <w:r>
              <w:rPr>
                <w:rFonts w:ascii="Arial Narrow" w:hAnsi="Arial Narrow" w:cs="Arial"/>
                <w:i/>
                <w:iCs/>
                <w:sz w:val="22"/>
                <w:szCs w:val="22"/>
              </w:rPr>
              <w:t>5.5%</w:t>
            </w:r>
          </w:p>
        </w:tc>
        <w:tc>
          <w:tcPr>
            <w:tcW w:w="813" w:type="dxa"/>
            <w:vAlign w:val="center"/>
          </w:tcPr>
          <w:p w14:paraId="6F542817" w14:textId="4C7E7206" w:rsidR="00EC0D84" w:rsidRPr="00520084" w:rsidRDefault="00EC0D84" w:rsidP="00EC0D84">
            <w:pPr>
              <w:ind w:left="-165"/>
              <w:jc w:val="right"/>
              <w:rPr>
                <w:rFonts w:ascii="Arial Narrow" w:hAnsi="Arial Narrow" w:cs="Arial"/>
                <w:i/>
                <w:iCs/>
                <w:sz w:val="22"/>
                <w:szCs w:val="22"/>
              </w:rPr>
            </w:pPr>
            <w:r>
              <w:rPr>
                <w:rFonts w:ascii="Arial Narrow" w:hAnsi="Arial Narrow" w:cs="Arial"/>
                <w:i/>
                <w:iCs/>
                <w:sz w:val="22"/>
                <w:szCs w:val="22"/>
              </w:rPr>
              <w:t>6.0%</w:t>
            </w:r>
          </w:p>
        </w:tc>
        <w:tc>
          <w:tcPr>
            <w:tcW w:w="1268" w:type="dxa"/>
            <w:tcBorders>
              <w:right w:val="single" w:sz="12" w:space="0" w:color="auto"/>
            </w:tcBorders>
            <w:vAlign w:val="center"/>
          </w:tcPr>
          <w:p w14:paraId="37ADE3B8" w14:textId="6B81E394" w:rsidR="00EC0D84" w:rsidRPr="00520084" w:rsidRDefault="00EC0D84" w:rsidP="00EC0D84">
            <w:pPr>
              <w:ind w:left="-264"/>
              <w:jc w:val="right"/>
              <w:rPr>
                <w:rFonts w:ascii="Arial Narrow" w:hAnsi="Arial Narrow" w:cs="Arial"/>
                <w:i/>
                <w:iCs/>
                <w:sz w:val="22"/>
                <w:szCs w:val="22"/>
              </w:rPr>
            </w:pPr>
            <w:r>
              <w:rPr>
                <w:rFonts w:ascii="Arial Narrow" w:hAnsi="Arial Narrow" w:cs="Arial"/>
                <w:i/>
                <w:iCs/>
                <w:sz w:val="22"/>
                <w:szCs w:val="22"/>
              </w:rPr>
              <w:t>4.6%</w:t>
            </w:r>
          </w:p>
        </w:tc>
      </w:tr>
      <w:tr w:rsidR="00EC0D84" w:rsidRPr="006D5B97" w14:paraId="31287A03" w14:textId="2505E02A" w:rsidTr="00E416AF">
        <w:trPr>
          <w:trHeight w:val="20"/>
          <w:jc w:val="center"/>
        </w:trPr>
        <w:tc>
          <w:tcPr>
            <w:tcW w:w="1974" w:type="dxa"/>
            <w:gridSpan w:val="2"/>
            <w:tcBorders>
              <w:left w:val="single" w:sz="12" w:space="0" w:color="auto"/>
              <w:right w:val="single" w:sz="12" w:space="0" w:color="auto"/>
            </w:tcBorders>
          </w:tcPr>
          <w:p w14:paraId="1C35CD23" w14:textId="77777777" w:rsidR="00EC0D84" w:rsidRPr="00520084" w:rsidRDefault="00EC0D84" w:rsidP="00EC0D84">
            <w:pPr>
              <w:rPr>
                <w:rFonts w:ascii="Arial Narrow" w:hAnsi="Arial Narrow" w:cs="Arial"/>
                <w:i/>
                <w:iCs/>
                <w:sz w:val="22"/>
                <w:szCs w:val="22"/>
              </w:rPr>
            </w:pPr>
            <w:r w:rsidRPr="00520084">
              <w:rPr>
                <w:rFonts w:ascii="Arial Narrow" w:hAnsi="Arial Narrow" w:cs="Arial"/>
                <w:i/>
                <w:iCs/>
                <w:sz w:val="22"/>
                <w:szCs w:val="22"/>
              </w:rPr>
              <w:t xml:space="preserve">     PPO</w:t>
            </w:r>
          </w:p>
        </w:tc>
        <w:tc>
          <w:tcPr>
            <w:tcW w:w="791" w:type="dxa"/>
            <w:tcBorders>
              <w:left w:val="single" w:sz="12" w:space="0" w:color="auto"/>
            </w:tcBorders>
            <w:vAlign w:val="center"/>
          </w:tcPr>
          <w:p w14:paraId="570B81D1" w14:textId="77BB1D57" w:rsidR="00EC0D84" w:rsidRPr="00520084" w:rsidRDefault="00EC0D84" w:rsidP="00EC0D84">
            <w:pPr>
              <w:ind w:left="-218"/>
              <w:jc w:val="right"/>
              <w:rPr>
                <w:rFonts w:ascii="Arial Narrow" w:hAnsi="Arial Narrow" w:cs="Arial"/>
                <w:i/>
                <w:iCs/>
                <w:sz w:val="22"/>
                <w:szCs w:val="22"/>
              </w:rPr>
            </w:pPr>
            <w:r>
              <w:rPr>
                <w:rFonts w:ascii="Arial Narrow" w:hAnsi="Arial Narrow" w:cs="Arial"/>
                <w:i/>
                <w:iCs/>
                <w:sz w:val="22"/>
                <w:szCs w:val="22"/>
              </w:rPr>
              <w:t>4.1</w:t>
            </w:r>
            <w:r w:rsidRPr="00520084">
              <w:rPr>
                <w:rFonts w:ascii="Arial Narrow" w:hAnsi="Arial Narrow" w:cs="Arial"/>
                <w:i/>
                <w:iCs/>
                <w:sz w:val="22"/>
                <w:szCs w:val="22"/>
              </w:rPr>
              <w:t>%</w:t>
            </w:r>
          </w:p>
        </w:tc>
        <w:tc>
          <w:tcPr>
            <w:tcW w:w="810" w:type="dxa"/>
            <w:gridSpan w:val="2"/>
          </w:tcPr>
          <w:p w14:paraId="6F80216A" w14:textId="143804A0" w:rsidR="00EC0D84" w:rsidRPr="00466C62" w:rsidRDefault="00EC0D84" w:rsidP="00EC0D84">
            <w:pPr>
              <w:ind w:left="-145"/>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4.0%</w:t>
            </w:r>
          </w:p>
        </w:tc>
        <w:tc>
          <w:tcPr>
            <w:tcW w:w="810" w:type="dxa"/>
            <w:gridSpan w:val="2"/>
            <w:vAlign w:val="center"/>
          </w:tcPr>
          <w:p w14:paraId="218ECE54" w14:textId="3130DA56" w:rsidR="00EC0D84" w:rsidRPr="00466C62" w:rsidRDefault="00EC0D84" w:rsidP="00EC0D84">
            <w:pPr>
              <w:ind w:left="-161"/>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4.1%</w:t>
            </w:r>
          </w:p>
        </w:tc>
        <w:tc>
          <w:tcPr>
            <w:tcW w:w="1270" w:type="dxa"/>
            <w:gridSpan w:val="2"/>
            <w:tcBorders>
              <w:right w:val="single" w:sz="12" w:space="0" w:color="auto"/>
            </w:tcBorders>
            <w:vAlign w:val="center"/>
          </w:tcPr>
          <w:p w14:paraId="7E8E38DD" w14:textId="2DF99797" w:rsidR="00EC0D84" w:rsidRPr="00466C62" w:rsidRDefault="00EC0D84" w:rsidP="00EC0D84">
            <w:pPr>
              <w:ind w:left="-102" w:right="-19"/>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3.8%</w:t>
            </w:r>
          </w:p>
        </w:tc>
        <w:tc>
          <w:tcPr>
            <w:tcW w:w="800" w:type="dxa"/>
            <w:tcBorders>
              <w:left w:val="single" w:sz="12" w:space="0" w:color="auto"/>
            </w:tcBorders>
            <w:vAlign w:val="center"/>
          </w:tcPr>
          <w:p w14:paraId="3603793D" w14:textId="65F465C8" w:rsidR="00EC0D84" w:rsidRPr="00520084" w:rsidRDefault="00EC0D84" w:rsidP="00EC0D84">
            <w:pPr>
              <w:ind w:left="-118" w:right="-3"/>
              <w:jc w:val="right"/>
              <w:rPr>
                <w:rFonts w:ascii="Arial Narrow" w:hAnsi="Arial Narrow" w:cs="Arial"/>
                <w:i/>
                <w:iCs/>
                <w:sz w:val="22"/>
                <w:szCs w:val="22"/>
              </w:rPr>
            </w:pPr>
            <w:r w:rsidRPr="00520084">
              <w:rPr>
                <w:rFonts w:ascii="Arial Narrow" w:hAnsi="Arial Narrow" w:cs="Arial"/>
                <w:i/>
                <w:iCs/>
                <w:sz w:val="22"/>
                <w:szCs w:val="22"/>
              </w:rPr>
              <w:t>3.5</w:t>
            </w:r>
            <w:r>
              <w:rPr>
                <w:rFonts w:ascii="Arial Narrow" w:hAnsi="Arial Narrow" w:cs="Arial"/>
                <w:i/>
                <w:iCs/>
                <w:sz w:val="22"/>
                <w:szCs w:val="22"/>
              </w:rPr>
              <w:t>%</w:t>
            </w:r>
          </w:p>
        </w:tc>
        <w:tc>
          <w:tcPr>
            <w:tcW w:w="814" w:type="dxa"/>
            <w:gridSpan w:val="2"/>
            <w:vAlign w:val="center"/>
          </w:tcPr>
          <w:p w14:paraId="3E4EDE05" w14:textId="5235B340" w:rsidR="00EC0D84" w:rsidRPr="00520084" w:rsidRDefault="00EC0D84" w:rsidP="00EC0D84">
            <w:pPr>
              <w:ind w:left="-225"/>
              <w:jc w:val="right"/>
              <w:rPr>
                <w:rFonts w:ascii="Arial Narrow" w:hAnsi="Arial Narrow" w:cs="Arial"/>
                <w:i/>
                <w:iCs/>
                <w:sz w:val="22"/>
                <w:szCs w:val="22"/>
              </w:rPr>
            </w:pPr>
            <w:r>
              <w:rPr>
                <w:rFonts w:ascii="Arial Narrow" w:hAnsi="Arial Narrow" w:cs="Arial"/>
                <w:i/>
                <w:iCs/>
                <w:sz w:val="22"/>
                <w:szCs w:val="22"/>
              </w:rPr>
              <w:t>3.5%</w:t>
            </w:r>
          </w:p>
        </w:tc>
        <w:tc>
          <w:tcPr>
            <w:tcW w:w="813" w:type="dxa"/>
            <w:vAlign w:val="center"/>
          </w:tcPr>
          <w:p w14:paraId="72A83CE1" w14:textId="29E936D5" w:rsidR="00EC0D84" w:rsidRPr="00520084" w:rsidRDefault="00EC0D84" w:rsidP="00EC0D84">
            <w:pPr>
              <w:ind w:left="-165"/>
              <w:jc w:val="right"/>
              <w:rPr>
                <w:rFonts w:ascii="Arial Narrow" w:hAnsi="Arial Narrow" w:cs="Arial"/>
                <w:i/>
                <w:iCs/>
                <w:sz w:val="22"/>
                <w:szCs w:val="22"/>
              </w:rPr>
            </w:pPr>
            <w:r>
              <w:rPr>
                <w:rFonts w:ascii="Arial Narrow" w:hAnsi="Arial Narrow" w:cs="Arial"/>
                <w:i/>
                <w:iCs/>
                <w:sz w:val="22"/>
                <w:szCs w:val="22"/>
              </w:rPr>
              <w:t>4.1%</w:t>
            </w:r>
          </w:p>
        </w:tc>
        <w:tc>
          <w:tcPr>
            <w:tcW w:w="1268" w:type="dxa"/>
            <w:tcBorders>
              <w:right w:val="single" w:sz="12" w:space="0" w:color="auto"/>
            </w:tcBorders>
            <w:vAlign w:val="center"/>
          </w:tcPr>
          <w:p w14:paraId="6D756852" w14:textId="5299A5FE" w:rsidR="00EC0D84" w:rsidRPr="00520084" w:rsidRDefault="00EC0D84" w:rsidP="00EC0D84">
            <w:pPr>
              <w:ind w:left="-264"/>
              <w:jc w:val="right"/>
              <w:rPr>
                <w:rFonts w:ascii="Arial Narrow" w:hAnsi="Arial Narrow" w:cs="Arial"/>
                <w:i/>
                <w:iCs/>
                <w:sz w:val="22"/>
                <w:szCs w:val="22"/>
              </w:rPr>
            </w:pPr>
            <w:r>
              <w:rPr>
                <w:rFonts w:ascii="Arial Narrow" w:hAnsi="Arial Narrow" w:cs="Arial"/>
                <w:i/>
                <w:iCs/>
                <w:sz w:val="22"/>
                <w:szCs w:val="22"/>
              </w:rPr>
              <w:t>3.9%</w:t>
            </w:r>
          </w:p>
        </w:tc>
      </w:tr>
      <w:tr w:rsidR="00EC0D84" w:rsidRPr="006D5B97" w14:paraId="343197EE" w14:textId="4C30136A" w:rsidTr="00E416AF">
        <w:trPr>
          <w:trHeight w:val="20"/>
          <w:jc w:val="center"/>
        </w:trPr>
        <w:tc>
          <w:tcPr>
            <w:tcW w:w="1974" w:type="dxa"/>
            <w:gridSpan w:val="2"/>
            <w:tcBorders>
              <w:left w:val="single" w:sz="12" w:space="0" w:color="auto"/>
              <w:right w:val="single" w:sz="12" w:space="0" w:color="auto"/>
            </w:tcBorders>
          </w:tcPr>
          <w:p w14:paraId="78DD8527" w14:textId="290C9842" w:rsidR="00EC0D84" w:rsidRPr="00520084" w:rsidRDefault="00EC0D84" w:rsidP="00EC0D84">
            <w:pPr>
              <w:rPr>
                <w:rFonts w:ascii="Arial Narrow" w:hAnsi="Arial Narrow" w:cs="Arial"/>
                <w:i/>
                <w:iCs/>
                <w:sz w:val="22"/>
                <w:szCs w:val="22"/>
              </w:rPr>
            </w:pPr>
            <w:r w:rsidRPr="00520084">
              <w:rPr>
                <w:rFonts w:ascii="Arial Narrow" w:hAnsi="Arial Narrow" w:cs="Arial"/>
                <w:i/>
                <w:iCs/>
                <w:sz w:val="22"/>
                <w:szCs w:val="22"/>
              </w:rPr>
              <w:t xml:space="preserve">     Other</w:t>
            </w:r>
            <w:r w:rsidR="00FB167B">
              <w:rPr>
                <w:rFonts w:ascii="ZWAdobeF" w:hAnsi="ZWAdobeF" w:cs="ZWAdobeF"/>
                <w:iCs/>
                <w:sz w:val="2"/>
                <w:szCs w:val="2"/>
              </w:rPr>
              <w:t>22F</w:t>
            </w:r>
            <w:r w:rsidRPr="00520084">
              <w:rPr>
                <w:rStyle w:val="FootnoteReference"/>
                <w:rFonts w:ascii="Arial Narrow" w:hAnsi="Arial Narrow" w:cs="Arial"/>
                <w:i/>
                <w:iCs/>
                <w:sz w:val="22"/>
                <w:szCs w:val="22"/>
              </w:rPr>
              <w:footnoteReference w:id="23"/>
            </w:r>
          </w:p>
        </w:tc>
        <w:tc>
          <w:tcPr>
            <w:tcW w:w="791" w:type="dxa"/>
            <w:tcBorders>
              <w:left w:val="single" w:sz="12" w:space="0" w:color="auto"/>
            </w:tcBorders>
            <w:vAlign w:val="center"/>
          </w:tcPr>
          <w:p w14:paraId="654A0E9E" w14:textId="18509F53" w:rsidR="00EC0D84" w:rsidRPr="00520084" w:rsidRDefault="00EC0D84" w:rsidP="00EC0D84">
            <w:pPr>
              <w:ind w:left="-218"/>
              <w:jc w:val="right"/>
              <w:rPr>
                <w:rFonts w:ascii="Arial Narrow" w:hAnsi="Arial Narrow" w:cs="Arial"/>
                <w:i/>
                <w:iCs/>
                <w:sz w:val="22"/>
                <w:szCs w:val="22"/>
              </w:rPr>
            </w:pPr>
            <w:r>
              <w:rPr>
                <w:rFonts w:ascii="Arial Narrow" w:hAnsi="Arial Narrow" w:cs="Arial"/>
                <w:i/>
                <w:iCs/>
                <w:sz w:val="22"/>
                <w:szCs w:val="22"/>
              </w:rPr>
              <w:t>7.5</w:t>
            </w:r>
            <w:r w:rsidRPr="00520084">
              <w:rPr>
                <w:rFonts w:ascii="Arial Narrow" w:hAnsi="Arial Narrow" w:cs="Arial"/>
                <w:i/>
                <w:iCs/>
                <w:sz w:val="22"/>
                <w:szCs w:val="22"/>
              </w:rPr>
              <w:t>%</w:t>
            </w:r>
          </w:p>
        </w:tc>
        <w:tc>
          <w:tcPr>
            <w:tcW w:w="810" w:type="dxa"/>
            <w:gridSpan w:val="2"/>
          </w:tcPr>
          <w:p w14:paraId="651FC180" w14:textId="1D5F474D" w:rsidR="00EC0D84" w:rsidRPr="00466C62" w:rsidRDefault="00EC0D84" w:rsidP="00EC0D84">
            <w:pPr>
              <w:ind w:left="-145"/>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7.4%</w:t>
            </w:r>
          </w:p>
        </w:tc>
        <w:tc>
          <w:tcPr>
            <w:tcW w:w="810" w:type="dxa"/>
            <w:gridSpan w:val="2"/>
            <w:vAlign w:val="center"/>
          </w:tcPr>
          <w:p w14:paraId="0E4F403E" w14:textId="1DC0EAD0" w:rsidR="00EC0D84" w:rsidRPr="00466C62" w:rsidRDefault="00EC0D84" w:rsidP="00EC0D84">
            <w:pPr>
              <w:ind w:left="-161"/>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7.5%</w:t>
            </w:r>
          </w:p>
        </w:tc>
        <w:tc>
          <w:tcPr>
            <w:tcW w:w="1270" w:type="dxa"/>
            <w:gridSpan w:val="2"/>
            <w:tcBorders>
              <w:right w:val="single" w:sz="12" w:space="0" w:color="auto"/>
            </w:tcBorders>
            <w:vAlign w:val="center"/>
          </w:tcPr>
          <w:p w14:paraId="11603DDA" w14:textId="21DBA719" w:rsidR="00EC0D84" w:rsidRPr="00466C62" w:rsidRDefault="00EC0D84" w:rsidP="00EC0D84">
            <w:pPr>
              <w:ind w:left="-102" w:right="-19"/>
              <w:jc w:val="right"/>
              <w:rPr>
                <w:rFonts w:ascii="Arial Narrow" w:hAnsi="Arial Narrow" w:cs="Arial"/>
                <w:i/>
                <w:iCs/>
                <w:color w:val="000000" w:themeColor="text1"/>
                <w:sz w:val="22"/>
                <w:szCs w:val="22"/>
              </w:rPr>
            </w:pPr>
            <w:r w:rsidRPr="00466C62">
              <w:rPr>
                <w:rFonts w:ascii="Arial Narrow" w:hAnsi="Arial Narrow" w:cs="Arial"/>
                <w:i/>
                <w:iCs/>
                <w:color w:val="000000" w:themeColor="text1"/>
                <w:sz w:val="22"/>
                <w:szCs w:val="22"/>
              </w:rPr>
              <w:t>6.5%</w:t>
            </w:r>
          </w:p>
        </w:tc>
        <w:tc>
          <w:tcPr>
            <w:tcW w:w="800" w:type="dxa"/>
            <w:tcBorders>
              <w:left w:val="single" w:sz="12" w:space="0" w:color="auto"/>
            </w:tcBorders>
            <w:vAlign w:val="center"/>
          </w:tcPr>
          <w:p w14:paraId="4755B862" w14:textId="6BF1A6EF" w:rsidR="00EC0D84" w:rsidRPr="00520084" w:rsidRDefault="00EC0D84" w:rsidP="00EC0D84">
            <w:pPr>
              <w:ind w:left="-118" w:right="-3"/>
              <w:jc w:val="right"/>
              <w:rPr>
                <w:rFonts w:ascii="Arial Narrow" w:hAnsi="Arial Narrow" w:cs="Arial"/>
                <w:i/>
                <w:iCs/>
                <w:sz w:val="22"/>
                <w:szCs w:val="22"/>
              </w:rPr>
            </w:pPr>
            <w:r w:rsidRPr="00520084">
              <w:rPr>
                <w:rFonts w:ascii="Arial Narrow" w:hAnsi="Arial Narrow" w:cs="Arial"/>
                <w:i/>
                <w:iCs/>
                <w:sz w:val="22"/>
                <w:szCs w:val="22"/>
              </w:rPr>
              <w:t>5.8</w:t>
            </w:r>
            <w:r>
              <w:rPr>
                <w:rFonts w:ascii="Arial Narrow" w:hAnsi="Arial Narrow" w:cs="Arial"/>
                <w:i/>
                <w:iCs/>
                <w:sz w:val="22"/>
                <w:szCs w:val="22"/>
              </w:rPr>
              <w:t>%</w:t>
            </w:r>
          </w:p>
        </w:tc>
        <w:tc>
          <w:tcPr>
            <w:tcW w:w="814" w:type="dxa"/>
            <w:gridSpan w:val="2"/>
            <w:vAlign w:val="center"/>
          </w:tcPr>
          <w:p w14:paraId="3E8F562A" w14:textId="10817A18" w:rsidR="00EC0D84" w:rsidRPr="00520084" w:rsidRDefault="00EC0D84" w:rsidP="00EC0D84">
            <w:pPr>
              <w:ind w:left="-225"/>
              <w:jc w:val="right"/>
              <w:rPr>
                <w:rFonts w:ascii="Arial Narrow" w:hAnsi="Arial Narrow" w:cs="Arial"/>
                <w:i/>
                <w:iCs/>
                <w:sz w:val="22"/>
                <w:szCs w:val="22"/>
              </w:rPr>
            </w:pPr>
            <w:r>
              <w:rPr>
                <w:rFonts w:ascii="Arial Narrow" w:hAnsi="Arial Narrow" w:cs="Arial"/>
                <w:i/>
                <w:iCs/>
                <w:sz w:val="22"/>
                <w:szCs w:val="22"/>
              </w:rPr>
              <w:t>5.4%</w:t>
            </w:r>
          </w:p>
        </w:tc>
        <w:tc>
          <w:tcPr>
            <w:tcW w:w="813" w:type="dxa"/>
            <w:vAlign w:val="center"/>
          </w:tcPr>
          <w:p w14:paraId="1BE9613A" w14:textId="72E95D5F" w:rsidR="00EC0D84" w:rsidRPr="00520084" w:rsidRDefault="00EC0D84" w:rsidP="00EC0D84">
            <w:pPr>
              <w:ind w:left="-165"/>
              <w:jc w:val="right"/>
              <w:rPr>
                <w:rFonts w:ascii="Arial Narrow" w:hAnsi="Arial Narrow" w:cs="Arial"/>
                <w:i/>
                <w:iCs/>
                <w:sz w:val="22"/>
                <w:szCs w:val="22"/>
              </w:rPr>
            </w:pPr>
            <w:r>
              <w:rPr>
                <w:rFonts w:ascii="Arial Narrow" w:hAnsi="Arial Narrow" w:cs="Arial"/>
                <w:i/>
                <w:iCs/>
                <w:sz w:val="22"/>
                <w:szCs w:val="22"/>
              </w:rPr>
              <w:t>4.9%</w:t>
            </w:r>
          </w:p>
        </w:tc>
        <w:tc>
          <w:tcPr>
            <w:tcW w:w="1268" w:type="dxa"/>
            <w:tcBorders>
              <w:right w:val="single" w:sz="12" w:space="0" w:color="auto"/>
            </w:tcBorders>
            <w:vAlign w:val="center"/>
          </w:tcPr>
          <w:p w14:paraId="6B65ACA3" w14:textId="47A2FB90" w:rsidR="00EC0D84" w:rsidRPr="00520084" w:rsidRDefault="00EC0D84" w:rsidP="00EC0D84">
            <w:pPr>
              <w:ind w:left="-264"/>
              <w:jc w:val="right"/>
              <w:rPr>
                <w:rFonts w:ascii="Arial Narrow" w:hAnsi="Arial Narrow" w:cs="Arial"/>
                <w:i/>
                <w:iCs/>
                <w:sz w:val="22"/>
                <w:szCs w:val="22"/>
              </w:rPr>
            </w:pPr>
            <w:r>
              <w:rPr>
                <w:rFonts w:ascii="Arial Narrow" w:hAnsi="Arial Narrow" w:cs="Arial"/>
                <w:i/>
                <w:iCs/>
                <w:sz w:val="22"/>
                <w:szCs w:val="22"/>
              </w:rPr>
              <w:t>4.8%</w:t>
            </w:r>
          </w:p>
        </w:tc>
      </w:tr>
      <w:tr w:rsidR="000F2874" w:rsidRPr="006D5B97" w14:paraId="58B6F3DB" w14:textId="369CCEF8" w:rsidTr="00E416AF">
        <w:trPr>
          <w:trHeight w:val="20"/>
          <w:jc w:val="center"/>
        </w:trPr>
        <w:tc>
          <w:tcPr>
            <w:tcW w:w="1974" w:type="dxa"/>
            <w:gridSpan w:val="2"/>
            <w:tcBorders>
              <w:left w:val="single" w:sz="12" w:space="0" w:color="auto"/>
              <w:right w:val="single" w:sz="12" w:space="0" w:color="auto"/>
            </w:tcBorders>
          </w:tcPr>
          <w:p w14:paraId="6D9E6717" w14:textId="77777777"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MassHealth</w:t>
            </w:r>
          </w:p>
        </w:tc>
        <w:tc>
          <w:tcPr>
            <w:tcW w:w="791" w:type="dxa"/>
            <w:tcBorders>
              <w:left w:val="single" w:sz="12" w:space="0" w:color="auto"/>
            </w:tcBorders>
            <w:vAlign w:val="center"/>
          </w:tcPr>
          <w:p w14:paraId="70E5D131" w14:textId="3A4245AF" w:rsidR="00EC0D84" w:rsidRPr="00E8351E" w:rsidRDefault="00EC0D84" w:rsidP="00EC0D84">
            <w:pPr>
              <w:jc w:val="center"/>
              <w:rPr>
                <w:rFonts w:ascii="Arial Narrow" w:hAnsi="Arial Narrow" w:cs="Arial"/>
                <w:sz w:val="22"/>
                <w:szCs w:val="22"/>
              </w:rPr>
            </w:pPr>
            <w:r w:rsidRPr="00E8351E">
              <w:rPr>
                <w:rFonts w:ascii="Arial Narrow" w:hAnsi="Arial Narrow" w:cs="Arial"/>
                <w:sz w:val="22"/>
                <w:szCs w:val="22"/>
              </w:rPr>
              <w:t>1</w:t>
            </w:r>
            <w:r>
              <w:rPr>
                <w:rFonts w:ascii="Arial Narrow" w:hAnsi="Arial Narrow" w:cs="Arial"/>
                <w:sz w:val="22"/>
                <w:szCs w:val="22"/>
              </w:rPr>
              <w:t>3.7</w:t>
            </w:r>
            <w:r w:rsidRPr="00E8351E">
              <w:rPr>
                <w:rFonts w:ascii="Arial Narrow" w:hAnsi="Arial Narrow" w:cs="Arial"/>
                <w:sz w:val="22"/>
                <w:szCs w:val="22"/>
              </w:rPr>
              <w:t>%</w:t>
            </w:r>
          </w:p>
        </w:tc>
        <w:tc>
          <w:tcPr>
            <w:tcW w:w="810" w:type="dxa"/>
            <w:gridSpan w:val="2"/>
            <w:vAlign w:val="center"/>
          </w:tcPr>
          <w:p w14:paraId="3B973E1C" w14:textId="6EEB9626"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13.7%</w:t>
            </w:r>
          </w:p>
        </w:tc>
        <w:tc>
          <w:tcPr>
            <w:tcW w:w="810" w:type="dxa"/>
            <w:gridSpan w:val="2"/>
            <w:vAlign w:val="center"/>
          </w:tcPr>
          <w:p w14:paraId="34369502" w14:textId="2BE4319F"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12.7%</w:t>
            </w:r>
          </w:p>
        </w:tc>
        <w:tc>
          <w:tcPr>
            <w:tcW w:w="1270" w:type="dxa"/>
            <w:gridSpan w:val="2"/>
            <w:tcBorders>
              <w:right w:val="single" w:sz="12" w:space="0" w:color="auto"/>
            </w:tcBorders>
            <w:vAlign w:val="center"/>
          </w:tcPr>
          <w:p w14:paraId="2CFF4997" w14:textId="4D3FA044"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11.2%</w:t>
            </w:r>
          </w:p>
        </w:tc>
        <w:tc>
          <w:tcPr>
            <w:tcW w:w="800" w:type="dxa"/>
            <w:tcBorders>
              <w:left w:val="single" w:sz="12" w:space="0" w:color="auto"/>
            </w:tcBorders>
            <w:vAlign w:val="center"/>
          </w:tcPr>
          <w:p w14:paraId="6606541F" w14:textId="309E13A4" w:rsidR="00EC0D84" w:rsidRPr="00E8351E" w:rsidRDefault="00EC0D84" w:rsidP="00EC0D84">
            <w:pPr>
              <w:jc w:val="center"/>
              <w:rPr>
                <w:rFonts w:ascii="Arial Narrow" w:hAnsi="Arial Narrow" w:cs="Arial"/>
                <w:sz w:val="22"/>
                <w:szCs w:val="22"/>
              </w:rPr>
            </w:pPr>
            <w:r>
              <w:rPr>
                <w:rFonts w:ascii="Arial Narrow" w:hAnsi="Arial Narrow" w:cs="Arial"/>
                <w:sz w:val="22"/>
                <w:szCs w:val="22"/>
              </w:rPr>
              <w:t>11.9%</w:t>
            </w:r>
          </w:p>
        </w:tc>
        <w:tc>
          <w:tcPr>
            <w:tcW w:w="814" w:type="dxa"/>
            <w:gridSpan w:val="2"/>
            <w:vAlign w:val="center"/>
          </w:tcPr>
          <w:p w14:paraId="1BD62592" w14:textId="4119A952" w:rsidR="00EC0D84" w:rsidRPr="00E8351E" w:rsidRDefault="00EC0D84" w:rsidP="00EC0D84">
            <w:pPr>
              <w:jc w:val="center"/>
              <w:rPr>
                <w:rFonts w:ascii="Arial Narrow" w:hAnsi="Arial Narrow" w:cs="Arial"/>
                <w:sz w:val="22"/>
                <w:szCs w:val="22"/>
              </w:rPr>
            </w:pPr>
            <w:r>
              <w:rPr>
                <w:rFonts w:ascii="Arial Narrow" w:hAnsi="Arial Narrow" w:cs="Arial"/>
                <w:sz w:val="22"/>
                <w:szCs w:val="22"/>
              </w:rPr>
              <w:t>12.7%</w:t>
            </w:r>
          </w:p>
        </w:tc>
        <w:tc>
          <w:tcPr>
            <w:tcW w:w="813" w:type="dxa"/>
            <w:vAlign w:val="center"/>
          </w:tcPr>
          <w:p w14:paraId="016C12A2" w14:textId="7DAFF719" w:rsidR="00EC0D84" w:rsidRPr="00E8351E" w:rsidRDefault="00EC0D84" w:rsidP="00EC0D84">
            <w:pPr>
              <w:jc w:val="center"/>
              <w:rPr>
                <w:rFonts w:ascii="Arial Narrow" w:hAnsi="Arial Narrow" w:cs="Arial"/>
                <w:sz w:val="22"/>
                <w:szCs w:val="22"/>
              </w:rPr>
            </w:pPr>
            <w:r>
              <w:rPr>
                <w:rFonts w:ascii="Arial Narrow" w:hAnsi="Arial Narrow" w:cs="Arial"/>
                <w:sz w:val="22"/>
                <w:szCs w:val="22"/>
              </w:rPr>
              <w:t>11.4%</w:t>
            </w:r>
          </w:p>
        </w:tc>
        <w:tc>
          <w:tcPr>
            <w:tcW w:w="1268" w:type="dxa"/>
            <w:tcBorders>
              <w:right w:val="single" w:sz="12" w:space="0" w:color="auto"/>
            </w:tcBorders>
            <w:vAlign w:val="center"/>
          </w:tcPr>
          <w:p w14:paraId="38BCCD58" w14:textId="13949EF6" w:rsidR="00EC0D84" w:rsidRPr="00E8351E" w:rsidRDefault="00EC0D84" w:rsidP="00EC0D84">
            <w:pPr>
              <w:jc w:val="center"/>
              <w:rPr>
                <w:rFonts w:ascii="Arial Narrow" w:hAnsi="Arial Narrow" w:cs="Arial"/>
                <w:sz w:val="22"/>
                <w:szCs w:val="22"/>
              </w:rPr>
            </w:pPr>
            <w:r>
              <w:rPr>
                <w:rFonts w:ascii="Arial Narrow" w:hAnsi="Arial Narrow" w:cs="Arial"/>
                <w:sz w:val="22"/>
                <w:szCs w:val="22"/>
              </w:rPr>
              <w:t>8.6%</w:t>
            </w:r>
          </w:p>
        </w:tc>
      </w:tr>
      <w:tr w:rsidR="000F2874" w:rsidRPr="006D5B97" w14:paraId="416A586D" w14:textId="3E1E8D39" w:rsidTr="00E416AF">
        <w:trPr>
          <w:trHeight w:val="20"/>
          <w:jc w:val="center"/>
        </w:trPr>
        <w:tc>
          <w:tcPr>
            <w:tcW w:w="1974" w:type="dxa"/>
            <w:gridSpan w:val="2"/>
            <w:tcBorders>
              <w:left w:val="single" w:sz="12" w:space="0" w:color="auto"/>
              <w:right w:val="single" w:sz="12" w:space="0" w:color="auto"/>
            </w:tcBorders>
          </w:tcPr>
          <w:p w14:paraId="7DB5F5C4" w14:textId="77777777"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Managed Medicaid</w:t>
            </w:r>
          </w:p>
        </w:tc>
        <w:tc>
          <w:tcPr>
            <w:tcW w:w="791" w:type="dxa"/>
            <w:tcBorders>
              <w:left w:val="single" w:sz="12" w:space="0" w:color="auto"/>
            </w:tcBorders>
            <w:vAlign w:val="center"/>
          </w:tcPr>
          <w:p w14:paraId="48A25EE8" w14:textId="710066FB" w:rsidR="00EC0D84" w:rsidRPr="00E8351E" w:rsidRDefault="00EC0D84" w:rsidP="00EC0D84">
            <w:pPr>
              <w:jc w:val="center"/>
              <w:rPr>
                <w:rFonts w:ascii="Arial Narrow" w:hAnsi="Arial Narrow" w:cs="Arial"/>
                <w:sz w:val="22"/>
                <w:szCs w:val="22"/>
              </w:rPr>
            </w:pPr>
            <w:r w:rsidRPr="00E8351E">
              <w:rPr>
                <w:rFonts w:ascii="Arial Narrow" w:hAnsi="Arial Narrow" w:cs="Arial"/>
                <w:sz w:val="22"/>
                <w:szCs w:val="22"/>
              </w:rPr>
              <w:t>2</w:t>
            </w:r>
            <w:r>
              <w:rPr>
                <w:rFonts w:ascii="Arial Narrow" w:hAnsi="Arial Narrow" w:cs="Arial"/>
                <w:sz w:val="22"/>
                <w:szCs w:val="22"/>
              </w:rPr>
              <w:t>1.6</w:t>
            </w:r>
            <w:r w:rsidRPr="00E8351E">
              <w:rPr>
                <w:rFonts w:ascii="Arial Narrow" w:hAnsi="Arial Narrow" w:cs="Arial"/>
                <w:sz w:val="22"/>
                <w:szCs w:val="22"/>
              </w:rPr>
              <w:t>%</w:t>
            </w:r>
          </w:p>
        </w:tc>
        <w:tc>
          <w:tcPr>
            <w:tcW w:w="810" w:type="dxa"/>
            <w:gridSpan w:val="2"/>
            <w:vAlign w:val="center"/>
          </w:tcPr>
          <w:p w14:paraId="181FCA1E" w14:textId="39A9AA9A"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25.0%</w:t>
            </w:r>
          </w:p>
        </w:tc>
        <w:tc>
          <w:tcPr>
            <w:tcW w:w="810" w:type="dxa"/>
            <w:gridSpan w:val="2"/>
            <w:vAlign w:val="center"/>
          </w:tcPr>
          <w:p w14:paraId="1699A097" w14:textId="6479AEC4"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24.2%</w:t>
            </w:r>
          </w:p>
        </w:tc>
        <w:tc>
          <w:tcPr>
            <w:tcW w:w="1270" w:type="dxa"/>
            <w:gridSpan w:val="2"/>
            <w:tcBorders>
              <w:right w:val="single" w:sz="12" w:space="0" w:color="auto"/>
            </w:tcBorders>
            <w:vAlign w:val="center"/>
          </w:tcPr>
          <w:p w14:paraId="1EB28378" w14:textId="63794F31"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25.2%</w:t>
            </w:r>
          </w:p>
        </w:tc>
        <w:tc>
          <w:tcPr>
            <w:tcW w:w="800" w:type="dxa"/>
            <w:tcBorders>
              <w:left w:val="single" w:sz="12" w:space="0" w:color="auto"/>
            </w:tcBorders>
            <w:vAlign w:val="center"/>
          </w:tcPr>
          <w:p w14:paraId="06D4E375" w14:textId="3B6434F3" w:rsidR="00EC0D84" w:rsidRPr="00E8351E" w:rsidRDefault="00EC0D84" w:rsidP="00EC0D84">
            <w:pPr>
              <w:jc w:val="center"/>
              <w:rPr>
                <w:rFonts w:ascii="Arial Narrow" w:hAnsi="Arial Narrow" w:cs="Arial"/>
                <w:sz w:val="22"/>
                <w:szCs w:val="22"/>
              </w:rPr>
            </w:pPr>
            <w:r>
              <w:rPr>
                <w:rFonts w:ascii="Arial Narrow" w:hAnsi="Arial Narrow" w:cs="Arial"/>
                <w:sz w:val="22"/>
                <w:szCs w:val="22"/>
              </w:rPr>
              <w:t>22.9%</w:t>
            </w:r>
          </w:p>
        </w:tc>
        <w:tc>
          <w:tcPr>
            <w:tcW w:w="814" w:type="dxa"/>
            <w:gridSpan w:val="2"/>
            <w:vAlign w:val="center"/>
          </w:tcPr>
          <w:p w14:paraId="3026B395" w14:textId="088DC05F" w:rsidR="00EC0D84" w:rsidRPr="00E8351E" w:rsidRDefault="00EC0D84" w:rsidP="00EC0D84">
            <w:pPr>
              <w:jc w:val="center"/>
              <w:rPr>
                <w:rFonts w:ascii="Arial Narrow" w:hAnsi="Arial Narrow" w:cs="Arial"/>
                <w:sz w:val="22"/>
                <w:szCs w:val="22"/>
              </w:rPr>
            </w:pPr>
            <w:r>
              <w:rPr>
                <w:rFonts w:ascii="Arial Narrow" w:hAnsi="Arial Narrow" w:cs="Arial"/>
                <w:sz w:val="22"/>
                <w:szCs w:val="22"/>
              </w:rPr>
              <w:t>24.1%</w:t>
            </w:r>
          </w:p>
        </w:tc>
        <w:tc>
          <w:tcPr>
            <w:tcW w:w="813" w:type="dxa"/>
            <w:vAlign w:val="center"/>
          </w:tcPr>
          <w:p w14:paraId="57C417D2" w14:textId="62A7885E" w:rsidR="00EC0D84" w:rsidRPr="00E8351E" w:rsidRDefault="00EC0D84" w:rsidP="00EC0D84">
            <w:pPr>
              <w:jc w:val="center"/>
              <w:rPr>
                <w:rFonts w:ascii="Arial Narrow" w:hAnsi="Arial Narrow" w:cs="Arial"/>
                <w:sz w:val="22"/>
                <w:szCs w:val="22"/>
              </w:rPr>
            </w:pPr>
            <w:r>
              <w:rPr>
                <w:rFonts w:ascii="Arial Narrow" w:hAnsi="Arial Narrow" w:cs="Arial"/>
                <w:sz w:val="22"/>
                <w:szCs w:val="22"/>
              </w:rPr>
              <w:t>25.3%</w:t>
            </w:r>
          </w:p>
        </w:tc>
        <w:tc>
          <w:tcPr>
            <w:tcW w:w="1268" w:type="dxa"/>
            <w:tcBorders>
              <w:right w:val="single" w:sz="12" w:space="0" w:color="auto"/>
            </w:tcBorders>
            <w:vAlign w:val="center"/>
          </w:tcPr>
          <w:p w14:paraId="351C9EE5" w14:textId="28A66C47" w:rsidR="00EC0D84" w:rsidRPr="00E8351E" w:rsidRDefault="00EC0D84" w:rsidP="00EC0D84">
            <w:pPr>
              <w:jc w:val="center"/>
              <w:rPr>
                <w:rFonts w:ascii="Arial Narrow" w:hAnsi="Arial Narrow" w:cs="Arial"/>
                <w:sz w:val="22"/>
                <w:szCs w:val="22"/>
              </w:rPr>
            </w:pPr>
            <w:r>
              <w:rPr>
                <w:rFonts w:ascii="Arial Narrow" w:hAnsi="Arial Narrow" w:cs="Arial"/>
                <w:sz w:val="22"/>
                <w:szCs w:val="22"/>
              </w:rPr>
              <w:t>23.5%</w:t>
            </w:r>
          </w:p>
        </w:tc>
      </w:tr>
      <w:tr w:rsidR="000F2874" w:rsidRPr="006D5B97" w14:paraId="725865D8" w14:textId="26089335" w:rsidTr="00E416AF">
        <w:trPr>
          <w:trHeight w:val="20"/>
          <w:jc w:val="center"/>
        </w:trPr>
        <w:tc>
          <w:tcPr>
            <w:tcW w:w="1974" w:type="dxa"/>
            <w:gridSpan w:val="2"/>
            <w:tcBorders>
              <w:left w:val="single" w:sz="12" w:space="0" w:color="auto"/>
              <w:right w:val="single" w:sz="12" w:space="0" w:color="auto"/>
            </w:tcBorders>
          </w:tcPr>
          <w:p w14:paraId="27CF3287" w14:textId="77777777"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Commercial Medicare</w:t>
            </w:r>
          </w:p>
        </w:tc>
        <w:tc>
          <w:tcPr>
            <w:tcW w:w="791" w:type="dxa"/>
            <w:tcBorders>
              <w:left w:val="single" w:sz="12" w:space="0" w:color="auto"/>
            </w:tcBorders>
            <w:vAlign w:val="center"/>
          </w:tcPr>
          <w:p w14:paraId="52D23238" w14:textId="09C8909D" w:rsidR="00EC0D84" w:rsidRPr="00E8351E" w:rsidRDefault="00EC0D84" w:rsidP="00EC0D84">
            <w:pPr>
              <w:jc w:val="center"/>
              <w:rPr>
                <w:rFonts w:ascii="Arial Narrow" w:hAnsi="Arial Narrow" w:cs="Arial"/>
                <w:sz w:val="22"/>
                <w:szCs w:val="22"/>
              </w:rPr>
            </w:pPr>
            <w:r>
              <w:rPr>
                <w:rFonts w:ascii="Arial Narrow" w:hAnsi="Arial Narrow" w:cs="Arial"/>
                <w:sz w:val="22"/>
                <w:szCs w:val="22"/>
              </w:rPr>
              <w:t>1</w:t>
            </w:r>
            <w:r w:rsidRPr="00E8351E">
              <w:rPr>
                <w:rFonts w:ascii="Arial Narrow" w:hAnsi="Arial Narrow" w:cs="Arial"/>
                <w:sz w:val="22"/>
                <w:szCs w:val="22"/>
              </w:rPr>
              <w:t>5.</w:t>
            </w:r>
            <w:r>
              <w:rPr>
                <w:rFonts w:ascii="Arial Narrow" w:hAnsi="Arial Narrow" w:cs="Arial"/>
                <w:sz w:val="22"/>
                <w:szCs w:val="22"/>
              </w:rPr>
              <w:t>6</w:t>
            </w:r>
            <w:r w:rsidRPr="00E8351E">
              <w:rPr>
                <w:rFonts w:ascii="Arial Narrow" w:hAnsi="Arial Narrow" w:cs="Arial"/>
                <w:sz w:val="22"/>
                <w:szCs w:val="22"/>
              </w:rPr>
              <w:t>%</w:t>
            </w:r>
          </w:p>
        </w:tc>
        <w:tc>
          <w:tcPr>
            <w:tcW w:w="810" w:type="dxa"/>
            <w:gridSpan w:val="2"/>
            <w:vAlign w:val="center"/>
          </w:tcPr>
          <w:p w14:paraId="64DD6BA1" w14:textId="358F978C"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17.3%</w:t>
            </w:r>
          </w:p>
        </w:tc>
        <w:tc>
          <w:tcPr>
            <w:tcW w:w="810" w:type="dxa"/>
            <w:gridSpan w:val="2"/>
            <w:vAlign w:val="center"/>
          </w:tcPr>
          <w:p w14:paraId="1D76DECD" w14:textId="4B6C2F44"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19.1%</w:t>
            </w:r>
          </w:p>
        </w:tc>
        <w:tc>
          <w:tcPr>
            <w:tcW w:w="1270" w:type="dxa"/>
            <w:gridSpan w:val="2"/>
            <w:tcBorders>
              <w:right w:val="single" w:sz="12" w:space="0" w:color="auto"/>
            </w:tcBorders>
            <w:vAlign w:val="center"/>
          </w:tcPr>
          <w:p w14:paraId="744E13BE" w14:textId="3477113E"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21.3%</w:t>
            </w:r>
          </w:p>
        </w:tc>
        <w:tc>
          <w:tcPr>
            <w:tcW w:w="800" w:type="dxa"/>
            <w:tcBorders>
              <w:left w:val="single" w:sz="12" w:space="0" w:color="auto"/>
            </w:tcBorders>
            <w:vAlign w:val="center"/>
          </w:tcPr>
          <w:p w14:paraId="40D146BB" w14:textId="0E5014DD" w:rsidR="00EC0D84" w:rsidRPr="00E8351E" w:rsidRDefault="00EC0D84" w:rsidP="00EC0D84">
            <w:pPr>
              <w:jc w:val="center"/>
              <w:rPr>
                <w:rFonts w:ascii="Arial Narrow" w:hAnsi="Arial Narrow" w:cs="Arial"/>
                <w:sz w:val="22"/>
                <w:szCs w:val="22"/>
              </w:rPr>
            </w:pPr>
            <w:r>
              <w:rPr>
                <w:rFonts w:ascii="Arial Narrow" w:hAnsi="Arial Narrow" w:cs="Arial"/>
                <w:sz w:val="22"/>
                <w:szCs w:val="22"/>
              </w:rPr>
              <w:t>17.2%</w:t>
            </w:r>
          </w:p>
        </w:tc>
        <w:tc>
          <w:tcPr>
            <w:tcW w:w="814" w:type="dxa"/>
            <w:gridSpan w:val="2"/>
            <w:vAlign w:val="center"/>
          </w:tcPr>
          <w:p w14:paraId="37933D24" w14:textId="344CFCDF" w:rsidR="00EC0D84" w:rsidRPr="00E8351E" w:rsidRDefault="00EC0D84" w:rsidP="00EC0D84">
            <w:pPr>
              <w:jc w:val="center"/>
              <w:rPr>
                <w:rFonts w:ascii="Arial Narrow" w:hAnsi="Arial Narrow" w:cs="Arial"/>
                <w:sz w:val="22"/>
                <w:szCs w:val="22"/>
              </w:rPr>
            </w:pPr>
            <w:r>
              <w:rPr>
                <w:rFonts w:ascii="Arial Narrow" w:hAnsi="Arial Narrow" w:cs="Arial"/>
                <w:sz w:val="22"/>
                <w:szCs w:val="22"/>
              </w:rPr>
              <w:t>19.0%</w:t>
            </w:r>
          </w:p>
        </w:tc>
        <w:tc>
          <w:tcPr>
            <w:tcW w:w="813" w:type="dxa"/>
            <w:vAlign w:val="center"/>
          </w:tcPr>
          <w:p w14:paraId="269D5350" w14:textId="50277BF4" w:rsidR="00EC0D84" w:rsidRPr="00E8351E" w:rsidRDefault="00EC0D84" w:rsidP="00EC0D84">
            <w:pPr>
              <w:jc w:val="center"/>
              <w:rPr>
                <w:rFonts w:ascii="Arial Narrow" w:hAnsi="Arial Narrow" w:cs="Arial"/>
                <w:sz w:val="22"/>
                <w:szCs w:val="22"/>
              </w:rPr>
            </w:pPr>
            <w:r>
              <w:rPr>
                <w:rFonts w:ascii="Arial Narrow" w:hAnsi="Arial Narrow" w:cs="Arial"/>
                <w:sz w:val="22"/>
                <w:szCs w:val="22"/>
              </w:rPr>
              <w:t>19.8%</w:t>
            </w:r>
          </w:p>
        </w:tc>
        <w:tc>
          <w:tcPr>
            <w:tcW w:w="1268" w:type="dxa"/>
            <w:tcBorders>
              <w:right w:val="single" w:sz="12" w:space="0" w:color="auto"/>
            </w:tcBorders>
            <w:vAlign w:val="center"/>
          </w:tcPr>
          <w:p w14:paraId="32040DD4" w14:textId="2E5C5E9D" w:rsidR="00EC0D84" w:rsidRPr="00E8351E" w:rsidRDefault="00EC0D84" w:rsidP="00EC0D84">
            <w:pPr>
              <w:jc w:val="center"/>
              <w:rPr>
                <w:rFonts w:ascii="Arial Narrow" w:hAnsi="Arial Narrow" w:cs="Arial"/>
                <w:sz w:val="22"/>
                <w:szCs w:val="22"/>
              </w:rPr>
            </w:pPr>
            <w:r>
              <w:rPr>
                <w:rFonts w:ascii="Arial Narrow" w:hAnsi="Arial Narrow" w:cs="Arial"/>
                <w:sz w:val="22"/>
                <w:szCs w:val="22"/>
              </w:rPr>
              <w:t>23.5%</w:t>
            </w:r>
          </w:p>
        </w:tc>
      </w:tr>
      <w:tr w:rsidR="000F2874" w:rsidRPr="006D5B97" w14:paraId="014A168D" w14:textId="609352FC" w:rsidTr="00E416AF">
        <w:trPr>
          <w:trHeight w:val="20"/>
          <w:jc w:val="center"/>
        </w:trPr>
        <w:tc>
          <w:tcPr>
            <w:tcW w:w="1974" w:type="dxa"/>
            <w:gridSpan w:val="2"/>
            <w:tcBorders>
              <w:left w:val="single" w:sz="12" w:space="0" w:color="auto"/>
              <w:right w:val="single" w:sz="12" w:space="0" w:color="auto"/>
            </w:tcBorders>
          </w:tcPr>
          <w:p w14:paraId="4447F931" w14:textId="77777777"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Medicare FFS</w:t>
            </w:r>
          </w:p>
        </w:tc>
        <w:tc>
          <w:tcPr>
            <w:tcW w:w="791" w:type="dxa"/>
            <w:tcBorders>
              <w:left w:val="single" w:sz="12" w:space="0" w:color="auto"/>
            </w:tcBorders>
            <w:vAlign w:val="center"/>
          </w:tcPr>
          <w:p w14:paraId="182FB208" w14:textId="15C2441D" w:rsidR="00EC0D84" w:rsidRPr="00E8351E" w:rsidRDefault="00EC0D84" w:rsidP="00EC0D84">
            <w:pPr>
              <w:jc w:val="center"/>
              <w:rPr>
                <w:rFonts w:ascii="Arial Narrow" w:hAnsi="Arial Narrow" w:cs="Arial"/>
                <w:sz w:val="22"/>
                <w:szCs w:val="22"/>
              </w:rPr>
            </w:pPr>
            <w:r>
              <w:rPr>
                <w:rFonts w:ascii="Arial Narrow" w:hAnsi="Arial Narrow" w:cs="Arial"/>
                <w:sz w:val="22"/>
                <w:szCs w:val="22"/>
              </w:rPr>
              <w:t>26.2</w:t>
            </w:r>
            <w:r w:rsidRPr="00E8351E">
              <w:rPr>
                <w:rFonts w:ascii="Arial Narrow" w:hAnsi="Arial Narrow" w:cs="Arial"/>
                <w:sz w:val="22"/>
                <w:szCs w:val="22"/>
              </w:rPr>
              <w:t>%</w:t>
            </w:r>
          </w:p>
        </w:tc>
        <w:tc>
          <w:tcPr>
            <w:tcW w:w="810" w:type="dxa"/>
            <w:gridSpan w:val="2"/>
            <w:vAlign w:val="center"/>
          </w:tcPr>
          <w:p w14:paraId="78CD9F97" w14:textId="7C0C621D"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22.4%</w:t>
            </w:r>
          </w:p>
        </w:tc>
        <w:tc>
          <w:tcPr>
            <w:tcW w:w="810" w:type="dxa"/>
            <w:gridSpan w:val="2"/>
            <w:vAlign w:val="center"/>
          </w:tcPr>
          <w:p w14:paraId="03705706" w14:textId="688F8A4A"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22.0%</w:t>
            </w:r>
          </w:p>
        </w:tc>
        <w:tc>
          <w:tcPr>
            <w:tcW w:w="1270" w:type="dxa"/>
            <w:gridSpan w:val="2"/>
            <w:tcBorders>
              <w:right w:val="single" w:sz="12" w:space="0" w:color="auto"/>
            </w:tcBorders>
            <w:vAlign w:val="center"/>
          </w:tcPr>
          <w:p w14:paraId="07C73BB4" w14:textId="0C288CCD"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22.9%</w:t>
            </w:r>
          </w:p>
        </w:tc>
        <w:tc>
          <w:tcPr>
            <w:tcW w:w="800" w:type="dxa"/>
            <w:tcBorders>
              <w:left w:val="single" w:sz="12" w:space="0" w:color="auto"/>
            </w:tcBorders>
            <w:vAlign w:val="center"/>
          </w:tcPr>
          <w:p w14:paraId="03EB442B" w14:textId="313D19CF" w:rsidR="00EC0D84" w:rsidRPr="00E8351E" w:rsidRDefault="00EC0D84" w:rsidP="00EC0D84">
            <w:pPr>
              <w:jc w:val="center"/>
              <w:rPr>
                <w:rFonts w:ascii="Arial Narrow" w:hAnsi="Arial Narrow" w:cs="Arial"/>
                <w:sz w:val="22"/>
                <w:szCs w:val="22"/>
              </w:rPr>
            </w:pPr>
            <w:r>
              <w:rPr>
                <w:rFonts w:ascii="Arial Narrow" w:hAnsi="Arial Narrow" w:cs="Arial"/>
                <w:sz w:val="22"/>
                <w:szCs w:val="22"/>
              </w:rPr>
              <w:t>27.1%</w:t>
            </w:r>
          </w:p>
        </w:tc>
        <w:tc>
          <w:tcPr>
            <w:tcW w:w="814" w:type="dxa"/>
            <w:gridSpan w:val="2"/>
            <w:vAlign w:val="center"/>
          </w:tcPr>
          <w:p w14:paraId="73A2CF5A" w14:textId="2B77F70A" w:rsidR="00EC0D84" w:rsidRPr="00E8351E" w:rsidRDefault="00EC0D84" w:rsidP="00EC0D84">
            <w:pPr>
              <w:jc w:val="center"/>
              <w:rPr>
                <w:rFonts w:ascii="Arial Narrow" w:hAnsi="Arial Narrow" w:cs="Arial"/>
                <w:sz w:val="22"/>
                <w:szCs w:val="22"/>
              </w:rPr>
            </w:pPr>
            <w:r>
              <w:rPr>
                <w:rFonts w:ascii="Arial Narrow" w:hAnsi="Arial Narrow" w:cs="Arial"/>
                <w:sz w:val="22"/>
                <w:szCs w:val="22"/>
              </w:rPr>
              <w:t>24.0%</w:t>
            </w:r>
          </w:p>
        </w:tc>
        <w:tc>
          <w:tcPr>
            <w:tcW w:w="813" w:type="dxa"/>
            <w:vAlign w:val="center"/>
          </w:tcPr>
          <w:p w14:paraId="47F9B691" w14:textId="15CB1882" w:rsidR="00EC0D84" w:rsidRPr="00E8351E" w:rsidRDefault="00EC0D84" w:rsidP="00EC0D84">
            <w:pPr>
              <w:jc w:val="center"/>
              <w:rPr>
                <w:rFonts w:ascii="Arial Narrow" w:hAnsi="Arial Narrow" w:cs="Arial"/>
                <w:sz w:val="22"/>
                <w:szCs w:val="22"/>
              </w:rPr>
            </w:pPr>
            <w:r>
              <w:rPr>
                <w:rFonts w:ascii="Arial Narrow" w:hAnsi="Arial Narrow" w:cs="Arial"/>
                <w:sz w:val="22"/>
                <w:szCs w:val="22"/>
              </w:rPr>
              <w:t>22.5%</w:t>
            </w:r>
          </w:p>
        </w:tc>
        <w:tc>
          <w:tcPr>
            <w:tcW w:w="1268" w:type="dxa"/>
            <w:tcBorders>
              <w:right w:val="single" w:sz="12" w:space="0" w:color="auto"/>
            </w:tcBorders>
            <w:vAlign w:val="center"/>
          </w:tcPr>
          <w:p w14:paraId="0EE366A4" w14:textId="3A7179D9" w:rsidR="00EC0D84" w:rsidRPr="00E8351E" w:rsidRDefault="00EC0D84" w:rsidP="00EC0D84">
            <w:pPr>
              <w:jc w:val="center"/>
              <w:rPr>
                <w:rFonts w:ascii="Arial Narrow" w:hAnsi="Arial Narrow" w:cs="Arial"/>
                <w:sz w:val="22"/>
                <w:szCs w:val="22"/>
              </w:rPr>
            </w:pPr>
            <w:r>
              <w:rPr>
                <w:rFonts w:ascii="Arial Narrow" w:hAnsi="Arial Narrow" w:cs="Arial"/>
                <w:sz w:val="22"/>
                <w:szCs w:val="22"/>
              </w:rPr>
              <w:t>23.6%</w:t>
            </w:r>
          </w:p>
        </w:tc>
      </w:tr>
      <w:tr w:rsidR="00EC0D84" w:rsidRPr="006D5B97" w14:paraId="7C897D25" w14:textId="44E553EE" w:rsidTr="00E416AF">
        <w:trPr>
          <w:trHeight w:val="20"/>
          <w:jc w:val="center"/>
        </w:trPr>
        <w:tc>
          <w:tcPr>
            <w:tcW w:w="1974" w:type="dxa"/>
            <w:gridSpan w:val="2"/>
            <w:tcBorders>
              <w:left w:val="single" w:sz="12" w:space="0" w:color="auto"/>
              <w:right w:val="single" w:sz="12" w:space="0" w:color="auto"/>
            </w:tcBorders>
          </w:tcPr>
          <w:p w14:paraId="124FCE81" w14:textId="77777777"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Free Care/HSN</w:t>
            </w:r>
          </w:p>
        </w:tc>
        <w:tc>
          <w:tcPr>
            <w:tcW w:w="791" w:type="dxa"/>
            <w:tcBorders>
              <w:left w:val="single" w:sz="12" w:space="0" w:color="auto"/>
            </w:tcBorders>
            <w:vAlign w:val="center"/>
          </w:tcPr>
          <w:p w14:paraId="1AB1F5F2" w14:textId="529F0EC6" w:rsidR="00EC0D84" w:rsidRPr="00E8351E" w:rsidRDefault="00EC0D84" w:rsidP="00EC0D84">
            <w:pPr>
              <w:jc w:val="center"/>
              <w:rPr>
                <w:rFonts w:ascii="Arial Narrow" w:hAnsi="Arial Narrow" w:cs="Arial"/>
                <w:sz w:val="22"/>
                <w:szCs w:val="22"/>
              </w:rPr>
            </w:pPr>
            <w:r>
              <w:rPr>
                <w:rFonts w:ascii="Arial Narrow" w:hAnsi="Arial Narrow" w:cs="Arial"/>
                <w:sz w:val="22"/>
                <w:szCs w:val="22"/>
              </w:rPr>
              <w:t>2</w:t>
            </w:r>
            <w:r w:rsidRPr="00E8351E">
              <w:rPr>
                <w:rFonts w:ascii="Arial Narrow" w:hAnsi="Arial Narrow" w:cs="Arial"/>
                <w:sz w:val="22"/>
                <w:szCs w:val="22"/>
              </w:rPr>
              <w:t>.</w:t>
            </w:r>
            <w:r>
              <w:rPr>
                <w:rFonts w:ascii="Arial Narrow" w:hAnsi="Arial Narrow" w:cs="Arial"/>
                <w:sz w:val="22"/>
                <w:szCs w:val="22"/>
              </w:rPr>
              <w:t>4</w:t>
            </w:r>
            <w:r w:rsidRPr="00E8351E">
              <w:rPr>
                <w:rFonts w:ascii="Arial Narrow" w:hAnsi="Arial Narrow" w:cs="Arial"/>
                <w:sz w:val="22"/>
                <w:szCs w:val="22"/>
              </w:rPr>
              <w:t>%</w:t>
            </w:r>
          </w:p>
        </w:tc>
        <w:tc>
          <w:tcPr>
            <w:tcW w:w="810" w:type="dxa"/>
            <w:gridSpan w:val="2"/>
            <w:vAlign w:val="center"/>
          </w:tcPr>
          <w:p w14:paraId="3835040B" w14:textId="17D4A19A"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1.6%</w:t>
            </w:r>
          </w:p>
        </w:tc>
        <w:tc>
          <w:tcPr>
            <w:tcW w:w="810" w:type="dxa"/>
            <w:gridSpan w:val="2"/>
            <w:vAlign w:val="center"/>
          </w:tcPr>
          <w:p w14:paraId="64E8E1E3" w14:textId="6E5A2630"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1.2%</w:t>
            </w:r>
          </w:p>
        </w:tc>
        <w:tc>
          <w:tcPr>
            <w:tcW w:w="1270" w:type="dxa"/>
            <w:gridSpan w:val="2"/>
            <w:tcBorders>
              <w:right w:val="single" w:sz="12" w:space="0" w:color="auto"/>
            </w:tcBorders>
            <w:vAlign w:val="center"/>
          </w:tcPr>
          <w:p w14:paraId="552EB959" w14:textId="4993270C"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0.5%</w:t>
            </w:r>
          </w:p>
        </w:tc>
        <w:tc>
          <w:tcPr>
            <w:tcW w:w="800" w:type="dxa"/>
            <w:tcBorders>
              <w:left w:val="single" w:sz="12" w:space="0" w:color="auto"/>
            </w:tcBorders>
            <w:shd w:val="clear" w:color="auto" w:fill="auto"/>
            <w:vAlign w:val="center"/>
          </w:tcPr>
          <w:p w14:paraId="622CF089" w14:textId="1EC61077" w:rsidR="00EC0D84" w:rsidRPr="00803815" w:rsidRDefault="00803815" w:rsidP="00EC0D84">
            <w:pPr>
              <w:jc w:val="center"/>
              <w:rPr>
                <w:rFonts w:ascii="Arial Narrow" w:hAnsi="Arial Narrow" w:cs="Arial"/>
                <w:sz w:val="22"/>
                <w:szCs w:val="22"/>
              </w:rPr>
            </w:pPr>
            <w:r>
              <w:rPr>
                <w:rFonts w:ascii="Arial Narrow" w:hAnsi="Arial Narrow" w:cs="Arial"/>
                <w:sz w:val="22"/>
                <w:szCs w:val="22"/>
              </w:rPr>
              <w:t>–</w:t>
            </w:r>
          </w:p>
        </w:tc>
        <w:tc>
          <w:tcPr>
            <w:tcW w:w="814" w:type="dxa"/>
            <w:gridSpan w:val="2"/>
            <w:shd w:val="clear" w:color="auto" w:fill="auto"/>
            <w:vAlign w:val="center"/>
          </w:tcPr>
          <w:p w14:paraId="71149DAB" w14:textId="3DDB2BED" w:rsidR="00EC0D84" w:rsidRPr="00803815" w:rsidRDefault="00803815" w:rsidP="00EC0D84">
            <w:pPr>
              <w:jc w:val="center"/>
              <w:rPr>
                <w:rFonts w:ascii="Arial Narrow" w:hAnsi="Arial Narrow" w:cs="Arial"/>
                <w:sz w:val="22"/>
                <w:szCs w:val="22"/>
              </w:rPr>
            </w:pPr>
            <w:r>
              <w:rPr>
                <w:rFonts w:ascii="Arial Narrow" w:hAnsi="Arial Narrow" w:cs="Arial"/>
                <w:sz w:val="22"/>
                <w:szCs w:val="22"/>
              </w:rPr>
              <w:t>–</w:t>
            </w:r>
          </w:p>
        </w:tc>
        <w:tc>
          <w:tcPr>
            <w:tcW w:w="813" w:type="dxa"/>
            <w:shd w:val="clear" w:color="auto" w:fill="auto"/>
            <w:vAlign w:val="center"/>
          </w:tcPr>
          <w:p w14:paraId="3EF1AA86" w14:textId="09929970" w:rsidR="00EC0D84" w:rsidRPr="00803815" w:rsidRDefault="00803815" w:rsidP="00EC0D84">
            <w:pPr>
              <w:jc w:val="center"/>
              <w:rPr>
                <w:rFonts w:ascii="Arial Narrow" w:hAnsi="Arial Narrow" w:cs="Arial"/>
                <w:sz w:val="22"/>
                <w:szCs w:val="22"/>
              </w:rPr>
            </w:pPr>
            <w:r>
              <w:rPr>
                <w:rFonts w:ascii="Arial Narrow" w:hAnsi="Arial Narrow" w:cs="Arial"/>
                <w:sz w:val="22"/>
                <w:szCs w:val="22"/>
              </w:rPr>
              <w:t>–</w:t>
            </w:r>
          </w:p>
        </w:tc>
        <w:tc>
          <w:tcPr>
            <w:tcW w:w="1268" w:type="dxa"/>
            <w:tcBorders>
              <w:right w:val="single" w:sz="12" w:space="0" w:color="auto"/>
            </w:tcBorders>
            <w:shd w:val="clear" w:color="auto" w:fill="auto"/>
            <w:vAlign w:val="center"/>
          </w:tcPr>
          <w:p w14:paraId="2CD1ADB3" w14:textId="0351C80B" w:rsidR="00EC0D84" w:rsidRPr="00803815" w:rsidRDefault="00803815" w:rsidP="00EC0D84">
            <w:pPr>
              <w:jc w:val="center"/>
              <w:rPr>
                <w:rFonts w:ascii="Arial Narrow" w:hAnsi="Arial Narrow" w:cs="Arial"/>
                <w:sz w:val="22"/>
                <w:szCs w:val="22"/>
              </w:rPr>
            </w:pPr>
            <w:r>
              <w:rPr>
                <w:rFonts w:ascii="Arial Narrow" w:hAnsi="Arial Narrow" w:cs="Arial"/>
                <w:sz w:val="22"/>
                <w:szCs w:val="22"/>
              </w:rPr>
              <w:t>–</w:t>
            </w:r>
          </w:p>
        </w:tc>
      </w:tr>
      <w:tr w:rsidR="00EC0D84" w:rsidRPr="006D5B97" w14:paraId="7E7F89B4" w14:textId="03017683" w:rsidTr="00E416AF">
        <w:trPr>
          <w:trHeight w:val="20"/>
          <w:jc w:val="center"/>
        </w:trPr>
        <w:tc>
          <w:tcPr>
            <w:tcW w:w="1974" w:type="dxa"/>
            <w:gridSpan w:val="2"/>
            <w:tcBorders>
              <w:left w:val="single" w:sz="12" w:space="0" w:color="auto"/>
              <w:bottom w:val="single" w:sz="12" w:space="0" w:color="auto"/>
              <w:right w:val="single" w:sz="12" w:space="0" w:color="auto"/>
            </w:tcBorders>
          </w:tcPr>
          <w:p w14:paraId="4192F146" w14:textId="6339E362" w:rsidR="00EC0D84" w:rsidRPr="00E8351E" w:rsidRDefault="00EC0D84" w:rsidP="00EC0D84">
            <w:pPr>
              <w:rPr>
                <w:rFonts w:ascii="Arial Narrow" w:hAnsi="Arial Narrow" w:cs="Arial"/>
                <w:sz w:val="22"/>
                <w:szCs w:val="22"/>
              </w:rPr>
            </w:pPr>
            <w:r w:rsidRPr="00E8351E">
              <w:rPr>
                <w:rFonts w:ascii="Arial Narrow" w:hAnsi="Arial Narrow" w:cs="Arial"/>
                <w:sz w:val="22"/>
                <w:szCs w:val="22"/>
              </w:rPr>
              <w:t>All Other</w:t>
            </w:r>
            <w:r w:rsidR="00FB167B">
              <w:rPr>
                <w:rFonts w:ascii="ZWAdobeF" w:hAnsi="ZWAdobeF" w:cs="ZWAdobeF"/>
                <w:sz w:val="2"/>
                <w:szCs w:val="2"/>
              </w:rPr>
              <w:t>23F</w:t>
            </w:r>
            <w:r w:rsidRPr="00E8351E">
              <w:rPr>
                <w:rStyle w:val="FootnoteReference"/>
                <w:rFonts w:ascii="Arial Narrow" w:hAnsi="Arial Narrow" w:cs="Arial"/>
                <w:sz w:val="22"/>
                <w:szCs w:val="22"/>
              </w:rPr>
              <w:footnoteReference w:id="24"/>
            </w:r>
          </w:p>
        </w:tc>
        <w:tc>
          <w:tcPr>
            <w:tcW w:w="791" w:type="dxa"/>
            <w:tcBorders>
              <w:left w:val="single" w:sz="12" w:space="0" w:color="auto"/>
              <w:bottom w:val="single" w:sz="12" w:space="0" w:color="auto"/>
            </w:tcBorders>
            <w:vAlign w:val="center"/>
          </w:tcPr>
          <w:p w14:paraId="3D3ED595" w14:textId="0814006C" w:rsidR="00EC0D84" w:rsidRPr="00E8351E" w:rsidRDefault="00EC0D84" w:rsidP="00EC0D84">
            <w:pPr>
              <w:jc w:val="center"/>
              <w:rPr>
                <w:rFonts w:ascii="Arial Narrow" w:hAnsi="Arial Narrow" w:cs="Arial"/>
                <w:sz w:val="22"/>
                <w:szCs w:val="22"/>
              </w:rPr>
            </w:pPr>
            <w:r w:rsidRPr="00E8351E">
              <w:rPr>
                <w:rFonts w:ascii="Arial Narrow" w:hAnsi="Arial Narrow" w:cs="Arial"/>
                <w:sz w:val="22"/>
                <w:szCs w:val="22"/>
              </w:rPr>
              <w:t>2.</w:t>
            </w:r>
            <w:r>
              <w:rPr>
                <w:rFonts w:ascii="Arial Narrow" w:hAnsi="Arial Narrow" w:cs="Arial"/>
                <w:sz w:val="22"/>
                <w:szCs w:val="22"/>
              </w:rPr>
              <w:t>5</w:t>
            </w:r>
            <w:r w:rsidRPr="00E8351E">
              <w:rPr>
                <w:rFonts w:ascii="Arial Narrow" w:hAnsi="Arial Narrow" w:cs="Arial"/>
                <w:sz w:val="22"/>
                <w:szCs w:val="22"/>
              </w:rPr>
              <w:t>%</w:t>
            </w:r>
          </w:p>
        </w:tc>
        <w:tc>
          <w:tcPr>
            <w:tcW w:w="810" w:type="dxa"/>
            <w:gridSpan w:val="2"/>
            <w:tcBorders>
              <w:bottom w:val="single" w:sz="12" w:space="0" w:color="auto"/>
            </w:tcBorders>
            <w:vAlign w:val="center"/>
          </w:tcPr>
          <w:p w14:paraId="2E949616" w14:textId="3F98A238"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2.8%</w:t>
            </w:r>
          </w:p>
        </w:tc>
        <w:tc>
          <w:tcPr>
            <w:tcW w:w="810" w:type="dxa"/>
            <w:gridSpan w:val="2"/>
            <w:tcBorders>
              <w:bottom w:val="single" w:sz="12" w:space="0" w:color="auto"/>
            </w:tcBorders>
            <w:vAlign w:val="center"/>
          </w:tcPr>
          <w:p w14:paraId="154EA57C" w14:textId="45C33BBC"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2.8%</w:t>
            </w:r>
          </w:p>
        </w:tc>
        <w:tc>
          <w:tcPr>
            <w:tcW w:w="1270" w:type="dxa"/>
            <w:gridSpan w:val="2"/>
            <w:tcBorders>
              <w:bottom w:val="single" w:sz="12" w:space="0" w:color="auto"/>
              <w:right w:val="single" w:sz="12" w:space="0" w:color="auto"/>
            </w:tcBorders>
            <w:vAlign w:val="center"/>
          </w:tcPr>
          <w:p w14:paraId="052F3136" w14:textId="7E8DC754" w:rsidR="00EC0D84" w:rsidRPr="00466C62" w:rsidRDefault="00EC0D84" w:rsidP="00EC0D84">
            <w:pPr>
              <w:jc w:val="center"/>
              <w:rPr>
                <w:rFonts w:ascii="Arial Narrow" w:hAnsi="Arial Narrow" w:cs="Arial"/>
                <w:color w:val="000000" w:themeColor="text1"/>
                <w:sz w:val="22"/>
                <w:szCs w:val="22"/>
              </w:rPr>
            </w:pPr>
            <w:r w:rsidRPr="00466C62">
              <w:rPr>
                <w:rFonts w:ascii="Arial Narrow" w:hAnsi="Arial Narrow" w:cs="Arial"/>
                <w:color w:val="000000" w:themeColor="text1"/>
                <w:sz w:val="22"/>
                <w:szCs w:val="22"/>
              </w:rPr>
              <w:t>3.5%</w:t>
            </w:r>
          </w:p>
        </w:tc>
        <w:tc>
          <w:tcPr>
            <w:tcW w:w="800" w:type="dxa"/>
            <w:tcBorders>
              <w:left w:val="single" w:sz="12" w:space="0" w:color="auto"/>
              <w:bottom w:val="single" w:sz="12" w:space="0" w:color="auto"/>
            </w:tcBorders>
            <w:shd w:val="clear" w:color="auto" w:fill="auto"/>
            <w:vAlign w:val="center"/>
          </w:tcPr>
          <w:p w14:paraId="25052FCE" w14:textId="79D37ED2" w:rsidR="00EC0D84" w:rsidRPr="00E8351E" w:rsidRDefault="008F2817" w:rsidP="00EC0D84">
            <w:pPr>
              <w:jc w:val="center"/>
              <w:rPr>
                <w:rFonts w:ascii="Arial Narrow" w:hAnsi="Arial Narrow" w:cs="Arial"/>
                <w:sz w:val="22"/>
                <w:szCs w:val="22"/>
              </w:rPr>
            </w:pPr>
            <w:r>
              <w:rPr>
                <w:rFonts w:ascii="Arial Narrow" w:hAnsi="Arial Narrow" w:cs="Arial"/>
                <w:sz w:val="22"/>
                <w:szCs w:val="22"/>
              </w:rPr>
              <w:t>5.8%</w:t>
            </w:r>
          </w:p>
        </w:tc>
        <w:tc>
          <w:tcPr>
            <w:tcW w:w="814" w:type="dxa"/>
            <w:gridSpan w:val="2"/>
            <w:tcBorders>
              <w:bottom w:val="single" w:sz="12" w:space="0" w:color="auto"/>
            </w:tcBorders>
            <w:shd w:val="clear" w:color="auto" w:fill="auto"/>
            <w:vAlign w:val="center"/>
          </w:tcPr>
          <w:p w14:paraId="5307BB91" w14:textId="63FECABE" w:rsidR="00EC0D84" w:rsidRPr="00E8351E" w:rsidRDefault="008F2817" w:rsidP="00EC0D84">
            <w:pPr>
              <w:jc w:val="center"/>
              <w:rPr>
                <w:rFonts w:ascii="Arial Narrow" w:hAnsi="Arial Narrow" w:cs="Arial"/>
                <w:sz w:val="22"/>
                <w:szCs w:val="22"/>
              </w:rPr>
            </w:pPr>
            <w:r>
              <w:rPr>
                <w:rFonts w:ascii="Arial Narrow" w:hAnsi="Arial Narrow" w:cs="Arial"/>
                <w:sz w:val="22"/>
                <w:szCs w:val="22"/>
              </w:rPr>
              <w:t>5.8%</w:t>
            </w:r>
          </w:p>
        </w:tc>
        <w:tc>
          <w:tcPr>
            <w:tcW w:w="813" w:type="dxa"/>
            <w:tcBorders>
              <w:bottom w:val="single" w:sz="12" w:space="0" w:color="auto"/>
            </w:tcBorders>
            <w:shd w:val="clear" w:color="auto" w:fill="auto"/>
            <w:vAlign w:val="center"/>
          </w:tcPr>
          <w:p w14:paraId="6AB384D3" w14:textId="3A2A2B41" w:rsidR="00EC0D84" w:rsidRPr="00E8351E" w:rsidRDefault="008F2817" w:rsidP="00EC0D84">
            <w:pPr>
              <w:jc w:val="center"/>
              <w:rPr>
                <w:rFonts w:ascii="Arial Narrow" w:hAnsi="Arial Narrow" w:cs="Arial"/>
                <w:sz w:val="22"/>
                <w:szCs w:val="22"/>
              </w:rPr>
            </w:pPr>
            <w:r>
              <w:rPr>
                <w:rFonts w:ascii="Arial Narrow" w:hAnsi="Arial Narrow" w:cs="Arial"/>
                <w:sz w:val="22"/>
                <w:szCs w:val="22"/>
              </w:rPr>
              <w:t>6.0%</w:t>
            </w:r>
          </w:p>
        </w:tc>
        <w:tc>
          <w:tcPr>
            <w:tcW w:w="1268" w:type="dxa"/>
            <w:tcBorders>
              <w:bottom w:val="single" w:sz="12" w:space="0" w:color="auto"/>
              <w:right w:val="single" w:sz="12" w:space="0" w:color="auto"/>
            </w:tcBorders>
            <w:shd w:val="clear" w:color="auto" w:fill="auto"/>
            <w:vAlign w:val="center"/>
          </w:tcPr>
          <w:p w14:paraId="6A2C21D4" w14:textId="643F2145" w:rsidR="00EC0D84" w:rsidRPr="00E8351E" w:rsidRDefault="008F2817" w:rsidP="00EC0D84">
            <w:pPr>
              <w:jc w:val="center"/>
              <w:rPr>
                <w:rFonts w:ascii="Arial Narrow" w:hAnsi="Arial Narrow" w:cs="Arial"/>
                <w:sz w:val="22"/>
                <w:szCs w:val="22"/>
              </w:rPr>
            </w:pPr>
            <w:r>
              <w:rPr>
                <w:rFonts w:ascii="Arial Narrow" w:hAnsi="Arial Narrow" w:cs="Arial"/>
                <w:sz w:val="22"/>
                <w:szCs w:val="22"/>
              </w:rPr>
              <w:t>7.6%</w:t>
            </w:r>
          </w:p>
        </w:tc>
      </w:tr>
    </w:tbl>
    <w:p w14:paraId="33852859" w14:textId="77777777" w:rsidR="0049553F" w:rsidRDefault="0049553F" w:rsidP="005816F3">
      <w:pPr>
        <w:pStyle w:val="NormalWeb"/>
        <w:spacing w:before="0" w:beforeAutospacing="0" w:after="0" w:afterAutospacing="0"/>
        <w:jc w:val="both"/>
        <w:rPr>
          <w:rFonts w:ascii="Arial" w:hAnsi="Arial" w:cs="Arial"/>
          <w:i/>
          <w:iCs/>
          <w:sz w:val="22"/>
          <w:szCs w:val="22"/>
          <w:u w:val="single"/>
        </w:rPr>
      </w:pPr>
    </w:p>
    <w:p w14:paraId="1BDCA337" w14:textId="143F9769" w:rsidR="009F76F1" w:rsidRPr="00CE135F" w:rsidRDefault="009F76F1" w:rsidP="00ED172C">
      <w:pPr>
        <w:pStyle w:val="NormalWeb"/>
        <w:numPr>
          <w:ilvl w:val="3"/>
          <w:numId w:val="4"/>
        </w:numPr>
        <w:spacing w:before="0" w:beforeAutospacing="0" w:after="0" w:afterAutospacing="0"/>
        <w:ind w:left="1080"/>
        <w:jc w:val="both"/>
        <w:rPr>
          <w:rFonts w:ascii="Arial" w:hAnsi="Arial" w:cs="Arial"/>
          <w:color w:val="FF0000"/>
          <w:sz w:val="22"/>
          <w:szCs w:val="22"/>
        </w:rPr>
      </w:pPr>
      <w:r w:rsidRPr="00B53310">
        <w:rPr>
          <w:rFonts w:ascii="Arial" w:hAnsi="Arial" w:cs="Arial"/>
          <w:i/>
          <w:iCs/>
          <w:color w:val="000000" w:themeColor="text1"/>
          <w:sz w:val="22"/>
          <w:szCs w:val="22"/>
          <w:u w:val="single"/>
        </w:rPr>
        <w:t xml:space="preserve">Inpatient </w:t>
      </w:r>
      <w:r w:rsidR="00487F80">
        <w:rPr>
          <w:rFonts w:ascii="Arial" w:hAnsi="Arial" w:cs="Arial"/>
          <w:i/>
          <w:iCs/>
          <w:color w:val="000000" w:themeColor="text1"/>
          <w:sz w:val="22"/>
          <w:szCs w:val="22"/>
          <w:u w:val="single"/>
        </w:rPr>
        <w:t>Surgical</w:t>
      </w:r>
      <w:r w:rsidR="00487F80" w:rsidRPr="00CE135F">
        <w:rPr>
          <w:rFonts w:ascii="Arial" w:hAnsi="Arial" w:cs="Arial"/>
          <w:i/>
          <w:iCs/>
          <w:color w:val="000000" w:themeColor="text1"/>
          <w:sz w:val="22"/>
          <w:szCs w:val="22"/>
          <w:u w:val="single"/>
        </w:rPr>
        <w:t xml:space="preserve"> </w:t>
      </w:r>
      <w:r w:rsidRPr="00CE135F">
        <w:rPr>
          <w:rFonts w:ascii="Arial" w:hAnsi="Arial" w:cs="Arial"/>
          <w:i/>
          <w:iCs/>
          <w:color w:val="000000" w:themeColor="text1"/>
          <w:sz w:val="22"/>
          <w:szCs w:val="22"/>
          <w:u w:val="single"/>
        </w:rPr>
        <w:t>Panel</w:t>
      </w:r>
    </w:p>
    <w:p w14:paraId="584450C3" w14:textId="5A822826" w:rsidR="00DF746B" w:rsidRPr="00CE135F" w:rsidRDefault="00DF746B">
      <w:pPr>
        <w:rPr>
          <w:rFonts w:ascii="Arial" w:hAnsi="Arial" w:cs="Arial"/>
          <w:sz w:val="22"/>
          <w:szCs w:val="22"/>
        </w:rPr>
      </w:pPr>
    </w:p>
    <w:p w14:paraId="728B7002" w14:textId="36B70DB3" w:rsidR="001826D9" w:rsidRDefault="00CE135F" w:rsidP="00E3629A">
      <w:pPr>
        <w:pStyle w:val="NormalWeb"/>
        <w:spacing w:before="0" w:beforeAutospacing="0" w:after="0" w:afterAutospacing="0"/>
        <w:jc w:val="both"/>
      </w:pPr>
      <w:r w:rsidRPr="00CE135F">
        <w:rPr>
          <w:rFonts w:ascii="Arial" w:hAnsi="Arial" w:cs="Arial"/>
          <w:sz w:val="22"/>
          <w:szCs w:val="22"/>
        </w:rPr>
        <w:t xml:space="preserve">Like the inpatient </w:t>
      </w:r>
      <w:r w:rsidR="003163F5">
        <w:rPr>
          <w:rFonts w:ascii="Arial" w:hAnsi="Arial" w:cs="Arial"/>
          <w:sz w:val="22"/>
          <w:szCs w:val="22"/>
        </w:rPr>
        <w:t xml:space="preserve">bed </w:t>
      </w:r>
      <w:r w:rsidRPr="00CE135F">
        <w:rPr>
          <w:rFonts w:ascii="Arial" w:hAnsi="Arial" w:cs="Arial"/>
          <w:sz w:val="22"/>
          <w:szCs w:val="22"/>
        </w:rPr>
        <w:t>panel</w:t>
      </w:r>
      <w:r w:rsidR="00CD0CC8">
        <w:rPr>
          <w:rFonts w:ascii="Arial" w:hAnsi="Arial" w:cs="Arial"/>
          <w:sz w:val="22"/>
          <w:szCs w:val="22"/>
        </w:rPr>
        <w:t>s</w:t>
      </w:r>
      <w:r w:rsidRPr="00CE135F">
        <w:rPr>
          <w:rFonts w:ascii="Arial" w:hAnsi="Arial" w:cs="Arial"/>
          <w:sz w:val="22"/>
          <w:szCs w:val="22"/>
        </w:rPr>
        <w:t xml:space="preserve">, the inpatient </w:t>
      </w:r>
      <w:r>
        <w:rPr>
          <w:rFonts w:ascii="Arial" w:hAnsi="Arial" w:cs="Arial"/>
          <w:sz w:val="22"/>
          <w:szCs w:val="22"/>
        </w:rPr>
        <w:t>surgical</w:t>
      </w:r>
      <w:r w:rsidRPr="00CE135F">
        <w:rPr>
          <w:rFonts w:ascii="Arial" w:hAnsi="Arial" w:cs="Arial"/>
          <w:sz w:val="22"/>
          <w:szCs w:val="22"/>
        </w:rPr>
        <w:t xml:space="preserve"> panel is largely reflective of the Hospital </w:t>
      </w:r>
      <w:r w:rsidR="00985F0E">
        <w:rPr>
          <w:rFonts w:ascii="Arial" w:hAnsi="Arial" w:cs="Arial"/>
          <w:sz w:val="22"/>
          <w:szCs w:val="22"/>
        </w:rPr>
        <w:t xml:space="preserve">panel </w:t>
      </w:r>
      <w:r w:rsidRPr="00CE135F">
        <w:rPr>
          <w:rFonts w:ascii="Arial" w:hAnsi="Arial" w:cs="Arial"/>
          <w:sz w:val="22"/>
          <w:szCs w:val="22"/>
        </w:rPr>
        <w:t>overall.</w:t>
      </w:r>
      <w:r>
        <w:rPr>
          <w:rFonts w:ascii="Arial" w:hAnsi="Arial" w:cs="Arial"/>
          <w:sz w:val="22"/>
          <w:szCs w:val="22"/>
        </w:rPr>
        <w:t xml:space="preserve"> </w:t>
      </w:r>
      <w:r w:rsidR="006F3242">
        <w:rPr>
          <w:rFonts w:ascii="Arial" w:hAnsi="Arial" w:cs="Arial"/>
          <w:sz w:val="22"/>
          <w:szCs w:val="22"/>
        </w:rPr>
        <w:t xml:space="preserve">Gender, age, race/ethnicity, and geographic origin demographic data for this panel </w:t>
      </w:r>
      <w:r w:rsidR="004F0A14">
        <w:rPr>
          <w:rFonts w:ascii="Arial" w:hAnsi="Arial" w:cs="Arial"/>
          <w:sz w:val="22"/>
          <w:szCs w:val="22"/>
        </w:rPr>
        <w:t>are</w:t>
      </w:r>
      <w:r w:rsidR="006F3242">
        <w:rPr>
          <w:rFonts w:ascii="Arial" w:hAnsi="Arial" w:cs="Arial"/>
          <w:sz w:val="22"/>
          <w:szCs w:val="22"/>
        </w:rPr>
        <w:t xml:space="preserve"> outlined in Table 8. As shown in the table, i</w:t>
      </w:r>
      <w:r>
        <w:rPr>
          <w:rFonts w:ascii="Arial" w:hAnsi="Arial" w:cs="Arial"/>
          <w:sz w:val="22"/>
          <w:szCs w:val="22"/>
        </w:rPr>
        <w:t xml:space="preserve">n FY21, </w:t>
      </w:r>
      <w:r>
        <w:rPr>
          <w:rFonts w:ascii="ArialMT" w:hAnsi="ArialMT"/>
          <w:sz w:val="22"/>
          <w:szCs w:val="22"/>
        </w:rPr>
        <w:t>51.1</w:t>
      </w:r>
      <w:r w:rsidRPr="00DA2F20">
        <w:rPr>
          <w:rFonts w:ascii="ArialMT" w:hAnsi="ArialMT"/>
          <w:sz w:val="22"/>
          <w:szCs w:val="22"/>
        </w:rPr>
        <w:t xml:space="preserve">% of </w:t>
      </w:r>
      <w:r>
        <w:rPr>
          <w:rFonts w:ascii="ArialMT" w:hAnsi="ArialMT"/>
          <w:sz w:val="22"/>
          <w:szCs w:val="22"/>
        </w:rPr>
        <w:t xml:space="preserve">the Hospital’s inpatient surgical </w:t>
      </w:r>
      <w:r w:rsidRPr="00DA2F20">
        <w:rPr>
          <w:rFonts w:ascii="ArialMT" w:hAnsi="ArialMT"/>
          <w:sz w:val="22"/>
          <w:szCs w:val="22"/>
        </w:rPr>
        <w:t xml:space="preserve">patients were female and </w:t>
      </w:r>
      <w:r>
        <w:rPr>
          <w:rFonts w:ascii="ArialMT" w:hAnsi="ArialMT"/>
          <w:sz w:val="22"/>
          <w:szCs w:val="22"/>
        </w:rPr>
        <w:t>48.9</w:t>
      </w:r>
      <w:r w:rsidRPr="00DA2F20">
        <w:rPr>
          <w:rFonts w:ascii="ArialMT" w:hAnsi="ArialMT"/>
          <w:sz w:val="22"/>
          <w:szCs w:val="22"/>
        </w:rPr>
        <w:t>% were male</w:t>
      </w:r>
      <w:r>
        <w:rPr>
          <w:rFonts w:ascii="ArialMT" w:hAnsi="ArialMT"/>
          <w:sz w:val="22"/>
          <w:szCs w:val="22"/>
        </w:rPr>
        <w:t>.</w:t>
      </w:r>
      <w:r w:rsidRPr="00CE135F">
        <w:rPr>
          <w:rFonts w:ascii="ArialMT" w:hAnsi="ArialMT"/>
          <w:sz w:val="22"/>
          <w:szCs w:val="22"/>
        </w:rPr>
        <w:t xml:space="preserve"> </w:t>
      </w:r>
      <w:r>
        <w:rPr>
          <w:rFonts w:ascii="ArialMT" w:hAnsi="ArialMT"/>
          <w:sz w:val="22"/>
          <w:szCs w:val="22"/>
        </w:rPr>
        <w:t>During this same time, a</w:t>
      </w:r>
      <w:r w:rsidRPr="00CE135F">
        <w:rPr>
          <w:rFonts w:ascii="ArialMT" w:hAnsi="ArialMT"/>
          <w:sz w:val="22"/>
          <w:szCs w:val="22"/>
        </w:rPr>
        <w:t xml:space="preserve">ge demographics show that the majority (72.4%) of inpatient </w:t>
      </w:r>
      <w:r>
        <w:rPr>
          <w:rFonts w:ascii="ArialMT" w:hAnsi="ArialMT"/>
          <w:sz w:val="22"/>
          <w:szCs w:val="22"/>
        </w:rPr>
        <w:t>surgical</w:t>
      </w:r>
      <w:r w:rsidRPr="00CE135F">
        <w:rPr>
          <w:rFonts w:ascii="ArialMT" w:hAnsi="ArialMT"/>
          <w:sz w:val="22"/>
          <w:szCs w:val="22"/>
        </w:rPr>
        <w:t xml:space="preserve"> patients were ages 18-64, followed by </w:t>
      </w:r>
      <w:r w:rsidR="00B56B62">
        <w:rPr>
          <w:rFonts w:ascii="ArialMT" w:hAnsi="ArialMT"/>
          <w:sz w:val="22"/>
          <w:szCs w:val="22"/>
        </w:rPr>
        <w:t xml:space="preserve">a substantial percent of </w:t>
      </w:r>
      <w:r w:rsidRPr="00CE135F">
        <w:rPr>
          <w:rFonts w:ascii="ArialMT" w:hAnsi="ArialMT"/>
          <w:sz w:val="22"/>
          <w:szCs w:val="22"/>
        </w:rPr>
        <w:t xml:space="preserve">patients </w:t>
      </w:r>
      <w:r>
        <w:rPr>
          <w:rFonts w:ascii="ArialMT" w:hAnsi="ArialMT"/>
          <w:sz w:val="22"/>
          <w:szCs w:val="22"/>
        </w:rPr>
        <w:t xml:space="preserve">ages </w:t>
      </w:r>
      <w:r w:rsidRPr="00CE135F">
        <w:rPr>
          <w:rFonts w:ascii="ArialMT" w:hAnsi="ArialMT"/>
          <w:sz w:val="22"/>
          <w:szCs w:val="22"/>
        </w:rPr>
        <w:t>65+ (24.8</w:t>
      </w:r>
      <w:r w:rsidR="00F74465">
        <w:rPr>
          <w:rFonts w:ascii="ArialMT" w:hAnsi="ArialMT"/>
          <w:sz w:val="22"/>
          <w:szCs w:val="22"/>
        </w:rPr>
        <w:t>%</w:t>
      </w:r>
      <w:r w:rsidRPr="00CE135F">
        <w:rPr>
          <w:rFonts w:ascii="ArialMT" w:hAnsi="ArialMT"/>
          <w:sz w:val="22"/>
          <w:szCs w:val="22"/>
        </w:rPr>
        <w:t xml:space="preserve">), and </w:t>
      </w:r>
      <w:r w:rsidR="00B56B62">
        <w:rPr>
          <w:rFonts w:ascii="ArialMT" w:hAnsi="ArialMT"/>
          <w:sz w:val="22"/>
          <w:szCs w:val="22"/>
        </w:rPr>
        <w:t xml:space="preserve">a </w:t>
      </w:r>
      <w:r>
        <w:rPr>
          <w:rFonts w:ascii="ArialMT" w:hAnsi="ArialMT"/>
          <w:sz w:val="22"/>
          <w:szCs w:val="22"/>
        </w:rPr>
        <w:t xml:space="preserve">subsequently </w:t>
      </w:r>
      <w:r w:rsidR="00B56B62">
        <w:rPr>
          <w:rFonts w:ascii="ArialMT" w:hAnsi="ArialMT"/>
          <w:sz w:val="22"/>
          <w:szCs w:val="22"/>
        </w:rPr>
        <w:t xml:space="preserve">smaller percentage of </w:t>
      </w:r>
      <w:r w:rsidRPr="00CE135F">
        <w:rPr>
          <w:rFonts w:ascii="ArialMT" w:hAnsi="ArialMT"/>
          <w:sz w:val="22"/>
          <w:szCs w:val="22"/>
        </w:rPr>
        <w:t>patients ages 0-17 (2.8</w:t>
      </w:r>
      <w:r w:rsidR="001E375A">
        <w:rPr>
          <w:rFonts w:ascii="ArialMT" w:hAnsi="ArialMT"/>
          <w:sz w:val="22"/>
          <w:szCs w:val="22"/>
        </w:rPr>
        <w:t>%</w:t>
      </w:r>
      <w:r w:rsidRPr="00CE135F">
        <w:rPr>
          <w:rFonts w:ascii="ArialMT" w:hAnsi="ArialMT"/>
          <w:sz w:val="22"/>
          <w:szCs w:val="22"/>
        </w:rPr>
        <w:t>).</w:t>
      </w:r>
      <w:r>
        <w:rPr>
          <w:rFonts w:ascii="ArialMT" w:hAnsi="ArialMT"/>
          <w:sz w:val="22"/>
          <w:szCs w:val="22"/>
        </w:rPr>
        <w:t xml:space="preserve"> </w:t>
      </w:r>
      <w:r w:rsidRPr="006F3242">
        <w:rPr>
          <w:rFonts w:ascii="ArialMT" w:hAnsi="ArialMT"/>
          <w:sz w:val="22"/>
          <w:szCs w:val="22"/>
        </w:rPr>
        <w:t>With respect to race and ethnicity</w:t>
      </w:r>
      <w:r w:rsidR="00CD0CC8" w:rsidRPr="006F3242">
        <w:rPr>
          <w:rFonts w:ascii="ArialMT" w:hAnsi="ArialMT"/>
          <w:sz w:val="22"/>
          <w:szCs w:val="22"/>
        </w:rPr>
        <w:t>, in FY21, BMC’s inpatient surgical patients self-identified as follows:</w:t>
      </w:r>
      <w:r w:rsidRPr="006F3242">
        <w:rPr>
          <w:rFonts w:ascii="ArialMT" w:hAnsi="ArialMT"/>
          <w:sz w:val="22"/>
          <w:szCs w:val="22"/>
        </w:rPr>
        <w:t xml:space="preserve"> </w:t>
      </w:r>
      <w:r w:rsidR="00CD0CC8" w:rsidRPr="006F3242">
        <w:rPr>
          <w:rFonts w:ascii="ArialMT" w:hAnsi="ArialMT"/>
          <w:sz w:val="22"/>
          <w:szCs w:val="22"/>
        </w:rPr>
        <w:t>White/Caucasian (36.8%), Black/African American (31.6%), Hispanic/Latino (23.3%), and Asian (3.5%). The remainder of patients (</w:t>
      </w:r>
      <w:r w:rsidR="006F3242" w:rsidRPr="006F3242">
        <w:rPr>
          <w:rFonts w:ascii="ArialMT" w:hAnsi="ArialMT"/>
          <w:sz w:val="22"/>
          <w:szCs w:val="22"/>
        </w:rPr>
        <w:t>4.7%</w:t>
      </w:r>
      <w:r w:rsidR="00CD0CC8" w:rsidRPr="006F3242">
        <w:rPr>
          <w:rFonts w:ascii="ArialMT" w:hAnsi="ArialMT"/>
          <w:sz w:val="22"/>
          <w:szCs w:val="22"/>
        </w:rPr>
        <w:t xml:space="preserve">) chose not to report or reported in a category not specified here. </w:t>
      </w:r>
      <w:r w:rsidR="006F3242">
        <w:rPr>
          <w:rFonts w:ascii="ArialMT" w:hAnsi="ArialMT"/>
          <w:sz w:val="22"/>
          <w:szCs w:val="22"/>
        </w:rPr>
        <w:t xml:space="preserve">Finally, geographic origin demographics indicate that, similar to the Hospital’s overall patient panel and the Hospital’s inpatient bed patient panels, the Hospital’s inpatient surgical patients reside </w:t>
      </w:r>
      <w:r w:rsidR="00B56B62">
        <w:rPr>
          <w:rFonts w:ascii="ArialMT" w:hAnsi="ArialMT"/>
          <w:sz w:val="22"/>
          <w:szCs w:val="22"/>
        </w:rPr>
        <w:t xml:space="preserve">largely </w:t>
      </w:r>
      <w:r w:rsidR="006F3242">
        <w:rPr>
          <w:rFonts w:ascii="ArialMT" w:hAnsi="ArialMT"/>
          <w:sz w:val="22"/>
          <w:szCs w:val="22"/>
        </w:rPr>
        <w:t>in the Boston/Greater Boston area.</w:t>
      </w:r>
    </w:p>
    <w:p w14:paraId="19BC07D7" w14:textId="77777777" w:rsidR="00540875" w:rsidRDefault="00540875">
      <w:pPr>
        <w:rPr>
          <w:rFonts w:ascii="Arial Narrow" w:hAnsi="Arial Narrow" w:cs="Arial"/>
          <w:b/>
          <w:bCs/>
          <w:sz w:val="22"/>
          <w:szCs w:val="22"/>
        </w:rPr>
      </w:pPr>
    </w:p>
    <w:p w14:paraId="6324A7F9" w14:textId="665D05FF" w:rsidR="00402008" w:rsidRDefault="00540875">
      <w:r w:rsidRPr="00540875">
        <w:rPr>
          <w:rFonts w:ascii="Arial Narrow" w:hAnsi="Arial Narrow" w:cs="Arial"/>
          <w:b/>
          <w:bCs/>
          <w:sz w:val="22"/>
          <w:szCs w:val="22"/>
        </w:rPr>
        <w:t>Table 8: BMC Inpatient OR Patient Panel Demographics</w:t>
      </w:r>
    </w:p>
    <w:tbl>
      <w:tblPr>
        <w:tblStyle w:val="TableGrid"/>
        <w:tblW w:w="9355" w:type="dxa"/>
        <w:jc w:val="center"/>
        <w:tblLayout w:type="fixed"/>
        <w:tblLook w:val="04A0" w:firstRow="1" w:lastRow="0" w:firstColumn="1" w:lastColumn="0" w:noHBand="0" w:noVBand="1"/>
      </w:tblPr>
      <w:tblGrid>
        <w:gridCol w:w="2775"/>
        <w:gridCol w:w="6"/>
        <w:gridCol w:w="894"/>
        <w:gridCol w:w="41"/>
        <w:gridCol w:w="733"/>
        <w:gridCol w:w="36"/>
        <w:gridCol w:w="810"/>
        <w:gridCol w:w="31"/>
        <w:gridCol w:w="689"/>
        <w:gridCol w:w="49"/>
        <w:gridCol w:w="941"/>
        <w:gridCol w:w="8"/>
        <w:gridCol w:w="712"/>
        <w:gridCol w:w="22"/>
        <w:gridCol w:w="878"/>
        <w:gridCol w:w="730"/>
      </w:tblGrid>
      <w:tr w:rsidR="00FF5260" w:rsidRPr="00727C10" w14:paraId="6145D8A0" w14:textId="77777777" w:rsidTr="002D3000">
        <w:trPr>
          <w:trHeight w:val="20"/>
          <w:jc w:val="center"/>
        </w:trPr>
        <w:tc>
          <w:tcPr>
            <w:tcW w:w="2781" w:type="dxa"/>
            <w:gridSpan w:val="2"/>
            <w:vMerge w:val="restart"/>
            <w:tcBorders>
              <w:top w:val="single" w:sz="12" w:space="0" w:color="auto"/>
              <w:left w:val="single" w:sz="12" w:space="0" w:color="auto"/>
            </w:tcBorders>
            <w:shd w:val="clear" w:color="auto" w:fill="8DA9DB"/>
            <w:vAlign w:val="center"/>
          </w:tcPr>
          <w:p w14:paraId="5CFEAF7B" w14:textId="2741180D" w:rsidR="00FF5260" w:rsidRPr="00727C10" w:rsidRDefault="00FF5260" w:rsidP="00FF5260">
            <w:pPr>
              <w:rPr>
                <w:rFonts w:ascii="Arial Narrow" w:hAnsi="Arial Narrow" w:cs="Arial"/>
                <w:sz w:val="22"/>
                <w:szCs w:val="22"/>
              </w:rPr>
            </w:pPr>
            <w:r w:rsidRPr="00727C10">
              <w:rPr>
                <w:rFonts w:ascii="Arial Narrow" w:hAnsi="Arial Narrow" w:cs="Arial"/>
                <w:b/>
                <w:bCs/>
                <w:sz w:val="22"/>
                <w:szCs w:val="22"/>
              </w:rPr>
              <w:t>Demographic</w:t>
            </w:r>
          </w:p>
        </w:tc>
        <w:tc>
          <w:tcPr>
            <w:tcW w:w="1668" w:type="dxa"/>
            <w:gridSpan w:val="3"/>
            <w:shd w:val="clear" w:color="auto" w:fill="8DA9DB"/>
            <w:vAlign w:val="center"/>
          </w:tcPr>
          <w:p w14:paraId="3AD9217E" w14:textId="2FD2BDC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FY19</w:t>
            </w:r>
          </w:p>
        </w:tc>
        <w:tc>
          <w:tcPr>
            <w:tcW w:w="1615" w:type="dxa"/>
            <w:gridSpan w:val="5"/>
            <w:shd w:val="clear" w:color="auto" w:fill="8DA9DB"/>
            <w:vAlign w:val="center"/>
          </w:tcPr>
          <w:p w14:paraId="4BC3D687" w14:textId="62817F6F"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FY20</w:t>
            </w:r>
          </w:p>
        </w:tc>
        <w:tc>
          <w:tcPr>
            <w:tcW w:w="1683" w:type="dxa"/>
            <w:gridSpan w:val="4"/>
            <w:shd w:val="clear" w:color="auto" w:fill="8DA9DB"/>
            <w:vAlign w:val="center"/>
          </w:tcPr>
          <w:p w14:paraId="19E6658B" w14:textId="4BE78571"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FY21</w:t>
            </w:r>
          </w:p>
        </w:tc>
        <w:tc>
          <w:tcPr>
            <w:tcW w:w="1608" w:type="dxa"/>
            <w:gridSpan w:val="2"/>
            <w:tcBorders>
              <w:right w:val="single" w:sz="12" w:space="0" w:color="auto"/>
            </w:tcBorders>
            <w:shd w:val="clear" w:color="auto" w:fill="8DA9DB"/>
            <w:vAlign w:val="center"/>
          </w:tcPr>
          <w:p w14:paraId="3E446790" w14:textId="3ED5046A" w:rsidR="00FF5260" w:rsidRPr="00727C10" w:rsidRDefault="00FF5260" w:rsidP="00963E14">
            <w:pPr>
              <w:jc w:val="center"/>
              <w:rPr>
                <w:rFonts w:ascii="Arial Narrow" w:hAnsi="Arial Narrow" w:cs="Arial"/>
                <w:b/>
                <w:bCs/>
                <w:sz w:val="22"/>
                <w:szCs w:val="22"/>
              </w:rPr>
            </w:pPr>
            <w:r>
              <w:rPr>
                <w:rFonts w:ascii="Arial Narrow" w:hAnsi="Arial Narrow" w:cs="Arial"/>
                <w:b/>
                <w:bCs/>
                <w:sz w:val="22"/>
                <w:szCs w:val="22"/>
              </w:rPr>
              <w:t xml:space="preserve">FY22 </w:t>
            </w:r>
            <w:r w:rsidRPr="00727C10">
              <w:rPr>
                <w:rFonts w:ascii="Arial Narrow" w:hAnsi="Arial Narrow" w:cs="Arial"/>
                <w:b/>
                <w:bCs/>
                <w:sz w:val="22"/>
                <w:szCs w:val="22"/>
              </w:rPr>
              <w:t>YTD</w:t>
            </w:r>
            <w:r w:rsidR="00FB167B">
              <w:rPr>
                <w:rFonts w:ascii="ZWAdobeF" w:hAnsi="ZWAdobeF" w:cs="ZWAdobeF"/>
                <w:bCs/>
                <w:sz w:val="2"/>
                <w:szCs w:val="2"/>
              </w:rPr>
              <w:t>24F</w:t>
            </w:r>
            <w:r w:rsidRPr="00727C10">
              <w:rPr>
                <w:rStyle w:val="FootnoteReference"/>
                <w:rFonts w:ascii="Arial Narrow" w:hAnsi="Arial Narrow" w:cs="Arial"/>
                <w:b/>
                <w:bCs/>
                <w:sz w:val="22"/>
                <w:szCs w:val="22"/>
              </w:rPr>
              <w:footnoteReference w:id="25"/>
            </w:r>
          </w:p>
        </w:tc>
      </w:tr>
      <w:tr w:rsidR="00FF5260" w:rsidRPr="00727C10" w14:paraId="6AB47608" w14:textId="77777777" w:rsidTr="002D3000">
        <w:trPr>
          <w:trHeight w:val="20"/>
          <w:jc w:val="center"/>
        </w:trPr>
        <w:tc>
          <w:tcPr>
            <w:tcW w:w="2781" w:type="dxa"/>
            <w:gridSpan w:val="2"/>
            <w:vMerge/>
            <w:tcBorders>
              <w:left w:val="single" w:sz="12" w:space="0" w:color="auto"/>
            </w:tcBorders>
            <w:shd w:val="clear" w:color="auto" w:fill="8DA9DB"/>
          </w:tcPr>
          <w:p w14:paraId="172DBA95" w14:textId="77777777" w:rsidR="00FF5260" w:rsidRPr="00727C10" w:rsidRDefault="00FF5260" w:rsidP="00963E14">
            <w:pPr>
              <w:rPr>
                <w:rFonts w:ascii="Arial Narrow" w:hAnsi="Arial Narrow" w:cs="Arial"/>
                <w:sz w:val="22"/>
                <w:szCs w:val="22"/>
              </w:rPr>
            </w:pPr>
          </w:p>
        </w:tc>
        <w:tc>
          <w:tcPr>
            <w:tcW w:w="935" w:type="dxa"/>
            <w:gridSpan w:val="2"/>
            <w:shd w:val="clear" w:color="auto" w:fill="8DA9DB"/>
            <w:vAlign w:val="center"/>
          </w:tcPr>
          <w:p w14:paraId="505BAA9D"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Count</w:t>
            </w:r>
          </w:p>
        </w:tc>
        <w:tc>
          <w:tcPr>
            <w:tcW w:w="733" w:type="dxa"/>
            <w:shd w:val="clear" w:color="auto" w:fill="8DA9DB"/>
            <w:vAlign w:val="center"/>
          </w:tcPr>
          <w:p w14:paraId="67AD239F"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w:t>
            </w:r>
          </w:p>
        </w:tc>
        <w:tc>
          <w:tcPr>
            <w:tcW w:w="877" w:type="dxa"/>
            <w:gridSpan w:val="3"/>
            <w:shd w:val="clear" w:color="auto" w:fill="8DA9DB"/>
            <w:vAlign w:val="center"/>
          </w:tcPr>
          <w:p w14:paraId="783C7BC0"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Count</w:t>
            </w:r>
          </w:p>
        </w:tc>
        <w:tc>
          <w:tcPr>
            <w:tcW w:w="738" w:type="dxa"/>
            <w:gridSpan w:val="2"/>
            <w:shd w:val="clear" w:color="auto" w:fill="8DA9DB"/>
            <w:vAlign w:val="center"/>
          </w:tcPr>
          <w:p w14:paraId="436471A8"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w:t>
            </w:r>
          </w:p>
        </w:tc>
        <w:tc>
          <w:tcPr>
            <w:tcW w:w="949" w:type="dxa"/>
            <w:gridSpan w:val="2"/>
            <w:shd w:val="clear" w:color="auto" w:fill="8DA9DB"/>
            <w:vAlign w:val="center"/>
          </w:tcPr>
          <w:p w14:paraId="7F690C13"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Count</w:t>
            </w:r>
          </w:p>
        </w:tc>
        <w:tc>
          <w:tcPr>
            <w:tcW w:w="734" w:type="dxa"/>
            <w:gridSpan w:val="2"/>
            <w:shd w:val="clear" w:color="auto" w:fill="8DA9DB"/>
            <w:vAlign w:val="center"/>
          </w:tcPr>
          <w:p w14:paraId="7C013121"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w:t>
            </w:r>
          </w:p>
        </w:tc>
        <w:tc>
          <w:tcPr>
            <w:tcW w:w="878" w:type="dxa"/>
            <w:shd w:val="clear" w:color="auto" w:fill="8DA9DB"/>
            <w:vAlign w:val="center"/>
          </w:tcPr>
          <w:p w14:paraId="54C6C57C"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Count</w:t>
            </w:r>
          </w:p>
        </w:tc>
        <w:tc>
          <w:tcPr>
            <w:tcW w:w="730" w:type="dxa"/>
            <w:tcBorders>
              <w:right w:val="single" w:sz="12" w:space="0" w:color="auto"/>
            </w:tcBorders>
            <w:shd w:val="clear" w:color="auto" w:fill="8DA9DB"/>
            <w:vAlign w:val="center"/>
          </w:tcPr>
          <w:p w14:paraId="689301AF" w14:textId="77777777" w:rsidR="00FF5260" w:rsidRPr="00727C10" w:rsidRDefault="00FF5260" w:rsidP="00963E14">
            <w:pPr>
              <w:jc w:val="center"/>
              <w:rPr>
                <w:rFonts w:ascii="Arial Narrow" w:hAnsi="Arial Narrow" w:cs="Arial"/>
                <w:b/>
                <w:bCs/>
                <w:sz w:val="22"/>
                <w:szCs w:val="22"/>
              </w:rPr>
            </w:pPr>
            <w:r w:rsidRPr="00727C10">
              <w:rPr>
                <w:rFonts w:ascii="Arial Narrow" w:hAnsi="Arial Narrow" w:cs="Arial"/>
                <w:b/>
                <w:bCs/>
                <w:sz w:val="22"/>
                <w:szCs w:val="22"/>
              </w:rPr>
              <w:t>%</w:t>
            </w:r>
          </w:p>
        </w:tc>
      </w:tr>
      <w:tr w:rsidR="00402008" w:rsidRPr="00727C10" w14:paraId="7FC274F4" w14:textId="77777777" w:rsidTr="002D3000">
        <w:trPr>
          <w:cantSplit/>
          <w:trHeight w:val="20"/>
          <w:jc w:val="center"/>
        </w:trPr>
        <w:tc>
          <w:tcPr>
            <w:tcW w:w="2781" w:type="dxa"/>
            <w:gridSpan w:val="2"/>
            <w:tcBorders>
              <w:left w:val="single" w:sz="12" w:space="0" w:color="auto"/>
            </w:tcBorders>
            <w:shd w:val="clear" w:color="auto" w:fill="BFBFBF"/>
            <w:vAlign w:val="center"/>
          </w:tcPr>
          <w:p w14:paraId="2820FA7B" w14:textId="77777777" w:rsidR="00402008" w:rsidRPr="00727C10" w:rsidRDefault="00402008" w:rsidP="00963E14">
            <w:pPr>
              <w:rPr>
                <w:rFonts w:ascii="Arial Narrow" w:hAnsi="Arial Narrow" w:cs="Arial"/>
                <w:b/>
                <w:bCs/>
                <w:sz w:val="22"/>
                <w:szCs w:val="22"/>
              </w:rPr>
            </w:pPr>
            <w:r w:rsidRPr="00727C10">
              <w:rPr>
                <w:rFonts w:ascii="Arial Narrow" w:hAnsi="Arial Narrow" w:cs="Arial"/>
                <w:b/>
                <w:bCs/>
                <w:sz w:val="22"/>
                <w:szCs w:val="22"/>
              </w:rPr>
              <w:t>BMC Total Unique Patients</w:t>
            </w:r>
          </w:p>
        </w:tc>
        <w:tc>
          <w:tcPr>
            <w:tcW w:w="935" w:type="dxa"/>
            <w:gridSpan w:val="2"/>
            <w:shd w:val="clear" w:color="auto" w:fill="BFBFBF"/>
            <w:vAlign w:val="center"/>
          </w:tcPr>
          <w:p w14:paraId="143617E7" w14:textId="77777777" w:rsidR="00402008" w:rsidRPr="00727C10" w:rsidRDefault="00402008" w:rsidP="00963E14">
            <w:pPr>
              <w:jc w:val="right"/>
              <w:rPr>
                <w:rFonts w:ascii="Arial Narrow" w:hAnsi="Arial Narrow" w:cs="Arial"/>
                <w:b/>
                <w:bCs/>
                <w:sz w:val="22"/>
                <w:szCs w:val="22"/>
              </w:rPr>
            </w:pPr>
            <w:r>
              <w:rPr>
                <w:rFonts w:ascii="Arial Narrow" w:hAnsi="Arial Narrow" w:cs="Arial"/>
                <w:b/>
                <w:bCs/>
                <w:sz w:val="22"/>
                <w:szCs w:val="22"/>
              </w:rPr>
              <w:t>4,741</w:t>
            </w:r>
          </w:p>
        </w:tc>
        <w:tc>
          <w:tcPr>
            <w:tcW w:w="733" w:type="dxa"/>
            <w:shd w:val="clear" w:color="auto" w:fill="BFBFBF"/>
            <w:vAlign w:val="center"/>
          </w:tcPr>
          <w:p w14:paraId="7A3FBCE0" w14:textId="77777777" w:rsidR="00402008" w:rsidRPr="00727C10" w:rsidRDefault="00402008" w:rsidP="00963E14">
            <w:pPr>
              <w:jc w:val="right"/>
              <w:rPr>
                <w:rFonts w:ascii="Arial Narrow" w:hAnsi="Arial Narrow" w:cs="Arial"/>
                <w:b/>
                <w:bCs/>
                <w:sz w:val="22"/>
                <w:szCs w:val="22"/>
              </w:rPr>
            </w:pPr>
          </w:p>
        </w:tc>
        <w:tc>
          <w:tcPr>
            <w:tcW w:w="877" w:type="dxa"/>
            <w:gridSpan w:val="3"/>
            <w:shd w:val="clear" w:color="auto" w:fill="BFBFBF"/>
            <w:vAlign w:val="center"/>
          </w:tcPr>
          <w:p w14:paraId="7A3DD3E9" w14:textId="77777777" w:rsidR="00402008" w:rsidRPr="00727C10" w:rsidRDefault="00402008" w:rsidP="00963E14">
            <w:pPr>
              <w:ind w:left="-180"/>
              <w:jc w:val="right"/>
              <w:rPr>
                <w:rFonts w:ascii="Arial Narrow" w:hAnsi="Arial Narrow" w:cs="Arial"/>
                <w:b/>
                <w:bCs/>
                <w:sz w:val="22"/>
                <w:szCs w:val="22"/>
              </w:rPr>
            </w:pPr>
            <w:r>
              <w:rPr>
                <w:rFonts w:ascii="Arial Narrow" w:hAnsi="Arial Narrow" w:cs="Arial"/>
                <w:b/>
                <w:bCs/>
                <w:sz w:val="22"/>
                <w:szCs w:val="22"/>
              </w:rPr>
              <w:t>4,114</w:t>
            </w:r>
          </w:p>
        </w:tc>
        <w:tc>
          <w:tcPr>
            <w:tcW w:w="738" w:type="dxa"/>
            <w:gridSpan w:val="2"/>
            <w:shd w:val="clear" w:color="auto" w:fill="BFBFBF"/>
            <w:vAlign w:val="center"/>
          </w:tcPr>
          <w:p w14:paraId="30F77946" w14:textId="77777777" w:rsidR="00402008" w:rsidRPr="00727C10" w:rsidRDefault="00402008" w:rsidP="00963E14">
            <w:pPr>
              <w:jc w:val="right"/>
              <w:rPr>
                <w:rFonts w:ascii="Arial Narrow" w:hAnsi="Arial Narrow" w:cs="Arial"/>
                <w:b/>
                <w:bCs/>
                <w:sz w:val="22"/>
                <w:szCs w:val="22"/>
              </w:rPr>
            </w:pPr>
          </w:p>
        </w:tc>
        <w:tc>
          <w:tcPr>
            <w:tcW w:w="949" w:type="dxa"/>
            <w:gridSpan w:val="2"/>
            <w:shd w:val="clear" w:color="auto" w:fill="BFBFBF"/>
            <w:vAlign w:val="center"/>
          </w:tcPr>
          <w:p w14:paraId="20F42E00" w14:textId="77777777" w:rsidR="00402008" w:rsidRPr="00727C10" w:rsidRDefault="00402008" w:rsidP="00963E14">
            <w:pPr>
              <w:jc w:val="right"/>
              <w:rPr>
                <w:rFonts w:ascii="Arial Narrow" w:hAnsi="Arial Narrow" w:cs="Arial"/>
                <w:b/>
                <w:bCs/>
                <w:sz w:val="22"/>
                <w:szCs w:val="22"/>
              </w:rPr>
            </w:pPr>
            <w:r>
              <w:rPr>
                <w:rFonts w:ascii="Arial Narrow" w:hAnsi="Arial Narrow" w:cs="Arial"/>
                <w:b/>
                <w:bCs/>
                <w:sz w:val="22"/>
                <w:szCs w:val="22"/>
              </w:rPr>
              <w:t>4,703</w:t>
            </w:r>
          </w:p>
        </w:tc>
        <w:tc>
          <w:tcPr>
            <w:tcW w:w="734" w:type="dxa"/>
            <w:gridSpan w:val="2"/>
            <w:shd w:val="clear" w:color="auto" w:fill="BFBFBF"/>
            <w:vAlign w:val="center"/>
          </w:tcPr>
          <w:p w14:paraId="529578FC" w14:textId="77777777" w:rsidR="00402008" w:rsidRPr="00727C10" w:rsidRDefault="00402008" w:rsidP="00963E14">
            <w:pPr>
              <w:jc w:val="right"/>
              <w:rPr>
                <w:rFonts w:ascii="Arial Narrow" w:hAnsi="Arial Narrow" w:cs="Arial"/>
                <w:b/>
                <w:bCs/>
                <w:sz w:val="22"/>
                <w:szCs w:val="22"/>
              </w:rPr>
            </w:pPr>
          </w:p>
        </w:tc>
        <w:tc>
          <w:tcPr>
            <w:tcW w:w="878" w:type="dxa"/>
            <w:shd w:val="clear" w:color="auto" w:fill="BFBFBF"/>
            <w:vAlign w:val="center"/>
          </w:tcPr>
          <w:p w14:paraId="4B4F4439" w14:textId="77777777" w:rsidR="00402008" w:rsidRPr="00727C10" w:rsidRDefault="00402008" w:rsidP="00963E14">
            <w:pPr>
              <w:jc w:val="right"/>
              <w:rPr>
                <w:rFonts w:ascii="Arial Narrow" w:hAnsi="Arial Narrow" w:cs="Arial"/>
                <w:b/>
                <w:bCs/>
                <w:sz w:val="22"/>
                <w:szCs w:val="22"/>
              </w:rPr>
            </w:pPr>
            <w:r>
              <w:rPr>
                <w:rFonts w:ascii="Arial Narrow" w:hAnsi="Arial Narrow" w:cs="Arial"/>
                <w:b/>
                <w:bCs/>
                <w:sz w:val="22"/>
                <w:szCs w:val="22"/>
              </w:rPr>
              <w:t>1,184</w:t>
            </w:r>
          </w:p>
        </w:tc>
        <w:tc>
          <w:tcPr>
            <w:tcW w:w="730" w:type="dxa"/>
            <w:tcBorders>
              <w:right w:val="single" w:sz="12" w:space="0" w:color="auto"/>
            </w:tcBorders>
            <w:shd w:val="clear" w:color="auto" w:fill="BFBFBF"/>
            <w:vAlign w:val="center"/>
          </w:tcPr>
          <w:p w14:paraId="3AF90F08" w14:textId="77777777" w:rsidR="00402008" w:rsidRPr="00727C10" w:rsidRDefault="00402008" w:rsidP="00963E14">
            <w:pPr>
              <w:jc w:val="right"/>
              <w:rPr>
                <w:rFonts w:ascii="Arial Narrow" w:hAnsi="Arial Narrow" w:cs="Arial"/>
                <w:b/>
                <w:bCs/>
                <w:sz w:val="22"/>
                <w:szCs w:val="22"/>
              </w:rPr>
            </w:pPr>
          </w:p>
        </w:tc>
      </w:tr>
      <w:tr w:rsidR="002D3000" w:rsidRPr="00727C10" w14:paraId="40C04CBC" w14:textId="77777777" w:rsidTr="002D3000">
        <w:trPr>
          <w:cantSplit/>
          <w:trHeight w:val="20"/>
          <w:jc w:val="center"/>
        </w:trPr>
        <w:tc>
          <w:tcPr>
            <w:tcW w:w="2775" w:type="dxa"/>
            <w:tcBorders>
              <w:left w:val="single" w:sz="12" w:space="0" w:color="auto"/>
              <w:right w:val="single" w:sz="12" w:space="0" w:color="auto"/>
            </w:tcBorders>
            <w:shd w:val="clear" w:color="auto" w:fill="D9E2F3" w:themeFill="accent1" w:themeFillTint="33"/>
            <w:vAlign w:val="center"/>
          </w:tcPr>
          <w:p w14:paraId="0DEE95B8" w14:textId="77777777" w:rsidR="002D3000" w:rsidRPr="00727C10" w:rsidRDefault="002D3000" w:rsidP="00963E14">
            <w:pPr>
              <w:rPr>
                <w:rFonts w:ascii="Arial Narrow" w:hAnsi="Arial Narrow" w:cs="Arial"/>
                <w:b/>
                <w:bCs/>
                <w:sz w:val="22"/>
                <w:szCs w:val="22"/>
              </w:rPr>
            </w:pPr>
            <w:r w:rsidRPr="00727C10">
              <w:rPr>
                <w:rFonts w:ascii="Arial Narrow" w:hAnsi="Arial Narrow" w:cs="Arial"/>
                <w:b/>
                <w:bCs/>
                <w:sz w:val="22"/>
                <w:szCs w:val="22"/>
              </w:rPr>
              <w:t>Gender</w:t>
            </w:r>
          </w:p>
        </w:tc>
        <w:tc>
          <w:tcPr>
            <w:tcW w:w="900" w:type="dxa"/>
            <w:gridSpan w:val="2"/>
            <w:tcBorders>
              <w:left w:val="single" w:sz="12" w:space="0" w:color="auto"/>
              <w:right w:val="single" w:sz="12" w:space="0" w:color="auto"/>
            </w:tcBorders>
            <w:shd w:val="clear" w:color="auto" w:fill="D9E2F3" w:themeFill="accent1" w:themeFillTint="33"/>
            <w:vAlign w:val="center"/>
          </w:tcPr>
          <w:p w14:paraId="14F25BB5" w14:textId="77777777" w:rsidR="002D3000" w:rsidRPr="00727C10" w:rsidRDefault="002D3000" w:rsidP="00963E14">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vAlign w:val="center"/>
          </w:tcPr>
          <w:p w14:paraId="30B4FA82" w14:textId="77777777" w:rsidR="002D3000" w:rsidRPr="00727C10" w:rsidRDefault="002D3000" w:rsidP="00963E14">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vAlign w:val="center"/>
          </w:tcPr>
          <w:p w14:paraId="29FB1935" w14:textId="77777777" w:rsidR="002D3000" w:rsidRPr="00727C10" w:rsidRDefault="002D3000" w:rsidP="00963E14">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2102C0C6" w14:textId="77777777" w:rsidR="002D3000" w:rsidRPr="00727C10" w:rsidRDefault="002D3000" w:rsidP="00963E14">
            <w:pPr>
              <w:rPr>
                <w:rFonts w:ascii="Arial Narrow" w:hAnsi="Arial Narrow" w:cs="Arial"/>
                <w:b/>
                <w:bCs/>
                <w:sz w:val="22"/>
                <w:szCs w:val="22"/>
              </w:rPr>
            </w:pPr>
          </w:p>
        </w:tc>
        <w:tc>
          <w:tcPr>
            <w:tcW w:w="990" w:type="dxa"/>
            <w:gridSpan w:val="2"/>
            <w:tcBorders>
              <w:left w:val="single" w:sz="12" w:space="0" w:color="auto"/>
              <w:right w:val="single" w:sz="12" w:space="0" w:color="auto"/>
            </w:tcBorders>
            <w:shd w:val="clear" w:color="auto" w:fill="D9E2F3" w:themeFill="accent1" w:themeFillTint="33"/>
            <w:vAlign w:val="center"/>
          </w:tcPr>
          <w:p w14:paraId="01AA4074" w14:textId="77777777" w:rsidR="002D3000" w:rsidRPr="00727C10" w:rsidRDefault="002D3000" w:rsidP="00963E14">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7B77516B" w14:textId="77777777" w:rsidR="002D3000" w:rsidRPr="00727C10" w:rsidRDefault="002D3000" w:rsidP="00963E14">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vAlign w:val="center"/>
          </w:tcPr>
          <w:p w14:paraId="2B7B6751" w14:textId="77777777" w:rsidR="002D3000" w:rsidRPr="00727C10" w:rsidRDefault="002D3000" w:rsidP="00963E14">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vAlign w:val="center"/>
          </w:tcPr>
          <w:p w14:paraId="620DA6AE" w14:textId="3F8FE26F" w:rsidR="002D3000" w:rsidRPr="00727C10" w:rsidRDefault="002D3000" w:rsidP="00963E14">
            <w:pPr>
              <w:rPr>
                <w:rFonts w:ascii="Arial Narrow" w:hAnsi="Arial Narrow" w:cs="Arial"/>
                <w:b/>
                <w:bCs/>
                <w:sz w:val="22"/>
                <w:szCs w:val="22"/>
              </w:rPr>
            </w:pPr>
          </w:p>
        </w:tc>
      </w:tr>
      <w:tr w:rsidR="00402008" w:rsidRPr="00727C10" w14:paraId="6196E79E" w14:textId="77777777" w:rsidTr="002D3000">
        <w:trPr>
          <w:cantSplit/>
          <w:trHeight w:val="20"/>
          <w:jc w:val="center"/>
        </w:trPr>
        <w:tc>
          <w:tcPr>
            <w:tcW w:w="2781" w:type="dxa"/>
            <w:gridSpan w:val="2"/>
            <w:tcBorders>
              <w:left w:val="single" w:sz="12" w:space="0" w:color="auto"/>
            </w:tcBorders>
            <w:vAlign w:val="center"/>
          </w:tcPr>
          <w:p w14:paraId="2C4C94E0" w14:textId="77777777" w:rsidR="00402008" w:rsidRPr="00727C10" w:rsidRDefault="00402008" w:rsidP="00963E14">
            <w:pPr>
              <w:rPr>
                <w:rFonts w:ascii="Arial Narrow" w:hAnsi="Arial Narrow" w:cs="Arial"/>
                <w:sz w:val="22"/>
                <w:szCs w:val="22"/>
              </w:rPr>
            </w:pPr>
            <w:r w:rsidRPr="00727C10">
              <w:rPr>
                <w:rFonts w:ascii="Arial Narrow" w:hAnsi="Arial Narrow" w:cs="Arial"/>
                <w:sz w:val="22"/>
                <w:szCs w:val="22"/>
              </w:rPr>
              <w:t>Female</w:t>
            </w:r>
          </w:p>
        </w:tc>
        <w:tc>
          <w:tcPr>
            <w:tcW w:w="935" w:type="dxa"/>
            <w:gridSpan w:val="2"/>
            <w:vAlign w:val="center"/>
          </w:tcPr>
          <w:p w14:paraId="10F82148" w14:textId="77777777" w:rsidR="00402008" w:rsidRPr="00727C10" w:rsidRDefault="00402008" w:rsidP="00963E14">
            <w:pPr>
              <w:jc w:val="right"/>
              <w:rPr>
                <w:rFonts w:ascii="Arial Narrow" w:hAnsi="Arial Narrow" w:cs="Arial"/>
                <w:sz w:val="22"/>
                <w:szCs w:val="22"/>
              </w:rPr>
            </w:pPr>
            <w:r>
              <w:rPr>
                <w:rFonts w:ascii="Arial Narrow" w:hAnsi="Arial Narrow" w:cs="Arial"/>
                <w:sz w:val="22"/>
                <w:szCs w:val="22"/>
              </w:rPr>
              <w:t>2,487</w:t>
            </w:r>
            <w:r w:rsidRPr="00727C10">
              <w:rPr>
                <w:rFonts w:ascii="Arial Narrow" w:hAnsi="Arial Narrow" w:cs="Arial"/>
                <w:sz w:val="22"/>
                <w:szCs w:val="22"/>
              </w:rPr>
              <w:t xml:space="preserve"> </w:t>
            </w:r>
          </w:p>
        </w:tc>
        <w:tc>
          <w:tcPr>
            <w:tcW w:w="733" w:type="dxa"/>
            <w:vAlign w:val="center"/>
          </w:tcPr>
          <w:p w14:paraId="1A217AB6"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52.5%</w:t>
            </w:r>
          </w:p>
        </w:tc>
        <w:tc>
          <w:tcPr>
            <w:tcW w:w="877" w:type="dxa"/>
            <w:gridSpan w:val="3"/>
            <w:vAlign w:val="center"/>
          </w:tcPr>
          <w:p w14:paraId="116D4A66"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 xml:space="preserve">2,061 </w:t>
            </w:r>
          </w:p>
        </w:tc>
        <w:tc>
          <w:tcPr>
            <w:tcW w:w="738" w:type="dxa"/>
            <w:gridSpan w:val="2"/>
            <w:vAlign w:val="center"/>
          </w:tcPr>
          <w:p w14:paraId="28CBD9F6"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50.1%</w:t>
            </w:r>
          </w:p>
        </w:tc>
        <w:tc>
          <w:tcPr>
            <w:tcW w:w="949" w:type="dxa"/>
            <w:gridSpan w:val="2"/>
            <w:vAlign w:val="center"/>
          </w:tcPr>
          <w:p w14:paraId="2F7580F8"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 xml:space="preserve">2,405 </w:t>
            </w:r>
          </w:p>
        </w:tc>
        <w:tc>
          <w:tcPr>
            <w:tcW w:w="734" w:type="dxa"/>
            <w:gridSpan w:val="2"/>
            <w:vAlign w:val="center"/>
          </w:tcPr>
          <w:p w14:paraId="49E17253"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51.1%</w:t>
            </w:r>
          </w:p>
        </w:tc>
        <w:tc>
          <w:tcPr>
            <w:tcW w:w="878" w:type="dxa"/>
            <w:vAlign w:val="center"/>
          </w:tcPr>
          <w:p w14:paraId="68EBB7E3" w14:textId="77777777" w:rsidR="00402008" w:rsidRPr="00547C3B" w:rsidRDefault="00402008" w:rsidP="00963E14">
            <w:pPr>
              <w:jc w:val="right"/>
              <w:rPr>
                <w:rFonts w:ascii="Arial Narrow" w:hAnsi="Arial Narrow" w:cs="Arial"/>
                <w:color w:val="000000" w:themeColor="text1"/>
                <w:sz w:val="22"/>
                <w:szCs w:val="22"/>
              </w:rPr>
            </w:pPr>
            <w:r w:rsidRPr="00547C3B">
              <w:rPr>
                <w:rFonts w:ascii="Arial Narrow" w:hAnsi="Arial Narrow" w:cs="Arial"/>
                <w:color w:val="000000" w:themeColor="text1"/>
                <w:sz w:val="22"/>
                <w:szCs w:val="22"/>
              </w:rPr>
              <w:t xml:space="preserve">647 </w:t>
            </w:r>
          </w:p>
        </w:tc>
        <w:tc>
          <w:tcPr>
            <w:tcW w:w="730" w:type="dxa"/>
            <w:tcBorders>
              <w:right w:val="single" w:sz="12" w:space="0" w:color="auto"/>
            </w:tcBorders>
            <w:vAlign w:val="center"/>
          </w:tcPr>
          <w:p w14:paraId="35FA6239" w14:textId="77777777" w:rsidR="00402008" w:rsidRPr="00547C3B" w:rsidRDefault="00402008" w:rsidP="00963E14">
            <w:pPr>
              <w:jc w:val="right"/>
              <w:rPr>
                <w:rFonts w:ascii="Arial Narrow" w:hAnsi="Arial Narrow" w:cs="Arial"/>
                <w:color w:val="000000" w:themeColor="text1"/>
                <w:sz w:val="22"/>
                <w:szCs w:val="22"/>
              </w:rPr>
            </w:pPr>
            <w:r w:rsidRPr="00547C3B">
              <w:rPr>
                <w:rFonts w:ascii="Arial Narrow" w:hAnsi="Arial Narrow" w:cs="Arial"/>
                <w:color w:val="000000" w:themeColor="text1"/>
                <w:sz w:val="22"/>
                <w:szCs w:val="22"/>
              </w:rPr>
              <w:t>54.6%</w:t>
            </w:r>
          </w:p>
        </w:tc>
      </w:tr>
      <w:tr w:rsidR="00402008" w:rsidRPr="00727C10" w14:paraId="5E059F0B" w14:textId="77777777" w:rsidTr="002D3000">
        <w:trPr>
          <w:cantSplit/>
          <w:trHeight w:val="20"/>
          <w:jc w:val="center"/>
        </w:trPr>
        <w:tc>
          <w:tcPr>
            <w:tcW w:w="2781" w:type="dxa"/>
            <w:gridSpan w:val="2"/>
            <w:tcBorders>
              <w:left w:val="single" w:sz="12" w:space="0" w:color="auto"/>
            </w:tcBorders>
            <w:vAlign w:val="center"/>
          </w:tcPr>
          <w:p w14:paraId="75407A1A" w14:textId="77777777" w:rsidR="00402008" w:rsidRPr="00727C10" w:rsidRDefault="00402008" w:rsidP="00963E14">
            <w:pPr>
              <w:rPr>
                <w:rFonts w:ascii="Arial Narrow" w:hAnsi="Arial Narrow" w:cs="Arial"/>
                <w:sz w:val="22"/>
                <w:szCs w:val="22"/>
              </w:rPr>
            </w:pPr>
            <w:r w:rsidRPr="00727C10">
              <w:rPr>
                <w:rFonts w:ascii="Arial Narrow" w:hAnsi="Arial Narrow" w:cs="Arial"/>
                <w:sz w:val="22"/>
                <w:szCs w:val="22"/>
              </w:rPr>
              <w:t>Male</w:t>
            </w:r>
          </w:p>
        </w:tc>
        <w:tc>
          <w:tcPr>
            <w:tcW w:w="935" w:type="dxa"/>
            <w:gridSpan w:val="2"/>
            <w:vAlign w:val="center"/>
          </w:tcPr>
          <w:p w14:paraId="45993241" w14:textId="77777777" w:rsidR="00402008" w:rsidRPr="00727C10" w:rsidRDefault="00402008" w:rsidP="00963E14">
            <w:pPr>
              <w:jc w:val="right"/>
              <w:rPr>
                <w:rFonts w:ascii="Arial Narrow" w:hAnsi="Arial Narrow" w:cs="Arial"/>
                <w:sz w:val="22"/>
                <w:szCs w:val="22"/>
              </w:rPr>
            </w:pPr>
            <w:r>
              <w:rPr>
                <w:rFonts w:ascii="Arial Narrow" w:hAnsi="Arial Narrow" w:cs="Arial"/>
                <w:sz w:val="22"/>
                <w:szCs w:val="22"/>
              </w:rPr>
              <w:t>2,254</w:t>
            </w:r>
            <w:r w:rsidRPr="00727C10">
              <w:rPr>
                <w:rFonts w:ascii="Arial Narrow" w:hAnsi="Arial Narrow" w:cs="Arial"/>
                <w:sz w:val="22"/>
                <w:szCs w:val="22"/>
              </w:rPr>
              <w:t xml:space="preserve"> </w:t>
            </w:r>
          </w:p>
        </w:tc>
        <w:tc>
          <w:tcPr>
            <w:tcW w:w="733" w:type="dxa"/>
            <w:vAlign w:val="center"/>
          </w:tcPr>
          <w:p w14:paraId="2129B65D"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47.5%</w:t>
            </w:r>
          </w:p>
        </w:tc>
        <w:tc>
          <w:tcPr>
            <w:tcW w:w="877" w:type="dxa"/>
            <w:gridSpan w:val="3"/>
            <w:vAlign w:val="center"/>
          </w:tcPr>
          <w:p w14:paraId="5845E3F4"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2,053</w:t>
            </w:r>
          </w:p>
        </w:tc>
        <w:tc>
          <w:tcPr>
            <w:tcW w:w="738" w:type="dxa"/>
            <w:gridSpan w:val="2"/>
            <w:vAlign w:val="center"/>
          </w:tcPr>
          <w:p w14:paraId="0C46DD23"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49.9%</w:t>
            </w:r>
          </w:p>
        </w:tc>
        <w:tc>
          <w:tcPr>
            <w:tcW w:w="949" w:type="dxa"/>
            <w:gridSpan w:val="2"/>
            <w:vAlign w:val="center"/>
          </w:tcPr>
          <w:p w14:paraId="159E44DC"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 xml:space="preserve">2,298 </w:t>
            </w:r>
          </w:p>
        </w:tc>
        <w:tc>
          <w:tcPr>
            <w:tcW w:w="734" w:type="dxa"/>
            <w:gridSpan w:val="2"/>
            <w:vAlign w:val="center"/>
          </w:tcPr>
          <w:p w14:paraId="73C467C9" w14:textId="77777777" w:rsidR="00402008" w:rsidRPr="006F4955" w:rsidRDefault="00402008" w:rsidP="00963E14">
            <w:pPr>
              <w:jc w:val="right"/>
              <w:rPr>
                <w:rFonts w:ascii="Arial Narrow" w:hAnsi="Arial Narrow" w:cs="Arial"/>
                <w:color w:val="000000" w:themeColor="text1"/>
                <w:sz w:val="22"/>
                <w:szCs w:val="22"/>
              </w:rPr>
            </w:pPr>
            <w:r w:rsidRPr="006F4955">
              <w:rPr>
                <w:rFonts w:ascii="Arial Narrow" w:hAnsi="Arial Narrow" w:cs="Arial"/>
                <w:color w:val="000000" w:themeColor="text1"/>
                <w:sz w:val="22"/>
                <w:szCs w:val="22"/>
              </w:rPr>
              <w:t>48.9%</w:t>
            </w:r>
          </w:p>
        </w:tc>
        <w:tc>
          <w:tcPr>
            <w:tcW w:w="878" w:type="dxa"/>
            <w:vAlign w:val="center"/>
          </w:tcPr>
          <w:p w14:paraId="50CE8F3E" w14:textId="77777777" w:rsidR="00402008" w:rsidRPr="00547C3B" w:rsidRDefault="00402008" w:rsidP="00963E14">
            <w:pPr>
              <w:jc w:val="right"/>
              <w:rPr>
                <w:rFonts w:ascii="Arial Narrow" w:hAnsi="Arial Narrow" w:cs="Arial"/>
                <w:color w:val="000000" w:themeColor="text1"/>
                <w:sz w:val="22"/>
                <w:szCs w:val="22"/>
              </w:rPr>
            </w:pPr>
            <w:r w:rsidRPr="00547C3B">
              <w:rPr>
                <w:rFonts w:ascii="Arial Narrow" w:hAnsi="Arial Narrow" w:cs="Arial"/>
                <w:color w:val="000000" w:themeColor="text1"/>
                <w:sz w:val="22"/>
                <w:szCs w:val="22"/>
              </w:rPr>
              <w:t xml:space="preserve">537 </w:t>
            </w:r>
          </w:p>
        </w:tc>
        <w:tc>
          <w:tcPr>
            <w:tcW w:w="730" w:type="dxa"/>
            <w:tcBorders>
              <w:right w:val="single" w:sz="12" w:space="0" w:color="auto"/>
            </w:tcBorders>
            <w:vAlign w:val="center"/>
          </w:tcPr>
          <w:p w14:paraId="1F5A15DE" w14:textId="77777777" w:rsidR="00402008" w:rsidRPr="00547C3B" w:rsidRDefault="00402008" w:rsidP="00963E14">
            <w:pPr>
              <w:jc w:val="right"/>
              <w:rPr>
                <w:rFonts w:ascii="Arial Narrow" w:hAnsi="Arial Narrow" w:cs="Arial"/>
                <w:color w:val="000000" w:themeColor="text1"/>
                <w:sz w:val="22"/>
                <w:szCs w:val="22"/>
              </w:rPr>
            </w:pPr>
            <w:r w:rsidRPr="00547C3B">
              <w:rPr>
                <w:rFonts w:ascii="Arial Narrow" w:hAnsi="Arial Narrow" w:cs="Arial"/>
                <w:color w:val="000000" w:themeColor="text1"/>
                <w:sz w:val="22"/>
                <w:szCs w:val="22"/>
              </w:rPr>
              <w:t>45.4%</w:t>
            </w:r>
          </w:p>
        </w:tc>
      </w:tr>
      <w:tr w:rsidR="002D3000" w:rsidRPr="00727C10" w14:paraId="03F61667" w14:textId="77777777" w:rsidTr="002D3000">
        <w:trPr>
          <w:cantSplit/>
          <w:trHeight w:val="20"/>
          <w:jc w:val="center"/>
        </w:trPr>
        <w:tc>
          <w:tcPr>
            <w:tcW w:w="2775" w:type="dxa"/>
            <w:tcBorders>
              <w:left w:val="single" w:sz="12" w:space="0" w:color="auto"/>
              <w:right w:val="single" w:sz="12" w:space="0" w:color="auto"/>
            </w:tcBorders>
            <w:shd w:val="clear" w:color="auto" w:fill="D9E2F3" w:themeFill="accent1" w:themeFillTint="33"/>
            <w:vAlign w:val="center"/>
          </w:tcPr>
          <w:p w14:paraId="33DC3E5C" w14:textId="77777777" w:rsidR="002D3000" w:rsidRPr="00547C3B" w:rsidRDefault="002D3000" w:rsidP="00963E14">
            <w:pPr>
              <w:rPr>
                <w:rFonts w:ascii="Arial Narrow" w:hAnsi="Arial Narrow" w:cs="Arial"/>
                <w:b/>
                <w:bCs/>
                <w:color w:val="000000" w:themeColor="text1"/>
                <w:sz w:val="22"/>
                <w:szCs w:val="22"/>
              </w:rPr>
            </w:pPr>
            <w:r w:rsidRPr="00547C3B">
              <w:rPr>
                <w:rFonts w:ascii="Arial Narrow" w:hAnsi="Arial Narrow" w:cs="Arial"/>
                <w:b/>
                <w:bCs/>
                <w:color w:val="000000" w:themeColor="text1"/>
                <w:sz w:val="22"/>
                <w:szCs w:val="22"/>
              </w:rPr>
              <w:t>Age</w:t>
            </w:r>
          </w:p>
        </w:tc>
        <w:tc>
          <w:tcPr>
            <w:tcW w:w="900" w:type="dxa"/>
            <w:gridSpan w:val="2"/>
            <w:tcBorders>
              <w:left w:val="single" w:sz="12" w:space="0" w:color="auto"/>
              <w:right w:val="single" w:sz="12" w:space="0" w:color="auto"/>
            </w:tcBorders>
            <w:shd w:val="clear" w:color="auto" w:fill="D9E2F3" w:themeFill="accent1" w:themeFillTint="33"/>
            <w:vAlign w:val="center"/>
          </w:tcPr>
          <w:p w14:paraId="2351272A" w14:textId="77777777" w:rsidR="002D3000" w:rsidRPr="00547C3B" w:rsidRDefault="002D3000" w:rsidP="00963E14">
            <w:pPr>
              <w:rPr>
                <w:rFonts w:ascii="Arial Narrow" w:hAnsi="Arial Narrow" w:cs="Arial"/>
                <w:b/>
                <w:bCs/>
                <w:color w:val="000000" w:themeColor="text1"/>
                <w:sz w:val="22"/>
                <w:szCs w:val="22"/>
              </w:rPr>
            </w:pPr>
          </w:p>
        </w:tc>
        <w:tc>
          <w:tcPr>
            <w:tcW w:w="810" w:type="dxa"/>
            <w:gridSpan w:val="3"/>
            <w:tcBorders>
              <w:left w:val="single" w:sz="12" w:space="0" w:color="auto"/>
              <w:right w:val="single" w:sz="12" w:space="0" w:color="auto"/>
            </w:tcBorders>
            <w:shd w:val="clear" w:color="auto" w:fill="D9E2F3" w:themeFill="accent1" w:themeFillTint="33"/>
            <w:vAlign w:val="center"/>
          </w:tcPr>
          <w:p w14:paraId="7B5844A1" w14:textId="77777777" w:rsidR="002D3000" w:rsidRPr="00547C3B" w:rsidRDefault="002D3000" w:rsidP="00963E14">
            <w:pPr>
              <w:rPr>
                <w:rFonts w:ascii="Arial Narrow" w:hAnsi="Arial Narrow" w:cs="Arial"/>
                <w:b/>
                <w:bCs/>
                <w:color w:val="000000" w:themeColor="text1"/>
                <w:sz w:val="22"/>
                <w:szCs w:val="22"/>
              </w:rPr>
            </w:pPr>
          </w:p>
        </w:tc>
        <w:tc>
          <w:tcPr>
            <w:tcW w:w="810" w:type="dxa"/>
            <w:tcBorders>
              <w:left w:val="single" w:sz="12" w:space="0" w:color="auto"/>
              <w:right w:val="single" w:sz="12" w:space="0" w:color="auto"/>
            </w:tcBorders>
            <w:shd w:val="clear" w:color="auto" w:fill="D9E2F3" w:themeFill="accent1" w:themeFillTint="33"/>
            <w:vAlign w:val="center"/>
          </w:tcPr>
          <w:p w14:paraId="044DD48B" w14:textId="77777777" w:rsidR="002D3000" w:rsidRPr="00547C3B" w:rsidRDefault="002D3000" w:rsidP="00963E14">
            <w:pPr>
              <w:rPr>
                <w:rFonts w:ascii="Arial Narrow" w:hAnsi="Arial Narrow" w:cs="Arial"/>
                <w:b/>
                <w:bCs/>
                <w:color w:val="000000" w:themeColor="text1"/>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38DF9C4F" w14:textId="77777777" w:rsidR="002D3000" w:rsidRPr="00547C3B" w:rsidRDefault="002D3000" w:rsidP="00963E14">
            <w:pPr>
              <w:rPr>
                <w:rFonts w:ascii="Arial Narrow" w:hAnsi="Arial Narrow" w:cs="Arial"/>
                <w:b/>
                <w:bCs/>
                <w:color w:val="000000" w:themeColor="text1"/>
                <w:sz w:val="22"/>
                <w:szCs w:val="22"/>
              </w:rPr>
            </w:pPr>
          </w:p>
        </w:tc>
        <w:tc>
          <w:tcPr>
            <w:tcW w:w="990" w:type="dxa"/>
            <w:gridSpan w:val="2"/>
            <w:tcBorders>
              <w:left w:val="single" w:sz="12" w:space="0" w:color="auto"/>
              <w:right w:val="single" w:sz="12" w:space="0" w:color="auto"/>
            </w:tcBorders>
            <w:shd w:val="clear" w:color="auto" w:fill="D9E2F3" w:themeFill="accent1" w:themeFillTint="33"/>
            <w:vAlign w:val="center"/>
          </w:tcPr>
          <w:p w14:paraId="757C44EF" w14:textId="77777777" w:rsidR="002D3000" w:rsidRPr="00547C3B" w:rsidRDefault="002D3000" w:rsidP="00963E14">
            <w:pPr>
              <w:rPr>
                <w:rFonts w:ascii="Arial Narrow" w:hAnsi="Arial Narrow" w:cs="Arial"/>
                <w:b/>
                <w:bCs/>
                <w:color w:val="000000" w:themeColor="text1"/>
                <w:sz w:val="22"/>
                <w:szCs w:val="22"/>
              </w:rPr>
            </w:pPr>
          </w:p>
        </w:tc>
        <w:tc>
          <w:tcPr>
            <w:tcW w:w="720" w:type="dxa"/>
            <w:gridSpan w:val="2"/>
            <w:tcBorders>
              <w:left w:val="single" w:sz="12" w:space="0" w:color="auto"/>
              <w:right w:val="single" w:sz="12" w:space="0" w:color="auto"/>
            </w:tcBorders>
            <w:shd w:val="clear" w:color="auto" w:fill="D9E2F3" w:themeFill="accent1" w:themeFillTint="33"/>
            <w:vAlign w:val="center"/>
          </w:tcPr>
          <w:p w14:paraId="3B6D748B" w14:textId="77777777" w:rsidR="002D3000" w:rsidRPr="00547C3B" w:rsidRDefault="002D3000" w:rsidP="00963E14">
            <w:pPr>
              <w:rPr>
                <w:rFonts w:ascii="Arial Narrow" w:hAnsi="Arial Narrow" w:cs="Arial"/>
                <w:b/>
                <w:bCs/>
                <w:color w:val="000000" w:themeColor="text1"/>
                <w:sz w:val="22"/>
                <w:szCs w:val="22"/>
              </w:rPr>
            </w:pPr>
          </w:p>
        </w:tc>
        <w:tc>
          <w:tcPr>
            <w:tcW w:w="900" w:type="dxa"/>
            <w:gridSpan w:val="2"/>
            <w:tcBorders>
              <w:left w:val="single" w:sz="12" w:space="0" w:color="auto"/>
              <w:right w:val="single" w:sz="12" w:space="0" w:color="auto"/>
            </w:tcBorders>
            <w:shd w:val="clear" w:color="auto" w:fill="D9E2F3" w:themeFill="accent1" w:themeFillTint="33"/>
            <w:vAlign w:val="center"/>
          </w:tcPr>
          <w:p w14:paraId="711CCBBD" w14:textId="77777777" w:rsidR="002D3000" w:rsidRPr="00547C3B" w:rsidRDefault="002D3000" w:rsidP="00963E14">
            <w:pPr>
              <w:rPr>
                <w:rFonts w:ascii="Arial Narrow" w:hAnsi="Arial Narrow" w:cs="Arial"/>
                <w:b/>
                <w:bCs/>
                <w:color w:val="000000" w:themeColor="text1"/>
                <w:sz w:val="22"/>
                <w:szCs w:val="22"/>
              </w:rPr>
            </w:pPr>
          </w:p>
        </w:tc>
        <w:tc>
          <w:tcPr>
            <w:tcW w:w="730" w:type="dxa"/>
            <w:tcBorders>
              <w:left w:val="single" w:sz="12" w:space="0" w:color="auto"/>
              <w:right w:val="single" w:sz="12" w:space="0" w:color="auto"/>
            </w:tcBorders>
            <w:shd w:val="clear" w:color="auto" w:fill="D9E2F3" w:themeFill="accent1" w:themeFillTint="33"/>
            <w:vAlign w:val="center"/>
          </w:tcPr>
          <w:p w14:paraId="25A34761" w14:textId="606C3FE6" w:rsidR="002D3000" w:rsidRPr="00547C3B" w:rsidRDefault="002D3000" w:rsidP="00963E14">
            <w:pPr>
              <w:rPr>
                <w:rFonts w:ascii="Arial Narrow" w:hAnsi="Arial Narrow" w:cs="Arial"/>
                <w:b/>
                <w:bCs/>
                <w:color w:val="000000" w:themeColor="text1"/>
                <w:sz w:val="22"/>
                <w:szCs w:val="22"/>
              </w:rPr>
            </w:pPr>
          </w:p>
        </w:tc>
      </w:tr>
      <w:tr w:rsidR="00DB7E66" w:rsidRPr="00727C10" w14:paraId="6ED74F19" w14:textId="77777777" w:rsidTr="002D3000">
        <w:trPr>
          <w:cantSplit/>
          <w:trHeight w:val="20"/>
          <w:jc w:val="center"/>
        </w:trPr>
        <w:tc>
          <w:tcPr>
            <w:tcW w:w="2781" w:type="dxa"/>
            <w:gridSpan w:val="2"/>
            <w:tcBorders>
              <w:left w:val="single" w:sz="12" w:space="0" w:color="auto"/>
            </w:tcBorders>
            <w:vAlign w:val="center"/>
          </w:tcPr>
          <w:p w14:paraId="12C62FCF" w14:textId="77777777" w:rsidR="00DB7E66" w:rsidRPr="00727C10" w:rsidRDefault="00DB7E66" w:rsidP="00963E14">
            <w:pPr>
              <w:rPr>
                <w:rFonts w:ascii="Arial Narrow" w:hAnsi="Arial Narrow" w:cs="Arial"/>
                <w:sz w:val="22"/>
                <w:szCs w:val="22"/>
              </w:rPr>
            </w:pPr>
            <w:r w:rsidRPr="00727C10">
              <w:rPr>
                <w:rFonts w:ascii="Arial Narrow" w:hAnsi="Arial Narrow" w:cs="Arial"/>
                <w:sz w:val="22"/>
                <w:szCs w:val="22"/>
              </w:rPr>
              <w:t>0-17</w:t>
            </w:r>
          </w:p>
        </w:tc>
        <w:tc>
          <w:tcPr>
            <w:tcW w:w="935" w:type="dxa"/>
            <w:gridSpan w:val="2"/>
            <w:vAlign w:val="center"/>
          </w:tcPr>
          <w:p w14:paraId="5824C920" w14:textId="52B4B71B" w:rsidR="00DB7E66" w:rsidRPr="00727C10" w:rsidRDefault="00DB7E66" w:rsidP="00963E14">
            <w:pPr>
              <w:jc w:val="right"/>
              <w:rPr>
                <w:rFonts w:ascii="Arial Narrow" w:hAnsi="Arial Narrow" w:cs="Arial"/>
                <w:sz w:val="22"/>
                <w:szCs w:val="22"/>
              </w:rPr>
            </w:pPr>
            <w:r>
              <w:rPr>
                <w:rFonts w:ascii="Arial Narrow" w:hAnsi="Arial Narrow" w:cs="Calibri"/>
                <w:sz w:val="22"/>
                <w:szCs w:val="22"/>
              </w:rPr>
              <w:t>171</w:t>
            </w:r>
            <w:r w:rsidRPr="00727C10">
              <w:rPr>
                <w:rFonts w:ascii="Arial Narrow" w:hAnsi="Arial Narrow" w:cs="Calibri"/>
                <w:sz w:val="22"/>
                <w:szCs w:val="22"/>
              </w:rPr>
              <w:t xml:space="preserve"> </w:t>
            </w:r>
          </w:p>
        </w:tc>
        <w:tc>
          <w:tcPr>
            <w:tcW w:w="733" w:type="dxa"/>
            <w:vAlign w:val="center"/>
          </w:tcPr>
          <w:p w14:paraId="1644C1EB" w14:textId="2315B11F"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3.6</w:t>
            </w:r>
            <w:r w:rsidR="00DB7E66" w:rsidRPr="006F4955">
              <w:rPr>
                <w:rFonts w:ascii="Arial Narrow" w:hAnsi="Arial Narrow" w:cs="Calibri"/>
                <w:color w:val="000000" w:themeColor="text1"/>
                <w:sz w:val="22"/>
                <w:szCs w:val="22"/>
              </w:rPr>
              <w:t>%</w:t>
            </w:r>
          </w:p>
        </w:tc>
        <w:tc>
          <w:tcPr>
            <w:tcW w:w="877" w:type="dxa"/>
            <w:gridSpan w:val="3"/>
            <w:vAlign w:val="center"/>
          </w:tcPr>
          <w:p w14:paraId="66D0206C" w14:textId="18E6EDFC"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138</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5978B715" w14:textId="368C5769"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3.4</w:t>
            </w:r>
            <w:r w:rsidR="00DB7E66" w:rsidRPr="006F4955">
              <w:rPr>
                <w:rFonts w:ascii="Arial Narrow" w:hAnsi="Arial Narrow" w:cs="Calibri"/>
                <w:color w:val="000000" w:themeColor="text1"/>
                <w:sz w:val="22"/>
                <w:szCs w:val="22"/>
              </w:rPr>
              <w:t>%</w:t>
            </w:r>
          </w:p>
        </w:tc>
        <w:tc>
          <w:tcPr>
            <w:tcW w:w="949" w:type="dxa"/>
            <w:gridSpan w:val="2"/>
            <w:vAlign w:val="center"/>
          </w:tcPr>
          <w:p w14:paraId="07149765" w14:textId="0D4DC193"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131</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3C00AD59" w14:textId="4E4ADBAD"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2.8</w:t>
            </w:r>
            <w:r w:rsidR="00DB7E66" w:rsidRPr="006F4955">
              <w:rPr>
                <w:rFonts w:ascii="Arial Narrow" w:hAnsi="Arial Narrow" w:cs="Calibri"/>
                <w:color w:val="000000" w:themeColor="text1"/>
                <w:sz w:val="22"/>
                <w:szCs w:val="22"/>
              </w:rPr>
              <w:t>%</w:t>
            </w:r>
          </w:p>
        </w:tc>
        <w:tc>
          <w:tcPr>
            <w:tcW w:w="878" w:type="dxa"/>
            <w:vAlign w:val="center"/>
          </w:tcPr>
          <w:p w14:paraId="0106F6E5" w14:textId="0E8496A6"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34</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033A4E37" w14:textId="2834A0D5"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2.9</w:t>
            </w:r>
            <w:r w:rsidR="00DB7E66" w:rsidRPr="00547C3B">
              <w:rPr>
                <w:rFonts w:ascii="Arial Narrow" w:hAnsi="Arial Narrow" w:cs="Calibri"/>
                <w:color w:val="000000" w:themeColor="text1"/>
                <w:sz w:val="22"/>
                <w:szCs w:val="22"/>
              </w:rPr>
              <w:t>%</w:t>
            </w:r>
          </w:p>
        </w:tc>
      </w:tr>
      <w:tr w:rsidR="00DB7E66" w:rsidRPr="00727C10" w14:paraId="571EE280" w14:textId="77777777" w:rsidTr="002D3000">
        <w:trPr>
          <w:cantSplit/>
          <w:trHeight w:val="20"/>
          <w:jc w:val="center"/>
        </w:trPr>
        <w:tc>
          <w:tcPr>
            <w:tcW w:w="2781" w:type="dxa"/>
            <w:gridSpan w:val="2"/>
            <w:tcBorders>
              <w:left w:val="single" w:sz="12" w:space="0" w:color="auto"/>
            </w:tcBorders>
            <w:vAlign w:val="center"/>
          </w:tcPr>
          <w:p w14:paraId="5502637C" w14:textId="77777777" w:rsidR="00DB7E66" w:rsidRPr="00727C10" w:rsidRDefault="00DB7E66" w:rsidP="00963E14">
            <w:pPr>
              <w:rPr>
                <w:rFonts w:ascii="Arial Narrow" w:hAnsi="Arial Narrow" w:cs="Arial"/>
                <w:sz w:val="22"/>
                <w:szCs w:val="22"/>
              </w:rPr>
            </w:pPr>
            <w:r w:rsidRPr="00727C10">
              <w:rPr>
                <w:rFonts w:ascii="Arial Narrow" w:hAnsi="Arial Narrow" w:cs="Arial"/>
                <w:sz w:val="22"/>
                <w:szCs w:val="22"/>
              </w:rPr>
              <w:t>18-64</w:t>
            </w:r>
          </w:p>
        </w:tc>
        <w:tc>
          <w:tcPr>
            <w:tcW w:w="935" w:type="dxa"/>
            <w:gridSpan w:val="2"/>
            <w:vAlign w:val="center"/>
          </w:tcPr>
          <w:p w14:paraId="57AF5ED7" w14:textId="3BDE417B" w:rsidR="00DB7E66" w:rsidRPr="00727C10" w:rsidRDefault="00DB7E66" w:rsidP="00963E14">
            <w:pPr>
              <w:jc w:val="right"/>
              <w:rPr>
                <w:rFonts w:ascii="Arial Narrow" w:hAnsi="Arial Narrow" w:cs="Arial"/>
                <w:sz w:val="22"/>
                <w:szCs w:val="22"/>
              </w:rPr>
            </w:pPr>
            <w:r>
              <w:rPr>
                <w:rFonts w:ascii="Arial Narrow" w:hAnsi="Arial Narrow" w:cs="Calibri"/>
                <w:sz w:val="22"/>
                <w:szCs w:val="22"/>
              </w:rPr>
              <w:t>3,369</w:t>
            </w:r>
            <w:r w:rsidRPr="00727C10">
              <w:rPr>
                <w:rFonts w:ascii="Arial Narrow" w:hAnsi="Arial Narrow" w:cs="Calibri"/>
                <w:sz w:val="22"/>
                <w:szCs w:val="22"/>
              </w:rPr>
              <w:t xml:space="preserve"> </w:t>
            </w:r>
          </w:p>
        </w:tc>
        <w:tc>
          <w:tcPr>
            <w:tcW w:w="733" w:type="dxa"/>
            <w:vAlign w:val="center"/>
          </w:tcPr>
          <w:p w14:paraId="7DD6534A" w14:textId="373FDEF9" w:rsidR="00DB7E66" w:rsidRPr="006F4955" w:rsidRDefault="00DB7E66"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7</w:t>
            </w:r>
            <w:r w:rsidR="006F4955" w:rsidRPr="006F4955">
              <w:rPr>
                <w:rFonts w:ascii="Arial Narrow" w:hAnsi="Arial Narrow" w:cs="Calibri"/>
                <w:color w:val="000000" w:themeColor="text1"/>
                <w:sz w:val="22"/>
                <w:szCs w:val="22"/>
              </w:rPr>
              <w:t>1.1</w:t>
            </w:r>
            <w:r w:rsidRPr="006F4955">
              <w:rPr>
                <w:rFonts w:ascii="Arial Narrow" w:hAnsi="Arial Narrow" w:cs="Calibri"/>
                <w:color w:val="000000" w:themeColor="text1"/>
                <w:sz w:val="22"/>
                <w:szCs w:val="22"/>
              </w:rPr>
              <w:t>%</w:t>
            </w:r>
          </w:p>
        </w:tc>
        <w:tc>
          <w:tcPr>
            <w:tcW w:w="877" w:type="dxa"/>
            <w:gridSpan w:val="3"/>
            <w:vAlign w:val="center"/>
          </w:tcPr>
          <w:p w14:paraId="22464162" w14:textId="0D847FA4"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2,965</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7C471E0C" w14:textId="5DA7D5A4" w:rsidR="00DB7E66" w:rsidRPr="006F4955" w:rsidRDefault="00DB7E66"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7</w:t>
            </w:r>
            <w:r w:rsidR="006F4955" w:rsidRPr="006F4955">
              <w:rPr>
                <w:rFonts w:ascii="Arial Narrow" w:hAnsi="Arial Narrow" w:cs="Calibri"/>
                <w:color w:val="000000" w:themeColor="text1"/>
                <w:sz w:val="22"/>
                <w:szCs w:val="22"/>
              </w:rPr>
              <w:t>2.1</w:t>
            </w:r>
            <w:r w:rsidRPr="006F4955">
              <w:rPr>
                <w:rFonts w:ascii="Arial Narrow" w:hAnsi="Arial Narrow" w:cs="Calibri"/>
                <w:color w:val="000000" w:themeColor="text1"/>
                <w:sz w:val="22"/>
                <w:szCs w:val="22"/>
              </w:rPr>
              <w:t>%</w:t>
            </w:r>
          </w:p>
        </w:tc>
        <w:tc>
          <w:tcPr>
            <w:tcW w:w="949" w:type="dxa"/>
            <w:gridSpan w:val="2"/>
            <w:vAlign w:val="center"/>
          </w:tcPr>
          <w:p w14:paraId="4F589D35" w14:textId="44C82605"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3,407</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1593D4FF" w14:textId="26701A62" w:rsidR="00DB7E66" w:rsidRPr="006F4955" w:rsidRDefault="00DB7E66"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7</w:t>
            </w:r>
            <w:r w:rsidR="006F4955" w:rsidRPr="006F4955">
              <w:rPr>
                <w:rFonts w:ascii="Arial Narrow" w:hAnsi="Arial Narrow" w:cs="Calibri"/>
                <w:color w:val="000000" w:themeColor="text1"/>
                <w:sz w:val="22"/>
                <w:szCs w:val="22"/>
              </w:rPr>
              <w:t>2.4</w:t>
            </w:r>
            <w:r w:rsidRPr="006F4955">
              <w:rPr>
                <w:rFonts w:ascii="Arial Narrow" w:hAnsi="Arial Narrow" w:cs="Calibri"/>
                <w:color w:val="000000" w:themeColor="text1"/>
                <w:sz w:val="22"/>
                <w:szCs w:val="22"/>
              </w:rPr>
              <w:t>%</w:t>
            </w:r>
          </w:p>
        </w:tc>
        <w:tc>
          <w:tcPr>
            <w:tcW w:w="878" w:type="dxa"/>
            <w:vAlign w:val="center"/>
          </w:tcPr>
          <w:p w14:paraId="635EECD6" w14:textId="15CBB011"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838</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4BB0C268" w14:textId="0931CA3C" w:rsidR="00DB7E66" w:rsidRPr="00547C3B" w:rsidRDefault="00DB7E66"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7</w:t>
            </w:r>
            <w:r w:rsidR="00547C3B" w:rsidRPr="00547C3B">
              <w:rPr>
                <w:rFonts w:ascii="Arial Narrow" w:hAnsi="Arial Narrow" w:cs="Calibri"/>
                <w:color w:val="000000" w:themeColor="text1"/>
                <w:sz w:val="22"/>
                <w:szCs w:val="22"/>
              </w:rPr>
              <w:t>0.8</w:t>
            </w:r>
            <w:r w:rsidRPr="00547C3B">
              <w:rPr>
                <w:rFonts w:ascii="Arial Narrow" w:hAnsi="Arial Narrow" w:cs="Calibri"/>
                <w:color w:val="000000" w:themeColor="text1"/>
                <w:sz w:val="22"/>
                <w:szCs w:val="22"/>
              </w:rPr>
              <w:t>%</w:t>
            </w:r>
          </w:p>
        </w:tc>
      </w:tr>
      <w:tr w:rsidR="00DB7E66" w:rsidRPr="00727C10" w14:paraId="436D0278" w14:textId="77777777" w:rsidTr="002D3000">
        <w:trPr>
          <w:cantSplit/>
          <w:trHeight w:val="20"/>
          <w:jc w:val="center"/>
        </w:trPr>
        <w:tc>
          <w:tcPr>
            <w:tcW w:w="2781" w:type="dxa"/>
            <w:gridSpan w:val="2"/>
            <w:tcBorders>
              <w:left w:val="single" w:sz="12" w:space="0" w:color="auto"/>
            </w:tcBorders>
            <w:vAlign w:val="center"/>
          </w:tcPr>
          <w:p w14:paraId="56E436B8" w14:textId="77777777" w:rsidR="00DB7E66" w:rsidRPr="00727C10" w:rsidRDefault="00DB7E66" w:rsidP="00963E14">
            <w:pPr>
              <w:rPr>
                <w:rFonts w:ascii="Arial Narrow" w:hAnsi="Arial Narrow" w:cs="Arial"/>
                <w:sz w:val="22"/>
                <w:szCs w:val="22"/>
              </w:rPr>
            </w:pPr>
            <w:r w:rsidRPr="00727C10">
              <w:rPr>
                <w:rFonts w:ascii="Arial Narrow" w:hAnsi="Arial Narrow" w:cs="Arial"/>
                <w:sz w:val="22"/>
                <w:szCs w:val="22"/>
              </w:rPr>
              <w:t>65+</w:t>
            </w:r>
          </w:p>
        </w:tc>
        <w:tc>
          <w:tcPr>
            <w:tcW w:w="935" w:type="dxa"/>
            <w:gridSpan w:val="2"/>
            <w:vAlign w:val="center"/>
          </w:tcPr>
          <w:p w14:paraId="0C14121B" w14:textId="0B1A8F22" w:rsidR="00DB7E66" w:rsidRPr="00727C10" w:rsidRDefault="00DB7E66" w:rsidP="00963E14">
            <w:pPr>
              <w:jc w:val="right"/>
              <w:rPr>
                <w:rFonts w:ascii="Arial Narrow" w:hAnsi="Arial Narrow" w:cs="Arial"/>
                <w:sz w:val="22"/>
                <w:szCs w:val="22"/>
              </w:rPr>
            </w:pPr>
            <w:r>
              <w:rPr>
                <w:rFonts w:ascii="Arial Narrow" w:hAnsi="Arial Narrow" w:cs="Calibri"/>
                <w:sz w:val="22"/>
                <w:szCs w:val="22"/>
              </w:rPr>
              <w:t>1,201</w:t>
            </w:r>
            <w:r w:rsidRPr="00727C10">
              <w:rPr>
                <w:rFonts w:ascii="Arial Narrow" w:hAnsi="Arial Narrow" w:cs="Calibri"/>
                <w:sz w:val="22"/>
                <w:szCs w:val="22"/>
              </w:rPr>
              <w:t xml:space="preserve"> </w:t>
            </w:r>
          </w:p>
        </w:tc>
        <w:tc>
          <w:tcPr>
            <w:tcW w:w="733" w:type="dxa"/>
            <w:vAlign w:val="center"/>
          </w:tcPr>
          <w:p w14:paraId="79074071" w14:textId="7C183705"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25.3</w:t>
            </w:r>
            <w:r w:rsidR="00DB7E66" w:rsidRPr="006F4955">
              <w:rPr>
                <w:rFonts w:ascii="Arial Narrow" w:hAnsi="Arial Narrow" w:cs="Calibri"/>
                <w:color w:val="000000" w:themeColor="text1"/>
                <w:sz w:val="22"/>
                <w:szCs w:val="22"/>
              </w:rPr>
              <w:t>%</w:t>
            </w:r>
          </w:p>
        </w:tc>
        <w:tc>
          <w:tcPr>
            <w:tcW w:w="877" w:type="dxa"/>
            <w:gridSpan w:val="3"/>
            <w:vAlign w:val="center"/>
          </w:tcPr>
          <w:p w14:paraId="26401674" w14:textId="6E87226D"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1,011</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03AA2D19" w14:textId="7661571B"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24.6</w:t>
            </w:r>
            <w:r w:rsidR="00DB7E66" w:rsidRPr="006F4955">
              <w:rPr>
                <w:rFonts w:ascii="Arial Narrow" w:hAnsi="Arial Narrow" w:cs="Calibri"/>
                <w:color w:val="000000" w:themeColor="text1"/>
                <w:sz w:val="22"/>
                <w:szCs w:val="22"/>
              </w:rPr>
              <w:t>%</w:t>
            </w:r>
          </w:p>
        </w:tc>
        <w:tc>
          <w:tcPr>
            <w:tcW w:w="949" w:type="dxa"/>
            <w:gridSpan w:val="2"/>
            <w:vAlign w:val="center"/>
          </w:tcPr>
          <w:p w14:paraId="3290BA1A" w14:textId="3B9388AA"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1,165</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75403CC0" w14:textId="579BADB1" w:rsidR="00DB7E66" w:rsidRPr="006F4955" w:rsidRDefault="00DB7E66"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w:t>
            </w:r>
            <w:r w:rsidR="006F4955" w:rsidRPr="006F4955">
              <w:rPr>
                <w:rFonts w:ascii="Arial Narrow" w:hAnsi="Arial Narrow" w:cs="Calibri"/>
                <w:color w:val="000000" w:themeColor="text1"/>
                <w:sz w:val="22"/>
                <w:szCs w:val="22"/>
              </w:rPr>
              <w:t>4.8</w:t>
            </w:r>
            <w:r w:rsidRPr="006F4955">
              <w:rPr>
                <w:rFonts w:ascii="Arial Narrow" w:hAnsi="Arial Narrow" w:cs="Calibri"/>
                <w:color w:val="000000" w:themeColor="text1"/>
                <w:sz w:val="22"/>
                <w:szCs w:val="22"/>
              </w:rPr>
              <w:t>%</w:t>
            </w:r>
          </w:p>
        </w:tc>
        <w:tc>
          <w:tcPr>
            <w:tcW w:w="878" w:type="dxa"/>
            <w:vAlign w:val="center"/>
          </w:tcPr>
          <w:p w14:paraId="3C6792A1" w14:textId="750FDB6E"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312</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6C70EE25" w14:textId="6F39760A"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26.4</w:t>
            </w:r>
            <w:r w:rsidR="00DB7E66" w:rsidRPr="00547C3B">
              <w:rPr>
                <w:rFonts w:ascii="Arial Narrow" w:hAnsi="Arial Narrow" w:cs="Calibri"/>
                <w:color w:val="000000" w:themeColor="text1"/>
                <w:sz w:val="22"/>
                <w:szCs w:val="22"/>
              </w:rPr>
              <w:t>%</w:t>
            </w:r>
          </w:p>
        </w:tc>
      </w:tr>
      <w:tr w:rsidR="002D3000" w:rsidRPr="00727C10" w14:paraId="70C8F4F6" w14:textId="77777777" w:rsidTr="002D3000">
        <w:trPr>
          <w:cantSplit/>
          <w:trHeight w:val="20"/>
          <w:jc w:val="center"/>
        </w:trPr>
        <w:tc>
          <w:tcPr>
            <w:tcW w:w="2775" w:type="dxa"/>
            <w:tcBorders>
              <w:left w:val="single" w:sz="12" w:space="0" w:color="auto"/>
              <w:right w:val="single" w:sz="12" w:space="0" w:color="auto"/>
            </w:tcBorders>
            <w:shd w:val="clear" w:color="auto" w:fill="D9E2F3" w:themeFill="accent1" w:themeFillTint="33"/>
          </w:tcPr>
          <w:p w14:paraId="1DC5F2F7" w14:textId="77777777" w:rsidR="002D3000" w:rsidRPr="00547C3B" w:rsidRDefault="002D3000" w:rsidP="00963E14">
            <w:pPr>
              <w:rPr>
                <w:rFonts w:ascii="Arial Narrow" w:hAnsi="Arial Narrow" w:cs="Arial"/>
                <w:b/>
                <w:bCs/>
                <w:color w:val="000000" w:themeColor="text1"/>
                <w:sz w:val="22"/>
                <w:szCs w:val="22"/>
              </w:rPr>
            </w:pPr>
            <w:r w:rsidRPr="00547C3B">
              <w:rPr>
                <w:rFonts w:ascii="Arial Narrow" w:hAnsi="Arial Narrow" w:cs="Arial"/>
                <w:b/>
                <w:bCs/>
                <w:color w:val="000000" w:themeColor="text1"/>
                <w:sz w:val="22"/>
                <w:szCs w:val="22"/>
              </w:rPr>
              <w:t>Race/Ethnicity</w:t>
            </w:r>
            <w:r>
              <w:rPr>
                <w:rFonts w:ascii="ZWAdobeF" w:hAnsi="ZWAdobeF" w:cs="ZWAdobeF"/>
                <w:bCs/>
                <w:sz w:val="2"/>
                <w:szCs w:val="2"/>
              </w:rPr>
              <w:t>25F</w:t>
            </w:r>
            <w:r w:rsidRPr="00547C3B">
              <w:rPr>
                <w:rStyle w:val="FootnoteReference"/>
                <w:rFonts w:ascii="Arial Narrow" w:hAnsi="Arial Narrow" w:cs="Arial"/>
                <w:b/>
                <w:bCs/>
                <w:color w:val="000000" w:themeColor="text1"/>
                <w:sz w:val="22"/>
                <w:szCs w:val="22"/>
              </w:rPr>
              <w:footnoteReference w:id="26"/>
            </w:r>
          </w:p>
        </w:tc>
        <w:tc>
          <w:tcPr>
            <w:tcW w:w="900" w:type="dxa"/>
            <w:gridSpan w:val="2"/>
            <w:tcBorders>
              <w:left w:val="single" w:sz="12" w:space="0" w:color="auto"/>
              <w:right w:val="single" w:sz="12" w:space="0" w:color="auto"/>
            </w:tcBorders>
            <w:shd w:val="clear" w:color="auto" w:fill="D9E2F3" w:themeFill="accent1" w:themeFillTint="33"/>
          </w:tcPr>
          <w:p w14:paraId="4E06B67D" w14:textId="77777777" w:rsidR="002D3000" w:rsidRPr="00547C3B" w:rsidRDefault="002D3000" w:rsidP="00963E14">
            <w:pPr>
              <w:rPr>
                <w:rFonts w:ascii="Arial Narrow" w:hAnsi="Arial Narrow" w:cs="Arial"/>
                <w:b/>
                <w:bCs/>
                <w:color w:val="000000" w:themeColor="text1"/>
                <w:sz w:val="22"/>
                <w:szCs w:val="22"/>
              </w:rPr>
            </w:pPr>
          </w:p>
        </w:tc>
        <w:tc>
          <w:tcPr>
            <w:tcW w:w="810" w:type="dxa"/>
            <w:gridSpan w:val="3"/>
            <w:tcBorders>
              <w:left w:val="single" w:sz="12" w:space="0" w:color="auto"/>
              <w:right w:val="single" w:sz="12" w:space="0" w:color="auto"/>
            </w:tcBorders>
            <w:shd w:val="clear" w:color="auto" w:fill="D9E2F3" w:themeFill="accent1" w:themeFillTint="33"/>
          </w:tcPr>
          <w:p w14:paraId="7293B233" w14:textId="77777777" w:rsidR="002D3000" w:rsidRPr="00547C3B" w:rsidRDefault="002D3000" w:rsidP="00963E14">
            <w:pPr>
              <w:rPr>
                <w:rFonts w:ascii="Arial Narrow" w:hAnsi="Arial Narrow" w:cs="Arial"/>
                <w:b/>
                <w:bCs/>
                <w:color w:val="000000" w:themeColor="text1"/>
                <w:sz w:val="22"/>
                <w:szCs w:val="22"/>
              </w:rPr>
            </w:pPr>
          </w:p>
        </w:tc>
        <w:tc>
          <w:tcPr>
            <w:tcW w:w="810" w:type="dxa"/>
            <w:tcBorders>
              <w:left w:val="single" w:sz="12" w:space="0" w:color="auto"/>
              <w:right w:val="single" w:sz="12" w:space="0" w:color="auto"/>
            </w:tcBorders>
            <w:shd w:val="clear" w:color="auto" w:fill="D9E2F3" w:themeFill="accent1" w:themeFillTint="33"/>
          </w:tcPr>
          <w:p w14:paraId="272831BC" w14:textId="77777777" w:rsidR="002D3000" w:rsidRPr="00547C3B" w:rsidRDefault="002D3000" w:rsidP="00963E14">
            <w:pPr>
              <w:rPr>
                <w:rFonts w:ascii="Arial Narrow" w:hAnsi="Arial Narrow" w:cs="Arial"/>
                <w:b/>
                <w:bCs/>
                <w:color w:val="000000" w:themeColor="text1"/>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4C08BFA7" w14:textId="77777777" w:rsidR="002D3000" w:rsidRPr="00547C3B" w:rsidRDefault="002D3000" w:rsidP="00963E14">
            <w:pPr>
              <w:rPr>
                <w:rFonts w:ascii="Arial Narrow" w:hAnsi="Arial Narrow" w:cs="Arial"/>
                <w:b/>
                <w:bCs/>
                <w:color w:val="000000" w:themeColor="text1"/>
                <w:sz w:val="22"/>
                <w:szCs w:val="22"/>
              </w:rPr>
            </w:pPr>
          </w:p>
        </w:tc>
        <w:tc>
          <w:tcPr>
            <w:tcW w:w="990" w:type="dxa"/>
            <w:gridSpan w:val="2"/>
            <w:tcBorders>
              <w:left w:val="single" w:sz="12" w:space="0" w:color="auto"/>
              <w:right w:val="single" w:sz="12" w:space="0" w:color="auto"/>
            </w:tcBorders>
            <w:shd w:val="clear" w:color="auto" w:fill="D9E2F3" w:themeFill="accent1" w:themeFillTint="33"/>
          </w:tcPr>
          <w:p w14:paraId="06AD5904" w14:textId="77777777" w:rsidR="002D3000" w:rsidRPr="00547C3B" w:rsidRDefault="002D3000" w:rsidP="00963E14">
            <w:pPr>
              <w:rPr>
                <w:rFonts w:ascii="Arial Narrow" w:hAnsi="Arial Narrow" w:cs="Arial"/>
                <w:b/>
                <w:bCs/>
                <w:color w:val="000000" w:themeColor="text1"/>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433C9EC8" w14:textId="77777777" w:rsidR="002D3000" w:rsidRPr="00547C3B" w:rsidRDefault="002D3000" w:rsidP="00963E14">
            <w:pPr>
              <w:rPr>
                <w:rFonts w:ascii="Arial Narrow" w:hAnsi="Arial Narrow" w:cs="Arial"/>
                <w:b/>
                <w:bCs/>
                <w:color w:val="000000" w:themeColor="text1"/>
                <w:sz w:val="22"/>
                <w:szCs w:val="22"/>
              </w:rPr>
            </w:pPr>
          </w:p>
        </w:tc>
        <w:tc>
          <w:tcPr>
            <w:tcW w:w="900" w:type="dxa"/>
            <w:gridSpan w:val="2"/>
            <w:tcBorders>
              <w:left w:val="single" w:sz="12" w:space="0" w:color="auto"/>
              <w:right w:val="single" w:sz="12" w:space="0" w:color="auto"/>
            </w:tcBorders>
            <w:shd w:val="clear" w:color="auto" w:fill="D9E2F3" w:themeFill="accent1" w:themeFillTint="33"/>
          </w:tcPr>
          <w:p w14:paraId="07A43E91" w14:textId="77777777" w:rsidR="002D3000" w:rsidRPr="00547C3B" w:rsidRDefault="002D3000" w:rsidP="00963E14">
            <w:pPr>
              <w:rPr>
                <w:rFonts w:ascii="Arial Narrow" w:hAnsi="Arial Narrow" w:cs="Arial"/>
                <w:b/>
                <w:bCs/>
                <w:color w:val="000000" w:themeColor="text1"/>
                <w:sz w:val="22"/>
                <w:szCs w:val="22"/>
              </w:rPr>
            </w:pPr>
          </w:p>
        </w:tc>
        <w:tc>
          <w:tcPr>
            <w:tcW w:w="730" w:type="dxa"/>
            <w:tcBorders>
              <w:left w:val="single" w:sz="12" w:space="0" w:color="auto"/>
              <w:right w:val="single" w:sz="12" w:space="0" w:color="auto"/>
            </w:tcBorders>
            <w:shd w:val="clear" w:color="auto" w:fill="D9E2F3" w:themeFill="accent1" w:themeFillTint="33"/>
          </w:tcPr>
          <w:p w14:paraId="48048757" w14:textId="0276AC8B" w:rsidR="002D3000" w:rsidRPr="00547C3B" w:rsidRDefault="002D3000" w:rsidP="00963E14">
            <w:pPr>
              <w:rPr>
                <w:rFonts w:ascii="Arial Narrow" w:hAnsi="Arial Narrow" w:cs="Arial"/>
                <w:b/>
                <w:bCs/>
                <w:color w:val="000000" w:themeColor="text1"/>
                <w:sz w:val="22"/>
                <w:szCs w:val="22"/>
              </w:rPr>
            </w:pPr>
          </w:p>
        </w:tc>
      </w:tr>
      <w:tr w:rsidR="00DB7E66" w:rsidRPr="00727C10" w14:paraId="52B2E0C7" w14:textId="77777777" w:rsidTr="002D3000">
        <w:trPr>
          <w:cantSplit/>
          <w:trHeight w:val="144"/>
          <w:jc w:val="center"/>
        </w:trPr>
        <w:tc>
          <w:tcPr>
            <w:tcW w:w="2781" w:type="dxa"/>
            <w:gridSpan w:val="2"/>
            <w:tcBorders>
              <w:left w:val="single" w:sz="12" w:space="0" w:color="auto"/>
            </w:tcBorders>
            <w:vAlign w:val="center"/>
          </w:tcPr>
          <w:p w14:paraId="686A71D5" w14:textId="2E9C1BEC" w:rsidR="00DB7E66" w:rsidRPr="00727C10" w:rsidRDefault="00DB7E66" w:rsidP="00963E14">
            <w:pPr>
              <w:ind w:right="-70"/>
              <w:rPr>
                <w:rFonts w:ascii="Arial Narrow" w:hAnsi="Arial Narrow" w:cs="Arial"/>
                <w:sz w:val="22"/>
                <w:szCs w:val="22"/>
              </w:rPr>
            </w:pPr>
            <w:r w:rsidRPr="00727C10">
              <w:rPr>
                <w:rFonts w:ascii="Arial Narrow" w:hAnsi="Arial Narrow" w:cs="Arial"/>
                <w:sz w:val="22"/>
                <w:szCs w:val="22"/>
              </w:rPr>
              <w:t>Asian</w:t>
            </w:r>
          </w:p>
        </w:tc>
        <w:tc>
          <w:tcPr>
            <w:tcW w:w="935" w:type="dxa"/>
            <w:gridSpan w:val="2"/>
          </w:tcPr>
          <w:p w14:paraId="569DEAF1" w14:textId="70FEDC03" w:rsidR="00DB7E66" w:rsidRPr="00727C10" w:rsidRDefault="00DB7E66" w:rsidP="00963E14">
            <w:pPr>
              <w:jc w:val="right"/>
              <w:rPr>
                <w:rFonts w:ascii="Arial Narrow" w:hAnsi="Arial Narrow" w:cs="Arial"/>
                <w:sz w:val="22"/>
                <w:szCs w:val="22"/>
              </w:rPr>
            </w:pPr>
            <w:r>
              <w:rPr>
                <w:rFonts w:ascii="Arial Narrow" w:hAnsi="Arial Narrow" w:cs="Calibri"/>
                <w:sz w:val="22"/>
                <w:szCs w:val="22"/>
              </w:rPr>
              <w:t>145</w:t>
            </w:r>
            <w:r w:rsidRPr="00727C10">
              <w:rPr>
                <w:rFonts w:ascii="Arial Narrow" w:hAnsi="Arial Narrow" w:cs="Calibri"/>
                <w:sz w:val="22"/>
                <w:szCs w:val="22"/>
              </w:rPr>
              <w:t xml:space="preserve"> </w:t>
            </w:r>
          </w:p>
        </w:tc>
        <w:tc>
          <w:tcPr>
            <w:tcW w:w="733" w:type="dxa"/>
            <w:vAlign w:val="center"/>
          </w:tcPr>
          <w:p w14:paraId="034B1558" w14:textId="28CA6D80"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3.1</w:t>
            </w:r>
            <w:r w:rsidR="00DB7E66" w:rsidRPr="006F4955">
              <w:rPr>
                <w:rFonts w:ascii="Arial Narrow" w:hAnsi="Arial Narrow" w:cs="Calibri"/>
                <w:color w:val="000000" w:themeColor="text1"/>
                <w:sz w:val="22"/>
                <w:szCs w:val="22"/>
              </w:rPr>
              <w:t>%</w:t>
            </w:r>
          </w:p>
        </w:tc>
        <w:tc>
          <w:tcPr>
            <w:tcW w:w="877" w:type="dxa"/>
            <w:gridSpan w:val="3"/>
            <w:vAlign w:val="center"/>
          </w:tcPr>
          <w:p w14:paraId="727E72C2" w14:textId="54ECDE4B"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129</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7805799B" w14:textId="51E76A2F"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3.1</w:t>
            </w:r>
            <w:r w:rsidR="00DB7E66" w:rsidRPr="006F4955">
              <w:rPr>
                <w:rFonts w:ascii="Arial Narrow" w:hAnsi="Arial Narrow" w:cs="Calibri"/>
                <w:color w:val="000000" w:themeColor="text1"/>
                <w:sz w:val="22"/>
                <w:szCs w:val="22"/>
              </w:rPr>
              <w:t>%</w:t>
            </w:r>
          </w:p>
        </w:tc>
        <w:tc>
          <w:tcPr>
            <w:tcW w:w="949" w:type="dxa"/>
            <w:gridSpan w:val="2"/>
            <w:vAlign w:val="center"/>
          </w:tcPr>
          <w:p w14:paraId="05172D44" w14:textId="0C8CB8E4" w:rsidR="00DB7E66" w:rsidRPr="006F4955" w:rsidRDefault="006F4955"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166</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65304A37" w14:textId="02EDC3DA" w:rsidR="00DB7E66" w:rsidRPr="006F4955" w:rsidRDefault="00DB7E66" w:rsidP="00963E14">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w:t>
            </w:r>
            <w:r w:rsidR="006F4955" w:rsidRPr="006F4955">
              <w:rPr>
                <w:rFonts w:ascii="Arial Narrow" w:hAnsi="Arial Narrow" w:cs="Calibri"/>
                <w:color w:val="000000" w:themeColor="text1"/>
                <w:sz w:val="22"/>
                <w:szCs w:val="22"/>
              </w:rPr>
              <w:t>.5</w:t>
            </w:r>
            <w:r w:rsidRPr="006F4955">
              <w:rPr>
                <w:rFonts w:ascii="Arial Narrow" w:hAnsi="Arial Narrow" w:cs="Calibri"/>
                <w:color w:val="000000" w:themeColor="text1"/>
                <w:sz w:val="22"/>
                <w:szCs w:val="22"/>
              </w:rPr>
              <w:t>%</w:t>
            </w:r>
          </w:p>
        </w:tc>
        <w:tc>
          <w:tcPr>
            <w:tcW w:w="878" w:type="dxa"/>
            <w:vAlign w:val="center"/>
          </w:tcPr>
          <w:p w14:paraId="089C08E2" w14:textId="3F183A69"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39</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650D84F7" w14:textId="159682D0" w:rsidR="00DB7E66" w:rsidRPr="00547C3B" w:rsidRDefault="00547C3B" w:rsidP="00963E14">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3.3</w:t>
            </w:r>
            <w:r w:rsidR="00DB7E66" w:rsidRPr="00547C3B">
              <w:rPr>
                <w:rFonts w:ascii="Arial Narrow" w:hAnsi="Arial Narrow" w:cs="Calibri"/>
                <w:color w:val="000000" w:themeColor="text1"/>
                <w:sz w:val="22"/>
                <w:szCs w:val="22"/>
              </w:rPr>
              <w:t>%</w:t>
            </w:r>
          </w:p>
        </w:tc>
      </w:tr>
      <w:tr w:rsidR="00DB7E66" w:rsidRPr="00727C10" w14:paraId="62652A1E" w14:textId="77777777" w:rsidTr="002D3000">
        <w:trPr>
          <w:cantSplit/>
          <w:trHeight w:val="144"/>
          <w:jc w:val="center"/>
        </w:trPr>
        <w:tc>
          <w:tcPr>
            <w:tcW w:w="2781" w:type="dxa"/>
            <w:gridSpan w:val="2"/>
            <w:tcBorders>
              <w:left w:val="single" w:sz="12" w:space="0" w:color="auto"/>
            </w:tcBorders>
            <w:vAlign w:val="center"/>
          </w:tcPr>
          <w:p w14:paraId="33662575" w14:textId="1B8C8A86" w:rsidR="00DB7E66" w:rsidRPr="00727C10" w:rsidRDefault="00DB7E66" w:rsidP="00DB7E66">
            <w:pPr>
              <w:ind w:right="-70"/>
              <w:rPr>
                <w:rFonts w:ascii="Arial Narrow" w:hAnsi="Arial Narrow" w:cs="Arial"/>
                <w:sz w:val="22"/>
                <w:szCs w:val="22"/>
              </w:rPr>
            </w:pPr>
            <w:r w:rsidRPr="00727C10">
              <w:rPr>
                <w:rFonts w:ascii="Arial Narrow" w:hAnsi="Arial Narrow" w:cs="Arial"/>
                <w:sz w:val="22"/>
                <w:szCs w:val="22"/>
              </w:rPr>
              <w:t>Black/African American</w:t>
            </w:r>
          </w:p>
        </w:tc>
        <w:tc>
          <w:tcPr>
            <w:tcW w:w="935" w:type="dxa"/>
            <w:gridSpan w:val="2"/>
          </w:tcPr>
          <w:p w14:paraId="70B7DA4F" w14:textId="7CADA5A2" w:rsidR="00DB7E66" w:rsidRPr="00727C10" w:rsidRDefault="00DB7E66" w:rsidP="00DB7E66">
            <w:pPr>
              <w:jc w:val="right"/>
              <w:rPr>
                <w:rFonts w:ascii="Arial Narrow" w:hAnsi="Arial Narrow" w:cs="Arial"/>
                <w:sz w:val="22"/>
                <w:szCs w:val="22"/>
              </w:rPr>
            </w:pPr>
            <w:r>
              <w:rPr>
                <w:rFonts w:ascii="Arial Narrow" w:hAnsi="Arial Narrow" w:cs="Calibri"/>
                <w:sz w:val="22"/>
                <w:szCs w:val="22"/>
              </w:rPr>
              <w:t>1,554</w:t>
            </w:r>
            <w:r w:rsidRPr="00727C10">
              <w:rPr>
                <w:rFonts w:ascii="Arial Narrow" w:hAnsi="Arial Narrow" w:cs="Calibri"/>
                <w:sz w:val="22"/>
                <w:szCs w:val="22"/>
              </w:rPr>
              <w:t xml:space="preserve"> </w:t>
            </w:r>
          </w:p>
        </w:tc>
        <w:tc>
          <w:tcPr>
            <w:tcW w:w="733" w:type="dxa"/>
            <w:vAlign w:val="center"/>
          </w:tcPr>
          <w:p w14:paraId="583EFC9D" w14:textId="6AA582E2"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32.8</w:t>
            </w:r>
            <w:r w:rsidR="00DB7E66" w:rsidRPr="006F4955">
              <w:rPr>
                <w:rFonts w:ascii="Arial Narrow" w:hAnsi="Arial Narrow" w:cs="Calibri"/>
                <w:color w:val="000000" w:themeColor="text1"/>
                <w:sz w:val="22"/>
                <w:szCs w:val="22"/>
              </w:rPr>
              <w:t>%</w:t>
            </w:r>
          </w:p>
        </w:tc>
        <w:tc>
          <w:tcPr>
            <w:tcW w:w="877" w:type="dxa"/>
            <w:gridSpan w:val="3"/>
            <w:vAlign w:val="center"/>
          </w:tcPr>
          <w:p w14:paraId="036DECE1" w14:textId="444D251C"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1,392</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2B251F0C" w14:textId="44AC7879"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33.8</w:t>
            </w:r>
            <w:r w:rsidR="00DB7E66" w:rsidRPr="006F4955">
              <w:rPr>
                <w:rFonts w:ascii="Arial Narrow" w:hAnsi="Arial Narrow" w:cs="Calibri"/>
                <w:color w:val="000000" w:themeColor="text1"/>
                <w:sz w:val="22"/>
                <w:szCs w:val="22"/>
              </w:rPr>
              <w:t>%</w:t>
            </w:r>
          </w:p>
        </w:tc>
        <w:tc>
          <w:tcPr>
            <w:tcW w:w="949" w:type="dxa"/>
            <w:gridSpan w:val="2"/>
            <w:vAlign w:val="center"/>
          </w:tcPr>
          <w:p w14:paraId="4A24E8C0" w14:textId="6BFE3455"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1,487</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0501DBFB" w14:textId="044383EF"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31.6</w:t>
            </w:r>
            <w:r w:rsidR="00DB7E66" w:rsidRPr="006F4955">
              <w:rPr>
                <w:rFonts w:ascii="Arial Narrow" w:hAnsi="Arial Narrow" w:cs="Calibri"/>
                <w:color w:val="000000" w:themeColor="text1"/>
                <w:sz w:val="22"/>
                <w:szCs w:val="22"/>
              </w:rPr>
              <w:t>%</w:t>
            </w:r>
          </w:p>
        </w:tc>
        <w:tc>
          <w:tcPr>
            <w:tcW w:w="878" w:type="dxa"/>
            <w:vAlign w:val="center"/>
          </w:tcPr>
          <w:p w14:paraId="3360D193" w14:textId="03FFAE50"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372</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2454C062" w14:textId="6A6C3E91"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31.4%</w:t>
            </w:r>
          </w:p>
        </w:tc>
      </w:tr>
      <w:tr w:rsidR="00DB7E66" w:rsidRPr="00727C10" w14:paraId="3D28387D" w14:textId="77777777" w:rsidTr="002D3000">
        <w:trPr>
          <w:cantSplit/>
          <w:trHeight w:val="144"/>
          <w:jc w:val="center"/>
        </w:trPr>
        <w:tc>
          <w:tcPr>
            <w:tcW w:w="2781" w:type="dxa"/>
            <w:gridSpan w:val="2"/>
            <w:tcBorders>
              <w:left w:val="single" w:sz="12" w:space="0" w:color="auto"/>
            </w:tcBorders>
            <w:vAlign w:val="center"/>
          </w:tcPr>
          <w:p w14:paraId="5E0DBBC8" w14:textId="79AAFBD6" w:rsidR="00DB7E66" w:rsidRPr="00727C10" w:rsidRDefault="00DB7E66" w:rsidP="00DB7E66">
            <w:pPr>
              <w:ind w:right="-70"/>
              <w:rPr>
                <w:rFonts w:ascii="Arial Narrow" w:hAnsi="Arial Narrow" w:cs="Arial"/>
                <w:sz w:val="22"/>
                <w:szCs w:val="22"/>
              </w:rPr>
            </w:pPr>
            <w:r w:rsidRPr="00727C10">
              <w:rPr>
                <w:rFonts w:ascii="Arial Narrow" w:hAnsi="Arial Narrow" w:cs="Arial"/>
                <w:sz w:val="22"/>
                <w:szCs w:val="22"/>
              </w:rPr>
              <w:t>Hispanic/Latino</w:t>
            </w:r>
          </w:p>
        </w:tc>
        <w:tc>
          <w:tcPr>
            <w:tcW w:w="935" w:type="dxa"/>
            <w:gridSpan w:val="2"/>
          </w:tcPr>
          <w:p w14:paraId="4FE9BD4C" w14:textId="47CCC5CA" w:rsidR="00DB7E66" w:rsidRPr="00727C10" w:rsidRDefault="00DB7E66" w:rsidP="00DB7E66">
            <w:pPr>
              <w:jc w:val="right"/>
              <w:rPr>
                <w:rFonts w:ascii="Arial Narrow" w:hAnsi="Arial Narrow" w:cs="Arial"/>
                <w:sz w:val="22"/>
                <w:szCs w:val="22"/>
              </w:rPr>
            </w:pPr>
            <w:r>
              <w:rPr>
                <w:rFonts w:ascii="Arial Narrow" w:hAnsi="Arial Narrow" w:cs="Calibri"/>
                <w:sz w:val="22"/>
                <w:szCs w:val="22"/>
              </w:rPr>
              <w:t>446</w:t>
            </w:r>
            <w:r w:rsidRPr="00727C10">
              <w:rPr>
                <w:rFonts w:ascii="Arial Narrow" w:hAnsi="Arial Narrow" w:cs="Calibri"/>
                <w:sz w:val="22"/>
                <w:szCs w:val="22"/>
              </w:rPr>
              <w:t xml:space="preserve"> </w:t>
            </w:r>
          </w:p>
        </w:tc>
        <w:tc>
          <w:tcPr>
            <w:tcW w:w="733" w:type="dxa"/>
            <w:vAlign w:val="center"/>
          </w:tcPr>
          <w:p w14:paraId="550FFE0D" w14:textId="74EAC764"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9.4</w:t>
            </w:r>
            <w:r w:rsidR="00DB7E66" w:rsidRPr="006F4955">
              <w:rPr>
                <w:rFonts w:ascii="Arial Narrow" w:hAnsi="Arial Narrow" w:cs="Calibri"/>
                <w:color w:val="000000" w:themeColor="text1"/>
                <w:sz w:val="22"/>
                <w:szCs w:val="22"/>
              </w:rPr>
              <w:t>%</w:t>
            </w:r>
          </w:p>
        </w:tc>
        <w:tc>
          <w:tcPr>
            <w:tcW w:w="877" w:type="dxa"/>
            <w:gridSpan w:val="3"/>
            <w:vAlign w:val="center"/>
          </w:tcPr>
          <w:p w14:paraId="619212B6" w14:textId="6059387E"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689</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3BE4AFBA" w14:textId="778B86F5" w:rsidR="00DB7E66" w:rsidRPr="00DB7E66" w:rsidRDefault="006F4955" w:rsidP="00DB7E66">
            <w:pPr>
              <w:jc w:val="right"/>
              <w:rPr>
                <w:rFonts w:ascii="Arial Narrow" w:hAnsi="Arial Narrow" w:cs="Arial"/>
                <w:color w:val="FF0000"/>
                <w:sz w:val="22"/>
                <w:szCs w:val="22"/>
              </w:rPr>
            </w:pPr>
            <w:r w:rsidRPr="006F4955">
              <w:rPr>
                <w:rFonts w:ascii="Arial Narrow" w:hAnsi="Arial Narrow" w:cs="Calibri"/>
                <w:color w:val="000000" w:themeColor="text1"/>
                <w:sz w:val="22"/>
                <w:szCs w:val="22"/>
              </w:rPr>
              <w:t>16.7</w:t>
            </w:r>
            <w:r w:rsidR="00DB7E66" w:rsidRPr="006F4955">
              <w:rPr>
                <w:rFonts w:ascii="Arial Narrow" w:hAnsi="Arial Narrow" w:cs="Calibri"/>
                <w:color w:val="000000" w:themeColor="text1"/>
                <w:sz w:val="22"/>
                <w:szCs w:val="22"/>
              </w:rPr>
              <w:t>%</w:t>
            </w:r>
          </w:p>
        </w:tc>
        <w:tc>
          <w:tcPr>
            <w:tcW w:w="949" w:type="dxa"/>
            <w:gridSpan w:val="2"/>
            <w:vAlign w:val="center"/>
          </w:tcPr>
          <w:p w14:paraId="4F3643B8" w14:textId="38930DCA"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1,096</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6FD0B8D1" w14:textId="2962404F" w:rsidR="00DB7E66" w:rsidRPr="006F4955" w:rsidRDefault="00DB7E66"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23</w:t>
            </w:r>
            <w:r w:rsidR="006F4955" w:rsidRPr="006F4955">
              <w:rPr>
                <w:rFonts w:ascii="Arial Narrow" w:hAnsi="Arial Narrow" w:cs="Calibri"/>
                <w:color w:val="000000" w:themeColor="text1"/>
                <w:sz w:val="22"/>
                <w:szCs w:val="22"/>
              </w:rPr>
              <w:t>.3</w:t>
            </w:r>
            <w:r w:rsidRPr="006F4955">
              <w:rPr>
                <w:rFonts w:ascii="Arial Narrow" w:hAnsi="Arial Narrow" w:cs="Calibri"/>
                <w:color w:val="000000" w:themeColor="text1"/>
                <w:sz w:val="22"/>
                <w:szCs w:val="22"/>
              </w:rPr>
              <w:t>%</w:t>
            </w:r>
          </w:p>
        </w:tc>
        <w:tc>
          <w:tcPr>
            <w:tcW w:w="878" w:type="dxa"/>
            <w:vAlign w:val="center"/>
          </w:tcPr>
          <w:p w14:paraId="354F1500" w14:textId="0C15EC30"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267</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35E56A35" w14:textId="084F9F4B"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Arial"/>
                <w:color w:val="000000" w:themeColor="text1"/>
                <w:sz w:val="22"/>
                <w:szCs w:val="22"/>
              </w:rPr>
              <w:t>22.6%</w:t>
            </w:r>
          </w:p>
        </w:tc>
      </w:tr>
      <w:tr w:rsidR="00DB7E66" w:rsidRPr="00727C10" w14:paraId="05701512" w14:textId="77777777" w:rsidTr="002D3000">
        <w:trPr>
          <w:cantSplit/>
          <w:trHeight w:val="144"/>
          <w:jc w:val="center"/>
        </w:trPr>
        <w:tc>
          <w:tcPr>
            <w:tcW w:w="2781" w:type="dxa"/>
            <w:gridSpan w:val="2"/>
            <w:tcBorders>
              <w:left w:val="single" w:sz="12" w:space="0" w:color="auto"/>
            </w:tcBorders>
            <w:vAlign w:val="center"/>
          </w:tcPr>
          <w:p w14:paraId="4B0BE6F4" w14:textId="26CABDFA" w:rsidR="00DB7E66" w:rsidRPr="00727C10" w:rsidRDefault="00DB7E66" w:rsidP="00DB7E66">
            <w:pPr>
              <w:ind w:right="-70"/>
              <w:rPr>
                <w:rFonts w:ascii="Arial Narrow" w:hAnsi="Arial Narrow" w:cs="Arial"/>
                <w:sz w:val="22"/>
                <w:szCs w:val="22"/>
              </w:rPr>
            </w:pPr>
            <w:r w:rsidRPr="00727C10">
              <w:rPr>
                <w:rFonts w:ascii="Arial Narrow" w:hAnsi="Arial Narrow" w:cs="Arial"/>
                <w:sz w:val="22"/>
                <w:szCs w:val="22"/>
              </w:rPr>
              <w:t>White/Caucasian</w:t>
            </w:r>
          </w:p>
        </w:tc>
        <w:tc>
          <w:tcPr>
            <w:tcW w:w="935" w:type="dxa"/>
            <w:gridSpan w:val="2"/>
          </w:tcPr>
          <w:p w14:paraId="22A80CCA" w14:textId="1CF81D80" w:rsidR="00DB7E66" w:rsidRPr="00727C10" w:rsidRDefault="00DB7E66" w:rsidP="00DB7E66">
            <w:pPr>
              <w:jc w:val="right"/>
              <w:rPr>
                <w:rFonts w:ascii="Arial Narrow" w:hAnsi="Arial Narrow" w:cs="Arial"/>
                <w:sz w:val="22"/>
                <w:szCs w:val="22"/>
              </w:rPr>
            </w:pPr>
            <w:r>
              <w:rPr>
                <w:rFonts w:ascii="Arial Narrow" w:hAnsi="Arial Narrow" w:cs="Calibri"/>
                <w:sz w:val="22"/>
                <w:szCs w:val="22"/>
              </w:rPr>
              <w:t>1,829</w:t>
            </w:r>
            <w:r w:rsidRPr="00727C10">
              <w:rPr>
                <w:rFonts w:ascii="Arial Narrow" w:hAnsi="Arial Narrow" w:cs="Calibri"/>
                <w:sz w:val="22"/>
                <w:szCs w:val="22"/>
              </w:rPr>
              <w:t xml:space="preserve"> </w:t>
            </w:r>
          </w:p>
        </w:tc>
        <w:tc>
          <w:tcPr>
            <w:tcW w:w="733" w:type="dxa"/>
            <w:vAlign w:val="center"/>
          </w:tcPr>
          <w:p w14:paraId="23FF554F" w14:textId="078DFA48"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38.6</w:t>
            </w:r>
            <w:r w:rsidR="00DB7E66" w:rsidRPr="006F4955">
              <w:rPr>
                <w:rFonts w:ascii="Arial Narrow" w:hAnsi="Arial Narrow" w:cs="Calibri"/>
                <w:color w:val="000000" w:themeColor="text1"/>
                <w:sz w:val="22"/>
                <w:szCs w:val="22"/>
              </w:rPr>
              <w:t>%</w:t>
            </w:r>
          </w:p>
        </w:tc>
        <w:tc>
          <w:tcPr>
            <w:tcW w:w="877" w:type="dxa"/>
            <w:gridSpan w:val="3"/>
            <w:vAlign w:val="center"/>
          </w:tcPr>
          <w:p w14:paraId="15788CD2" w14:textId="7279A481"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1,499</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4CBF14F4" w14:textId="53499A0C" w:rsidR="00DB7E66" w:rsidRPr="00DB7E66" w:rsidRDefault="006F4955" w:rsidP="00DB7E66">
            <w:pPr>
              <w:jc w:val="right"/>
              <w:rPr>
                <w:rFonts w:ascii="Arial Narrow" w:hAnsi="Arial Narrow" w:cs="Arial"/>
                <w:color w:val="FF0000"/>
                <w:sz w:val="22"/>
                <w:szCs w:val="22"/>
              </w:rPr>
            </w:pPr>
            <w:r w:rsidRPr="006F4955">
              <w:rPr>
                <w:rFonts w:ascii="Arial Narrow" w:hAnsi="Arial Narrow" w:cs="Calibri"/>
                <w:color w:val="000000" w:themeColor="text1"/>
                <w:sz w:val="22"/>
                <w:szCs w:val="22"/>
              </w:rPr>
              <w:t>36.4</w:t>
            </w:r>
            <w:r w:rsidR="00DB7E66" w:rsidRPr="006F4955">
              <w:rPr>
                <w:rFonts w:ascii="Arial Narrow" w:hAnsi="Arial Narrow" w:cs="Calibri"/>
                <w:color w:val="000000" w:themeColor="text1"/>
                <w:sz w:val="22"/>
                <w:szCs w:val="22"/>
              </w:rPr>
              <w:t>%</w:t>
            </w:r>
          </w:p>
        </w:tc>
        <w:tc>
          <w:tcPr>
            <w:tcW w:w="949" w:type="dxa"/>
            <w:gridSpan w:val="2"/>
            <w:vAlign w:val="center"/>
          </w:tcPr>
          <w:p w14:paraId="5993A51D" w14:textId="0B27D8DA"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1,732</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10322686" w14:textId="46510385"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36.8</w:t>
            </w:r>
            <w:r w:rsidR="00DB7E66" w:rsidRPr="006F4955">
              <w:rPr>
                <w:rFonts w:ascii="Arial Narrow" w:hAnsi="Arial Narrow" w:cs="Calibri"/>
                <w:color w:val="000000" w:themeColor="text1"/>
                <w:sz w:val="22"/>
                <w:szCs w:val="22"/>
              </w:rPr>
              <w:t>%</w:t>
            </w:r>
          </w:p>
        </w:tc>
        <w:tc>
          <w:tcPr>
            <w:tcW w:w="878" w:type="dxa"/>
            <w:vAlign w:val="center"/>
          </w:tcPr>
          <w:p w14:paraId="6EFCA61D" w14:textId="52F4F1C6"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447</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6D7D92A7" w14:textId="549CF21A"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37.8</w:t>
            </w:r>
            <w:r w:rsidR="00DB7E66" w:rsidRPr="00547C3B">
              <w:rPr>
                <w:rFonts w:ascii="Arial Narrow" w:hAnsi="Arial Narrow" w:cs="Calibri"/>
                <w:color w:val="000000" w:themeColor="text1"/>
                <w:sz w:val="22"/>
                <w:szCs w:val="22"/>
              </w:rPr>
              <w:t>%</w:t>
            </w:r>
          </w:p>
        </w:tc>
      </w:tr>
      <w:tr w:rsidR="00DB7E66" w:rsidRPr="00727C10" w14:paraId="3AFAC9F8" w14:textId="77777777" w:rsidTr="002D3000">
        <w:trPr>
          <w:cantSplit/>
          <w:trHeight w:val="144"/>
          <w:jc w:val="center"/>
        </w:trPr>
        <w:tc>
          <w:tcPr>
            <w:tcW w:w="2781" w:type="dxa"/>
            <w:gridSpan w:val="2"/>
            <w:tcBorders>
              <w:left w:val="single" w:sz="12" w:space="0" w:color="auto"/>
            </w:tcBorders>
            <w:vAlign w:val="center"/>
          </w:tcPr>
          <w:p w14:paraId="37E50584" w14:textId="4A483ECD" w:rsidR="00DB7E66" w:rsidRPr="00727C10" w:rsidRDefault="00DB7E66" w:rsidP="00DB7E66">
            <w:pPr>
              <w:ind w:right="-70"/>
              <w:rPr>
                <w:rFonts w:ascii="Arial Narrow" w:hAnsi="Arial Narrow" w:cs="Arial"/>
                <w:sz w:val="22"/>
                <w:szCs w:val="22"/>
              </w:rPr>
            </w:pPr>
            <w:r w:rsidRPr="00727C10">
              <w:rPr>
                <w:rFonts w:ascii="Arial Narrow" w:hAnsi="Arial Narrow" w:cs="Arial"/>
                <w:sz w:val="22"/>
                <w:szCs w:val="22"/>
              </w:rPr>
              <w:t>Other</w:t>
            </w:r>
            <w:r w:rsidR="00FB167B">
              <w:rPr>
                <w:rFonts w:ascii="ZWAdobeF" w:hAnsi="ZWAdobeF" w:cs="ZWAdobeF"/>
                <w:sz w:val="2"/>
                <w:szCs w:val="2"/>
              </w:rPr>
              <w:t>26F</w:t>
            </w:r>
            <w:r>
              <w:rPr>
                <w:rStyle w:val="FootnoteReference"/>
                <w:rFonts w:ascii="Arial Narrow" w:hAnsi="Arial Narrow" w:cs="Arial"/>
                <w:sz w:val="22"/>
                <w:szCs w:val="22"/>
              </w:rPr>
              <w:footnoteReference w:id="27"/>
            </w:r>
          </w:p>
        </w:tc>
        <w:tc>
          <w:tcPr>
            <w:tcW w:w="935" w:type="dxa"/>
            <w:gridSpan w:val="2"/>
          </w:tcPr>
          <w:p w14:paraId="681178B6" w14:textId="57CCF542" w:rsidR="00DB7E66" w:rsidRPr="00727C10" w:rsidRDefault="00DB7E66" w:rsidP="00DB7E66">
            <w:pPr>
              <w:jc w:val="right"/>
              <w:rPr>
                <w:rFonts w:ascii="Arial Narrow" w:hAnsi="Arial Narrow" w:cs="Arial"/>
                <w:sz w:val="22"/>
                <w:szCs w:val="22"/>
              </w:rPr>
            </w:pPr>
            <w:r>
              <w:rPr>
                <w:rFonts w:ascii="Arial Narrow" w:hAnsi="Arial Narrow" w:cs="Calibri"/>
                <w:sz w:val="22"/>
                <w:szCs w:val="22"/>
              </w:rPr>
              <w:t>767</w:t>
            </w:r>
            <w:r w:rsidRPr="00727C10">
              <w:rPr>
                <w:rFonts w:ascii="Arial Narrow" w:hAnsi="Arial Narrow" w:cs="Calibri"/>
                <w:sz w:val="22"/>
                <w:szCs w:val="22"/>
              </w:rPr>
              <w:t xml:space="preserve"> </w:t>
            </w:r>
          </w:p>
        </w:tc>
        <w:tc>
          <w:tcPr>
            <w:tcW w:w="733" w:type="dxa"/>
            <w:vAlign w:val="center"/>
          </w:tcPr>
          <w:p w14:paraId="0150BD35" w14:textId="7E2AEB0C"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16.2</w:t>
            </w:r>
            <w:r w:rsidR="00DB7E66" w:rsidRPr="006F4955">
              <w:rPr>
                <w:rFonts w:ascii="Arial Narrow" w:hAnsi="Arial Narrow" w:cs="Calibri"/>
                <w:color w:val="000000" w:themeColor="text1"/>
                <w:sz w:val="22"/>
                <w:szCs w:val="22"/>
              </w:rPr>
              <w:t>%</w:t>
            </w:r>
          </w:p>
        </w:tc>
        <w:tc>
          <w:tcPr>
            <w:tcW w:w="877" w:type="dxa"/>
            <w:gridSpan w:val="3"/>
            <w:vAlign w:val="center"/>
          </w:tcPr>
          <w:p w14:paraId="11773AA0" w14:textId="60B43680"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405</w:t>
            </w:r>
            <w:r w:rsidR="00DB7E66" w:rsidRPr="006F4955">
              <w:rPr>
                <w:rFonts w:ascii="Arial Narrow" w:hAnsi="Arial Narrow" w:cs="Calibri"/>
                <w:color w:val="000000" w:themeColor="text1"/>
                <w:sz w:val="22"/>
                <w:szCs w:val="22"/>
              </w:rPr>
              <w:t xml:space="preserve"> </w:t>
            </w:r>
          </w:p>
        </w:tc>
        <w:tc>
          <w:tcPr>
            <w:tcW w:w="738" w:type="dxa"/>
            <w:gridSpan w:val="2"/>
            <w:vAlign w:val="center"/>
          </w:tcPr>
          <w:p w14:paraId="2610D196" w14:textId="14064F6C" w:rsidR="00DB7E66" w:rsidRPr="00DB7E66" w:rsidRDefault="006F4955" w:rsidP="00DB7E66">
            <w:pPr>
              <w:jc w:val="right"/>
              <w:rPr>
                <w:rFonts w:ascii="Arial Narrow" w:hAnsi="Arial Narrow" w:cs="Arial"/>
                <w:color w:val="FF0000"/>
                <w:sz w:val="22"/>
                <w:szCs w:val="22"/>
              </w:rPr>
            </w:pPr>
            <w:r w:rsidRPr="006F4955">
              <w:rPr>
                <w:rFonts w:ascii="Arial Narrow" w:hAnsi="Arial Narrow" w:cs="Calibri"/>
                <w:color w:val="000000" w:themeColor="text1"/>
                <w:sz w:val="22"/>
                <w:szCs w:val="22"/>
              </w:rPr>
              <w:t>9.8</w:t>
            </w:r>
            <w:r w:rsidR="00DB7E66" w:rsidRPr="006F4955">
              <w:rPr>
                <w:rFonts w:ascii="Arial Narrow" w:hAnsi="Arial Narrow" w:cs="Calibri"/>
                <w:color w:val="000000" w:themeColor="text1"/>
                <w:sz w:val="22"/>
                <w:szCs w:val="22"/>
              </w:rPr>
              <w:t>%</w:t>
            </w:r>
          </w:p>
        </w:tc>
        <w:tc>
          <w:tcPr>
            <w:tcW w:w="949" w:type="dxa"/>
            <w:gridSpan w:val="2"/>
            <w:vAlign w:val="center"/>
          </w:tcPr>
          <w:p w14:paraId="6E453514" w14:textId="4460578F"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222</w:t>
            </w:r>
            <w:r w:rsidR="00DB7E66" w:rsidRPr="006F4955">
              <w:rPr>
                <w:rFonts w:ascii="Arial Narrow" w:hAnsi="Arial Narrow" w:cs="Calibri"/>
                <w:color w:val="000000" w:themeColor="text1"/>
                <w:sz w:val="22"/>
                <w:szCs w:val="22"/>
              </w:rPr>
              <w:t xml:space="preserve"> </w:t>
            </w:r>
          </w:p>
        </w:tc>
        <w:tc>
          <w:tcPr>
            <w:tcW w:w="734" w:type="dxa"/>
            <w:gridSpan w:val="2"/>
            <w:vAlign w:val="center"/>
          </w:tcPr>
          <w:p w14:paraId="701230B1" w14:textId="3FDDFBBE" w:rsidR="00DB7E66" w:rsidRPr="006F4955" w:rsidRDefault="006F4955" w:rsidP="00DB7E66">
            <w:pPr>
              <w:jc w:val="right"/>
              <w:rPr>
                <w:rFonts w:ascii="Arial Narrow" w:hAnsi="Arial Narrow" w:cs="Arial"/>
                <w:color w:val="000000" w:themeColor="text1"/>
                <w:sz w:val="22"/>
                <w:szCs w:val="22"/>
              </w:rPr>
            </w:pPr>
            <w:r w:rsidRPr="006F4955">
              <w:rPr>
                <w:rFonts w:ascii="Arial Narrow" w:hAnsi="Arial Narrow" w:cs="Calibri"/>
                <w:color w:val="000000" w:themeColor="text1"/>
                <w:sz w:val="22"/>
                <w:szCs w:val="22"/>
              </w:rPr>
              <w:t>4.7</w:t>
            </w:r>
            <w:r w:rsidR="00DB7E66" w:rsidRPr="006F4955">
              <w:rPr>
                <w:rFonts w:ascii="Arial Narrow" w:hAnsi="Arial Narrow" w:cs="Calibri"/>
                <w:color w:val="000000" w:themeColor="text1"/>
                <w:sz w:val="22"/>
                <w:szCs w:val="22"/>
              </w:rPr>
              <w:t>%</w:t>
            </w:r>
          </w:p>
        </w:tc>
        <w:tc>
          <w:tcPr>
            <w:tcW w:w="878" w:type="dxa"/>
            <w:vAlign w:val="center"/>
          </w:tcPr>
          <w:p w14:paraId="04E2F89B" w14:textId="6D79FE05"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59</w:t>
            </w:r>
            <w:r w:rsidR="00DB7E66" w:rsidRPr="00547C3B">
              <w:rPr>
                <w:rFonts w:ascii="Arial Narrow" w:hAnsi="Arial Narrow" w:cs="Calibri"/>
                <w:color w:val="000000" w:themeColor="text1"/>
                <w:sz w:val="22"/>
                <w:szCs w:val="22"/>
              </w:rPr>
              <w:t xml:space="preserve"> </w:t>
            </w:r>
          </w:p>
        </w:tc>
        <w:tc>
          <w:tcPr>
            <w:tcW w:w="730" w:type="dxa"/>
            <w:tcBorders>
              <w:right w:val="single" w:sz="12" w:space="0" w:color="auto"/>
            </w:tcBorders>
            <w:vAlign w:val="center"/>
          </w:tcPr>
          <w:p w14:paraId="126800FE" w14:textId="7AC5B732" w:rsidR="00DB7E66" w:rsidRPr="00547C3B" w:rsidRDefault="00547C3B" w:rsidP="00DB7E66">
            <w:pPr>
              <w:jc w:val="right"/>
              <w:rPr>
                <w:rFonts w:ascii="Arial Narrow" w:hAnsi="Arial Narrow" w:cs="Arial"/>
                <w:color w:val="000000" w:themeColor="text1"/>
                <w:sz w:val="22"/>
                <w:szCs w:val="22"/>
              </w:rPr>
            </w:pPr>
            <w:r w:rsidRPr="00547C3B">
              <w:rPr>
                <w:rFonts w:ascii="Arial Narrow" w:hAnsi="Arial Narrow" w:cs="Calibri"/>
                <w:color w:val="000000" w:themeColor="text1"/>
                <w:sz w:val="22"/>
                <w:szCs w:val="22"/>
              </w:rPr>
              <w:t>5.0</w:t>
            </w:r>
            <w:r w:rsidR="00DB7E66" w:rsidRPr="00547C3B">
              <w:rPr>
                <w:rFonts w:ascii="Arial Narrow" w:hAnsi="Arial Narrow" w:cs="Calibri"/>
                <w:color w:val="000000" w:themeColor="text1"/>
                <w:sz w:val="22"/>
                <w:szCs w:val="22"/>
              </w:rPr>
              <w:t>%</w:t>
            </w:r>
          </w:p>
        </w:tc>
      </w:tr>
      <w:tr w:rsidR="002D3000" w:rsidRPr="00727C10" w14:paraId="66C9BC0A" w14:textId="77777777" w:rsidTr="002D3000">
        <w:trPr>
          <w:cantSplit/>
          <w:trHeight w:val="144"/>
          <w:jc w:val="center"/>
        </w:trPr>
        <w:tc>
          <w:tcPr>
            <w:tcW w:w="2775" w:type="dxa"/>
            <w:tcBorders>
              <w:left w:val="single" w:sz="12" w:space="0" w:color="auto"/>
              <w:right w:val="single" w:sz="12" w:space="0" w:color="auto"/>
            </w:tcBorders>
            <w:shd w:val="clear" w:color="auto" w:fill="D9E2F3" w:themeFill="accent1" w:themeFillTint="33"/>
          </w:tcPr>
          <w:p w14:paraId="390E1666" w14:textId="77777777" w:rsidR="002D3000" w:rsidRPr="00727C10" w:rsidRDefault="002D3000" w:rsidP="00DB7E66">
            <w:pPr>
              <w:rPr>
                <w:rFonts w:ascii="Arial Narrow" w:hAnsi="Arial Narrow" w:cs="Arial"/>
                <w:b/>
                <w:bCs/>
                <w:sz w:val="22"/>
                <w:szCs w:val="22"/>
              </w:rPr>
            </w:pPr>
            <w:r w:rsidRPr="00727C10">
              <w:rPr>
                <w:rFonts w:ascii="Arial Narrow" w:hAnsi="Arial Narrow" w:cs="Arial"/>
                <w:b/>
                <w:bCs/>
                <w:sz w:val="22"/>
                <w:szCs w:val="22"/>
              </w:rPr>
              <w:t>Geographic Origin</w:t>
            </w:r>
            <w:r>
              <w:rPr>
                <w:rFonts w:ascii="ZWAdobeF" w:hAnsi="ZWAdobeF" w:cs="ZWAdobeF"/>
                <w:bCs/>
                <w:sz w:val="2"/>
                <w:szCs w:val="2"/>
              </w:rPr>
              <w:t>27F</w:t>
            </w:r>
            <w:r w:rsidRPr="00727C10">
              <w:rPr>
                <w:rStyle w:val="FootnoteReference"/>
                <w:rFonts w:ascii="Arial Narrow" w:hAnsi="Arial Narrow" w:cs="Arial"/>
                <w:b/>
                <w:bCs/>
                <w:sz w:val="22"/>
                <w:szCs w:val="22"/>
              </w:rPr>
              <w:footnoteReference w:id="28"/>
            </w:r>
          </w:p>
        </w:tc>
        <w:tc>
          <w:tcPr>
            <w:tcW w:w="900" w:type="dxa"/>
            <w:gridSpan w:val="2"/>
            <w:tcBorders>
              <w:left w:val="single" w:sz="12" w:space="0" w:color="auto"/>
              <w:right w:val="single" w:sz="12" w:space="0" w:color="auto"/>
            </w:tcBorders>
            <w:shd w:val="clear" w:color="auto" w:fill="D9E2F3" w:themeFill="accent1" w:themeFillTint="33"/>
          </w:tcPr>
          <w:p w14:paraId="6C7E223D" w14:textId="77777777" w:rsidR="002D3000" w:rsidRPr="00727C10" w:rsidRDefault="002D3000" w:rsidP="00DB7E66">
            <w:pPr>
              <w:rPr>
                <w:rFonts w:ascii="Arial Narrow" w:hAnsi="Arial Narrow" w:cs="Arial"/>
                <w:b/>
                <w:bCs/>
                <w:sz w:val="22"/>
                <w:szCs w:val="22"/>
              </w:rPr>
            </w:pPr>
          </w:p>
        </w:tc>
        <w:tc>
          <w:tcPr>
            <w:tcW w:w="810" w:type="dxa"/>
            <w:gridSpan w:val="3"/>
            <w:tcBorders>
              <w:left w:val="single" w:sz="12" w:space="0" w:color="auto"/>
              <w:right w:val="single" w:sz="12" w:space="0" w:color="auto"/>
            </w:tcBorders>
            <w:shd w:val="clear" w:color="auto" w:fill="D9E2F3" w:themeFill="accent1" w:themeFillTint="33"/>
          </w:tcPr>
          <w:p w14:paraId="3DF48089" w14:textId="77777777" w:rsidR="002D3000" w:rsidRPr="00727C10" w:rsidRDefault="002D3000" w:rsidP="00DB7E66">
            <w:pPr>
              <w:rPr>
                <w:rFonts w:ascii="Arial Narrow" w:hAnsi="Arial Narrow" w:cs="Arial"/>
                <w:b/>
                <w:bCs/>
                <w:sz w:val="22"/>
                <w:szCs w:val="22"/>
              </w:rPr>
            </w:pPr>
          </w:p>
        </w:tc>
        <w:tc>
          <w:tcPr>
            <w:tcW w:w="810" w:type="dxa"/>
            <w:tcBorders>
              <w:left w:val="single" w:sz="12" w:space="0" w:color="auto"/>
              <w:right w:val="single" w:sz="12" w:space="0" w:color="auto"/>
            </w:tcBorders>
            <w:shd w:val="clear" w:color="auto" w:fill="D9E2F3" w:themeFill="accent1" w:themeFillTint="33"/>
          </w:tcPr>
          <w:p w14:paraId="67F3E3B4" w14:textId="77777777" w:rsidR="002D3000" w:rsidRPr="00727C10" w:rsidRDefault="002D3000" w:rsidP="00DB7E66">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12736BBA" w14:textId="77777777" w:rsidR="002D3000" w:rsidRPr="00727C10" w:rsidRDefault="002D3000" w:rsidP="00DB7E66">
            <w:pPr>
              <w:rPr>
                <w:rFonts w:ascii="Arial Narrow" w:hAnsi="Arial Narrow" w:cs="Arial"/>
                <w:b/>
                <w:bCs/>
                <w:sz w:val="22"/>
                <w:szCs w:val="22"/>
              </w:rPr>
            </w:pPr>
          </w:p>
        </w:tc>
        <w:tc>
          <w:tcPr>
            <w:tcW w:w="990" w:type="dxa"/>
            <w:gridSpan w:val="2"/>
            <w:tcBorders>
              <w:left w:val="single" w:sz="12" w:space="0" w:color="auto"/>
              <w:right w:val="single" w:sz="12" w:space="0" w:color="auto"/>
            </w:tcBorders>
            <w:shd w:val="clear" w:color="auto" w:fill="D9E2F3" w:themeFill="accent1" w:themeFillTint="33"/>
          </w:tcPr>
          <w:p w14:paraId="70F8714B" w14:textId="77777777" w:rsidR="002D3000" w:rsidRPr="00727C10" w:rsidRDefault="002D3000" w:rsidP="00DB7E66">
            <w:pPr>
              <w:rPr>
                <w:rFonts w:ascii="Arial Narrow" w:hAnsi="Arial Narrow" w:cs="Arial"/>
                <w:b/>
                <w:bCs/>
                <w:sz w:val="22"/>
                <w:szCs w:val="22"/>
              </w:rPr>
            </w:pPr>
          </w:p>
        </w:tc>
        <w:tc>
          <w:tcPr>
            <w:tcW w:w="720" w:type="dxa"/>
            <w:gridSpan w:val="2"/>
            <w:tcBorders>
              <w:left w:val="single" w:sz="12" w:space="0" w:color="auto"/>
              <w:right w:val="single" w:sz="12" w:space="0" w:color="auto"/>
            </w:tcBorders>
            <w:shd w:val="clear" w:color="auto" w:fill="D9E2F3" w:themeFill="accent1" w:themeFillTint="33"/>
          </w:tcPr>
          <w:p w14:paraId="061F4954" w14:textId="77777777" w:rsidR="002D3000" w:rsidRPr="00727C10" w:rsidRDefault="002D3000" w:rsidP="00DB7E66">
            <w:pPr>
              <w:rPr>
                <w:rFonts w:ascii="Arial Narrow" w:hAnsi="Arial Narrow" w:cs="Arial"/>
                <w:b/>
                <w:bCs/>
                <w:sz w:val="22"/>
                <w:szCs w:val="22"/>
              </w:rPr>
            </w:pPr>
          </w:p>
        </w:tc>
        <w:tc>
          <w:tcPr>
            <w:tcW w:w="900" w:type="dxa"/>
            <w:gridSpan w:val="2"/>
            <w:tcBorders>
              <w:left w:val="single" w:sz="12" w:space="0" w:color="auto"/>
              <w:right w:val="single" w:sz="12" w:space="0" w:color="auto"/>
            </w:tcBorders>
            <w:shd w:val="clear" w:color="auto" w:fill="D9E2F3" w:themeFill="accent1" w:themeFillTint="33"/>
          </w:tcPr>
          <w:p w14:paraId="794CD163" w14:textId="77777777" w:rsidR="002D3000" w:rsidRPr="00727C10" w:rsidRDefault="002D3000" w:rsidP="00DB7E66">
            <w:pPr>
              <w:rPr>
                <w:rFonts w:ascii="Arial Narrow" w:hAnsi="Arial Narrow" w:cs="Arial"/>
                <w:b/>
                <w:bCs/>
                <w:sz w:val="22"/>
                <w:szCs w:val="22"/>
              </w:rPr>
            </w:pPr>
          </w:p>
        </w:tc>
        <w:tc>
          <w:tcPr>
            <w:tcW w:w="730" w:type="dxa"/>
            <w:tcBorders>
              <w:left w:val="single" w:sz="12" w:space="0" w:color="auto"/>
              <w:right w:val="single" w:sz="12" w:space="0" w:color="auto"/>
            </w:tcBorders>
            <w:shd w:val="clear" w:color="auto" w:fill="D9E2F3" w:themeFill="accent1" w:themeFillTint="33"/>
          </w:tcPr>
          <w:p w14:paraId="071C6134" w14:textId="50F3EE69" w:rsidR="002D3000" w:rsidRPr="00727C10" w:rsidRDefault="002D3000" w:rsidP="00DB7E66">
            <w:pPr>
              <w:rPr>
                <w:rFonts w:ascii="Arial Narrow" w:hAnsi="Arial Narrow" w:cs="Arial"/>
                <w:b/>
                <w:bCs/>
                <w:sz w:val="22"/>
                <w:szCs w:val="22"/>
              </w:rPr>
            </w:pPr>
          </w:p>
        </w:tc>
      </w:tr>
      <w:tr w:rsidR="00DB7E66" w:rsidRPr="00727C10" w14:paraId="53404F8B" w14:textId="77777777" w:rsidTr="002D3000">
        <w:trPr>
          <w:cantSplit/>
          <w:trHeight w:val="144"/>
          <w:jc w:val="center"/>
        </w:trPr>
        <w:tc>
          <w:tcPr>
            <w:tcW w:w="2781" w:type="dxa"/>
            <w:gridSpan w:val="2"/>
            <w:tcBorders>
              <w:left w:val="single" w:sz="12" w:space="0" w:color="auto"/>
            </w:tcBorders>
          </w:tcPr>
          <w:p w14:paraId="643FB5A8"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 xml:space="preserve">Dorchester </w:t>
            </w:r>
          </w:p>
        </w:tc>
        <w:tc>
          <w:tcPr>
            <w:tcW w:w="935" w:type="dxa"/>
            <w:gridSpan w:val="2"/>
          </w:tcPr>
          <w:p w14:paraId="7B28C8B1" w14:textId="25C76266" w:rsidR="00DB7E66" w:rsidRPr="00727C10" w:rsidRDefault="00547C3B" w:rsidP="00DB7E66">
            <w:pPr>
              <w:jc w:val="right"/>
              <w:rPr>
                <w:rFonts w:ascii="Arial Narrow" w:hAnsi="Arial Narrow" w:cs="Arial"/>
                <w:sz w:val="22"/>
                <w:szCs w:val="22"/>
              </w:rPr>
            </w:pPr>
            <w:r>
              <w:rPr>
                <w:rFonts w:ascii="Arial Narrow" w:hAnsi="Arial Narrow" w:cs="Calibri"/>
                <w:sz w:val="22"/>
                <w:szCs w:val="22"/>
              </w:rPr>
              <w:t>718</w:t>
            </w:r>
            <w:r w:rsidR="00DB7E66" w:rsidRPr="00727C10">
              <w:rPr>
                <w:rFonts w:ascii="Arial Narrow" w:hAnsi="Arial Narrow" w:cs="Calibri"/>
                <w:sz w:val="22"/>
                <w:szCs w:val="22"/>
              </w:rPr>
              <w:t xml:space="preserve"> </w:t>
            </w:r>
          </w:p>
        </w:tc>
        <w:tc>
          <w:tcPr>
            <w:tcW w:w="733" w:type="dxa"/>
          </w:tcPr>
          <w:p w14:paraId="66A82642" w14:textId="19FAEA27" w:rsidR="00DB7E66" w:rsidRPr="00727C10" w:rsidRDefault="00DB7E66" w:rsidP="00DB7E66">
            <w:pPr>
              <w:jc w:val="right"/>
              <w:rPr>
                <w:rFonts w:ascii="Arial Narrow" w:hAnsi="Arial Narrow" w:cs="Arial"/>
                <w:sz w:val="22"/>
                <w:szCs w:val="22"/>
              </w:rPr>
            </w:pPr>
            <w:r w:rsidRPr="00727C10">
              <w:rPr>
                <w:rFonts w:ascii="Arial Narrow" w:hAnsi="Arial Narrow" w:cs="Calibri"/>
                <w:sz w:val="22"/>
                <w:szCs w:val="22"/>
              </w:rPr>
              <w:t>1</w:t>
            </w:r>
            <w:r w:rsidR="00547C3B">
              <w:rPr>
                <w:rFonts w:ascii="Arial Narrow" w:hAnsi="Arial Narrow" w:cs="Calibri"/>
                <w:sz w:val="22"/>
                <w:szCs w:val="22"/>
              </w:rPr>
              <w:t>5</w:t>
            </w:r>
            <w:r w:rsidRPr="00727C10">
              <w:rPr>
                <w:rFonts w:ascii="Arial Narrow" w:hAnsi="Arial Narrow" w:cs="Calibri"/>
                <w:sz w:val="22"/>
                <w:szCs w:val="22"/>
              </w:rPr>
              <w:t>.1%</w:t>
            </w:r>
          </w:p>
        </w:tc>
        <w:tc>
          <w:tcPr>
            <w:tcW w:w="877" w:type="dxa"/>
            <w:gridSpan w:val="3"/>
          </w:tcPr>
          <w:p w14:paraId="5BD0AAD6" w14:textId="6DCA2C06" w:rsidR="00DB7E66" w:rsidRPr="00727C10" w:rsidRDefault="00547C3B" w:rsidP="00DB7E66">
            <w:pPr>
              <w:jc w:val="right"/>
              <w:rPr>
                <w:rFonts w:ascii="Arial Narrow" w:hAnsi="Arial Narrow" w:cs="Arial"/>
                <w:sz w:val="22"/>
                <w:szCs w:val="22"/>
              </w:rPr>
            </w:pPr>
            <w:r>
              <w:rPr>
                <w:rFonts w:ascii="Arial Narrow" w:hAnsi="Arial Narrow" w:cs="Calibri"/>
                <w:sz w:val="22"/>
                <w:szCs w:val="22"/>
              </w:rPr>
              <w:t>714</w:t>
            </w:r>
            <w:r w:rsidR="00DB7E66" w:rsidRPr="00727C10">
              <w:rPr>
                <w:rFonts w:ascii="Arial Narrow" w:hAnsi="Arial Narrow" w:cs="Calibri"/>
                <w:sz w:val="22"/>
                <w:szCs w:val="22"/>
              </w:rPr>
              <w:t xml:space="preserve"> </w:t>
            </w:r>
          </w:p>
        </w:tc>
        <w:tc>
          <w:tcPr>
            <w:tcW w:w="738" w:type="dxa"/>
            <w:gridSpan w:val="2"/>
          </w:tcPr>
          <w:p w14:paraId="6F36AD0E" w14:textId="7C7E921B" w:rsidR="00DB7E66" w:rsidRPr="00727C10" w:rsidRDefault="00DB7E66" w:rsidP="00DB7E66">
            <w:pPr>
              <w:jc w:val="right"/>
              <w:rPr>
                <w:rFonts w:ascii="Arial Narrow" w:hAnsi="Arial Narrow" w:cs="Arial"/>
                <w:sz w:val="22"/>
                <w:szCs w:val="22"/>
              </w:rPr>
            </w:pPr>
            <w:r w:rsidRPr="00727C10">
              <w:rPr>
                <w:rFonts w:ascii="Arial Narrow" w:hAnsi="Arial Narrow" w:cs="Calibri"/>
                <w:sz w:val="22"/>
                <w:szCs w:val="22"/>
              </w:rPr>
              <w:t>1</w:t>
            </w:r>
            <w:r w:rsidR="00547C3B">
              <w:rPr>
                <w:rFonts w:ascii="Arial Narrow" w:hAnsi="Arial Narrow" w:cs="Calibri"/>
                <w:sz w:val="22"/>
                <w:szCs w:val="22"/>
              </w:rPr>
              <w:t>7</w:t>
            </w:r>
            <w:r w:rsidRPr="00727C10">
              <w:rPr>
                <w:rFonts w:ascii="Arial Narrow" w:hAnsi="Arial Narrow" w:cs="Calibri"/>
                <w:sz w:val="22"/>
                <w:szCs w:val="22"/>
              </w:rPr>
              <w:t>.</w:t>
            </w:r>
            <w:r w:rsidR="00547C3B">
              <w:rPr>
                <w:rFonts w:ascii="Arial Narrow" w:hAnsi="Arial Narrow" w:cs="Calibri"/>
                <w:sz w:val="22"/>
                <w:szCs w:val="22"/>
              </w:rPr>
              <w:t>4</w:t>
            </w:r>
            <w:r w:rsidRPr="00727C10">
              <w:rPr>
                <w:rFonts w:ascii="Arial Narrow" w:hAnsi="Arial Narrow" w:cs="Calibri"/>
                <w:sz w:val="22"/>
                <w:szCs w:val="22"/>
              </w:rPr>
              <w:t>%</w:t>
            </w:r>
          </w:p>
        </w:tc>
        <w:tc>
          <w:tcPr>
            <w:tcW w:w="949" w:type="dxa"/>
            <w:gridSpan w:val="2"/>
          </w:tcPr>
          <w:p w14:paraId="1F99DFB5" w14:textId="596CCC89" w:rsidR="00DB7E66" w:rsidRPr="00A2642E" w:rsidRDefault="00547C3B"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773</w:t>
            </w:r>
            <w:r w:rsidR="00DB7E66" w:rsidRPr="00A2642E">
              <w:rPr>
                <w:rFonts w:ascii="Arial Narrow" w:hAnsi="Arial Narrow" w:cs="Calibri"/>
                <w:color w:val="000000" w:themeColor="text1"/>
                <w:sz w:val="22"/>
                <w:szCs w:val="22"/>
              </w:rPr>
              <w:t xml:space="preserve"> </w:t>
            </w:r>
          </w:p>
        </w:tc>
        <w:tc>
          <w:tcPr>
            <w:tcW w:w="734" w:type="dxa"/>
            <w:gridSpan w:val="2"/>
          </w:tcPr>
          <w:p w14:paraId="6D27F2B3" w14:textId="2A3C3E1E"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16.</w:t>
            </w:r>
            <w:r w:rsidR="00547C3B" w:rsidRPr="00A2642E">
              <w:rPr>
                <w:rFonts w:ascii="Arial Narrow" w:hAnsi="Arial Narrow" w:cs="Calibri"/>
                <w:color w:val="000000" w:themeColor="text1"/>
                <w:sz w:val="22"/>
                <w:szCs w:val="22"/>
              </w:rPr>
              <w:t>4</w:t>
            </w:r>
            <w:r w:rsidRPr="00A2642E">
              <w:rPr>
                <w:rFonts w:ascii="Arial Narrow" w:hAnsi="Arial Narrow" w:cs="Calibri"/>
                <w:color w:val="000000" w:themeColor="text1"/>
                <w:sz w:val="22"/>
                <w:szCs w:val="22"/>
              </w:rPr>
              <w:t>%</w:t>
            </w:r>
          </w:p>
        </w:tc>
        <w:tc>
          <w:tcPr>
            <w:tcW w:w="878" w:type="dxa"/>
          </w:tcPr>
          <w:p w14:paraId="3096B5F6" w14:textId="4243EFF8" w:rsidR="00DB7E66" w:rsidRPr="003933EE" w:rsidRDefault="00A2642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205</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20CF7ECD" w14:textId="746CA23A"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1</w:t>
            </w:r>
            <w:r w:rsidR="00A2642E" w:rsidRPr="003933EE">
              <w:rPr>
                <w:rFonts w:ascii="Arial Narrow" w:hAnsi="Arial Narrow" w:cs="Calibri"/>
                <w:color w:val="000000" w:themeColor="text1"/>
                <w:sz w:val="22"/>
                <w:szCs w:val="22"/>
              </w:rPr>
              <w:t>7</w:t>
            </w:r>
            <w:r w:rsidRPr="003933EE">
              <w:rPr>
                <w:rFonts w:ascii="Arial Narrow" w:hAnsi="Arial Narrow" w:cs="Calibri"/>
                <w:color w:val="000000" w:themeColor="text1"/>
                <w:sz w:val="22"/>
                <w:szCs w:val="22"/>
              </w:rPr>
              <w:t>.</w:t>
            </w:r>
            <w:r w:rsidR="00A2642E" w:rsidRPr="003933EE">
              <w:rPr>
                <w:rFonts w:ascii="Arial Narrow" w:hAnsi="Arial Narrow" w:cs="Calibri"/>
                <w:color w:val="000000" w:themeColor="text1"/>
                <w:sz w:val="22"/>
                <w:szCs w:val="22"/>
              </w:rPr>
              <w:t>3</w:t>
            </w:r>
            <w:r w:rsidRPr="003933EE">
              <w:rPr>
                <w:rFonts w:ascii="Arial Narrow" w:hAnsi="Arial Narrow" w:cs="Calibri"/>
                <w:color w:val="000000" w:themeColor="text1"/>
                <w:sz w:val="22"/>
                <w:szCs w:val="22"/>
              </w:rPr>
              <w:t>%</w:t>
            </w:r>
          </w:p>
        </w:tc>
      </w:tr>
      <w:tr w:rsidR="00DB7E66" w:rsidRPr="00727C10" w14:paraId="392A2FD2" w14:textId="77777777" w:rsidTr="002D3000">
        <w:trPr>
          <w:cantSplit/>
          <w:trHeight w:val="144"/>
          <w:jc w:val="center"/>
        </w:trPr>
        <w:tc>
          <w:tcPr>
            <w:tcW w:w="2781" w:type="dxa"/>
            <w:gridSpan w:val="2"/>
            <w:tcBorders>
              <w:left w:val="single" w:sz="12" w:space="0" w:color="auto"/>
            </w:tcBorders>
          </w:tcPr>
          <w:p w14:paraId="653875DD"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Boston</w:t>
            </w:r>
          </w:p>
        </w:tc>
        <w:tc>
          <w:tcPr>
            <w:tcW w:w="935" w:type="dxa"/>
            <w:gridSpan w:val="2"/>
          </w:tcPr>
          <w:p w14:paraId="420E8E7B" w14:textId="16522492"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558</w:t>
            </w:r>
            <w:r w:rsidR="00DB7E66" w:rsidRPr="00A2642E">
              <w:rPr>
                <w:rFonts w:ascii="Arial Narrow" w:hAnsi="Arial Narrow" w:cs="Calibri"/>
                <w:color w:val="000000" w:themeColor="text1"/>
                <w:sz w:val="22"/>
                <w:szCs w:val="22"/>
              </w:rPr>
              <w:t xml:space="preserve"> </w:t>
            </w:r>
          </w:p>
        </w:tc>
        <w:tc>
          <w:tcPr>
            <w:tcW w:w="733" w:type="dxa"/>
          </w:tcPr>
          <w:p w14:paraId="437CCD70" w14:textId="52179B6E"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w:t>
            </w:r>
            <w:r w:rsidR="00A2642E" w:rsidRPr="00A2642E">
              <w:rPr>
                <w:rFonts w:ascii="Arial Narrow" w:hAnsi="Arial Narrow" w:cs="Calibri"/>
                <w:color w:val="000000" w:themeColor="text1"/>
                <w:sz w:val="22"/>
                <w:szCs w:val="22"/>
              </w:rPr>
              <w:t>1</w:t>
            </w:r>
            <w:r w:rsidRPr="00A2642E">
              <w:rPr>
                <w:rFonts w:ascii="Arial Narrow" w:hAnsi="Arial Narrow" w:cs="Calibri"/>
                <w:color w:val="000000" w:themeColor="text1"/>
                <w:sz w:val="22"/>
                <w:szCs w:val="22"/>
              </w:rPr>
              <w:t>.8%</w:t>
            </w:r>
          </w:p>
        </w:tc>
        <w:tc>
          <w:tcPr>
            <w:tcW w:w="877" w:type="dxa"/>
            <w:gridSpan w:val="3"/>
          </w:tcPr>
          <w:p w14:paraId="25E229D7" w14:textId="7A7CA2F0"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515</w:t>
            </w:r>
            <w:r w:rsidR="00DB7E66" w:rsidRPr="00A2642E">
              <w:rPr>
                <w:rFonts w:ascii="Arial Narrow" w:hAnsi="Arial Narrow" w:cs="Calibri"/>
                <w:color w:val="000000" w:themeColor="text1"/>
                <w:sz w:val="22"/>
                <w:szCs w:val="22"/>
              </w:rPr>
              <w:t xml:space="preserve"> </w:t>
            </w:r>
          </w:p>
        </w:tc>
        <w:tc>
          <w:tcPr>
            <w:tcW w:w="738" w:type="dxa"/>
            <w:gridSpan w:val="2"/>
          </w:tcPr>
          <w:p w14:paraId="706BE303" w14:textId="4A0391B5"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w:t>
            </w:r>
            <w:r w:rsidR="00A2642E" w:rsidRPr="00A2642E">
              <w:rPr>
                <w:rFonts w:ascii="Arial Narrow" w:hAnsi="Arial Narrow" w:cs="Calibri"/>
                <w:color w:val="000000" w:themeColor="text1"/>
                <w:sz w:val="22"/>
                <w:szCs w:val="22"/>
              </w:rPr>
              <w:t>2.5</w:t>
            </w:r>
            <w:r w:rsidRPr="00A2642E">
              <w:rPr>
                <w:rFonts w:ascii="Arial Narrow" w:hAnsi="Arial Narrow" w:cs="Calibri"/>
                <w:color w:val="000000" w:themeColor="text1"/>
                <w:sz w:val="22"/>
                <w:szCs w:val="22"/>
              </w:rPr>
              <w:t>%</w:t>
            </w:r>
          </w:p>
        </w:tc>
        <w:tc>
          <w:tcPr>
            <w:tcW w:w="949" w:type="dxa"/>
            <w:gridSpan w:val="2"/>
          </w:tcPr>
          <w:p w14:paraId="75F0D5FC" w14:textId="79008250"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573</w:t>
            </w:r>
            <w:r w:rsidR="00DB7E66" w:rsidRPr="00A2642E">
              <w:rPr>
                <w:rFonts w:ascii="Arial Narrow" w:hAnsi="Arial Narrow" w:cs="Calibri"/>
                <w:color w:val="000000" w:themeColor="text1"/>
                <w:sz w:val="22"/>
                <w:szCs w:val="22"/>
              </w:rPr>
              <w:t xml:space="preserve"> </w:t>
            </w:r>
          </w:p>
        </w:tc>
        <w:tc>
          <w:tcPr>
            <w:tcW w:w="734" w:type="dxa"/>
            <w:gridSpan w:val="2"/>
          </w:tcPr>
          <w:p w14:paraId="334E13F7" w14:textId="31D65A27"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12.2</w:t>
            </w:r>
            <w:r w:rsidR="00DB7E66" w:rsidRPr="00A2642E">
              <w:rPr>
                <w:rFonts w:ascii="Arial Narrow" w:hAnsi="Arial Narrow" w:cs="Calibri"/>
                <w:color w:val="000000" w:themeColor="text1"/>
                <w:sz w:val="22"/>
                <w:szCs w:val="22"/>
              </w:rPr>
              <w:t>%</w:t>
            </w:r>
          </w:p>
        </w:tc>
        <w:tc>
          <w:tcPr>
            <w:tcW w:w="878" w:type="dxa"/>
          </w:tcPr>
          <w:p w14:paraId="5560C877" w14:textId="7C0AD636"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149</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7CF75FFC" w14:textId="6430E371"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1</w:t>
            </w:r>
            <w:r w:rsidR="003933EE" w:rsidRPr="003933EE">
              <w:rPr>
                <w:rFonts w:ascii="Arial Narrow" w:hAnsi="Arial Narrow" w:cs="Calibri"/>
                <w:color w:val="000000" w:themeColor="text1"/>
                <w:sz w:val="22"/>
                <w:szCs w:val="22"/>
              </w:rPr>
              <w:t>2.6</w:t>
            </w:r>
            <w:r w:rsidRPr="003933EE">
              <w:rPr>
                <w:rFonts w:ascii="Arial Narrow" w:hAnsi="Arial Narrow" w:cs="Calibri"/>
                <w:color w:val="000000" w:themeColor="text1"/>
                <w:sz w:val="22"/>
                <w:szCs w:val="22"/>
              </w:rPr>
              <w:t>%</w:t>
            </w:r>
          </w:p>
        </w:tc>
      </w:tr>
      <w:tr w:rsidR="00DB7E66" w:rsidRPr="00727C10" w14:paraId="7AA3B7EC" w14:textId="77777777" w:rsidTr="002D3000">
        <w:trPr>
          <w:cantSplit/>
          <w:trHeight w:val="144"/>
          <w:jc w:val="center"/>
        </w:trPr>
        <w:tc>
          <w:tcPr>
            <w:tcW w:w="2781" w:type="dxa"/>
            <w:gridSpan w:val="2"/>
            <w:tcBorders>
              <w:left w:val="single" w:sz="12" w:space="0" w:color="auto"/>
            </w:tcBorders>
          </w:tcPr>
          <w:p w14:paraId="22796D13"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Roxbury</w:t>
            </w:r>
          </w:p>
        </w:tc>
        <w:tc>
          <w:tcPr>
            <w:tcW w:w="935" w:type="dxa"/>
            <w:gridSpan w:val="2"/>
          </w:tcPr>
          <w:p w14:paraId="275A26F4" w14:textId="225E9BB1"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225</w:t>
            </w:r>
            <w:r w:rsidR="00DB7E66" w:rsidRPr="00A2642E">
              <w:rPr>
                <w:rFonts w:ascii="Arial Narrow" w:hAnsi="Arial Narrow" w:cs="Calibri"/>
                <w:color w:val="000000" w:themeColor="text1"/>
                <w:sz w:val="22"/>
                <w:szCs w:val="22"/>
              </w:rPr>
              <w:t xml:space="preserve"> </w:t>
            </w:r>
          </w:p>
        </w:tc>
        <w:tc>
          <w:tcPr>
            <w:tcW w:w="733" w:type="dxa"/>
          </w:tcPr>
          <w:p w14:paraId="48952932" w14:textId="775BCE09"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4.7</w:t>
            </w:r>
            <w:r w:rsidR="00DB7E66" w:rsidRPr="00A2642E">
              <w:rPr>
                <w:rFonts w:ascii="Arial Narrow" w:hAnsi="Arial Narrow" w:cs="Calibri"/>
                <w:color w:val="000000" w:themeColor="text1"/>
                <w:sz w:val="22"/>
                <w:szCs w:val="22"/>
              </w:rPr>
              <w:t>%</w:t>
            </w:r>
          </w:p>
        </w:tc>
        <w:tc>
          <w:tcPr>
            <w:tcW w:w="877" w:type="dxa"/>
            <w:gridSpan w:val="3"/>
          </w:tcPr>
          <w:p w14:paraId="1D5A32BE" w14:textId="123CC8B7"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228</w:t>
            </w:r>
            <w:r w:rsidR="00DB7E66" w:rsidRPr="00A2642E">
              <w:rPr>
                <w:rFonts w:ascii="Arial Narrow" w:hAnsi="Arial Narrow" w:cs="Calibri"/>
                <w:color w:val="000000" w:themeColor="text1"/>
                <w:sz w:val="22"/>
                <w:szCs w:val="22"/>
              </w:rPr>
              <w:t xml:space="preserve"> </w:t>
            </w:r>
          </w:p>
        </w:tc>
        <w:tc>
          <w:tcPr>
            <w:tcW w:w="738" w:type="dxa"/>
            <w:gridSpan w:val="2"/>
          </w:tcPr>
          <w:p w14:paraId="285952C1" w14:textId="559B6556"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5.</w:t>
            </w:r>
            <w:r w:rsidR="00A2642E" w:rsidRPr="00A2642E">
              <w:rPr>
                <w:rFonts w:ascii="Arial Narrow" w:hAnsi="Arial Narrow" w:cs="Calibri"/>
                <w:color w:val="000000" w:themeColor="text1"/>
                <w:sz w:val="22"/>
                <w:szCs w:val="22"/>
              </w:rPr>
              <w:t>5</w:t>
            </w:r>
            <w:r w:rsidRPr="00A2642E">
              <w:rPr>
                <w:rFonts w:ascii="Arial Narrow" w:hAnsi="Arial Narrow" w:cs="Calibri"/>
                <w:color w:val="000000" w:themeColor="text1"/>
                <w:sz w:val="22"/>
                <w:szCs w:val="22"/>
              </w:rPr>
              <w:t>%</w:t>
            </w:r>
          </w:p>
        </w:tc>
        <w:tc>
          <w:tcPr>
            <w:tcW w:w="949" w:type="dxa"/>
            <w:gridSpan w:val="2"/>
          </w:tcPr>
          <w:p w14:paraId="05C884A4" w14:textId="34C2858B"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230</w:t>
            </w:r>
            <w:r w:rsidR="00DB7E66" w:rsidRPr="00A2642E">
              <w:rPr>
                <w:rFonts w:ascii="Arial Narrow" w:hAnsi="Arial Narrow" w:cs="Calibri"/>
                <w:color w:val="000000" w:themeColor="text1"/>
                <w:sz w:val="22"/>
                <w:szCs w:val="22"/>
              </w:rPr>
              <w:t xml:space="preserve"> </w:t>
            </w:r>
          </w:p>
        </w:tc>
        <w:tc>
          <w:tcPr>
            <w:tcW w:w="734" w:type="dxa"/>
            <w:gridSpan w:val="2"/>
          </w:tcPr>
          <w:p w14:paraId="789548D6" w14:textId="3CF1AC3F"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4.9</w:t>
            </w:r>
            <w:r w:rsidR="00DB7E66" w:rsidRPr="00A2642E">
              <w:rPr>
                <w:rFonts w:ascii="Arial Narrow" w:hAnsi="Arial Narrow" w:cs="Calibri"/>
                <w:color w:val="000000" w:themeColor="text1"/>
                <w:sz w:val="22"/>
                <w:szCs w:val="22"/>
              </w:rPr>
              <w:t>%</w:t>
            </w:r>
          </w:p>
        </w:tc>
        <w:tc>
          <w:tcPr>
            <w:tcW w:w="878" w:type="dxa"/>
          </w:tcPr>
          <w:p w14:paraId="121841F7" w14:textId="239F43AA"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61</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47A75CE6" w14:textId="0216C392"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5.</w:t>
            </w:r>
            <w:r w:rsidR="003933EE" w:rsidRPr="003933EE">
              <w:rPr>
                <w:rFonts w:ascii="Arial Narrow" w:hAnsi="Arial Narrow" w:cs="Calibri"/>
                <w:color w:val="000000" w:themeColor="text1"/>
                <w:sz w:val="22"/>
                <w:szCs w:val="22"/>
              </w:rPr>
              <w:t>2</w:t>
            </w:r>
            <w:r w:rsidRPr="003933EE">
              <w:rPr>
                <w:rFonts w:ascii="Arial Narrow" w:hAnsi="Arial Narrow" w:cs="Calibri"/>
                <w:color w:val="000000" w:themeColor="text1"/>
                <w:sz w:val="22"/>
                <w:szCs w:val="22"/>
              </w:rPr>
              <w:t>%</w:t>
            </w:r>
          </w:p>
        </w:tc>
      </w:tr>
      <w:tr w:rsidR="00DB7E66" w:rsidRPr="00727C10" w14:paraId="6B49B014" w14:textId="77777777" w:rsidTr="002D3000">
        <w:trPr>
          <w:cantSplit/>
          <w:trHeight w:val="144"/>
          <w:jc w:val="center"/>
        </w:trPr>
        <w:tc>
          <w:tcPr>
            <w:tcW w:w="2781" w:type="dxa"/>
            <w:gridSpan w:val="2"/>
            <w:tcBorders>
              <w:left w:val="single" w:sz="12" w:space="0" w:color="auto"/>
            </w:tcBorders>
          </w:tcPr>
          <w:p w14:paraId="75D3C6CD"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 xml:space="preserve">Brockton </w:t>
            </w:r>
          </w:p>
        </w:tc>
        <w:tc>
          <w:tcPr>
            <w:tcW w:w="935" w:type="dxa"/>
            <w:gridSpan w:val="2"/>
          </w:tcPr>
          <w:p w14:paraId="587EA03B" w14:textId="3FF7B302"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192</w:t>
            </w:r>
            <w:r w:rsidR="00DB7E66" w:rsidRPr="00A2642E">
              <w:rPr>
                <w:rFonts w:ascii="Arial Narrow" w:hAnsi="Arial Narrow" w:cs="Calibri"/>
                <w:color w:val="000000" w:themeColor="text1"/>
                <w:sz w:val="22"/>
                <w:szCs w:val="22"/>
              </w:rPr>
              <w:t xml:space="preserve"> </w:t>
            </w:r>
          </w:p>
        </w:tc>
        <w:tc>
          <w:tcPr>
            <w:tcW w:w="733" w:type="dxa"/>
          </w:tcPr>
          <w:p w14:paraId="0CD5D7B8" w14:textId="7490FE7A"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4.0</w:t>
            </w:r>
            <w:r w:rsidR="00DB7E66" w:rsidRPr="00A2642E">
              <w:rPr>
                <w:rFonts w:ascii="Arial Narrow" w:hAnsi="Arial Narrow" w:cs="Calibri"/>
                <w:color w:val="000000" w:themeColor="text1"/>
                <w:sz w:val="22"/>
                <w:szCs w:val="22"/>
              </w:rPr>
              <w:t>%</w:t>
            </w:r>
          </w:p>
        </w:tc>
        <w:tc>
          <w:tcPr>
            <w:tcW w:w="877" w:type="dxa"/>
            <w:gridSpan w:val="3"/>
          </w:tcPr>
          <w:p w14:paraId="02C170FC" w14:textId="67C0BB38"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187</w:t>
            </w:r>
            <w:r w:rsidR="00DB7E66" w:rsidRPr="00A2642E">
              <w:rPr>
                <w:rFonts w:ascii="Arial Narrow" w:hAnsi="Arial Narrow" w:cs="Calibri"/>
                <w:color w:val="000000" w:themeColor="text1"/>
                <w:sz w:val="22"/>
                <w:szCs w:val="22"/>
              </w:rPr>
              <w:t xml:space="preserve"> </w:t>
            </w:r>
          </w:p>
        </w:tc>
        <w:tc>
          <w:tcPr>
            <w:tcW w:w="738" w:type="dxa"/>
            <w:gridSpan w:val="2"/>
          </w:tcPr>
          <w:p w14:paraId="52181D6E" w14:textId="0A8FDB08"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4.5</w:t>
            </w:r>
            <w:r w:rsidR="00DB7E66" w:rsidRPr="00A2642E">
              <w:rPr>
                <w:rFonts w:ascii="Arial Narrow" w:hAnsi="Arial Narrow" w:cs="Calibri"/>
                <w:color w:val="000000" w:themeColor="text1"/>
                <w:sz w:val="22"/>
                <w:szCs w:val="22"/>
              </w:rPr>
              <w:t>%</w:t>
            </w:r>
          </w:p>
        </w:tc>
        <w:tc>
          <w:tcPr>
            <w:tcW w:w="949" w:type="dxa"/>
            <w:gridSpan w:val="2"/>
          </w:tcPr>
          <w:p w14:paraId="022DF369" w14:textId="311BE5D4"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184</w:t>
            </w:r>
            <w:r w:rsidR="00DB7E66" w:rsidRPr="00A2642E">
              <w:rPr>
                <w:rFonts w:ascii="Arial Narrow" w:hAnsi="Arial Narrow" w:cs="Calibri"/>
                <w:color w:val="000000" w:themeColor="text1"/>
                <w:sz w:val="22"/>
                <w:szCs w:val="22"/>
              </w:rPr>
              <w:t xml:space="preserve"> </w:t>
            </w:r>
          </w:p>
        </w:tc>
        <w:tc>
          <w:tcPr>
            <w:tcW w:w="734" w:type="dxa"/>
            <w:gridSpan w:val="2"/>
          </w:tcPr>
          <w:p w14:paraId="37DFC395" w14:textId="5AD720CB"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3.</w:t>
            </w:r>
            <w:r w:rsidR="00A2642E" w:rsidRPr="00A2642E">
              <w:rPr>
                <w:rFonts w:ascii="Arial Narrow" w:hAnsi="Arial Narrow" w:cs="Calibri"/>
                <w:color w:val="000000" w:themeColor="text1"/>
                <w:sz w:val="22"/>
                <w:szCs w:val="22"/>
              </w:rPr>
              <w:t>9</w:t>
            </w:r>
            <w:r w:rsidRPr="00A2642E">
              <w:rPr>
                <w:rFonts w:ascii="Arial Narrow" w:hAnsi="Arial Narrow" w:cs="Calibri"/>
                <w:color w:val="000000" w:themeColor="text1"/>
                <w:sz w:val="22"/>
                <w:szCs w:val="22"/>
              </w:rPr>
              <w:t>%</w:t>
            </w:r>
          </w:p>
        </w:tc>
        <w:tc>
          <w:tcPr>
            <w:tcW w:w="878" w:type="dxa"/>
          </w:tcPr>
          <w:p w14:paraId="1E5F0D11" w14:textId="406E661E"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45</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3F84F8CD" w14:textId="064246DB"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3.</w:t>
            </w:r>
            <w:r w:rsidR="003933EE" w:rsidRPr="003933EE">
              <w:rPr>
                <w:rFonts w:ascii="Arial Narrow" w:hAnsi="Arial Narrow" w:cs="Calibri"/>
                <w:color w:val="000000" w:themeColor="text1"/>
                <w:sz w:val="22"/>
                <w:szCs w:val="22"/>
              </w:rPr>
              <w:t>8</w:t>
            </w:r>
            <w:r w:rsidRPr="003933EE">
              <w:rPr>
                <w:rFonts w:ascii="Arial Narrow" w:hAnsi="Arial Narrow" w:cs="Calibri"/>
                <w:color w:val="000000" w:themeColor="text1"/>
                <w:sz w:val="22"/>
                <w:szCs w:val="22"/>
              </w:rPr>
              <w:t>%</w:t>
            </w:r>
          </w:p>
        </w:tc>
      </w:tr>
      <w:tr w:rsidR="00DB7E66" w:rsidRPr="00727C10" w14:paraId="7CD2C0EB" w14:textId="77777777" w:rsidTr="002D3000">
        <w:trPr>
          <w:cantSplit/>
          <w:trHeight w:val="144"/>
          <w:jc w:val="center"/>
        </w:trPr>
        <w:tc>
          <w:tcPr>
            <w:tcW w:w="2781" w:type="dxa"/>
            <w:gridSpan w:val="2"/>
            <w:tcBorders>
              <w:left w:val="single" w:sz="12" w:space="0" w:color="auto"/>
            </w:tcBorders>
          </w:tcPr>
          <w:p w14:paraId="04F4E6C8"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 xml:space="preserve">Mattapan </w:t>
            </w:r>
          </w:p>
        </w:tc>
        <w:tc>
          <w:tcPr>
            <w:tcW w:w="935" w:type="dxa"/>
            <w:gridSpan w:val="2"/>
          </w:tcPr>
          <w:p w14:paraId="42462F58" w14:textId="6827BE1F"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148</w:t>
            </w:r>
            <w:r w:rsidR="00DB7E66" w:rsidRPr="00A2642E">
              <w:rPr>
                <w:rFonts w:ascii="Arial Narrow" w:hAnsi="Arial Narrow" w:cs="Calibri"/>
                <w:color w:val="000000" w:themeColor="text1"/>
                <w:sz w:val="22"/>
                <w:szCs w:val="22"/>
              </w:rPr>
              <w:t xml:space="preserve"> </w:t>
            </w:r>
          </w:p>
        </w:tc>
        <w:tc>
          <w:tcPr>
            <w:tcW w:w="733" w:type="dxa"/>
          </w:tcPr>
          <w:p w14:paraId="19930EA6" w14:textId="2ACE1BFC"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3.</w:t>
            </w:r>
            <w:r w:rsidR="00A2642E" w:rsidRPr="00A2642E">
              <w:rPr>
                <w:rFonts w:ascii="Arial Narrow" w:hAnsi="Arial Narrow" w:cs="Calibri"/>
                <w:color w:val="000000" w:themeColor="text1"/>
                <w:sz w:val="22"/>
                <w:szCs w:val="22"/>
              </w:rPr>
              <w:t>1</w:t>
            </w:r>
            <w:r w:rsidRPr="00A2642E">
              <w:rPr>
                <w:rFonts w:ascii="Arial Narrow" w:hAnsi="Arial Narrow" w:cs="Calibri"/>
                <w:color w:val="000000" w:themeColor="text1"/>
                <w:sz w:val="22"/>
                <w:szCs w:val="22"/>
              </w:rPr>
              <w:t>%</w:t>
            </w:r>
          </w:p>
        </w:tc>
        <w:tc>
          <w:tcPr>
            <w:tcW w:w="877" w:type="dxa"/>
            <w:gridSpan w:val="3"/>
          </w:tcPr>
          <w:p w14:paraId="39A5BB50" w14:textId="7F2E3C6D"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115</w:t>
            </w:r>
            <w:r w:rsidR="00DB7E66" w:rsidRPr="00A2642E">
              <w:rPr>
                <w:rFonts w:ascii="Arial Narrow" w:hAnsi="Arial Narrow" w:cs="Calibri"/>
                <w:color w:val="000000" w:themeColor="text1"/>
                <w:sz w:val="22"/>
                <w:szCs w:val="22"/>
              </w:rPr>
              <w:t xml:space="preserve"> </w:t>
            </w:r>
          </w:p>
        </w:tc>
        <w:tc>
          <w:tcPr>
            <w:tcW w:w="738" w:type="dxa"/>
            <w:gridSpan w:val="2"/>
          </w:tcPr>
          <w:p w14:paraId="260FD111" w14:textId="7073F31F"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2.8</w:t>
            </w:r>
            <w:r w:rsidR="00DB7E66" w:rsidRPr="00A2642E">
              <w:rPr>
                <w:rFonts w:ascii="Arial Narrow" w:hAnsi="Arial Narrow" w:cs="Calibri"/>
                <w:color w:val="000000" w:themeColor="text1"/>
                <w:sz w:val="22"/>
                <w:szCs w:val="22"/>
              </w:rPr>
              <w:t>%</w:t>
            </w:r>
          </w:p>
        </w:tc>
        <w:tc>
          <w:tcPr>
            <w:tcW w:w="949" w:type="dxa"/>
            <w:gridSpan w:val="2"/>
          </w:tcPr>
          <w:p w14:paraId="47D44D52" w14:textId="467B3175"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160</w:t>
            </w:r>
            <w:r w:rsidR="00DB7E66" w:rsidRPr="00A2642E">
              <w:rPr>
                <w:rFonts w:ascii="Arial Narrow" w:hAnsi="Arial Narrow" w:cs="Calibri"/>
                <w:color w:val="000000" w:themeColor="text1"/>
                <w:sz w:val="22"/>
                <w:szCs w:val="22"/>
              </w:rPr>
              <w:t xml:space="preserve"> </w:t>
            </w:r>
          </w:p>
        </w:tc>
        <w:tc>
          <w:tcPr>
            <w:tcW w:w="734" w:type="dxa"/>
            <w:gridSpan w:val="2"/>
          </w:tcPr>
          <w:p w14:paraId="36A71BF4" w14:textId="6D39AACC"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3.</w:t>
            </w:r>
            <w:r w:rsidR="00A2642E" w:rsidRPr="00A2642E">
              <w:rPr>
                <w:rFonts w:ascii="Arial Narrow" w:hAnsi="Arial Narrow" w:cs="Calibri"/>
                <w:color w:val="000000" w:themeColor="text1"/>
                <w:sz w:val="22"/>
                <w:szCs w:val="22"/>
              </w:rPr>
              <w:t>4</w:t>
            </w:r>
            <w:r w:rsidRPr="00A2642E">
              <w:rPr>
                <w:rFonts w:ascii="Arial Narrow" w:hAnsi="Arial Narrow" w:cs="Calibri"/>
                <w:color w:val="000000" w:themeColor="text1"/>
                <w:sz w:val="22"/>
                <w:szCs w:val="22"/>
              </w:rPr>
              <w:t>%</w:t>
            </w:r>
          </w:p>
        </w:tc>
        <w:tc>
          <w:tcPr>
            <w:tcW w:w="878" w:type="dxa"/>
          </w:tcPr>
          <w:p w14:paraId="43E83F53" w14:textId="4395B5D7"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31</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3FD22B45" w14:textId="505F772C"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w:t>
            </w:r>
            <w:r w:rsidR="00DB7E66" w:rsidRPr="003933EE">
              <w:rPr>
                <w:rFonts w:ascii="Arial Narrow" w:hAnsi="Arial Narrow" w:cs="Calibri"/>
                <w:color w:val="000000" w:themeColor="text1"/>
                <w:sz w:val="22"/>
                <w:szCs w:val="22"/>
              </w:rPr>
              <w:t>.6%</w:t>
            </w:r>
          </w:p>
        </w:tc>
      </w:tr>
      <w:tr w:rsidR="00DB7E66" w:rsidRPr="00727C10" w14:paraId="7E45DBDE" w14:textId="77777777" w:rsidTr="002D3000">
        <w:trPr>
          <w:cantSplit/>
          <w:trHeight w:val="144"/>
          <w:jc w:val="center"/>
        </w:trPr>
        <w:tc>
          <w:tcPr>
            <w:tcW w:w="2781" w:type="dxa"/>
            <w:gridSpan w:val="2"/>
            <w:tcBorders>
              <w:left w:val="single" w:sz="12" w:space="0" w:color="auto"/>
            </w:tcBorders>
          </w:tcPr>
          <w:p w14:paraId="3C3FE2D2" w14:textId="68E57171" w:rsidR="00DB7E66" w:rsidRPr="00727C10" w:rsidRDefault="00547C3B" w:rsidP="00DB7E66">
            <w:pPr>
              <w:rPr>
                <w:rFonts w:ascii="Arial Narrow" w:hAnsi="Arial Narrow" w:cs="Arial"/>
                <w:sz w:val="22"/>
                <w:szCs w:val="22"/>
              </w:rPr>
            </w:pPr>
            <w:r>
              <w:rPr>
                <w:rFonts w:ascii="Arial Narrow" w:hAnsi="Arial Narrow" w:cs="Arial"/>
                <w:sz w:val="22"/>
                <w:szCs w:val="22"/>
              </w:rPr>
              <w:t>Quincy</w:t>
            </w:r>
            <w:r w:rsidR="00DB7E66" w:rsidRPr="00727C10">
              <w:rPr>
                <w:rFonts w:ascii="Arial Narrow" w:hAnsi="Arial Narrow" w:cs="Arial"/>
                <w:sz w:val="22"/>
                <w:szCs w:val="22"/>
              </w:rPr>
              <w:t xml:space="preserve"> </w:t>
            </w:r>
          </w:p>
        </w:tc>
        <w:tc>
          <w:tcPr>
            <w:tcW w:w="935" w:type="dxa"/>
            <w:gridSpan w:val="2"/>
          </w:tcPr>
          <w:p w14:paraId="79ED580B" w14:textId="443FF3EA"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129</w:t>
            </w:r>
            <w:r w:rsidR="00DB7E66" w:rsidRPr="00A2642E">
              <w:rPr>
                <w:rFonts w:ascii="Arial Narrow" w:hAnsi="Arial Narrow" w:cs="Calibri"/>
                <w:color w:val="000000" w:themeColor="text1"/>
                <w:sz w:val="22"/>
                <w:szCs w:val="22"/>
              </w:rPr>
              <w:t xml:space="preserve"> </w:t>
            </w:r>
          </w:p>
        </w:tc>
        <w:tc>
          <w:tcPr>
            <w:tcW w:w="733" w:type="dxa"/>
          </w:tcPr>
          <w:p w14:paraId="2157A252" w14:textId="1FEC6A4D"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2.7</w:t>
            </w:r>
            <w:r w:rsidR="00DB7E66" w:rsidRPr="00A2642E">
              <w:rPr>
                <w:rFonts w:ascii="Arial Narrow" w:hAnsi="Arial Narrow" w:cs="Calibri"/>
                <w:color w:val="000000" w:themeColor="text1"/>
                <w:sz w:val="22"/>
                <w:szCs w:val="22"/>
              </w:rPr>
              <w:t>%</w:t>
            </w:r>
          </w:p>
        </w:tc>
        <w:tc>
          <w:tcPr>
            <w:tcW w:w="877" w:type="dxa"/>
            <w:gridSpan w:val="3"/>
          </w:tcPr>
          <w:p w14:paraId="39FAF53D" w14:textId="33DA71AB"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127</w:t>
            </w:r>
            <w:r w:rsidR="00DB7E66" w:rsidRPr="00A2642E">
              <w:rPr>
                <w:rFonts w:ascii="Arial Narrow" w:hAnsi="Arial Narrow" w:cs="Calibri"/>
                <w:color w:val="000000" w:themeColor="text1"/>
                <w:sz w:val="22"/>
                <w:szCs w:val="22"/>
              </w:rPr>
              <w:t xml:space="preserve"> </w:t>
            </w:r>
          </w:p>
        </w:tc>
        <w:tc>
          <w:tcPr>
            <w:tcW w:w="738" w:type="dxa"/>
            <w:gridSpan w:val="2"/>
          </w:tcPr>
          <w:p w14:paraId="6B9EE9A4" w14:textId="3D96AFAC"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3.</w:t>
            </w:r>
            <w:r w:rsidR="00A2642E" w:rsidRPr="00A2642E">
              <w:rPr>
                <w:rFonts w:ascii="Arial Narrow" w:hAnsi="Arial Narrow" w:cs="Calibri"/>
                <w:color w:val="000000" w:themeColor="text1"/>
                <w:sz w:val="22"/>
                <w:szCs w:val="22"/>
              </w:rPr>
              <w:t>1</w:t>
            </w:r>
            <w:r w:rsidRPr="00A2642E">
              <w:rPr>
                <w:rFonts w:ascii="Arial Narrow" w:hAnsi="Arial Narrow" w:cs="Calibri"/>
                <w:color w:val="000000" w:themeColor="text1"/>
                <w:sz w:val="22"/>
                <w:szCs w:val="22"/>
              </w:rPr>
              <w:t>%</w:t>
            </w:r>
          </w:p>
        </w:tc>
        <w:tc>
          <w:tcPr>
            <w:tcW w:w="949" w:type="dxa"/>
            <w:gridSpan w:val="2"/>
          </w:tcPr>
          <w:p w14:paraId="4A763988" w14:textId="5576F4C7"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164</w:t>
            </w:r>
            <w:r w:rsidR="00DB7E66" w:rsidRPr="00A2642E">
              <w:rPr>
                <w:rFonts w:ascii="Arial Narrow" w:hAnsi="Arial Narrow" w:cs="Calibri"/>
                <w:color w:val="000000" w:themeColor="text1"/>
                <w:sz w:val="22"/>
                <w:szCs w:val="22"/>
              </w:rPr>
              <w:t xml:space="preserve"> </w:t>
            </w:r>
          </w:p>
        </w:tc>
        <w:tc>
          <w:tcPr>
            <w:tcW w:w="734" w:type="dxa"/>
            <w:gridSpan w:val="2"/>
          </w:tcPr>
          <w:p w14:paraId="3489E11C" w14:textId="1ADA6466"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3.</w:t>
            </w:r>
            <w:r w:rsidR="00A2642E" w:rsidRPr="00A2642E">
              <w:rPr>
                <w:rFonts w:ascii="Arial Narrow" w:hAnsi="Arial Narrow" w:cs="Calibri"/>
                <w:color w:val="000000" w:themeColor="text1"/>
                <w:sz w:val="22"/>
                <w:szCs w:val="22"/>
              </w:rPr>
              <w:t>5</w:t>
            </w:r>
            <w:r w:rsidRPr="00A2642E">
              <w:rPr>
                <w:rFonts w:ascii="Arial Narrow" w:hAnsi="Arial Narrow" w:cs="Calibri"/>
                <w:color w:val="000000" w:themeColor="text1"/>
                <w:sz w:val="22"/>
                <w:szCs w:val="22"/>
              </w:rPr>
              <w:t>%</w:t>
            </w:r>
          </w:p>
        </w:tc>
        <w:tc>
          <w:tcPr>
            <w:tcW w:w="878" w:type="dxa"/>
          </w:tcPr>
          <w:p w14:paraId="288DCCAF" w14:textId="5A8FBDDC"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25</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62F2236C" w14:textId="075C89D8"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w:t>
            </w:r>
            <w:r w:rsidR="00DB7E66" w:rsidRPr="003933EE">
              <w:rPr>
                <w:rFonts w:ascii="Arial Narrow" w:hAnsi="Arial Narrow" w:cs="Calibri"/>
                <w:color w:val="000000" w:themeColor="text1"/>
                <w:sz w:val="22"/>
                <w:szCs w:val="22"/>
              </w:rPr>
              <w:t>.</w:t>
            </w:r>
            <w:r w:rsidRPr="003933EE">
              <w:rPr>
                <w:rFonts w:ascii="Arial Narrow" w:hAnsi="Arial Narrow" w:cs="Calibri"/>
                <w:color w:val="000000" w:themeColor="text1"/>
                <w:sz w:val="22"/>
                <w:szCs w:val="22"/>
              </w:rPr>
              <w:t>1</w:t>
            </w:r>
            <w:r w:rsidR="00DB7E66" w:rsidRPr="003933EE">
              <w:rPr>
                <w:rFonts w:ascii="Arial Narrow" w:hAnsi="Arial Narrow" w:cs="Calibri"/>
                <w:color w:val="000000" w:themeColor="text1"/>
                <w:sz w:val="22"/>
                <w:szCs w:val="22"/>
              </w:rPr>
              <w:t>%</w:t>
            </w:r>
          </w:p>
        </w:tc>
      </w:tr>
      <w:tr w:rsidR="00DB7E66" w:rsidRPr="00727C10" w14:paraId="66C7E5E0" w14:textId="77777777" w:rsidTr="002D3000">
        <w:trPr>
          <w:cantSplit/>
          <w:trHeight w:val="144"/>
          <w:jc w:val="center"/>
        </w:trPr>
        <w:tc>
          <w:tcPr>
            <w:tcW w:w="2781" w:type="dxa"/>
            <w:gridSpan w:val="2"/>
            <w:tcBorders>
              <w:left w:val="single" w:sz="12" w:space="0" w:color="auto"/>
            </w:tcBorders>
          </w:tcPr>
          <w:p w14:paraId="5910DA98"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 xml:space="preserve">Revere </w:t>
            </w:r>
          </w:p>
        </w:tc>
        <w:tc>
          <w:tcPr>
            <w:tcW w:w="935" w:type="dxa"/>
            <w:gridSpan w:val="2"/>
          </w:tcPr>
          <w:p w14:paraId="769ED84D" w14:textId="6E148683"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115</w:t>
            </w:r>
            <w:r w:rsidR="00DB7E66" w:rsidRPr="00A2642E">
              <w:rPr>
                <w:rFonts w:ascii="Arial Narrow" w:hAnsi="Arial Narrow" w:cs="Calibri"/>
                <w:color w:val="000000" w:themeColor="text1"/>
                <w:sz w:val="22"/>
                <w:szCs w:val="22"/>
              </w:rPr>
              <w:t xml:space="preserve"> </w:t>
            </w:r>
          </w:p>
        </w:tc>
        <w:tc>
          <w:tcPr>
            <w:tcW w:w="733" w:type="dxa"/>
          </w:tcPr>
          <w:p w14:paraId="46DCEF11" w14:textId="3C7F7497"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4</w:t>
            </w:r>
            <w:r w:rsidRPr="00A2642E">
              <w:rPr>
                <w:rFonts w:ascii="Arial Narrow" w:hAnsi="Arial Narrow" w:cs="Calibri"/>
                <w:color w:val="000000" w:themeColor="text1"/>
                <w:sz w:val="22"/>
                <w:szCs w:val="22"/>
              </w:rPr>
              <w:t>%</w:t>
            </w:r>
          </w:p>
        </w:tc>
        <w:tc>
          <w:tcPr>
            <w:tcW w:w="877" w:type="dxa"/>
            <w:gridSpan w:val="3"/>
          </w:tcPr>
          <w:p w14:paraId="24CC4B00" w14:textId="7F79BCDE"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92</w:t>
            </w:r>
            <w:r w:rsidR="00DB7E66" w:rsidRPr="00A2642E">
              <w:rPr>
                <w:rFonts w:ascii="Arial Narrow" w:hAnsi="Arial Narrow" w:cs="Calibri"/>
                <w:color w:val="000000" w:themeColor="text1"/>
                <w:sz w:val="22"/>
                <w:szCs w:val="22"/>
              </w:rPr>
              <w:t xml:space="preserve"> </w:t>
            </w:r>
          </w:p>
        </w:tc>
        <w:tc>
          <w:tcPr>
            <w:tcW w:w="738" w:type="dxa"/>
            <w:gridSpan w:val="2"/>
          </w:tcPr>
          <w:p w14:paraId="4C660116" w14:textId="7B4BC72F"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2</w:t>
            </w:r>
            <w:r w:rsidRPr="00A2642E">
              <w:rPr>
                <w:rFonts w:ascii="Arial Narrow" w:hAnsi="Arial Narrow" w:cs="Calibri"/>
                <w:color w:val="000000" w:themeColor="text1"/>
                <w:sz w:val="22"/>
                <w:szCs w:val="22"/>
              </w:rPr>
              <w:t>%</w:t>
            </w:r>
          </w:p>
        </w:tc>
        <w:tc>
          <w:tcPr>
            <w:tcW w:w="949" w:type="dxa"/>
            <w:gridSpan w:val="2"/>
          </w:tcPr>
          <w:p w14:paraId="00448AC7" w14:textId="25A1B8B1"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107</w:t>
            </w:r>
            <w:r w:rsidR="00DB7E66" w:rsidRPr="00A2642E">
              <w:rPr>
                <w:rFonts w:ascii="Arial Narrow" w:hAnsi="Arial Narrow" w:cs="Calibri"/>
                <w:color w:val="000000" w:themeColor="text1"/>
                <w:sz w:val="22"/>
                <w:szCs w:val="22"/>
              </w:rPr>
              <w:t xml:space="preserve"> </w:t>
            </w:r>
          </w:p>
        </w:tc>
        <w:tc>
          <w:tcPr>
            <w:tcW w:w="734" w:type="dxa"/>
            <w:gridSpan w:val="2"/>
          </w:tcPr>
          <w:p w14:paraId="608CA957" w14:textId="77777777"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2.3%</w:t>
            </w:r>
          </w:p>
        </w:tc>
        <w:tc>
          <w:tcPr>
            <w:tcW w:w="878" w:type="dxa"/>
          </w:tcPr>
          <w:p w14:paraId="0F495F87" w14:textId="2F0B2B7A"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30</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0CE275A5" w14:textId="7BF1076D"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w:t>
            </w:r>
            <w:r w:rsidR="003933EE" w:rsidRPr="003933EE">
              <w:rPr>
                <w:rFonts w:ascii="Arial Narrow" w:hAnsi="Arial Narrow" w:cs="Calibri"/>
                <w:color w:val="000000" w:themeColor="text1"/>
                <w:sz w:val="22"/>
                <w:szCs w:val="22"/>
              </w:rPr>
              <w:t>5</w:t>
            </w:r>
            <w:r w:rsidRPr="003933EE">
              <w:rPr>
                <w:rFonts w:ascii="Arial Narrow" w:hAnsi="Arial Narrow" w:cs="Calibri"/>
                <w:color w:val="000000" w:themeColor="text1"/>
                <w:sz w:val="22"/>
                <w:szCs w:val="22"/>
              </w:rPr>
              <w:t>%</w:t>
            </w:r>
          </w:p>
        </w:tc>
      </w:tr>
      <w:tr w:rsidR="00DB7E66" w:rsidRPr="00727C10" w14:paraId="0E95496B" w14:textId="77777777" w:rsidTr="002D3000">
        <w:trPr>
          <w:cantSplit/>
          <w:trHeight w:val="144"/>
          <w:jc w:val="center"/>
        </w:trPr>
        <w:tc>
          <w:tcPr>
            <w:tcW w:w="2781" w:type="dxa"/>
            <w:gridSpan w:val="2"/>
            <w:tcBorders>
              <w:left w:val="single" w:sz="12" w:space="0" w:color="auto"/>
            </w:tcBorders>
          </w:tcPr>
          <w:p w14:paraId="1DCA9F4A" w14:textId="5D4E3D23" w:rsidR="00DB7E66" w:rsidRPr="00727C10" w:rsidRDefault="00547C3B" w:rsidP="00DB7E66">
            <w:pPr>
              <w:rPr>
                <w:rFonts w:ascii="Arial Narrow" w:hAnsi="Arial Narrow" w:cs="Arial"/>
                <w:sz w:val="22"/>
                <w:szCs w:val="22"/>
              </w:rPr>
            </w:pPr>
            <w:r>
              <w:rPr>
                <w:rFonts w:ascii="Arial Narrow" w:hAnsi="Arial Narrow" w:cs="Arial"/>
                <w:sz w:val="22"/>
                <w:szCs w:val="22"/>
              </w:rPr>
              <w:t>Hyde Park</w:t>
            </w:r>
          </w:p>
        </w:tc>
        <w:tc>
          <w:tcPr>
            <w:tcW w:w="935" w:type="dxa"/>
            <w:gridSpan w:val="2"/>
          </w:tcPr>
          <w:p w14:paraId="014D965B" w14:textId="5A116485"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111</w:t>
            </w:r>
            <w:r w:rsidR="00DB7E66" w:rsidRPr="00A2642E">
              <w:rPr>
                <w:rFonts w:ascii="Arial Narrow" w:hAnsi="Arial Narrow" w:cs="Calibri"/>
                <w:color w:val="000000" w:themeColor="text1"/>
                <w:sz w:val="22"/>
                <w:szCs w:val="22"/>
              </w:rPr>
              <w:t xml:space="preserve"> </w:t>
            </w:r>
          </w:p>
        </w:tc>
        <w:tc>
          <w:tcPr>
            <w:tcW w:w="733" w:type="dxa"/>
          </w:tcPr>
          <w:p w14:paraId="188DC494" w14:textId="5C8FCA5B"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3</w:t>
            </w:r>
            <w:r w:rsidRPr="00A2642E">
              <w:rPr>
                <w:rFonts w:ascii="Arial Narrow" w:hAnsi="Arial Narrow" w:cs="Calibri"/>
                <w:color w:val="000000" w:themeColor="text1"/>
                <w:sz w:val="22"/>
                <w:szCs w:val="22"/>
              </w:rPr>
              <w:t>%</w:t>
            </w:r>
          </w:p>
        </w:tc>
        <w:tc>
          <w:tcPr>
            <w:tcW w:w="877" w:type="dxa"/>
            <w:gridSpan w:val="3"/>
          </w:tcPr>
          <w:p w14:paraId="11BB18FE" w14:textId="0F495B3A"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75</w:t>
            </w:r>
            <w:r w:rsidR="00DB7E66" w:rsidRPr="00A2642E">
              <w:rPr>
                <w:rFonts w:ascii="Arial Narrow" w:hAnsi="Arial Narrow" w:cs="Calibri"/>
                <w:color w:val="000000" w:themeColor="text1"/>
                <w:sz w:val="22"/>
                <w:szCs w:val="22"/>
              </w:rPr>
              <w:t xml:space="preserve"> </w:t>
            </w:r>
          </w:p>
        </w:tc>
        <w:tc>
          <w:tcPr>
            <w:tcW w:w="738" w:type="dxa"/>
            <w:gridSpan w:val="2"/>
          </w:tcPr>
          <w:p w14:paraId="51BA823B" w14:textId="12BCCFB7"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1.8</w:t>
            </w:r>
            <w:r w:rsidR="00DB7E66" w:rsidRPr="00A2642E">
              <w:rPr>
                <w:rFonts w:ascii="Arial Narrow" w:hAnsi="Arial Narrow" w:cs="Calibri"/>
                <w:color w:val="000000" w:themeColor="text1"/>
                <w:sz w:val="22"/>
                <w:szCs w:val="22"/>
              </w:rPr>
              <w:t>%</w:t>
            </w:r>
          </w:p>
        </w:tc>
        <w:tc>
          <w:tcPr>
            <w:tcW w:w="949" w:type="dxa"/>
            <w:gridSpan w:val="2"/>
          </w:tcPr>
          <w:p w14:paraId="7B22EB3B" w14:textId="147D8948"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117</w:t>
            </w:r>
            <w:r w:rsidR="00DB7E66" w:rsidRPr="00A2642E">
              <w:rPr>
                <w:rFonts w:ascii="Arial Narrow" w:hAnsi="Arial Narrow" w:cs="Calibri"/>
                <w:color w:val="000000" w:themeColor="text1"/>
                <w:sz w:val="22"/>
                <w:szCs w:val="22"/>
              </w:rPr>
              <w:t xml:space="preserve"> </w:t>
            </w:r>
          </w:p>
        </w:tc>
        <w:tc>
          <w:tcPr>
            <w:tcW w:w="734" w:type="dxa"/>
            <w:gridSpan w:val="2"/>
          </w:tcPr>
          <w:p w14:paraId="05A73E35" w14:textId="0D7B2F7B"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5</w:t>
            </w:r>
            <w:r w:rsidRPr="00A2642E">
              <w:rPr>
                <w:rFonts w:ascii="Arial Narrow" w:hAnsi="Arial Narrow" w:cs="Calibri"/>
                <w:color w:val="000000" w:themeColor="text1"/>
                <w:sz w:val="22"/>
                <w:szCs w:val="22"/>
              </w:rPr>
              <w:t>%</w:t>
            </w:r>
          </w:p>
        </w:tc>
        <w:tc>
          <w:tcPr>
            <w:tcW w:w="878" w:type="dxa"/>
          </w:tcPr>
          <w:p w14:paraId="7C0A2FD2" w14:textId="7991407A"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26</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2DD990D0" w14:textId="4A39F176"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w:t>
            </w:r>
            <w:r w:rsidR="003933EE" w:rsidRPr="003933EE">
              <w:rPr>
                <w:rFonts w:ascii="Arial Narrow" w:hAnsi="Arial Narrow" w:cs="Calibri"/>
                <w:color w:val="000000" w:themeColor="text1"/>
                <w:sz w:val="22"/>
                <w:szCs w:val="22"/>
              </w:rPr>
              <w:t>2</w:t>
            </w:r>
            <w:r w:rsidRPr="003933EE">
              <w:rPr>
                <w:rFonts w:ascii="Arial Narrow" w:hAnsi="Arial Narrow" w:cs="Calibri"/>
                <w:color w:val="000000" w:themeColor="text1"/>
                <w:sz w:val="22"/>
                <w:szCs w:val="22"/>
              </w:rPr>
              <w:t>%</w:t>
            </w:r>
          </w:p>
        </w:tc>
      </w:tr>
      <w:tr w:rsidR="00DB7E66" w:rsidRPr="00727C10" w14:paraId="20996220" w14:textId="77777777" w:rsidTr="002D3000">
        <w:trPr>
          <w:cantSplit/>
          <w:trHeight w:val="144"/>
          <w:jc w:val="center"/>
        </w:trPr>
        <w:tc>
          <w:tcPr>
            <w:tcW w:w="2781" w:type="dxa"/>
            <w:gridSpan w:val="2"/>
            <w:tcBorders>
              <w:left w:val="single" w:sz="12" w:space="0" w:color="auto"/>
            </w:tcBorders>
          </w:tcPr>
          <w:p w14:paraId="102E36C9"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Chelsea</w:t>
            </w:r>
          </w:p>
        </w:tc>
        <w:tc>
          <w:tcPr>
            <w:tcW w:w="935" w:type="dxa"/>
            <w:gridSpan w:val="2"/>
          </w:tcPr>
          <w:p w14:paraId="57F8773D" w14:textId="029FCA10"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104</w:t>
            </w:r>
            <w:r w:rsidR="00DB7E66" w:rsidRPr="00A2642E">
              <w:rPr>
                <w:rFonts w:ascii="Arial Narrow" w:hAnsi="Arial Narrow" w:cs="Calibri"/>
                <w:color w:val="000000" w:themeColor="text1"/>
                <w:sz w:val="22"/>
                <w:szCs w:val="22"/>
              </w:rPr>
              <w:t xml:space="preserve"> </w:t>
            </w:r>
          </w:p>
        </w:tc>
        <w:tc>
          <w:tcPr>
            <w:tcW w:w="733" w:type="dxa"/>
          </w:tcPr>
          <w:p w14:paraId="72033E2B" w14:textId="708554ED"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2</w:t>
            </w:r>
            <w:r w:rsidRPr="00A2642E">
              <w:rPr>
                <w:rFonts w:ascii="Arial Narrow" w:hAnsi="Arial Narrow" w:cs="Calibri"/>
                <w:color w:val="000000" w:themeColor="text1"/>
                <w:sz w:val="22"/>
                <w:szCs w:val="22"/>
              </w:rPr>
              <w:t>%</w:t>
            </w:r>
          </w:p>
        </w:tc>
        <w:tc>
          <w:tcPr>
            <w:tcW w:w="877" w:type="dxa"/>
            <w:gridSpan w:val="3"/>
          </w:tcPr>
          <w:p w14:paraId="0174DDC1" w14:textId="400EDAD7"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79</w:t>
            </w:r>
            <w:r w:rsidR="00DB7E66" w:rsidRPr="00A2642E">
              <w:rPr>
                <w:rFonts w:ascii="Arial Narrow" w:hAnsi="Arial Narrow" w:cs="Calibri"/>
                <w:color w:val="000000" w:themeColor="text1"/>
                <w:sz w:val="22"/>
                <w:szCs w:val="22"/>
              </w:rPr>
              <w:t xml:space="preserve"> </w:t>
            </w:r>
          </w:p>
        </w:tc>
        <w:tc>
          <w:tcPr>
            <w:tcW w:w="738" w:type="dxa"/>
            <w:gridSpan w:val="2"/>
          </w:tcPr>
          <w:p w14:paraId="7B6BD867" w14:textId="1C6E2BAD"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1.9</w:t>
            </w:r>
            <w:r w:rsidR="00DB7E66" w:rsidRPr="00A2642E">
              <w:rPr>
                <w:rFonts w:ascii="Arial Narrow" w:hAnsi="Arial Narrow" w:cs="Calibri"/>
                <w:color w:val="000000" w:themeColor="text1"/>
                <w:sz w:val="22"/>
                <w:szCs w:val="22"/>
              </w:rPr>
              <w:t>%</w:t>
            </w:r>
          </w:p>
        </w:tc>
        <w:tc>
          <w:tcPr>
            <w:tcW w:w="949" w:type="dxa"/>
            <w:gridSpan w:val="2"/>
          </w:tcPr>
          <w:p w14:paraId="7359D676" w14:textId="10FD82EA"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96</w:t>
            </w:r>
            <w:r w:rsidR="00DB7E66" w:rsidRPr="00A2642E">
              <w:rPr>
                <w:rFonts w:ascii="Arial Narrow" w:hAnsi="Arial Narrow" w:cs="Calibri"/>
                <w:color w:val="000000" w:themeColor="text1"/>
                <w:sz w:val="22"/>
                <w:szCs w:val="22"/>
              </w:rPr>
              <w:t xml:space="preserve"> </w:t>
            </w:r>
          </w:p>
        </w:tc>
        <w:tc>
          <w:tcPr>
            <w:tcW w:w="734" w:type="dxa"/>
            <w:gridSpan w:val="2"/>
          </w:tcPr>
          <w:p w14:paraId="58855996" w14:textId="2B5144E2"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2.0</w:t>
            </w:r>
            <w:r w:rsidR="00DB7E66" w:rsidRPr="00A2642E">
              <w:rPr>
                <w:rFonts w:ascii="Arial Narrow" w:hAnsi="Arial Narrow" w:cs="Calibri"/>
                <w:color w:val="000000" w:themeColor="text1"/>
                <w:sz w:val="22"/>
                <w:szCs w:val="22"/>
              </w:rPr>
              <w:t>%</w:t>
            </w:r>
          </w:p>
        </w:tc>
        <w:tc>
          <w:tcPr>
            <w:tcW w:w="878" w:type="dxa"/>
          </w:tcPr>
          <w:p w14:paraId="0ECABEEA" w14:textId="2F8D0E53"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25</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130ACE4F" w14:textId="2B79AD8E"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2.1</w:t>
            </w:r>
            <w:r w:rsidR="00DB7E66" w:rsidRPr="003933EE">
              <w:rPr>
                <w:rFonts w:ascii="Arial Narrow" w:hAnsi="Arial Narrow" w:cs="Calibri"/>
                <w:color w:val="000000" w:themeColor="text1"/>
                <w:sz w:val="22"/>
                <w:szCs w:val="22"/>
              </w:rPr>
              <w:t>%</w:t>
            </w:r>
          </w:p>
        </w:tc>
      </w:tr>
      <w:tr w:rsidR="00DB7E66" w:rsidRPr="00727C10" w14:paraId="02721C91" w14:textId="77777777" w:rsidTr="002D3000">
        <w:trPr>
          <w:cantSplit/>
          <w:trHeight w:val="144"/>
          <w:jc w:val="center"/>
        </w:trPr>
        <w:tc>
          <w:tcPr>
            <w:tcW w:w="2781" w:type="dxa"/>
            <w:gridSpan w:val="2"/>
            <w:tcBorders>
              <w:left w:val="single" w:sz="12" w:space="0" w:color="auto"/>
            </w:tcBorders>
          </w:tcPr>
          <w:p w14:paraId="37562CA8"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 xml:space="preserve">Lynn </w:t>
            </w:r>
          </w:p>
        </w:tc>
        <w:tc>
          <w:tcPr>
            <w:tcW w:w="935" w:type="dxa"/>
            <w:gridSpan w:val="2"/>
          </w:tcPr>
          <w:p w14:paraId="7FFC0A5C" w14:textId="45A98E45"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94</w:t>
            </w:r>
            <w:r w:rsidR="00DB7E66" w:rsidRPr="00A2642E">
              <w:rPr>
                <w:rFonts w:ascii="Arial Narrow" w:hAnsi="Arial Narrow" w:cs="Calibri"/>
                <w:color w:val="000000" w:themeColor="text1"/>
                <w:sz w:val="22"/>
                <w:szCs w:val="22"/>
              </w:rPr>
              <w:t xml:space="preserve"> </w:t>
            </w:r>
          </w:p>
        </w:tc>
        <w:tc>
          <w:tcPr>
            <w:tcW w:w="733" w:type="dxa"/>
          </w:tcPr>
          <w:p w14:paraId="032669C1" w14:textId="1FA20AB9"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0</w:t>
            </w:r>
            <w:r w:rsidRPr="00A2642E">
              <w:rPr>
                <w:rFonts w:ascii="Arial Narrow" w:hAnsi="Arial Narrow" w:cs="Calibri"/>
                <w:color w:val="000000" w:themeColor="text1"/>
                <w:sz w:val="22"/>
                <w:szCs w:val="22"/>
              </w:rPr>
              <w:t>%</w:t>
            </w:r>
          </w:p>
        </w:tc>
        <w:tc>
          <w:tcPr>
            <w:tcW w:w="877" w:type="dxa"/>
            <w:gridSpan w:val="3"/>
          </w:tcPr>
          <w:p w14:paraId="73B3CE2D" w14:textId="57EA5810"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89</w:t>
            </w:r>
            <w:r w:rsidR="00DB7E66" w:rsidRPr="00A2642E">
              <w:rPr>
                <w:rFonts w:ascii="Arial Narrow" w:hAnsi="Arial Narrow" w:cs="Calibri"/>
                <w:color w:val="000000" w:themeColor="text1"/>
                <w:sz w:val="22"/>
                <w:szCs w:val="22"/>
              </w:rPr>
              <w:t xml:space="preserve"> </w:t>
            </w:r>
          </w:p>
        </w:tc>
        <w:tc>
          <w:tcPr>
            <w:tcW w:w="738" w:type="dxa"/>
            <w:gridSpan w:val="2"/>
          </w:tcPr>
          <w:p w14:paraId="53F995FA" w14:textId="76084C4E"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w:t>
            </w:r>
            <w:r w:rsidR="00A2642E" w:rsidRPr="00A2642E">
              <w:rPr>
                <w:rFonts w:ascii="Arial Narrow" w:hAnsi="Arial Narrow" w:cs="Calibri"/>
                <w:color w:val="000000" w:themeColor="text1"/>
                <w:sz w:val="22"/>
                <w:szCs w:val="22"/>
              </w:rPr>
              <w:t>2</w:t>
            </w:r>
            <w:r w:rsidRPr="00A2642E">
              <w:rPr>
                <w:rFonts w:ascii="Arial Narrow" w:hAnsi="Arial Narrow" w:cs="Calibri"/>
                <w:color w:val="000000" w:themeColor="text1"/>
                <w:sz w:val="22"/>
                <w:szCs w:val="22"/>
              </w:rPr>
              <w:t>%</w:t>
            </w:r>
          </w:p>
        </w:tc>
        <w:tc>
          <w:tcPr>
            <w:tcW w:w="949" w:type="dxa"/>
            <w:gridSpan w:val="2"/>
          </w:tcPr>
          <w:p w14:paraId="28FB6B84" w14:textId="3EB7B06A"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86</w:t>
            </w:r>
            <w:r w:rsidR="00DB7E66" w:rsidRPr="00A2642E">
              <w:rPr>
                <w:rFonts w:ascii="Arial Narrow" w:hAnsi="Arial Narrow" w:cs="Calibri"/>
                <w:color w:val="000000" w:themeColor="text1"/>
                <w:sz w:val="22"/>
                <w:szCs w:val="22"/>
              </w:rPr>
              <w:t xml:space="preserve"> </w:t>
            </w:r>
          </w:p>
        </w:tc>
        <w:tc>
          <w:tcPr>
            <w:tcW w:w="734" w:type="dxa"/>
            <w:gridSpan w:val="2"/>
          </w:tcPr>
          <w:p w14:paraId="50587CAC" w14:textId="24A418C6"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w:t>
            </w:r>
            <w:r w:rsidR="00A2642E" w:rsidRPr="00A2642E">
              <w:rPr>
                <w:rFonts w:ascii="Arial Narrow" w:hAnsi="Arial Narrow" w:cs="Calibri"/>
                <w:color w:val="000000" w:themeColor="text1"/>
                <w:sz w:val="22"/>
                <w:szCs w:val="22"/>
              </w:rPr>
              <w:t>8</w:t>
            </w:r>
            <w:r w:rsidRPr="00A2642E">
              <w:rPr>
                <w:rFonts w:ascii="Arial Narrow" w:hAnsi="Arial Narrow" w:cs="Calibri"/>
                <w:color w:val="000000" w:themeColor="text1"/>
                <w:sz w:val="22"/>
                <w:szCs w:val="22"/>
              </w:rPr>
              <w:t>%</w:t>
            </w:r>
          </w:p>
        </w:tc>
        <w:tc>
          <w:tcPr>
            <w:tcW w:w="878" w:type="dxa"/>
          </w:tcPr>
          <w:p w14:paraId="6DB3A487" w14:textId="6A5CB025"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12</w:t>
            </w:r>
            <w:r w:rsidR="00DB7E66" w:rsidRPr="003933EE">
              <w:rPr>
                <w:rFonts w:ascii="Arial Narrow" w:hAnsi="Arial Narrow" w:cs="Calibri"/>
                <w:color w:val="000000" w:themeColor="text1"/>
                <w:sz w:val="22"/>
                <w:szCs w:val="22"/>
              </w:rPr>
              <w:t xml:space="preserve"> </w:t>
            </w:r>
          </w:p>
        </w:tc>
        <w:tc>
          <w:tcPr>
            <w:tcW w:w="730" w:type="dxa"/>
            <w:tcBorders>
              <w:right w:val="single" w:sz="12" w:space="0" w:color="auto"/>
            </w:tcBorders>
          </w:tcPr>
          <w:p w14:paraId="1FBBCB47" w14:textId="100D0BE5"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1.</w:t>
            </w:r>
            <w:r w:rsidR="003933EE" w:rsidRPr="003933EE">
              <w:rPr>
                <w:rFonts w:ascii="Arial Narrow" w:hAnsi="Arial Narrow" w:cs="Calibri"/>
                <w:color w:val="000000" w:themeColor="text1"/>
                <w:sz w:val="22"/>
                <w:szCs w:val="22"/>
              </w:rPr>
              <w:t>0</w:t>
            </w:r>
            <w:r w:rsidRPr="003933EE">
              <w:rPr>
                <w:rFonts w:ascii="Arial Narrow" w:hAnsi="Arial Narrow" w:cs="Calibri"/>
                <w:color w:val="000000" w:themeColor="text1"/>
                <w:sz w:val="22"/>
                <w:szCs w:val="22"/>
              </w:rPr>
              <w:t>%</w:t>
            </w:r>
          </w:p>
        </w:tc>
      </w:tr>
      <w:tr w:rsidR="00DB7E66" w:rsidRPr="00727C10" w14:paraId="1756DD3D" w14:textId="77777777" w:rsidTr="002D3000">
        <w:trPr>
          <w:cantSplit/>
          <w:trHeight w:val="144"/>
          <w:jc w:val="center"/>
        </w:trPr>
        <w:tc>
          <w:tcPr>
            <w:tcW w:w="2781" w:type="dxa"/>
            <w:gridSpan w:val="2"/>
            <w:tcBorders>
              <w:left w:val="single" w:sz="12" w:space="0" w:color="auto"/>
              <w:bottom w:val="single" w:sz="12" w:space="0" w:color="auto"/>
            </w:tcBorders>
          </w:tcPr>
          <w:p w14:paraId="6EBE9BDF" w14:textId="77777777" w:rsidR="00DB7E66" w:rsidRPr="00727C10" w:rsidRDefault="00DB7E66" w:rsidP="00DB7E66">
            <w:pPr>
              <w:rPr>
                <w:rFonts w:ascii="Arial Narrow" w:hAnsi="Arial Narrow" w:cs="Arial"/>
                <w:sz w:val="22"/>
                <w:szCs w:val="22"/>
              </w:rPr>
            </w:pPr>
            <w:r w:rsidRPr="00727C10">
              <w:rPr>
                <w:rFonts w:ascii="Arial Narrow" w:hAnsi="Arial Narrow" w:cs="Arial"/>
                <w:sz w:val="22"/>
                <w:szCs w:val="22"/>
              </w:rPr>
              <w:t>All Other</w:t>
            </w:r>
          </w:p>
        </w:tc>
        <w:tc>
          <w:tcPr>
            <w:tcW w:w="935" w:type="dxa"/>
            <w:gridSpan w:val="2"/>
            <w:tcBorders>
              <w:bottom w:val="single" w:sz="12" w:space="0" w:color="auto"/>
            </w:tcBorders>
          </w:tcPr>
          <w:p w14:paraId="216EB8DF" w14:textId="73419180"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2,347</w:t>
            </w:r>
            <w:r w:rsidR="00DB7E66" w:rsidRPr="00A2642E">
              <w:rPr>
                <w:rFonts w:ascii="Arial Narrow" w:hAnsi="Arial Narrow" w:cs="Calibri"/>
                <w:color w:val="000000" w:themeColor="text1"/>
                <w:sz w:val="22"/>
                <w:szCs w:val="22"/>
              </w:rPr>
              <w:t xml:space="preserve"> </w:t>
            </w:r>
          </w:p>
        </w:tc>
        <w:tc>
          <w:tcPr>
            <w:tcW w:w="733" w:type="dxa"/>
            <w:tcBorders>
              <w:bottom w:val="single" w:sz="12" w:space="0" w:color="auto"/>
            </w:tcBorders>
          </w:tcPr>
          <w:p w14:paraId="2FB6FAFC" w14:textId="060F3431"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w:t>
            </w:r>
            <w:r w:rsidR="00A2642E" w:rsidRPr="00A2642E">
              <w:rPr>
                <w:rFonts w:ascii="Arial Narrow" w:hAnsi="Arial Narrow" w:cs="Calibri"/>
                <w:color w:val="000000" w:themeColor="text1"/>
                <w:sz w:val="22"/>
                <w:szCs w:val="22"/>
              </w:rPr>
              <w:t>9</w:t>
            </w:r>
            <w:r w:rsidRPr="00A2642E">
              <w:rPr>
                <w:rFonts w:ascii="Arial Narrow" w:hAnsi="Arial Narrow" w:cs="Calibri"/>
                <w:color w:val="000000" w:themeColor="text1"/>
                <w:sz w:val="22"/>
                <w:szCs w:val="22"/>
              </w:rPr>
              <w:t>.</w:t>
            </w:r>
            <w:r w:rsidR="00A2642E" w:rsidRPr="00A2642E">
              <w:rPr>
                <w:rFonts w:ascii="Arial Narrow" w:hAnsi="Arial Narrow" w:cs="Calibri"/>
                <w:color w:val="000000" w:themeColor="text1"/>
                <w:sz w:val="22"/>
                <w:szCs w:val="22"/>
              </w:rPr>
              <w:t>5</w:t>
            </w:r>
            <w:r w:rsidRPr="00A2642E">
              <w:rPr>
                <w:rFonts w:ascii="Arial Narrow" w:hAnsi="Arial Narrow" w:cs="Calibri"/>
                <w:color w:val="000000" w:themeColor="text1"/>
                <w:sz w:val="22"/>
                <w:szCs w:val="22"/>
              </w:rPr>
              <w:t>%</w:t>
            </w:r>
          </w:p>
        </w:tc>
        <w:tc>
          <w:tcPr>
            <w:tcW w:w="877" w:type="dxa"/>
            <w:gridSpan w:val="3"/>
            <w:tcBorders>
              <w:bottom w:val="single" w:sz="12" w:space="0" w:color="auto"/>
            </w:tcBorders>
          </w:tcPr>
          <w:p w14:paraId="19C76353" w14:textId="78A7B569"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1,893</w:t>
            </w:r>
            <w:r w:rsidR="00DB7E66" w:rsidRPr="00A2642E">
              <w:rPr>
                <w:rFonts w:ascii="Arial Narrow" w:hAnsi="Arial Narrow" w:cs="Calibri"/>
                <w:color w:val="000000" w:themeColor="text1"/>
                <w:sz w:val="22"/>
                <w:szCs w:val="22"/>
              </w:rPr>
              <w:t xml:space="preserve"> </w:t>
            </w:r>
          </w:p>
        </w:tc>
        <w:tc>
          <w:tcPr>
            <w:tcW w:w="738" w:type="dxa"/>
            <w:gridSpan w:val="2"/>
            <w:tcBorders>
              <w:bottom w:val="single" w:sz="12" w:space="0" w:color="auto"/>
            </w:tcBorders>
          </w:tcPr>
          <w:p w14:paraId="113A2F76" w14:textId="6BA9DA59"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w:t>
            </w:r>
            <w:r w:rsidR="00A2642E" w:rsidRPr="00A2642E">
              <w:rPr>
                <w:rFonts w:ascii="Arial Narrow" w:hAnsi="Arial Narrow" w:cs="Calibri"/>
                <w:color w:val="000000" w:themeColor="text1"/>
                <w:sz w:val="22"/>
                <w:szCs w:val="22"/>
              </w:rPr>
              <w:t>6.0</w:t>
            </w:r>
            <w:r w:rsidRPr="00A2642E">
              <w:rPr>
                <w:rFonts w:ascii="Arial Narrow" w:hAnsi="Arial Narrow" w:cs="Calibri"/>
                <w:color w:val="000000" w:themeColor="text1"/>
                <w:sz w:val="22"/>
                <w:szCs w:val="22"/>
              </w:rPr>
              <w:t>%</w:t>
            </w:r>
          </w:p>
        </w:tc>
        <w:tc>
          <w:tcPr>
            <w:tcW w:w="949" w:type="dxa"/>
            <w:gridSpan w:val="2"/>
            <w:tcBorders>
              <w:bottom w:val="single" w:sz="12" w:space="0" w:color="auto"/>
            </w:tcBorders>
          </w:tcPr>
          <w:p w14:paraId="003B8036" w14:textId="79407646" w:rsidR="00DB7E66" w:rsidRPr="00A2642E" w:rsidRDefault="00A2642E"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2,213</w:t>
            </w:r>
            <w:r w:rsidR="00DB7E66" w:rsidRPr="00A2642E">
              <w:rPr>
                <w:rFonts w:ascii="Arial Narrow" w:hAnsi="Arial Narrow" w:cs="Calibri"/>
                <w:color w:val="000000" w:themeColor="text1"/>
                <w:sz w:val="22"/>
                <w:szCs w:val="22"/>
              </w:rPr>
              <w:t xml:space="preserve"> </w:t>
            </w:r>
          </w:p>
        </w:tc>
        <w:tc>
          <w:tcPr>
            <w:tcW w:w="734" w:type="dxa"/>
            <w:gridSpan w:val="2"/>
            <w:tcBorders>
              <w:bottom w:val="single" w:sz="12" w:space="0" w:color="auto"/>
            </w:tcBorders>
          </w:tcPr>
          <w:p w14:paraId="05B24FE4" w14:textId="0D5F2B7A" w:rsidR="00DB7E66" w:rsidRPr="00A2642E" w:rsidRDefault="00DB7E66" w:rsidP="00DB7E66">
            <w:pPr>
              <w:jc w:val="right"/>
              <w:rPr>
                <w:rFonts w:ascii="Arial Narrow" w:hAnsi="Arial Narrow" w:cs="Arial"/>
                <w:color w:val="000000" w:themeColor="text1"/>
                <w:sz w:val="22"/>
                <w:szCs w:val="22"/>
              </w:rPr>
            </w:pPr>
            <w:r w:rsidRPr="00A2642E">
              <w:rPr>
                <w:rFonts w:ascii="Arial Narrow" w:hAnsi="Arial Narrow" w:cs="Calibri"/>
                <w:color w:val="000000" w:themeColor="text1"/>
                <w:sz w:val="22"/>
                <w:szCs w:val="22"/>
              </w:rPr>
              <w:t>4</w:t>
            </w:r>
            <w:r w:rsidR="00A2642E" w:rsidRPr="00A2642E">
              <w:rPr>
                <w:rFonts w:ascii="Arial Narrow" w:hAnsi="Arial Narrow" w:cs="Calibri"/>
                <w:color w:val="000000" w:themeColor="text1"/>
                <w:sz w:val="22"/>
                <w:szCs w:val="22"/>
              </w:rPr>
              <w:t>7.1</w:t>
            </w:r>
            <w:r w:rsidRPr="00A2642E">
              <w:rPr>
                <w:rFonts w:ascii="Arial Narrow" w:hAnsi="Arial Narrow" w:cs="Calibri"/>
                <w:color w:val="000000" w:themeColor="text1"/>
                <w:sz w:val="22"/>
                <w:szCs w:val="22"/>
              </w:rPr>
              <w:t>%</w:t>
            </w:r>
          </w:p>
        </w:tc>
        <w:tc>
          <w:tcPr>
            <w:tcW w:w="878" w:type="dxa"/>
            <w:tcBorders>
              <w:bottom w:val="single" w:sz="12" w:space="0" w:color="auto"/>
            </w:tcBorders>
          </w:tcPr>
          <w:p w14:paraId="24AFA11E" w14:textId="24284F93" w:rsidR="00DB7E66" w:rsidRPr="003933EE" w:rsidRDefault="003933EE"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575</w:t>
            </w:r>
            <w:r w:rsidR="00DB7E66" w:rsidRPr="003933EE">
              <w:rPr>
                <w:rFonts w:ascii="Arial Narrow" w:hAnsi="Arial Narrow" w:cs="Calibri"/>
                <w:color w:val="000000" w:themeColor="text1"/>
                <w:sz w:val="22"/>
                <w:szCs w:val="22"/>
              </w:rPr>
              <w:t xml:space="preserve"> </w:t>
            </w:r>
          </w:p>
        </w:tc>
        <w:tc>
          <w:tcPr>
            <w:tcW w:w="730" w:type="dxa"/>
            <w:tcBorders>
              <w:bottom w:val="single" w:sz="12" w:space="0" w:color="auto"/>
              <w:right w:val="single" w:sz="12" w:space="0" w:color="auto"/>
            </w:tcBorders>
          </w:tcPr>
          <w:p w14:paraId="00C4C219" w14:textId="68D5EA45" w:rsidR="00DB7E66" w:rsidRPr="003933EE" w:rsidRDefault="00DB7E66" w:rsidP="00DB7E66">
            <w:pPr>
              <w:jc w:val="right"/>
              <w:rPr>
                <w:rFonts w:ascii="Arial Narrow" w:hAnsi="Arial Narrow" w:cs="Arial"/>
                <w:color w:val="000000" w:themeColor="text1"/>
                <w:sz w:val="22"/>
                <w:szCs w:val="22"/>
              </w:rPr>
            </w:pPr>
            <w:r w:rsidRPr="003933EE">
              <w:rPr>
                <w:rFonts w:ascii="Arial Narrow" w:hAnsi="Arial Narrow" w:cs="Calibri"/>
                <w:color w:val="000000" w:themeColor="text1"/>
                <w:sz w:val="22"/>
                <w:szCs w:val="22"/>
              </w:rPr>
              <w:t>4</w:t>
            </w:r>
            <w:r w:rsidR="003933EE" w:rsidRPr="003933EE">
              <w:rPr>
                <w:rFonts w:ascii="Arial Narrow" w:hAnsi="Arial Narrow" w:cs="Calibri"/>
                <w:color w:val="000000" w:themeColor="text1"/>
                <w:sz w:val="22"/>
                <w:szCs w:val="22"/>
              </w:rPr>
              <w:t>8</w:t>
            </w:r>
            <w:r w:rsidRPr="003933EE">
              <w:rPr>
                <w:rFonts w:ascii="Arial Narrow" w:hAnsi="Arial Narrow" w:cs="Calibri"/>
                <w:color w:val="000000" w:themeColor="text1"/>
                <w:sz w:val="22"/>
                <w:szCs w:val="22"/>
              </w:rPr>
              <w:t>.6%</w:t>
            </w:r>
          </w:p>
        </w:tc>
      </w:tr>
    </w:tbl>
    <w:p w14:paraId="7FC71D52" w14:textId="14BCE1E8" w:rsidR="001F1B38" w:rsidRPr="001F1B38" w:rsidRDefault="001F1B38" w:rsidP="00026F84">
      <w:pPr>
        <w:rPr>
          <w:rFonts w:ascii="Arial" w:hAnsi="Arial" w:cs="Arial"/>
          <w:sz w:val="22"/>
          <w:szCs w:val="22"/>
        </w:rPr>
      </w:pPr>
    </w:p>
    <w:p w14:paraId="6244BB03" w14:textId="26136E1F" w:rsidR="007B4E39" w:rsidRPr="007B4E39" w:rsidRDefault="007F5F2A" w:rsidP="00D4649D">
      <w:pPr>
        <w:jc w:val="both"/>
        <w:rPr>
          <w:rFonts w:ascii="ArialMT" w:hAnsi="ArialMT"/>
          <w:sz w:val="22"/>
          <w:szCs w:val="22"/>
        </w:rPr>
      </w:pPr>
      <w:r w:rsidRPr="00CE7796">
        <w:rPr>
          <w:rFonts w:ascii="Arial" w:hAnsi="Arial" w:cs="Arial"/>
          <w:color w:val="000000" w:themeColor="text1"/>
          <w:sz w:val="22"/>
          <w:szCs w:val="22"/>
        </w:rPr>
        <w:t>Additionally, the</w:t>
      </w:r>
      <w:r w:rsidR="001F1B38" w:rsidRPr="00CE7796">
        <w:rPr>
          <w:rFonts w:ascii="Arial" w:hAnsi="Arial" w:cs="Arial"/>
          <w:color w:val="000000" w:themeColor="text1"/>
          <w:sz w:val="22"/>
          <w:szCs w:val="22"/>
        </w:rPr>
        <w:t xml:space="preserve"> Applicant reviewed the payer mix for its inpatient surgical panel.</w:t>
      </w:r>
      <w:r w:rsidR="00D4649D" w:rsidRPr="00CE7796">
        <w:rPr>
          <w:rFonts w:ascii="Arial" w:hAnsi="Arial" w:cs="Arial"/>
          <w:color w:val="000000" w:themeColor="text1"/>
          <w:sz w:val="22"/>
          <w:szCs w:val="22"/>
        </w:rPr>
        <w:t xml:space="preserve"> This information is detailed in Table 9.</w:t>
      </w:r>
      <w:r w:rsidRPr="00CE7796">
        <w:rPr>
          <w:rFonts w:ascii="Arial" w:hAnsi="Arial" w:cs="Arial"/>
          <w:color w:val="000000" w:themeColor="text1"/>
          <w:sz w:val="22"/>
          <w:szCs w:val="22"/>
        </w:rPr>
        <w:t xml:space="preserve"> </w:t>
      </w:r>
      <w:r w:rsidR="00560B2B">
        <w:rPr>
          <w:rFonts w:ascii="Arial" w:hAnsi="Arial" w:cs="Arial"/>
          <w:color w:val="000000" w:themeColor="text1"/>
          <w:sz w:val="22"/>
          <w:szCs w:val="22"/>
        </w:rPr>
        <w:t>Similar to</w:t>
      </w:r>
      <w:r w:rsidR="00560B2B" w:rsidRPr="00CE7796">
        <w:rPr>
          <w:rFonts w:ascii="Arial" w:hAnsi="Arial" w:cs="Arial"/>
          <w:color w:val="000000" w:themeColor="text1"/>
          <w:sz w:val="22"/>
          <w:szCs w:val="22"/>
        </w:rPr>
        <w:t xml:space="preserve"> </w:t>
      </w:r>
      <w:r w:rsidRPr="00CE7796">
        <w:rPr>
          <w:rFonts w:ascii="Arial" w:hAnsi="Arial" w:cs="Arial"/>
          <w:color w:val="000000" w:themeColor="text1"/>
          <w:sz w:val="22"/>
          <w:szCs w:val="22"/>
        </w:rPr>
        <w:t>the BMC panel overall</w:t>
      </w:r>
      <w:r w:rsidRPr="00CE7796">
        <w:rPr>
          <w:rFonts w:ascii="ArialMT" w:hAnsi="ArialMT"/>
          <w:color w:val="000000" w:themeColor="text1"/>
          <w:sz w:val="22"/>
          <w:szCs w:val="22"/>
        </w:rPr>
        <w:t xml:space="preserve"> and the BMC inpatient bed panels, approximately 25% of the Hospital’s inpatient surgical patients are covered by APM/ACO contacts. </w:t>
      </w:r>
      <w:r w:rsidR="00CE7796">
        <w:rPr>
          <w:rFonts w:ascii="ArialMT" w:hAnsi="ArialMT"/>
          <w:sz w:val="22"/>
          <w:szCs w:val="22"/>
        </w:rPr>
        <w:t xml:space="preserve">Additionally, like the </w:t>
      </w:r>
      <w:r w:rsidR="00CE7796" w:rsidRPr="00CE7796">
        <w:rPr>
          <w:rFonts w:ascii="ArialMT" w:hAnsi="ArialMT"/>
          <w:color w:val="000000" w:themeColor="text1"/>
          <w:sz w:val="22"/>
          <w:szCs w:val="22"/>
        </w:rPr>
        <w:t xml:space="preserve">Hospital’s inpatient </w:t>
      </w:r>
      <w:r w:rsidR="00F74465">
        <w:rPr>
          <w:rFonts w:ascii="ArialMT" w:hAnsi="ArialMT"/>
          <w:color w:val="000000" w:themeColor="text1"/>
          <w:sz w:val="22"/>
          <w:szCs w:val="22"/>
        </w:rPr>
        <w:t xml:space="preserve">bed </w:t>
      </w:r>
      <w:r w:rsidR="00CE7796">
        <w:rPr>
          <w:rFonts w:ascii="ArialMT" w:hAnsi="ArialMT"/>
          <w:color w:val="000000" w:themeColor="text1"/>
          <w:sz w:val="22"/>
          <w:szCs w:val="22"/>
        </w:rPr>
        <w:t>panel</w:t>
      </w:r>
      <w:r w:rsidR="00F74465">
        <w:rPr>
          <w:rFonts w:ascii="ArialMT" w:hAnsi="ArialMT"/>
          <w:color w:val="000000" w:themeColor="text1"/>
          <w:sz w:val="22"/>
          <w:szCs w:val="22"/>
        </w:rPr>
        <w:t>s</w:t>
      </w:r>
      <w:r>
        <w:rPr>
          <w:rFonts w:ascii="ArialMT" w:hAnsi="ArialMT"/>
          <w:sz w:val="22"/>
          <w:szCs w:val="22"/>
        </w:rPr>
        <w:t xml:space="preserve">, </w:t>
      </w:r>
      <w:r w:rsidR="007B4E39">
        <w:rPr>
          <w:rFonts w:ascii="ArialMT" w:hAnsi="ArialMT"/>
          <w:sz w:val="22"/>
          <w:szCs w:val="22"/>
        </w:rPr>
        <w:t xml:space="preserve">the </w:t>
      </w:r>
      <w:r w:rsidR="001173F0">
        <w:rPr>
          <w:rFonts w:ascii="ArialMT" w:hAnsi="ArialMT"/>
          <w:sz w:val="22"/>
          <w:szCs w:val="22"/>
        </w:rPr>
        <w:t xml:space="preserve">vast </w:t>
      </w:r>
      <w:r w:rsidR="007B4E39">
        <w:rPr>
          <w:rFonts w:ascii="ArialMT" w:hAnsi="ArialMT"/>
          <w:sz w:val="22"/>
          <w:szCs w:val="22"/>
        </w:rPr>
        <w:t xml:space="preserve">majority of BMC’s inpatient surgical patients receive insurance coverage through a public payer. </w:t>
      </w:r>
      <w:r>
        <w:rPr>
          <w:rFonts w:ascii="ArialMT" w:hAnsi="ArialMT"/>
          <w:sz w:val="22"/>
          <w:szCs w:val="22"/>
        </w:rPr>
        <w:t xml:space="preserve">In FY21, BMC’s </w:t>
      </w:r>
      <w:r w:rsidR="007B4E39">
        <w:rPr>
          <w:rFonts w:ascii="ArialMT" w:hAnsi="ArialMT"/>
          <w:sz w:val="22"/>
          <w:szCs w:val="22"/>
        </w:rPr>
        <w:t>inpatient surgical</w:t>
      </w:r>
      <w:r>
        <w:rPr>
          <w:rFonts w:ascii="ArialMT" w:hAnsi="ArialMT"/>
          <w:sz w:val="22"/>
          <w:szCs w:val="22"/>
        </w:rPr>
        <w:t xml:space="preserve"> public payer mix included 7</w:t>
      </w:r>
      <w:r w:rsidR="007B4E39">
        <w:rPr>
          <w:rFonts w:ascii="ArialMT" w:hAnsi="ArialMT"/>
          <w:sz w:val="22"/>
          <w:szCs w:val="22"/>
        </w:rPr>
        <w:t>1.2</w:t>
      </w:r>
      <w:r>
        <w:rPr>
          <w:rFonts w:ascii="ArialMT" w:hAnsi="ArialMT"/>
          <w:sz w:val="22"/>
          <w:szCs w:val="22"/>
        </w:rPr>
        <w:t>% of all medical/surgical patients, including MassHealth,</w:t>
      </w:r>
      <w:r w:rsidRPr="00A01E60">
        <w:rPr>
          <w:rFonts w:ascii="ArialMT" w:hAnsi="ArialMT"/>
          <w:sz w:val="22"/>
          <w:szCs w:val="22"/>
        </w:rPr>
        <w:t xml:space="preserve"> Managed Medicaid, Commercial Medicare, and Medicare FFS beneficiaries</w:t>
      </w:r>
      <w:r>
        <w:rPr>
          <w:rFonts w:ascii="ArialMT" w:hAnsi="ArialMT"/>
          <w:sz w:val="22"/>
          <w:szCs w:val="22"/>
        </w:rPr>
        <w:t xml:space="preserve">. </w:t>
      </w:r>
      <w:r w:rsidRPr="002926D8">
        <w:rPr>
          <w:rFonts w:ascii="ArialMT" w:hAnsi="ArialMT"/>
          <w:sz w:val="22"/>
          <w:szCs w:val="22"/>
        </w:rPr>
        <w:t>The remainder of patients were covered by a commercial plan, under the HSN, or through some other form of insurance.</w:t>
      </w:r>
    </w:p>
    <w:p w14:paraId="21C2E028" w14:textId="77777777" w:rsidR="00ED4D27" w:rsidRDefault="00ED4D27" w:rsidP="00D4649D">
      <w:pPr>
        <w:jc w:val="both"/>
        <w:rPr>
          <w:rFonts w:ascii="Arial Narrow" w:hAnsi="Arial Narrow" w:cs="Arial"/>
          <w:b/>
          <w:bCs/>
          <w:sz w:val="22"/>
          <w:szCs w:val="22"/>
        </w:rPr>
      </w:pPr>
    </w:p>
    <w:p w14:paraId="2208418E" w14:textId="2EAC443F" w:rsidR="00D4649D" w:rsidRDefault="00ED4D27" w:rsidP="00D4649D">
      <w:pPr>
        <w:jc w:val="both"/>
        <w:rPr>
          <w:rFonts w:ascii="Arial" w:hAnsi="Arial" w:cs="Arial"/>
          <w:sz w:val="22"/>
          <w:szCs w:val="22"/>
        </w:rPr>
      </w:pPr>
      <w:r w:rsidRPr="00ED4D27">
        <w:rPr>
          <w:rFonts w:ascii="Arial Narrow" w:hAnsi="Arial Narrow" w:cs="Arial"/>
          <w:b/>
          <w:bCs/>
          <w:sz w:val="22"/>
          <w:szCs w:val="22"/>
        </w:rPr>
        <w:t>Table 9: BMC Inpatient OR APM/ACO and Payer Mix Percentages</w:t>
      </w:r>
    </w:p>
    <w:tbl>
      <w:tblPr>
        <w:tblStyle w:val="TableGrid"/>
        <w:tblW w:w="9265" w:type="dxa"/>
        <w:jc w:val="center"/>
        <w:tblLook w:val="04A0" w:firstRow="1" w:lastRow="0" w:firstColumn="1" w:lastColumn="0" w:noHBand="0" w:noVBand="1"/>
      </w:tblPr>
      <w:tblGrid>
        <w:gridCol w:w="3071"/>
        <w:gridCol w:w="1548"/>
        <w:gridCol w:w="1549"/>
        <w:gridCol w:w="1548"/>
        <w:gridCol w:w="1549"/>
      </w:tblGrid>
      <w:tr w:rsidR="00D4649D" w:rsidRPr="006D5B97" w14:paraId="20E11D26" w14:textId="77777777" w:rsidTr="00CC2F37">
        <w:trPr>
          <w:trHeight w:val="20"/>
          <w:jc w:val="center"/>
        </w:trPr>
        <w:tc>
          <w:tcPr>
            <w:tcW w:w="3071" w:type="dxa"/>
            <w:tcBorders>
              <w:top w:val="single" w:sz="12" w:space="0" w:color="auto"/>
              <w:left w:val="single" w:sz="12" w:space="0" w:color="auto"/>
            </w:tcBorders>
            <w:shd w:val="clear" w:color="auto" w:fill="8DA9DB"/>
          </w:tcPr>
          <w:p w14:paraId="36DE7D42" w14:textId="77777777" w:rsidR="00D4649D" w:rsidRPr="00E8351E" w:rsidRDefault="00D4649D" w:rsidP="00963E14">
            <w:pPr>
              <w:rPr>
                <w:rFonts w:ascii="Arial" w:hAnsi="Arial" w:cs="Arial"/>
                <w:b/>
                <w:bCs/>
                <w:sz w:val="22"/>
                <w:szCs w:val="22"/>
              </w:rPr>
            </w:pPr>
          </w:p>
        </w:tc>
        <w:tc>
          <w:tcPr>
            <w:tcW w:w="1548" w:type="dxa"/>
            <w:tcBorders>
              <w:top w:val="single" w:sz="12" w:space="0" w:color="auto"/>
            </w:tcBorders>
            <w:shd w:val="clear" w:color="auto" w:fill="8DA9DB"/>
          </w:tcPr>
          <w:p w14:paraId="10780C5E" w14:textId="355309FD" w:rsidR="00D4649D" w:rsidRPr="00E8351E" w:rsidRDefault="00D4649D" w:rsidP="00963E14">
            <w:pPr>
              <w:jc w:val="center"/>
              <w:rPr>
                <w:rFonts w:ascii="Arial Narrow" w:hAnsi="Arial Narrow" w:cs="Arial"/>
                <w:b/>
                <w:bCs/>
                <w:sz w:val="22"/>
                <w:szCs w:val="22"/>
              </w:rPr>
            </w:pPr>
            <w:r w:rsidRPr="00E8351E">
              <w:rPr>
                <w:rFonts w:ascii="Arial Narrow" w:hAnsi="Arial Narrow" w:cs="Arial"/>
                <w:b/>
                <w:bCs/>
                <w:sz w:val="22"/>
                <w:szCs w:val="22"/>
              </w:rPr>
              <w:t>FY19</w:t>
            </w:r>
          </w:p>
        </w:tc>
        <w:tc>
          <w:tcPr>
            <w:tcW w:w="1549" w:type="dxa"/>
            <w:tcBorders>
              <w:top w:val="single" w:sz="12" w:space="0" w:color="auto"/>
            </w:tcBorders>
            <w:shd w:val="clear" w:color="auto" w:fill="8DA9DB"/>
          </w:tcPr>
          <w:p w14:paraId="687F3F3F" w14:textId="2DAEBEBD" w:rsidR="00D4649D" w:rsidRPr="00E8351E" w:rsidRDefault="00D4649D" w:rsidP="00963E14">
            <w:pPr>
              <w:jc w:val="center"/>
              <w:rPr>
                <w:rFonts w:ascii="Arial Narrow" w:hAnsi="Arial Narrow" w:cs="Arial"/>
                <w:b/>
                <w:bCs/>
                <w:sz w:val="22"/>
                <w:szCs w:val="22"/>
              </w:rPr>
            </w:pPr>
            <w:r w:rsidRPr="00E8351E">
              <w:rPr>
                <w:rFonts w:ascii="Arial Narrow" w:hAnsi="Arial Narrow" w:cs="Arial"/>
                <w:b/>
                <w:bCs/>
                <w:sz w:val="22"/>
                <w:szCs w:val="22"/>
              </w:rPr>
              <w:t>FY20</w:t>
            </w:r>
          </w:p>
        </w:tc>
        <w:tc>
          <w:tcPr>
            <w:tcW w:w="1548" w:type="dxa"/>
            <w:tcBorders>
              <w:top w:val="single" w:sz="12" w:space="0" w:color="auto"/>
            </w:tcBorders>
            <w:shd w:val="clear" w:color="auto" w:fill="8DA9DB"/>
          </w:tcPr>
          <w:p w14:paraId="74AA5091" w14:textId="5C28046D" w:rsidR="00D4649D" w:rsidRPr="00E8351E" w:rsidRDefault="00D4649D" w:rsidP="00963E14">
            <w:pPr>
              <w:jc w:val="center"/>
              <w:rPr>
                <w:rFonts w:ascii="Arial Narrow" w:hAnsi="Arial Narrow" w:cs="Arial"/>
                <w:b/>
                <w:bCs/>
                <w:sz w:val="22"/>
                <w:szCs w:val="22"/>
              </w:rPr>
            </w:pPr>
            <w:r w:rsidRPr="00E8351E">
              <w:rPr>
                <w:rFonts w:ascii="Arial Narrow" w:hAnsi="Arial Narrow" w:cs="Arial"/>
                <w:b/>
                <w:bCs/>
                <w:sz w:val="22"/>
                <w:szCs w:val="22"/>
              </w:rPr>
              <w:t>FY21</w:t>
            </w:r>
          </w:p>
        </w:tc>
        <w:tc>
          <w:tcPr>
            <w:tcW w:w="1549" w:type="dxa"/>
            <w:tcBorders>
              <w:top w:val="single" w:sz="12" w:space="0" w:color="auto"/>
              <w:right w:val="single" w:sz="12" w:space="0" w:color="auto"/>
            </w:tcBorders>
            <w:shd w:val="clear" w:color="auto" w:fill="8DA9DB"/>
          </w:tcPr>
          <w:p w14:paraId="44E1AE1B" w14:textId="41ABC4C4" w:rsidR="00D4649D" w:rsidRPr="00E8351E" w:rsidRDefault="00D4649D" w:rsidP="00963E14">
            <w:pPr>
              <w:jc w:val="center"/>
              <w:rPr>
                <w:rFonts w:ascii="Arial Narrow" w:hAnsi="Arial Narrow" w:cs="Arial"/>
                <w:b/>
                <w:bCs/>
                <w:sz w:val="22"/>
                <w:szCs w:val="22"/>
              </w:rPr>
            </w:pPr>
            <w:r w:rsidRPr="00E8351E">
              <w:rPr>
                <w:rFonts w:ascii="Arial Narrow" w:hAnsi="Arial Narrow" w:cs="Arial"/>
                <w:b/>
                <w:bCs/>
                <w:sz w:val="22"/>
                <w:szCs w:val="22"/>
              </w:rPr>
              <w:t>FY22 YTD</w:t>
            </w:r>
          </w:p>
        </w:tc>
      </w:tr>
      <w:tr w:rsidR="00FC5F79" w:rsidRPr="006D5B97" w14:paraId="54571606" w14:textId="77777777" w:rsidTr="00FC5F79">
        <w:trPr>
          <w:trHeight w:val="20"/>
          <w:jc w:val="center"/>
        </w:trPr>
        <w:tc>
          <w:tcPr>
            <w:tcW w:w="3071" w:type="dxa"/>
            <w:tcBorders>
              <w:left w:val="single" w:sz="12" w:space="0" w:color="auto"/>
              <w:right w:val="single" w:sz="12" w:space="0" w:color="auto"/>
            </w:tcBorders>
            <w:shd w:val="clear" w:color="auto" w:fill="D9E2F3" w:themeFill="accent1" w:themeFillTint="33"/>
          </w:tcPr>
          <w:p w14:paraId="2F3E07BB" w14:textId="77777777" w:rsidR="00FC5F79" w:rsidRPr="00E8351E" w:rsidRDefault="00FC5F79" w:rsidP="00963E14">
            <w:pPr>
              <w:rPr>
                <w:rFonts w:ascii="Arial Narrow" w:hAnsi="Arial Narrow" w:cs="Arial"/>
                <w:b/>
                <w:bCs/>
                <w:sz w:val="22"/>
                <w:szCs w:val="22"/>
              </w:rPr>
            </w:pPr>
            <w:r w:rsidRPr="00E8351E">
              <w:rPr>
                <w:rFonts w:ascii="Arial Narrow" w:hAnsi="Arial Narrow" w:cs="Arial"/>
                <w:b/>
                <w:bCs/>
                <w:sz w:val="22"/>
                <w:szCs w:val="22"/>
              </w:rPr>
              <w:t>APM Contract Percentages (for any system-affiliated Primary Care Physicians)</w:t>
            </w:r>
          </w:p>
        </w:tc>
        <w:tc>
          <w:tcPr>
            <w:tcW w:w="1548" w:type="dxa"/>
            <w:tcBorders>
              <w:left w:val="single" w:sz="12" w:space="0" w:color="auto"/>
              <w:right w:val="single" w:sz="12" w:space="0" w:color="auto"/>
            </w:tcBorders>
            <w:shd w:val="clear" w:color="auto" w:fill="D9E2F3" w:themeFill="accent1" w:themeFillTint="33"/>
          </w:tcPr>
          <w:p w14:paraId="79BB61B4" w14:textId="77777777" w:rsidR="00FC5F79" w:rsidRPr="00E8351E" w:rsidRDefault="00FC5F79"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24A02F41" w14:textId="77777777" w:rsidR="00FC5F79" w:rsidRPr="00E8351E" w:rsidRDefault="00FC5F79" w:rsidP="00963E14">
            <w:pPr>
              <w:rPr>
                <w:rFonts w:ascii="Arial Narrow" w:hAnsi="Arial Narrow" w:cs="Arial"/>
                <w:b/>
                <w:bCs/>
                <w:sz w:val="22"/>
                <w:szCs w:val="22"/>
              </w:rPr>
            </w:pPr>
          </w:p>
        </w:tc>
        <w:tc>
          <w:tcPr>
            <w:tcW w:w="1548" w:type="dxa"/>
            <w:tcBorders>
              <w:left w:val="single" w:sz="12" w:space="0" w:color="auto"/>
              <w:right w:val="single" w:sz="12" w:space="0" w:color="auto"/>
            </w:tcBorders>
            <w:shd w:val="clear" w:color="auto" w:fill="D9E2F3" w:themeFill="accent1" w:themeFillTint="33"/>
          </w:tcPr>
          <w:p w14:paraId="304183A4" w14:textId="77777777" w:rsidR="00FC5F79" w:rsidRPr="00E8351E" w:rsidRDefault="00FC5F79"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7727FE63" w14:textId="631B7400" w:rsidR="00FC5F79" w:rsidRPr="00E8351E" w:rsidRDefault="00FC5F79" w:rsidP="00963E14">
            <w:pPr>
              <w:rPr>
                <w:rFonts w:ascii="Arial Narrow" w:hAnsi="Arial Narrow" w:cs="Arial"/>
                <w:b/>
                <w:bCs/>
                <w:sz w:val="22"/>
                <w:szCs w:val="22"/>
              </w:rPr>
            </w:pPr>
          </w:p>
        </w:tc>
      </w:tr>
      <w:tr w:rsidR="00D4649D" w:rsidRPr="006D5B97" w14:paraId="714F6EAF" w14:textId="77777777" w:rsidTr="00CC2F37">
        <w:trPr>
          <w:trHeight w:val="20"/>
          <w:jc w:val="center"/>
        </w:trPr>
        <w:tc>
          <w:tcPr>
            <w:tcW w:w="3071" w:type="dxa"/>
            <w:tcBorders>
              <w:left w:val="single" w:sz="12" w:space="0" w:color="auto"/>
            </w:tcBorders>
          </w:tcPr>
          <w:p w14:paraId="2BF4B9F9"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APM and ACO Contracts</w:t>
            </w:r>
          </w:p>
        </w:tc>
        <w:tc>
          <w:tcPr>
            <w:tcW w:w="1548" w:type="dxa"/>
          </w:tcPr>
          <w:p w14:paraId="668F5E78" w14:textId="5F8A643F" w:rsidR="00D4649D" w:rsidRPr="00E8351E" w:rsidRDefault="00CE7796" w:rsidP="00963E14">
            <w:pPr>
              <w:jc w:val="center"/>
              <w:rPr>
                <w:rFonts w:ascii="Arial Narrow" w:hAnsi="Arial Narrow" w:cs="Arial"/>
                <w:sz w:val="22"/>
                <w:szCs w:val="22"/>
              </w:rPr>
            </w:pPr>
            <w:r>
              <w:rPr>
                <w:rFonts w:ascii="Arial Narrow" w:hAnsi="Arial Narrow" w:cs="Arial"/>
                <w:sz w:val="22"/>
                <w:szCs w:val="22"/>
              </w:rPr>
              <w:t>21.6</w:t>
            </w:r>
            <w:r w:rsidR="00D4649D" w:rsidRPr="00E8351E">
              <w:rPr>
                <w:rFonts w:ascii="Arial Narrow" w:hAnsi="Arial Narrow" w:cs="Arial"/>
                <w:sz w:val="22"/>
                <w:szCs w:val="22"/>
              </w:rPr>
              <w:t>%</w:t>
            </w:r>
          </w:p>
        </w:tc>
        <w:tc>
          <w:tcPr>
            <w:tcW w:w="1549" w:type="dxa"/>
          </w:tcPr>
          <w:p w14:paraId="252819B5" w14:textId="4A4C6D14" w:rsidR="00D4649D" w:rsidRPr="00E8351E" w:rsidRDefault="00CE7796" w:rsidP="00963E14">
            <w:pPr>
              <w:jc w:val="center"/>
              <w:rPr>
                <w:rFonts w:ascii="Arial Narrow" w:hAnsi="Arial Narrow" w:cs="Arial"/>
                <w:sz w:val="22"/>
                <w:szCs w:val="22"/>
              </w:rPr>
            </w:pPr>
            <w:r>
              <w:rPr>
                <w:rFonts w:ascii="Arial Narrow" w:hAnsi="Arial Narrow" w:cs="Arial"/>
                <w:sz w:val="22"/>
                <w:szCs w:val="22"/>
              </w:rPr>
              <w:t>23.8</w:t>
            </w:r>
            <w:r w:rsidR="00D4649D" w:rsidRPr="00E8351E">
              <w:rPr>
                <w:rFonts w:ascii="Arial Narrow" w:hAnsi="Arial Narrow" w:cs="Arial"/>
                <w:sz w:val="22"/>
                <w:szCs w:val="22"/>
              </w:rPr>
              <w:t>%</w:t>
            </w:r>
          </w:p>
        </w:tc>
        <w:tc>
          <w:tcPr>
            <w:tcW w:w="1548" w:type="dxa"/>
          </w:tcPr>
          <w:p w14:paraId="0E6EEEC0" w14:textId="3C15B24B" w:rsidR="00D4649D" w:rsidRPr="00E8351E" w:rsidRDefault="00CE7796" w:rsidP="00963E14">
            <w:pPr>
              <w:jc w:val="center"/>
              <w:rPr>
                <w:rFonts w:ascii="Arial Narrow" w:hAnsi="Arial Narrow" w:cs="Arial"/>
                <w:sz w:val="22"/>
                <w:szCs w:val="22"/>
              </w:rPr>
            </w:pPr>
            <w:r>
              <w:rPr>
                <w:rFonts w:ascii="Arial Narrow" w:hAnsi="Arial Narrow" w:cs="Arial"/>
                <w:sz w:val="22"/>
                <w:szCs w:val="22"/>
              </w:rPr>
              <w:t>25.9</w:t>
            </w:r>
            <w:r w:rsidR="00D4649D" w:rsidRPr="00E8351E">
              <w:rPr>
                <w:rFonts w:ascii="Arial Narrow" w:hAnsi="Arial Narrow" w:cs="Arial"/>
                <w:sz w:val="22"/>
                <w:szCs w:val="22"/>
              </w:rPr>
              <w:t>%</w:t>
            </w:r>
          </w:p>
        </w:tc>
        <w:tc>
          <w:tcPr>
            <w:tcW w:w="1549" w:type="dxa"/>
            <w:tcBorders>
              <w:right w:val="single" w:sz="12" w:space="0" w:color="auto"/>
            </w:tcBorders>
          </w:tcPr>
          <w:p w14:paraId="50CA05DA" w14:textId="223D86E5" w:rsidR="00D4649D" w:rsidRPr="00E8351E" w:rsidRDefault="00CE7796" w:rsidP="00963E14">
            <w:pPr>
              <w:jc w:val="center"/>
              <w:rPr>
                <w:rFonts w:ascii="Arial Narrow" w:hAnsi="Arial Narrow" w:cs="Arial"/>
                <w:sz w:val="22"/>
                <w:szCs w:val="22"/>
              </w:rPr>
            </w:pPr>
            <w:r>
              <w:rPr>
                <w:rFonts w:ascii="Arial Narrow" w:hAnsi="Arial Narrow" w:cs="Arial"/>
                <w:sz w:val="22"/>
                <w:szCs w:val="22"/>
              </w:rPr>
              <w:t>25.4</w:t>
            </w:r>
            <w:r w:rsidR="00D4649D" w:rsidRPr="00E8351E">
              <w:rPr>
                <w:rFonts w:ascii="Arial Narrow" w:hAnsi="Arial Narrow" w:cs="Arial"/>
                <w:sz w:val="22"/>
                <w:szCs w:val="22"/>
              </w:rPr>
              <w:t>%</w:t>
            </w:r>
          </w:p>
        </w:tc>
      </w:tr>
      <w:tr w:rsidR="00D4649D" w:rsidRPr="006D5B97" w14:paraId="21FF5D18" w14:textId="77777777" w:rsidTr="00CC2F37">
        <w:trPr>
          <w:trHeight w:val="20"/>
          <w:jc w:val="center"/>
        </w:trPr>
        <w:tc>
          <w:tcPr>
            <w:tcW w:w="3071" w:type="dxa"/>
            <w:tcBorders>
              <w:left w:val="single" w:sz="12" w:space="0" w:color="auto"/>
            </w:tcBorders>
          </w:tcPr>
          <w:p w14:paraId="0F561E65"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Non-APM and Non-ACO Contracts</w:t>
            </w:r>
          </w:p>
        </w:tc>
        <w:tc>
          <w:tcPr>
            <w:tcW w:w="1548" w:type="dxa"/>
          </w:tcPr>
          <w:p w14:paraId="75D8D50A" w14:textId="63CF080E" w:rsidR="00D4649D" w:rsidRPr="00E8351E" w:rsidRDefault="00CE7796" w:rsidP="00963E14">
            <w:pPr>
              <w:jc w:val="center"/>
              <w:rPr>
                <w:rFonts w:ascii="Arial Narrow" w:hAnsi="Arial Narrow" w:cs="Arial"/>
                <w:sz w:val="22"/>
                <w:szCs w:val="22"/>
              </w:rPr>
            </w:pPr>
            <w:r>
              <w:rPr>
                <w:rFonts w:ascii="Arial Narrow" w:hAnsi="Arial Narrow" w:cs="Arial"/>
                <w:sz w:val="22"/>
                <w:szCs w:val="22"/>
              </w:rPr>
              <w:t>78.4</w:t>
            </w:r>
            <w:r w:rsidR="00D4649D" w:rsidRPr="00E8351E">
              <w:rPr>
                <w:rFonts w:ascii="Arial Narrow" w:hAnsi="Arial Narrow" w:cs="Arial"/>
                <w:sz w:val="22"/>
                <w:szCs w:val="22"/>
              </w:rPr>
              <w:t>%</w:t>
            </w:r>
          </w:p>
        </w:tc>
        <w:tc>
          <w:tcPr>
            <w:tcW w:w="1549" w:type="dxa"/>
          </w:tcPr>
          <w:p w14:paraId="1A71E45C" w14:textId="755B2170" w:rsidR="00D4649D" w:rsidRPr="00E8351E" w:rsidRDefault="00CE7796" w:rsidP="00963E14">
            <w:pPr>
              <w:jc w:val="center"/>
              <w:rPr>
                <w:rFonts w:ascii="Arial Narrow" w:hAnsi="Arial Narrow" w:cs="Arial"/>
                <w:sz w:val="22"/>
                <w:szCs w:val="22"/>
              </w:rPr>
            </w:pPr>
            <w:r>
              <w:rPr>
                <w:rFonts w:ascii="Arial Narrow" w:hAnsi="Arial Narrow" w:cs="Arial"/>
                <w:sz w:val="22"/>
                <w:szCs w:val="22"/>
              </w:rPr>
              <w:t>76.2</w:t>
            </w:r>
            <w:r w:rsidR="00D4649D" w:rsidRPr="00E8351E">
              <w:rPr>
                <w:rFonts w:ascii="Arial Narrow" w:hAnsi="Arial Narrow" w:cs="Arial"/>
                <w:sz w:val="22"/>
                <w:szCs w:val="22"/>
              </w:rPr>
              <w:t>%</w:t>
            </w:r>
          </w:p>
        </w:tc>
        <w:tc>
          <w:tcPr>
            <w:tcW w:w="1548" w:type="dxa"/>
          </w:tcPr>
          <w:p w14:paraId="1E525D7D" w14:textId="5C650D97" w:rsidR="00D4649D" w:rsidRPr="00E8351E" w:rsidRDefault="00CE7796" w:rsidP="00963E14">
            <w:pPr>
              <w:jc w:val="center"/>
              <w:rPr>
                <w:rFonts w:ascii="Arial Narrow" w:hAnsi="Arial Narrow" w:cs="Arial"/>
                <w:sz w:val="22"/>
                <w:szCs w:val="22"/>
              </w:rPr>
            </w:pPr>
            <w:r>
              <w:rPr>
                <w:rFonts w:ascii="Arial Narrow" w:hAnsi="Arial Narrow" w:cs="Arial"/>
                <w:sz w:val="22"/>
                <w:szCs w:val="22"/>
              </w:rPr>
              <w:t>74.1</w:t>
            </w:r>
            <w:r w:rsidR="00D4649D" w:rsidRPr="00E8351E">
              <w:rPr>
                <w:rFonts w:ascii="Arial Narrow" w:hAnsi="Arial Narrow" w:cs="Arial"/>
                <w:sz w:val="22"/>
                <w:szCs w:val="22"/>
              </w:rPr>
              <w:t>%</w:t>
            </w:r>
          </w:p>
        </w:tc>
        <w:tc>
          <w:tcPr>
            <w:tcW w:w="1549" w:type="dxa"/>
            <w:tcBorders>
              <w:right w:val="single" w:sz="12" w:space="0" w:color="auto"/>
            </w:tcBorders>
          </w:tcPr>
          <w:p w14:paraId="58D94380" w14:textId="0A6CE257" w:rsidR="00D4649D" w:rsidRPr="00E8351E" w:rsidRDefault="00CE7796" w:rsidP="00963E14">
            <w:pPr>
              <w:jc w:val="center"/>
              <w:rPr>
                <w:rFonts w:ascii="Arial Narrow" w:hAnsi="Arial Narrow" w:cs="Arial"/>
                <w:sz w:val="22"/>
                <w:szCs w:val="22"/>
              </w:rPr>
            </w:pPr>
            <w:r>
              <w:rPr>
                <w:rFonts w:ascii="Arial Narrow" w:hAnsi="Arial Narrow" w:cs="Arial"/>
                <w:sz w:val="22"/>
                <w:szCs w:val="22"/>
              </w:rPr>
              <w:t>74.6</w:t>
            </w:r>
            <w:r w:rsidR="00D4649D" w:rsidRPr="00E8351E">
              <w:rPr>
                <w:rFonts w:ascii="Arial Narrow" w:hAnsi="Arial Narrow" w:cs="Arial"/>
                <w:sz w:val="22"/>
                <w:szCs w:val="22"/>
              </w:rPr>
              <w:t>%</w:t>
            </w:r>
          </w:p>
        </w:tc>
      </w:tr>
      <w:tr w:rsidR="00FC5F79" w:rsidRPr="006D5B97" w14:paraId="79623A76" w14:textId="77777777" w:rsidTr="00FC5F79">
        <w:trPr>
          <w:trHeight w:val="20"/>
          <w:jc w:val="center"/>
        </w:trPr>
        <w:tc>
          <w:tcPr>
            <w:tcW w:w="3071" w:type="dxa"/>
            <w:tcBorders>
              <w:left w:val="single" w:sz="12" w:space="0" w:color="auto"/>
              <w:right w:val="single" w:sz="12" w:space="0" w:color="auto"/>
            </w:tcBorders>
            <w:shd w:val="clear" w:color="auto" w:fill="D9E2F3" w:themeFill="accent1" w:themeFillTint="33"/>
          </w:tcPr>
          <w:p w14:paraId="144E743F" w14:textId="77777777" w:rsidR="00FC5F79" w:rsidRPr="00E8351E" w:rsidRDefault="00FC5F79" w:rsidP="00963E14">
            <w:pPr>
              <w:rPr>
                <w:rFonts w:ascii="Arial Narrow" w:hAnsi="Arial Narrow" w:cs="Arial"/>
                <w:b/>
                <w:bCs/>
                <w:sz w:val="22"/>
                <w:szCs w:val="22"/>
              </w:rPr>
            </w:pPr>
            <w:r w:rsidRPr="00E8351E">
              <w:rPr>
                <w:rFonts w:ascii="Arial Narrow" w:hAnsi="Arial Narrow" w:cs="Arial"/>
                <w:b/>
                <w:bCs/>
                <w:sz w:val="22"/>
                <w:szCs w:val="22"/>
              </w:rPr>
              <w:t>Payer Mix Percentages</w:t>
            </w:r>
          </w:p>
        </w:tc>
        <w:tc>
          <w:tcPr>
            <w:tcW w:w="1548" w:type="dxa"/>
            <w:tcBorders>
              <w:left w:val="single" w:sz="12" w:space="0" w:color="auto"/>
              <w:right w:val="single" w:sz="12" w:space="0" w:color="auto"/>
            </w:tcBorders>
            <w:shd w:val="clear" w:color="auto" w:fill="D9E2F3" w:themeFill="accent1" w:themeFillTint="33"/>
          </w:tcPr>
          <w:p w14:paraId="20CE478A" w14:textId="77777777" w:rsidR="00FC5F79" w:rsidRPr="00E8351E" w:rsidRDefault="00FC5F79"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249B4AE2" w14:textId="77777777" w:rsidR="00FC5F79" w:rsidRPr="00E8351E" w:rsidRDefault="00FC5F79" w:rsidP="00963E14">
            <w:pPr>
              <w:rPr>
                <w:rFonts w:ascii="Arial Narrow" w:hAnsi="Arial Narrow" w:cs="Arial"/>
                <w:b/>
                <w:bCs/>
                <w:sz w:val="22"/>
                <w:szCs w:val="22"/>
              </w:rPr>
            </w:pPr>
          </w:p>
        </w:tc>
        <w:tc>
          <w:tcPr>
            <w:tcW w:w="1548" w:type="dxa"/>
            <w:tcBorders>
              <w:left w:val="single" w:sz="12" w:space="0" w:color="auto"/>
              <w:right w:val="single" w:sz="12" w:space="0" w:color="auto"/>
            </w:tcBorders>
            <w:shd w:val="clear" w:color="auto" w:fill="D9E2F3" w:themeFill="accent1" w:themeFillTint="33"/>
          </w:tcPr>
          <w:p w14:paraId="74947A18" w14:textId="77777777" w:rsidR="00FC5F79" w:rsidRPr="00E8351E" w:rsidRDefault="00FC5F79" w:rsidP="00963E14">
            <w:pPr>
              <w:rPr>
                <w:rFonts w:ascii="Arial Narrow" w:hAnsi="Arial Narrow" w:cs="Arial"/>
                <w:b/>
                <w:bCs/>
                <w:sz w:val="22"/>
                <w:szCs w:val="22"/>
              </w:rPr>
            </w:pPr>
          </w:p>
        </w:tc>
        <w:tc>
          <w:tcPr>
            <w:tcW w:w="1549" w:type="dxa"/>
            <w:tcBorders>
              <w:left w:val="single" w:sz="12" w:space="0" w:color="auto"/>
              <w:right w:val="single" w:sz="12" w:space="0" w:color="auto"/>
            </w:tcBorders>
            <w:shd w:val="clear" w:color="auto" w:fill="D9E2F3" w:themeFill="accent1" w:themeFillTint="33"/>
          </w:tcPr>
          <w:p w14:paraId="5CA32228" w14:textId="3DA8EB0F" w:rsidR="00FC5F79" w:rsidRPr="00E8351E" w:rsidRDefault="00FC5F79" w:rsidP="00963E14">
            <w:pPr>
              <w:rPr>
                <w:rFonts w:ascii="Arial Narrow" w:hAnsi="Arial Narrow" w:cs="Arial"/>
                <w:b/>
                <w:bCs/>
                <w:sz w:val="22"/>
                <w:szCs w:val="22"/>
              </w:rPr>
            </w:pPr>
          </w:p>
        </w:tc>
      </w:tr>
      <w:tr w:rsidR="00D4649D" w:rsidRPr="006D5B97" w14:paraId="28B4E2F2" w14:textId="77777777" w:rsidTr="00CC2F37">
        <w:trPr>
          <w:trHeight w:val="20"/>
          <w:jc w:val="center"/>
        </w:trPr>
        <w:tc>
          <w:tcPr>
            <w:tcW w:w="3071" w:type="dxa"/>
            <w:tcBorders>
              <w:left w:val="single" w:sz="12" w:space="0" w:color="auto"/>
            </w:tcBorders>
          </w:tcPr>
          <w:p w14:paraId="4869AA37" w14:textId="5D53B882"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Commercial</w:t>
            </w:r>
            <w:r w:rsidR="00FB167B">
              <w:rPr>
                <w:rFonts w:ascii="ZWAdobeF" w:hAnsi="ZWAdobeF" w:cs="ZWAdobeF"/>
                <w:sz w:val="2"/>
                <w:szCs w:val="2"/>
              </w:rPr>
              <w:t>28F</w:t>
            </w:r>
            <w:r w:rsidRPr="00E8351E">
              <w:rPr>
                <w:rStyle w:val="FootnoteReference"/>
                <w:rFonts w:ascii="Arial Narrow" w:hAnsi="Arial Narrow" w:cs="Arial"/>
                <w:sz w:val="22"/>
                <w:szCs w:val="22"/>
              </w:rPr>
              <w:footnoteReference w:id="29"/>
            </w:r>
          </w:p>
        </w:tc>
        <w:tc>
          <w:tcPr>
            <w:tcW w:w="1548" w:type="dxa"/>
          </w:tcPr>
          <w:p w14:paraId="18B3E8CF" w14:textId="6D84888A" w:rsidR="00D4649D" w:rsidRPr="00E8351E" w:rsidRDefault="00CE7796" w:rsidP="00963E14">
            <w:pPr>
              <w:jc w:val="center"/>
              <w:rPr>
                <w:rFonts w:ascii="Arial Narrow" w:hAnsi="Arial Narrow" w:cs="Arial"/>
                <w:sz w:val="22"/>
                <w:szCs w:val="22"/>
              </w:rPr>
            </w:pPr>
            <w:r>
              <w:rPr>
                <w:rFonts w:ascii="Arial Narrow" w:hAnsi="Arial Narrow" w:cs="Arial"/>
                <w:sz w:val="22"/>
                <w:szCs w:val="22"/>
              </w:rPr>
              <w:t>24.5</w:t>
            </w:r>
            <w:r w:rsidR="00D4649D" w:rsidRPr="00E8351E">
              <w:rPr>
                <w:rFonts w:ascii="Arial Narrow" w:hAnsi="Arial Narrow" w:cs="Arial"/>
                <w:sz w:val="22"/>
                <w:szCs w:val="22"/>
              </w:rPr>
              <w:t>%</w:t>
            </w:r>
          </w:p>
        </w:tc>
        <w:tc>
          <w:tcPr>
            <w:tcW w:w="1549" w:type="dxa"/>
          </w:tcPr>
          <w:p w14:paraId="48F70518" w14:textId="7E207687" w:rsidR="00D4649D" w:rsidRPr="00E8351E" w:rsidRDefault="00CE7796" w:rsidP="00963E14">
            <w:pPr>
              <w:jc w:val="center"/>
              <w:rPr>
                <w:rFonts w:ascii="Arial Narrow" w:hAnsi="Arial Narrow" w:cs="Arial"/>
                <w:sz w:val="22"/>
                <w:szCs w:val="22"/>
              </w:rPr>
            </w:pPr>
            <w:r>
              <w:rPr>
                <w:rFonts w:ascii="Arial Narrow" w:hAnsi="Arial Narrow" w:cs="Arial"/>
                <w:sz w:val="22"/>
                <w:szCs w:val="22"/>
              </w:rPr>
              <w:t>23.6</w:t>
            </w:r>
            <w:r w:rsidR="00D4649D" w:rsidRPr="00E8351E">
              <w:rPr>
                <w:rFonts w:ascii="Arial Narrow" w:hAnsi="Arial Narrow" w:cs="Arial"/>
                <w:sz w:val="22"/>
                <w:szCs w:val="22"/>
              </w:rPr>
              <w:t>%</w:t>
            </w:r>
          </w:p>
        </w:tc>
        <w:tc>
          <w:tcPr>
            <w:tcW w:w="1548" w:type="dxa"/>
          </w:tcPr>
          <w:p w14:paraId="478B56E4" w14:textId="6CAE642E" w:rsidR="00D4649D" w:rsidRPr="00E8351E" w:rsidRDefault="00CE7796" w:rsidP="00963E14">
            <w:pPr>
              <w:jc w:val="center"/>
              <w:rPr>
                <w:rFonts w:ascii="Arial Narrow" w:hAnsi="Arial Narrow" w:cs="Arial"/>
                <w:sz w:val="22"/>
                <w:szCs w:val="22"/>
              </w:rPr>
            </w:pPr>
            <w:r>
              <w:rPr>
                <w:rFonts w:ascii="Arial Narrow" w:hAnsi="Arial Narrow" w:cs="Arial"/>
                <w:sz w:val="22"/>
                <w:szCs w:val="22"/>
              </w:rPr>
              <w:t>24.6</w:t>
            </w:r>
            <w:r w:rsidR="00D4649D" w:rsidRPr="00E8351E">
              <w:rPr>
                <w:rFonts w:ascii="Arial Narrow" w:hAnsi="Arial Narrow" w:cs="Arial"/>
                <w:sz w:val="22"/>
                <w:szCs w:val="22"/>
              </w:rPr>
              <w:t>%</w:t>
            </w:r>
          </w:p>
        </w:tc>
        <w:tc>
          <w:tcPr>
            <w:tcW w:w="1549" w:type="dxa"/>
            <w:tcBorders>
              <w:right w:val="single" w:sz="12" w:space="0" w:color="auto"/>
            </w:tcBorders>
          </w:tcPr>
          <w:p w14:paraId="47913541" w14:textId="763E75B7" w:rsidR="00D4649D" w:rsidRPr="00E8351E" w:rsidRDefault="00CE7796" w:rsidP="00963E14">
            <w:pPr>
              <w:jc w:val="center"/>
              <w:rPr>
                <w:rFonts w:ascii="Arial Narrow" w:hAnsi="Arial Narrow" w:cs="Arial"/>
                <w:sz w:val="22"/>
                <w:szCs w:val="22"/>
              </w:rPr>
            </w:pPr>
            <w:r>
              <w:rPr>
                <w:rFonts w:ascii="Arial Narrow" w:hAnsi="Arial Narrow" w:cs="Arial"/>
                <w:sz w:val="22"/>
                <w:szCs w:val="22"/>
              </w:rPr>
              <w:t>22.2</w:t>
            </w:r>
            <w:r w:rsidR="00D4649D" w:rsidRPr="00E8351E">
              <w:rPr>
                <w:rFonts w:ascii="Arial Narrow" w:hAnsi="Arial Narrow" w:cs="Arial"/>
                <w:sz w:val="22"/>
                <w:szCs w:val="22"/>
              </w:rPr>
              <w:t>%</w:t>
            </w:r>
          </w:p>
        </w:tc>
      </w:tr>
      <w:tr w:rsidR="00D4649D" w:rsidRPr="006D5B97" w14:paraId="48F78133" w14:textId="77777777" w:rsidTr="00CC2F37">
        <w:trPr>
          <w:trHeight w:val="20"/>
          <w:jc w:val="center"/>
        </w:trPr>
        <w:tc>
          <w:tcPr>
            <w:tcW w:w="3071" w:type="dxa"/>
            <w:tcBorders>
              <w:left w:val="single" w:sz="12" w:space="0" w:color="auto"/>
            </w:tcBorders>
          </w:tcPr>
          <w:p w14:paraId="3E7319B5" w14:textId="77777777" w:rsidR="00D4649D" w:rsidRPr="00520084" w:rsidRDefault="00D4649D" w:rsidP="00963E14">
            <w:pPr>
              <w:rPr>
                <w:rFonts w:ascii="Arial Narrow" w:hAnsi="Arial Narrow" w:cs="Arial"/>
                <w:i/>
                <w:iCs/>
                <w:sz w:val="22"/>
                <w:szCs w:val="22"/>
              </w:rPr>
            </w:pPr>
            <w:r w:rsidRPr="00520084">
              <w:rPr>
                <w:rFonts w:ascii="Arial Narrow" w:hAnsi="Arial Narrow" w:cs="Arial"/>
                <w:i/>
                <w:iCs/>
                <w:sz w:val="22"/>
                <w:szCs w:val="22"/>
              </w:rPr>
              <w:t xml:space="preserve">     HMO/POS</w:t>
            </w:r>
          </w:p>
        </w:tc>
        <w:tc>
          <w:tcPr>
            <w:tcW w:w="1548" w:type="dxa"/>
          </w:tcPr>
          <w:p w14:paraId="60AE0CA5" w14:textId="14EE2220"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7.8</w:t>
            </w:r>
            <w:r w:rsidR="00D4649D" w:rsidRPr="00520084">
              <w:rPr>
                <w:rFonts w:ascii="Arial Narrow" w:hAnsi="Arial Narrow" w:cs="Arial"/>
                <w:i/>
                <w:iCs/>
                <w:sz w:val="22"/>
                <w:szCs w:val="22"/>
              </w:rPr>
              <w:t>%</w:t>
            </w:r>
          </w:p>
        </w:tc>
        <w:tc>
          <w:tcPr>
            <w:tcW w:w="1549" w:type="dxa"/>
          </w:tcPr>
          <w:p w14:paraId="1027F242" w14:textId="3797C6E5"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7.5</w:t>
            </w:r>
            <w:r w:rsidR="00D4649D" w:rsidRPr="00520084">
              <w:rPr>
                <w:rFonts w:ascii="Arial Narrow" w:hAnsi="Arial Narrow" w:cs="Arial"/>
                <w:i/>
                <w:iCs/>
                <w:sz w:val="22"/>
                <w:szCs w:val="22"/>
              </w:rPr>
              <w:t>%</w:t>
            </w:r>
          </w:p>
        </w:tc>
        <w:tc>
          <w:tcPr>
            <w:tcW w:w="1548" w:type="dxa"/>
          </w:tcPr>
          <w:p w14:paraId="6785790F" w14:textId="316F34A5"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8.0</w:t>
            </w:r>
            <w:r w:rsidR="00D4649D" w:rsidRPr="00520084">
              <w:rPr>
                <w:rFonts w:ascii="Arial Narrow" w:hAnsi="Arial Narrow" w:cs="Arial"/>
                <w:i/>
                <w:iCs/>
                <w:sz w:val="22"/>
                <w:szCs w:val="22"/>
              </w:rPr>
              <w:t>%</w:t>
            </w:r>
          </w:p>
        </w:tc>
        <w:tc>
          <w:tcPr>
            <w:tcW w:w="1549" w:type="dxa"/>
            <w:tcBorders>
              <w:right w:val="single" w:sz="12" w:space="0" w:color="auto"/>
            </w:tcBorders>
          </w:tcPr>
          <w:p w14:paraId="06821F4D" w14:textId="7CCC1DA2"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7.0</w:t>
            </w:r>
            <w:r w:rsidR="00D4649D" w:rsidRPr="00520084">
              <w:rPr>
                <w:rFonts w:ascii="Arial Narrow" w:hAnsi="Arial Narrow" w:cs="Arial"/>
                <w:i/>
                <w:iCs/>
                <w:sz w:val="22"/>
                <w:szCs w:val="22"/>
              </w:rPr>
              <w:t>%</w:t>
            </w:r>
          </w:p>
        </w:tc>
      </w:tr>
      <w:tr w:rsidR="00D4649D" w:rsidRPr="006D5B97" w14:paraId="12EA9C07" w14:textId="77777777" w:rsidTr="00CC2F37">
        <w:trPr>
          <w:trHeight w:val="20"/>
          <w:jc w:val="center"/>
        </w:trPr>
        <w:tc>
          <w:tcPr>
            <w:tcW w:w="3071" w:type="dxa"/>
            <w:tcBorders>
              <w:left w:val="single" w:sz="12" w:space="0" w:color="auto"/>
            </w:tcBorders>
          </w:tcPr>
          <w:p w14:paraId="5A244C28" w14:textId="77777777" w:rsidR="00D4649D" w:rsidRPr="00520084" w:rsidRDefault="00D4649D" w:rsidP="00963E14">
            <w:pPr>
              <w:rPr>
                <w:rFonts w:ascii="Arial Narrow" w:hAnsi="Arial Narrow" w:cs="Arial"/>
                <w:i/>
                <w:iCs/>
                <w:sz w:val="22"/>
                <w:szCs w:val="22"/>
              </w:rPr>
            </w:pPr>
            <w:r w:rsidRPr="00520084">
              <w:rPr>
                <w:rFonts w:ascii="Arial Narrow" w:hAnsi="Arial Narrow" w:cs="Arial"/>
                <w:i/>
                <w:iCs/>
                <w:sz w:val="22"/>
                <w:szCs w:val="22"/>
              </w:rPr>
              <w:t xml:space="preserve">     PPO</w:t>
            </w:r>
          </w:p>
        </w:tc>
        <w:tc>
          <w:tcPr>
            <w:tcW w:w="1548" w:type="dxa"/>
          </w:tcPr>
          <w:p w14:paraId="3D8A7113" w14:textId="7C8F6530"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6.4</w:t>
            </w:r>
            <w:r w:rsidR="00D4649D" w:rsidRPr="00520084">
              <w:rPr>
                <w:rFonts w:ascii="Arial Narrow" w:hAnsi="Arial Narrow" w:cs="Arial"/>
                <w:i/>
                <w:iCs/>
                <w:sz w:val="22"/>
                <w:szCs w:val="22"/>
              </w:rPr>
              <w:t>%</w:t>
            </w:r>
          </w:p>
        </w:tc>
        <w:tc>
          <w:tcPr>
            <w:tcW w:w="1549" w:type="dxa"/>
          </w:tcPr>
          <w:p w14:paraId="0320B7E1" w14:textId="3A56F255"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5.9</w:t>
            </w:r>
            <w:r w:rsidR="00D4649D" w:rsidRPr="00520084">
              <w:rPr>
                <w:rFonts w:ascii="Arial Narrow" w:hAnsi="Arial Narrow" w:cs="Arial"/>
                <w:i/>
                <w:iCs/>
                <w:sz w:val="22"/>
                <w:szCs w:val="22"/>
              </w:rPr>
              <w:t>%</w:t>
            </w:r>
          </w:p>
        </w:tc>
        <w:tc>
          <w:tcPr>
            <w:tcW w:w="1548" w:type="dxa"/>
          </w:tcPr>
          <w:p w14:paraId="193ADB47" w14:textId="1DB5C229"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5.8</w:t>
            </w:r>
            <w:r w:rsidR="00D4649D" w:rsidRPr="00520084">
              <w:rPr>
                <w:rFonts w:ascii="Arial Narrow" w:hAnsi="Arial Narrow" w:cs="Arial"/>
                <w:i/>
                <w:iCs/>
                <w:sz w:val="22"/>
                <w:szCs w:val="22"/>
              </w:rPr>
              <w:t>%</w:t>
            </w:r>
          </w:p>
        </w:tc>
        <w:tc>
          <w:tcPr>
            <w:tcW w:w="1549" w:type="dxa"/>
            <w:tcBorders>
              <w:right w:val="single" w:sz="12" w:space="0" w:color="auto"/>
            </w:tcBorders>
          </w:tcPr>
          <w:p w14:paraId="01FAF08A" w14:textId="274CF634"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5.8</w:t>
            </w:r>
            <w:r w:rsidR="00D4649D" w:rsidRPr="00520084">
              <w:rPr>
                <w:rFonts w:ascii="Arial Narrow" w:hAnsi="Arial Narrow" w:cs="Arial"/>
                <w:i/>
                <w:iCs/>
                <w:sz w:val="22"/>
                <w:szCs w:val="22"/>
              </w:rPr>
              <w:t>%</w:t>
            </w:r>
          </w:p>
        </w:tc>
      </w:tr>
      <w:tr w:rsidR="00D4649D" w:rsidRPr="006D5B97" w14:paraId="34C9702A" w14:textId="77777777" w:rsidTr="00CC2F37">
        <w:trPr>
          <w:trHeight w:val="20"/>
          <w:jc w:val="center"/>
        </w:trPr>
        <w:tc>
          <w:tcPr>
            <w:tcW w:w="3071" w:type="dxa"/>
            <w:tcBorders>
              <w:left w:val="single" w:sz="12" w:space="0" w:color="auto"/>
            </w:tcBorders>
          </w:tcPr>
          <w:p w14:paraId="4D706D5F" w14:textId="6FDA33A8" w:rsidR="00D4649D" w:rsidRPr="00520084" w:rsidRDefault="00D4649D" w:rsidP="00963E14">
            <w:pPr>
              <w:rPr>
                <w:rFonts w:ascii="Arial Narrow" w:hAnsi="Arial Narrow" w:cs="Arial"/>
                <w:i/>
                <w:iCs/>
                <w:sz w:val="22"/>
                <w:szCs w:val="22"/>
              </w:rPr>
            </w:pPr>
            <w:r w:rsidRPr="00520084">
              <w:rPr>
                <w:rFonts w:ascii="Arial Narrow" w:hAnsi="Arial Narrow" w:cs="Arial"/>
                <w:i/>
                <w:iCs/>
                <w:sz w:val="22"/>
                <w:szCs w:val="22"/>
              </w:rPr>
              <w:t xml:space="preserve">     Other</w:t>
            </w:r>
            <w:r w:rsidR="00FB167B">
              <w:rPr>
                <w:rFonts w:ascii="ZWAdobeF" w:hAnsi="ZWAdobeF" w:cs="ZWAdobeF"/>
                <w:iCs/>
                <w:sz w:val="2"/>
                <w:szCs w:val="2"/>
              </w:rPr>
              <w:t>29F</w:t>
            </w:r>
            <w:r w:rsidRPr="00520084">
              <w:rPr>
                <w:rStyle w:val="FootnoteReference"/>
                <w:rFonts w:ascii="Arial Narrow" w:hAnsi="Arial Narrow" w:cs="Arial"/>
                <w:i/>
                <w:iCs/>
                <w:sz w:val="22"/>
                <w:szCs w:val="22"/>
              </w:rPr>
              <w:footnoteReference w:id="30"/>
            </w:r>
          </w:p>
        </w:tc>
        <w:tc>
          <w:tcPr>
            <w:tcW w:w="1548" w:type="dxa"/>
          </w:tcPr>
          <w:p w14:paraId="6D20A229" w14:textId="1D529D7E"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10.3</w:t>
            </w:r>
            <w:r w:rsidR="00D4649D" w:rsidRPr="00520084">
              <w:rPr>
                <w:rFonts w:ascii="Arial Narrow" w:hAnsi="Arial Narrow" w:cs="Arial"/>
                <w:i/>
                <w:iCs/>
                <w:sz w:val="22"/>
                <w:szCs w:val="22"/>
              </w:rPr>
              <w:t>%</w:t>
            </w:r>
          </w:p>
        </w:tc>
        <w:tc>
          <w:tcPr>
            <w:tcW w:w="1549" w:type="dxa"/>
          </w:tcPr>
          <w:p w14:paraId="17F9F822" w14:textId="14BACF66"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10.2</w:t>
            </w:r>
            <w:r w:rsidR="00D4649D" w:rsidRPr="00520084">
              <w:rPr>
                <w:rFonts w:ascii="Arial Narrow" w:hAnsi="Arial Narrow" w:cs="Arial"/>
                <w:i/>
                <w:iCs/>
                <w:sz w:val="22"/>
                <w:szCs w:val="22"/>
              </w:rPr>
              <w:t>%</w:t>
            </w:r>
          </w:p>
        </w:tc>
        <w:tc>
          <w:tcPr>
            <w:tcW w:w="1548" w:type="dxa"/>
          </w:tcPr>
          <w:p w14:paraId="6BB0DFEE" w14:textId="468AC354"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10.9</w:t>
            </w:r>
            <w:r w:rsidR="00D4649D" w:rsidRPr="00520084">
              <w:rPr>
                <w:rFonts w:ascii="Arial Narrow" w:hAnsi="Arial Narrow" w:cs="Arial"/>
                <w:i/>
                <w:iCs/>
                <w:sz w:val="22"/>
                <w:szCs w:val="22"/>
              </w:rPr>
              <w:t>%</w:t>
            </w:r>
          </w:p>
        </w:tc>
        <w:tc>
          <w:tcPr>
            <w:tcW w:w="1549" w:type="dxa"/>
            <w:tcBorders>
              <w:right w:val="single" w:sz="12" w:space="0" w:color="auto"/>
            </w:tcBorders>
          </w:tcPr>
          <w:p w14:paraId="7B8B9469" w14:textId="1A26E601" w:rsidR="00D4649D" w:rsidRPr="00520084" w:rsidRDefault="00CE7796" w:rsidP="00963E14">
            <w:pPr>
              <w:ind w:right="144"/>
              <w:jc w:val="right"/>
              <w:rPr>
                <w:rFonts w:ascii="Arial Narrow" w:hAnsi="Arial Narrow" w:cs="Arial"/>
                <w:i/>
                <w:iCs/>
                <w:sz w:val="22"/>
                <w:szCs w:val="22"/>
              </w:rPr>
            </w:pPr>
            <w:r>
              <w:rPr>
                <w:rFonts w:ascii="Arial Narrow" w:hAnsi="Arial Narrow" w:cs="Arial"/>
                <w:i/>
                <w:iCs/>
                <w:sz w:val="22"/>
                <w:szCs w:val="22"/>
              </w:rPr>
              <w:t>9.4</w:t>
            </w:r>
            <w:r w:rsidR="00D4649D" w:rsidRPr="00520084">
              <w:rPr>
                <w:rFonts w:ascii="Arial Narrow" w:hAnsi="Arial Narrow" w:cs="Arial"/>
                <w:i/>
                <w:iCs/>
                <w:sz w:val="22"/>
                <w:szCs w:val="22"/>
              </w:rPr>
              <w:t>%</w:t>
            </w:r>
          </w:p>
        </w:tc>
      </w:tr>
      <w:tr w:rsidR="00D4649D" w:rsidRPr="006D5B97" w14:paraId="03306C60" w14:textId="77777777" w:rsidTr="00CC2F37">
        <w:trPr>
          <w:trHeight w:val="20"/>
          <w:jc w:val="center"/>
        </w:trPr>
        <w:tc>
          <w:tcPr>
            <w:tcW w:w="3071" w:type="dxa"/>
            <w:tcBorders>
              <w:left w:val="single" w:sz="12" w:space="0" w:color="auto"/>
            </w:tcBorders>
          </w:tcPr>
          <w:p w14:paraId="2EE0C404"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MassHealth</w:t>
            </w:r>
          </w:p>
        </w:tc>
        <w:tc>
          <w:tcPr>
            <w:tcW w:w="1548" w:type="dxa"/>
          </w:tcPr>
          <w:p w14:paraId="7FCC8F3D" w14:textId="06772CD4" w:rsidR="00D4649D" w:rsidRPr="00E8351E" w:rsidRDefault="00CE7796" w:rsidP="00963E14">
            <w:pPr>
              <w:jc w:val="center"/>
              <w:rPr>
                <w:rFonts w:ascii="Arial Narrow" w:hAnsi="Arial Narrow" w:cs="Arial"/>
                <w:sz w:val="22"/>
                <w:szCs w:val="22"/>
              </w:rPr>
            </w:pPr>
            <w:r>
              <w:rPr>
                <w:rFonts w:ascii="Arial Narrow" w:hAnsi="Arial Narrow" w:cs="Arial"/>
                <w:sz w:val="22"/>
                <w:szCs w:val="22"/>
              </w:rPr>
              <w:t>16.0</w:t>
            </w:r>
            <w:r w:rsidR="00D4649D" w:rsidRPr="00E8351E">
              <w:rPr>
                <w:rFonts w:ascii="Arial Narrow" w:hAnsi="Arial Narrow" w:cs="Arial"/>
                <w:sz w:val="22"/>
                <w:szCs w:val="22"/>
              </w:rPr>
              <w:t>%</w:t>
            </w:r>
          </w:p>
        </w:tc>
        <w:tc>
          <w:tcPr>
            <w:tcW w:w="1549" w:type="dxa"/>
          </w:tcPr>
          <w:p w14:paraId="65A0036E" w14:textId="65B41F93" w:rsidR="00D4649D" w:rsidRPr="00E8351E" w:rsidRDefault="00CE7796" w:rsidP="00963E14">
            <w:pPr>
              <w:jc w:val="center"/>
              <w:rPr>
                <w:rFonts w:ascii="Arial Narrow" w:hAnsi="Arial Narrow" w:cs="Arial"/>
                <w:sz w:val="22"/>
                <w:szCs w:val="22"/>
              </w:rPr>
            </w:pPr>
            <w:r>
              <w:rPr>
                <w:rFonts w:ascii="Arial Narrow" w:hAnsi="Arial Narrow" w:cs="Arial"/>
                <w:sz w:val="22"/>
                <w:szCs w:val="22"/>
              </w:rPr>
              <w:t>15.1</w:t>
            </w:r>
            <w:r w:rsidR="00D4649D" w:rsidRPr="00E8351E">
              <w:rPr>
                <w:rFonts w:ascii="Arial Narrow" w:hAnsi="Arial Narrow" w:cs="Arial"/>
                <w:sz w:val="22"/>
                <w:szCs w:val="22"/>
              </w:rPr>
              <w:t>%</w:t>
            </w:r>
          </w:p>
        </w:tc>
        <w:tc>
          <w:tcPr>
            <w:tcW w:w="1548" w:type="dxa"/>
          </w:tcPr>
          <w:p w14:paraId="46B07EEF" w14:textId="619A17F8" w:rsidR="00D4649D" w:rsidRPr="00E8351E" w:rsidRDefault="00CE7796" w:rsidP="00963E14">
            <w:pPr>
              <w:jc w:val="center"/>
              <w:rPr>
                <w:rFonts w:ascii="Arial Narrow" w:hAnsi="Arial Narrow" w:cs="Arial"/>
                <w:sz w:val="22"/>
                <w:szCs w:val="22"/>
              </w:rPr>
            </w:pPr>
            <w:r>
              <w:rPr>
                <w:rFonts w:ascii="Arial Narrow" w:hAnsi="Arial Narrow" w:cs="Arial"/>
                <w:sz w:val="22"/>
                <w:szCs w:val="22"/>
              </w:rPr>
              <w:t>14.7</w:t>
            </w:r>
            <w:r w:rsidR="00D4649D" w:rsidRPr="00E8351E">
              <w:rPr>
                <w:rFonts w:ascii="Arial Narrow" w:hAnsi="Arial Narrow" w:cs="Arial"/>
                <w:sz w:val="22"/>
                <w:szCs w:val="22"/>
              </w:rPr>
              <w:t>%</w:t>
            </w:r>
          </w:p>
        </w:tc>
        <w:tc>
          <w:tcPr>
            <w:tcW w:w="1549" w:type="dxa"/>
            <w:tcBorders>
              <w:right w:val="single" w:sz="12" w:space="0" w:color="auto"/>
            </w:tcBorders>
          </w:tcPr>
          <w:p w14:paraId="7C0266D8" w14:textId="4F57131D" w:rsidR="00D4649D" w:rsidRPr="00E8351E" w:rsidRDefault="00CE7796" w:rsidP="00963E14">
            <w:pPr>
              <w:jc w:val="center"/>
              <w:rPr>
                <w:rFonts w:ascii="Arial Narrow" w:hAnsi="Arial Narrow" w:cs="Arial"/>
                <w:sz w:val="22"/>
                <w:szCs w:val="22"/>
              </w:rPr>
            </w:pPr>
            <w:r>
              <w:rPr>
                <w:rFonts w:ascii="Arial Narrow" w:hAnsi="Arial Narrow" w:cs="Arial"/>
                <w:sz w:val="22"/>
                <w:szCs w:val="22"/>
              </w:rPr>
              <w:t>13.0</w:t>
            </w:r>
            <w:r w:rsidR="00D4649D" w:rsidRPr="00E8351E">
              <w:rPr>
                <w:rFonts w:ascii="Arial Narrow" w:hAnsi="Arial Narrow" w:cs="Arial"/>
                <w:sz w:val="22"/>
                <w:szCs w:val="22"/>
              </w:rPr>
              <w:t>%</w:t>
            </w:r>
          </w:p>
        </w:tc>
      </w:tr>
      <w:tr w:rsidR="00D4649D" w:rsidRPr="006D5B97" w14:paraId="2D1925C9" w14:textId="77777777" w:rsidTr="00CC2F37">
        <w:trPr>
          <w:trHeight w:val="20"/>
          <w:jc w:val="center"/>
        </w:trPr>
        <w:tc>
          <w:tcPr>
            <w:tcW w:w="3071" w:type="dxa"/>
            <w:tcBorders>
              <w:left w:val="single" w:sz="12" w:space="0" w:color="auto"/>
            </w:tcBorders>
          </w:tcPr>
          <w:p w14:paraId="73BA54BF"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Managed Medicaid</w:t>
            </w:r>
          </w:p>
        </w:tc>
        <w:tc>
          <w:tcPr>
            <w:tcW w:w="1548" w:type="dxa"/>
          </w:tcPr>
          <w:p w14:paraId="4E52143B" w14:textId="1EAFBBBE" w:rsidR="00D4649D" w:rsidRPr="00E8351E" w:rsidRDefault="00CE7796" w:rsidP="00963E14">
            <w:pPr>
              <w:jc w:val="center"/>
              <w:rPr>
                <w:rFonts w:ascii="Arial Narrow" w:hAnsi="Arial Narrow" w:cs="Arial"/>
                <w:sz w:val="22"/>
                <w:szCs w:val="22"/>
              </w:rPr>
            </w:pPr>
            <w:r>
              <w:rPr>
                <w:rFonts w:ascii="Arial Narrow" w:hAnsi="Arial Narrow" w:cs="Arial"/>
                <w:sz w:val="22"/>
                <w:szCs w:val="22"/>
              </w:rPr>
              <w:t>24.5</w:t>
            </w:r>
            <w:r w:rsidR="00D4649D" w:rsidRPr="00E8351E">
              <w:rPr>
                <w:rFonts w:ascii="Arial Narrow" w:hAnsi="Arial Narrow" w:cs="Arial"/>
                <w:sz w:val="22"/>
                <w:szCs w:val="22"/>
              </w:rPr>
              <w:t>%</w:t>
            </w:r>
          </w:p>
        </w:tc>
        <w:tc>
          <w:tcPr>
            <w:tcW w:w="1549" w:type="dxa"/>
          </w:tcPr>
          <w:p w14:paraId="3DDEFB1E" w14:textId="3F819787" w:rsidR="00D4649D" w:rsidRPr="00E8351E" w:rsidRDefault="00CE7796" w:rsidP="00963E14">
            <w:pPr>
              <w:jc w:val="center"/>
              <w:rPr>
                <w:rFonts w:ascii="Arial Narrow" w:hAnsi="Arial Narrow" w:cs="Arial"/>
                <w:sz w:val="22"/>
                <w:szCs w:val="22"/>
              </w:rPr>
            </w:pPr>
            <w:r>
              <w:rPr>
                <w:rFonts w:ascii="Arial Narrow" w:hAnsi="Arial Narrow" w:cs="Arial"/>
                <w:sz w:val="22"/>
                <w:szCs w:val="22"/>
              </w:rPr>
              <w:t>25.7</w:t>
            </w:r>
            <w:r w:rsidR="00D4649D" w:rsidRPr="00E8351E">
              <w:rPr>
                <w:rFonts w:ascii="Arial Narrow" w:hAnsi="Arial Narrow" w:cs="Arial"/>
                <w:sz w:val="22"/>
                <w:szCs w:val="22"/>
              </w:rPr>
              <w:t>%</w:t>
            </w:r>
          </w:p>
        </w:tc>
        <w:tc>
          <w:tcPr>
            <w:tcW w:w="1548" w:type="dxa"/>
          </w:tcPr>
          <w:p w14:paraId="2E548604" w14:textId="53DFC319" w:rsidR="00D4649D" w:rsidRPr="00E8351E" w:rsidRDefault="00CE7796" w:rsidP="00963E14">
            <w:pPr>
              <w:jc w:val="center"/>
              <w:rPr>
                <w:rFonts w:ascii="Arial Narrow" w:hAnsi="Arial Narrow" w:cs="Arial"/>
                <w:sz w:val="22"/>
                <w:szCs w:val="22"/>
              </w:rPr>
            </w:pPr>
            <w:r>
              <w:rPr>
                <w:rFonts w:ascii="Arial Narrow" w:hAnsi="Arial Narrow" w:cs="Arial"/>
                <w:sz w:val="22"/>
                <w:szCs w:val="22"/>
              </w:rPr>
              <w:t>27.5</w:t>
            </w:r>
            <w:r w:rsidR="00D4649D" w:rsidRPr="00E8351E">
              <w:rPr>
                <w:rFonts w:ascii="Arial Narrow" w:hAnsi="Arial Narrow" w:cs="Arial"/>
                <w:sz w:val="22"/>
                <w:szCs w:val="22"/>
              </w:rPr>
              <w:t>%</w:t>
            </w:r>
          </w:p>
        </w:tc>
        <w:tc>
          <w:tcPr>
            <w:tcW w:w="1549" w:type="dxa"/>
            <w:tcBorders>
              <w:right w:val="single" w:sz="12" w:space="0" w:color="auto"/>
            </w:tcBorders>
          </w:tcPr>
          <w:p w14:paraId="7BA6124E" w14:textId="270D0D18" w:rsidR="00D4649D" w:rsidRPr="00E8351E" w:rsidRDefault="00CE7796" w:rsidP="00963E14">
            <w:pPr>
              <w:jc w:val="center"/>
              <w:rPr>
                <w:rFonts w:ascii="Arial Narrow" w:hAnsi="Arial Narrow" w:cs="Arial"/>
                <w:sz w:val="22"/>
                <w:szCs w:val="22"/>
              </w:rPr>
            </w:pPr>
            <w:r>
              <w:rPr>
                <w:rFonts w:ascii="Arial Narrow" w:hAnsi="Arial Narrow" w:cs="Arial"/>
                <w:sz w:val="22"/>
                <w:szCs w:val="22"/>
              </w:rPr>
              <w:t>28.5</w:t>
            </w:r>
            <w:r w:rsidR="00D4649D" w:rsidRPr="00E8351E">
              <w:rPr>
                <w:rFonts w:ascii="Arial Narrow" w:hAnsi="Arial Narrow" w:cs="Arial"/>
                <w:sz w:val="22"/>
                <w:szCs w:val="22"/>
              </w:rPr>
              <w:t>%</w:t>
            </w:r>
          </w:p>
        </w:tc>
      </w:tr>
      <w:tr w:rsidR="00D4649D" w:rsidRPr="006D5B97" w14:paraId="462DC496" w14:textId="77777777" w:rsidTr="00963E14">
        <w:trPr>
          <w:trHeight w:val="274"/>
          <w:jc w:val="center"/>
        </w:trPr>
        <w:tc>
          <w:tcPr>
            <w:tcW w:w="3071" w:type="dxa"/>
            <w:tcBorders>
              <w:left w:val="single" w:sz="12" w:space="0" w:color="auto"/>
            </w:tcBorders>
          </w:tcPr>
          <w:p w14:paraId="38CB55C7"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Commercial Medicare</w:t>
            </w:r>
          </w:p>
        </w:tc>
        <w:tc>
          <w:tcPr>
            <w:tcW w:w="1548" w:type="dxa"/>
          </w:tcPr>
          <w:p w14:paraId="6BA69140" w14:textId="3D91438E" w:rsidR="00D4649D" w:rsidRPr="00E8351E" w:rsidRDefault="00CE7796" w:rsidP="00963E14">
            <w:pPr>
              <w:jc w:val="center"/>
              <w:rPr>
                <w:rFonts w:ascii="Arial Narrow" w:hAnsi="Arial Narrow" w:cs="Arial"/>
                <w:sz w:val="22"/>
                <w:szCs w:val="22"/>
              </w:rPr>
            </w:pPr>
            <w:r>
              <w:rPr>
                <w:rFonts w:ascii="Arial Narrow" w:hAnsi="Arial Narrow" w:cs="Arial"/>
                <w:sz w:val="22"/>
                <w:szCs w:val="22"/>
              </w:rPr>
              <w:t>10.7</w:t>
            </w:r>
            <w:r w:rsidR="00D4649D" w:rsidRPr="00E8351E">
              <w:rPr>
                <w:rFonts w:ascii="Arial Narrow" w:hAnsi="Arial Narrow" w:cs="Arial"/>
                <w:sz w:val="22"/>
                <w:szCs w:val="22"/>
              </w:rPr>
              <w:t>%</w:t>
            </w:r>
          </w:p>
        </w:tc>
        <w:tc>
          <w:tcPr>
            <w:tcW w:w="1549" w:type="dxa"/>
          </w:tcPr>
          <w:p w14:paraId="701F3BE8" w14:textId="2F754B92" w:rsidR="00D4649D" w:rsidRPr="00E8351E" w:rsidRDefault="00CE7796" w:rsidP="00963E14">
            <w:pPr>
              <w:jc w:val="center"/>
              <w:rPr>
                <w:rFonts w:ascii="Arial Narrow" w:hAnsi="Arial Narrow" w:cs="Arial"/>
                <w:sz w:val="22"/>
                <w:szCs w:val="22"/>
              </w:rPr>
            </w:pPr>
            <w:r>
              <w:rPr>
                <w:rFonts w:ascii="Arial Narrow" w:hAnsi="Arial Narrow" w:cs="Arial"/>
                <w:sz w:val="22"/>
                <w:szCs w:val="22"/>
              </w:rPr>
              <w:t>11.8</w:t>
            </w:r>
            <w:r w:rsidR="00D4649D" w:rsidRPr="00E8351E">
              <w:rPr>
                <w:rFonts w:ascii="Arial Narrow" w:hAnsi="Arial Narrow" w:cs="Arial"/>
                <w:sz w:val="22"/>
                <w:szCs w:val="22"/>
              </w:rPr>
              <w:t>%</w:t>
            </w:r>
          </w:p>
        </w:tc>
        <w:tc>
          <w:tcPr>
            <w:tcW w:w="1548" w:type="dxa"/>
          </w:tcPr>
          <w:p w14:paraId="794A36A1" w14:textId="3D4AE93D" w:rsidR="00D4649D" w:rsidRPr="00E8351E" w:rsidRDefault="00CE7796" w:rsidP="00963E14">
            <w:pPr>
              <w:jc w:val="center"/>
              <w:rPr>
                <w:rFonts w:ascii="Arial Narrow" w:hAnsi="Arial Narrow" w:cs="Arial"/>
                <w:sz w:val="22"/>
                <w:szCs w:val="22"/>
              </w:rPr>
            </w:pPr>
            <w:r>
              <w:rPr>
                <w:rFonts w:ascii="Arial Narrow" w:hAnsi="Arial Narrow" w:cs="Arial"/>
                <w:sz w:val="22"/>
                <w:szCs w:val="22"/>
              </w:rPr>
              <w:t>12.1</w:t>
            </w:r>
            <w:r w:rsidR="00D4649D" w:rsidRPr="00E8351E">
              <w:rPr>
                <w:rFonts w:ascii="Arial Narrow" w:hAnsi="Arial Narrow" w:cs="Arial"/>
                <w:sz w:val="22"/>
                <w:szCs w:val="22"/>
              </w:rPr>
              <w:t>%</w:t>
            </w:r>
          </w:p>
        </w:tc>
        <w:tc>
          <w:tcPr>
            <w:tcW w:w="1549" w:type="dxa"/>
            <w:tcBorders>
              <w:right w:val="single" w:sz="12" w:space="0" w:color="auto"/>
            </w:tcBorders>
          </w:tcPr>
          <w:p w14:paraId="2F1EA85D" w14:textId="0FA54D5C" w:rsidR="00D4649D" w:rsidRPr="00E8351E" w:rsidRDefault="00CE7796" w:rsidP="00963E14">
            <w:pPr>
              <w:jc w:val="center"/>
              <w:rPr>
                <w:rFonts w:ascii="Arial Narrow" w:hAnsi="Arial Narrow" w:cs="Arial"/>
                <w:sz w:val="22"/>
                <w:szCs w:val="22"/>
              </w:rPr>
            </w:pPr>
            <w:r>
              <w:rPr>
                <w:rFonts w:ascii="Arial Narrow" w:hAnsi="Arial Narrow" w:cs="Arial"/>
                <w:sz w:val="22"/>
                <w:szCs w:val="22"/>
              </w:rPr>
              <w:t>13.5</w:t>
            </w:r>
            <w:r w:rsidR="00D4649D" w:rsidRPr="00E8351E">
              <w:rPr>
                <w:rFonts w:ascii="Arial Narrow" w:hAnsi="Arial Narrow" w:cs="Arial"/>
                <w:sz w:val="22"/>
                <w:szCs w:val="22"/>
              </w:rPr>
              <w:t>%</w:t>
            </w:r>
          </w:p>
        </w:tc>
      </w:tr>
      <w:tr w:rsidR="00D4649D" w:rsidRPr="006D5B97" w14:paraId="00A3E600" w14:textId="77777777" w:rsidTr="00963E14">
        <w:trPr>
          <w:trHeight w:val="274"/>
          <w:jc w:val="center"/>
        </w:trPr>
        <w:tc>
          <w:tcPr>
            <w:tcW w:w="3071" w:type="dxa"/>
            <w:tcBorders>
              <w:left w:val="single" w:sz="12" w:space="0" w:color="auto"/>
            </w:tcBorders>
          </w:tcPr>
          <w:p w14:paraId="64DB8F4C" w14:textId="77777777"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Medicare FFS</w:t>
            </w:r>
          </w:p>
        </w:tc>
        <w:tc>
          <w:tcPr>
            <w:tcW w:w="1548" w:type="dxa"/>
          </w:tcPr>
          <w:p w14:paraId="56154A86" w14:textId="4C7C5EE4" w:rsidR="00D4649D" w:rsidRPr="00E8351E" w:rsidRDefault="00CE7796" w:rsidP="00963E14">
            <w:pPr>
              <w:jc w:val="center"/>
              <w:rPr>
                <w:rFonts w:ascii="Arial Narrow" w:hAnsi="Arial Narrow" w:cs="Arial"/>
                <w:sz w:val="22"/>
                <w:szCs w:val="22"/>
              </w:rPr>
            </w:pPr>
            <w:r>
              <w:rPr>
                <w:rFonts w:ascii="Arial Narrow" w:hAnsi="Arial Narrow" w:cs="Arial"/>
                <w:sz w:val="22"/>
                <w:szCs w:val="22"/>
              </w:rPr>
              <w:t>19.1</w:t>
            </w:r>
            <w:r w:rsidR="00D4649D" w:rsidRPr="00E8351E">
              <w:rPr>
                <w:rFonts w:ascii="Arial Narrow" w:hAnsi="Arial Narrow" w:cs="Arial"/>
                <w:sz w:val="22"/>
                <w:szCs w:val="22"/>
              </w:rPr>
              <w:t>%</w:t>
            </w:r>
          </w:p>
        </w:tc>
        <w:tc>
          <w:tcPr>
            <w:tcW w:w="1549" w:type="dxa"/>
          </w:tcPr>
          <w:p w14:paraId="09D8D073" w14:textId="5C536C1A" w:rsidR="00D4649D" w:rsidRPr="00E8351E" w:rsidRDefault="00CE7796" w:rsidP="00963E14">
            <w:pPr>
              <w:jc w:val="center"/>
              <w:rPr>
                <w:rFonts w:ascii="Arial Narrow" w:hAnsi="Arial Narrow" w:cs="Arial"/>
                <w:sz w:val="22"/>
                <w:szCs w:val="22"/>
              </w:rPr>
            </w:pPr>
            <w:r>
              <w:rPr>
                <w:rFonts w:ascii="Arial Narrow" w:hAnsi="Arial Narrow" w:cs="Arial"/>
                <w:sz w:val="22"/>
                <w:szCs w:val="22"/>
              </w:rPr>
              <w:t>18.6</w:t>
            </w:r>
            <w:r w:rsidR="00D4649D" w:rsidRPr="00E8351E">
              <w:rPr>
                <w:rFonts w:ascii="Arial Narrow" w:hAnsi="Arial Narrow" w:cs="Arial"/>
                <w:sz w:val="22"/>
                <w:szCs w:val="22"/>
              </w:rPr>
              <w:t>%</w:t>
            </w:r>
          </w:p>
        </w:tc>
        <w:tc>
          <w:tcPr>
            <w:tcW w:w="1548" w:type="dxa"/>
          </w:tcPr>
          <w:p w14:paraId="5DC1701E" w14:textId="5CF79554" w:rsidR="00D4649D" w:rsidRPr="00E8351E" w:rsidRDefault="00CE7796" w:rsidP="00963E14">
            <w:pPr>
              <w:jc w:val="center"/>
              <w:rPr>
                <w:rFonts w:ascii="Arial Narrow" w:hAnsi="Arial Narrow" w:cs="Arial"/>
                <w:sz w:val="22"/>
                <w:szCs w:val="22"/>
              </w:rPr>
            </w:pPr>
            <w:r>
              <w:rPr>
                <w:rFonts w:ascii="Arial Narrow" w:hAnsi="Arial Narrow" w:cs="Arial"/>
                <w:sz w:val="22"/>
                <w:szCs w:val="22"/>
              </w:rPr>
              <w:t>16.9</w:t>
            </w:r>
            <w:r w:rsidR="00D4649D" w:rsidRPr="00E8351E">
              <w:rPr>
                <w:rFonts w:ascii="Arial Narrow" w:hAnsi="Arial Narrow" w:cs="Arial"/>
                <w:sz w:val="22"/>
                <w:szCs w:val="22"/>
              </w:rPr>
              <w:t>%</w:t>
            </w:r>
          </w:p>
        </w:tc>
        <w:tc>
          <w:tcPr>
            <w:tcW w:w="1549" w:type="dxa"/>
            <w:tcBorders>
              <w:right w:val="single" w:sz="12" w:space="0" w:color="auto"/>
            </w:tcBorders>
          </w:tcPr>
          <w:p w14:paraId="60F70C68" w14:textId="17A4274A" w:rsidR="00D4649D" w:rsidRPr="00E8351E" w:rsidRDefault="00CE7796" w:rsidP="00963E14">
            <w:pPr>
              <w:jc w:val="center"/>
              <w:rPr>
                <w:rFonts w:ascii="Arial Narrow" w:hAnsi="Arial Narrow" w:cs="Arial"/>
                <w:sz w:val="22"/>
                <w:szCs w:val="22"/>
              </w:rPr>
            </w:pPr>
            <w:r>
              <w:rPr>
                <w:rFonts w:ascii="Arial Narrow" w:hAnsi="Arial Narrow" w:cs="Arial"/>
                <w:sz w:val="22"/>
                <w:szCs w:val="22"/>
              </w:rPr>
              <w:t>16.6</w:t>
            </w:r>
            <w:r w:rsidR="00D4649D" w:rsidRPr="00E8351E">
              <w:rPr>
                <w:rFonts w:ascii="Arial Narrow" w:hAnsi="Arial Narrow" w:cs="Arial"/>
                <w:sz w:val="22"/>
                <w:szCs w:val="22"/>
              </w:rPr>
              <w:t>%</w:t>
            </w:r>
          </w:p>
        </w:tc>
      </w:tr>
      <w:tr w:rsidR="00D4649D" w:rsidRPr="006D5B97" w14:paraId="294C0857" w14:textId="77777777" w:rsidTr="009F1F11">
        <w:trPr>
          <w:trHeight w:val="274"/>
          <w:jc w:val="center"/>
        </w:trPr>
        <w:tc>
          <w:tcPr>
            <w:tcW w:w="3071" w:type="dxa"/>
            <w:tcBorders>
              <w:left w:val="single" w:sz="12" w:space="0" w:color="auto"/>
              <w:bottom w:val="single" w:sz="12" w:space="0" w:color="auto"/>
            </w:tcBorders>
          </w:tcPr>
          <w:p w14:paraId="2A5B02A0" w14:textId="20FCAB78" w:rsidR="00D4649D" w:rsidRPr="00E8351E" w:rsidRDefault="00D4649D" w:rsidP="00963E14">
            <w:pPr>
              <w:rPr>
                <w:rFonts w:ascii="Arial Narrow" w:hAnsi="Arial Narrow" w:cs="Arial"/>
                <w:sz w:val="22"/>
                <w:szCs w:val="22"/>
              </w:rPr>
            </w:pPr>
            <w:r w:rsidRPr="00E8351E">
              <w:rPr>
                <w:rFonts w:ascii="Arial Narrow" w:hAnsi="Arial Narrow" w:cs="Arial"/>
                <w:sz w:val="22"/>
                <w:szCs w:val="22"/>
              </w:rPr>
              <w:t>All Other</w:t>
            </w:r>
            <w:r w:rsidR="00FB167B">
              <w:rPr>
                <w:rFonts w:ascii="ZWAdobeF" w:hAnsi="ZWAdobeF" w:cs="ZWAdobeF"/>
                <w:sz w:val="2"/>
                <w:szCs w:val="2"/>
              </w:rPr>
              <w:t>30F</w:t>
            </w:r>
            <w:r w:rsidRPr="00E8351E">
              <w:rPr>
                <w:rStyle w:val="FootnoteReference"/>
                <w:rFonts w:ascii="Arial Narrow" w:hAnsi="Arial Narrow" w:cs="Arial"/>
                <w:sz w:val="22"/>
                <w:szCs w:val="22"/>
              </w:rPr>
              <w:footnoteReference w:id="31"/>
            </w:r>
          </w:p>
        </w:tc>
        <w:tc>
          <w:tcPr>
            <w:tcW w:w="1548" w:type="dxa"/>
            <w:tcBorders>
              <w:bottom w:val="single" w:sz="12" w:space="0" w:color="auto"/>
            </w:tcBorders>
          </w:tcPr>
          <w:p w14:paraId="00807E15" w14:textId="17CFF737" w:rsidR="00D4649D" w:rsidRPr="00E8351E" w:rsidRDefault="00CE7796" w:rsidP="00963E14">
            <w:pPr>
              <w:jc w:val="center"/>
              <w:rPr>
                <w:rFonts w:ascii="Arial Narrow" w:hAnsi="Arial Narrow" w:cs="Arial"/>
                <w:sz w:val="22"/>
                <w:szCs w:val="22"/>
              </w:rPr>
            </w:pPr>
            <w:r>
              <w:rPr>
                <w:rFonts w:ascii="Arial Narrow" w:hAnsi="Arial Narrow" w:cs="Arial"/>
                <w:sz w:val="22"/>
                <w:szCs w:val="22"/>
              </w:rPr>
              <w:t>5.2</w:t>
            </w:r>
            <w:r w:rsidR="00D4649D" w:rsidRPr="00E8351E">
              <w:rPr>
                <w:rFonts w:ascii="Arial Narrow" w:hAnsi="Arial Narrow" w:cs="Arial"/>
                <w:sz w:val="22"/>
                <w:szCs w:val="22"/>
              </w:rPr>
              <w:t>%</w:t>
            </w:r>
          </w:p>
        </w:tc>
        <w:tc>
          <w:tcPr>
            <w:tcW w:w="1549" w:type="dxa"/>
            <w:tcBorders>
              <w:bottom w:val="single" w:sz="12" w:space="0" w:color="auto"/>
            </w:tcBorders>
          </w:tcPr>
          <w:p w14:paraId="5C71A9D1" w14:textId="73A3019B" w:rsidR="00D4649D" w:rsidRPr="00E8351E" w:rsidRDefault="00CE7796" w:rsidP="00963E14">
            <w:pPr>
              <w:jc w:val="center"/>
              <w:rPr>
                <w:rFonts w:ascii="Arial Narrow" w:hAnsi="Arial Narrow" w:cs="Arial"/>
                <w:sz w:val="22"/>
                <w:szCs w:val="22"/>
              </w:rPr>
            </w:pPr>
            <w:r>
              <w:rPr>
                <w:rFonts w:ascii="Arial Narrow" w:hAnsi="Arial Narrow" w:cs="Arial"/>
                <w:sz w:val="22"/>
                <w:szCs w:val="22"/>
              </w:rPr>
              <w:t>5.2</w:t>
            </w:r>
            <w:r w:rsidR="00D4649D" w:rsidRPr="00E8351E">
              <w:rPr>
                <w:rFonts w:ascii="Arial Narrow" w:hAnsi="Arial Narrow" w:cs="Arial"/>
                <w:sz w:val="22"/>
                <w:szCs w:val="22"/>
              </w:rPr>
              <w:t>%</w:t>
            </w:r>
          </w:p>
        </w:tc>
        <w:tc>
          <w:tcPr>
            <w:tcW w:w="1548" w:type="dxa"/>
            <w:tcBorders>
              <w:bottom w:val="single" w:sz="12" w:space="0" w:color="auto"/>
            </w:tcBorders>
          </w:tcPr>
          <w:p w14:paraId="0F8CADFE" w14:textId="5A84E21F" w:rsidR="00D4649D" w:rsidRPr="00E8351E" w:rsidRDefault="00CE7796" w:rsidP="00963E14">
            <w:pPr>
              <w:jc w:val="center"/>
              <w:rPr>
                <w:rFonts w:ascii="Arial Narrow" w:hAnsi="Arial Narrow" w:cs="Arial"/>
                <w:sz w:val="22"/>
                <w:szCs w:val="22"/>
              </w:rPr>
            </w:pPr>
            <w:r>
              <w:rPr>
                <w:rFonts w:ascii="Arial Narrow" w:hAnsi="Arial Narrow" w:cs="Arial"/>
                <w:sz w:val="22"/>
                <w:szCs w:val="22"/>
              </w:rPr>
              <w:t>4.2</w:t>
            </w:r>
            <w:r w:rsidR="00D4649D" w:rsidRPr="00E8351E">
              <w:rPr>
                <w:rFonts w:ascii="Arial Narrow" w:hAnsi="Arial Narrow" w:cs="Arial"/>
                <w:sz w:val="22"/>
                <w:szCs w:val="22"/>
              </w:rPr>
              <w:t>%</w:t>
            </w:r>
          </w:p>
        </w:tc>
        <w:tc>
          <w:tcPr>
            <w:tcW w:w="1549" w:type="dxa"/>
            <w:tcBorders>
              <w:bottom w:val="single" w:sz="12" w:space="0" w:color="auto"/>
              <w:right w:val="single" w:sz="12" w:space="0" w:color="auto"/>
            </w:tcBorders>
          </w:tcPr>
          <w:p w14:paraId="22FB99E7" w14:textId="7560F684" w:rsidR="00D4649D" w:rsidRPr="00E8351E" w:rsidRDefault="00CE7796" w:rsidP="00963E14">
            <w:pPr>
              <w:jc w:val="center"/>
              <w:rPr>
                <w:rFonts w:ascii="Arial Narrow" w:hAnsi="Arial Narrow" w:cs="Arial"/>
                <w:sz w:val="22"/>
                <w:szCs w:val="22"/>
              </w:rPr>
            </w:pPr>
            <w:r>
              <w:rPr>
                <w:rFonts w:ascii="Arial Narrow" w:hAnsi="Arial Narrow" w:cs="Arial"/>
                <w:sz w:val="22"/>
                <w:szCs w:val="22"/>
              </w:rPr>
              <w:t>6.1</w:t>
            </w:r>
            <w:r w:rsidR="00D4649D" w:rsidRPr="00E8351E">
              <w:rPr>
                <w:rFonts w:ascii="Arial Narrow" w:hAnsi="Arial Narrow" w:cs="Arial"/>
                <w:sz w:val="22"/>
                <w:szCs w:val="22"/>
              </w:rPr>
              <w:t>%</w:t>
            </w:r>
          </w:p>
        </w:tc>
      </w:tr>
    </w:tbl>
    <w:p w14:paraId="183E923F" w14:textId="337D34F5" w:rsidR="00966519" w:rsidRDefault="00966519" w:rsidP="00D4649D">
      <w:pPr>
        <w:jc w:val="both"/>
        <w:rPr>
          <w:rFonts w:ascii="Arial" w:hAnsi="Arial" w:cs="Arial"/>
          <w:sz w:val="22"/>
          <w:szCs w:val="22"/>
        </w:rPr>
      </w:pPr>
    </w:p>
    <w:p w14:paraId="3DA457A4" w14:textId="68D941B3" w:rsidR="00966519" w:rsidRPr="00927E6E" w:rsidRDefault="00966519" w:rsidP="009A7F8F">
      <w:pPr>
        <w:pStyle w:val="NormalWeb"/>
        <w:spacing w:before="0" w:beforeAutospacing="0" w:after="0" w:afterAutospacing="0"/>
        <w:ind w:left="1080" w:hanging="1080"/>
        <w:jc w:val="both"/>
        <w:rPr>
          <w:rFonts w:ascii="Arial" w:hAnsi="Arial" w:cs="Arial"/>
          <w:b/>
          <w:bCs/>
          <w:sz w:val="22"/>
          <w:szCs w:val="22"/>
        </w:rPr>
      </w:pPr>
      <w:r w:rsidRPr="00927E6E">
        <w:rPr>
          <w:rFonts w:ascii="Arial" w:hAnsi="Arial" w:cs="Arial"/>
          <w:b/>
          <w:bCs/>
          <w:sz w:val="22"/>
          <w:szCs w:val="22"/>
        </w:rPr>
        <w:t>F1.a.ii</w:t>
      </w:r>
      <w:r w:rsidRPr="00927E6E">
        <w:rPr>
          <w:rFonts w:ascii="Arial" w:hAnsi="Arial" w:cs="Arial"/>
          <w:sz w:val="22"/>
          <w:szCs w:val="22"/>
        </w:rPr>
        <w:tab/>
      </w:r>
      <w:r w:rsidRPr="00927E6E">
        <w:rPr>
          <w:rFonts w:ascii="Arial" w:hAnsi="Arial" w:cs="Arial"/>
          <w:b/>
          <w:bCs/>
          <w:sz w:val="22"/>
          <w:szCs w:val="22"/>
          <w:u w:val="single"/>
        </w:rPr>
        <w:t>Need by Patient Panel</w:t>
      </w:r>
      <w:r w:rsidRPr="00650D35">
        <w:rPr>
          <w:rFonts w:ascii="Arial" w:hAnsi="Arial" w:cs="Arial"/>
          <w:b/>
          <w:bCs/>
          <w:sz w:val="22"/>
          <w:szCs w:val="22"/>
        </w:rPr>
        <w:t>:</w:t>
      </w:r>
    </w:p>
    <w:p w14:paraId="64C2FFF3" w14:textId="77777777" w:rsidR="00966519" w:rsidRPr="00927E6E" w:rsidRDefault="00966519" w:rsidP="009A7F8F">
      <w:pPr>
        <w:pStyle w:val="NormalWeb"/>
        <w:spacing w:before="0" w:beforeAutospacing="0" w:after="0" w:afterAutospacing="0"/>
        <w:ind w:left="1080"/>
        <w:jc w:val="both"/>
        <w:rPr>
          <w:rFonts w:ascii="Arial" w:hAnsi="Arial" w:cs="Arial"/>
          <w:b/>
          <w:bCs/>
          <w:sz w:val="22"/>
          <w:szCs w:val="22"/>
        </w:rPr>
      </w:pPr>
      <w:r w:rsidRPr="00927E6E">
        <w:rPr>
          <w:rFonts w:ascii="Arial" w:hAnsi="Arial" w:cs="Arial"/>
          <w:b/>
          <w:bCs/>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27E1F129" w14:textId="77777777" w:rsidR="00966519" w:rsidRDefault="00966519" w:rsidP="00966519">
      <w:pPr>
        <w:pStyle w:val="NormalWeb"/>
        <w:spacing w:before="0" w:beforeAutospacing="0" w:after="0" w:afterAutospacing="0"/>
        <w:jc w:val="both"/>
        <w:rPr>
          <w:rFonts w:ascii="Arial" w:hAnsi="Arial" w:cs="Arial"/>
          <w:color w:val="000000" w:themeColor="text1"/>
          <w:sz w:val="22"/>
          <w:szCs w:val="22"/>
        </w:rPr>
      </w:pPr>
    </w:p>
    <w:p w14:paraId="21ED6A3E" w14:textId="543504D6" w:rsidR="00966519" w:rsidRPr="00DA450E" w:rsidRDefault="00966519" w:rsidP="00966519">
      <w:pPr>
        <w:pStyle w:val="NormalWeb"/>
        <w:spacing w:before="0" w:beforeAutospacing="0" w:after="0" w:afterAutospacing="0"/>
        <w:jc w:val="both"/>
        <w:rPr>
          <w:rFonts w:ascii="ArialMT" w:hAnsi="ArialMT"/>
          <w:color w:val="000000" w:themeColor="text1"/>
          <w:sz w:val="20"/>
          <w:szCs w:val="20"/>
        </w:rPr>
      </w:pPr>
      <w:r>
        <w:rPr>
          <w:rFonts w:ascii="Arial" w:hAnsi="Arial" w:cs="Arial"/>
          <w:color w:val="000000" w:themeColor="text1"/>
          <w:sz w:val="22"/>
          <w:szCs w:val="22"/>
        </w:rPr>
        <w:t xml:space="preserve">As indicated in the Project Description, </w:t>
      </w:r>
      <w:r w:rsidRPr="00BD0CAE">
        <w:rPr>
          <w:rFonts w:ascii="Arial" w:hAnsi="Arial" w:cs="Arial"/>
          <w:color w:val="000000" w:themeColor="text1"/>
          <w:sz w:val="22"/>
          <w:szCs w:val="22"/>
        </w:rPr>
        <w:t xml:space="preserve">BMC was incorporated in 1996 with the merger of various Boston hospitals. </w:t>
      </w:r>
      <w:r w:rsidRPr="00A26A55">
        <w:rPr>
          <w:rFonts w:ascii="Arial" w:hAnsi="Arial" w:cs="Arial"/>
          <w:color w:val="000000" w:themeColor="text1"/>
          <w:sz w:val="22"/>
          <w:szCs w:val="22"/>
        </w:rPr>
        <w:t xml:space="preserve">In addition to the challenges of delivering care in existing aging and deficient buildings, the physical remnants of the merger left BMC with inefficient operational challenges by having two clinical zones on the east and west ends of the campus. </w:t>
      </w:r>
      <w:r>
        <w:rPr>
          <w:rFonts w:ascii="Arial" w:hAnsi="Arial" w:cs="Arial"/>
          <w:color w:val="000000" w:themeColor="text1"/>
          <w:sz w:val="22"/>
          <w:szCs w:val="22"/>
        </w:rPr>
        <w:t>In response, t</w:t>
      </w:r>
      <w:r w:rsidRPr="00BD0CAE">
        <w:rPr>
          <w:rFonts w:ascii="Arial" w:hAnsi="Arial" w:cs="Arial"/>
          <w:color w:val="000000" w:themeColor="text1"/>
          <w:sz w:val="22"/>
          <w:szCs w:val="22"/>
        </w:rPr>
        <w:t xml:space="preserve">he Applicant </w:t>
      </w:r>
      <w:r w:rsidRPr="00BD0CAE">
        <w:rPr>
          <w:rFonts w:ascii="Arial" w:hAnsi="Arial" w:cs="Arial"/>
          <w:color w:val="000000" w:themeColor="text1"/>
          <w:sz w:val="22"/>
          <w:szCs w:val="22"/>
          <w:shd w:val="clear" w:color="auto" w:fill="FFFFFF"/>
        </w:rPr>
        <w:t>has historically undertaken a measured approach of renovation and new construction to ensure the Hospital’s sustainability as an academic medical center providing exceptional care to its patient panel. S</w:t>
      </w:r>
      <w:r w:rsidR="00440898">
        <w:rPr>
          <w:rFonts w:ascii="Arial" w:hAnsi="Arial" w:cs="Arial"/>
          <w:color w:val="000000" w:themeColor="text1"/>
          <w:sz w:val="22"/>
          <w:szCs w:val="22"/>
          <w:shd w:val="clear" w:color="auto" w:fill="FFFFFF"/>
        </w:rPr>
        <w:t>pecifically, s</w:t>
      </w:r>
      <w:r w:rsidRPr="00BD0CAE">
        <w:rPr>
          <w:rFonts w:ascii="Arial" w:hAnsi="Arial" w:cs="Arial"/>
          <w:color w:val="000000" w:themeColor="text1"/>
          <w:sz w:val="22"/>
          <w:szCs w:val="22"/>
          <w:shd w:val="clear" w:color="auto" w:fill="FFFFFF"/>
        </w:rPr>
        <w:t>ince 2000, the Applicant has worked continuously to right-size BMC’s campus to match the ever-evolving health</w:t>
      </w:r>
      <w:r w:rsidR="00CF77C3">
        <w:rPr>
          <w:rFonts w:ascii="Arial" w:hAnsi="Arial" w:cs="Arial"/>
          <w:color w:val="000000" w:themeColor="text1"/>
          <w:sz w:val="22"/>
          <w:szCs w:val="22"/>
          <w:shd w:val="clear" w:color="auto" w:fill="FFFFFF"/>
        </w:rPr>
        <w:t xml:space="preserve"> </w:t>
      </w:r>
      <w:r w:rsidRPr="00BD0CAE">
        <w:rPr>
          <w:rFonts w:ascii="Arial" w:hAnsi="Arial" w:cs="Arial"/>
          <w:color w:val="000000" w:themeColor="text1"/>
          <w:sz w:val="22"/>
          <w:szCs w:val="22"/>
          <w:shd w:val="clear" w:color="auto" w:fill="FFFFFF"/>
        </w:rPr>
        <w:t>care landscape through careful building resource and site planning. These efforts have focused on</w:t>
      </w:r>
      <w:r w:rsidR="001C3BC7">
        <w:rPr>
          <w:rFonts w:ascii="Arial" w:hAnsi="Arial" w:cs="Arial"/>
          <w:color w:val="000000" w:themeColor="text1"/>
          <w:sz w:val="22"/>
          <w:szCs w:val="22"/>
          <w:shd w:val="clear" w:color="auto" w:fill="FFFFFF"/>
        </w:rPr>
        <w:t>:</w:t>
      </w:r>
      <w:r w:rsidRPr="00BD0CAE">
        <w:rPr>
          <w:rFonts w:ascii="Arial" w:hAnsi="Arial" w:cs="Arial"/>
          <w:color w:val="000000" w:themeColor="text1"/>
          <w:sz w:val="22"/>
          <w:szCs w:val="22"/>
          <w:shd w:val="clear" w:color="auto" w:fill="FFFFFF"/>
        </w:rPr>
        <w:t xml:space="preserve"> maximizing </w:t>
      </w:r>
      <w:r w:rsidR="001C3BC7">
        <w:rPr>
          <w:rFonts w:ascii="Arial" w:hAnsi="Arial" w:cs="Arial"/>
          <w:color w:val="000000" w:themeColor="text1"/>
          <w:sz w:val="22"/>
          <w:szCs w:val="22"/>
          <w:shd w:val="clear" w:color="auto" w:fill="FFFFFF"/>
        </w:rPr>
        <w:t xml:space="preserve">the </w:t>
      </w:r>
      <w:r w:rsidRPr="00BD0CAE">
        <w:rPr>
          <w:rFonts w:ascii="Arial" w:hAnsi="Arial" w:cs="Arial"/>
          <w:color w:val="000000" w:themeColor="text1"/>
          <w:sz w:val="22"/>
          <w:szCs w:val="22"/>
          <w:shd w:val="clear" w:color="auto" w:fill="FFFFFF"/>
        </w:rPr>
        <w:t>use of existing building square footage with strategic renovations and additions</w:t>
      </w:r>
      <w:r w:rsidR="001C3BC7">
        <w:rPr>
          <w:rFonts w:ascii="Arial" w:hAnsi="Arial" w:cs="Arial"/>
          <w:color w:val="000000" w:themeColor="text1"/>
          <w:sz w:val="22"/>
          <w:szCs w:val="22"/>
          <w:shd w:val="clear" w:color="auto" w:fill="FFFFFF"/>
        </w:rPr>
        <w:t>;</w:t>
      </w:r>
      <w:r w:rsidRPr="00BD0CAE">
        <w:rPr>
          <w:rFonts w:ascii="Arial" w:hAnsi="Arial" w:cs="Arial"/>
          <w:color w:val="000000" w:themeColor="text1"/>
          <w:sz w:val="22"/>
          <w:szCs w:val="22"/>
          <w:shd w:val="clear" w:color="auto" w:fill="FFFFFF"/>
        </w:rPr>
        <w:t xml:space="preserve"> adaptively reusing historic buildings for non-clinical uses</w:t>
      </w:r>
      <w:r w:rsidR="001C3BC7">
        <w:rPr>
          <w:rFonts w:ascii="Arial" w:hAnsi="Arial" w:cs="Arial"/>
          <w:color w:val="000000" w:themeColor="text1"/>
          <w:sz w:val="22"/>
          <w:szCs w:val="22"/>
          <w:shd w:val="clear" w:color="auto" w:fill="FFFFFF"/>
        </w:rPr>
        <w:t>;</w:t>
      </w:r>
      <w:r w:rsidRPr="00BD0CAE">
        <w:rPr>
          <w:rFonts w:ascii="Arial" w:hAnsi="Arial" w:cs="Arial"/>
          <w:color w:val="000000" w:themeColor="text1"/>
          <w:sz w:val="22"/>
          <w:szCs w:val="22"/>
          <w:shd w:val="clear" w:color="auto" w:fill="FFFFFF"/>
        </w:rPr>
        <w:t xml:space="preserve"> carefully aligning uses that need to be on campus and those that can be off campus</w:t>
      </w:r>
      <w:r w:rsidR="001C3BC7">
        <w:rPr>
          <w:rFonts w:ascii="Arial" w:hAnsi="Arial" w:cs="Arial"/>
          <w:color w:val="000000" w:themeColor="text1"/>
          <w:sz w:val="22"/>
          <w:szCs w:val="22"/>
          <w:shd w:val="clear" w:color="auto" w:fill="FFFFFF"/>
        </w:rPr>
        <w:t>;</w:t>
      </w:r>
      <w:r w:rsidRPr="00BD0CAE">
        <w:rPr>
          <w:rFonts w:ascii="Arial" w:hAnsi="Arial" w:cs="Arial"/>
          <w:color w:val="000000" w:themeColor="text1"/>
          <w:sz w:val="22"/>
          <w:szCs w:val="22"/>
          <w:shd w:val="clear" w:color="auto" w:fill="FFFFFF"/>
        </w:rPr>
        <w:t xml:space="preserve"> and reserving building new facilities where existing building resources prove to be deficient or significant changes in its patient panel volume demand it.</w:t>
      </w:r>
    </w:p>
    <w:p w14:paraId="2C1196C7" w14:textId="77777777" w:rsidR="00966519" w:rsidRPr="00BD0CAE" w:rsidRDefault="00966519" w:rsidP="00966519">
      <w:pPr>
        <w:jc w:val="both"/>
        <w:rPr>
          <w:rFonts w:ascii="Arial" w:hAnsi="Arial" w:cs="Arial"/>
          <w:color w:val="000000" w:themeColor="text1"/>
          <w:sz w:val="22"/>
          <w:szCs w:val="22"/>
        </w:rPr>
      </w:pPr>
    </w:p>
    <w:p w14:paraId="39D22A5C" w14:textId="3B2E2F63" w:rsidR="00966519" w:rsidRPr="00BD0CAE" w:rsidRDefault="00966519" w:rsidP="00966519">
      <w:pPr>
        <w:jc w:val="both"/>
        <w:rPr>
          <w:rFonts w:ascii="Arial" w:hAnsi="Arial" w:cs="Arial"/>
          <w:color w:val="000000" w:themeColor="text1"/>
          <w:sz w:val="22"/>
          <w:szCs w:val="22"/>
        </w:rPr>
      </w:pPr>
      <w:r w:rsidRPr="00BD0CAE">
        <w:rPr>
          <w:rFonts w:ascii="Arial" w:hAnsi="Arial" w:cs="Arial"/>
          <w:color w:val="000000" w:themeColor="text1"/>
          <w:sz w:val="22"/>
          <w:szCs w:val="22"/>
        </w:rPr>
        <w:t xml:space="preserve">The major objective executed under BMC’s previously approved 2014 DoN was consolidating its two clinical campuses to create a new clinical core at its Menino Campus to the west. This project successfully established centralized services and complementary use adjacencies that drove operational efficiency. Furthermore, </w:t>
      </w:r>
      <w:r w:rsidR="001173F0">
        <w:rPr>
          <w:rFonts w:ascii="Arial" w:hAnsi="Arial" w:cs="Arial"/>
          <w:color w:val="000000" w:themeColor="text1"/>
          <w:sz w:val="22"/>
          <w:szCs w:val="22"/>
        </w:rPr>
        <w:t>this project</w:t>
      </w:r>
      <w:r w:rsidR="001173F0" w:rsidRPr="00BD0CAE">
        <w:rPr>
          <w:rFonts w:ascii="Arial" w:hAnsi="Arial" w:cs="Arial"/>
          <w:color w:val="000000" w:themeColor="text1"/>
          <w:sz w:val="22"/>
          <w:szCs w:val="22"/>
        </w:rPr>
        <w:t xml:space="preserve"> </w:t>
      </w:r>
      <w:r w:rsidRPr="00BD0CAE">
        <w:rPr>
          <w:rFonts w:ascii="Arial" w:hAnsi="Arial" w:cs="Arial"/>
          <w:color w:val="000000" w:themeColor="text1"/>
          <w:sz w:val="22"/>
          <w:szCs w:val="22"/>
        </w:rPr>
        <w:t>positioned BMC to better serve its patients in a health</w:t>
      </w:r>
      <w:r w:rsidR="00CF77C3">
        <w:rPr>
          <w:rFonts w:ascii="Arial" w:hAnsi="Arial" w:cs="Arial"/>
          <w:color w:val="000000" w:themeColor="text1"/>
          <w:sz w:val="22"/>
          <w:szCs w:val="22"/>
        </w:rPr>
        <w:t xml:space="preserve"> </w:t>
      </w:r>
      <w:r w:rsidRPr="00BD0CAE">
        <w:rPr>
          <w:rFonts w:ascii="Arial" w:hAnsi="Arial" w:cs="Arial"/>
          <w:color w:val="000000" w:themeColor="text1"/>
          <w:sz w:val="22"/>
          <w:szCs w:val="22"/>
        </w:rPr>
        <w:t>care environment that demands cost containment. However, it also resulted in a decrease in BMC’s total approved campus square footage and licensed capacity.</w:t>
      </w:r>
    </w:p>
    <w:p w14:paraId="4EAFCBA3" w14:textId="77777777" w:rsidR="00966519" w:rsidRPr="00A26A55" w:rsidRDefault="00966519" w:rsidP="00966519">
      <w:pPr>
        <w:pStyle w:val="NormalWeb"/>
        <w:spacing w:before="0" w:beforeAutospacing="0" w:after="0" w:afterAutospacing="0"/>
        <w:jc w:val="both"/>
        <w:rPr>
          <w:rFonts w:ascii="Arial" w:hAnsi="Arial" w:cs="Arial"/>
          <w:color w:val="000000" w:themeColor="text1"/>
          <w:sz w:val="22"/>
          <w:szCs w:val="22"/>
        </w:rPr>
      </w:pPr>
    </w:p>
    <w:p w14:paraId="4923F93E" w14:textId="75DCBC0F" w:rsidR="00966519" w:rsidRPr="00BD0CAE" w:rsidRDefault="00966519" w:rsidP="00966519">
      <w:pPr>
        <w:jc w:val="both"/>
        <w:rPr>
          <w:rFonts w:ascii="Arial" w:hAnsi="Arial" w:cs="Arial"/>
          <w:color w:val="000000" w:themeColor="text1"/>
          <w:sz w:val="22"/>
          <w:szCs w:val="22"/>
        </w:rPr>
      </w:pPr>
      <w:r w:rsidRPr="00BD0CAE">
        <w:rPr>
          <w:rFonts w:ascii="Arial" w:hAnsi="Arial" w:cs="Arial"/>
          <w:color w:val="000000" w:themeColor="text1"/>
          <w:sz w:val="22"/>
          <w:szCs w:val="22"/>
        </w:rPr>
        <w:t>Following substantial completion of its previously approved DoN project, several changes have occurred in the health</w:t>
      </w:r>
      <w:r w:rsidR="00CF77C3">
        <w:rPr>
          <w:rFonts w:ascii="Arial" w:hAnsi="Arial" w:cs="Arial"/>
          <w:color w:val="000000" w:themeColor="text1"/>
          <w:sz w:val="22"/>
          <w:szCs w:val="22"/>
        </w:rPr>
        <w:t xml:space="preserve"> </w:t>
      </w:r>
      <w:r w:rsidRPr="00BD0CAE">
        <w:rPr>
          <w:rFonts w:ascii="Arial" w:hAnsi="Arial" w:cs="Arial"/>
          <w:color w:val="000000" w:themeColor="text1"/>
          <w:sz w:val="22"/>
          <w:szCs w:val="22"/>
        </w:rPr>
        <w:t>care environment that have a direct impact on BMC’s patient volume and the space it requires to deliver the type</w:t>
      </w:r>
      <w:r w:rsidR="000C27A8">
        <w:rPr>
          <w:rFonts w:ascii="Arial" w:hAnsi="Arial" w:cs="Arial"/>
          <w:color w:val="000000" w:themeColor="text1"/>
          <w:sz w:val="22"/>
          <w:szCs w:val="22"/>
        </w:rPr>
        <w:t>s</w:t>
      </w:r>
      <w:r w:rsidRPr="00BD0CAE">
        <w:rPr>
          <w:rFonts w:ascii="Arial" w:hAnsi="Arial" w:cs="Arial"/>
          <w:color w:val="000000" w:themeColor="text1"/>
          <w:sz w:val="22"/>
          <w:szCs w:val="22"/>
        </w:rPr>
        <w:t xml:space="preserve"> of services needed by its patients. These changes include, but are not limited to, patient population growth, increasingly acute and complex patient needs, increases in patients impacted by homelessness and SUDs, onset of the COVID-19 pandemic, participation </w:t>
      </w:r>
      <w:r w:rsidR="00366A18">
        <w:rPr>
          <w:rFonts w:ascii="Arial" w:hAnsi="Arial" w:cs="Arial"/>
          <w:color w:val="000000" w:themeColor="text1"/>
          <w:sz w:val="22"/>
          <w:szCs w:val="22"/>
        </w:rPr>
        <w:t>in</w:t>
      </w:r>
      <w:r w:rsidR="00366A18" w:rsidRPr="00BD0CAE">
        <w:rPr>
          <w:rFonts w:ascii="Arial" w:hAnsi="Arial" w:cs="Arial"/>
          <w:color w:val="000000" w:themeColor="text1"/>
          <w:sz w:val="22"/>
          <w:szCs w:val="22"/>
        </w:rPr>
        <w:t xml:space="preserve"> </w:t>
      </w:r>
      <w:r w:rsidRPr="00BD0CAE">
        <w:rPr>
          <w:rFonts w:ascii="Arial" w:hAnsi="Arial" w:cs="Arial"/>
          <w:color w:val="000000" w:themeColor="text1"/>
          <w:sz w:val="22"/>
          <w:szCs w:val="22"/>
        </w:rPr>
        <w:t xml:space="preserve">an ACO, a focus on targeting </w:t>
      </w:r>
      <w:proofErr w:type="spellStart"/>
      <w:r w:rsidRPr="00BD0CAE">
        <w:rPr>
          <w:rFonts w:ascii="Arial" w:hAnsi="Arial" w:cs="Arial"/>
          <w:color w:val="000000" w:themeColor="text1"/>
          <w:sz w:val="22"/>
          <w:szCs w:val="22"/>
        </w:rPr>
        <w:t>SDoH</w:t>
      </w:r>
      <w:r w:rsidR="00B334F6">
        <w:rPr>
          <w:rFonts w:ascii="Arial" w:hAnsi="Arial" w:cs="Arial"/>
          <w:color w:val="000000" w:themeColor="text1"/>
          <w:sz w:val="22"/>
          <w:szCs w:val="22"/>
        </w:rPr>
        <w:t>s</w:t>
      </w:r>
      <w:proofErr w:type="spellEnd"/>
      <w:r w:rsidRPr="00BD0CAE">
        <w:rPr>
          <w:rFonts w:ascii="Arial" w:hAnsi="Arial" w:cs="Arial"/>
          <w:color w:val="000000" w:themeColor="text1"/>
          <w:sz w:val="22"/>
          <w:szCs w:val="22"/>
        </w:rPr>
        <w:t>, and effects of space planning due to evolving state design and regulatory requirements</w:t>
      </w:r>
      <w:r w:rsidR="007C11C6">
        <w:rPr>
          <w:rFonts w:ascii="Arial" w:hAnsi="Arial" w:cs="Arial"/>
          <w:color w:val="000000" w:themeColor="text1"/>
          <w:sz w:val="22"/>
          <w:szCs w:val="22"/>
        </w:rPr>
        <w:t xml:space="preserve"> for construction</w:t>
      </w:r>
      <w:r w:rsidRPr="00BD0CAE">
        <w:rPr>
          <w:rFonts w:ascii="Arial" w:hAnsi="Arial" w:cs="Arial"/>
          <w:color w:val="000000" w:themeColor="text1"/>
          <w:sz w:val="22"/>
          <w:szCs w:val="22"/>
        </w:rPr>
        <w:t>. All these factors have stressed the utilization of BMC’s inpatient resources and have created rates of demand that are above ideal percentages.</w:t>
      </w:r>
    </w:p>
    <w:p w14:paraId="041D8EE0" w14:textId="77777777" w:rsidR="00966519" w:rsidRPr="00BD0CAE" w:rsidRDefault="00966519" w:rsidP="00966519">
      <w:pPr>
        <w:pStyle w:val="NormalWeb"/>
        <w:spacing w:before="0" w:beforeAutospacing="0" w:after="0" w:afterAutospacing="0"/>
        <w:jc w:val="both"/>
        <w:rPr>
          <w:rFonts w:ascii="Arial" w:hAnsi="Arial" w:cs="Arial"/>
          <w:color w:val="000000" w:themeColor="text1"/>
          <w:sz w:val="22"/>
          <w:szCs w:val="22"/>
        </w:rPr>
      </w:pPr>
    </w:p>
    <w:p w14:paraId="7CFEE88F" w14:textId="30277626" w:rsidR="00966519" w:rsidRDefault="00966519" w:rsidP="00966519">
      <w:pPr>
        <w:pStyle w:val="NormalWeb"/>
        <w:spacing w:before="0" w:beforeAutospacing="0" w:after="0" w:afterAutospacing="0"/>
        <w:jc w:val="both"/>
        <w:rPr>
          <w:rFonts w:ascii="Arial" w:hAnsi="Arial" w:cs="Arial"/>
          <w:sz w:val="22"/>
          <w:szCs w:val="22"/>
        </w:rPr>
      </w:pPr>
      <w:r w:rsidRPr="00BD0CAE">
        <w:rPr>
          <w:rFonts w:ascii="Arial" w:hAnsi="Arial" w:cs="Arial"/>
          <w:color w:val="000000" w:themeColor="text1"/>
          <w:sz w:val="22"/>
          <w:szCs w:val="22"/>
        </w:rPr>
        <w:t xml:space="preserve">The goal of the Proposed Project is to address these demand constraints and allow the Hospital to better serve its patient panel into the future. </w:t>
      </w:r>
      <w:r w:rsidR="001C3BC7">
        <w:rPr>
          <w:rFonts w:ascii="Arial" w:hAnsi="Arial" w:cs="Arial"/>
          <w:color w:val="000000" w:themeColor="text1"/>
          <w:sz w:val="22"/>
          <w:szCs w:val="22"/>
        </w:rPr>
        <w:t>C</w:t>
      </w:r>
      <w:r w:rsidRPr="00BD0CAE">
        <w:rPr>
          <w:rFonts w:ascii="Arial" w:hAnsi="Arial" w:cs="Arial"/>
          <w:color w:val="000000" w:themeColor="text1"/>
          <w:sz w:val="22"/>
          <w:szCs w:val="22"/>
        </w:rPr>
        <w:t xml:space="preserve">onsistent with BMC’s distinct measured approach </w:t>
      </w:r>
      <w:r w:rsidRPr="00C27873">
        <w:rPr>
          <w:rFonts w:ascii="Arial" w:hAnsi="Arial" w:cs="Arial"/>
          <w:sz w:val="22"/>
          <w:szCs w:val="22"/>
        </w:rPr>
        <w:t>to campus growth and development</w:t>
      </w:r>
      <w:r>
        <w:rPr>
          <w:rFonts w:ascii="Arial" w:hAnsi="Arial" w:cs="Arial"/>
          <w:sz w:val="22"/>
          <w:szCs w:val="22"/>
        </w:rPr>
        <w:t xml:space="preserve">, </w:t>
      </w:r>
      <w:r w:rsidRPr="00C27873">
        <w:rPr>
          <w:rFonts w:ascii="Arial" w:hAnsi="Arial" w:cs="Arial"/>
          <w:sz w:val="22"/>
          <w:szCs w:val="22"/>
        </w:rPr>
        <w:t>the Proposed Project is</w:t>
      </w:r>
      <w:r>
        <w:rPr>
          <w:rFonts w:ascii="Arial" w:hAnsi="Arial" w:cs="Arial"/>
          <w:sz w:val="22"/>
          <w:szCs w:val="22"/>
        </w:rPr>
        <w:t xml:space="preserve"> designed</w:t>
      </w:r>
      <w:r w:rsidRPr="00C27873">
        <w:rPr>
          <w:rFonts w:ascii="Arial" w:hAnsi="Arial" w:cs="Arial"/>
          <w:sz w:val="22"/>
          <w:szCs w:val="22"/>
        </w:rPr>
        <w:t xml:space="preserve"> to implement strategic space modifications to</w:t>
      </w:r>
      <w:r>
        <w:rPr>
          <w:rFonts w:ascii="Arial" w:hAnsi="Arial" w:cs="Arial"/>
          <w:sz w:val="22"/>
          <w:szCs w:val="22"/>
        </w:rPr>
        <w:t xml:space="preserve"> accommodate increases in inpatient volume, right-size and modernize clinical space to meet current building code and clinical standards, </w:t>
      </w:r>
      <w:r w:rsidR="001C3BC7">
        <w:rPr>
          <w:rFonts w:ascii="Arial" w:hAnsi="Arial" w:cs="Arial"/>
          <w:sz w:val="22"/>
          <w:szCs w:val="22"/>
        </w:rPr>
        <w:t xml:space="preserve">and </w:t>
      </w:r>
      <w:r>
        <w:rPr>
          <w:rFonts w:ascii="Arial" w:hAnsi="Arial" w:cs="Arial"/>
          <w:sz w:val="22"/>
          <w:szCs w:val="22"/>
        </w:rPr>
        <w:t>leverage the highest and best use of building resources</w:t>
      </w:r>
      <w:r w:rsidR="001C3BC7">
        <w:rPr>
          <w:rFonts w:ascii="Arial" w:hAnsi="Arial" w:cs="Arial"/>
          <w:sz w:val="22"/>
          <w:szCs w:val="22"/>
        </w:rPr>
        <w:t>. In addition, the Proposed Project will allow BMC to</w:t>
      </w:r>
      <w:r>
        <w:rPr>
          <w:rFonts w:ascii="Arial" w:hAnsi="Arial" w:cs="Arial"/>
          <w:sz w:val="22"/>
          <w:szCs w:val="22"/>
        </w:rPr>
        <w:t xml:space="preserve"> continue centralization of services and ideal adjacencies, and enhance campus unification as well as patient and visitor circulation and accessibility. To this end, the Proposed Project includes the following components: </w:t>
      </w:r>
    </w:p>
    <w:p w14:paraId="5A2CB733" w14:textId="01A90B4F" w:rsidR="00966519" w:rsidRDefault="00966519" w:rsidP="00966519">
      <w:pPr>
        <w:pStyle w:val="NormalWeb"/>
        <w:numPr>
          <w:ilvl w:val="0"/>
          <w:numId w:val="7"/>
        </w:numPr>
        <w:spacing w:before="0" w:beforeAutospacing="0" w:after="0" w:afterAutospacing="0"/>
        <w:ind w:left="720"/>
        <w:jc w:val="both"/>
        <w:rPr>
          <w:rFonts w:ascii="Arial" w:hAnsi="Arial" w:cs="Arial"/>
          <w:sz w:val="22"/>
          <w:szCs w:val="22"/>
        </w:rPr>
      </w:pPr>
      <w:r w:rsidRPr="00BD0CAE">
        <w:rPr>
          <w:rFonts w:ascii="Arial" w:hAnsi="Arial" w:cs="Arial"/>
          <w:sz w:val="22"/>
          <w:szCs w:val="22"/>
        </w:rPr>
        <w:t xml:space="preserve">Construction and renovation to BMC’s existing </w:t>
      </w:r>
      <w:proofErr w:type="spellStart"/>
      <w:r w:rsidRPr="00BD0CAE">
        <w:rPr>
          <w:rFonts w:ascii="Arial" w:hAnsi="Arial" w:cs="Arial"/>
          <w:sz w:val="22"/>
          <w:szCs w:val="22"/>
        </w:rPr>
        <w:t>Yawkey</w:t>
      </w:r>
      <w:proofErr w:type="spellEnd"/>
      <w:r w:rsidRPr="00BD0CAE">
        <w:rPr>
          <w:rFonts w:ascii="Arial" w:hAnsi="Arial" w:cs="Arial"/>
          <w:sz w:val="22"/>
          <w:szCs w:val="22"/>
        </w:rPr>
        <w:t xml:space="preserve"> Building</w:t>
      </w:r>
      <w:r>
        <w:rPr>
          <w:rFonts w:ascii="Arial" w:hAnsi="Arial" w:cs="Arial"/>
          <w:sz w:val="22"/>
          <w:szCs w:val="22"/>
        </w:rPr>
        <w:t xml:space="preserve"> 5th and 6th floors</w:t>
      </w:r>
      <w:r w:rsidRPr="00BD0CAE">
        <w:rPr>
          <w:rFonts w:ascii="Arial" w:hAnsi="Arial" w:cs="Arial"/>
          <w:sz w:val="22"/>
          <w:szCs w:val="22"/>
        </w:rPr>
        <w:t xml:space="preserve"> to accommodate the addition of </w:t>
      </w:r>
      <w:r w:rsidR="00E75A93">
        <w:rPr>
          <w:rFonts w:ascii="Arial" w:hAnsi="Arial" w:cs="Arial"/>
          <w:sz w:val="22"/>
          <w:szCs w:val="22"/>
        </w:rPr>
        <w:t>seventy (</w:t>
      </w:r>
      <w:r w:rsidRPr="00BD0CAE">
        <w:rPr>
          <w:rFonts w:ascii="Arial" w:hAnsi="Arial" w:cs="Arial"/>
          <w:sz w:val="22"/>
          <w:szCs w:val="22"/>
        </w:rPr>
        <w:t>70</w:t>
      </w:r>
      <w:r w:rsidR="00E75A93">
        <w:rPr>
          <w:rFonts w:ascii="Arial" w:hAnsi="Arial" w:cs="Arial"/>
          <w:sz w:val="22"/>
          <w:szCs w:val="22"/>
        </w:rPr>
        <w:t>)</w:t>
      </w:r>
      <w:r w:rsidRPr="00BD0CAE">
        <w:rPr>
          <w:rFonts w:ascii="Arial" w:hAnsi="Arial" w:cs="Arial"/>
          <w:sz w:val="22"/>
          <w:szCs w:val="22"/>
        </w:rPr>
        <w:t xml:space="preserve"> new inpatient beds, including </w:t>
      </w:r>
      <w:r w:rsidR="00E75A93">
        <w:rPr>
          <w:rFonts w:ascii="Arial" w:hAnsi="Arial" w:cs="Arial"/>
          <w:sz w:val="22"/>
          <w:szCs w:val="22"/>
        </w:rPr>
        <w:t>sixty (</w:t>
      </w:r>
      <w:r w:rsidRPr="00BD0CAE">
        <w:rPr>
          <w:rFonts w:ascii="Arial" w:hAnsi="Arial" w:cs="Arial"/>
          <w:sz w:val="22"/>
          <w:szCs w:val="22"/>
        </w:rPr>
        <w:t>60</w:t>
      </w:r>
      <w:r w:rsidR="00E75A93">
        <w:rPr>
          <w:rFonts w:ascii="Arial" w:hAnsi="Arial" w:cs="Arial"/>
          <w:sz w:val="22"/>
          <w:szCs w:val="22"/>
        </w:rPr>
        <w:t>)</w:t>
      </w:r>
      <w:r w:rsidRPr="00BD0CAE">
        <w:rPr>
          <w:rFonts w:ascii="Arial" w:hAnsi="Arial" w:cs="Arial"/>
          <w:sz w:val="22"/>
          <w:szCs w:val="22"/>
        </w:rPr>
        <w:t xml:space="preserve"> additional medical/surgical beds and </w:t>
      </w:r>
      <w:r w:rsidR="00E75A93">
        <w:rPr>
          <w:rFonts w:ascii="Arial" w:hAnsi="Arial" w:cs="Arial"/>
          <w:sz w:val="22"/>
          <w:szCs w:val="22"/>
        </w:rPr>
        <w:t>ten (</w:t>
      </w:r>
      <w:r w:rsidRPr="00BD0CAE">
        <w:rPr>
          <w:rFonts w:ascii="Arial" w:hAnsi="Arial" w:cs="Arial"/>
          <w:sz w:val="22"/>
          <w:szCs w:val="22"/>
        </w:rPr>
        <w:t>10</w:t>
      </w:r>
      <w:r w:rsidR="00E75A93">
        <w:rPr>
          <w:rFonts w:ascii="Arial" w:hAnsi="Arial" w:cs="Arial"/>
          <w:sz w:val="22"/>
          <w:szCs w:val="22"/>
        </w:rPr>
        <w:t>)</w:t>
      </w:r>
      <w:r w:rsidRPr="00BD0CAE">
        <w:rPr>
          <w:rFonts w:ascii="Arial" w:hAnsi="Arial" w:cs="Arial"/>
          <w:sz w:val="22"/>
          <w:szCs w:val="22"/>
        </w:rPr>
        <w:t xml:space="preserve"> additional ICU beds; </w:t>
      </w:r>
    </w:p>
    <w:p w14:paraId="007D061C" w14:textId="258614B8" w:rsidR="00966519" w:rsidRDefault="00966519" w:rsidP="00966519">
      <w:pPr>
        <w:pStyle w:val="NormalWeb"/>
        <w:numPr>
          <w:ilvl w:val="0"/>
          <w:numId w:val="7"/>
        </w:numPr>
        <w:spacing w:before="0" w:beforeAutospacing="0" w:after="0" w:afterAutospacing="0"/>
        <w:jc w:val="both"/>
        <w:rPr>
          <w:rFonts w:ascii="Arial" w:hAnsi="Arial" w:cs="Arial"/>
          <w:sz w:val="22"/>
          <w:szCs w:val="22"/>
        </w:rPr>
      </w:pPr>
      <w:r w:rsidRPr="00BD0CAE">
        <w:rPr>
          <w:rFonts w:ascii="Arial" w:hAnsi="Arial" w:cs="Arial"/>
          <w:sz w:val="22"/>
          <w:szCs w:val="22"/>
        </w:rPr>
        <w:t xml:space="preserve">Renovation </w:t>
      </w:r>
      <w:r w:rsidR="00440898">
        <w:rPr>
          <w:rFonts w:ascii="Arial" w:hAnsi="Arial" w:cs="Arial"/>
          <w:sz w:val="22"/>
          <w:szCs w:val="22"/>
        </w:rPr>
        <w:t>of</w:t>
      </w:r>
      <w:r w:rsidR="00440898" w:rsidRPr="00BD0CAE">
        <w:rPr>
          <w:rFonts w:ascii="Arial" w:hAnsi="Arial" w:cs="Arial"/>
          <w:sz w:val="22"/>
          <w:szCs w:val="22"/>
        </w:rPr>
        <w:t xml:space="preserve"> </w:t>
      </w:r>
      <w:r w:rsidRPr="00BD0CAE">
        <w:rPr>
          <w:rFonts w:ascii="Arial" w:hAnsi="Arial" w:cs="Arial"/>
          <w:sz w:val="22"/>
          <w:szCs w:val="22"/>
        </w:rPr>
        <w:t xml:space="preserve">BMC’s existing Menino Building </w:t>
      </w:r>
      <w:r>
        <w:rPr>
          <w:rFonts w:ascii="Arial" w:hAnsi="Arial" w:cs="Arial"/>
          <w:sz w:val="22"/>
          <w:szCs w:val="22"/>
        </w:rPr>
        <w:t xml:space="preserve">2nd floor </w:t>
      </w:r>
      <w:r w:rsidRPr="00BD0CAE">
        <w:rPr>
          <w:rFonts w:ascii="Arial" w:hAnsi="Arial" w:cs="Arial"/>
          <w:sz w:val="22"/>
          <w:szCs w:val="22"/>
        </w:rPr>
        <w:t xml:space="preserve">to accommodate the addition of </w:t>
      </w:r>
      <w:r w:rsidR="00E75A93">
        <w:rPr>
          <w:rFonts w:ascii="Arial" w:hAnsi="Arial" w:cs="Arial"/>
          <w:sz w:val="22"/>
          <w:szCs w:val="22"/>
        </w:rPr>
        <w:t>five (</w:t>
      </w:r>
      <w:r w:rsidRPr="00BD0CAE">
        <w:rPr>
          <w:rFonts w:ascii="Arial" w:hAnsi="Arial" w:cs="Arial"/>
          <w:sz w:val="22"/>
          <w:szCs w:val="22"/>
        </w:rPr>
        <w:t>5</w:t>
      </w:r>
      <w:r w:rsidR="00E75A93">
        <w:rPr>
          <w:rFonts w:ascii="Arial" w:hAnsi="Arial" w:cs="Arial"/>
          <w:sz w:val="22"/>
          <w:szCs w:val="22"/>
        </w:rPr>
        <w:t>)</w:t>
      </w:r>
      <w:r w:rsidRPr="00BD0CAE">
        <w:rPr>
          <w:rFonts w:ascii="Arial" w:hAnsi="Arial" w:cs="Arial"/>
          <w:sz w:val="22"/>
          <w:szCs w:val="22"/>
        </w:rPr>
        <w:t xml:space="preserve"> new inpatient ORs, as well as </w:t>
      </w:r>
      <w:r w:rsidR="003E6CBF">
        <w:rPr>
          <w:rFonts w:ascii="Arial" w:hAnsi="Arial" w:cs="Arial"/>
          <w:sz w:val="22"/>
          <w:szCs w:val="22"/>
        </w:rPr>
        <w:t xml:space="preserve">additional </w:t>
      </w:r>
      <w:r w:rsidRPr="00BD0CAE">
        <w:rPr>
          <w:rFonts w:ascii="Arial" w:hAnsi="Arial" w:cs="Arial"/>
          <w:sz w:val="22"/>
          <w:szCs w:val="22"/>
        </w:rPr>
        <w:t>pre- and post-operative/PACU space</w:t>
      </w:r>
      <w:r w:rsidR="003E6CBF">
        <w:rPr>
          <w:rFonts w:ascii="Arial" w:hAnsi="Arial" w:cs="Arial"/>
          <w:sz w:val="22"/>
          <w:szCs w:val="22"/>
        </w:rPr>
        <w:t xml:space="preserve">, including </w:t>
      </w:r>
      <w:r w:rsidR="00E75A93">
        <w:rPr>
          <w:rFonts w:ascii="Arial" w:hAnsi="Arial" w:cs="Arial"/>
          <w:sz w:val="22"/>
          <w:szCs w:val="22"/>
        </w:rPr>
        <w:t>sixteen (</w:t>
      </w:r>
      <w:r w:rsidR="003E6CBF">
        <w:rPr>
          <w:rFonts w:ascii="Arial" w:hAnsi="Arial" w:cs="Arial"/>
          <w:sz w:val="22"/>
          <w:szCs w:val="22"/>
        </w:rPr>
        <w:t>16</w:t>
      </w:r>
      <w:r w:rsidR="00E75A93">
        <w:rPr>
          <w:rFonts w:ascii="Arial" w:hAnsi="Arial" w:cs="Arial"/>
          <w:sz w:val="22"/>
          <w:szCs w:val="22"/>
        </w:rPr>
        <w:t>)</w:t>
      </w:r>
      <w:r w:rsidR="003E6CBF">
        <w:rPr>
          <w:rFonts w:ascii="Arial" w:hAnsi="Arial" w:cs="Arial"/>
          <w:sz w:val="22"/>
          <w:szCs w:val="22"/>
        </w:rPr>
        <w:t xml:space="preserve"> new </w:t>
      </w:r>
      <w:r w:rsidR="003E6CBF" w:rsidRPr="00BD0CAE">
        <w:rPr>
          <w:rFonts w:ascii="Arial" w:hAnsi="Arial" w:cs="Arial"/>
          <w:sz w:val="22"/>
          <w:szCs w:val="22"/>
        </w:rPr>
        <w:t>pre- and post-operative/PACU</w:t>
      </w:r>
      <w:r w:rsidR="003E6CBF">
        <w:rPr>
          <w:rFonts w:ascii="Arial" w:hAnsi="Arial" w:cs="Arial"/>
          <w:sz w:val="22"/>
          <w:szCs w:val="22"/>
        </w:rPr>
        <w:t xml:space="preserve"> beds</w:t>
      </w:r>
      <w:r w:rsidRPr="00BD0CAE">
        <w:rPr>
          <w:rFonts w:ascii="Arial" w:hAnsi="Arial" w:cs="Arial"/>
          <w:sz w:val="22"/>
          <w:szCs w:val="22"/>
        </w:rPr>
        <w:t xml:space="preserve">; and </w:t>
      </w:r>
    </w:p>
    <w:p w14:paraId="576006D5" w14:textId="77777777" w:rsidR="00966519" w:rsidRPr="003224E5" w:rsidRDefault="00966519" w:rsidP="00966519">
      <w:pPr>
        <w:pStyle w:val="NormalWeb"/>
        <w:numPr>
          <w:ilvl w:val="0"/>
          <w:numId w:val="7"/>
        </w:numPr>
        <w:spacing w:before="0" w:beforeAutospacing="0" w:after="0" w:afterAutospacing="0"/>
        <w:jc w:val="both"/>
        <w:rPr>
          <w:rFonts w:ascii="Arial" w:hAnsi="Arial" w:cs="Arial"/>
          <w:sz w:val="22"/>
          <w:szCs w:val="22"/>
        </w:rPr>
      </w:pPr>
      <w:r>
        <w:rPr>
          <w:rFonts w:ascii="Arial" w:hAnsi="Arial" w:cs="Arial"/>
          <w:sz w:val="22"/>
          <w:szCs w:val="22"/>
        </w:rPr>
        <w:t>O</w:t>
      </w:r>
      <w:r w:rsidRPr="00BD0CAE">
        <w:rPr>
          <w:rFonts w:ascii="Arial" w:hAnsi="Arial" w:cs="Arial"/>
          <w:sz w:val="22"/>
          <w:szCs w:val="22"/>
        </w:rPr>
        <w:t>ther construction and renovation projects to accommodate the proposed inpatient expansion projects, support campus infrastructure reorganization efforts, and improve existing services, facilities, and patient experience and wayfinding at the Hospital</w:t>
      </w:r>
      <w:r>
        <w:rPr>
          <w:rFonts w:ascii="Arial" w:hAnsi="Arial" w:cs="Arial"/>
          <w:sz w:val="22"/>
          <w:szCs w:val="22"/>
        </w:rPr>
        <w:t>.</w:t>
      </w:r>
    </w:p>
    <w:p w14:paraId="19F30F18" w14:textId="77777777" w:rsidR="00966519" w:rsidRDefault="00966519" w:rsidP="00966519">
      <w:pPr>
        <w:pStyle w:val="NormalWeb"/>
        <w:spacing w:before="0" w:beforeAutospacing="0" w:after="0" w:afterAutospacing="0"/>
        <w:jc w:val="both"/>
        <w:rPr>
          <w:rFonts w:ascii="Arial" w:hAnsi="Arial" w:cs="Arial"/>
          <w:sz w:val="22"/>
          <w:szCs w:val="22"/>
        </w:rPr>
      </w:pPr>
    </w:p>
    <w:p w14:paraId="1C96D85F" w14:textId="77777777" w:rsidR="00966519" w:rsidRDefault="00966519" w:rsidP="0096651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specific needs associated with each of these project components are discussed in detail below. </w:t>
      </w:r>
    </w:p>
    <w:p w14:paraId="65656C13" w14:textId="2E9A92EA" w:rsidR="00966519" w:rsidRDefault="00966519" w:rsidP="00D4649D">
      <w:pPr>
        <w:jc w:val="both"/>
        <w:rPr>
          <w:rFonts w:ascii="Arial" w:hAnsi="Arial" w:cs="Arial"/>
          <w:sz w:val="22"/>
          <w:szCs w:val="22"/>
        </w:rPr>
      </w:pPr>
    </w:p>
    <w:p w14:paraId="36EBCEE2" w14:textId="63E3BC14" w:rsidR="00966519" w:rsidRPr="00B53310" w:rsidRDefault="00966519" w:rsidP="00966519">
      <w:pPr>
        <w:pStyle w:val="NormalWeb"/>
        <w:numPr>
          <w:ilvl w:val="0"/>
          <w:numId w:val="8"/>
        </w:numPr>
        <w:spacing w:before="0" w:beforeAutospacing="0" w:after="0" w:afterAutospacing="0"/>
        <w:ind w:left="360"/>
        <w:jc w:val="both"/>
        <w:rPr>
          <w:rFonts w:ascii="Arial" w:hAnsi="Arial" w:cs="Arial"/>
          <w:smallCaps/>
          <w:sz w:val="22"/>
          <w:szCs w:val="22"/>
          <w:u w:val="single"/>
        </w:rPr>
      </w:pPr>
      <w:r>
        <w:rPr>
          <w:rFonts w:ascii="Arial" w:hAnsi="Arial" w:cs="Arial"/>
          <w:smallCaps/>
          <w:sz w:val="22"/>
          <w:szCs w:val="22"/>
          <w:u w:val="single"/>
        </w:rPr>
        <w:t>Need for Expansion of Inpatient Beds</w:t>
      </w:r>
    </w:p>
    <w:p w14:paraId="0F6C7A9D" w14:textId="77777777" w:rsidR="00966519" w:rsidRPr="004E5F4C" w:rsidRDefault="00966519" w:rsidP="00966519">
      <w:pPr>
        <w:pStyle w:val="NormalWeb"/>
        <w:spacing w:before="0" w:beforeAutospacing="0" w:after="0" w:afterAutospacing="0"/>
        <w:ind w:left="360"/>
        <w:jc w:val="both"/>
        <w:rPr>
          <w:rFonts w:ascii="Arial" w:hAnsi="Arial" w:cs="Arial"/>
          <w:sz w:val="22"/>
          <w:szCs w:val="22"/>
          <w:u w:val="single"/>
        </w:rPr>
      </w:pPr>
    </w:p>
    <w:p w14:paraId="4FA88997" w14:textId="769B754C" w:rsidR="00966519" w:rsidRDefault="00966519" w:rsidP="00966519">
      <w:pPr>
        <w:pStyle w:val="NormalWeb"/>
        <w:numPr>
          <w:ilvl w:val="0"/>
          <w:numId w:val="9"/>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Review of Historic Demand</w:t>
      </w:r>
    </w:p>
    <w:p w14:paraId="44EFCC29" w14:textId="4469DEE6" w:rsidR="00856859" w:rsidRDefault="00856859" w:rsidP="00856859">
      <w:pPr>
        <w:pStyle w:val="NormalWeb"/>
        <w:spacing w:before="0" w:beforeAutospacing="0" w:after="0" w:afterAutospacing="0"/>
        <w:jc w:val="both"/>
        <w:rPr>
          <w:rFonts w:ascii="Arial" w:hAnsi="Arial" w:cs="Arial"/>
          <w:sz w:val="22"/>
          <w:szCs w:val="22"/>
          <w:u w:val="single"/>
        </w:rPr>
      </w:pPr>
    </w:p>
    <w:p w14:paraId="01B6E21F" w14:textId="625AC0AF" w:rsidR="00856859" w:rsidRDefault="00856859" w:rsidP="00856859">
      <w:pPr>
        <w:pStyle w:val="NormalWeb"/>
        <w:spacing w:before="0" w:beforeAutospacing="0" w:after="0" w:afterAutospacing="0"/>
        <w:jc w:val="both"/>
        <w:rPr>
          <w:rFonts w:ascii="Arial" w:hAnsi="Arial" w:cs="Arial"/>
          <w:sz w:val="22"/>
          <w:szCs w:val="22"/>
        </w:rPr>
      </w:pPr>
      <w:r>
        <w:rPr>
          <w:rFonts w:ascii="Arial" w:hAnsi="Arial" w:cs="Arial"/>
          <w:sz w:val="22"/>
          <w:szCs w:val="22"/>
        </w:rPr>
        <w:t>Upon substantial</w:t>
      </w:r>
      <w:r w:rsidRPr="00C37363">
        <w:rPr>
          <w:rFonts w:ascii="Arial" w:hAnsi="Arial" w:cs="Arial"/>
          <w:sz w:val="22"/>
          <w:szCs w:val="22"/>
        </w:rPr>
        <w:t xml:space="preserve"> </w:t>
      </w:r>
      <w:r w:rsidRPr="00CD3EEA">
        <w:rPr>
          <w:rFonts w:ascii="Arial" w:hAnsi="Arial" w:cs="Arial"/>
          <w:sz w:val="22"/>
          <w:szCs w:val="22"/>
        </w:rPr>
        <w:t>completion of</w:t>
      </w:r>
      <w:r w:rsidRPr="00C37363">
        <w:rPr>
          <w:rFonts w:ascii="Arial" w:hAnsi="Arial" w:cs="Arial"/>
          <w:sz w:val="22"/>
          <w:szCs w:val="22"/>
        </w:rPr>
        <w:t xml:space="preserve"> the campus consolidation under the Hospital’s previously approved DoN project, BMC’s licensed medical/surgical inpatient bed capacity reduced </w:t>
      </w:r>
      <w:r w:rsidRPr="00275EB6">
        <w:rPr>
          <w:rFonts w:ascii="Arial" w:hAnsi="Arial" w:cs="Arial"/>
          <w:sz w:val="22"/>
          <w:szCs w:val="22"/>
        </w:rPr>
        <w:t>from 332 in 2013 to 265 present day, a 67-bed reduction.</w:t>
      </w:r>
      <w:r>
        <w:rPr>
          <w:rFonts w:ascii="Arial" w:hAnsi="Arial" w:cs="Arial"/>
          <w:sz w:val="22"/>
          <w:szCs w:val="22"/>
        </w:rPr>
        <w:t xml:space="preserve"> Similarly, the Hospital’s ICU bed capacity was reduced from 74 in 2013 to 63 present day, an 11-bed reduction. Such </w:t>
      </w:r>
      <w:r w:rsidRPr="00695BC6">
        <w:rPr>
          <w:rFonts w:ascii="Arial" w:hAnsi="Arial" w:cs="Arial"/>
          <w:sz w:val="22"/>
          <w:szCs w:val="22"/>
        </w:rPr>
        <w:t>bed reduction</w:t>
      </w:r>
      <w:r>
        <w:rPr>
          <w:rFonts w:ascii="Arial" w:hAnsi="Arial" w:cs="Arial"/>
          <w:sz w:val="22"/>
          <w:szCs w:val="22"/>
        </w:rPr>
        <w:t>s were</w:t>
      </w:r>
      <w:r w:rsidRPr="00695BC6">
        <w:rPr>
          <w:rFonts w:ascii="Arial" w:hAnsi="Arial" w:cs="Arial"/>
          <w:sz w:val="22"/>
          <w:szCs w:val="22"/>
        </w:rPr>
        <w:t xml:space="preserve"> the result of two factors: (1) volume projections for inpatient demand were lower during that period</w:t>
      </w:r>
      <w:r>
        <w:rPr>
          <w:rFonts w:ascii="Arial" w:hAnsi="Arial" w:cs="Arial"/>
          <w:sz w:val="22"/>
          <w:szCs w:val="22"/>
        </w:rPr>
        <w:t>;</w:t>
      </w:r>
      <w:r w:rsidRPr="00695BC6">
        <w:rPr>
          <w:rFonts w:ascii="Arial" w:hAnsi="Arial" w:cs="Arial"/>
          <w:sz w:val="22"/>
          <w:szCs w:val="22"/>
        </w:rPr>
        <w:t xml:space="preserve"> and (2) the new inpatient beds established on the Menino Campus were single</w:t>
      </w:r>
      <w:r>
        <w:rPr>
          <w:rFonts w:ascii="Arial" w:hAnsi="Arial" w:cs="Arial"/>
          <w:sz w:val="22"/>
          <w:szCs w:val="22"/>
        </w:rPr>
        <w:t>-</w:t>
      </w:r>
      <w:r w:rsidRPr="00695BC6">
        <w:rPr>
          <w:rFonts w:ascii="Arial" w:hAnsi="Arial" w:cs="Arial"/>
          <w:sz w:val="22"/>
          <w:szCs w:val="22"/>
        </w:rPr>
        <w:t>bed</w:t>
      </w:r>
      <w:r>
        <w:rPr>
          <w:rFonts w:ascii="Arial" w:hAnsi="Arial" w:cs="Arial"/>
          <w:sz w:val="22"/>
          <w:szCs w:val="22"/>
        </w:rPr>
        <w:t>ded</w:t>
      </w:r>
      <w:r w:rsidRPr="00695BC6">
        <w:rPr>
          <w:rFonts w:ascii="Arial" w:hAnsi="Arial" w:cs="Arial"/>
          <w:sz w:val="22"/>
          <w:szCs w:val="22"/>
        </w:rPr>
        <w:t xml:space="preserve"> rooms in accordance with DPH requirements.</w:t>
      </w:r>
      <w:r>
        <w:rPr>
          <w:rFonts w:ascii="Arial" w:hAnsi="Arial" w:cs="Arial"/>
          <w:sz w:val="22"/>
          <w:szCs w:val="22"/>
        </w:rPr>
        <w:t xml:space="preserve"> However, as noted above, alongside substantial </w:t>
      </w:r>
      <w:r w:rsidRPr="00BF3120">
        <w:rPr>
          <w:rFonts w:ascii="Arial" w:hAnsi="Arial" w:cs="Arial"/>
          <w:sz w:val="22"/>
          <w:szCs w:val="22"/>
        </w:rPr>
        <w:t xml:space="preserve">completion of </w:t>
      </w:r>
      <w:r w:rsidR="001C3BC7">
        <w:rPr>
          <w:rFonts w:ascii="Arial" w:hAnsi="Arial" w:cs="Arial"/>
          <w:sz w:val="22"/>
          <w:szCs w:val="22"/>
        </w:rPr>
        <w:t>the</w:t>
      </w:r>
      <w:r w:rsidR="001C3BC7" w:rsidRPr="00BF3120">
        <w:rPr>
          <w:rFonts w:ascii="Arial" w:hAnsi="Arial" w:cs="Arial"/>
          <w:sz w:val="22"/>
          <w:szCs w:val="22"/>
        </w:rPr>
        <w:t xml:space="preserve"> </w:t>
      </w:r>
      <w:r w:rsidRPr="00BF3120">
        <w:rPr>
          <w:rFonts w:ascii="Arial" w:hAnsi="Arial" w:cs="Arial"/>
          <w:sz w:val="22"/>
          <w:szCs w:val="22"/>
        </w:rPr>
        <w:t>project, changes in the health</w:t>
      </w:r>
      <w:r w:rsidR="00CF77C3">
        <w:rPr>
          <w:rFonts w:ascii="Arial" w:hAnsi="Arial" w:cs="Arial"/>
          <w:sz w:val="22"/>
          <w:szCs w:val="22"/>
        </w:rPr>
        <w:t xml:space="preserve"> </w:t>
      </w:r>
      <w:r w:rsidRPr="00BF3120">
        <w:rPr>
          <w:rFonts w:ascii="Arial" w:hAnsi="Arial" w:cs="Arial"/>
          <w:sz w:val="22"/>
          <w:szCs w:val="22"/>
        </w:rPr>
        <w:t xml:space="preserve">care environment have impacted BMC’s patient volumes, stressing the Hospital’s current </w:t>
      </w:r>
      <w:r w:rsidR="000D36CF">
        <w:rPr>
          <w:rFonts w:ascii="Arial" w:hAnsi="Arial" w:cs="Arial"/>
          <w:sz w:val="22"/>
          <w:szCs w:val="22"/>
        </w:rPr>
        <w:t>infrastructure</w:t>
      </w:r>
      <w:r w:rsidR="000D36CF" w:rsidRPr="00BF3120">
        <w:rPr>
          <w:rFonts w:ascii="Arial" w:hAnsi="Arial" w:cs="Arial"/>
          <w:sz w:val="22"/>
          <w:szCs w:val="22"/>
        </w:rPr>
        <w:t xml:space="preserve"> </w:t>
      </w:r>
      <w:r w:rsidRPr="00BF3120">
        <w:rPr>
          <w:rFonts w:ascii="Arial" w:hAnsi="Arial" w:cs="Arial"/>
          <w:sz w:val="22"/>
          <w:szCs w:val="22"/>
        </w:rPr>
        <w:t>and demonstrating that the Hospital requires additional</w:t>
      </w:r>
      <w:r>
        <w:rPr>
          <w:rFonts w:ascii="Arial" w:hAnsi="Arial" w:cs="Arial"/>
          <w:sz w:val="22"/>
          <w:szCs w:val="22"/>
        </w:rPr>
        <w:t xml:space="preserve"> inpatient services to meet the needs of its patient panel.</w:t>
      </w:r>
    </w:p>
    <w:p w14:paraId="600D6207" w14:textId="77777777" w:rsidR="00856859" w:rsidRDefault="00856859" w:rsidP="00856859">
      <w:pPr>
        <w:pStyle w:val="NormalWeb"/>
        <w:spacing w:before="0" w:beforeAutospacing="0" w:after="0" w:afterAutospacing="0"/>
        <w:jc w:val="both"/>
        <w:rPr>
          <w:rFonts w:ascii="Arial" w:hAnsi="Arial" w:cs="Arial"/>
          <w:sz w:val="22"/>
          <w:szCs w:val="22"/>
        </w:rPr>
      </w:pPr>
    </w:p>
    <w:p w14:paraId="7C768B2C" w14:textId="6A67F102" w:rsidR="00856859" w:rsidRDefault="00856859" w:rsidP="00856859">
      <w:pPr>
        <w:pStyle w:val="NormalWeb"/>
        <w:spacing w:before="0" w:beforeAutospacing="0" w:after="0" w:afterAutospacing="0"/>
        <w:jc w:val="both"/>
        <w:rPr>
          <w:rFonts w:ascii="Arial" w:hAnsi="Arial" w:cs="Arial"/>
          <w:sz w:val="22"/>
          <w:szCs w:val="22"/>
        </w:rPr>
      </w:pPr>
      <w:r>
        <w:rPr>
          <w:rFonts w:ascii="Arial" w:hAnsi="Arial" w:cs="Arial"/>
          <w:sz w:val="22"/>
          <w:szCs w:val="22"/>
        </w:rPr>
        <w:t>BMC’s high inpatient bed volume is evidenced by its annual visit volume</w:t>
      </w:r>
      <w:r w:rsidR="008E1034">
        <w:rPr>
          <w:rFonts w:ascii="Arial" w:hAnsi="Arial" w:cs="Arial"/>
          <w:sz w:val="22"/>
          <w:szCs w:val="22"/>
        </w:rPr>
        <w:t>,</w:t>
      </w:r>
      <w:r>
        <w:rPr>
          <w:rFonts w:ascii="Arial" w:hAnsi="Arial" w:cs="Arial"/>
          <w:sz w:val="22"/>
          <w:szCs w:val="22"/>
        </w:rPr>
        <w:t xml:space="preserve"> as well as the annual number of patients seeking inpatient care at the Hospital. </w:t>
      </w:r>
      <w:r w:rsidR="00292DB2">
        <w:rPr>
          <w:rFonts w:ascii="Arial" w:hAnsi="Arial" w:cs="Arial"/>
          <w:sz w:val="22"/>
          <w:szCs w:val="22"/>
        </w:rPr>
        <w:t>Table 10</w:t>
      </w:r>
      <w:r>
        <w:rPr>
          <w:rFonts w:ascii="Arial" w:hAnsi="Arial" w:cs="Arial"/>
          <w:sz w:val="22"/>
          <w:szCs w:val="22"/>
        </w:rPr>
        <w:t xml:space="preserve"> </w:t>
      </w:r>
      <w:r w:rsidRPr="00FE5DDB">
        <w:rPr>
          <w:rFonts w:ascii="Arial" w:hAnsi="Arial" w:cs="Arial"/>
          <w:sz w:val="22"/>
          <w:szCs w:val="22"/>
        </w:rPr>
        <w:t>outlines th</w:t>
      </w:r>
      <w:r w:rsidR="002B1ED9">
        <w:rPr>
          <w:rFonts w:ascii="Arial" w:hAnsi="Arial" w:cs="Arial"/>
          <w:sz w:val="22"/>
          <w:szCs w:val="22"/>
        </w:rPr>
        <w:t>ese</w:t>
      </w:r>
      <w:r w:rsidRPr="00FE5DDB">
        <w:rPr>
          <w:rFonts w:ascii="Arial" w:hAnsi="Arial" w:cs="Arial"/>
          <w:sz w:val="22"/>
          <w:szCs w:val="22"/>
        </w:rPr>
        <w:t xml:space="preserve"> data for the Hospital’s medical/surgical inpatient and ICU service lines:</w:t>
      </w:r>
    </w:p>
    <w:p w14:paraId="45576400" w14:textId="77777777" w:rsidR="00FC5F79" w:rsidRDefault="00FC5F79" w:rsidP="00856859">
      <w:pPr>
        <w:pStyle w:val="NormalWeb"/>
        <w:spacing w:before="0" w:beforeAutospacing="0" w:after="0" w:afterAutospacing="0"/>
        <w:jc w:val="both"/>
        <w:rPr>
          <w:rFonts w:ascii="Arial Narrow" w:hAnsi="Arial Narrow" w:cs="Arial"/>
          <w:b/>
          <w:bCs/>
          <w:sz w:val="22"/>
          <w:szCs w:val="22"/>
        </w:rPr>
      </w:pPr>
    </w:p>
    <w:p w14:paraId="2C98EC88" w14:textId="0D16F8E7" w:rsidR="00856859" w:rsidRDefault="00FC5F79" w:rsidP="00856859">
      <w:pPr>
        <w:pStyle w:val="NormalWeb"/>
        <w:spacing w:before="0" w:beforeAutospacing="0" w:after="0" w:afterAutospacing="0"/>
        <w:jc w:val="both"/>
        <w:rPr>
          <w:rFonts w:ascii="Arial" w:hAnsi="Arial" w:cs="Arial"/>
          <w:sz w:val="22"/>
          <w:szCs w:val="22"/>
          <w:u w:val="single"/>
        </w:rPr>
      </w:pPr>
      <w:r w:rsidRPr="00FC5F79">
        <w:rPr>
          <w:rFonts w:ascii="Arial Narrow" w:hAnsi="Arial Narrow" w:cs="Arial"/>
          <w:b/>
          <w:bCs/>
          <w:sz w:val="22"/>
          <w:szCs w:val="22"/>
        </w:rPr>
        <w:t>Table 10: BMC Inpatient Bed Volume</w:t>
      </w:r>
    </w:p>
    <w:tbl>
      <w:tblPr>
        <w:tblStyle w:val="TableGrid"/>
        <w:tblW w:w="0" w:type="auto"/>
        <w:jc w:val="center"/>
        <w:tblLook w:val="04A0" w:firstRow="1" w:lastRow="0" w:firstColumn="1" w:lastColumn="0" w:noHBand="0" w:noVBand="1"/>
      </w:tblPr>
      <w:tblGrid>
        <w:gridCol w:w="1335"/>
        <w:gridCol w:w="1825"/>
        <w:gridCol w:w="1825"/>
        <w:gridCol w:w="1825"/>
        <w:gridCol w:w="1825"/>
      </w:tblGrid>
      <w:tr w:rsidR="00856859" w14:paraId="0E37AF14" w14:textId="77777777" w:rsidTr="00FC5F79">
        <w:trPr>
          <w:cantSplit/>
          <w:tblHeader/>
          <w:jc w:val="center"/>
        </w:trPr>
        <w:tc>
          <w:tcPr>
            <w:tcW w:w="1335" w:type="dxa"/>
            <w:tcBorders>
              <w:top w:val="single" w:sz="12" w:space="0" w:color="auto"/>
              <w:left w:val="single" w:sz="12" w:space="0" w:color="auto"/>
              <w:right w:val="single" w:sz="12" w:space="0" w:color="auto"/>
            </w:tcBorders>
            <w:shd w:val="clear" w:color="auto" w:fill="8DA9DB"/>
          </w:tcPr>
          <w:p w14:paraId="3D6AE6FA"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p>
        </w:tc>
        <w:tc>
          <w:tcPr>
            <w:tcW w:w="3650" w:type="dxa"/>
            <w:gridSpan w:val="2"/>
            <w:tcBorders>
              <w:top w:val="single" w:sz="12" w:space="0" w:color="auto"/>
              <w:left w:val="single" w:sz="12" w:space="0" w:color="auto"/>
              <w:right w:val="single" w:sz="12" w:space="0" w:color="auto"/>
            </w:tcBorders>
            <w:shd w:val="clear" w:color="auto" w:fill="8DA9DB"/>
            <w:vAlign w:val="center"/>
          </w:tcPr>
          <w:p w14:paraId="492BD358"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Medical/Surgical</w:t>
            </w:r>
          </w:p>
        </w:tc>
        <w:tc>
          <w:tcPr>
            <w:tcW w:w="3650" w:type="dxa"/>
            <w:gridSpan w:val="2"/>
            <w:tcBorders>
              <w:top w:val="single" w:sz="12" w:space="0" w:color="auto"/>
              <w:left w:val="single" w:sz="12" w:space="0" w:color="auto"/>
              <w:right w:val="single" w:sz="12" w:space="0" w:color="auto"/>
            </w:tcBorders>
            <w:shd w:val="clear" w:color="auto" w:fill="8DA9DB"/>
            <w:vAlign w:val="center"/>
          </w:tcPr>
          <w:p w14:paraId="3157BE99"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ICU</w:t>
            </w:r>
          </w:p>
        </w:tc>
      </w:tr>
      <w:tr w:rsidR="00856859" w14:paraId="7775D93C" w14:textId="77777777" w:rsidTr="00FC5F79">
        <w:trPr>
          <w:cantSplit/>
          <w:tblHeader/>
          <w:jc w:val="center"/>
        </w:trPr>
        <w:tc>
          <w:tcPr>
            <w:tcW w:w="1335" w:type="dxa"/>
            <w:tcBorders>
              <w:left w:val="single" w:sz="12" w:space="0" w:color="auto"/>
              <w:right w:val="single" w:sz="12" w:space="0" w:color="auto"/>
            </w:tcBorders>
            <w:shd w:val="clear" w:color="auto" w:fill="BFBFBF"/>
          </w:tcPr>
          <w:p w14:paraId="09444E49" w14:textId="77777777" w:rsidR="00856859" w:rsidRPr="00F80B42" w:rsidRDefault="00856859" w:rsidP="00963E14">
            <w:pPr>
              <w:pStyle w:val="NormalWeb"/>
              <w:spacing w:before="0" w:beforeAutospacing="0" w:after="0" w:afterAutospacing="0"/>
              <w:jc w:val="both"/>
              <w:rPr>
                <w:rFonts w:ascii="Arial Narrow" w:hAnsi="Arial Narrow" w:cs="Arial"/>
                <w:b/>
                <w:bCs/>
                <w:sz w:val="22"/>
                <w:szCs w:val="22"/>
              </w:rPr>
            </w:pPr>
            <w:r w:rsidRPr="00F80B42">
              <w:rPr>
                <w:rFonts w:ascii="Arial Narrow" w:hAnsi="Arial Narrow" w:cs="Arial"/>
                <w:b/>
                <w:bCs/>
                <w:sz w:val="22"/>
                <w:szCs w:val="22"/>
              </w:rPr>
              <w:t>Year</w:t>
            </w:r>
          </w:p>
        </w:tc>
        <w:tc>
          <w:tcPr>
            <w:tcW w:w="1825" w:type="dxa"/>
            <w:tcBorders>
              <w:left w:val="single" w:sz="12" w:space="0" w:color="auto"/>
            </w:tcBorders>
            <w:shd w:val="clear" w:color="auto" w:fill="BFBFBF"/>
            <w:vAlign w:val="center"/>
          </w:tcPr>
          <w:p w14:paraId="1C7C0CF4"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Unique Patients</w:t>
            </w:r>
          </w:p>
        </w:tc>
        <w:tc>
          <w:tcPr>
            <w:tcW w:w="1825" w:type="dxa"/>
            <w:tcBorders>
              <w:right w:val="single" w:sz="12" w:space="0" w:color="auto"/>
            </w:tcBorders>
            <w:shd w:val="clear" w:color="auto" w:fill="BFBFBF"/>
            <w:vAlign w:val="center"/>
          </w:tcPr>
          <w:p w14:paraId="5E09BC96"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Visits</w:t>
            </w:r>
          </w:p>
        </w:tc>
        <w:tc>
          <w:tcPr>
            <w:tcW w:w="1825" w:type="dxa"/>
            <w:tcBorders>
              <w:left w:val="single" w:sz="12" w:space="0" w:color="auto"/>
            </w:tcBorders>
            <w:shd w:val="clear" w:color="auto" w:fill="BFBFBF"/>
            <w:vAlign w:val="center"/>
          </w:tcPr>
          <w:p w14:paraId="3694BF6D"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Unique Patients</w:t>
            </w:r>
          </w:p>
        </w:tc>
        <w:tc>
          <w:tcPr>
            <w:tcW w:w="1825" w:type="dxa"/>
            <w:tcBorders>
              <w:right w:val="single" w:sz="12" w:space="0" w:color="auto"/>
            </w:tcBorders>
            <w:shd w:val="clear" w:color="auto" w:fill="BFBFBF"/>
            <w:vAlign w:val="center"/>
          </w:tcPr>
          <w:p w14:paraId="038098E2" w14:textId="77777777" w:rsidR="00856859" w:rsidRPr="00F80B42" w:rsidRDefault="00856859"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Visits</w:t>
            </w:r>
          </w:p>
        </w:tc>
      </w:tr>
      <w:tr w:rsidR="00856859" w14:paraId="39E3BF4B" w14:textId="77777777" w:rsidTr="00FC5F79">
        <w:trPr>
          <w:cantSplit/>
          <w:jc w:val="center"/>
        </w:trPr>
        <w:tc>
          <w:tcPr>
            <w:tcW w:w="1335" w:type="dxa"/>
            <w:tcBorders>
              <w:left w:val="single" w:sz="12" w:space="0" w:color="auto"/>
              <w:right w:val="single" w:sz="12" w:space="0" w:color="auto"/>
            </w:tcBorders>
            <w:vAlign w:val="center"/>
          </w:tcPr>
          <w:p w14:paraId="7F1BC968" w14:textId="58EA81C9" w:rsidR="00856859" w:rsidRPr="00F80B42" w:rsidRDefault="00856859"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FY19</w:t>
            </w:r>
          </w:p>
        </w:tc>
        <w:tc>
          <w:tcPr>
            <w:tcW w:w="1825" w:type="dxa"/>
            <w:tcBorders>
              <w:left w:val="single" w:sz="12" w:space="0" w:color="auto"/>
            </w:tcBorders>
            <w:vAlign w:val="center"/>
          </w:tcPr>
          <w:p w14:paraId="680A894C"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11,719</w:t>
            </w:r>
          </w:p>
        </w:tc>
        <w:tc>
          <w:tcPr>
            <w:tcW w:w="1825" w:type="dxa"/>
            <w:tcBorders>
              <w:right w:val="single" w:sz="12" w:space="0" w:color="auto"/>
            </w:tcBorders>
            <w:vAlign w:val="center"/>
          </w:tcPr>
          <w:p w14:paraId="774225D0"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16,129</w:t>
            </w:r>
          </w:p>
        </w:tc>
        <w:tc>
          <w:tcPr>
            <w:tcW w:w="1825" w:type="dxa"/>
            <w:tcBorders>
              <w:left w:val="single" w:sz="12" w:space="0" w:color="auto"/>
            </w:tcBorders>
            <w:vAlign w:val="center"/>
          </w:tcPr>
          <w:p w14:paraId="3FB18A68"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3,751</w:t>
            </w:r>
          </w:p>
        </w:tc>
        <w:tc>
          <w:tcPr>
            <w:tcW w:w="1825" w:type="dxa"/>
            <w:tcBorders>
              <w:right w:val="single" w:sz="12" w:space="0" w:color="auto"/>
            </w:tcBorders>
            <w:vAlign w:val="center"/>
          </w:tcPr>
          <w:p w14:paraId="19179CB6"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4,401</w:t>
            </w:r>
          </w:p>
        </w:tc>
      </w:tr>
      <w:tr w:rsidR="00856859" w14:paraId="5A5F2911" w14:textId="77777777" w:rsidTr="00FC5F79">
        <w:trPr>
          <w:cantSplit/>
          <w:jc w:val="center"/>
        </w:trPr>
        <w:tc>
          <w:tcPr>
            <w:tcW w:w="1335" w:type="dxa"/>
            <w:tcBorders>
              <w:left w:val="single" w:sz="12" w:space="0" w:color="auto"/>
              <w:right w:val="single" w:sz="12" w:space="0" w:color="auto"/>
            </w:tcBorders>
            <w:vAlign w:val="center"/>
          </w:tcPr>
          <w:p w14:paraId="712E7D87" w14:textId="0A639131" w:rsidR="00856859" w:rsidRPr="00F80B42" w:rsidRDefault="00856859"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FY20</w:t>
            </w:r>
          </w:p>
        </w:tc>
        <w:tc>
          <w:tcPr>
            <w:tcW w:w="1825" w:type="dxa"/>
            <w:tcBorders>
              <w:left w:val="single" w:sz="12" w:space="0" w:color="auto"/>
            </w:tcBorders>
            <w:vAlign w:val="center"/>
          </w:tcPr>
          <w:p w14:paraId="1F92A9B8"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10,541</w:t>
            </w:r>
          </w:p>
        </w:tc>
        <w:tc>
          <w:tcPr>
            <w:tcW w:w="1825" w:type="dxa"/>
            <w:tcBorders>
              <w:right w:val="single" w:sz="12" w:space="0" w:color="auto"/>
            </w:tcBorders>
            <w:vAlign w:val="center"/>
          </w:tcPr>
          <w:p w14:paraId="5885AD1E"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14,504</w:t>
            </w:r>
          </w:p>
        </w:tc>
        <w:tc>
          <w:tcPr>
            <w:tcW w:w="1825" w:type="dxa"/>
            <w:tcBorders>
              <w:left w:val="single" w:sz="12" w:space="0" w:color="auto"/>
            </w:tcBorders>
            <w:vAlign w:val="center"/>
          </w:tcPr>
          <w:p w14:paraId="1B4F375C"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3,291</w:t>
            </w:r>
          </w:p>
        </w:tc>
        <w:tc>
          <w:tcPr>
            <w:tcW w:w="1825" w:type="dxa"/>
            <w:tcBorders>
              <w:right w:val="single" w:sz="12" w:space="0" w:color="auto"/>
            </w:tcBorders>
            <w:vAlign w:val="center"/>
          </w:tcPr>
          <w:p w14:paraId="490B87A2"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3,808</w:t>
            </w:r>
          </w:p>
        </w:tc>
      </w:tr>
      <w:tr w:rsidR="00856859" w14:paraId="3DBCD720" w14:textId="77777777" w:rsidTr="00FC5F79">
        <w:trPr>
          <w:cantSplit/>
          <w:jc w:val="center"/>
        </w:trPr>
        <w:tc>
          <w:tcPr>
            <w:tcW w:w="1335" w:type="dxa"/>
            <w:tcBorders>
              <w:left w:val="single" w:sz="12" w:space="0" w:color="auto"/>
              <w:right w:val="single" w:sz="12" w:space="0" w:color="auto"/>
            </w:tcBorders>
            <w:vAlign w:val="center"/>
          </w:tcPr>
          <w:p w14:paraId="0FB75B81" w14:textId="46EA4E8E" w:rsidR="00856859" w:rsidRPr="00F80B42" w:rsidRDefault="00856859"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FY21</w:t>
            </w:r>
          </w:p>
        </w:tc>
        <w:tc>
          <w:tcPr>
            <w:tcW w:w="1825" w:type="dxa"/>
            <w:tcBorders>
              <w:left w:val="single" w:sz="12" w:space="0" w:color="auto"/>
            </w:tcBorders>
            <w:vAlign w:val="center"/>
          </w:tcPr>
          <w:p w14:paraId="083E0DAD"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11,002</w:t>
            </w:r>
          </w:p>
        </w:tc>
        <w:tc>
          <w:tcPr>
            <w:tcW w:w="1825" w:type="dxa"/>
            <w:tcBorders>
              <w:right w:val="single" w:sz="12" w:space="0" w:color="auto"/>
            </w:tcBorders>
            <w:vAlign w:val="center"/>
          </w:tcPr>
          <w:p w14:paraId="4F9F66F6"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14,757</w:t>
            </w:r>
          </w:p>
        </w:tc>
        <w:tc>
          <w:tcPr>
            <w:tcW w:w="1825" w:type="dxa"/>
            <w:tcBorders>
              <w:left w:val="single" w:sz="12" w:space="0" w:color="auto"/>
            </w:tcBorders>
            <w:vAlign w:val="center"/>
          </w:tcPr>
          <w:p w14:paraId="313DBF4A"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3,403</w:t>
            </w:r>
          </w:p>
        </w:tc>
        <w:tc>
          <w:tcPr>
            <w:tcW w:w="1825" w:type="dxa"/>
            <w:tcBorders>
              <w:right w:val="single" w:sz="12" w:space="0" w:color="auto"/>
            </w:tcBorders>
            <w:vAlign w:val="center"/>
          </w:tcPr>
          <w:p w14:paraId="28E03E25" w14:textId="77777777" w:rsidR="00856859" w:rsidRPr="00F80B42" w:rsidRDefault="00856859" w:rsidP="00963E14">
            <w:pPr>
              <w:pStyle w:val="NormalWeb"/>
              <w:spacing w:before="0" w:beforeAutospacing="0" w:after="0" w:afterAutospacing="0"/>
              <w:jc w:val="center"/>
              <w:rPr>
                <w:rFonts w:ascii="Arial Narrow" w:hAnsi="Arial Narrow" w:cs="Arial"/>
                <w:sz w:val="22"/>
                <w:szCs w:val="22"/>
              </w:rPr>
            </w:pPr>
            <w:r w:rsidRPr="00F80B42">
              <w:rPr>
                <w:rFonts w:ascii="Arial Narrow" w:hAnsi="Arial Narrow" w:cs="Arial"/>
                <w:sz w:val="22"/>
                <w:szCs w:val="22"/>
              </w:rPr>
              <w:t>3,920</w:t>
            </w:r>
          </w:p>
        </w:tc>
      </w:tr>
      <w:tr w:rsidR="00856859" w14:paraId="7A105877" w14:textId="77777777" w:rsidTr="00FC5F79">
        <w:trPr>
          <w:cantSplit/>
          <w:jc w:val="center"/>
        </w:trPr>
        <w:tc>
          <w:tcPr>
            <w:tcW w:w="1335" w:type="dxa"/>
            <w:tcBorders>
              <w:left w:val="single" w:sz="12" w:space="0" w:color="auto"/>
              <w:bottom w:val="single" w:sz="12" w:space="0" w:color="auto"/>
              <w:right w:val="single" w:sz="12" w:space="0" w:color="auto"/>
            </w:tcBorders>
            <w:vAlign w:val="center"/>
          </w:tcPr>
          <w:p w14:paraId="1095BD9F" w14:textId="64C52D72" w:rsidR="00856859" w:rsidRPr="00B95D0D" w:rsidRDefault="00856859" w:rsidP="00963E14">
            <w:pPr>
              <w:pStyle w:val="NormalWeb"/>
              <w:spacing w:before="0" w:beforeAutospacing="0" w:after="0" w:afterAutospacing="0"/>
              <w:rPr>
                <w:rFonts w:ascii="Arial Narrow" w:hAnsi="Arial Narrow" w:cs="Arial"/>
                <w:b/>
                <w:bCs/>
                <w:sz w:val="22"/>
                <w:szCs w:val="22"/>
              </w:rPr>
            </w:pPr>
            <w:r w:rsidRPr="00B95D0D">
              <w:rPr>
                <w:rFonts w:ascii="Arial Narrow" w:hAnsi="Arial Narrow" w:cs="Arial"/>
                <w:b/>
                <w:bCs/>
                <w:sz w:val="22"/>
                <w:szCs w:val="22"/>
              </w:rPr>
              <w:t>FY22 YTD</w:t>
            </w:r>
          </w:p>
        </w:tc>
        <w:tc>
          <w:tcPr>
            <w:tcW w:w="1825" w:type="dxa"/>
            <w:tcBorders>
              <w:left w:val="single" w:sz="12" w:space="0" w:color="auto"/>
              <w:bottom w:val="single" w:sz="12" w:space="0" w:color="auto"/>
            </w:tcBorders>
            <w:vAlign w:val="center"/>
          </w:tcPr>
          <w:p w14:paraId="5B982BD1" w14:textId="77777777" w:rsidR="00856859" w:rsidRPr="00B95D0D" w:rsidRDefault="00856859" w:rsidP="00963E14">
            <w:pPr>
              <w:pStyle w:val="NormalWeb"/>
              <w:spacing w:before="0" w:beforeAutospacing="0" w:after="0" w:afterAutospacing="0"/>
              <w:jc w:val="center"/>
              <w:rPr>
                <w:rFonts w:ascii="Arial Narrow" w:hAnsi="Arial Narrow" w:cs="Arial"/>
                <w:sz w:val="22"/>
                <w:szCs w:val="22"/>
              </w:rPr>
            </w:pPr>
            <w:r w:rsidRPr="00B95D0D">
              <w:rPr>
                <w:rFonts w:ascii="Arial Narrow" w:hAnsi="Arial Narrow" w:cs="Arial"/>
                <w:sz w:val="22"/>
                <w:szCs w:val="22"/>
              </w:rPr>
              <w:t>2,970</w:t>
            </w:r>
          </w:p>
        </w:tc>
        <w:tc>
          <w:tcPr>
            <w:tcW w:w="1825" w:type="dxa"/>
            <w:tcBorders>
              <w:bottom w:val="single" w:sz="12" w:space="0" w:color="auto"/>
              <w:right w:val="single" w:sz="12" w:space="0" w:color="auto"/>
            </w:tcBorders>
            <w:vAlign w:val="center"/>
          </w:tcPr>
          <w:p w14:paraId="77D5CD76" w14:textId="77777777" w:rsidR="00856859" w:rsidRPr="00B95D0D" w:rsidRDefault="00856859" w:rsidP="00963E14">
            <w:pPr>
              <w:pStyle w:val="NormalWeb"/>
              <w:spacing w:before="0" w:beforeAutospacing="0" w:after="0" w:afterAutospacing="0"/>
              <w:jc w:val="center"/>
              <w:rPr>
                <w:rFonts w:ascii="Arial Narrow" w:hAnsi="Arial Narrow" w:cs="Arial"/>
                <w:sz w:val="22"/>
                <w:szCs w:val="22"/>
              </w:rPr>
            </w:pPr>
            <w:r w:rsidRPr="00B95D0D">
              <w:rPr>
                <w:rFonts w:ascii="Arial Narrow" w:hAnsi="Arial Narrow" w:cs="Arial"/>
                <w:sz w:val="22"/>
                <w:szCs w:val="22"/>
              </w:rPr>
              <w:t>3,389</w:t>
            </w:r>
          </w:p>
        </w:tc>
        <w:tc>
          <w:tcPr>
            <w:tcW w:w="1825" w:type="dxa"/>
            <w:tcBorders>
              <w:left w:val="single" w:sz="12" w:space="0" w:color="auto"/>
              <w:bottom w:val="single" w:sz="12" w:space="0" w:color="auto"/>
            </w:tcBorders>
            <w:vAlign w:val="center"/>
          </w:tcPr>
          <w:p w14:paraId="60380E38" w14:textId="77777777" w:rsidR="00856859" w:rsidRPr="00B95D0D" w:rsidRDefault="00856859" w:rsidP="00963E14">
            <w:pPr>
              <w:pStyle w:val="NormalWeb"/>
              <w:spacing w:before="0" w:beforeAutospacing="0" w:after="0" w:afterAutospacing="0"/>
              <w:jc w:val="center"/>
              <w:rPr>
                <w:rFonts w:ascii="Arial Narrow" w:hAnsi="Arial Narrow" w:cs="Arial"/>
                <w:sz w:val="22"/>
                <w:szCs w:val="22"/>
              </w:rPr>
            </w:pPr>
            <w:r w:rsidRPr="00B95D0D">
              <w:rPr>
                <w:rFonts w:ascii="Arial Narrow" w:hAnsi="Arial Narrow" w:cs="Arial"/>
                <w:sz w:val="22"/>
                <w:szCs w:val="22"/>
              </w:rPr>
              <w:t>895</w:t>
            </w:r>
          </w:p>
        </w:tc>
        <w:tc>
          <w:tcPr>
            <w:tcW w:w="1825" w:type="dxa"/>
            <w:tcBorders>
              <w:bottom w:val="single" w:sz="12" w:space="0" w:color="auto"/>
              <w:right w:val="single" w:sz="12" w:space="0" w:color="auto"/>
            </w:tcBorders>
            <w:vAlign w:val="center"/>
          </w:tcPr>
          <w:p w14:paraId="618658FA" w14:textId="77777777" w:rsidR="00856859" w:rsidRPr="00B95D0D" w:rsidRDefault="00856859" w:rsidP="00963E14">
            <w:pPr>
              <w:pStyle w:val="NormalWeb"/>
              <w:spacing w:before="0" w:beforeAutospacing="0" w:after="0" w:afterAutospacing="0"/>
              <w:jc w:val="center"/>
              <w:rPr>
                <w:rFonts w:ascii="Arial Narrow" w:hAnsi="Arial Narrow" w:cs="Arial"/>
                <w:sz w:val="22"/>
                <w:szCs w:val="22"/>
              </w:rPr>
            </w:pPr>
            <w:r w:rsidRPr="00B95D0D">
              <w:rPr>
                <w:rFonts w:ascii="Arial Narrow" w:hAnsi="Arial Narrow" w:cs="Arial"/>
                <w:sz w:val="22"/>
                <w:szCs w:val="22"/>
              </w:rPr>
              <w:t>964</w:t>
            </w:r>
          </w:p>
        </w:tc>
      </w:tr>
    </w:tbl>
    <w:p w14:paraId="0E31555E" w14:textId="77777777" w:rsidR="00856859" w:rsidRDefault="00856859" w:rsidP="00856859">
      <w:pPr>
        <w:pStyle w:val="NormalWeb"/>
        <w:spacing w:before="0" w:beforeAutospacing="0" w:after="0" w:afterAutospacing="0"/>
        <w:jc w:val="both"/>
        <w:rPr>
          <w:rFonts w:ascii="Arial" w:hAnsi="Arial" w:cs="Arial"/>
          <w:sz w:val="22"/>
          <w:szCs w:val="22"/>
          <w:u w:val="single"/>
        </w:rPr>
      </w:pPr>
    </w:p>
    <w:p w14:paraId="40ACE8C0" w14:textId="184AE2C1" w:rsidR="00856859" w:rsidRDefault="001D7718" w:rsidP="0085685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shown in the </w:t>
      </w:r>
      <w:r w:rsidRPr="0029022F">
        <w:rPr>
          <w:rFonts w:ascii="Arial" w:hAnsi="Arial" w:cs="Arial"/>
          <w:sz w:val="22"/>
          <w:szCs w:val="22"/>
        </w:rPr>
        <w:t xml:space="preserve">table, despite </w:t>
      </w:r>
      <w:r w:rsidRPr="003B3A67">
        <w:rPr>
          <w:rFonts w:ascii="Arial" w:hAnsi="Arial" w:cs="Arial"/>
          <w:sz w:val="22"/>
          <w:szCs w:val="22"/>
        </w:rPr>
        <w:t xml:space="preserve">reduced </w:t>
      </w:r>
      <w:r w:rsidRPr="0029022F">
        <w:rPr>
          <w:rFonts w:ascii="Arial" w:hAnsi="Arial" w:cs="Arial"/>
          <w:sz w:val="22"/>
          <w:szCs w:val="22"/>
        </w:rPr>
        <w:t>demand</w:t>
      </w:r>
      <w:r w:rsidRPr="003B3A67">
        <w:rPr>
          <w:rFonts w:ascii="Arial" w:hAnsi="Arial" w:cs="Arial"/>
          <w:sz w:val="22"/>
          <w:szCs w:val="22"/>
        </w:rPr>
        <w:t xml:space="preserve"> </w:t>
      </w:r>
      <w:r w:rsidRPr="0029022F">
        <w:rPr>
          <w:rFonts w:ascii="Arial" w:hAnsi="Arial" w:cs="Arial"/>
          <w:sz w:val="22"/>
          <w:szCs w:val="22"/>
        </w:rPr>
        <w:t xml:space="preserve">in FY20 during the height of the COVID-19 pandemic, annual patient and visit volume for BMC’s medical/surgical and ICU services has remained high over the last three </w:t>
      </w:r>
      <w:r w:rsidR="001C3BC7">
        <w:rPr>
          <w:rFonts w:ascii="Arial" w:hAnsi="Arial" w:cs="Arial"/>
          <w:sz w:val="22"/>
          <w:szCs w:val="22"/>
        </w:rPr>
        <w:t>fiscal years</w:t>
      </w:r>
      <w:r w:rsidRPr="0029022F">
        <w:rPr>
          <w:rFonts w:ascii="Arial" w:hAnsi="Arial" w:cs="Arial"/>
          <w:sz w:val="22"/>
          <w:szCs w:val="22"/>
        </w:rPr>
        <w:t xml:space="preserve">. In FY19, there were 11,719 unique patients for 16,129 medical/surgical inpatient visits, and 3,751 unique patients for 4,401 ICU visits. Like many hospitals across the state and nation, in FY20, BMC experienced a drop in utilization for non-COVID-19 care due to multiple factors including </w:t>
      </w:r>
      <w:r w:rsidRPr="00385F38">
        <w:rPr>
          <w:rFonts w:ascii="Arial" w:hAnsi="Arial" w:cs="Arial"/>
          <w:sz w:val="22"/>
          <w:szCs w:val="22"/>
        </w:rPr>
        <w:t>state and federal guidance intended to maintain needed hospital bed capacity and reduce infection transmission, patient hesitancy to receive in-person care, and the shift in care to telehealth.</w:t>
      </w:r>
      <w:bookmarkStart w:id="4" w:name="_Ref109197354"/>
      <w:r w:rsidR="00FB167B">
        <w:rPr>
          <w:rFonts w:ascii="ZWAdobeF" w:hAnsi="ZWAdobeF" w:cs="ZWAdobeF"/>
          <w:sz w:val="2"/>
          <w:szCs w:val="2"/>
        </w:rPr>
        <w:t>31F</w:t>
      </w:r>
      <w:r w:rsidRPr="0029022F">
        <w:rPr>
          <w:rStyle w:val="FootnoteReference"/>
          <w:rFonts w:ascii="Arial" w:hAnsi="Arial" w:cs="Arial"/>
          <w:sz w:val="22"/>
          <w:szCs w:val="22"/>
        </w:rPr>
        <w:footnoteReference w:id="32"/>
      </w:r>
      <w:bookmarkEnd w:id="4"/>
      <w:r w:rsidRPr="0029022F">
        <w:rPr>
          <w:rFonts w:ascii="Arial" w:hAnsi="Arial" w:cs="Arial"/>
          <w:sz w:val="22"/>
          <w:szCs w:val="22"/>
        </w:rPr>
        <w:t xml:space="preserve"> With specific regard to its inpatient bed volume, the Hospital experienced 10% decreases in both its number of medical/surgical patients and visits, and 12% and 13% decreases in its number of ICU patients and visits, respectively. </w:t>
      </w:r>
      <w:r>
        <w:rPr>
          <w:rFonts w:ascii="Arial" w:hAnsi="Arial" w:cs="Arial"/>
          <w:sz w:val="22"/>
          <w:szCs w:val="22"/>
        </w:rPr>
        <w:t xml:space="preserve">Notwithstanding periods of renewed hospital avoidance during COVID-19 surges since FY20, data for FY21 – which show a 4% </w:t>
      </w:r>
      <w:r w:rsidRPr="00C74EF8">
        <w:rPr>
          <w:rFonts w:ascii="Arial" w:hAnsi="Arial" w:cs="Arial"/>
          <w:sz w:val="22"/>
          <w:szCs w:val="22"/>
        </w:rPr>
        <w:t>increase in medical/surgical patients, a 2% increase in medical/surgical visits, and a 3% increase in both ICU patients and visits compared to FY21</w:t>
      </w:r>
      <w:r>
        <w:rPr>
          <w:rFonts w:ascii="Arial" w:hAnsi="Arial" w:cs="Arial"/>
          <w:sz w:val="22"/>
          <w:szCs w:val="22"/>
        </w:rPr>
        <w:t xml:space="preserve"> – </w:t>
      </w:r>
      <w:r w:rsidRPr="00C74EF8">
        <w:rPr>
          <w:rFonts w:ascii="Arial" w:hAnsi="Arial" w:cs="Arial"/>
          <w:sz w:val="22"/>
          <w:szCs w:val="22"/>
        </w:rPr>
        <w:t>and preliminary data for FY22 suggest that Hospital operations and patient and visit volumes are returning to pre-pandemic levels and will continue to increase in future years</w:t>
      </w:r>
      <w:r>
        <w:rPr>
          <w:rFonts w:ascii="Arial" w:hAnsi="Arial" w:cs="Arial"/>
          <w:sz w:val="22"/>
          <w:szCs w:val="22"/>
        </w:rPr>
        <w:t>.</w:t>
      </w:r>
    </w:p>
    <w:p w14:paraId="2C90698C" w14:textId="16CA0968" w:rsidR="001D7718" w:rsidRDefault="001D7718" w:rsidP="00856859">
      <w:pPr>
        <w:pStyle w:val="NormalWeb"/>
        <w:spacing w:before="0" w:beforeAutospacing="0" w:after="0" w:afterAutospacing="0"/>
        <w:jc w:val="both"/>
        <w:rPr>
          <w:rFonts w:ascii="Arial" w:hAnsi="Arial" w:cs="Arial"/>
          <w:sz w:val="22"/>
          <w:szCs w:val="22"/>
          <w:u w:val="single"/>
        </w:rPr>
      </w:pPr>
    </w:p>
    <w:p w14:paraId="32976D1E" w14:textId="200BCCD5" w:rsidR="00D864F2" w:rsidRDefault="00F8296A" w:rsidP="00856859">
      <w:pPr>
        <w:pStyle w:val="NormalWeb"/>
        <w:spacing w:before="0" w:beforeAutospacing="0" w:after="0" w:afterAutospacing="0"/>
        <w:jc w:val="both"/>
        <w:rPr>
          <w:rFonts w:ascii="Arial" w:hAnsi="Arial" w:cs="Arial"/>
          <w:color w:val="000000" w:themeColor="text1"/>
          <w:sz w:val="22"/>
          <w:szCs w:val="22"/>
        </w:rPr>
      </w:pPr>
      <w:r w:rsidRPr="0013718F">
        <w:rPr>
          <w:rFonts w:ascii="Arial" w:hAnsi="Arial" w:cs="Arial"/>
          <w:color w:val="000000" w:themeColor="text1"/>
          <w:sz w:val="22"/>
          <w:szCs w:val="22"/>
        </w:rPr>
        <w:t xml:space="preserve">Additionally, the Hospital has experienced </w:t>
      </w:r>
      <w:r w:rsidRPr="00AB068B">
        <w:rPr>
          <w:rFonts w:ascii="Arial" w:hAnsi="Arial" w:cs="Arial"/>
          <w:color w:val="000000" w:themeColor="text1"/>
          <w:sz w:val="22"/>
          <w:szCs w:val="22"/>
        </w:rPr>
        <w:t xml:space="preserve">increases in utilization </w:t>
      </w:r>
      <w:r w:rsidR="00327D1D">
        <w:rPr>
          <w:rFonts w:ascii="Arial" w:hAnsi="Arial" w:cs="Arial"/>
          <w:color w:val="000000" w:themeColor="text1"/>
          <w:sz w:val="22"/>
          <w:szCs w:val="22"/>
        </w:rPr>
        <w:t xml:space="preserve">and acuity </w:t>
      </w:r>
      <w:r w:rsidRPr="00AB068B">
        <w:rPr>
          <w:rFonts w:ascii="Arial" w:hAnsi="Arial" w:cs="Arial"/>
          <w:color w:val="000000" w:themeColor="text1"/>
          <w:sz w:val="22"/>
          <w:szCs w:val="22"/>
        </w:rPr>
        <w:t xml:space="preserve">across </w:t>
      </w:r>
      <w:r w:rsidRPr="0013718F">
        <w:rPr>
          <w:rFonts w:ascii="Arial" w:hAnsi="Arial" w:cs="Arial"/>
          <w:color w:val="000000" w:themeColor="text1"/>
          <w:sz w:val="22"/>
          <w:szCs w:val="22"/>
        </w:rPr>
        <w:t>its medical/surgical and ICU inpatient populations since FY1</w:t>
      </w:r>
      <w:r w:rsidRPr="00AB068B">
        <w:rPr>
          <w:rFonts w:ascii="Arial" w:hAnsi="Arial" w:cs="Arial"/>
          <w:color w:val="000000" w:themeColor="text1"/>
          <w:sz w:val="22"/>
          <w:szCs w:val="22"/>
        </w:rPr>
        <w:t>9</w:t>
      </w:r>
      <w:r>
        <w:rPr>
          <w:rFonts w:ascii="Arial" w:hAnsi="Arial" w:cs="Arial"/>
          <w:color w:val="000000" w:themeColor="text1"/>
          <w:sz w:val="22"/>
          <w:szCs w:val="22"/>
        </w:rPr>
        <w:t>.</w:t>
      </w:r>
      <w:r w:rsidRPr="00F8296A">
        <w:rPr>
          <w:rFonts w:ascii="Arial" w:hAnsi="Arial" w:cs="Arial"/>
          <w:color w:val="FF0000"/>
          <w:sz w:val="22"/>
          <w:szCs w:val="22"/>
        </w:rPr>
        <w:t xml:space="preserve"> </w:t>
      </w:r>
      <w:r w:rsidRPr="00846D85">
        <w:rPr>
          <w:rFonts w:ascii="Arial" w:hAnsi="Arial" w:cs="Arial"/>
          <w:color w:val="000000" w:themeColor="text1"/>
          <w:sz w:val="22"/>
          <w:szCs w:val="22"/>
        </w:rPr>
        <w:t xml:space="preserve">Specifically, as outlined in </w:t>
      </w:r>
      <w:r w:rsidR="00327D1D">
        <w:rPr>
          <w:rFonts w:ascii="Arial" w:hAnsi="Arial" w:cs="Arial"/>
          <w:color w:val="000000" w:themeColor="text1"/>
          <w:sz w:val="22"/>
          <w:szCs w:val="22"/>
        </w:rPr>
        <w:t>Table 11</w:t>
      </w:r>
      <w:r w:rsidRPr="00846D85">
        <w:rPr>
          <w:rFonts w:ascii="Arial" w:hAnsi="Arial" w:cs="Arial"/>
          <w:color w:val="000000" w:themeColor="text1"/>
          <w:sz w:val="22"/>
          <w:szCs w:val="22"/>
        </w:rPr>
        <w:t xml:space="preserve">, </w:t>
      </w:r>
      <w:r w:rsidR="00797C87">
        <w:rPr>
          <w:rFonts w:ascii="Arial" w:hAnsi="Arial" w:cs="Arial"/>
          <w:color w:val="000000" w:themeColor="text1"/>
          <w:sz w:val="22"/>
          <w:szCs w:val="22"/>
        </w:rPr>
        <w:t>from</w:t>
      </w:r>
      <w:r w:rsidR="00797C87" w:rsidRPr="00846D85">
        <w:rPr>
          <w:rFonts w:ascii="Arial" w:hAnsi="Arial" w:cs="Arial"/>
          <w:color w:val="000000" w:themeColor="text1"/>
          <w:sz w:val="22"/>
          <w:szCs w:val="22"/>
        </w:rPr>
        <w:t xml:space="preserve"> </w:t>
      </w:r>
      <w:r w:rsidRPr="00846D85">
        <w:rPr>
          <w:rFonts w:ascii="Arial" w:hAnsi="Arial" w:cs="Arial"/>
          <w:color w:val="000000" w:themeColor="text1"/>
          <w:sz w:val="22"/>
          <w:szCs w:val="22"/>
        </w:rPr>
        <w:t xml:space="preserve">FY19 </w:t>
      </w:r>
      <w:r w:rsidR="00797C87">
        <w:rPr>
          <w:rFonts w:ascii="Arial" w:hAnsi="Arial" w:cs="Arial"/>
          <w:color w:val="000000" w:themeColor="text1"/>
          <w:sz w:val="22"/>
          <w:szCs w:val="22"/>
        </w:rPr>
        <w:t>to</w:t>
      </w:r>
      <w:r w:rsidR="00797C87" w:rsidRPr="00846D85">
        <w:rPr>
          <w:rFonts w:ascii="Arial" w:hAnsi="Arial" w:cs="Arial"/>
          <w:color w:val="000000" w:themeColor="text1"/>
          <w:sz w:val="22"/>
          <w:szCs w:val="22"/>
        </w:rPr>
        <w:t xml:space="preserve"> </w:t>
      </w:r>
      <w:r w:rsidRPr="00846D85">
        <w:rPr>
          <w:rFonts w:ascii="Arial" w:hAnsi="Arial" w:cs="Arial"/>
          <w:color w:val="000000" w:themeColor="text1"/>
          <w:sz w:val="22"/>
          <w:szCs w:val="22"/>
        </w:rPr>
        <w:t xml:space="preserve">FY21, medical/surgical inpatient discharges </w:t>
      </w:r>
      <w:r w:rsidR="000A14BE" w:rsidRPr="00846D85">
        <w:rPr>
          <w:rFonts w:ascii="Arial" w:hAnsi="Arial" w:cs="Arial"/>
          <w:color w:val="000000" w:themeColor="text1"/>
          <w:sz w:val="22"/>
          <w:szCs w:val="22"/>
        </w:rPr>
        <w:t>rose 0.2%</w:t>
      </w:r>
      <w:r w:rsidRPr="00846D85">
        <w:rPr>
          <w:rFonts w:ascii="Arial" w:hAnsi="Arial" w:cs="Arial"/>
          <w:color w:val="000000" w:themeColor="text1"/>
          <w:sz w:val="22"/>
          <w:szCs w:val="22"/>
        </w:rPr>
        <w:t xml:space="preserve">, medical/surgical inpatient acuity levels rose </w:t>
      </w:r>
      <w:r w:rsidR="000A14BE" w:rsidRPr="00846D85">
        <w:rPr>
          <w:rFonts w:ascii="Arial" w:hAnsi="Arial" w:cs="Arial"/>
          <w:color w:val="000000" w:themeColor="text1"/>
          <w:sz w:val="22"/>
          <w:szCs w:val="22"/>
        </w:rPr>
        <w:t>4.8</w:t>
      </w:r>
      <w:r w:rsidRPr="00846D85">
        <w:rPr>
          <w:rFonts w:ascii="Arial" w:hAnsi="Arial" w:cs="Arial"/>
          <w:color w:val="000000" w:themeColor="text1"/>
          <w:sz w:val="22"/>
          <w:szCs w:val="22"/>
        </w:rPr>
        <w:t xml:space="preserve">% and, resultantly, the Hospital’s medical/surgical inpatient case mix index (“CMI”) increased </w:t>
      </w:r>
      <w:r w:rsidR="000A14BE" w:rsidRPr="00846D85">
        <w:rPr>
          <w:rFonts w:ascii="Arial" w:hAnsi="Arial" w:cs="Arial"/>
          <w:color w:val="000000" w:themeColor="text1"/>
          <w:sz w:val="22"/>
          <w:szCs w:val="22"/>
        </w:rPr>
        <w:t>5.1</w:t>
      </w:r>
      <w:r w:rsidRPr="00846D85">
        <w:rPr>
          <w:rFonts w:ascii="Arial" w:hAnsi="Arial" w:cs="Arial"/>
          <w:color w:val="000000" w:themeColor="text1"/>
          <w:sz w:val="22"/>
          <w:szCs w:val="22"/>
        </w:rPr>
        <w:t xml:space="preserve">%. </w:t>
      </w:r>
      <w:r w:rsidRPr="00113D3F">
        <w:rPr>
          <w:rFonts w:ascii="Arial" w:hAnsi="Arial" w:cs="Arial"/>
          <w:color w:val="000000" w:themeColor="text1"/>
          <w:sz w:val="22"/>
          <w:szCs w:val="22"/>
        </w:rPr>
        <w:t xml:space="preserve">Consistent with such increases, </w:t>
      </w:r>
      <w:r w:rsidR="00797C87" w:rsidRPr="00113D3F">
        <w:rPr>
          <w:rFonts w:ascii="Arial" w:hAnsi="Arial" w:cs="Arial"/>
          <w:color w:val="000000" w:themeColor="text1"/>
          <w:sz w:val="22"/>
          <w:szCs w:val="22"/>
        </w:rPr>
        <w:t xml:space="preserve">over </w:t>
      </w:r>
      <w:r w:rsidRPr="00113D3F">
        <w:rPr>
          <w:rFonts w:ascii="Arial" w:hAnsi="Arial" w:cs="Arial"/>
          <w:color w:val="000000" w:themeColor="text1"/>
          <w:sz w:val="22"/>
          <w:szCs w:val="22"/>
        </w:rPr>
        <w:t>this same period, average length of stay (“ALOS”)</w:t>
      </w:r>
      <w:r w:rsidR="00797C87" w:rsidRPr="00113D3F">
        <w:rPr>
          <w:rFonts w:ascii="Arial" w:hAnsi="Arial" w:cs="Arial"/>
          <w:color w:val="000000" w:themeColor="text1"/>
          <w:sz w:val="22"/>
          <w:szCs w:val="22"/>
        </w:rPr>
        <w:t xml:space="preserve"> and</w:t>
      </w:r>
      <w:r w:rsidRPr="00113D3F">
        <w:rPr>
          <w:rFonts w:ascii="Arial" w:hAnsi="Arial" w:cs="Arial"/>
          <w:color w:val="000000" w:themeColor="text1"/>
          <w:sz w:val="22"/>
          <w:szCs w:val="22"/>
        </w:rPr>
        <w:t xml:space="preserve"> </w:t>
      </w:r>
      <w:r w:rsidR="00797C87" w:rsidRPr="00113D3F">
        <w:rPr>
          <w:rFonts w:ascii="Arial" w:hAnsi="Arial" w:cs="Arial"/>
          <w:color w:val="000000" w:themeColor="text1"/>
          <w:sz w:val="22"/>
          <w:szCs w:val="22"/>
        </w:rPr>
        <w:t xml:space="preserve">patient </w:t>
      </w:r>
      <w:r w:rsidR="003858C2" w:rsidRPr="00113D3F">
        <w:rPr>
          <w:rFonts w:ascii="Arial" w:hAnsi="Arial" w:cs="Arial"/>
          <w:color w:val="000000" w:themeColor="text1"/>
          <w:sz w:val="22"/>
          <w:szCs w:val="22"/>
        </w:rPr>
        <w:t>days</w:t>
      </w:r>
      <w:r w:rsidR="00797C87" w:rsidRPr="00113D3F">
        <w:rPr>
          <w:rFonts w:ascii="Arial" w:hAnsi="Arial" w:cs="Arial"/>
          <w:color w:val="000000" w:themeColor="text1"/>
          <w:sz w:val="22"/>
          <w:szCs w:val="22"/>
        </w:rPr>
        <w:t xml:space="preserve"> increased</w:t>
      </w:r>
      <w:r w:rsidR="003F61A6" w:rsidRPr="00113D3F">
        <w:rPr>
          <w:rFonts w:ascii="Arial" w:hAnsi="Arial" w:cs="Arial"/>
          <w:color w:val="000000" w:themeColor="text1"/>
          <w:sz w:val="22"/>
          <w:szCs w:val="22"/>
        </w:rPr>
        <w:t>,</w:t>
      </w:r>
      <w:r w:rsidR="003858C2" w:rsidRPr="00113D3F">
        <w:rPr>
          <w:rFonts w:ascii="Arial" w:hAnsi="Arial" w:cs="Arial"/>
          <w:color w:val="000000" w:themeColor="text1"/>
          <w:sz w:val="22"/>
          <w:szCs w:val="22"/>
        </w:rPr>
        <w:t xml:space="preserve"> </w:t>
      </w:r>
      <w:r w:rsidRPr="00113D3F">
        <w:rPr>
          <w:rFonts w:ascii="Arial" w:hAnsi="Arial" w:cs="Arial"/>
          <w:color w:val="000000" w:themeColor="text1"/>
          <w:sz w:val="22"/>
          <w:szCs w:val="22"/>
        </w:rPr>
        <w:t xml:space="preserve">and bed occupancy rates </w:t>
      </w:r>
      <w:r w:rsidR="00797C87" w:rsidRPr="00140D01">
        <w:rPr>
          <w:rFonts w:ascii="Arial" w:hAnsi="Arial" w:cs="Arial"/>
          <w:color w:val="000000" w:themeColor="text1"/>
          <w:sz w:val="22"/>
          <w:szCs w:val="22"/>
        </w:rPr>
        <w:t>remained at 90%</w:t>
      </w:r>
      <w:r w:rsidR="002D119F" w:rsidRPr="00140D01">
        <w:rPr>
          <w:rFonts w:ascii="Arial" w:hAnsi="Arial" w:cs="Arial"/>
          <w:color w:val="000000" w:themeColor="text1"/>
          <w:sz w:val="22"/>
          <w:szCs w:val="22"/>
        </w:rPr>
        <w:t xml:space="preserve">, above the </w:t>
      </w:r>
      <w:r w:rsidR="005F4235">
        <w:rPr>
          <w:rFonts w:ascii="Arial" w:hAnsi="Arial" w:cs="Arial"/>
          <w:color w:val="000000" w:themeColor="text1"/>
          <w:sz w:val="22"/>
          <w:szCs w:val="22"/>
        </w:rPr>
        <w:t xml:space="preserve">industry standard </w:t>
      </w:r>
      <w:r w:rsidR="00140D01" w:rsidRPr="00140D01">
        <w:rPr>
          <w:rFonts w:ascii="Arial" w:hAnsi="Arial" w:cs="Arial"/>
          <w:color w:val="000000" w:themeColor="text1"/>
          <w:sz w:val="22"/>
          <w:szCs w:val="22"/>
        </w:rPr>
        <w:t xml:space="preserve">optimal occupancy rate of </w:t>
      </w:r>
      <w:r w:rsidR="005F4235">
        <w:rPr>
          <w:rFonts w:ascii="Arial" w:hAnsi="Arial" w:cs="Arial"/>
          <w:color w:val="000000" w:themeColor="text1"/>
          <w:sz w:val="22"/>
          <w:szCs w:val="22"/>
        </w:rPr>
        <w:t>approximately 80-</w:t>
      </w:r>
      <w:r w:rsidR="00140D01" w:rsidRPr="00140D01">
        <w:rPr>
          <w:rFonts w:ascii="Arial" w:hAnsi="Arial" w:cs="Arial"/>
          <w:color w:val="000000" w:themeColor="text1"/>
          <w:sz w:val="22"/>
          <w:szCs w:val="22"/>
        </w:rPr>
        <w:t>85%</w:t>
      </w:r>
      <w:r w:rsidRPr="00140D01">
        <w:rPr>
          <w:rFonts w:ascii="Arial" w:hAnsi="Arial" w:cs="Arial"/>
          <w:color w:val="000000" w:themeColor="text1"/>
          <w:sz w:val="22"/>
          <w:szCs w:val="22"/>
        </w:rPr>
        <w:t>.</w:t>
      </w:r>
      <w:r w:rsidR="00FB167B">
        <w:rPr>
          <w:rFonts w:ascii="ZWAdobeF" w:hAnsi="ZWAdobeF" w:cs="ZWAdobeF"/>
          <w:sz w:val="2"/>
          <w:szCs w:val="2"/>
        </w:rPr>
        <w:t>32F</w:t>
      </w:r>
      <w:r w:rsidR="00140D01">
        <w:rPr>
          <w:rStyle w:val="FootnoteReference"/>
          <w:rFonts w:ascii="Arial" w:hAnsi="Arial" w:cs="Arial"/>
          <w:color w:val="000000" w:themeColor="text1"/>
          <w:sz w:val="22"/>
          <w:szCs w:val="22"/>
        </w:rPr>
        <w:footnoteReference w:id="33"/>
      </w:r>
      <w:r w:rsidRPr="00140D01">
        <w:rPr>
          <w:rFonts w:ascii="Arial" w:hAnsi="Arial" w:cs="Arial"/>
          <w:color w:val="000000" w:themeColor="text1"/>
          <w:sz w:val="22"/>
          <w:szCs w:val="22"/>
        </w:rPr>
        <w:t xml:space="preserve"> Similar</w:t>
      </w:r>
      <w:r w:rsidRPr="00846D85">
        <w:rPr>
          <w:rFonts w:ascii="Arial" w:hAnsi="Arial" w:cs="Arial"/>
          <w:color w:val="000000" w:themeColor="text1"/>
          <w:sz w:val="22"/>
          <w:szCs w:val="22"/>
        </w:rPr>
        <w:t xml:space="preserve"> trends were also noted among the Hospital’s ICU inpatient population</w:t>
      </w:r>
      <w:r w:rsidR="005138F5">
        <w:rPr>
          <w:rFonts w:ascii="Arial" w:hAnsi="Arial" w:cs="Arial"/>
          <w:color w:val="000000" w:themeColor="text1"/>
          <w:sz w:val="22"/>
          <w:szCs w:val="22"/>
        </w:rPr>
        <w:t xml:space="preserve">; </w:t>
      </w:r>
      <w:r w:rsidR="005013F0" w:rsidRPr="00113D3F">
        <w:rPr>
          <w:rFonts w:ascii="Arial" w:hAnsi="Arial" w:cs="Arial"/>
          <w:color w:val="000000" w:themeColor="text1"/>
          <w:sz w:val="22"/>
          <w:szCs w:val="22"/>
        </w:rPr>
        <w:t xml:space="preserve">between FY19 and FY21, ICU discharges remained relatively consistent, acuity levels rose 6.2%, the ICU CMI increased 10.4%, ALOS increased 21.3%, and </w:t>
      </w:r>
      <w:r w:rsidR="005013F0" w:rsidRPr="00E54505">
        <w:rPr>
          <w:rFonts w:ascii="Arial" w:hAnsi="Arial" w:cs="Arial"/>
          <w:color w:val="000000" w:themeColor="text1"/>
          <w:sz w:val="22"/>
          <w:szCs w:val="22"/>
        </w:rPr>
        <w:t xml:space="preserve">ICU bed occupancy rates remained high </w:t>
      </w:r>
      <w:r w:rsidR="00E54505">
        <w:rPr>
          <w:rFonts w:ascii="Arial" w:hAnsi="Arial" w:cs="Arial"/>
          <w:color w:val="000000" w:themeColor="text1"/>
          <w:sz w:val="22"/>
          <w:szCs w:val="22"/>
        </w:rPr>
        <w:t>at</w:t>
      </w:r>
      <w:r w:rsidR="00E54505" w:rsidRPr="00E54505">
        <w:rPr>
          <w:rFonts w:ascii="Arial" w:hAnsi="Arial" w:cs="Arial"/>
          <w:color w:val="000000" w:themeColor="text1"/>
          <w:sz w:val="22"/>
          <w:szCs w:val="22"/>
        </w:rPr>
        <w:t xml:space="preserve"> </w:t>
      </w:r>
      <w:r w:rsidR="00892F9D">
        <w:rPr>
          <w:rFonts w:ascii="Arial" w:hAnsi="Arial" w:cs="Arial"/>
          <w:color w:val="000000" w:themeColor="text1"/>
          <w:sz w:val="22"/>
          <w:szCs w:val="22"/>
        </w:rPr>
        <w:t xml:space="preserve">approximately </w:t>
      </w:r>
      <w:r w:rsidR="005013F0" w:rsidRPr="00E54505">
        <w:rPr>
          <w:rFonts w:ascii="Arial" w:hAnsi="Arial" w:cs="Arial"/>
          <w:color w:val="000000" w:themeColor="text1"/>
          <w:sz w:val="22"/>
          <w:szCs w:val="22"/>
        </w:rPr>
        <w:t>8</w:t>
      </w:r>
      <w:r w:rsidR="00E54505">
        <w:rPr>
          <w:rFonts w:ascii="Arial" w:hAnsi="Arial" w:cs="Arial"/>
          <w:color w:val="000000" w:themeColor="text1"/>
          <w:sz w:val="22"/>
          <w:szCs w:val="22"/>
        </w:rPr>
        <w:t>3</w:t>
      </w:r>
      <w:r w:rsidR="005013F0" w:rsidRPr="00E54505">
        <w:rPr>
          <w:rFonts w:ascii="Arial" w:hAnsi="Arial" w:cs="Arial"/>
          <w:color w:val="000000" w:themeColor="text1"/>
          <w:sz w:val="22"/>
          <w:szCs w:val="22"/>
        </w:rPr>
        <w:t>%</w:t>
      </w:r>
      <w:r w:rsidR="00E54505">
        <w:rPr>
          <w:rFonts w:ascii="Arial" w:hAnsi="Arial" w:cs="Arial"/>
          <w:color w:val="000000" w:themeColor="text1"/>
          <w:sz w:val="22"/>
          <w:szCs w:val="22"/>
        </w:rPr>
        <w:t>, notably above the industry standard optimal ICU occupancy rate of 70-75%</w:t>
      </w:r>
      <w:r w:rsidR="00D864F2" w:rsidRPr="00E54505">
        <w:rPr>
          <w:rFonts w:ascii="Arial" w:hAnsi="Arial" w:cs="Arial"/>
          <w:color w:val="000000" w:themeColor="text1"/>
          <w:sz w:val="22"/>
          <w:szCs w:val="22"/>
        </w:rPr>
        <w:t>.</w:t>
      </w:r>
      <w:r w:rsidR="00FB167B">
        <w:rPr>
          <w:rFonts w:ascii="ZWAdobeF" w:hAnsi="ZWAdobeF" w:cs="ZWAdobeF"/>
          <w:sz w:val="2"/>
          <w:szCs w:val="2"/>
        </w:rPr>
        <w:t>33F</w:t>
      </w:r>
      <w:r w:rsidR="00E54505">
        <w:rPr>
          <w:rStyle w:val="FootnoteReference"/>
          <w:rFonts w:ascii="Arial" w:hAnsi="Arial" w:cs="Arial"/>
          <w:color w:val="000000" w:themeColor="text1"/>
          <w:sz w:val="22"/>
          <w:szCs w:val="22"/>
        </w:rPr>
        <w:footnoteReference w:id="34"/>
      </w:r>
      <w:r w:rsidR="00D864F2" w:rsidRPr="00E54505">
        <w:rPr>
          <w:rFonts w:ascii="Arial" w:hAnsi="Arial" w:cs="Arial"/>
          <w:color w:val="000000" w:themeColor="text1"/>
          <w:sz w:val="22"/>
          <w:szCs w:val="22"/>
        </w:rPr>
        <w:t xml:space="preserve"> </w:t>
      </w:r>
    </w:p>
    <w:p w14:paraId="284A9402" w14:textId="3C4AF2DD" w:rsidR="003F61A6" w:rsidRDefault="003F61A6" w:rsidP="00856859">
      <w:pPr>
        <w:pStyle w:val="NormalWeb"/>
        <w:spacing w:before="0" w:beforeAutospacing="0" w:after="0" w:afterAutospacing="0"/>
        <w:jc w:val="both"/>
        <w:rPr>
          <w:rFonts w:ascii="Arial" w:hAnsi="Arial" w:cs="Arial"/>
          <w:color w:val="000000" w:themeColor="text1"/>
          <w:sz w:val="22"/>
          <w:szCs w:val="22"/>
        </w:rPr>
      </w:pPr>
    </w:p>
    <w:p w14:paraId="2253E31A" w14:textId="34EC4B07" w:rsidR="00AE3FEA" w:rsidRDefault="00EF2090" w:rsidP="00856859">
      <w:pPr>
        <w:pStyle w:val="NormalWeb"/>
        <w:spacing w:before="0" w:beforeAutospacing="0" w:after="0" w:afterAutospacing="0"/>
        <w:jc w:val="both"/>
        <w:rPr>
          <w:rFonts w:ascii="Arial" w:hAnsi="Arial" w:cs="Arial"/>
          <w:color w:val="000000" w:themeColor="text1"/>
          <w:sz w:val="22"/>
          <w:szCs w:val="22"/>
        </w:rPr>
      </w:pPr>
      <w:r w:rsidRPr="00EF2090">
        <w:rPr>
          <w:rFonts w:ascii="Arial Narrow" w:hAnsi="Arial Narrow" w:cs="Arial"/>
          <w:b/>
          <w:bCs/>
          <w:sz w:val="22"/>
          <w:szCs w:val="22"/>
        </w:rPr>
        <w:t>Table 11: BMC Inpatient Bed Historical Utilization (COVID-19 and Non-COVID-19)</w:t>
      </w:r>
    </w:p>
    <w:tbl>
      <w:tblPr>
        <w:tblStyle w:val="TableGrid"/>
        <w:tblW w:w="0" w:type="auto"/>
        <w:jc w:val="center"/>
        <w:tblLook w:val="04A0" w:firstRow="1" w:lastRow="0" w:firstColumn="1" w:lastColumn="0" w:noHBand="0" w:noVBand="1"/>
      </w:tblPr>
      <w:tblGrid>
        <w:gridCol w:w="1425"/>
        <w:gridCol w:w="1201"/>
        <w:gridCol w:w="1202"/>
        <w:gridCol w:w="1202"/>
        <w:gridCol w:w="1201"/>
        <w:gridCol w:w="1202"/>
        <w:gridCol w:w="1202"/>
      </w:tblGrid>
      <w:tr w:rsidR="00F8296A" w14:paraId="6B11E25D" w14:textId="77777777" w:rsidTr="00EF2090">
        <w:trPr>
          <w:cantSplit/>
          <w:tblHeader/>
          <w:jc w:val="center"/>
        </w:trPr>
        <w:tc>
          <w:tcPr>
            <w:tcW w:w="1425" w:type="dxa"/>
            <w:tcBorders>
              <w:top w:val="single" w:sz="12" w:space="0" w:color="auto"/>
              <w:left w:val="single" w:sz="12" w:space="0" w:color="auto"/>
              <w:right w:val="single" w:sz="12" w:space="0" w:color="auto"/>
            </w:tcBorders>
            <w:shd w:val="clear" w:color="auto" w:fill="8DA9DB"/>
          </w:tcPr>
          <w:p w14:paraId="74D58CEC" w14:textId="77777777" w:rsidR="00F8296A" w:rsidRPr="00F80B42" w:rsidRDefault="00F8296A" w:rsidP="00963E14">
            <w:pPr>
              <w:pStyle w:val="NormalWeb"/>
              <w:spacing w:before="0" w:beforeAutospacing="0" w:after="0" w:afterAutospacing="0"/>
              <w:jc w:val="center"/>
              <w:rPr>
                <w:rFonts w:ascii="Arial Narrow" w:hAnsi="Arial Narrow" w:cs="Arial"/>
                <w:sz w:val="22"/>
                <w:szCs w:val="22"/>
              </w:rPr>
            </w:pPr>
          </w:p>
        </w:tc>
        <w:tc>
          <w:tcPr>
            <w:tcW w:w="3605" w:type="dxa"/>
            <w:gridSpan w:val="3"/>
            <w:tcBorders>
              <w:top w:val="single" w:sz="12" w:space="0" w:color="auto"/>
              <w:left w:val="single" w:sz="12" w:space="0" w:color="auto"/>
              <w:right w:val="single" w:sz="12" w:space="0" w:color="auto"/>
            </w:tcBorders>
            <w:shd w:val="clear" w:color="auto" w:fill="8DA9DB"/>
            <w:vAlign w:val="center"/>
          </w:tcPr>
          <w:p w14:paraId="3F8C2ED9" w14:textId="2EF7FB3D"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Medical/Surgical</w:t>
            </w:r>
            <w:r w:rsidR="00FB167B">
              <w:rPr>
                <w:rFonts w:ascii="ZWAdobeF" w:hAnsi="ZWAdobeF" w:cs="ZWAdobeF"/>
                <w:bCs/>
                <w:sz w:val="2"/>
                <w:szCs w:val="2"/>
              </w:rPr>
              <w:t>34F</w:t>
            </w:r>
            <w:r w:rsidR="00700417">
              <w:rPr>
                <w:rStyle w:val="FootnoteReference"/>
                <w:rFonts w:ascii="Arial Narrow" w:hAnsi="Arial Narrow" w:cs="Arial"/>
                <w:b/>
                <w:bCs/>
                <w:sz w:val="22"/>
                <w:szCs w:val="22"/>
              </w:rPr>
              <w:footnoteReference w:id="35"/>
            </w:r>
            <w:r w:rsidR="007C13EB" w:rsidRPr="007C13EB">
              <w:rPr>
                <w:rFonts w:ascii="Arial Narrow" w:hAnsi="Arial Narrow" w:cs="Arial"/>
                <w:b/>
                <w:bCs/>
                <w:sz w:val="22"/>
                <w:szCs w:val="22"/>
                <w:vertAlign w:val="superscript"/>
              </w:rPr>
              <w:t>,</w:t>
            </w:r>
            <w:r w:rsidR="00FB167B">
              <w:rPr>
                <w:rFonts w:ascii="ZWAdobeF" w:hAnsi="ZWAdobeF" w:cs="ZWAdobeF"/>
                <w:bCs/>
                <w:sz w:val="2"/>
                <w:szCs w:val="2"/>
              </w:rPr>
              <w:t>35F</w:t>
            </w:r>
            <w:r w:rsidR="007C13EB">
              <w:rPr>
                <w:rStyle w:val="FootnoteReference"/>
                <w:rFonts w:ascii="Arial Narrow" w:hAnsi="Arial Narrow" w:cs="Arial"/>
                <w:b/>
                <w:bCs/>
                <w:sz w:val="22"/>
                <w:szCs w:val="22"/>
              </w:rPr>
              <w:footnoteReference w:id="36"/>
            </w:r>
          </w:p>
        </w:tc>
        <w:tc>
          <w:tcPr>
            <w:tcW w:w="3605" w:type="dxa"/>
            <w:gridSpan w:val="3"/>
            <w:tcBorders>
              <w:top w:val="single" w:sz="12" w:space="0" w:color="auto"/>
              <w:left w:val="single" w:sz="12" w:space="0" w:color="auto"/>
              <w:right w:val="single" w:sz="12" w:space="0" w:color="auto"/>
            </w:tcBorders>
            <w:shd w:val="clear" w:color="auto" w:fill="8DA9DB"/>
            <w:vAlign w:val="center"/>
          </w:tcPr>
          <w:p w14:paraId="7FEE1112" w14:textId="6C4BD280"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ICU</w:t>
            </w:r>
            <w:r w:rsidR="00FB167B">
              <w:rPr>
                <w:rFonts w:ascii="ZWAdobeF" w:hAnsi="ZWAdobeF" w:cs="ZWAdobeF"/>
                <w:bCs/>
                <w:sz w:val="2"/>
                <w:szCs w:val="2"/>
              </w:rPr>
              <w:t>36F</w:t>
            </w:r>
            <w:r w:rsidR="00700417">
              <w:rPr>
                <w:rStyle w:val="FootnoteReference"/>
                <w:rFonts w:ascii="Arial Narrow" w:hAnsi="Arial Narrow" w:cs="Arial"/>
                <w:b/>
                <w:bCs/>
                <w:sz w:val="22"/>
                <w:szCs w:val="22"/>
              </w:rPr>
              <w:footnoteReference w:id="37"/>
            </w:r>
            <w:r w:rsidR="007C13EB" w:rsidRPr="007C13EB">
              <w:rPr>
                <w:rFonts w:ascii="Arial Narrow" w:hAnsi="Arial Narrow" w:cs="Arial"/>
                <w:b/>
                <w:bCs/>
                <w:sz w:val="22"/>
                <w:szCs w:val="22"/>
                <w:vertAlign w:val="superscript"/>
              </w:rPr>
              <w:t>,</w:t>
            </w:r>
            <w:r w:rsidR="00FB167B">
              <w:rPr>
                <w:rFonts w:ascii="ZWAdobeF" w:hAnsi="ZWAdobeF" w:cs="ZWAdobeF"/>
                <w:bCs/>
                <w:sz w:val="2"/>
                <w:szCs w:val="2"/>
              </w:rPr>
              <w:t>37F</w:t>
            </w:r>
            <w:r w:rsidR="007C13EB">
              <w:rPr>
                <w:rStyle w:val="FootnoteReference"/>
                <w:rFonts w:ascii="Arial Narrow" w:hAnsi="Arial Narrow" w:cs="Arial"/>
                <w:b/>
                <w:bCs/>
                <w:sz w:val="22"/>
                <w:szCs w:val="22"/>
              </w:rPr>
              <w:footnoteReference w:id="38"/>
            </w:r>
          </w:p>
        </w:tc>
      </w:tr>
      <w:tr w:rsidR="00F8296A" w14:paraId="0A064FD8" w14:textId="77777777" w:rsidTr="00EF2090">
        <w:trPr>
          <w:cantSplit/>
          <w:tblHeader/>
          <w:jc w:val="center"/>
        </w:trPr>
        <w:tc>
          <w:tcPr>
            <w:tcW w:w="1425" w:type="dxa"/>
            <w:tcBorders>
              <w:left w:val="single" w:sz="12" w:space="0" w:color="auto"/>
              <w:right w:val="single" w:sz="12" w:space="0" w:color="auto"/>
            </w:tcBorders>
            <w:shd w:val="clear" w:color="auto" w:fill="BFBFBF"/>
          </w:tcPr>
          <w:p w14:paraId="2825E952" w14:textId="77777777" w:rsidR="00F8296A" w:rsidRPr="00F80B42" w:rsidRDefault="00F8296A" w:rsidP="00963E14">
            <w:pPr>
              <w:pStyle w:val="NormalWeb"/>
              <w:spacing w:before="0" w:beforeAutospacing="0" w:after="0" w:afterAutospacing="0"/>
              <w:jc w:val="both"/>
              <w:rPr>
                <w:rFonts w:ascii="Arial Narrow" w:hAnsi="Arial Narrow" w:cs="Arial"/>
                <w:b/>
                <w:bCs/>
                <w:sz w:val="22"/>
                <w:szCs w:val="22"/>
              </w:rPr>
            </w:pPr>
          </w:p>
        </w:tc>
        <w:tc>
          <w:tcPr>
            <w:tcW w:w="1201" w:type="dxa"/>
            <w:tcBorders>
              <w:left w:val="single" w:sz="12" w:space="0" w:color="auto"/>
            </w:tcBorders>
            <w:shd w:val="clear" w:color="auto" w:fill="BFBFBF"/>
            <w:vAlign w:val="center"/>
          </w:tcPr>
          <w:p w14:paraId="5174B90B" w14:textId="614BE636"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202" w:type="dxa"/>
            <w:tcBorders>
              <w:right w:val="single" w:sz="4" w:space="0" w:color="auto"/>
            </w:tcBorders>
            <w:shd w:val="clear" w:color="auto" w:fill="BFBFBF"/>
            <w:vAlign w:val="center"/>
          </w:tcPr>
          <w:p w14:paraId="05EBB510" w14:textId="17B6FCB8"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202" w:type="dxa"/>
            <w:tcBorders>
              <w:left w:val="single" w:sz="4" w:space="0" w:color="auto"/>
              <w:right w:val="single" w:sz="12" w:space="0" w:color="auto"/>
            </w:tcBorders>
            <w:shd w:val="clear" w:color="auto" w:fill="BFBFBF"/>
            <w:vAlign w:val="center"/>
          </w:tcPr>
          <w:p w14:paraId="3E8DE707" w14:textId="2DFBC3C8"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c>
          <w:tcPr>
            <w:tcW w:w="1201" w:type="dxa"/>
            <w:tcBorders>
              <w:left w:val="single" w:sz="12" w:space="0" w:color="auto"/>
              <w:right w:val="single" w:sz="4" w:space="0" w:color="auto"/>
            </w:tcBorders>
            <w:shd w:val="clear" w:color="auto" w:fill="BFBFBF"/>
            <w:vAlign w:val="center"/>
          </w:tcPr>
          <w:p w14:paraId="64E4C491" w14:textId="492479D6"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202" w:type="dxa"/>
            <w:tcBorders>
              <w:left w:val="single" w:sz="4" w:space="0" w:color="auto"/>
            </w:tcBorders>
            <w:shd w:val="clear" w:color="auto" w:fill="BFBFBF"/>
            <w:vAlign w:val="center"/>
          </w:tcPr>
          <w:p w14:paraId="3755E464" w14:textId="49D548B4"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202" w:type="dxa"/>
            <w:tcBorders>
              <w:right w:val="single" w:sz="12" w:space="0" w:color="auto"/>
            </w:tcBorders>
            <w:shd w:val="clear" w:color="auto" w:fill="BFBFBF"/>
            <w:vAlign w:val="center"/>
          </w:tcPr>
          <w:p w14:paraId="75279183" w14:textId="07718423" w:rsidR="00F8296A" w:rsidRPr="00F80B42" w:rsidRDefault="00F8296A"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r>
      <w:tr w:rsidR="00F8296A" w14:paraId="2A5CBF6E" w14:textId="77777777" w:rsidTr="00EF2090">
        <w:trPr>
          <w:cantSplit/>
          <w:jc w:val="center"/>
        </w:trPr>
        <w:tc>
          <w:tcPr>
            <w:tcW w:w="1425" w:type="dxa"/>
            <w:tcBorders>
              <w:left w:val="single" w:sz="12" w:space="0" w:color="auto"/>
              <w:right w:val="single" w:sz="12" w:space="0" w:color="auto"/>
            </w:tcBorders>
            <w:vAlign w:val="center"/>
          </w:tcPr>
          <w:p w14:paraId="2F31D1AF" w14:textId="77777777" w:rsidR="00F8296A" w:rsidRDefault="00F8296A"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Discharges</w:t>
            </w:r>
          </w:p>
        </w:tc>
        <w:tc>
          <w:tcPr>
            <w:tcW w:w="1201" w:type="dxa"/>
            <w:tcBorders>
              <w:left w:val="single" w:sz="12" w:space="0" w:color="auto"/>
            </w:tcBorders>
            <w:shd w:val="clear" w:color="auto" w:fill="auto"/>
            <w:vAlign w:val="center"/>
          </w:tcPr>
          <w:p w14:paraId="2545F39A" w14:textId="7304D1CE"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13,662</w:t>
            </w:r>
          </w:p>
        </w:tc>
        <w:tc>
          <w:tcPr>
            <w:tcW w:w="1202" w:type="dxa"/>
            <w:tcBorders>
              <w:right w:val="single" w:sz="4" w:space="0" w:color="auto"/>
            </w:tcBorders>
            <w:shd w:val="clear" w:color="auto" w:fill="auto"/>
            <w:vAlign w:val="center"/>
          </w:tcPr>
          <w:p w14:paraId="079F2A4C" w14:textId="5764A9FC"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12,761</w:t>
            </w:r>
          </w:p>
        </w:tc>
        <w:tc>
          <w:tcPr>
            <w:tcW w:w="1202" w:type="dxa"/>
            <w:tcBorders>
              <w:left w:val="single" w:sz="4" w:space="0" w:color="auto"/>
              <w:right w:val="single" w:sz="12" w:space="0" w:color="auto"/>
            </w:tcBorders>
            <w:shd w:val="clear" w:color="auto" w:fill="auto"/>
            <w:vAlign w:val="center"/>
          </w:tcPr>
          <w:p w14:paraId="002666CD" w14:textId="2CD9DFBA"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13,683</w:t>
            </w:r>
          </w:p>
        </w:tc>
        <w:tc>
          <w:tcPr>
            <w:tcW w:w="1201" w:type="dxa"/>
            <w:tcBorders>
              <w:left w:val="single" w:sz="12" w:space="0" w:color="auto"/>
              <w:right w:val="single" w:sz="4" w:space="0" w:color="auto"/>
            </w:tcBorders>
            <w:shd w:val="clear" w:color="auto" w:fill="auto"/>
            <w:vAlign w:val="center"/>
          </w:tcPr>
          <w:p w14:paraId="5C427AFF" w14:textId="1F50FC03"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4,118</w:t>
            </w:r>
          </w:p>
        </w:tc>
        <w:tc>
          <w:tcPr>
            <w:tcW w:w="1202" w:type="dxa"/>
            <w:tcBorders>
              <w:left w:val="single" w:sz="4" w:space="0" w:color="auto"/>
            </w:tcBorders>
            <w:shd w:val="clear" w:color="auto" w:fill="auto"/>
            <w:vAlign w:val="center"/>
          </w:tcPr>
          <w:p w14:paraId="7D756F23" w14:textId="2E53641A"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3,757</w:t>
            </w:r>
          </w:p>
        </w:tc>
        <w:tc>
          <w:tcPr>
            <w:tcW w:w="1202" w:type="dxa"/>
            <w:tcBorders>
              <w:right w:val="single" w:sz="12" w:space="0" w:color="auto"/>
            </w:tcBorders>
            <w:shd w:val="clear" w:color="auto" w:fill="auto"/>
            <w:vAlign w:val="center"/>
          </w:tcPr>
          <w:p w14:paraId="1D358C86" w14:textId="65C613F1"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3,959</w:t>
            </w:r>
          </w:p>
        </w:tc>
      </w:tr>
      <w:tr w:rsidR="00F8296A" w14:paraId="4ACE7FFD" w14:textId="77777777" w:rsidTr="00EF2090">
        <w:trPr>
          <w:cantSplit/>
          <w:jc w:val="center"/>
        </w:trPr>
        <w:tc>
          <w:tcPr>
            <w:tcW w:w="1425" w:type="dxa"/>
            <w:tcBorders>
              <w:left w:val="single" w:sz="12" w:space="0" w:color="auto"/>
              <w:right w:val="single" w:sz="12" w:space="0" w:color="auto"/>
            </w:tcBorders>
            <w:vAlign w:val="center"/>
          </w:tcPr>
          <w:p w14:paraId="4328B521" w14:textId="77777777" w:rsidR="00F8296A" w:rsidRDefault="00F8296A"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 xml:space="preserve">Case Weight </w:t>
            </w:r>
          </w:p>
        </w:tc>
        <w:tc>
          <w:tcPr>
            <w:tcW w:w="1201" w:type="dxa"/>
            <w:tcBorders>
              <w:left w:val="single" w:sz="12" w:space="0" w:color="auto"/>
            </w:tcBorders>
            <w:shd w:val="clear" w:color="auto" w:fill="auto"/>
            <w:vAlign w:val="center"/>
          </w:tcPr>
          <w:p w14:paraId="0BB9887C" w14:textId="1395B555"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21,647</w:t>
            </w:r>
          </w:p>
        </w:tc>
        <w:tc>
          <w:tcPr>
            <w:tcW w:w="1202" w:type="dxa"/>
            <w:tcBorders>
              <w:right w:val="single" w:sz="4" w:space="0" w:color="auto"/>
            </w:tcBorders>
            <w:shd w:val="clear" w:color="auto" w:fill="auto"/>
            <w:vAlign w:val="center"/>
          </w:tcPr>
          <w:p w14:paraId="67B5BA30" w14:textId="2BDA4BE9"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20,350</w:t>
            </w:r>
          </w:p>
        </w:tc>
        <w:tc>
          <w:tcPr>
            <w:tcW w:w="1202" w:type="dxa"/>
            <w:tcBorders>
              <w:left w:val="single" w:sz="4" w:space="0" w:color="auto"/>
              <w:right w:val="single" w:sz="12" w:space="0" w:color="auto"/>
            </w:tcBorders>
            <w:shd w:val="clear" w:color="auto" w:fill="auto"/>
            <w:vAlign w:val="center"/>
          </w:tcPr>
          <w:p w14:paraId="41B4A5AB" w14:textId="1BBD46B9"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22,695</w:t>
            </w:r>
          </w:p>
        </w:tc>
        <w:tc>
          <w:tcPr>
            <w:tcW w:w="1201" w:type="dxa"/>
            <w:tcBorders>
              <w:left w:val="single" w:sz="12" w:space="0" w:color="auto"/>
              <w:right w:val="single" w:sz="4" w:space="0" w:color="auto"/>
            </w:tcBorders>
            <w:shd w:val="clear" w:color="auto" w:fill="auto"/>
            <w:vAlign w:val="center"/>
          </w:tcPr>
          <w:p w14:paraId="4A446FFB" w14:textId="6585A8E4"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12,278</w:t>
            </w:r>
          </w:p>
        </w:tc>
        <w:tc>
          <w:tcPr>
            <w:tcW w:w="1202" w:type="dxa"/>
            <w:tcBorders>
              <w:left w:val="single" w:sz="4" w:space="0" w:color="auto"/>
            </w:tcBorders>
            <w:shd w:val="clear" w:color="auto" w:fill="auto"/>
            <w:vAlign w:val="center"/>
          </w:tcPr>
          <w:p w14:paraId="3E88C860" w14:textId="5EF4B5FB"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11,853</w:t>
            </w:r>
          </w:p>
        </w:tc>
        <w:tc>
          <w:tcPr>
            <w:tcW w:w="1202" w:type="dxa"/>
            <w:tcBorders>
              <w:right w:val="single" w:sz="12" w:space="0" w:color="auto"/>
            </w:tcBorders>
            <w:shd w:val="clear" w:color="auto" w:fill="auto"/>
            <w:vAlign w:val="center"/>
          </w:tcPr>
          <w:p w14:paraId="207BDCB3" w14:textId="5D1313D1"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13,040</w:t>
            </w:r>
          </w:p>
        </w:tc>
      </w:tr>
      <w:tr w:rsidR="00F8296A" w14:paraId="08AF4D97" w14:textId="77777777" w:rsidTr="00EF2090">
        <w:trPr>
          <w:cantSplit/>
          <w:jc w:val="center"/>
        </w:trPr>
        <w:tc>
          <w:tcPr>
            <w:tcW w:w="1425" w:type="dxa"/>
            <w:tcBorders>
              <w:left w:val="single" w:sz="12" w:space="0" w:color="auto"/>
              <w:right w:val="single" w:sz="12" w:space="0" w:color="auto"/>
            </w:tcBorders>
            <w:vAlign w:val="center"/>
          </w:tcPr>
          <w:p w14:paraId="6F10F941" w14:textId="77777777" w:rsidR="00F8296A" w:rsidRDefault="00F8296A"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CMI</w:t>
            </w:r>
          </w:p>
        </w:tc>
        <w:tc>
          <w:tcPr>
            <w:tcW w:w="1201" w:type="dxa"/>
            <w:tcBorders>
              <w:left w:val="single" w:sz="12" w:space="0" w:color="auto"/>
            </w:tcBorders>
            <w:shd w:val="clear" w:color="auto" w:fill="auto"/>
            <w:vAlign w:val="center"/>
          </w:tcPr>
          <w:p w14:paraId="7937257A" w14:textId="3DFFBC0C"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1.58</w:t>
            </w:r>
          </w:p>
        </w:tc>
        <w:tc>
          <w:tcPr>
            <w:tcW w:w="1202" w:type="dxa"/>
            <w:tcBorders>
              <w:right w:val="single" w:sz="4" w:space="0" w:color="auto"/>
            </w:tcBorders>
            <w:shd w:val="clear" w:color="auto" w:fill="auto"/>
            <w:vAlign w:val="center"/>
          </w:tcPr>
          <w:p w14:paraId="53A5A4B1" w14:textId="6092CADD"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1.59</w:t>
            </w:r>
          </w:p>
        </w:tc>
        <w:tc>
          <w:tcPr>
            <w:tcW w:w="1202" w:type="dxa"/>
            <w:tcBorders>
              <w:left w:val="single" w:sz="4" w:space="0" w:color="auto"/>
              <w:right w:val="single" w:sz="12" w:space="0" w:color="auto"/>
            </w:tcBorders>
            <w:shd w:val="clear" w:color="auto" w:fill="auto"/>
            <w:vAlign w:val="center"/>
          </w:tcPr>
          <w:p w14:paraId="14ABFF62" w14:textId="4A480D10"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1.66</w:t>
            </w:r>
          </w:p>
        </w:tc>
        <w:tc>
          <w:tcPr>
            <w:tcW w:w="1201" w:type="dxa"/>
            <w:tcBorders>
              <w:left w:val="single" w:sz="12" w:space="0" w:color="auto"/>
              <w:right w:val="single" w:sz="4" w:space="0" w:color="auto"/>
            </w:tcBorders>
            <w:shd w:val="clear" w:color="auto" w:fill="auto"/>
            <w:vAlign w:val="center"/>
          </w:tcPr>
          <w:p w14:paraId="2571075A" w14:textId="1DF25A10"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2.98</w:t>
            </w:r>
          </w:p>
        </w:tc>
        <w:tc>
          <w:tcPr>
            <w:tcW w:w="1202" w:type="dxa"/>
            <w:tcBorders>
              <w:left w:val="single" w:sz="4" w:space="0" w:color="auto"/>
            </w:tcBorders>
            <w:shd w:val="clear" w:color="auto" w:fill="auto"/>
            <w:vAlign w:val="center"/>
          </w:tcPr>
          <w:p w14:paraId="7C33DCBC" w14:textId="33E8A91B"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3.15</w:t>
            </w:r>
          </w:p>
        </w:tc>
        <w:tc>
          <w:tcPr>
            <w:tcW w:w="1202" w:type="dxa"/>
            <w:tcBorders>
              <w:right w:val="single" w:sz="12" w:space="0" w:color="auto"/>
            </w:tcBorders>
            <w:shd w:val="clear" w:color="auto" w:fill="auto"/>
            <w:vAlign w:val="center"/>
          </w:tcPr>
          <w:p w14:paraId="6CA81EB7" w14:textId="13DEA65F" w:rsidR="00F8296A" w:rsidRPr="00F80B42" w:rsidRDefault="00C44F4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3.29</w:t>
            </w:r>
          </w:p>
        </w:tc>
      </w:tr>
      <w:tr w:rsidR="00F8296A" w14:paraId="53ED1552" w14:textId="77777777" w:rsidTr="00EF2090">
        <w:trPr>
          <w:cantSplit/>
          <w:jc w:val="center"/>
        </w:trPr>
        <w:tc>
          <w:tcPr>
            <w:tcW w:w="1425" w:type="dxa"/>
            <w:tcBorders>
              <w:left w:val="single" w:sz="12" w:space="0" w:color="auto"/>
              <w:bottom w:val="single" w:sz="4" w:space="0" w:color="auto"/>
              <w:right w:val="single" w:sz="12" w:space="0" w:color="auto"/>
            </w:tcBorders>
            <w:vAlign w:val="center"/>
          </w:tcPr>
          <w:p w14:paraId="1E941178" w14:textId="77777777" w:rsidR="00F8296A" w:rsidRPr="00871AB0" w:rsidRDefault="00F8296A" w:rsidP="00963E14">
            <w:pPr>
              <w:pStyle w:val="NormalWeb"/>
              <w:spacing w:before="0" w:beforeAutospacing="0" w:after="0" w:afterAutospacing="0"/>
              <w:rPr>
                <w:rFonts w:ascii="Arial Narrow" w:hAnsi="Arial Narrow" w:cs="Arial"/>
                <w:b/>
                <w:bCs/>
                <w:sz w:val="22"/>
                <w:szCs w:val="22"/>
              </w:rPr>
            </w:pPr>
            <w:r w:rsidRPr="00871AB0">
              <w:rPr>
                <w:rFonts w:ascii="Arial Narrow" w:hAnsi="Arial Narrow" w:cs="Arial"/>
                <w:b/>
                <w:bCs/>
                <w:sz w:val="22"/>
                <w:szCs w:val="22"/>
              </w:rPr>
              <w:t>ALOS</w:t>
            </w:r>
          </w:p>
        </w:tc>
        <w:tc>
          <w:tcPr>
            <w:tcW w:w="1201" w:type="dxa"/>
            <w:tcBorders>
              <w:left w:val="single" w:sz="12" w:space="0" w:color="auto"/>
              <w:bottom w:val="single" w:sz="4" w:space="0" w:color="auto"/>
            </w:tcBorders>
            <w:shd w:val="clear" w:color="auto" w:fill="auto"/>
            <w:vAlign w:val="center"/>
          </w:tcPr>
          <w:p w14:paraId="316EE390" w14:textId="275CB219"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4.70</w:t>
            </w:r>
          </w:p>
        </w:tc>
        <w:tc>
          <w:tcPr>
            <w:tcW w:w="1202" w:type="dxa"/>
            <w:tcBorders>
              <w:bottom w:val="single" w:sz="4" w:space="0" w:color="auto"/>
              <w:right w:val="single" w:sz="4" w:space="0" w:color="auto"/>
            </w:tcBorders>
            <w:shd w:val="clear" w:color="auto" w:fill="auto"/>
            <w:vAlign w:val="center"/>
          </w:tcPr>
          <w:p w14:paraId="061CE348" w14:textId="5397601C"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4.94</w:t>
            </w:r>
          </w:p>
        </w:tc>
        <w:tc>
          <w:tcPr>
            <w:tcW w:w="1202" w:type="dxa"/>
            <w:tcBorders>
              <w:left w:val="single" w:sz="4" w:space="0" w:color="auto"/>
              <w:bottom w:val="single" w:sz="4" w:space="0" w:color="auto"/>
              <w:right w:val="single" w:sz="12" w:space="0" w:color="auto"/>
            </w:tcBorders>
            <w:shd w:val="clear" w:color="auto" w:fill="auto"/>
            <w:vAlign w:val="center"/>
          </w:tcPr>
          <w:p w14:paraId="1D47FE13" w14:textId="778D41EA"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5.15</w:t>
            </w:r>
          </w:p>
        </w:tc>
        <w:tc>
          <w:tcPr>
            <w:tcW w:w="1201" w:type="dxa"/>
            <w:tcBorders>
              <w:left w:val="single" w:sz="12" w:space="0" w:color="auto"/>
              <w:bottom w:val="single" w:sz="4" w:space="0" w:color="auto"/>
              <w:right w:val="single" w:sz="4" w:space="0" w:color="auto"/>
            </w:tcBorders>
            <w:shd w:val="clear" w:color="auto" w:fill="auto"/>
            <w:vAlign w:val="center"/>
          </w:tcPr>
          <w:p w14:paraId="6DEAEC3A" w14:textId="2806CC61"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10.11</w:t>
            </w:r>
          </w:p>
        </w:tc>
        <w:tc>
          <w:tcPr>
            <w:tcW w:w="1202" w:type="dxa"/>
            <w:tcBorders>
              <w:left w:val="single" w:sz="4" w:space="0" w:color="auto"/>
              <w:bottom w:val="single" w:sz="4" w:space="0" w:color="auto"/>
            </w:tcBorders>
            <w:shd w:val="clear" w:color="auto" w:fill="auto"/>
            <w:vAlign w:val="center"/>
          </w:tcPr>
          <w:p w14:paraId="6875584A" w14:textId="1FF06871"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11.31</w:t>
            </w:r>
          </w:p>
        </w:tc>
        <w:tc>
          <w:tcPr>
            <w:tcW w:w="1202" w:type="dxa"/>
            <w:tcBorders>
              <w:bottom w:val="single" w:sz="4" w:space="0" w:color="auto"/>
              <w:right w:val="single" w:sz="12" w:space="0" w:color="auto"/>
            </w:tcBorders>
            <w:shd w:val="clear" w:color="auto" w:fill="auto"/>
            <w:vAlign w:val="center"/>
          </w:tcPr>
          <w:p w14:paraId="78C90C62" w14:textId="1C6F5BE7" w:rsidR="00F8296A" w:rsidRPr="00871AB0" w:rsidRDefault="00C44F49" w:rsidP="00963E14">
            <w:pPr>
              <w:pStyle w:val="NormalWeb"/>
              <w:spacing w:before="0" w:beforeAutospacing="0" w:after="0" w:afterAutospacing="0"/>
              <w:jc w:val="center"/>
              <w:rPr>
                <w:rFonts w:ascii="Arial Narrow" w:hAnsi="Arial Narrow" w:cs="Arial"/>
                <w:sz w:val="22"/>
                <w:szCs w:val="22"/>
              </w:rPr>
            </w:pPr>
            <w:r w:rsidRPr="00871AB0">
              <w:rPr>
                <w:rFonts w:ascii="Arial Narrow" w:hAnsi="Arial Narrow" w:cs="Arial"/>
                <w:sz w:val="22"/>
                <w:szCs w:val="22"/>
              </w:rPr>
              <w:t>12.26</w:t>
            </w:r>
          </w:p>
        </w:tc>
      </w:tr>
      <w:tr w:rsidR="00871AB0" w14:paraId="70EE1AE3" w14:textId="77777777" w:rsidTr="00EF2090">
        <w:trPr>
          <w:cantSplit/>
          <w:jc w:val="center"/>
        </w:trPr>
        <w:tc>
          <w:tcPr>
            <w:tcW w:w="1425" w:type="dxa"/>
            <w:tcBorders>
              <w:left w:val="single" w:sz="12" w:space="0" w:color="auto"/>
              <w:bottom w:val="single" w:sz="12" w:space="0" w:color="auto"/>
              <w:right w:val="single" w:sz="12" w:space="0" w:color="auto"/>
            </w:tcBorders>
            <w:vAlign w:val="center"/>
          </w:tcPr>
          <w:p w14:paraId="4957BF3C" w14:textId="77777777" w:rsidR="00871AB0" w:rsidRPr="00871AB0" w:rsidRDefault="00871AB0" w:rsidP="00871AB0">
            <w:pPr>
              <w:pStyle w:val="NormalWeb"/>
              <w:spacing w:before="0" w:beforeAutospacing="0" w:after="0" w:afterAutospacing="0"/>
              <w:rPr>
                <w:rFonts w:ascii="Arial Narrow" w:hAnsi="Arial Narrow" w:cs="Arial"/>
                <w:b/>
                <w:bCs/>
                <w:sz w:val="22"/>
                <w:szCs w:val="22"/>
              </w:rPr>
            </w:pPr>
            <w:r w:rsidRPr="00871AB0">
              <w:rPr>
                <w:rFonts w:ascii="Arial Narrow" w:hAnsi="Arial Narrow" w:cs="Arial"/>
                <w:b/>
                <w:bCs/>
                <w:sz w:val="22"/>
                <w:szCs w:val="22"/>
              </w:rPr>
              <w:t>Occupancy</w:t>
            </w:r>
          </w:p>
        </w:tc>
        <w:tc>
          <w:tcPr>
            <w:tcW w:w="1201" w:type="dxa"/>
            <w:tcBorders>
              <w:left w:val="single" w:sz="12" w:space="0" w:color="auto"/>
              <w:bottom w:val="single" w:sz="12" w:space="0" w:color="auto"/>
            </w:tcBorders>
            <w:shd w:val="clear" w:color="auto" w:fill="auto"/>
            <w:vAlign w:val="center"/>
          </w:tcPr>
          <w:p w14:paraId="46502F79" w14:textId="302FE70E" w:rsidR="00871AB0" w:rsidRPr="00113D3F" w:rsidRDefault="00871AB0" w:rsidP="00871AB0">
            <w:pPr>
              <w:pStyle w:val="NormalWeb"/>
              <w:spacing w:before="0" w:beforeAutospacing="0" w:after="0" w:afterAutospacing="0"/>
              <w:jc w:val="center"/>
              <w:rPr>
                <w:rFonts w:ascii="Arial Narrow" w:hAnsi="Arial Narrow" w:cs="Arial"/>
                <w:sz w:val="22"/>
                <w:szCs w:val="22"/>
              </w:rPr>
            </w:pPr>
            <w:r w:rsidRPr="00113D3F">
              <w:rPr>
                <w:rFonts w:ascii="Arial Narrow" w:hAnsi="Arial Narrow" w:cs="Arial"/>
                <w:sz w:val="22"/>
                <w:szCs w:val="22"/>
              </w:rPr>
              <w:t>90%</w:t>
            </w:r>
          </w:p>
        </w:tc>
        <w:tc>
          <w:tcPr>
            <w:tcW w:w="1202" w:type="dxa"/>
            <w:tcBorders>
              <w:bottom w:val="single" w:sz="12" w:space="0" w:color="auto"/>
              <w:right w:val="single" w:sz="4" w:space="0" w:color="auto"/>
            </w:tcBorders>
            <w:shd w:val="clear" w:color="auto" w:fill="auto"/>
            <w:vAlign w:val="center"/>
          </w:tcPr>
          <w:p w14:paraId="0D3A0429" w14:textId="06F87CB1" w:rsidR="00871AB0" w:rsidRPr="00113D3F" w:rsidRDefault="00871AB0" w:rsidP="00871AB0">
            <w:pPr>
              <w:pStyle w:val="NormalWeb"/>
              <w:spacing w:before="0" w:beforeAutospacing="0" w:after="0" w:afterAutospacing="0"/>
              <w:jc w:val="center"/>
              <w:rPr>
                <w:rFonts w:ascii="Arial Narrow" w:hAnsi="Arial Narrow" w:cs="Arial"/>
                <w:sz w:val="22"/>
                <w:szCs w:val="22"/>
              </w:rPr>
            </w:pPr>
            <w:r w:rsidRPr="00113D3F">
              <w:rPr>
                <w:rFonts w:ascii="Arial Narrow" w:hAnsi="Arial Narrow" w:cs="Arial"/>
                <w:sz w:val="22"/>
                <w:szCs w:val="22"/>
              </w:rPr>
              <w:t>83%</w:t>
            </w:r>
          </w:p>
        </w:tc>
        <w:tc>
          <w:tcPr>
            <w:tcW w:w="1202" w:type="dxa"/>
            <w:tcBorders>
              <w:left w:val="single" w:sz="4" w:space="0" w:color="auto"/>
              <w:bottom w:val="single" w:sz="12" w:space="0" w:color="auto"/>
              <w:right w:val="single" w:sz="12" w:space="0" w:color="auto"/>
            </w:tcBorders>
            <w:shd w:val="clear" w:color="auto" w:fill="auto"/>
            <w:vAlign w:val="center"/>
          </w:tcPr>
          <w:p w14:paraId="05BE4C26" w14:textId="63176308" w:rsidR="00871AB0" w:rsidRPr="00E54505" w:rsidRDefault="00871AB0" w:rsidP="00871AB0">
            <w:pPr>
              <w:pStyle w:val="NormalWeb"/>
              <w:spacing w:before="0" w:beforeAutospacing="0" w:after="0" w:afterAutospacing="0"/>
              <w:jc w:val="center"/>
              <w:rPr>
                <w:rFonts w:ascii="Arial Narrow" w:hAnsi="Arial Narrow" w:cs="Arial"/>
                <w:color w:val="000000" w:themeColor="text1"/>
                <w:sz w:val="22"/>
                <w:szCs w:val="22"/>
              </w:rPr>
            </w:pPr>
            <w:r w:rsidRPr="00871AB0">
              <w:rPr>
                <w:rFonts w:ascii="Arial Narrow" w:hAnsi="Arial Narrow" w:cs="Arial"/>
                <w:sz w:val="22"/>
                <w:szCs w:val="22"/>
              </w:rPr>
              <w:t>9</w:t>
            </w:r>
            <w:r w:rsidR="003858C2">
              <w:rPr>
                <w:rFonts w:ascii="Arial Narrow" w:hAnsi="Arial Narrow" w:cs="Arial"/>
                <w:sz w:val="22"/>
                <w:szCs w:val="22"/>
              </w:rPr>
              <w:t>0</w:t>
            </w:r>
            <w:r w:rsidRPr="00871AB0">
              <w:rPr>
                <w:rFonts w:ascii="Arial Narrow" w:hAnsi="Arial Narrow" w:cs="Arial"/>
                <w:sz w:val="22"/>
                <w:szCs w:val="22"/>
              </w:rPr>
              <w:t>%</w:t>
            </w:r>
          </w:p>
        </w:tc>
        <w:tc>
          <w:tcPr>
            <w:tcW w:w="1201" w:type="dxa"/>
            <w:tcBorders>
              <w:left w:val="single" w:sz="12" w:space="0" w:color="auto"/>
              <w:bottom w:val="single" w:sz="12" w:space="0" w:color="auto"/>
              <w:right w:val="single" w:sz="4" w:space="0" w:color="auto"/>
            </w:tcBorders>
            <w:shd w:val="clear" w:color="auto" w:fill="auto"/>
            <w:vAlign w:val="center"/>
          </w:tcPr>
          <w:p w14:paraId="707C0A92" w14:textId="08671813" w:rsidR="00871AB0" w:rsidRPr="00E54505" w:rsidRDefault="00871AB0" w:rsidP="00871AB0">
            <w:pPr>
              <w:pStyle w:val="NormalWeb"/>
              <w:spacing w:before="0" w:beforeAutospacing="0" w:after="0" w:afterAutospacing="0"/>
              <w:jc w:val="center"/>
              <w:rPr>
                <w:rFonts w:ascii="Arial Narrow" w:hAnsi="Arial Narrow" w:cs="Arial"/>
                <w:color w:val="000000" w:themeColor="text1"/>
                <w:sz w:val="22"/>
                <w:szCs w:val="22"/>
              </w:rPr>
            </w:pPr>
            <w:r w:rsidRPr="00E54505">
              <w:rPr>
                <w:rFonts w:ascii="Arial Narrow" w:hAnsi="Arial Narrow" w:cs="Arial"/>
                <w:color w:val="000000" w:themeColor="text1"/>
                <w:sz w:val="22"/>
                <w:szCs w:val="22"/>
              </w:rPr>
              <w:t>8</w:t>
            </w:r>
            <w:r w:rsidR="00E54505">
              <w:rPr>
                <w:rFonts w:ascii="Arial Narrow" w:hAnsi="Arial Narrow" w:cs="Arial"/>
                <w:color w:val="000000" w:themeColor="text1"/>
                <w:sz w:val="22"/>
                <w:szCs w:val="22"/>
              </w:rPr>
              <w:t>3</w:t>
            </w:r>
            <w:r w:rsidRPr="00E54505">
              <w:rPr>
                <w:rFonts w:ascii="Arial Narrow" w:hAnsi="Arial Narrow" w:cs="Arial"/>
                <w:color w:val="000000" w:themeColor="text1"/>
                <w:sz w:val="22"/>
                <w:szCs w:val="22"/>
              </w:rPr>
              <w:t>%</w:t>
            </w:r>
          </w:p>
        </w:tc>
        <w:tc>
          <w:tcPr>
            <w:tcW w:w="1202" w:type="dxa"/>
            <w:tcBorders>
              <w:left w:val="single" w:sz="4" w:space="0" w:color="auto"/>
              <w:bottom w:val="single" w:sz="12" w:space="0" w:color="auto"/>
            </w:tcBorders>
            <w:shd w:val="clear" w:color="auto" w:fill="auto"/>
            <w:vAlign w:val="center"/>
          </w:tcPr>
          <w:p w14:paraId="61AE68CA" w14:textId="56A9D619" w:rsidR="00871AB0" w:rsidRPr="00E54505" w:rsidRDefault="00871AB0" w:rsidP="00871AB0">
            <w:pPr>
              <w:pStyle w:val="NormalWeb"/>
              <w:spacing w:before="0" w:beforeAutospacing="0" w:after="0" w:afterAutospacing="0"/>
              <w:jc w:val="center"/>
              <w:rPr>
                <w:rFonts w:ascii="Arial Narrow" w:hAnsi="Arial Narrow" w:cs="Arial"/>
                <w:color w:val="000000" w:themeColor="text1"/>
                <w:sz w:val="22"/>
                <w:szCs w:val="22"/>
              </w:rPr>
            </w:pPr>
            <w:r w:rsidRPr="00E54505">
              <w:rPr>
                <w:rFonts w:ascii="Arial Narrow" w:hAnsi="Arial Narrow" w:cs="Arial"/>
                <w:color w:val="000000" w:themeColor="text1"/>
                <w:sz w:val="22"/>
                <w:szCs w:val="22"/>
              </w:rPr>
              <w:t>69%</w:t>
            </w:r>
          </w:p>
        </w:tc>
        <w:tc>
          <w:tcPr>
            <w:tcW w:w="1202" w:type="dxa"/>
            <w:tcBorders>
              <w:bottom w:val="single" w:sz="12" w:space="0" w:color="auto"/>
              <w:right w:val="single" w:sz="12" w:space="0" w:color="auto"/>
            </w:tcBorders>
            <w:shd w:val="clear" w:color="auto" w:fill="auto"/>
            <w:vAlign w:val="center"/>
          </w:tcPr>
          <w:p w14:paraId="7AF700FE" w14:textId="37B60D71" w:rsidR="00871AB0" w:rsidRPr="00E54505" w:rsidRDefault="00871AB0" w:rsidP="00871AB0">
            <w:pPr>
              <w:pStyle w:val="NormalWeb"/>
              <w:spacing w:before="0" w:beforeAutospacing="0" w:after="0" w:afterAutospacing="0"/>
              <w:jc w:val="center"/>
              <w:rPr>
                <w:rFonts w:ascii="Arial Narrow" w:hAnsi="Arial Narrow" w:cs="Arial"/>
                <w:color w:val="000000" w:themeColor="text1"/>
                <w:sz w:val="22"/>
                <w:szCs w:val="22"/>
              </w:rPr>
            </w:pPr>
            <w:r w:rsidRPr="00E54505">
              <w:rPr>
                <w:rFonts w:ascii="Arial Narrow" w:hAnsi="Arial Narrow" w:cs="Arial"/>
                <w:color w:val="000000" w:themeColor="text1"/>
                <w:sz w:val="22"/>
                <w:szCs w:val="22"/>
              </w:rPr>
              <w:t>8</w:t>
            </w:r>
            <w:r w:rsidR="00892F9D">
              <w:rPr>
                <w:rFonts w:ascii="Arial Narrow" w:hAnsi="Arial Narrow" w:cs="Arial"/>
                <w:color w:val="000000" w:themeColor="text1"/>
                <w:sz w:val="22"/>
                <w:szCs w:val="22"/>
              </w:rPr>
              <w:t>3</w:t>
            </w:r>
            <w:r w:rsidRPr="00E54505">
              <w:rPr>
                <w:rFonts w:ascii="Arial Narrow" w:hAnsi="Arial Narrow" w:cs="Arial"/>
                <w:color w:val="000000" w:themeColor="text1"/>
                <w:sz w:val="22"/>
                <w:szCs w:val="22"/>
              </w:rPr>
              <w:t>%</w:t>
            </w:r>
          </w:p>
        </w:tc>
      </w:tr>
    </w:tbl>
    <w:p w14:paraId="3BF0520F" w14:textId="1084A8B0" w:rsidR="00F8296A" w:rsidRDefault="00F8296A" w:rsidP="00856859">
      <w:pPr>
        <w:pStyle w:val="NormalWeb"/>
        <w:spacing w:before="0" w:beforeAutospacing="0" w:after="0" w:afterAutospacing="0"/>
        <w:jc w:val="both"/>
        <w:rPr>
          <w:rFonts w:ascii="Arial" w:hAnsi="Arial" w:cs="Arial"/>
          <w:sz w:val="22"/>
          <w:szCs w:val="22"/>
          <w:u w:val="single"/>
        </w:rPr>
      </w:pPr>
    </w:p>
    <w:p w14:paraId="07A66849" w14:textId="3FBCFE1F" w:rsidR="00F8296A" w:rsidRDefault="00F8296A" w:rsidP="00F8296A">
      <w:pPr>
        <w:pStyle w:val="NormalWeb"/>
        <w:spacing w:before="0" w:beforeAutospacing="0" w:after="0" w:afterAutospacing="0"/>
        <w:jc w:val="both"/>
        <w:rPr>
          <w:rFonts w:ascii="Arial" w:hAnsi="Arial" w:cs="Arial"/>
          <w:color w:val="FF0000"/>
          <w:sz w:val="22"/>
          <w:szCs w:val="22"/>
        </w:rPr>
      </w:pPr>
      <w:r w:rsidRPr="00F33661">
        <w:rPr>
          <w:rFonts w:ascii="Arial" w:hAnsi="Arial" w:cs="Arial"/>
          <w:color w:val="000000" w:themeColor="text1"/>
          <w:sz w:val="22"/>
          <w:szCs w:val="22"/>
        </w:rPr>
        <w:t>Significantly, the Applicant notes that these trends, while partially attributable to</w:t>
      </w:r>
      <w:r w:rsidR="00283E52">
        <w:rPr>
          <w:rFonts w:ascii="Arial" w:hAnsi="Arial" w:cs="Arial"/>
          <w:color w:val="000000" w:themeColor="text1"/>
          <w:sz w:val="22"/>
          <w:szCs w:val="22"/>
        </w:rPr>
        <w:t>/impacted by</w:t>
      </w:r>
      <w:r w:rsidRPr="00F33661">
        <w:rPr>
          <w:rFonts w:ascii="Arial" w:hAnsi="Arial" w:cs="Arial"/>
          <w:color w:val="000000" w:themeColor="text1"/>
          <w:sz w:val="22"/>
          <w:szCs w:val="22"/>
        </w:rPr>
        <w:t xml:space="preserve"> the COVID-19 pandemic, </w:t>
      </w:r>
      <w:r w:rsidR="00F33661" w:rsidRPr="00F33661">
        <w:rPr>
          <w:rFonts w:ascii="Arial" w:hAnsi="Arial" w:cs="Arial"/>
          <w:color w:val="000000" w:themeColor="text1"/>
          <w:sz w:val="22"/>
          <w:szCs w:val="22"/>
        </w:rPr>
        <w:t>exist</w:t>
      </w:r>
      <w:r w:rsidRPr="00F33661">
        <w:rPr>
          <w:rFonts w:ascii="Arial" w:hAnsi="Arial" w:cs="Arial"/>
          <w:color w:val="000000" w:themeColor="text1"/>
          <w:sz w:val="22"/>
          <w:szCs w:val="22"/>
        </w:rPr>
        <w:t xml:space="preserve"> even when </w:t>
      </w:r>
      <w:r w:rsidR="00F33661">
        <w:rPr>
          <w:rFonts w:ascii="Arial" w:hAnsi="Arial" w:cs="Arial"/>
          <w:color w:val="000000" w:themeColor="text1"/>
          <w:sz w:val="22"/>
          <w:szCs w:val="22"/>
        </w:rPr>
        <w:t>controlling for</w:t>
      </w:r>
      <w:r w:rsidRPr="00F33661">
        <w:rPr>
          <w:rFonts w:ascii="Arial" w:hAnsi="Arial" w:cs="Arial"/>
          <w:color w:val="000000" w:themeColor="text1"/>
          <w:sz w:val="22"/>
          <w:szCs w:val="22"/>
        </w:rPr>
        <w:t xml:space="preserve"> COVID-19</w:t>
      </w:r>
      <w:r w:rsidR="00F33661" w:rsidRPr="00F33661">
        <w:rPr>
          <w:rFonts w:ascii="Arial" w:hAnsi="Arial" w:cs="Arial"/>
          <w:color w:val="000000" w:themeColor="text1"/>
          <w:sz w:val="22"/>
          <w:szCs w:val="22"/>
        </w:rPr>
        <w:t xml:space="preserve"> cases</w:t>
      </w:r>
      <w:r w:rsidRPr="00F33661">
        <w:rPr>
          <w:rFonts w:ascii="Arial" w:hAnsi="Arial" w:cs="Arial"/>
          <w:color w:val="000000" w:themeColor="text1"/>
          <w:sz w:val="22"/>
          <w:szCs w:val="22"/>
        </w:rPr>
        <w:t>.</w:t>
      </w:r>
      <w:r w:rsidR="00F33661">
        <w:rPr>
          <w:rFonts w:ascii="Arial" w:hAnsi="Arial" w:cs="Arial"/>
          <w:color w:val="000000" w:themeColor="text1"/>
          <w:sz w:val="22"/>
          <w:szCs w:val="22"/>
        </w:rPr>
        <w:t xml:space="preserve"> Non-COVID-19 inpatient bed historical utilization </w:t>
      </w:r>
      <w:r w:rsidR="00E806E9">
        <w:rPr>
          <w:rFonts w:ascii="Arial" w:hAnsi="Arial" w:cs="Arial"/>
          <w:color w:val="000000" w:themeColor="text1"/>
          <w:sz w:val="22"/>
          <w:szCs w:val="22"/>
        </w:rPr>
        <w:t>is outlined in Table 12.</w:t>
      </w:r>
      <w:r w:rsidR="00283E52">
        <w:rPr>
          <w:rFonts w:ascii="Arial" w:hAnsi="Arial" w:cs="Arial"/>
          <w:color w:val="000000" w:themeColor="text1"/>
          <w:sz w:val="22"/>
          <w:szCs w:val="22"/>
        </w:rPr>
        <w:t xml:space="preserve"> As detailed in the table, despite </w:t>
      </w:r>
      <w:r w:rsidR="00787A2C">
        <w:rPr>
          <w:rFonts w:ascii="Arial" w:hAnsi="Arial" w:cs="Arial"/>
          <w:color w:val="000000" w:themeColor="text1"/>
          <w:sz w:val="22"/>
          <w:szCs w:val="22"/>
        </w:rPr>
        <w:t>slight</w:t>
      </w:r>
      <w:r w:rsidR="00283E52">
        <w:rPr>
          <w:rFonts w:ascii="Arial" w:hAnsi="Arial" w:cs="Arial"/>
          <w:color w:val="000000" w:themeColor="text1"/>
          <w:sz w:val="22"/>
          <w:szCs w:val="22"/>
        </w:rPr>
        <w:t xml:space="preserve"> decreases in discharges</w:t>
      </w:r>
      <w:r w:rsidR="00632085">
        <w:rPr>
          <w:rFonts w:ascii="Arial" w:hAnsi="Arial" w:cs="Arial"/>
          <w:color w:val="000000" w:themeColor="text1"/>
          <w:sz w:val="22"/>
          <w:szCs w:val="22"/>
        </w:rPr>
        <w:t xml:space="preserve"> and</w:t>
      </w:r>
      <w:r w:rsidR="00283E52">
        <w:rPr>
          <w:rFonts w:ascii="Arial" w:hAnsi="Arial" w:cs="Arial"/>
          <w:color w:val="000000" w:themeColor="text1"/>
          <w:sz w:val="22"/>
          <w:szCs w:val="22"/>
        </w:rPr>
        <w:t xml:space="preserve"> case weight</w:t>
      </w:r>
      <w:r w:rsidR="00632085">
        <w:rPr>
          <w:rFonts w:ascii="Arial" w:hAnsi="Arial" w:cs="Arial"/>
          <w:color w:val="000000" w:themeColor="text1"/>
          <w:sz w:val="22"/>
          <w:szCs w:val="22"/>
        </w:rPr>
        <w:t xml:space="preserve"> </w:t>
      </w:r>
      <w:r w:rsidR="00787A2C">
        <w:rPr>
          <w:rFonts w:ascii="Arial" w:hAnsi="Arial" w:cs="Arial"/>
          <w:color w:val="000000" w:themeColor="text1"/>
          <w:sz w:val="22"/>
          <w:szCs w:val="22"/>
        </w:rPr>
        <w:t xml:space="preserve">among non-COVID-19 medical/surgical and ICU patients between FY19 and FY21 </w:t>
      </w:r>
      <w:r w:rsidR="00283E52">
        <w:rPr>
          <w:rFonts w:ascii="Arial" w:hAnsi="Arial" w:cs="Arial"/>
          <w:color w:val="000000" w:themeColor="text1"/>
          <w:sz w:val="22"/>
          <w:szCs w:val="22"/>
        </w:rPr>
        <w:t>(</w:t>
      </w:r>
      <w:r w:rsidR="00787A2C">
        <w:rPr>
          <w:rFonts w:ascii="Arial" w:hAnsi="Arial" w:cs="Arial"/>
          <w:color w:val="000000" w:themeColor="text1"/>
          <w:sz w:val="22"/>
          <w:szCs w:val="22"/>
        </w:rPr>
        <w:t>with such decreases</w:t>
      </w:r>
      <w:r w:rsidR="00283E52">
        <w:rPr>
          <w:rFonts w:ascii="Arial" w:hAnsi="Arial" w:cs="Arial"/>
          <w:color w:val="000000" w:themeColor="text1"/>
          <w:sz w:val="22"/>
          <w:szCs w:val="22"/>
        </w:rPr>
        <w:t xml:space="preserve"> presumably </w:t>
      </w:r>
      <w:r w:rsidR="00787A2C">
        <w:rPr>
          <w:rFonts w:ascii="Arial" w:hAnsi="Arial" w:cs="Arial"/>
          <w:color w:val="000000" w:themeColor="text1"/>
          <w:sz w:val="22"/>
          <w:szCs w:val="22"/>
        </w:rPr>
        <w:t xml:space="preserve">being </w:t>
      </w:r>
      <w:r w:rsidR="00283E52">
        <w:rPr>
          <w:rFonts w:ascii="Arial" w:hAnsi="Arial" w:cs="Arial"/>
          <w:color w:val="000000" w:themeColor="text1"/>
          <w:sz w:val="22"/>
          <w:szCs w:val="22"/>
        </w:rPr>
        <w:t>due to increases in COVID-19 patients occupying medical/surgical and ICU beds</w:t>
      </w:r>
      <w:r w:rsidR="00787A2C">
        <w:rPr>
          <w:rFonts w:ascii="Arial" w:hAnsi="Arial" w:cs="Arial"/>
          <w:color w:val="000000" w:themeColor="text1"/>
          <w:sz w:val="22"/>
          <w:szCs w:val="22"/>
        </w:rPr>
        <w:t xml:space="preserve">, as well as hospital avoidance </w:t>
      </w:r>
      <w:r w:rsidR="004129C3">
        <w:rPr>
          <w:rFonts w:ascii="Arial" w:hAnsi="Arial" w:cs="Arial"/>
          <w:color w:val="000000" w:themeColor="text1"/>
          <w:sz w:val="22"/>
          <w:szCs w:val="22"/>
        </w:rPr>
        <w:t xml:space="preserve">practices among non-COVID-19 patients </w:t>
      </w:r>
      <w:r w:rsidR="00787A2C">
        <w:rPr>
          <w:rFonts w:ascii="Arial" w:hAnsi="Arial" w:cs="Arial"/>
          <w:sz w:val="22"/>
          <w:szCs w:val="22"/>
        </w:rPr>
        <w:t>due to</w:t>
      </w:r>
      <w:r w:rsidR="00787A2C" w:rsidRPr="00B77044">
        <w:rPr>
          <w:rFonts w:ascii="Arial" w:hAnsi="Arial" w:cs="Arial"/>
          <w:sz w:val="22"/>
          <w:szCs w:val="22"/>
        </w:rPr>
        <w:t xml:space="preserve"> the COVID-19 pandemic</w:t>
      </w:r>
      <w:r w:rsidR="00283E52">
        <w:rPr>
          <w:rFonts w:ascii="Arial" w:hAnsi="Arial" w:cs="Arial"/>
          <w:color w:val="000000" w:themeColor="text1"/>
          <w:sz w:val="22"/>
          <w:szCs w:val="22"/>
        </w:rPr>
        <w:t>)</w:t>
      </w:r>
      <w:r w:rsidR="00787A2C">
        <w:rPr>
          <w:rFonts w:ascii="Arial" w:hAnsi="Arial" w:cs="Arial"/>
          <w:color w:val="000000" w:themeColor="text1"/>
          <w:sz w:val="22"/>
          <w:szCs w:val="22"/>
        </w:rPr>
        <w:t>, CMI</w:t>
      </w:r>
      <w:r w:rsidR="00283E52">
        <w:rPr>
          <w:rFonts w:ascii="Arial" w:hAnsi="Arial" w:cs="Arial"/>
          <w:color w:val="000000" w:themeColor="text1"/>
          <w:sz w:val="22"/>
          <w:szCs w:val="22"/>
        </w:rPr>
        <w:t xml:space="preserve"> </w:t>
      </w:r>
      <w:r w:rsidR="00787A2C">
        <w:rPr>
          <w:rFonts w:ascii="Arial" w:hAnsi="Arial" w:cs="Arial"/>
          <w:color w:val="000000" w:themeColor="text1"/>
          <w:sz w:val="22"/>
          <w:szCs w:val="22"/>
        </w:rPr>
        <w:t>and ALOS increased across the non-COVID-</w:t>
      </w:r>
      <w:r w:rsidR="00787A2C" w:rsidRPr="0099148A">
        <w:rPr>
          <w:rFonts w:ascii="Arial" w:hAnsi="Arial" w:cs="Arial"/>
          <w:color w:val="000000" w:themeColor="text1"/>
          <w:sz w:val="22"/>
          <w:szCs w:val="22"/>
        </w:rPr>
        <w:t xml:space="preserve">19 medical/surgical and ICU panels </w:t>
      </w:r>
      <w:r w:rsidR="004129C3" w:rsidRPr="0099148A">
        <w:rPr>
          <w:rFonts w:ascii="Arial" w:hAnsi="Arial" w:cs="Arial"/>
          <w:color w:val="000000" w:themeColor="text1"/>
          <w:sz w:val="22"/>
          <w:szCs w:val="22"/>
        </w:rPr>
        <w:t xml:space="preserve">during this time period </w:t>
      </w:r>
      <w:r w:rsidR="00787A2C" w:rsidRPr="0099148A">
        <w:rPr>
          <w:rFonts w:ascii="Arial" w:hAnsi="Arial" w:cs="Arial"/>
          <w:color w:val="000000" w:themeColor="text1"/>
          <w:sz w:val="22"/>
          <w:szCs w:val="22"/>
        </w:rPr>
        <w:t>and occupancy rates remained relatively stable and high.</w:t>
      </w:r>
    </w:p>
    <w:p w14:paraId="222BB749" w14:textId="3BD987CD" w:rsidR="00F33661" w:rsidRDefault="00F33661" w:rsidP="00856859">
      <w:pPr>
        <w:pStyle w:val="NormalWeb"/>
        <w:spacing w:before="0" w:beforeAutospacing="0" w:after="0" w:afterAutospacing="0"/>
        <w:jc w:val="both"/>
        <w:rPr>
          <w:rFonts w:ascii="Arial" w:hAnsi="Arial" w:cs="Arial"/>
          <w:sz w:val="22"/>
          <w:szCs w:val="22"/>
          <w:u w:val="single"/>
        </w:rPr>
      </w:pPr>
    </w:p>
    <w:p w14:paraId="233B8EC7" w14:textId="3EE130D3" w:rsidR="00931058" w:rsidRDefault="00931058" w:rsidP="00856859">
      <w:pPr>
        <w:pStyle w:val="NormalWeb"/>
        <w:spacing w:before="0" w:beforeAutospacing="0" w:after="0" w:afterAutospacing="0"/>
        <w:jc w:val="both"/>
        <w:rPr>
          <w:rFonts w:ascii="Arial" w:hAnsi="Arial" w:cs="Arial"/>
          <w:sz w:val="22"/>
          <w:szCs w:val="22"/>
          <w:u w:val="single"/>
        </w:rPr>
      </w:pPr>
    </w:p>
    <w:p w14:paraId="601AE1E5" w14:textId="3EBF49B6" w:rsidR="00931058" w:rsidRDefault="00FF16D2" w:rsidP="00856859">
      <w:pPr>
        <w:pStyle w:val="NormalWeb"/>
        <w:spacing w:before="0" w:beforeAutospacing="0" w:after="0" w:afterAutospacing="0"/>
        <w:jc w:val="both"/>
        <w:rPr>
          <w:rFonts w:ascii="Arial" w:hAnsi="Arial" w:cs="Arial"/>
          <w:sz w:val="22"/>
          <w:szCs w:val="22"/>
          <w:u w:val="single"/>
        </w:rPr>
      </w:pPr>
      <w:r w:rsidRPr="00EF2090">
        <w:rPr>
          <w:rFonts w:ascii="Arial Narrow" w:hAnsi="Arial Narrow" w:cs="Arial"/>
          <w:b/>
          <w:bCs/>
          <w:sz w:val="22"/>
          <w:szCs w:val="22"/>
        </w:rPr>
        <w:t>Table 12: BMC Inpatient Bed Historical Utilization (Non-COVID-19 ONLY)</w:t>
      </w:r>
    </w:p>
    <w:tbl>
      <w:tblPr>
        <w:tblStyle w:val="TableGrid"/>
        <w:tblW w:w="0" w:type="auto"/>
        <w:jc w:val="center"/>
        <w:tblLook w:val="04A0" w:firstRow="1" w:lastRow="0" w:firstColumn="1" w:lastColumn="0" w:noHBand="0" w:noVBand="1"/>
      </w:tblPr>
      <w:tblGrid>
        <w:gridCol w:w="1335"/>
        <w:gridCol w:w="1216"/>
        <w:gridCol w:w="1217"/>
        <w:gridCol w:w="1217"/>
        <w:gridCol w:w="1216"/>
        <w:gridCol w:w="1217"/>
        <w:gridCol w:w="1217"/>
      </w:tblGrid>
      <w:tr w:rsidR="00F33661" w14:paraId="4BF476C5" w14:textId="77777777" w:rsidTr="00DE0B1E">
        <w:trPr>
          <w:cantSplit/>
          <w:tblHeader/>
          <w:jc w:val="center"/>
        </w:trPr>
        <w:tc>
          <w:tcPr>
            <w:tcW w:w="1335" w:type="dxa"/>
            <w:tcBorders>
              <w:top w:val="single" w:sz="12" w:space="0" w:color="auto"/>
              <w:left w:val="single" w:sz="12" w:space="0" w:color="auto"/>
              <w:right w:val="single" w:sz="12" w:space="0" w:color="auto"/>
            </w:tcBorders>
            <w:shd w:val="clear" w:color="auto" w:fill="8DA9DB"/>
          </w:tcPr>
          <w:p w14:paraId="0630F2A7" w14:textId="77777777" w:rsidR="00F33661" w:rsidRPr="00F80B42" w:rsidRDefault="00F33661" w:rsidP="00963E14">
            <w:pPr>
              <w:pStyle w:val="NormalWeb"/>
              <w:spacing w:before="0" w:beforeAutospacing="0" w:after="0" w:afterAutospacing="0"/>
              <w:jc w:val="center"/>
              <w:rPr>
                <w:rFonts w:ascii="Arial Narrow" w:hAnsi="Arial Narrow" w:cs="Arial"/>
                <w:sz w:val="22"/>
                <w:szCs w:val="22"/>
              </w:rPr>
            </w:pPr>
          </w:p>
        </w:tc>
        <w:tc>
          <w:tcPr>
            <w:tcW w:w="3650" w:type="dxa"/>
            <w:gridSpan w:val="3"/>
            <w:tcBorders>
              <w:top w:val="single" w:sz="12" w:space="0" w:color="auto"/>
              <w:left w:val="single" w:sz="12" w:space="0" w:color="auto"/>
              <w:right w:val="single" w:sz="12" w:space="0" w:color="auto"/>
            </w:tcBorders>
            <w:shd w:val="clear" w:color="auto" w:fill="8DA9DB"/>
            <w:vAlign w:val="center"/>
          </w:tcPr>
          <w:p w14:paraId="1ED9A6FE" w14:textId="6CB15DF6"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Medical/Surgical</w:t>
            </w:r>
            <w:r w:rsidR="00FB167B">
              <w:rPr>
                <w:rFonts w:ascii="ZWAdobeF" w:hAnsi="ZWAdobeF" w:cs="ZWAdobeF"/>
                <w:bCs/>
                <w:sz w:val="2"/>
                <w:szCs w:val="2"/>
              </w:rPr>
              <w:t>38F</w:t>
            </w:r>
            <w:r w:rsidR="007C13EB">
              <w:rPr>
                <w:rStyle w:val="FootnoteReference"/>
                <w:rFonts w:ascii="Arial Narrow" w:hAnsi="Arial Narrow" w:cs="Arial"/>
                <w:b/>
                <w:bCs/>
                <w:sz w:val="22"/>
                <w:szCs w:val="22"/>
              </w:rPr>
              <w:footnoteReference w:id="39"/>
            </w:r>
            <w:r w:rsidR="007C13EB" w:rsidRPr="007C13EB">
              <w:rPr>
                <w:rFonts w:ascii="Arial Narrow" w:hAnsi="Arial Narrow" w:cs="Arial"/>
                <w:b/>
                <w:bCs/>
                <w:sz w:val="22"/>
                <w:szCs w:val="22"/>
                <w:vertAlign w:val="superscript"/>
              </w:rPr>
              <w:t>,</w:t>
            </w:r>
            <w:r w:rsidR="00FB167B">
              <w:rPr>
                <w:rFonts w:ascii="ZWAdobeF" w:hAnsi="ZWAdobeF" w:cs="ZWAdobeF"/>
                <w:bCs/>
                <w:sz w:val="2"/>
                <w:szCs w:val="2"/>
              </w:rPr>
              <w:t>39F</w:t>
            </w:r>
            <w:r w:rsidR="007C13EB">
              <w:rPr>
                <w:rStyle w:val="FootnoteReference"/>
                <w:rFonts w:ascii="Arial Narrow" w:hAnsi="Arial Narrow" w:cs="Arial"/>
                <w:b/>
                <w:bCs/>
                <w:sz w:val="22"/>
                <w:szCs w:val="22"/>
              </w:rPr>
              <w:footnoteReference w:id="40"/>
            </w:r>
          </w:p>
        </w:tc>
        <w:tc>
          <w:tcPr>
            <w:tcW w:w="3650" w:type="dxa"/>
            <w:gridSpan w:val="3"/>
            <w:tcBorders>
              <w:top w:val="single" w:sz="12" w:space="0" w:color="auto"/>
              <w:left w:val="single" w:sz="12" w:space="0" w:color="auto"/>
              <w:right w:val="single" w:sz="12" w:space="0" w:color="auto"/>
            </w:tcBorders>
            <w:shd w:val="clear" w:color="auto" w:fill="8DA9DB"/>
            <w:vAlign w:val="center"/>
          </w:tcPr>
          <w:p w14:paraId="1EE82C34" w14:textId="6B6EA1B2"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ICU</w:t>
            </w:r>
            <w:r w:rsidR="00FB167B">
              <w:rPr>
                <w:rFonts w:ascii="ZWAdobeF" w:hAnsi="ZWAdobeF" w:cs="ZWAdobeF"/>
                <w:bCs/>
                <w:sz w:val="2"/>
                <w:szCs w:val="2"/>
              </w:rPr>
              <w:t>40F</w:t>
            </w:r>
            <w:r w:rsidR="007C13EB">
              <w:rPr>
                <w:rStyle w:val="FootnoteReference"/>
                <w:rFonts w:ascii="Arial Narrow" w:hAnsi="Arial Narrow" w:cs="Arial"/>
                <w:b/>
                <w:bCs/>
                <w:sz w:val="22"/>
                <w:szCs w:val="22"/>
              </w:rPr>
              <w:footnoteReference w:id="41"/>
            </w:r>
          </w:p>
        </w:tc>
      </w:tr>
      <w:tr w:rsidR="00F33661" w14:paraId="27A15DBA" w14:textId="77777777" w:rsidTr="00DE0B1E">
        <w:trPr>
          <w:cantSplit/>
          <w:tblHeader/>
          <w:jc w:val="center"/>
        </w:trPr>
        <w:tc>
          <w:tcPr>
            <w:tcW w:w="1335" w:type="dxa"/>
            <w:tcBorders>
              <w:left w:val="single" w:sz="12" w:space="0" w:color="auto"/>
              <w:right w:val="single" w:sz="12" w:space="0" w:color="auto"/>
            </w:tcBorders>
            <w:shd w:val="clear" w:color="auto" w:fill="BFBFBF"/>
          </w:tcPr>
          <w:p w14:paraId="7C7D4006" w14:textId="77777777" w:rsidR="00F33661" w:rsidRPr="00F80B42" w:rsidRDefault="00F33661" w:rsidP="00963E14">
            <w:pPr>
              <w:pStyle w:val="NormalWeb"/>
              <w:spacing w:before="0" w:beforeAutospacing="0" w:after="0" w:afterAutospacing="0"/>
              <w:jc w:val="both"/>
              <w:rPr>
                <w:rFonts w:ascii="Arial Narrow" w:hAnsi="Arial Narrow" w:cs="Arial"/>
                <w:b/>
                <w:bCs/>
                <w:sz w:val="22"/>
                <w:szCs w:val="22"/>
              </w:rPr>
            </w:pPr>
          </w:p>
        </w:tc>
        <w:tc>
          <w:tcPr>
            <w:tcW w:w="1216" w:type="dxa"/>
            <w:tcBorders>
              <w:left w:val="single" w:sz="12" w:space="0" w:color="auto"/>
            </w:tcBorders>
            <w:shd w:val="clear" w:color="auto" w:fill="BFBFBF"/>
            <w:vAlign w:val="center"/>
          </w:tcPr>
          <w:p w14:paraId="6C0E2BED" w14:textId="0C62DB2B"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217" w:type="dxa"/>
            <w:tcBorders>
              <w:right w:val="single" w:sz="4" w:space="0" w:color="auto"/>
            </w:tcBorders>
            <w:shd w:val="clear" w:color="auto" w:fill="BFBFBF"/>
            <w:vAlign w:val="center"/>
          </w:tcPr>
          <w:p w14:paraId="76B805C6" w14:textId="5ABA4636"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217" w:type="dxa"/>
            <w:tcBorders>
              <w:left w:val="single" w:sz="4" w:space="0" w:color="auto"/>
              <w:right w:val="single" w:sz="12" w:space="0" w:color="auto"/>
            </w:tcBorders>
            <w:shd w:val="clear" w:color="auto" w:fill="BFBFBF"/>
            <w:vAlign w:val="center"/>
          </w:tcPr>
          <w:p w14:paraId="0CC285AD" w14:textId="738EEBC5"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c>
          <w:tcPr>
            <w:tcW w:w="1216" w:type="dxa"/>
            <w:tcBorders>
              <w:left w:val="single" w:sz="12" w:space="0" w:color="auto"/>
              <w:right w:val="single" w:sz="4" w:space="0" w:color="auto"/>
            </w:tcBorders>
            <w:shd w:val="clear" w:color="auto" w:fill="BFBFBF"/>
            <w:vAlign w:val="center"/>
          </w:tcPr>
          <w:p w14:paraId="1D8F045C" w14:textId="3D52993B"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217" w:type="dxa"/>
            <w:tcBorders>
              <w:left w:val="single" w:sz="4" w:space="0" w:color="auto"/>
            </w:tcBorders>
            <w:shd w:val="clear" w:color="auto" w:fill="BFBFBF"/>
            <w:vAlign w:val="center"/>
          </w:tcPr>
          <w:p w14:paraId="12A6EDFA" w14:textId="24986D7E"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217" w:type="dxa"/>
            <w:tcBorders>
              <w:right w:val="single" w:sz="12" w:space="0" w:color="auto"/>
            </w:tcBorders>
            <w:shd w:val="clear" w:color="auto" w:fill="BFBFBF"/>
            <w:vAlign w:val="center"/>
          </w:tcPr>
          <w:p w14:paraId="29045E46" w14:textId="1DFADD1E" w:rsidR="00F33661" w:rsidRPr="00F80B42" w:rsidRDefault="00F33661"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r>
      <w:tr w:rsidR="00F33661" w14:paraId="7383DBEE" w14:textId="77777777" w:rsidTr="00FF16D2">
        <w:trPr>
          <w:cantSplit/>
          <w:jc w:val="center"/>
        </w:trPr>
        <w:tc>
          <w:tcPr>
            <w:tcW w:w="1335" w:type="dxa"/>
            <w:tcBorders>
              <w:left w:val="single" w:sz="12" w:space="0" w:color="auto"/>
              <w:right w:val="single" w:sz="12" w:space="0" w:color="auto"/>
            </w:tcBorders>
            <w:vAlign w:val="center"/>
          </w:tcPr>
          <w:p w14:paraId="7495682E" w14:textId="77777777" w:rsidR="00F33661" w:rsidRDefault="00F33661"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Discharges</w:t>
            </w:r>
          </w:p>
        </w:tc>
        <w:tc>
          <w:tcPr>
            <w:tcW w:w="1216" w:type="dxa"/>
            <w:tcBorders>
              <w:left w:val="single" w:sz="12" w:space="0" w:color="auto"/>
            </w:tcBorders>
            <w:shd w:val="clear" w:color="auto" w:fill="auto"/>
            <w:vAlign w:val="center"/>
          </w:tcPr>
          <w:p w14:paraId="22CAB515" w14:textId="3D6F5E1A"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13,662</w:t>
            </w:r>
          </w:p>
        </w:tc>
        <w:tc>
          <w:tcPr>
            <w:tcW w:w="1217" w:type="dxa"/>
            <w:tcBorders>
              <w:right w:val="single" w:sz="4" w:space="0" w:color="auto"/>
            </w:tcBorders>
            <w:shd w:val="clear" w:color="auto" w:fill="auto"/>
            <w:vAlign w:val="center"/>
          </w:tcPr>
          <w:p w14:paraId="5591B095" w14:textId="43E4563A"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11,818</w:t>
            </w:r>
          </w:p>
        </w:tc>
        <w:tc>
          <w:tcPr>
            <w:tcW w:w="1217" w:type="dxa"/>
            <w:tcBorders>
              <w:left w:val="single" w:sz="4" w:space="0" w:color="auto"/>
              <w:right w:val="single" w:sz="12" w:space="0" w:color="auto"/>
            </w:tcBorders>
            <w:shd w:val="clear" w:color="auto" w:fill="auto"/>
            <w:vAlign w:val="center"/>
          </w:tcPr>
          <w:p w14:paraId="513028AF" w14:textId="4E83CAF4"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12,322</w:t>
            </w:r>
          </w:p>
        </w:tc>
        <w:tc>
          <w:tcPr>
            <w:tcW w:w="1216" w:type="dxa"/>
            <w:tcBorders>
              <w:left w:val="single" w:sz="12" w:space="0" w:color="auto"/>
              <w:right w:val="single" w:sz="4" w:space="0" w:color="auto"/>
            </w:tcBorders>
            <w:shd w:val="clear" w:color="auto" w:fill="auto"/>
            <w:vAlign w:val="center"/>
          </w:tcPr>
          <w:p w14:paraId="3F959246" w14:textId="29A96FB4"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4,118</w:t>
            </w:r>
          </w:p>
        </w:tc>
        <w:tc>
          <w:tcPr>
            <w:tcW w:w="1217" w:type="dxa"/>
            <w:tcBorders>
              <w:left w:val="single" w:sz="4" w:space="0" w:color="auto"/>
            </w:tcBorders>
            <w:shd w:val="clear" w:color="auto" w:fill="auto"/>
            <w:vAlign w:val="center"/>
          </w:tcPr>
          <w:p w14:paraId="681952F5" w14:textId="63A526A7"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3,467</w:t>
            </w:r>
          </w:p>
        </w:tc>
        <w:tc>
          <w:tcPr>
            <w:tcW w:w="1217" w:type="dxa"/>
            <w:tcBorders>
              <w:right w:val="single" w:sz="12" w:space="0" w:color="auto"/>
            </w:tcBorders>
            <w:shd w:val="clear" w:color="auto" w:fill="auto"/>
            <w:vAlign w:val="center"/>
          </w:tcPr>
          <w:p w14:paraId="2E905E71" w14:textId="65F811CD"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3,569</w:t>
            </w:r>
          </w:p>
        </w:tc>
      </w:tr>
      <w:tr w:rsidR="00F33661" w14:paraId="7970170F" w14:textId="77777777" w:rsidTr="00FF16D2">
        <w:trPr>
          <w:cantSplit/>
          <w:jc w:val="center"/>
        </w:trPr>
        <w:tc>
          <w:tcPr>
            <w:tcW w:w="1335" w:type="dxa"/>
            <w:tcBorders>
              <w:left w:val="single" w:sz="12" w:space="0" w:color="auto"/>
              <w:right w:val="single" w:sz="12" w:space="0" w:color="auto"/>
            </w:tcBorders>
            <w:vAlign w:val="center"/>
          </w:tcPr>
          <w:p w14:paraId="24993339" w14:textId="77777777" w:rsidR="00F33661" w:rsidRDefault="00F33661"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 xml:space="preserve">Case Weight </w:t>
            </w:r>
          </w:p>
        </w:tc>
        <w:tc>
          <w:tcPr>
            <w:tcW w:w="1216" w:type="dxa"/>
            <w:tcBorders>
              <w:left w:val="single" w:sz="12" w:space="0" w:color="auto"/>
            </w:tcBorders>
            <w:shd w:val="clear" w:color="auto" w:fill="auto"/>
            <w:vAlign w:val="center"/>
          </w:tcPr>
          <w:p w14:paraId="244ECBA1" w14:textId="755544F6"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21,647</w:t>
            </w:r>
          </w:p>
        </w:tc>
        <w:tc>
          <w:tcPr>
            <w:tcW w:w="1217" w:type="dxa"/>
            <w:tcBorders>
              <w:right w:val="single" w:sz="4" w:space="0" w:color="auto"/>
            </w:tcBorders>
            <w:shd w:val="clear" w:color="auto" w:fill="auto"/>
            <w:vAlign w:val="center"/>
          </w:tcPr>
          <w:p w14:paraId="7DE6A29F" w14:textId="0496A2B4"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18,741</w:t>
            </w:r>
          </w:p>
        </w:tc>
        <w:tc>
          <w:tcPr>
            <w:tcW w:w="1217" w:type="dxa"/>
            <w:tcBorders>
              <w:left w:val="single" w:sz="4" w:space="0" w:color="auto"/>
              <w:right w:val="single" w:sz="12" w:space="0" w:color="auto"/>
            </w:tcBorders>
            <w:shd w:val="clear" w:color="auto" w:fill="auto"/>
            <w:vAlign w:val="center"/>
          </w:tcPr>
          <w:p w14:paraId="13F9A460" w14:textId="6690A4BF"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20,292</w:t>
            </w:r>
          </w:p>
        </w:tc>
        <w:tc>
          <w:tcPr>
            <w:tcW w:w="1216" w:type="dxa"/>
            <w:tcBorders>
              <w:left w:val="single" w:sz="12" w:space="0" w:color="auto"/>
              <w:right w:val="single" w:sz="4" w:space="0" w:color="auto"/>
            </w:tcBorders>
            <w:shd w:val="clear" w:color="auto" w:fill="auto"/>
            <w:vAlign w:val="center"/>
          </w:tcPr>
          <w:p w14:paraId="6B23BF07" w14:textId="1DFD88E6"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12,278</w:t>
            </w:r>
          </w:p>
        </w:tc>
        <w:tc>
          <w:tcPr>
            <w:tcW w:w="1217" w:type="dxa"/>
            <w:tcBorders>
              <w:left w:val="single" w:sz="4" w:space="0" w:color="auto"/>
            </w:tcBorders>
            <w:shd w:val="clear" w:color="auto" w:fill="auto"/>
            <w:vAlign w:val="center"/>
          </w:tcPr>
          <w:p w14:paraId="55646CAC" w14:textId="3909CE22"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10,502</w:t>
            </w:r>
          </w:p>
        </w:tc>
        <w:tc>
          <w:tcPr>
            <w:tcW w:w="1217" w:type="dxa"/>
            <w:tcBorders>
              <w:right w:val="single" w:sz="12" w:space="0" w:color="auto"/>
            </w:tcBorders>
            <w:shd w:val="clear" w:color="auto" w:fill="auto"/>
            <w:vAlign w:val="center"/>
          </w:tcPr>
          <w:p w14:paraId="08A9E984" w14:textId="3F24609C"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11,636</w:t>
            </w:r>
          </w:p>
        </w:tc>
      </w:tr>
      <w:tr w:rsidR="00F33661" w14:paraId="16E28508" w14:textId="77777777" w:rsidTr="00FF16D2">
        <w:trPr>
          <w:cantSplit/>
          <w:jc w:val="center"/>
        </w:trPr>
        <w:tc>
          <w:tcPr>
            <w:tcW w:w="1335" w:type="dxa"/>
            <w:tcBorders>
              <w:left w:val="single" w:sz="12" w:space="0" w:color="auto"/>
              <w:right w:val="single" w:sz="12" w:space="0" w:color="auto"/>
            </w:tcBorders>
            <w:vAlign w:val="center"/>
          </w:tcPr>
          <w:p w14:paraId="5C319DCC" w14:textId="77777777" w:rsidR="00F33661" w:rsidRDefault="00F33661"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CMI</w:t>
            </w:r>
          </w:p>
        </w:tc>
        <w:tc>
          <w:tcPr>
            <w:tcW w:w="1216" w:type="dxa"/>
            <w:tcBorders>
              <w:left w:val="single" w:sz="12" w:space="0" w:color="auto"/>
            </w:tcBorders>
            <w:shd w:val="clear" w:color="auto" w:fill="auto"/>
            <w:vAlign w:val="center"/>
          </w:tcPr>
          <w:p w14:paraId="767F84FB" w14:textId="06BEBC65"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1.58</w:t>
            </w:r>
          </w:p>
        </w:tc>
        <w:tc>
          <w:tcPr>
            <w:tcW w:w="1217" w:type="dxa"/>
            <w:tcBorders>
              <w:right w:val="single" w:sz="4" w:space="0" w:color="auto"/>
            </w:tcBorders>
            <w:shd w:val="clear" w:color="auto" w:fill="auto"/>
            <w:vAlign w:val="center"/>
          </w:tcPr>
          <w:p w14:paraId="151D8447" w14:textId="727C5ACD"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1.59</w:t>
            </w:r>
          </w:p>
        </w:tc>
        <w:tc>
          <w:tcPr>
            <w:tcW w:w="1217" w:type="dxa"/>
            <w:tcBorders>
              <w:left w:val="single" w:sz="4" w:space="0" w:color="auto"/>
              <w:right w:val="single" w:sz="12" w:space="0" w:color="auto"/>
            </w:tcBorders>
            <w:shd w:val="clear" w:color="auto" w:fill="auto"/>
            <w:vAlign w:val="center"/>
          </w:tcPr>
          <w:p w14:paraId="28684B45" w14:textId="20EC7B22"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1.65</w:t>
            </w:r>
          </w:p>
        </w:tc>
        <w:tc>
          <w:tcPr>
            <w:tcW w:w="1216" w:type="dxa"/>
            <w:tcBorders>
              <w:left w:val="single" w:sz="12" w:space="0" w:color="auto"/>
              <w:right w:val="single" w:sz="4" w:space="0" w:color="auto"/>
            </w:tcBorders>
            <w:shd w:val="clear" w:color="auto" w:fill="auto"/>
            <w:vAlign w:val="center"/>
          </w:tcPr>
          <w:p w14:paraId="441C67BD" w14:textId="113BBFE2"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2.98</w:t>
            </w:r>
          </w:p>
        </w:tc>
        <w:tc>
          <w:tcPr>
            <w:tcW w:w="1217" w:type="dxa"/>
            <w:tcBorders>
              <w:left w:val="single" w:sz="4" w:space="0" w:color="auto"/>
            </w:tcBorders>
            <w:shd w:val="clear" w:color="auto" w:fill="auto"/>
            <w:vAlign w:val="center"/>
          </w:tcPr>
          <w:p w14:paraId="10C4970E" w14:textId="306C62F9"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3.03</w:t>
            </w:r>
          </w:p>
        </w:tc>
        <w:tc>
          <w:tcPr>
            <w:tcW w:w="1217" w:type="dxa"/>
            <w:tcBorders>
              <w:right w:val="single" w:sz="12" w:space="0" w:color="auto"/>
            </w:tcBorders>
            <w:shd w:val="clear" w:color="auto" w:fill="auto"/>
            <w:vAlign w:val="center"/>
          </w:tcPr>
          <w:p w14:paraId="60E39BF2" w14:textId="669F253C"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3.26</w:t>
            </w:r>
          </w:p>
        </w:tc>
      </w:tr>
      <w:tr w:rsidR="00F33661" w14:paraId="02904E9C" w14:textId="77777777" w:rsidTr="00FF16D2">
        <w:trPr>
          <w:cantSplit/>
          <w:jc w:val="center"/>
        </w:trPr>
        <w:tc>
          <w:tcPr>
            <w:tcW w:w="1335" w:type="dxa"/>
            <w:tcBorders>
              <w:left w:val="single" w:sz="12" w:space="0" w:color="auto"/>
              <w:right w:val="single" w:sz="12" w:space="0" w:color="auto"/>
            </w:tcBorders>
            <w:vAlign w:val="center"/>
          </w:tcPr>
          <w:p w14:paraId="6379D0F2" w14:textId="77777777" w:rsidR="00F33661" w:rsidRPr="00F80B42" w:rsidRDefault="00F33661"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ALOS</w:t>
            </w:r>
          </w:p>
        </w:tc>
        <w:tc>
          <w:tcPr>
            <w:tcW w:w="1216" w:type="dxa"/>
            <w:tcBorders>
              <w:left w:val="single" w:sz="12" w:space="0" w:color="auto"/>
            </w:tcBorders>
            <w:shd w:val="clear" w:color="auto" w:fill="auto"/>
            <w:vAlign w:val="center"/>
          </w:tcPr>
          <w:p w14:paraId="5351BEFC" w14:textId="2D7DBA60"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4.70</w:t>
            </w:r>
          </w:p>
        </w:tc>
        <w:tc>
          <w:tcPr>
            <w:tcW w:w="1217" w:type="dxa"/>
            <w:tcBorders>
              <w:right w:val="single" w:sz="4" w:space="0" w:color="auto"/>
            </w:tcBorders>
            <w:shd w:val="clear" w:color="auto" w:fill="auto"/>
            <w:vAlign w:val="center"/>
          </w:tcPr>
          <w:p w14:paraId="0218B90B" w14:textId="076E849B"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4.83</w:t>
            </w:r>
          </w:p>
        </w:tc>
        <w:tc>
          <w:tcPr>
            <w:tcW w:w="1217" w:type="dxa"/>
            <w:tcBorders>
              <w:left w:val="single" w:sz="4" w:space="0" w:color="auto"/>
              <w:right w:val="single" w:sz="12" w:space="0" w:color="auto"/>
            </w:tcBorders>
            <w:shd w:val="clear" w:color="auto" w:fill="auto"/>
            <w:vAlign w:val="center"/>
          </w:tcPr>
          <w:p w14:paraId="097F9944" w14:textId="37550F9C"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5.02</w:t>
            </w:r>
          </w:p>
        </w:tc>
        <w:tc>
          <w:tcPr>
            <w:tcW w:w="1216" w:type="dxa"/>
            <w:tcBorders>
              <w:left w:val="single" w:sz="12" w:space="0" w:color="auto"/>
              <w:right w:val="single" w:sz="4" w:space="0" w:color="auto"/>
            </w:tcBorders>
            <w:shd w:val="clear" w:color="auto" w:fill="auto"/>
            <w:vAlign w:val="center"/>
          </w:tcPr>
          <w:p w14:paraId="7F277701" w14:textId="6355CCE3"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10.11</w:t>
            </w:r>
          </w:p>
        </w:tc>
        <w:tc>
          <w:tcPr>
            <w:tcW w:w="1217" w:type="dxa"/>
            <w:tcBorders>
              <w:left w:val="single" w:sz="4" w:space="0" w:color="auto"/>
            </w:tcBorders>
            <w:shd w:val="clear" w:color="auto" w:fill="auto"/>
            <w:vAlign w:val="center"/>
          </w:tcPr>
          <w:p w14:paraId="280D6621" w14:textId="7E8326BA"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10.66</w:t>
            </w:r>
          </w:p>
        </w:tc>
        <w:tc>
          <w:tcPr>
            <w:tcW w:w="1217" w:type="dxa"/>
            <w:tcBorders>
              <w:right w:val="single" w:sz="12" w:space="0" w:color="auto"/>
            </w:tcBorders>
            <w:shd w:val="clear" w:color="auto" w:fill="auto"/>
            <w:vAlign w:val="center"/>
          </w:tcPr>
          <w:p w14:paraId="2513C599" w14:textId="6BE06257" w:rsidR="00F33661" w:rsidRPr="00F80B42" w:rsidRDefault="006003DA"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11.85</w:t>
            </w:r>
          </w:p>
        </w:tc>
      </w:tr>
      <w:tr w:rsidR="00F33661" w14:paraId="4A786804" w14:textId="77777777" w:rsidTr="00FF16D2">
        <w:trPr>
          <w:cantSplit/>
          <w:jc w:val="center"/>
        </w:trPr>
        <w:tc>
          <w:tcPr>
            <w:tcW w:w="1335" w:type="dxa"/>
            <w:tcBorders>
              <w:left w:val="single" w:sz="12" w:space="0" w:color="auto"/>
              <w:bottom w:val="single" w:sz="12" w:space="0" w:color="auto"/>
              <w:right w:val="single" w:sz="12" w:space="0" w:color="auto"/>
            </w:tcBorders>
            <w:vAlign w:val="center"/>
          </w:tcPr>
          <w:p w14:paraId="752469D8" w14:textId="77777777" w:rsidR="00F33661" w:rsidRDefault="00F33661"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Occupancy</w:t>
            </w:r>
          </w:p>
        </w:tc>
        <w:tc>
          <w:tcPr>
            <w:tcW w:w="1216" w:type="dxa"/>
            <w:tcBorders>
              <w:left w:val="single" w:sz="12" w:space="0" w:color="auto"/>
              <w:bottom w:val="single" w:sz="12" w:space="0" w:color="auto"/>
            </w:tcBorders>
            <w:shd w:val="clear" w:color="auto" w:fill="auto"/>
            <w:vAlign w:val="center"/>
          </w:tcPr>
          <w:p w14:paraId="10FD8600" w14:textId="18232879" w:rsidR="00F33661" w:rsidRPr="00632085" w:rsidRDefault="006003DA" w:rsidP="00963E14">
            <w:pPr>
              <w:pStyle w:val="NormalWeb"/>
              <w:spacing w:before="0" w:beforeAutospacing="0" w:after="0" w:afterAutospacing="0"/>
              <w:jc w:val="center"/>
              <w:rPr>
                <w:rFonts w:ascii="Arial Narrow" w:hAnsi="Arial Narrow" w:cs="Arial"/>
                <w:sz w:val="22"/>
                <w:szCs w:val="22"/>
                <w:highlight w:val="yellow"/>
              </w:rPr>
            </w:pPr>
            <w:r w:rsidRPr="007C13EB">
              <w:rPr>
                <w:rFonts w:ascii="Arial Narrow" w:hAnsi="Arial Narrow" w:cs="Arial"/>
                <w:sz w:val="22"/>
                <w:szCs w:val="22"/>
              </w:rPr>
              <w:t>90%</w:t>
            </w:r>
          </w:p>
        </w:tc>
        <w:tc>
          <w:tcPr>
            <w:tcW w:w="1217" w:type="dxa"/>
            <w:tcBorders>
              <w:bottom w:val="single" w:sz="12" w:space="0" w:color="auto"/>
              <w:right w:val="single" w:sz="4" w:space="0" w:color="auto"/>
            </w:tcBorders>
            <w:shd w:val="clear" w:color="auto" w:fill="auto"/>
            <w:vAlign w:val="center"/>
          </w:tcPr>
          <w:p w14:paraId="690A6239" w14:textId="016ACA62" w:rsidR="00F33661" w:rsidRPr="00632085" w:rsidRDefault="006003DA" w:rsidP="00963E14">
            <w:pPr>
              <w:pStyle w:val="NormalWeb"/>
              <w:spacing w:before="0" w:beforeAutospacing="0" w:after="0" w:afterAutospacing="0"/>
              <w:jc w:val="center"/>
              <w:rPr>
                <w:rFonts w:ascii="Arial Narrow" w:hAnsi="Arial Narrow" w:cs="Arial"/>
                <w:sz w:val="22"/>
                <w:szCs w:val="22"/>
                <w:highlight w:val="yellow"/>
              </w:rPr>
            </w:pPr>
            <w:r w:rsidRPr="007C13EB">
              <w:rPr>
                <w:rFonts w:ascii="Arial Narrow" w:hAnsi="Arial Narrow" w:cs="Arial"/>
                <w:sz w:val="22"/>
                <w:szCs w:val="22"/>
              </w:rPr>
              <w:t>85%</w:t>
            </w:r>
          </w:p>
        </w:tc>
        <w:tc>
          <w:tcPr>
            <w:tcW w:w="1217" w:type="dxa"/>
            <w:tcBorders>
              <w:left w:val="single" w:sz="4" w:space="0" w:color="auto"/>
              <w:bottom w:val="single" w:sz="12" w:space="0" w:color="auto"/>
              <w:right w:val="single" w:sz="12" w:space="0" w:color="auto"/>
            </w:tcBorders>
            <w:shd w:val="clear" w:color="auto" w:fill="auto"/>
            <w:vAlign w:val="center"/>
          </w:tcPr>
          <w:p w14:paraId="4E6715B3" w14:textId="5E2CC759" w:rsidR="00F33661" w:rsidRPr="00632085" w:rsidRDefault="006003DA" w:rsidP="00963E14">
            <w:pPr>
              <w:pStyle w:val="NormalWeb"/>
              <w:spacing w:before="0" w:beforeAutospacing="0" w:after="0" w:afterAutospacing="0"/>
              <w:jc w:val="center"/>
              <w:rPr>
                <w:rFonts w:ascii="Arial Narrow" w:hAnsi="Arial Narrow" w:cs="Arial"/>
                <w:sz w:val="22"/>
                <w:szCs w:val="22"/>
                <w:highlight w:val="yellow"/>
              </w:rPr>
            </w:pPr>
            <w:r w:rsidRPr="007C13EB">
              <w:rPr>
                <w:rFonts w:ascii="Arial Narrow" w:hAnsi="Arial Narrow" w:cs="Arial"/>
                <w:sz w:val="22"/>
                <w:szCs w:val="22"/>
              </w:rPr>
              <w:t>9</w:t>
            </w:r>
            <w:r w:rsidR="007C13EB" w:rsidRPr="007C13EB">
              <w:rPr>
                <w:rFonts w:ascii="Arial Narrow" w:hAnsi="Arial Narrow" w:cs="Arial"/>
                <w:sz w:val="22"/>
                <w:szCs w:val="22"/>
              </w:rPr>
              <w:t>1</w:t>
            </w:r>
            <w:r w:rsidRPr="007C13EB">
              <w:rPr>
                <w:rFonts w:ascii="Arial Narrow" w:hAnsi="Arial Narrow" w:cs="Arial"/>
                <w:sz w:val="22"/>
                <w:szCs w:val="22"/>
              </w:rPr>
              <w:t>%</w:t>
            </w:r>
          </w:p>
        </w:tc>
        <w:tc>
          <w:tcPr>
            <w:tcW w:w="1216" w:type="dxa"/>
            <w:tcBorders>
              <w:left w:val="single" w:sz="12" w:space="0" w:color="auto"/>
              <w:bottom w:val="single" w:sz="12" w:space="0" w:color="auto"/>
              <w:right w:val="single" w:sz="4" w:space="0" w:color="auto"/>
            </w:tcBorders>
            <w:shd w:val="clear" w:color="auto" w:fill="auto"/>
            <w:vAlign w:val="center"/>
          </w:tcPr>
          <w:p w14:paraId="63B84A91" w14:textId="477EB625" w:rsidR="00F33661" w:rsidRPr="0099148A" w:rsidRDefault="006003DA" w:rsidP="00963E14">
            <w:pPr>
              <w:pStyle w:val="NormalWeb"/>
              <w:spacing w:before="0" w:beforeAutospacing="0" w:after="0" w:afterAutospacing="0"/>
              <w:jc w:val="center"/>
              <w:rPr>
                <w:rFonts w:ascii="Arial Narrow" w:hAnsi="Arial Narrow" w:cs="Arial"/>
                <w:color w:val="000000" w:themeColor="text1"/>
                <w:sz w:val="22"/>
                <w:szCs w:val="22"/>
              </w:rPr>
            </w:pPr>
            <w:r w:rsidRPr="0099148A">
              <w:rPr>
                <w:rFonts w:ascii="Arial Narrow" w:hAnsi="Arial Narrow" w:cs="Arial"/>
                <w:color w:val="000000" w:themeColor="text1"/>
                <w:sz w:val="22"/>
                <w:szCs w:val="22"/>
              </w:rPr>
              <w:t>8</w:t>
            </w:r>
            <w:r w:rsidR="0099148A">
              <w:rPr>
                <w:rFonts w:ascii="Arial Narrow" w:hAnsi="Arial Narrow" w:cs="Arial"/>
                <w:color w:val="000000" w:themeColor="text1"/>
                <w:sz w:val="22"/>
                <w:szCs w:val="22"/>
              </w:rPr>
              <w:t>3</w:t>
            </w:r>
            <w:r w:rsidRPr="0099148A">
              <w:rPr>
                <w:rFonts w:ascii="Arial Narrow" w:hAnsi="Arial Narrow" w:cs="Arial"/>
                <w:color w:val="000000" w:themeColor="text1"/>
                <w:sz w:val="22"/>
                <w:szCs w:val="22"/>
              </w:rPr>
              <w:t>%</w:t>
            </w:r>
          </w:p>
        </w:tc>
        <w:tc>
          <w:tcPr>
            <w:tcW w:w="1217" w:type="dxa"/>
            <w:tcBorders>
              <w:left w:val="single" w:sz="4" w:space="0" w:color="auto"/>
              <w:bottom w:val="single" w:sz="12" w:space="0" w:color="auto"/>
            </w:tcBorders>
            <w:shd w:val="clear" w:color="auto" w:fill="auto"/>
            <w:vAlign w:val="center"/>
          </w:tcPr>
          <w:p w14:paraId="30119503" w14:textId="2CD2038E" w:rsidR="00F33661" w:rsidRPr="0099148A" w:rsidRDefault="006003DA" w:rsidP="00963E14">
            <w:pPr>
              <w:pStyle w:val="NormalWeb"/>
              <w:spacing w:before="0" w:beforeAutospacing="0" w:after="0" w:afterAutospacing="0"/>
              <w:jc w:val="center"/>
              <w:rPr>
                <w:rFonts w:ascii="Arial Narrow" w:hAnsi="Arial Narrow" w:cs="Arial"/>
                <w:color w:val="000000" w:themeColor="text1"/>
                <w:sz w:val="22"/>
                <w:szCs w:val="22"/>
              </w:rPr>
            </w:pPr>
            <w:r w:rsidRPr="0099148A">
              <w:rPr>
                <w:rFonts w:ascii="Arial Narrow" w:hAnsi="Arial Narrow" w:cs="Arial"/>
                <w:color w:val="000000" w:themeColor="text1"/>
                <w:sz w:val="22"/>
                <w:szCs w:val="22"/>
              </w:rPr>
              <w:t>80%</w:t>
            </w:r>
          </w:p>
        </w:tc>
        <w:tc>
          <w:tcPr>
            <w:tcW w:w="1217" w:type="dxa"/>
            <w:tcBorders>
              <w:bottom w:val="single" w:sz="12" w:space="0" w:color="auto"/>
              <w:right w:val="single" w:sz="12" w:space="0" w:color="auto"/>
            </w:tcBorders>
            <w:shd w:val="clear" w:color="auto" w:fill="auto"/>
            <w:vAlign w:val="center"/>
          </w:tcPr>
          <w:p w14:paraId="2D8E62FE" w14:textId="35044BA6" w:rsidR="00F33661" w:rsidRPr="0099148A" w:rsidRDefault="006003DA" w:rsidP="00963E14">
            <w:pPr>
              <w:pStyle w:val="NormalWeb"/>
              <w:spacing w:before="0" w:beforeAutospacing="0" w:after="0" w:afterAutospacing="0"/>
              <w:jc w:val="center"/>
              <w:rPr>
                <w:rFonts w:ascii="Arial Narrow" w:hAnsi="Arial Narrow" w:cs="Arial"/>
                <w:color w:val="000000" w:themeColor="text1"/>
                <w:sz w:val="22"/>
                <w:szCs w:val="22"/>
              </w:rPr>
            </w:pPr>
            <w:r w:rsidRPr="0099148A">
              <w:rPr>
                <w:rFonts w:ascii="Arial Narrow" w:hAnsi="Arial Narrow" w:cs="Arial"/>
                <w:color w:val="000000" w:themeColor="text1"/>
                <w:sz w:val="22"/>
                <w:szCs w:val="22"/>
              </w:rPr>
              <w:t>83%</w:t>
            </w:r>
          </w:p>
        </w:tc>
      </w:tr>
    </w:tbl>
    <w:p w14:paraId="18CAA9EA" w14:textId="31E53660" w:rsidR="00F33661" w:rsidRDefault="00F33661" w:rsidP="00856859">
      <w:pPr>
        <w:pStyle w:val="NormalWeb"/>
        <w:spacing w:before="0" w:beforeAutospacing="0" w:after="0" w:afterAutospacing="0"/>
        <w:jc w:val="both"/>
        <w:rPr>
          <w:rFonts w:ascii="Arial" w:hAnsi="Arial" w:cs="Arial"/>
          <w:sz w:val="22"/>
          <w:szCs w:val="22"/>
          <w:u w:val="single"/>
        </w:rPr>
      </w:pPr>
    </w:p>
    <w:p w14:paraId="34BF29FC" w14:textId="00228FC4" w:rsidR="009C5BEC" w:rsidRPr="00876F4C" w:rsidRDefault="00311D7A" w:rsidP="00876F4C">
      <w:pPr>
        <w:autoSpaceDE w:val="0"/>
        <w:autoSpaceDN w:val="0"/>
        <w:adjustRightInd w:val="0"/>
        <w:jc w:val="both"/>
        <w:rPr>
          <w:rFonts w:ascii="Arial" w:hAnsi="Arial" w:cs="Arial"/>
          <w:sz w:val="22"/>
          <w:szCs w:val="22"/>
        </w:rPr>
      </w:pPr>
      <w:r>
        <w:rPr>
          <w:rFonts w:ascii="Arial" w:hAnsi="Arial" w:cs="Arial"/>
          <w:sz w:val="22"/>
          <w:szCs w:val="22"/>
        </w:rPr>
        <w:t xml:space="preserve">Factors </w:t>
      </w:r>
      <w:r w:rsidR="00B37F2F">
        <w:rPr>
          <w:rFonts w:ascii="Arial" w:hAnsi="Arial" w:cs="Arial"/>
          <w:sz w:val="22"/>
          <w:szCs w:val="22"/>
        </w:rPr>
        <w:t xml:space="preserve">that typically </w:t>
      </w:r>
      <w:r>
        <w:rPr>
          <w:rFonts w:ascii="Arial" w:hAnsi="Arial" w:cs="Arial"/>
          <w:sz w:val="22"/>
          <w:szCs w:val="22"/>
        </w:rPr>
        <w:t>contribut</w:t>
      </w:r>
      <w:r w:rsidR="00B37F2F">
        <w:rPr>
          <w:rFonts w:ascii="Arial" w:hAnsi="Arial" w:cs="Arial"/>
          <w:sz w:val="22"/>
          <w:szCs w:val="22"/>
        </w:rPr>
        <w:t>e</w:t>
      </w:r>
      <w:r>
        <w:rPr>
          <w:rFonts w:ascii="Arial" w:hAnsi="Arial" w:cs="Arial"/>
          <w:sz w:val="22"/>
          <w:szCs w:val="22"/>
        </w:rPr>
        <w:t xml:space="preserve"> </w:t>
      </w:r>
      <w:r w:rsidR="004C12FE">
        <w:rPr>
          <w:rFonts w:ascii="Arial" w:hAnsi="Arial" w:cs="Arial"/>
          <w:sz w:val="22"/>
          <w:szCs w:val="22"/>
        </w:rPr>
        <w:t>to i</w:t>
      </w:r>
      <w:r w:rsidR="004C12FE" w:rsidRPr="00311D7A">
        <w:rPr>
          <w:rFonts w:ascii="Arial" w:hAnsi="Arial" w:cs="Arial"/>
          <w:sz w:val="22"/>
          <w:szCs w:val="22"/>
        </w:rPr>
        <w:t>ncrease</w:t>
      </w:r>
      <w:r w:rsidR="004C12FE">
        <w:rPr>
          <w:rFonts w:ascii="Arial" w:hAnsi="Arial" w:cs="Arial"/>
          <w:sz w:val="22"/>
          <w:szCs w:val="22"/>
        </w:rPr>
        <w:t>s</w:t>
      </w:r>
      <w:r w:rsidR="004C12FE" w:rsidRPr="00311D7A">
        <w:rPr>
          <w:rFonts w:ascii="Arial" w:hAnsi="Arial" w:cs="Arial"/>
          <w:sz w:val="22"/>
          <w:szCs w:val="22"/>
        </w:rPr>
        <w:t xml:space="preserve"> in </w:t>
      </w:r>
      <w:r w:rsidR="004C12FE">
        <w:rPr>
          <w:rFonts w:ascii="Arial" w:hAnsi="Arial" w:cs="Arial"/>
          <w:sz w:val="22"/>
          <w:szCs w:val="22"/>
        </w:rPr>
        <w:t xml:space="preserve">utilization include </w:t>
      </w:r>
      <w:r w:rsidR="00CD1FF3">
        <w:rPr>
          <w:rFonts w:ascii="Arial" w:hAnsi="Arial" w:cs="Arial"/>
          <w:sz w:val="22"/>
          <w:szCs w:val="22"/>
        </w:rPr>
        <w:t>a</w:t>
      </w:r>
      <w:r w:rsidR="00AB2ABA">
        <w:rPr>
          <w:rFonts w:ascii="Arial" w:hAnsi="Arial" w:cs="Arial"/>
          <w:sz w:val="22"/>
          <w:szCs w:val="22"/>
        </w:rPr>
        <w:t xml:space="preserve"> high incidence of older patients</w:t>
      </w:r>
      <w:r w:rsidR="004C12FE">
        <w:rPr>
          <w:rFonts w:ascii="Arial" w:hAnsi="Arial" w:cs="Arial"/>
          <w:sz w:val="22"/>
          <w:szCs w:val="22"/>
        </w:rPr>
        <w:t xml:space="preserve"> </w:t>
      </w:r>
      <w:r w:rsidR="00AB2ABA">
        <w:rPr>
          <w:rFonts w:ascii="Arial" w:hAnsi="Arial" w:cs="Arial"/>
          <w:sz w:val="22"/>
          <w:szCs w:val="22"/>
        </w:rPr>
        <w:t xml:space="preserve">and a </w:t>
      </w:r>
      <w:r w:rsidR="006139D6">
        <w:rPr>
          <w:rFonts w:ascii="Arial" w:hAnsi="Arial" w:cs="Arial"/>
          <w:sz w:val="22"/>
          <w:szCs w:val="22"/>
        </w:rPr>
        <w:t xml:space="preserve">vulnerable </w:t>
      </w:r>
      <w:r w:rsidR="00AB2ABA">
        <w:rPr>
          <w:rFonts w:ascii="Arial" w:hAnsi="Arial" w:cs="Arial"/>
          <w:sz w:val="22"/>
          <w:szCs w:val="22"/>
        </w:rPr>
        <w:t>patient population</w:t>
      </w:r>
      <w:r w:rsidR="00564223">
        <w:rPr>
          <w:rFonts w:ascii="Arial" w:hAnsi="Arial" w:cs="Arial"/>
          <w:sz w:val="22"/>
          <w:szCs w:val="22"/>
        </w:rPr>
        <w:t>. B</w:t>
      </w:r>
      <w:r w:rsidR="004C12FE">
        <w:rPr>
          <w:rFonts w:ascii="Arial" w:hAnsi="Arial" w:cs="Arial"/>
          <w:sz w:val="22"/>
          <w:szCs w:val="22"/>
        </w:rPr>
        <w:t xml:space="preserve">oth </w:t>
      </w:r>
      <w:r w:rsidR="00D82D6A">
        <w:rPr>
          <w:rFonts w:ascii="Arial" w:hAnsi="Arial" w:cs="Arial"/>
          <w:sz w:val="22"/>
          <w:szCs w:val="22"/>
        </w:rPr>
        <w:t xml:space="preserve">of </w:t>
      </w:r>
      <w:r w:rsidR="00564223">
        <w:rPr>
          <w:rFonts w:ascii="Arial" w:hAnsi="Arial" w:cs="Arial"/>
          <w:sz w:val="22"/>
          <w:szCs w:val="22"/>
        </w:rPr>
        <w:t>these factors</w:t>
      </w:r>
      <w:r w:rsidR="004C12FE">
        <w:rPr>
          <w:rFonts w:ascii="Arial" w:hAnsi="Arial" w:cs="Arial"/>
          <w:sz w:val="22"/>
          <w:szCs w:val="22"/>
        </w:rPr>
        <w:t xml:space="preserve"> are </w:t>
      </w:r>
      <w:r w:rsidR="004C12FE" w:rsidRPr="00311D7A">
        <w:rPr>
          <w:rFonts w:ascii="Arial" w:hAnsi="Arial" w:cs="Arial"/>
          <w:sz w:val="22"/>
          <w:szCs w:val="22"/>
        </w:rPr>
        <w:t>detailed in the Hospital’s patient panel data</w:t>
      </w:r>
      <w:r w:rsidR="00240E94">
        <w:rPr>
          <w:rFonts w:ascii="Arial" w:hAnsi="Arial" w:cs="Arial"/>
          <w:sz w:val="22"/>
          <w:szCs w:val="22"/>
        </w:rPr>
        <w:t>.</w:t>
      </w:r>
      <w:r w:rsidR="00564223">
        <w:rPr>
          <w:rFonts w:ascii="Arial" w:hAnsi="Arial" w:cs="Arial"/>
          <w:sz w:val="22"/>
          <w:szCs w:val="22"/>
        </w:rPr>
        <w:t xml:space="preserve"> </w:t>
      </w:r>
      <w:r w:rsidR="00240E94">
        <w:rPr>
          <w:rFonts w:ascii="Arial" w:hAnsi="Arial" w:cs="Arial"/>
          <w:sz w:val="22"/>
          <w:szCs w:val="22"/>
        </w:rPr>
        <w:t>A</w:t>
      </w:r>
      <w:r w:rsidR="00564223">
        <w:rPr>
          <w:rFonts w:ascii="Arial" w:hAnsi="Arial" w:cs="Arial"/>
          <w:sz w:val="22"/>
          <w:szCs w:val="22"/>
        </w:rPr>
        <w:t xml:space="preserve">s outlined in </w:t>
      </w:r>
      <w:r w:rsidR="00564223" w:rsidRPr="00564223">
        <w:rPr>
          <w:rFonts w:ascii="Arial" w:hAnsi="Arial" w:cs="Arial"/>
          <w:sz w:val="22"/>
          <w:szCs w:val="22"/>
        </w:rPr>
        <w:t>Factor F1.a.i</w:t>
      </w:r>
      <w:r w:rsidR="00862EC2">
        <w:rPr>
          <w:rFonts w:ascii="Arial" w:hAnsi="Arial" w:cs="Arial"/>
          <w:sz w:val="22"/>
          <w:szCs w:val="22"/>
        </w:rPr>
        <w:t>,</w:t>
      </w:r>
      <w:r w:rsidR="009C5BEC">
        <w:rPr>
          <w:rFonts w:ascii="Arial" w:hAnsi="Arial" w:cs="Arial"/>
          <w:sz w:val="22"/>
          <w:szCs w:val="22"/>
        </w:rPr>
        <w:t xml:space="preserve"> </w:t>
      </w:r>
      <w:r w:rsidR="00564223">
        <w:rPr>
          <w:rFonts w:ascii="Arial" w:hAnsi="Arial" w:cs="Arial"/>
          <w:sz w:val="22"/>
          <w:szCs w:val="22"/>
        </w:rPr>
        <w:t xml:space="preserve">patients 65+ account for 36.5% of BMC’s </w:t>
      </w:r>
      <w:r w:rsidR="00564223" w:rsidRPr="00D836EB">
        <w:rPr>
          <w:rFonts w:ascii="ArialMT" w:hAnsi="ArialMT"/>
          <w:sz w:val="22"/>
          <w:szCs w:val="22"/>
        </w:rPr>
        <w:t>medical/surgical patient</w:t>
      </w:r>
      <w:r w:rsidR="00564223">
        <w:rPr>
          <w:rFonts w:ascii="ArialMT" w:hAnsi="ArialMT"/>
          <w:sz w:val="22"/>
          <w:szCs w:val="22"/>
        </w:rPr>
        <w:t xml:space="preserve"> panel</w:t>
      </w:r>
      <w:r w:rsidR="00564223" w:rsidRPr="00D836EB">
        <w:rPr>
          <w:rFonts w:ascii="ArialMT" w:hAnsi="ArialMT"/>
          <w:sz w:val="22"/>
          <w:szCs w:val="22"/>
        </w:rPr>
        <w:t xml:space="preserve"> </w:t>
      </w:r>
      <w:r w:rsidR="00564223">
        <w:rPr>
          <w:rFonts w:ascii="ArialMT" w:hAnsi="ArialMT"/>
          <w:sz w:val="22"/>
          <w:szCs w:val="22"/>
        </w:rPr>
        <w:t>and 40.2% of its ICU patient panel</w:t>
      </w:r>
      <w:r w:rsidR="001C3BC7">
        <w:rPr>
          <w:rFonts w:ascii="ArialMT" w:hAnsi="ArialMT"/>
          <w:sz w:val="22"/>
          <w:szCs w:val="22"/>
        </w:rPr>
        <w:t>. Furthermore,</w:t>
      </w:r>
      <w:r w:rsidR="00862EC2">
        <w:rPr>
          <w:rFonts w:ascii="ArialMT" w:hAnsi="ArialMT"/>
          <w:sz w:val="22"/>
          <w:szCs w:val="22"/>
        </w:rPr>
        <w:t xml:space="preserve"> the majority of communities that BMC serves are Boston </w:t>
      </w:r>
      <w:r w:rsidR="00862EC2" w:rsidRPr="00862EC2">
        <w:rPr>
          <w:rFonts w:ascii="Arial" w:hAnsi="Arial" w:cs="Arial"/>
          <w:sz w:val="22"/>
          <w:szCs w:val="22"/>
        </w:rPr>
        <w:t>census tracts that are federally</w:t>
      </w:r>
      <w:r w:rsidR="006003DA">
        <w:rPr>
          <w:rFonts w:ascii="Arial" w:hAnsi="Arial" w:cs="Arial"/>
          <w:sz w:val="22"/>
          <w:szCs w:val="22"/>
        </w:rPr>
        <w:t>-</w:t>
      </w:r>
      <w:r w:rsidR="00862EC2" w:rsidRPr="00862EC2">
        <w:rPr>
          <w:rFonts w:ascii="Arial" w:hAnsi="Arial" w:cs="Arial"/>
          <w:sz w:val="22"/>
          <w:szCs w:val="22"/>
        </w:rPr>
        <w:t xml:space="preserve">designated medically underserved populations, many of which experience a high percentage of patients impacted by homelessness and </w:t>
      </w:r>
      <w:r w:rsidR="00283E52">
        <w:rPr>
          <w:rFonts w:ascii="Arial" w:hAnsi="Arial" w:cs="Arial"/>
          <w:sz w:val="22"/>
          <w:szCs w:val="22"/>
        </w:rPr>
        <w:t>SUDs</w:t>
      </w:r>
      <w:r w:rsidR="00862EC2" w:rsidRPr="00862EC2">
        <w:rPr>
          <w:rFonts w:ascii="Arial" w:hAnsi="Arial" w:cs="Arial"/>
          <w:sz w:val="22"/>
          <w:szCs w:val="22"/>
        </w:rPr>
        <w:t xml:space="preserve">. </w:t>
      </w:r>
      <w:r w:rsidR="00AB2ABA">
        <w:rPr>
          <w:rFonts w:ascii="Arial" w:hAnsi="Arial" w:cs="Arial"/>
          <w:sz w:val="22"/>
          <w:szCs w:val="22"/>
        </w:rPr>
        <w:t xml:space="preserve">Table 13 </w:t>
      </w:r>
      <w:r w:rsidR="00D82D6A">
        <w:rPr>
          <w:rFonts w:ascii="Arial" w:hAnsi="Arial" w:cs="Arial"/>
          <w:sz w:val="22"/>
          <w:szCs w:val="22"/>
        </w:rPr>
        <w:t xml:space="preserve">demonstrates </w:t>
      </w:r>
      <w:r w:rsidR="00862EC2">
        <w:rPr>
          <w:rFonts w:ascii="Arial" w:hAnsi="Arial" w:cs="Arial"/>
          <w:sz w:val="22"/>
          <w:szCs w:val="22"/>
        </w:rPr>
        <w:t xml:space="preserve">the impact of these factors. </w:t>
      </w:r>
      <w:r w:rsidR="001C3BC7">
        <w:rPr>
          <w:rFonts w:ascii="Arial" w:hAnsi="Arial" w:cs="Arial"/>
          <w:sz w:val="22"/>
          <w:szCs w:val="22"/>
        </w:rPr>
        <w:t>T</w:t>
      </w:r>
      <w:r w:rsidR="00862EC2" w:rsidRPr="00EB7989">
        <w:rPr>
          <w:rFonts w:ascii="Arial" w:hAnsi="Arial" w:cs="Arial"/>
          <w:sz w:val="22"/>
          <w:szCs w:val="22"/>
        </w:rPr>
        <w:t xml:space="preserve">he table shows </w:t>
      </w:r>
      <w:r w:rsidR="00D82D6A" w:rsidRPr="00EB7989">
        <w:rPr>
          <w:rFonts w:ascii="Arial" w:hAnsi="Arial" w:cs="Arial"/>
          <w:sz w:val="22"/>
          <w:szCs w:val="22"/>
        </w:rPr>
        <w:t xml:space="preserve">that although patients 65+ </w:t>
      </w:r>
      <w:r w:rsidR="00C711F4" w:rsidRPr="00EB7989">
        <w:rPr>
          <w:rFonts w:ascii="Arial" w:hAnsi="Arial" w:cs="Arial"/>
          <w:sz w:val="22"/>
          <w:szCs w:val="22"/>
        </w:rPr>
        <w:t>account for greater than one-third of BMC’s inpatient bed panel</w:t>
      </w:r>
      <w:r w:rsidR="00BA1F14" w:rsidRPr="00EB7989">
        <w:rPr>
          <w:rFonts w:ascii="Arial" w:hAnsi="Arial" w:cs="Arial"/>
          <w:sz w:val="22"/>
          <w:szCs w:val="22"/>
        </w:rPr>
        <w:t xml:space="preserve"> discharges</w:t>
      </w:r>
      <w:r w:rsidR="00C711F4" w:rsidRPr="00EB7989">
        <w:rPr>
          <w:rFonts w:ascii="Arial" w:hAnsi="Arial" w:cs="Arial"/>
          <w:sz w:val="22"/>
          <w:szCs w:val="22"/>
        </w:rPr>
        <w:t xml:space="preserve">, </w:t>
      </w:r>
      <w:r w:rsidR="00EB7989" w:rsidRPr="00EB7989">
        <w:rPr>
          <w:rFonts w:ascii="Arial" w:hAnsi="Arial" w:cs="Arial"/>
          <w:sz w:val="22"/>
          <w:szCs w:val="22"/>
        </w:rPr>
        <w:t xml:space="preserve">experience greater ALOS, </w:t>
      </w:r>
      <w:r w:rsidR="00CC4031" w:rsidRPr="00EB7989">
        <w:rPr>
          <w:rFonts w:ascii="Arial" w:hAnsi="Arial" w:cs="Arial"/>
          <w:sz w:val="22"/>
          <w:szCs w:val="22"/>
        </w:rPr>
        <w:t xml:space="preserve">and </w:t>
      </w:r>
      <w:r w:rsidR="00D82D6A" w:rsidRPr="00EB7989">
        <w:rPr>
          <w:rFonts w:ascii="Arial" w:hAnsi="Arial" w:cs="Arial"/>
          <w:sz w:val="22"/>
          <w:szCs w:val="22"/>
        </w:rPr>
        <w:t>represent a higher acuity</w:t>
      </w:r>
      <w:r w:rsidR="00876F4C" w:rsidRPr="00EB7989">
        <w:rPr>
          <w:rFonts w:ascii="Arial" w:hAnsi="Arial" w:cs="Arial"/>
          <w:sz w:val="22"/>
          <w:szCs w:val="22"/>
        </w:rPr>
        <w:t xml:space="preserve"> </w:t>
      </w:r>
      <w:r w:rsidR="002F4C1C" w:rsidRPr="00EB7989">
        <w:rPr>
          <w:rFonts w:ascii="Arial" w:hAnsi="Arial" w:cs="Arial"/>
          <w:sz w:val="22"/>
          <w:szCs w:val="22"/>
        </w:rPr>
        <w:t>as compared with</w:t>
      </w:r>
      <w:r w:rsidR="00D82D6A" w:rsidRPr="00EB7989">
        <w:rPr>
          <w:rFonts w:ascii="Arial" w:hAnsi="Arial" w:cs="Arial"/>
          <w:sz w:val="22"/>
          <w:szCs w:val="22"/>
        </w:rPr>
        <w:t xml:space="preserve"> other age cohorts within </w:t>
      </w:r>
      <w:r w:rsidR="00C711F4" w:rsidRPr="00EB7989">
        <w:rPr>
          <w:rFonts w:ascii="Arial" w:hAnsi="Arial" w:cs="Arial"/>
          <w:sz w:val="22"/>
          <w:szCs w:val="22"/>
        </w:rPr>
        <w:t>the panel</w:t>
      </w:r>
      <w:r w:rsidR="00D82D6A" w:rsidRPr="00EB7989">
        <w:rPr>
          <w:rFonts w:ascii="Arial" w:hAnsi="Arial" w:cs="Arial"/>
          <w:sz w:val="22"/>
          <w:szCs w:val="22"/>
        </w:rPr>
        <w:t>,</w:t>
      </w:r>
      <w:r w:rsidR="00D82D6A">
        <w:rPr>
          <w:rFonts w:ascii="Arial" w:hAnsi="Arial" w:cs="Arial"/>
          <w:sz w:val="22"/>
          <w:szCs w:val="22"/>
        </w:rPr>
        <w:t xml:space="preserve"> </w:t>
      </w:r>
      <w:r w:rsidR="001A38F9">
        <w:rPr>
          <w:rFonts w:ascii="Arial" w:hAnsi="Arial" w:cs="Arial"/>
          <w:sz w:val="22"/>
          <w:szCs w:val="22"/>
        </w:rPr>
        <w:t xml:space="preserve">utilization and </w:t>
      </w:r>
      <w:r w:rsidR="00D82D6A">
        <w:rPr>
          <w:rFonts w:ascii="Arial" w:hAnsi="Arial" w:cs="Arial"/>
          <w:sz w:val="22"/>
          <w:szCs w:val="22"/>
        </w:rPr>
        <w:t xml:space="preserve">acuity </w:t>
      </w:r>
      <w:r w:rsidR="001A38F9">
        <w:rPr>
          <w:rFonts w:ascii="Arial" w:hAnsi="Arial" w:cs="Arial"/>
          <w:sz w:val="22"/>
          <w:szCs w:val="22"/>
        </w:rPr>
        <w:t xml:space="preserve">are </w:t>
      </w:r>
      <w:r w:rsidR="00D82D6A">
        <w:rPr>
          <w:rFonts w:ascii="Arial" w:hAnsi="Arial" w:cs="Arial"/>
          <w:sz w:val="22"/>
          <w:szCs w:val="22"/>
        </w:rPr>
        <w:t>nonetheless high among all age groups</w:t>
      </w:r>
      <w:r w:rsidR="002F4C1C">
        <w:rPr>
          <w:rFonts w:ascii="Arial" w:hAnsi="Arial" w:cs="Arial"/>
          <w:sz w:val="22"/>
          <w:szCs w:val="22"/>
        </w:rPr>
        <w:t xml:space="preserve"> within the panel</w:t>
      </w:r>
      <w:r w:rsidR="00D82D6A">
        <w:rPr>
          <w:rFonts w:ascii="Arial" w:hAnsi="Arial" w:cs="Arial"/>
          <w:sz w:val="22"/>
          <w:szCs w:val="22"/>
        </w:rPr>
        <w:t>.</w:t>
      </w:r>
      <w:r w:rsidR="002F4C1C">
        <w:rPr>
          <w:rFonts w:ascii="Arial" w:hAnsi="Arial" w:cs="Arial"/>
          <w:sz w:val="22"/>
          <w:szCs w:val="22"/>
        </w:rPr>
        <w:t xml:space="preserve"> </w:t>
      </w:r>
      <w:r w:rsidR="00823414">
        <w:rPr>
          <w:rFonts w:ascii="Arial" w:hAnsi="Arial" w:cs="Arial"/>
          <w:sz w:val="22"/>
          <w:szCs w:val="22"/>
        </w:rPr>
        <w:t xml:space="preserve">Such consistently high rates among all age groups </w:t>
      </w:r>
      <w:r w:rsidR="00876F4C">
        <w:rPr>
          <w:rFonts w:ascii="Arial" w:hAnsi="Arial" w:cs="Arial"/>
          <w:sz w:val="22"/>
          <w:szCs w:val="22"/>
        </w:rPr>
        <w:t xml:space="preserve">are reflective of BMC’s status as New England’s largest safety net </w:t>
      </w:r>
      <w:r w:rsidR="00A81FD3">
        <w:rPr>
          <w:rFonts w:ascii="Arial" w:hAnsi="Arial" w:cs="Arial"/>
          <w:sz w:val="22"/>
          <w:szCs w:val="22"/>
        </w:rPr>
        <w:t xml:space="preserve">hospital </w:t>
      </w:r>
      <w:r w:rsidR="00876F4C">
        <w:rPr>
          <w:rFonts w:ascii="Arial" w:hAnsi="Arial" w:cs="Arial"/>
          <w:sz w:val="22"/>
          <w:szCs w:val="22"/>
        </w:rPr>
        <w:t xml:space="preserve">serving the area’s </w:t>
      </w:r>
      <w:r w:rsidR="00876F4C" w:rsidRPr="00876F4C">
        <w:rPr>
          <w:rFonts w:ascii="Arial" w:hAnsi="Arial" w:cs="Arial"/>
          <w:sz w:val="22"/>
          <w:szCs w:val="22"/>
        </w:rPr>
        <w:t>most vulnerable patient population</w:t>
      </w:r>
      <w:r w:rsidR="00ED1F0C">
        <w:rPr>
          <w:rFonts w:ascii="Arial" w:hAnsi="Arial" w:cs="Arial"/>
          <w:sz w:val="22"/>
          <w:szCs w:val="22"/>
        </w:rPr>
        <w:t xml:space="preserve"> and </w:t>
      </w:r>
      <w:r w:rsidR="00AE6B58">
        <w:rPr>
          <w:rFonts w:ascii="Arial" w:hAnsi="Arial" w:cs="Arial"/>
          <w:sz w:val="22"/>
          <w:szCs w:val="22"/>
        </w:rPr>
        <w:t xml:space="preserve">further </w:t>
      </w:r>
      <w:r w:rsidR="00ED1F0C">
        <w:rPr>
          <w:rFonts w:ascii="Arial" w:hAnsi="Arial" w:cs="Arial"/>
          <w:sz w:val="22"/>
          <w:szCs w:val="22"/>
        </w:rPr>
        <w:t xml:space="preserve">illustrate the </w:t>
      </w:r>
      <w:r w:rsidR="00A81FD3">
        <w:rPr>
          <w:rFonts w:ascii="Arial" w:hAnsi="Arial" w:cs="Arial"/>
          <w:sz w:val="22"/>
          <w:szCs w:val="22"/>
        </w:rPr>
        <w:t xml:space="preserve">need </w:t>
      </w:r>
      <w:r w:rsidR="00ED1F0C">
        <w:rPr>
          <w:rFonts w:ascii="Arial" w:hAnsi="Arial" w:cs="Arial"/>
          <w:sz w:val="22"/>
          <w:szCs w:val="22"/>
        </w:rPr>
        <w:t>for the Proposed Project</w:t>
      </w:r>
      <w:r w:rsidR="00876F4C">
        <w:rPr>
          <w:rFonts w:ascii="Arial" w:hAnsi="Arial" w:cs="Arial"/>
          <w:sz w:val="22"/>
          <w:szCs w:val="22"/>
        </w:rPr>
        <w:t>.</w:t>
      </w:r>
    </w:p>
    <w:p w14:paraId="3826C1CE" w14:textId="77777777" w:rsidR="00FC796F" w:rsidRDefault="00FC796F" w:rsidP="00856859">
      <w:pPr>
        <w:pStyle w:val="NormalWeb"/>
        <w:spacing w:before="0" w:beforeAutospacing="0" w:after="0" w:afterAutospacing="0"/>
        <w:jc w:val="both"/>
        <w:rPr>
          <w:rFonts w:ascii="Arial Narrow" w:hAnsi="Arial Narrow" w:cs="Arial"/>
          <w:b/>
          <w:bCs/>
          <w:sz w:val="22"/>
          <w:szCs w:val="22"/>
        </w:rPr>
      </w:pPr>
    </w:p>
    <w:p w14:paraId="4678AE56" w14:textId="59554AE3" w:rsidR="00564223" w:rsidRDefault="00EF2090" w:rsidP="00856859">
      <w:pPr>
        <w:pStyle w:val="NormalWeb"/>
        <w:spacing w:before="0" w:beforeAutospacing="0" w:after="0" w:afterAutospacing="0"/>
        <w:jc w:val="both"/>
        <w:rPr>
          <w:rFonts w:ascii="Arial" w:hAnsi="Arial" w:cs="Arial"/>
          <w:sz w:val="22"/>
          <w:szCs w:val="22"/>
          <w:u w:val="single"/>
        </w:rPr>
      </w:pPr>
      <w:r w:rsidRPr="00EF2090">
        <w:rPr>
          <w:rFonts w:ascii="Arial Narrow" w:hAnsi="Arial Narrow" w:cs="Arial"/>
          <w:b/>
          <w:bCs/>
          <w:sz w:val="22"/>
          <w:szCs w:val="22"/>
        </w:rPr>
        <w:t>Table 13: BMC Inpatient Bed Historical Utilization by Age (COVID-19 and Non-COVID-19)</w:t>
      </w:r>
    </w:p>
    <w:tbl>
      <w:tblPr>
        <w:tblStyle w:val="TableGrid"/>
        <w:tblW w:w="9333" w:type="dxa"/>
        <w:jc w:val="center"/>
        <w:tblLayout w:type="fixed"/>
        <w:tblLook w:val="04A0" w:firstRow="1" w:lastRow="0" w:firstColumn="1" w:lastColumn="0" w:noHBand="0" w:noVBand="1"/>
      </w:tblPr>
      <w:tblGrid>
        <w:gridCol w:w="1506"/>
        <w:gridCol w:w="9"/>
        <w:gridCol w:w="810"/>
        <w:gridCol w:w="22"/>
        <w:gridCol w:w="841"/>
        <w:gridCol w:w="37"/>
        <w:gridCol w:w="810"/>
        <w:gridCol w:w="900"/>
        <w:gridCol w:w="38"/>
        <w:gridCol w:w="938"/>
        <w:gridCol w:w="14"/>
        <w:gridCol w:w="900"/>
        <w:gridCol w:w="25"/>
        <w:gridCol w:w="785"/>
        <w:gridCol w:w="41"/>
        <w:gridCol w:w="826"/>
        <w:gridCol w:w="33"/>
        <w:gridCol w:w="798"/>
      </w:tblGrid>
      <w:tr w:rsidR="005637E4" w14:paraId="37130389" w14:textId="77777777" w:rsidTr="0075276B">
        <w:trPr>
          <w:cantSplit/>
          <w:tblHeader/>
          <w:jc w:val="center"/>
        </w:trPr>
        <w:tc>
          <w:tcPr>
            <w:tcW w:w="1506" w:type="dxa"/>
            <w:tcBorders>
              <w:top w:val="single" w:sz="12" w:space="0" w:color="auto"/>
              <w:left w:val="single" w:sz="12" w:space="0" w:color="auto"/>
              <w:right w:val="single" w:sz="12" w:space="0" w:color="auto"/>
            </w:tcBorders>
            <w:shd w:val="clear" w:color="auto" w:fill="8DA9DB"/>
          </w:tcPr>
          <w:p w14:paraId="33F77807" w14:textId="77777777" w:rsidR="005637E4" w:rsidRPr="00F80B42" w:rsidRDefault="005637E4" w:rsidP="00963E14">
            <w:pPr>
              <w:pStyle w:val="NormalWeb"/>
              <w:spacing w:before="0" w:beforeAutospacing="0" w:after="0" w:afterAutospacing="0"/>
              <w:jc w:val="center"/>
              <w:rPr>
                <w:rFonts w:ascii="Arial Narrow" w:hAnsi="Arial Narrow" w:cs="Arial"/>
                <w:sz w:val="22"/>
                <w:szCs w:val="22"/>
              </w:rPr>
            </w:pPr>
          </w:p>
        </w:tc>
        <w:tc>
          <w:tcPr>
            <w:tcW w:w="2529" w:type="dxa"/>
            <w:gridSpan w:val="6"/>
            <w:tcBorders>
              <w:top w:val="single" w:sz="12" w:space="0" w:color="auto"/>
              <w:left w:val="single" w:sz="12" w:space="0" w:color="auto"/>
              <w:right w:val="single" w:sz="12" w:space="0" w:color="auto"/>
            </w:tcBorders>
            <w:shd w:val="clear" w:color="auto" w:fill="8DA9DB"/>
          </w:tcPr>
          <w:p w14:paraId="37C4844D" w14:textId="77777777"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Discharges</w:t>
            </w:r>
          </w:p>
        </w:tc>
        <w:tc>
          <w:tcPr>
            <w:tcW w:w="2815" w:type="dxa"/>
            <w:gridSpan w:val="6"/>
            <w:tcBorders>
              <w:top w:val="single" w:sz="12" w:space="0" w:color="auto"/>
              <w:left w:val="single" w:sz="12" w:space="0" w:color="auto"/>
              <w:right w:val="single" w:sz="12" w:space="0" w:color="auto"/>
            </w:tcBorders>
            <w:shd w:val="clear" w:color="auto" w:fill="8DA9DB"/>
            <w:vAlign w:val="center"/>
          </w:tcPr>
          <w:p w14:paraId="09145D0F" w14:textId="77777777"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ALOS</w:t>
            </w:r>
          </w:p>
        </w:tc>
        <w:tc>
          <w:tcPr>
            <w:tcW w:w="2483" w:type="dxa"/>
            <w:gridSpan w:val="5"/>
            <w:tcBorders>
              <w:top w:val="single" w:sz="12" w:space="0" w:color="auto"/>
              <w:left w:val="single" w:sz="12" w:space="0" w:color="auto"/>
              <w:right w:val="single" w:sz="12" w:space="0" w:color="auto"/>
            </w:tcBorders>
            <w:shd w:val="clear" w:color="auto" w:fill="8DA9DB"/>
            <w:vAlign w:val="center"/>
          </w:tcPr>
          <w:p w14:paraId="6D42CF2E" w14:textId="2754A3D0"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Average Case Weight</w:t>
            </w:r>
          </w:p>
        </w:tc>
      </w:tr>
      <w:tr w:rsidR="005637E4" w14:paraId="6B5B2ADF" w14:textId="77777777" w:rsidTr="0075276B">
        <w:trPr>
          <w:cantSplit/>
          <w:tblHeader/>
          <w:jc w:val="center"/>
        </w:trPr>
        <w:tc>
          <w:tcPr>
            <w:tcW w:w="1506" w:type="dxa"/>
            <w:tcBorders>
              <w:left w:val="single" w:sz="12" w:space="0" w:color="auto"/>
              <w:bottom w:val="single" w:sz="12" w:space="0" w:color="auto"/>
              <w:right w:val="single" w:sz="12" w:space="0" w:color="auto"/>
            </w:tcBorders>
            <w:shd w:val="clear" w:color="auto" w:fill="BFBFBF"/>
          </w:tcPr>
          <w:p w14:paraId="6F7B60EE" w14:textId="77777777" w:rsidR="005637E4" w:rsidRPr="00F80B42" w:rsidRDefault="005637E4" w:rsidP="00963E14">
            <w:pPr>
              <w:pStyle w:val="NormalWeb"/>
              <w:spacing w:before="0" w:beforeAutospacing="0" w:after="0" w:afterAutospacing="0"/>
              <w:jc w:val="both"/>
              <w:rPr>
                <w:rFonts w:ascii="Arial Narrow" w:hAnsi="Arial Narrow" w:cs="Arial"/>
                <w:b/>
                <w:bCs/>
                <w:sz w:val="22"/>
                <w:szCs w:val="22"/>
              </w:rPr>
            </w:pPr>
          </w:p>
        </w:tc>
        <w:tc>
          <w:tcPr>
            <w:tcW w:w="841" w:type="dxa"/>
            <w:gridSpan w:val="3"/>
            <w:tcBorders>
              <w:left w:val="single" w:sz="12" w:space="0" w:color="auto"/>
              <w:bottom w:val="single" w:sz="12" w:space="0" w:color="auto"/>
              <w:right w:val="single" w:sz="4" w:space="0" w:color="auto"/>
            </w:tcBorders>
            <w:shd w:val="clear" w:color="auto" w:fill="BFBFBF"/>
          </w:tcPr>
          <w:p w14:paraId="6B427335" w14:textId="51A34F3C" w:rsidR="005637E4"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841" w:type="dxa"/>
            <w:tcBorders>
              <w:left w:val="single" w:sz="4" w:space="0" w:color="auto"/>
              <w:bottom w:val="single" w:sz="12" w:space="0" w:color="auto"/>
            </w:tcBorders>
            <w:shd w:val="clear" w:color="auto" w:fill="BFBFBF"/>
            <w:vAlign w:val="center"/>
          </w:tcPr>
          <w:p w14:paraId="6F4AB60E" w14:textId="4C7BD606"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847" w:type="dxa"/>
            <w:gridSpan w:val="2"/>
            <w:tcBorders>
              <w:bottom w:val="single" w:sz="12" w:space="0" w:color="auto"/>
              <w:right w:val="single" w:sz="12" w:space="0" w:color="auto"/>
            </w:tcBorders>
            <w:shd w:val="clear" w:color="auto" w:fill="BFBFBF"/>
          </w:tcPr>
          <w:p w14:paraId="20373664" w14:textId="1D91A548" w:rsidR="005637E4"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c>
          <w:tcPr>
            <w:tcW w:w="938" w:type="dxa"/>
            <w:gridSpan w:val="2"/>
            <w:tcBorders>
              <w:left w:val="single" w:sz="12" w:space="0" w:color="auto"/>
              <w:bottom w:val="single" w:sz="12" w:space="0" w:color="auto"/>
              <w:right w:val="single" w:sz="4" w:space="0" w:color="auto"/>
            </w:tcBorders>
            <w:shd w:val="clear" w:color="auto" w:fill="BFBFBF"/>
            <w:vAlign w:val="center"/>
          </w:tcPr>
          <w:p w14:paraId="012E6530" w14:textId="4C803F52"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938" w:type="dxa"/>
            <w:tcBorders>
              <w:left w:val="single" w:sz="4" w:space="0" w:color="auto"/>
              <w:bottom w:val="single" w:sz="12" w:space="0" w:color="auto"/>
              <w:right w:val="single" w:sz="4" w:space="0" w:color="auto"/>
            </w:tcBorders>
            <w:shd w:val="clear" w:color="auto" w:fill="BFBFBF"/>
            <w:vAlign w:val="center"/>
          </w:tcPr>
          <w:p w14:paraId="6BEC8128" w14:textId="6D6B2EA4"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939" w:type="dxa"/>
            <w:gridSpan w:val="3"/>
            <w:tcBorders>
              <w:left w:val="single" w:sz="4" w:space="0" w:color="auto"/>
              <w:bottom w:val="single" w:sz="12" w:space="0" w:color="auto"/>
              <w:right w:val="single" w:sz="12" w:space="0" w:color="auto"/>
            </w:tcBorders>
            <w:shd w:val="clear" w:color="auto" w:fill="BFBFBF"/>
            <w:vAlign w:val="center"/>
          </w:tcPr>
          <w:p w14:paraId="6B23C780" w14:textId="67E2CDD9"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c>
          <w:tcPr>
            <w:tcW w:w="826" w:type="dxa"/>
            <w:gridSpan w:val="2"/>
            <w:tcBorders>
              <w:left w:val="single" w:sz="12" w:space="0" w:color="auto"/>
              <w:bottom w:val="single" w:sz="12" w:space="0" w:color="auto"/>
              <w:right w:val="single" w:sz="4" w:space="0" w:color="auto"/>
            </w:tcBorders>
            <w:shd w:val="clear" w:color="auto" w:fill="BFBFBF"/>
          </w:tcPr>
          <w:p w14:paraId="56A97B80" w14:textId="311218D5" w:rsidR="005637E4"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826" w:type="dxa"/>
            <w:tcBorders>
              <w:left w:val="single" w:sz="4" w:space="0" w:color="auto"/>
              <w:bottom w:val="single" w:sz="12" w:space="0" w:color="auto"/>
            </w:tcBorders>
            <w:shd w:val="clear" w:color="auto" w:fill="BFBFBF"/>
            <w:vAlign w:val="center"/>
          </w:tcPr>
          <w:p w14:paraId="3EF3BD09" w14:textId="67E03468"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831" w:type="dxa"/>
            <w:gridSpan w:val="2"/>
            <w:tcBorders>
              <w:bottom w:val="single" w:sz="12" w:space="0" w:color="auto"/>
              <w:right w:val="single" w:sz="12" w:space="0" w:color="auto"/>
            </w:tcBorders>
            <w:shd w:val="clear" w:color="auto" w:fill="BFBFBF"/>
            <w:vAlign w:val="center"/>
          </w:tcPr>
          <w:p w14:paraId="27A7CC73" w14:textId="1419CA7B" w:rsidR="005637E4" w:rsidRPr="00F80B42" w:rsidRDefault="005637E4"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r>
      <w:tr w:rsidR="0075276B" w14:paraId="4A30EDC5" w14:textId="77777777" w:rsidTr="0075276B">
        <w:trPr>
          <w:cantSplit/>
          <w:jc w:val="center"/>
        </w:trPr>
        <w:tc>
          <w:tcPr>
            <w:tcW w:w="1515"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A0D737C" w14:textId="254F1DA2" w:rsidR="0075276B" w:rsidRPr="00F80B42" w:rsidRDefault="0075276B" w:rsidP="00963E14">
            <w:pPr>
              <w:pStyle w:val="NormalWeb"/>
              <w:spacing w:before="0" w:beforeAutospacing="0" w:after="0" w:afterAutospacing="0"/>
              <w:rPr>
                <w:rFonts w:ascii="Arial Narrow" w:hAnsi="Arial Narrow" w:cs="Arial"/>
                <w:sz w:val="22"/>
                <w:szCs w:val="22"/>
              </w:rPr>
            </w:pPr>
            <w:r w:rsidRPr="00F80B42">
              <w:rPr>
                <w:rFonts w:ascii="Arial Narrow" w:hAnsi="Arial Narrow" w:cs="Arial"/>
                <w:b/>
                <w:bCs/>
                <w:sz w:val="22"/>
                <w:szCs w:val="22"/>
              </w:rPr>
              <w:t>Medical/</w:t>
            </w:r>
            <w:r>
              <w:rPr>
                <w:rFonts w:ascii="Arial Narrow" w:hAnsi="Arial Narrow" w:cs="Arial"/>
                <w:b/>
                <w:bCs/>
                <w:sz w:val="22"/>
                <w:szCs w:val="22"/>
              </w:rPr>
              <w:t xml:space="preserve"> </w:t>
            </w:r>
            <w:r w:rsidRPr="00F80B42">
              <w:rPr>
                <w:rFonts w:ascii="Arial Narrow" w:hAnsi="Arial Narrow" w:cs="Arial"/>
                <w:b/>
                <w:bCs/>
                <w:sz w:val="22"/>
                <w:szCs w:val="22"/>
              </w:rPr>
              <w:t>Surgical</w:t>
            </w:r>
          </w:p>
        </w:tc>
        <w:tc>
          <w:tcPr>
            <w:tcW w:w="81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11434FD"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900" w:type="dxa"/>
            <w:gridSpan w:val="3"/>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F4198B0"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81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28B7C6B"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90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C30DEAC"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990" w:type="dxa"/>
            <w:gridSpan w:val="3"/>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9DB6976"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90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169D32B"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3D709D7"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900" w:type="dxa"/>
            <w:gridSpan w:val="3"/>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BA14243" w14:textId="77777777" w:rsidR="0075276B" w:rsidRPr="00F80B42" w:rsidRDefault="0075276B" w:rsidP="00963E14">
            <w:pPr>
              <w:pStyle w:val="NormalWeb"/>
              <w:spacing w:before="0" w:beforeAutospacing="0" w:after="0" w:afterAutospacing="0"/>
              <w:rPr>
                <w:rFonts w:ascii="Arial Narrow" w:hAnsi="Arial Narrow" w:cs="Arial"/>
                <w:sz w:val="22"/>
                <w:szCs w:val="22"/>
              </w:rPr>
            </w:pPr>
          </w:p>
        </w:tc>
        <w:tc>
          <w:tcPr>
            <w:tcW w:w="798"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38897B6" w14:textId="0C1FC677" w:rsidR="0075276B" w:rsidRPr="00F80B42" w:rsidRDefault="0075276B" w:rsidP="00963E14">
            <w:pPr>
              <w:pStyle w:val="NormalWeb"/>
              <w:spacing w:before="0" w:beforeAutospacing="0" w:after="0" w:afterAutospacing="0"/>
              <w:rPr>
                <w:rFonts w:ascii="Arial Narrow" w:hAnsi="Arial Narrow" w:cs="Arial"/>
                <w:sz w:val="22"/>
                <w:szCs w:val="22"/>
              </w:rPr>
            </w:pPr>
          </w:p>
        </w:tc>
      </w:tr>
      <w:tr w:rsidR="005637E4" w14:paraId="0F860FED" w14:textId="77777777" w:rsidTr="0075276B">
        <w:trPr>
          <w:cantSplit/>
          <w:jc w:val="center"/>
        </w:trPr>
        <w:tc>
          <w:tcPr>
            <w:tcW w:w="1506" w:type="dxa"/>
            <w:tcBorders>
              <w:top w:val="single" w:sz="12" w:space="0" w:color="auto"/>
              <w:left w:val="single" w:sz="12" w:space="0" w:color="auto"/>
              <w:right w:val="single" w:sz="12" w:space="0" w:color="auto"/>
            </w:tcBorders>
            <w:vAlign w:val="center"/>
          </w:tcPr>
          <w:p w14:paraId="521E7170" w14:textId="74AB60F7"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0-</w:t>
            </w:r>
            <w:r w:rsidR="00CA6998">
              <w:rPr>
                <w:rFonts w:ascii="Arial Narrow" w:hAnsi="Arial Narrow" w:cs="Arial"/>
                <w:b/>
                <w:bCs/>
                <w:sz w:val="22"/>
                <w:szCs w:val="22"/>
              </w:rPr>
              <w:t>64</w:t>
            </w:r>
          </w:p>
        </w:tc>
        <w:tc>
          <w:tcPr>
            <w:tcW w:w="841" w:type="dxa"/>
            <w:gridSpan w:val="3"/>
            <w:tcBorders>
              <w:top w:val="single" w:sz="12" w:space="0" w:color="auto"/>
              <w:left w:val="single" w:sz="12" w:space="0" w:color="auto"/>
              <w:right w:val="single" w:sz="4" w:space="0" w:color="auto"/>
            </w:tcBorders>
          </w:tcPr>
          <w:p w14:paraId="74F2AB7A" w14:textId="658D93B7" w:rsidR="005637E4" w:rsidRPr="00F80B42" w:rsidRDefault="00EE4FAD"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9,059</w:t>
            </w:r>
          </w:p>
        </w:tc>
        <w:tc>
          <w:tcPr>
            <w:tcW w:w="841" w:type="dxa"/>
            <w:tcBorders>
              <w:top w:val="single" w:sz="12" w:space="0" w:color="auto"/>
              <w:left w:val="single" w:sz="4" w:space="0" w:color="auto"/>
            </w:tcBorders>
            <w:shd w:val="clear" w:color="auto" w:fill="auto"/>
            <w:vAlign w:val="center"/>
          </w:tcPr>
          <w:p w14:paraId="1CA966B3" w14:textId="49EC1D2A" w:rsidR="005637E4" w:rsidRPr="00F80B42" w:rsidRDefault="00EE4FAD"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8,408</w:t>
            </w:r>
          </w:p>
        </w:tc>
        <w:tc>
          <w:tcPr>
            <w:tcW w:w="847" w:type="dxa"/>
            <w:gridSpan w:val="2"/>
            <w:tcBorders>
              <w:top w:val="single" w:sz="12" w:space="0" w:color="auto"/>
              <w:right w:val="single" w:sz="12" w:space="0" w:color="auto"/>
            </w:tcBorders>
          </w:tcPr>
          <w:p w14:paraId="29D5B2C7" w14:textId="4AEE7F6C" w:rsidR="005637E4" w:rsidRPr="00F80B42" w:rsidRDefault="00EE4FAD"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8,763</w:t>
            </w:r>
          </w:p>
        </w:tc>
        <w:tc>
          <w:tcPr>
            <w:tcW w:w="938" w:type="dxa"/>
            <w:gridSpan w:val="2"/>
            <w:tcBorders>
              <w:top w:val="single" w:sz="12" w:space="0" w:color="auto"/>
              <w:left w:val="single" w:sz="12" w:space="0" w:color="auto"/>
              <w:right w:val="single" w:sz="4" w:space="0" w:color="auto"/>
            </w:tcBorders>
            <w:shd w:val="clear" w:color="auto" w:fill="auto"/>
            <w:vAlign w:val="center"/>
          </w:tcPr>
          <w:p w14:paraId="0638364B" w14:textId="714400B5"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4.45</w:t>
            </w:r>
          </w:p>
        </w:tc>
        <w:tc>
          <w:tcPr>
            <w:tcW w:w="938" w:type="dxa"/>
            <w:tcBorders>
              <w:top w:val="single" w:sz="12" w:space="0" w:color="auto"/>
              <w:left w:val="single" w:sz="4" w:space="0" w:color="auto"/>
              <w:right w:val="single" w:sz="4" w:space="0" w:color="auto"/>
            </w:tcBorders>
            <w:shd w:val="clear" w:color="auto" w:fill="auto"/>
            <w:vAlign w:val="center"/>
          </w:tcPr>
          <w:p w14:paraId="35877EFD" w14:textId="75D150D9"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4.52</w:t>
            </w:r>
          </w:p>
        </w:tc>
        <w:tc>
          <w:tcPr>
            <w:tcW w:w="939" w:type="dxa"/>
            <w:gridSpan w:val="3"/>
            <w:tcBorders>
              <w:top w:val="single" w:sz="12" w:space="0" w:color="auto"/>
              <w:left w:val="single" w:sz="4" w:space="0" w:color="auto"/>
              <w:right w:val="single" w:sz="12" w:space="0" w:color="auto"/>
            </w:tcBorders>
            <w:shd w:val="clear" w:color="auto" w:fill="auto"/>
            <w:vAlign w:val="center"/>
          </w:tcPr>
          <w:p w14:paraId="2A1F7C0A" w14:textId="40C0904D"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4.71</w:t>
            </w:r>
          </w:p>
        </w:tc>
        <w:tc>
          <w:tcPr>
            <w:tcW w:w="826" w:type="dxa"/>
            <w:gridSpan w:val="2"/>
            <w:tcBorders>
              <w:top w:val="single" w:sz="12" w:space="0" w:color="auto"/>
              <w:left w:val="single" w:sz="12" w:space="0" w:color="auto"/>
              <w:right w:val="single" w:sz="4" w:space="0" w:color="auto"/>
            </w:tcBorders>
            <w:shd w:val="clear" w:color="auto" w:fill="auto"/>
          </w:tcPr>
          <w:p w14:paraId="14E65417" w14:textId="147E1BD0"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1.57</w:t>
            </w:r>
          </w:p>
        </w:tc>
        <w:tc>
          <w:tcPr>
            <w:tcW w:w="826" w:type="dxa"/>
            <w:tcBorders>
              <w:top w:val="single" w:sz="12" w:space="0" w:color="auto"/>
              <w:left w:val="single" w:sz="4" w:space="0" w:color="auto"/>
            </w:tcBorders>
            <w:shd w:val="clear" w:color="auto" w:fill="auto"/>
            <w:vAlign w:val="center"/>
          </w:tcPr>
          <w:p w14:paraId="6334C2A1" w14:textId="442A79DE"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1.57</w:t>
            </w:r>
          </w:p>
        </w:tc>
        <w:tc>
          <w:tcPr>
            <w:tcW w:w="831" w:type="dxa"/>
            <w:gridSpan w:val="2"/>
            <w:tcBorders>
              <w:top w:val="single" w:sz="12" w:space="0" w:color="auto"/>
              <w:right w:val="single" w:sz="12" w:space="0" w:color="auto"/>
            </w:tcBorders>
            <w:shd w:val="clear" w:color="auto" w:fill="auto"/>
            <w:vAlign w:val="center"/>
          </w:tcPr>
          <w:p w14:paraId="7A1B973E" w14:textId="39501E92" w:rsidR="005637E4" w:rsidRPr="00F80B42"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1.65</w:t>
            </w:r>
          </w:p>
        </w:tc>
      </w:tr>
      <w:tr w:rsidR="005637E4" w14:paraId="59F52274" w14:textId="77777777" w:rsidTr="0075276B">
        <w:trPr>
          <w:cantSplit/>
          <w:jc w:val="center"/>
        </w:trPr>
        <w:tc>
          <w:tcPr>
            <w:tcW w:w="1506" w:type="dxa"/>
            <w:tcBorders>
              <w:left w:val="single" w:sz="12" w:space="0" w:color="auto"/>
              <w:right w:val="single" w:sz="12" w:space="0" w:color="auto"/>
            </w:tcBorders>
            <w:vAlign w:val="center"/>
          </w:tcPr>
          <w:p w14:paraId="05111965" w14:textId="77777777"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65+</w:t>
            </w:r>
          </w:p>
        </w:tc>
        <w:tc>
          <w:tcPr>
            <w:tcW w:w="841" w:type="dxa"/>
            <w:gridSpan w:val="3"/>
            <w:tcBorders>
              <w:left w:val="single" w:sz="12" w:space="0" w:color="auto"/>
              <w:right w:val="single" w:sz="4" w:space="0" w:color="auto"/>
            </w:tcBorders>
          </w:tcPr>
          <w:p w14:paraId="7C07F175" w14:textId="5F36F748" w:rsidR="005637E4" w:rsidRPr="00B95D0D" w:rsidRDefault="004129C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4,603</w:t>
            </w:r>
          </w:p>
        </w:tc>
        <w:tc>
          <w:tcPr>
            <w:tcW w:w="841" w:type="dxa"/>
            <w:tcBorders>
              <w:left w:val="single" w:sz="4" w:space="0" w:color="auto"/>
            </w:tcBorders>
            <w:shd w:val="clear" w:color="auto" w:fill="auto"/>
            <w:vAlign w:val="center"/>
          </w:tcPr>
          <w:p w14:paraId="57C7176E" w14:textId="4628E09D" w:rsidR="005637E4" w:rsidRPr="00B95D0D" w:rsidRDefault="004129C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4,353</w:t>
            </w:r>
          </w:p>
        </w:tc>
        <w:tc>
          <w:tcPr>
            <w:tcW w:w="847" w:type="dxa"/>
            <w:gridSpan w:val="2"/>
            <w:tcBorders>
              <w:right w:val="single" w:sz="12" w:space="0" w:color="auto"/>
            </w:tcBorders>
          </w:tcPr>
          <w:p w14:paraId="0BDAAF9B" w14:textId="59771576" w:rsidR="005637E4" w:rsidRPr="00B95D0D" w:rsidRDefault="004129C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4,920</w:t>
            </w:r>
          </w:p>
        </w:tc>
        <w:tc>
          <w:tcPr>
            <w:tcW w:w="938" w:type="dxa"/>
            <w:gridSpan w:val="2"/>
            <w:tcBorders>
              <w:left w:val="single" w:sz="12" w:space="0" w:color="auto"/>
              <w:right w:val="single" w:sz="4" w:space="0" w:color="auto"/>
            </w:tcBorders>
            <w:shd w:val="clear" w:color="auto" w:fill="auto"/>
            <w:vAlign w:val="center"/>
          </w:tcPr>
          <w:p w14:paraId="5F8F7C36" w14:textId="781900F7" w:rsidR="005637E4" w:rsidRPr="00B95D0D" w:rsidRDefault="00E7602E"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5.19</w:t>
            </w:r>
          </w:p>
        </w:tc>
        <w:tc>
          <w:tcPr>
            <w:tcW w:w="938" w:type="dxa"/>
            <w:tcBorders>
              <w:left w:val="single" w:sz="4" w:space="0" w:color="auto"/>
              <w:right w:val="single" w:sz="4" w:space="0" w:color="auto"/>
            </w:tcBorders>
            <w:shd w:val="clear" w:color="auto" w:fill="auto"/>
            <w:vAlign w:val="center"/>
          </w:tcPr>
          <w:p w14:paraId="1E9D1895" w14:textId="467C4194" w:rsidR="005637E4" w:rsidRPr="00B95D0D" w:rsidRDefault="00E7602E"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5.75</w:t>
            </w:r>
          </w:p>
        </w:tc>
        <w:tc>
          <w:tcPr>
            <w:tcW w:w="939" w:type="dxa"/>
            <w:gridSpan w:val="3"/>
            <w:tcBorders>
              <w:left w:val="single" w:sz="4" w:space="0" w:color="auto"/>
              <w:right w:val="single" w:sz="12" w:space="0" w:color="auto"/>
            </w:tcBorders>
            <w:shd w:val="clear" w:color="auto" w:fill="auto"/>
            <w:vAlign w:val="center"/>
          </w:tcPr>
          <w:p w14:paraId="0BC4D45D" w14:textId="3095A0AC" w:rsidR="005637E4" w:rsidRPr="00B95D0D" w:rsidRDefault="00E7602E"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5.92</w:t>
            </w:r>
          </w:p>
        </w:tc>
        <w:tc>
          <w:tcPr>
            <w:tcW w:w="826" w:type="dxa"/>
            <w:gridSpan w:val="2"/>
            <w:tcBorders>
              <w:left w:val="single" w:sz="12" w:space="0" w:color="auto"/>
              <w:right w:val="single" w:sz="4" w:space="0" w:color="auto"/>
            </w:tcBorders>
          </w:tcPr>
          <w:p w14:paraId="1913AB29" w14:textId="30F78691" w:rsidR="005637E4" w:rsidRPr="00B95D0D" w:rsidRDefault="00E7602E"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1.61</w:t>
            </w:r>
          </w:p>
        </w:tc>
        <w:tc>
          <w:tcPr>
            <w:tcW w:w="826" w:type="dxa"/>
            <w:tcBorders>
              <w:left w:val="single" w:sz="4" w:space="0" w:color="auto"/>
            </w:tcBorders>
            <w:shd w:val="clear" w:color="auto" w:fill="auto"/>
            <w:vAlign w:val="center"/>
          </w:tcPr>
          <w:p w14:paraId="229A004A" w14:textId="3A52ADA2" w:rsidR="005637E4" w:rsidRPr="00B95D0D" w:rsidRDefault="009410E9"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1.64</w:t>
            </w:r>
          </w:p>
        </w:tc>
        <w:tc>
          <w:tcPr>
            <w:tcW w:w="831" w:type="dxa"/>
            <w:gridSpan w:val="2"/>
            <w:tcBorders>
              <w:right w:val="single" w:sz="12" w:space="0" w:color="auto"/>
            </w:tcBorders>
            <w:shd w:val="clear" w:color="auto" w:fill="auto"/>
            <w:vAlign w:val="center"/>
          </w:tcPr>
          <w:p w14:paraId="0909D9CC" w14:textId="486B9255" w:rsidR="005637E4" w:rsidRPr="00B95D0D" w:rsidRDefault="0031468F"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1.67</w:t>
            </w:r>
          </w:p>
        </w:tc>
      </w:tr>
      <w:tr w:rsidR="005637E4" w14:paraId="3538702D" w14:textId="77777777" w:rsidTr="0075276B">
        <w:trPr>
          <w:cantSplit/>
          <w:jc w:val="center"/>
        </w:trPr>
        <w:tc>
          <w:tcPr>
            <w:tcW w:w="1506" w:type="dxa"/>
            <w:tcBorders>
              <w:left w:val="single" w:sz="12" w:space="0" w:color="auto"/>
              <w:bottom w:val="single" w:sz="12" w:space="0" w:color="auto"/>
              <w:right w:val="single" w:sz="12" w:space="0" w:color="auto"/>
            </w:tcBorders>
            <w:vAlign w:val="center"/>
          </w:tcPr>
          <w:p w14:paraId="2C379096" w14:textId="77777777"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Total</w:t>
            </w:r>
          </w:p>
        </w:tc>
        <w:tc>
          <w:tcPr>
            <w:tcW w:w="841" w:type="dxa"/>
            <w:gridSpan w:val="3"/>
            <w:tcBorders>
              <w:left w:val="single" w:sz="12" w:space="0" w:color="auto"/>
              <w:bottom w:val="single" w:sz="12" w:space="0" w:color="auto"/>
              <w:right w:val="single" w:sz="4" w:space="0" w:color="auto"/>
            </w:tcBorders>
          </w:tcPr>
          <w:p w14:paraId="6AB2992A" w14:textId="102C1D76" w:rsidR="005637E4" w:rsidRPr="00645156" w:rsidRDefault="004129C3"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13,662</w:t>
            </w:r>
          </w:p>
        </w:tc>
        <w:tc>
          <w:tcPr>
            <w:tcW w:w="841" w:type="dxa"/>
            <w:tcBorders>
              <w:left w:val="single" w:sz="4" w:space="0" w:color="auto"/>
              <w:bottom w:val="single" w:sz="12" w:space="0" w:color="auto"/>
            </w:tcBorders>
            <w:shd w:val="clear" w:color="auto" w:fill="auto"/>
            <w:vAlign w:val="center"/>
          </w:tcPr>
          <w:p w14:paraId="60AAD5D2" w14:textId="09ADA366" w:rsidR="005637E4" w:rsidRPr="00645156" w:rsidRDefault="004129C3"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12,761</w:t>
            </w:r>
          </w:p>
        </w:tc>
        <w:tc>
          <w:tcPr>
            <w:tcW w:w="847" w:type="dxa"/>
            <w:gridSpan w:val="2"/>
            <w:tcBorders>
              <w:bottom w:val="single" w:sz="12" w:space="0" w:color="auto"/>
              <w:right w:val="single" w:sz="12" w:space="0" w:color="auto"/>
            </w:tcBorders>
          </w:tcPr>
          <w:p w14:paraId="14D9B2E8" w14:textId="1AB9190C" w:rsidR="005637E4" w:rsidRPr="00645156" w:rsidRDefault="004129C3"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13,683</w:t>
            </w:r>
          </w:p>
        </w:tc>
        <w:tc>
          <w:tcPr>
            <w:tcW w:w="938" w:type="dxa"/>
            <w:gridSpan w:val="2"/>
            <w:tcBorders>
              <w:left w:val="single" w:sz="12" w:space="0" w:color="auto"/>
              <w:bottom w:val="single" w:sz="12" w:space="0" w:color="auto"/>
              <w:right w:val="single" w:sz="4" w:space="0" w:color="auto"/>
            </w:tcBorders>
            <w:shd w:val="clear" w:color="auto" w:fill="auto"/>
            <w:vAlign w:val="center"/>
          </w:tcPr>
          <w:p w14:paraId="7EB12B0B" w14:textId="571FF79F"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4.70</w:t>
            </w:r>
          </w:p>
        </w:tc>
        <w:tc>
          <w:tcPr>
            <w:tcW w:w="938" w:type="dxa"/>
            <w:tcBorders>
              <w:left w:val="single" w:sz="4" w:space="0" w:color="auto"/>
              <w:bottom w:val="single" w:sz="12" w:space="0" w:color="auto"/>
              <w:right w:val="single" w:sz="4" w:space="0" w:color="auto"/>
            </w:tcBorders>
            <w:shd w:val="clear" w:color="auto" w:fill="auto"/>
            <w:vAlign w:val="center"/>
          </w:tcPr>
          <w:p w14:paraId="6DCD511C" w14:textId="12E96990"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4.94</w:t>
            </w:r>
          </w:p>
        </w:tc>
        <w:tc>
          <w:tcPr>
            <w:tcW w:w="939" w:type="dxa"/>
            <w:gridSpan w:val="3"/>
            <w:tcBorders>
              <w:left w:val="single" w:sz="4" w:space="0" w:color="auto"/>
              <w:bottom w:val="single" w:sz="12" w:space="0" w:color="auto"/>
              <w:right w:val="single" w:sz="12" w:space="0" w:color="auto"/>
            </w:tcBorders>
            <w:shd w:val="clear" w:color="auto" w:fill="auto"/>
            <w:vAlign w:val="center"/>
          </w:tcPr>
          <w:p w14:paraId="78AD92C8" w14:textId="1E9AD326"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5.15</w:t>
            </w:r>
          </w:p>
        </w:tc>
        <w:tc>
          <w:tcPr>
            <w:tcW w:w="826" w:type="dxa"/>
            <w:gridSpan w:val="2"/>
            <w:tcBorders>
              <w:left w:val="single" w:sz="12" w:space="0" w:color="auto"/>
              <w:bottom w:val="single" w:sz="12" w:space="0" w:color="auto"/>
              <w:right w:val="single" w:sz="4" w:space="0" w:color="auto"/>
            </w:tcBorders>
          </w:tcPr>
          <w:p w14:paraId="35E50D59" w14:textId="671A7DFD"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1.58</w:t>
            </w:r>
          </w:p>
        </w:tc>
        <w:tc>
          <w:tcPr>
            <w:tcW w:w="826" w:type="dxa"/>
            <w:tcBorders>
              <w:left w:val="single" w:sz="4" w:space="0" w:color="auto"/>
              <w:bottom w:val="single" w:sz="12" w:space="0" w:color="auto"/>
            </w:tcBorders>
            <w:shd w:val="clear" w:color="auto" w:fill="auto"/>
            <w:vAlign w:val="center"/>
          </w:tcPr>
          <w:p w14:paraId="2F3DF190" w14:textId="67897B03"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1.59</w:t>
            </w:r>
          </w:p>
        </w:tc>
        <w:tc>
          <w:tcPr>
            <w:tcW w:w="831" w:type="dxa"/>
            <w:gridSpan w:val="2"/>
            <w:tcBorders>
              <w:bottom w:val="single" w:sz="12" w:space="0" w:color="auto"/>
              <w:right w:val="single" w:sz="12" w:space="0" w:color="auto"/>
            </w:tcBorders>
            <w:shd w:val="clear" w:color="auto" w:fill="auto"/>
            <w:vAlign w:val="center"/>
          </w:tcPr>
          <w:p w14:paraId="7669002B" w14:textId="3B77F495" w:rsidR="005637E4" w:rsidRPr="00645156" w:rsidRDefault="0031468F"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1.66</w:t>
            </w:r>
          </w:p>
        </w:tc>
      </w:tr>
      <w:tr w:rsidR="0075276B" w14:paraId="5C9178D1" w14:textId="77777777" w:rsidTr="0075276B">
        <w:trPr>
          <w:cantSplit/>
          <w:jc w:val="center"/>
        </w:trPr>
        <w:tc>
          <w:tcPr>
            <w:tcW w:w="1515" w:type="dxa"/>
            <w:gridSpan w:val="2"/>
            <w:tcBorders>
              <w:top w:val="single" w:sz="12" w:space="0" w:color="auto"/>
              <w:left w:val="single" w:sz="12" w:space="0" w:color="auto"/>
              <w:right w:val="single" w:sz="12" w:space="0" w:color="auto"/>
            </w:tcBorders>
            <w:shd w:val="clear" w:color="auto" w:fill="D9E2F3" w:themeFill="accent1" w:themeFillTint="33"/>
            <w:vAlign w:val="center"/>
          </w:tcPr>
          <w:p w14:paraId="2F9B2DFC" w14:textId="77777777" w:rsidR="0075276B" w:rsidRPr="00B95D0D" w:rsidRDefault="0075276B" w:rsidP="00963E14">
            <w:pPr>
              <w:pStyle w:val="NormalWeb"/>
              <w:spacing w:before="0" w:beforeAutospacing="0" w:after="0" w:afterAutospacing="0"/>
              <w:rPr>
                <w:rFonts w:ascii="Arial Narrow" w:hAnsi="Arial Narrow" w:cs="Arial"/>
                <w:sz w:val="22"/>
                <w:szCs w:val="22"/>
              </w:rPr>
            </w:pPr>
            <w:r>
              <w:rPr>
                <w:rFonts w:ascii="Arial Narrow" w:hAnsi="Arial Narrow" w:cs="Arial"/>
                <w:b/>
                <w:bCs/>
                <w:sz w:val="22"/>
                <w:szCs w:val="22"/>
              </w:rPr>
              <w:t>ICU</w:t>
            </w:r>
          </w:p>
        </w:tc>
        <w:tc>
          <w:tcPr>
            <w:tcW w:w="810" w:type="dxa"/>
            <w:tcBorders>
              <w:top w:val="single" w:sz="12" w:space="0" w:color="auto"/>
              <w:left w:val="single" w:sz="12" w:space="0" w:color="auto"/>
              <w:right w:val="single" w:sz="12" w:space="0" w:color="auto"/>
            </w:tcBorders>
            <w:shd w:val="clear" w:color="auto" w:fill="D9E2F3" w:themeFill="accent1" w:themeFillTint="33"/>
            <w:vAlign w:val="center"/>
          </w:tcPr>
          <w:p w14:paraId="6F3FEEAA"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900" w:type="dxa"/>
            <w:gridSpan w:val="3"/>
            <w:tcBorders>
              <w:top w:val="single" w:sz="12" w:space="0" w:color="auto"/>
              <w:left w:val="single" w:sz="12" w:space="0" w:color="auto"/>
              <w:right w:val="single" w:sz="12" w:space="0" w:color="auto"/>
            </w:tcBorders>
            <w:shd w:val="clear" w:color="auto" w:fill="D9E2F3" w:themeFill="accent1" w:themeFillTint="33"/>
            <w:vAlign w:val="center"/>
          </w:tcPr>
          <w:p w14:paraId="02B3F2F6"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810" w:type="dxa"/>
            <w:tcBorders>
              <w:top w:val="single" w:sz="12" w:space="0" w:color="auto"/>
              <w:left w:val="single" w:sz="12" w:space="0" w:color="auto"/>
              <w:right w:val="single" w:sz="12" w:space="0" w:color="auto"/>
            </w:tcBorders>
            <w:shd w:val="clear" w:color="auto" w:fill="D9E2F3" w:themeFill="accent1" w:themeFillTint="33"/>
            <w:vAlign w:val="center"/>
          </w:tcPr>
          <w:p w14:paraId="4C7C7CF1"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900" w:type="dxa"/>
            <w:tcBorders>
              <w:top w:val="single" w:sz="12" w:space="0" w:color="auto"/>
              <w:left w:val="single" w:sz="12" w:space="0" w:color="auto"/>
              <w:right w:val="single" w:sz="12" w:space="0" w:color="auto"/>
            </w:tcBorders>
            <w:shd w:val="clear" w:color="auto" w:fill="D9E2F3" w:themeFill="accent1" w:themeFillTint="33"/>
            <w:vAlign w:val="center"/>
          </w:tcPr>
          <w:p w14:paraId="5ED1FE85"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990" w:type="dxa"/>
            <w:gridSpan w:val="3"/>
            <w:tcBorders>
              <w:top w:val="single" w:sz="12" w:space="0" w:color="auto"/>
              <w:left w:val="single" w:sz="12" w:space="0" w:color="auto"/>
              <w:right w:val="single" w:sz="12" w:space="0" w:color="auto"/>
            </w:tcBorders>
            <w:shd w:val="clear" w:color="auto" w:fill="D9E2F3" w:themeFill="accent1" w:themeFillTint="33"/>
            <w:vAlign w:val="center"/>
          </w:tcPr>
          <w:p w14:paraId="391E2469"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900" w:type="dxa"/>
            <w:tcBorders>
              <w:top w:val="single" w:sz="12" w:space="0" w:color="auto"/>
              <w:left w:val="single" w:sz="12" w:space="0" w:color="auto"/>
              <w:right w:val="single" w:sz="12" w:space="0" w:color="auto"/>
            </w:tcBorders>
            <w:shd w:val="clear" w:color="auto" w:fill="D9E2F3" w:themeFill="accent1" w:themeFillTint="33"/>
            <w:vAlign w:val="center"/>
          </w:tcPr>
          <w:p w14:paraId="54679FCB"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810" w:type="dxa"/>
            <w:gridSpan w:val="2"/>
            <w:tcBorders>
              <w:top w:val="single" w:sz="12" w:space="0" w:color="auto"/>
              <w:left w:val="single" w:sz="12" w:space="0" w:color="auto"/>
              <w:right w:val="single" w:sz="12" w:space="0" w:color="auto"/>
            </w:tcBorders>
            <w:shd w:val="clear" w:color="auto" w:fill="D9E2F3" w:themeFill="accent1" w:themeFillTint="33"/>
            <w:vAlign w:val="center"/>
          </w:tcPr>
          <w:p w14:paraId="266A0BCF"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900" w:type="dxa"/>
            <w:gridSpan w:val="3"/>
            <w:tcBorders>
              <w:top w:val="single" w:sz="12" w:space="0" w:color="auto"/>
              <w:left w:val="single" w:sz="12" w:space="0" w:color="auto"/>
              <w:right w:val="single" w:sz="12" w:space="0" w:color="auto"/>
            </w:tcBorders>
            <w:shd w:val="clear" w:color="auto" w:fill="D9E2F3" w:themeFill="accent1" w:themeFillTint="33"/>
            <w:vAlign w:val="center"/>
          </w:tcPr>
          <w:p w14:paraId="4D53CE9A" w14:textId="77777777" w:rsidR="0075276B" w:rsidRPr="00B95D0D" w:rsidRDefault="0075276B" w:rsidP="00963E14">
            <w:pPr>
              <w:pStyle w:val="NormalWeb"/>
              <w:spacing w:before="0" w:beforeAutospacing="0" w:after="0" w:afterAutospacing="0"/>
              <w:rPr>
                <w:rFonts w:ascii="Arial Narrow" w:hAnsi="Arial Narrow" w:cs="Arial"/>
                <w:sz w:val="22"/>
                <w:szCs w:val="22"/>
              </w:rPr>
            </w:pPr>
          </w:p>
        </w:tc>
        <w:tc>
          <w:tcPr>
            <w:tcW w:w="798" w:type="dxa"/>
            <w:tcBorders>
              <w:top w:val="single" w:sz="12" w:space="0" w:color="auto"/>
              <w:left w:val="single" w:sz="12" w:space="0" w:color="auto"/>
              <w:right w:val="single" w:sz="12" w:space="0" w:color="auto"/>
            </w:tcBorders>
            <w:shd w:val="clear" w:color="auto" w:fill="D9E2F3" w:themeFill="accent1" w:themeFillTint="33"/>
            <w:vAlign w:val="center"/>
          </w:tcPr>
          <w:p w14:paraId="5134403E" w14:textId="515B1E03" w:rsidR="0075276B" w:rsidRPr="00B95D0D" w:rsidRDefault="0075276B" w:rsidP="00963E14">
            <w:pPr>
              <w:pStyle w:val="NormalWeb"/>
              <w:spacing w:before="0" w:beforeAutospacing="0" w:after="0" w:afterAutospacing="0"/>
              <w:rPr>
                <w:rFonts w:ascii="Arial Narrow" w:hAnsi="Arial Narrow" w:cs="Arial"/>
                <w:sz w:val="22"/>
                <w:szCs w:val="22"/>
              </w:rPr>
            </w:pPr>
          </w:p>
        </w:tc>
      </w:tr>
      <w:tr w:rsidR="005637E4" w14:paraId="73A04346" w14:textId="77777777" w:rsidTr="0075276B">
        <w:trPr>
          <w:cantSplit/>
          <w:jc w:val="center"/>
        </w:trPr>
        <w:tc>
          <w:tcPr>
            <w:tcW w:w="1506" w:type="dxa"/>
            <w:tcBorders>
              <w:top w:val="single" w:sz="12" w:space="0" w:color="auto"/>
              <w:left w:val="single" w:sz="12" w:space="0" w:color="auto"/>
              <w:right w:val="single" w:sz="12" w:space="0" w:color="auto"/>
            </w:tcBorders>
            <w:vAlign w:val="center"/>
          </w:tcPr>
          <w:p w14:paraId="53D4D226" w14:textId="6DB3E8E0"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0-</w:t>
            </w:r>
            <w:r w:rsidR="00CA6998">
              <w:rPr>
                <w:rFonts w:ascii="Arial Narrow" w:hAnsi="Arial Narrow" w:cs="Arial"/>
                <w:b/>
                <w:bCs/>
                <w:sz w:val="22"/>
                <w:szCs w:val="22"/>
              </w:rPr>
              <w:t>64</w:t>
            </w:r>
          </w:p>
        </w:tc>
        <w:tc>
          <w:tcPr>
            <w:tcW w:w="841" w:type="dxa"/>
            <w:gridSpan w:val="3"/>
            <w:tcBorders>
              <w:top w:val="single" w:sz="12" w:space="0" w:color="auto"/>
              <w:left w:val="single" w:sz="12" w:space="0" w:color="auto"/>
              <w:right w:val="single" w:sz="4" w:space="0" w:color="auto"/>
            </w:tcBorders>
          </w:tcPr>
          <w:p w14:paraId="268EEF0C" w14:textId="685D43BC" w:rsidR="005637E4" w:rsidRPr="00EE4FAD" w:rsidRDefault="00EE4FAD" w:rsidP="00EE4FAD">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2,519</w:t>
            </w:r>
          </w:p>
        </w:tc>
        <w:tc>
          <w:tcPr>
            <w:tcW w:w="841" w:type="dxa"/>
            <w:tcBorders>
              <w:top w:val="single" w:sz="12" w:space="0" w:color="auto"/>
              <w:left w:val="single" w:sz="4" w:space="0" w:color="auto"/>
            </w:tcBorders>
            <w:shd w:val="clear" w:color="auto" w:fill="auto"/>
            <w:vAlign w:val="center"/>
          </w:tcPr>
          <w:p w14:paraId="547560C5" w14:textId="4A40ADCB" w:rsidR="005637E4" w:rsidRPr="00EE4FAD" w:rsidRDefault="00EE4FAD" w:rsidP="00963E14">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2,365</w:t>
            </w:r>
          </w:p>
        </w:tc>
        <w:tc>
          <w:tcPr>
            <w:tcW w:w="847" w:type="dxa"/>
            <w:gridSpan w:val="2"/>
            <w:tcBorders>
              <w:top w:val="single" w:sz="12" w:space="0" w:color="auto"/>
              <w:right w:val="single" w:sz="12" w:space="0" w:color="auto"/>
            </w:tcBorders>
          </w:tcPr>
          <w:p w14:paraId="360E555C" w14:textId="6B1ABE93" w:rsidR="005637E4" w:rsidRPr="00EE4FAD" w:rsidRDefault="00EE4FAD" w:rsidP="00963E14">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2,403</w:t>
            </w:r>
          </w:p>
        </w:tc>
        <w:tc>
          <w:tcPr>
            <w:tcW w:w="938" w:type="dxa"/>
            <w:gridSpan w:val="2"/>
            <w:tcBorders>
              <w:top w:val="single" w:sz="12" w:space="0" w:color="auto"/>
              <w:left w:val="single" w:sz="12" w:space="0" w:color="auto"/>
              <w:right w:val="single" w:sz="4" w:space="0" w:color="auto"/>
            </w:tcBorders>
            <w:shd w:val="clear" w:color="auto" w:fill="auto"/>
            <w:vAlign w:val="center"/>
          </w:tcPr>
          <w:p w14:paraId="5EED848F" w14:textId="3168F4FE"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9.91</w:t>
            </w:r>
          </w:p>
        </w:tc>
        <w:tc>
          <w:tcPr>
            <w:tcW w:w="938" w:type="dxa"/>
            <w:tcBorders>
              <w:top w:val="single" w:sz="12" w:space="0" w:color="auto"/>
              <w:left w:val="single" w:sz="4" w:space="0" w:color="auto"/>
              <w:right w:val="single" w:sz="4" w:space="0" w:color="auto"/>
            </w:tcBorders>
            <w:shd w:val="clear" w:color="auto" w:fill="auto"/>
            <w:vAlign w:val="center"/>
          </w:tcPr>
          <w:p w14:paraId="59034F7E" w14:textId="779C2704"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10.99</w:t>
            </w:r>
          </w:p>
        </w:tc>
        <w:tc>
          <w:tcPr>
            <w:tcW w:w="939" w:type="dxa"/>
            <w:gridSpan w:val="3"/>
            <w:tcBorders>
              <w:top w:val="single" w:sz="12" w:space="0" w:color="auto"/>
              <w:left w:val="single" w:sz="4" w:space="0" w:color="auto"/>
              <w:right w:val="single" w:sz="12" w:space="0" w:color="auto"/>
            </w:tcBorders>
            <w:shd w:val="clear" w:color="auto" w:fill="auto"/>
            <w:vAlign w:val="center"/>
          </w:tcPr>
          <w:p w14:paraId="6F0D840A" w14:textId="21B62CC3"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12.03</w:t>
            </w:r>
          </w:p>
        </w:tc>
        <w:tc>
          <w:tcPr>
            <w:tcW w:w="826" w:type="dxa"/>
            <w:gridSpan w:val="2"/>
            <w:tcBorders>
              <w:top w:val="single" w:sz="12" w:space="0" w:color="auto"/>
              <w:left w:val="single" w:sz="12" w:space="0" w:color="auto"/>
              <w:right w:val="single" w:sz="4" w:space="0" w:color="auto"/>
            </w:tcBorders>
            <w:shd w:val="clear" w:color="auto" w:fill="auto"/>
          </w:tcPr>
          <w:p w14:paraId="748F69B8" w14:textId="7D4BA400"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2.88</w:t>
            </w:r>
          </w:p>
        </w:tc>
        <w:tc>
          <w:tcPr>
            <w:tcW w:w="826" w:type="dxa"/>
            <w:tcBorders>
              <w:top w:val="single" w:sz="12" w:space="0" w:color="auto"/>
              <w:left w:val="single" w:sz="4" w:space="0" w:color="auto"/>
            </w:tcBorders>
            <w:shd w:val="clear" w:color="auto" w:fill="auto"/>
            <w:vAlign w:val="center"/>
          </w:tcPr>
          <w:p w14:paraId="3CD79BE0" w14:textId="68354796"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3.03</w:t>
            </w:r>
          </w:p>
        </w:tc>
        <w:tc>
          <w:tcPr>
            <w:tcW w:w="831" w:type="dxa"/>
            <w:gridSpan w:val="2"/>
            <w:tcBorders>
              <w:top w:val="single" w:sz="12" w:space="0" w:color="auto"/>
              <w:right w:val="single" w:sz="12" w:space="0" w:color="auto"/>
            </w:tcBorders>
            <w:shd w:val="clear" w:color="auto" w:fill="auto"/>
            <w:vAlign w:val="center"/>
          </w:tcPr>
          <w:p w14:paraId="3683A6BC" w14:textId="0F59B291" w:rsidR="005637E4" w:rsidRPr="00B95D0D" w:rsidRDefault="00BA1F14"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3.19</w:t>
            </w:r>
          </w:p>
        </w:tc>
      </w:tr>
      <w:tr w:rsidR="005637E4" w14:paraId="178E9FCE" w14:textId="77777777" w:rsidTr="0075276B">
        <w:trPr>
          <w:cantSplit/>
          <w:jc w:val="center"/>
        </w:trPr>
        <w:tc>
          <w:tcPr>
            <w:tcW w:w="1506" w:type="dxa"/>
            <w:tcBorders>
              <w:left w:val="single" w:sz="12" w:space="0" w:color="auto"/>
              <w:right w:val="single" w:sz="12" w:space="0" w:color="auto"/>
            </w:tcBorders>
            <w:vAlign w:val="center"/>
          </w:tcPr>
          <w:p w14:paraId="506C659E" w14:textId="77777777"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65+</w:t>
            </w:r>
          </w:p>
        </w:tc>
        <w:tc>
          <w:tcPr>
            <w:tcW w:w="841" w:type="dxa"/>
            <w:gridSpan w:val="3"/>
            <w:tcBorders>
              <w:left w:val="single" w:sz="12" w:space="0" w:color="auto"/>
              <w:right w:val="single" w:sz="4" w:space="0" w:color="auto"/>
            </w:tcBorders>
          </w:tcPr>
          <w:p w14:paraId="69834B44" w14:textId="51E0D392" w:rsidR="005637E4" w:rsidRPr="00EE4FAD" w:rsidRDefault="00E7602E" w:rsidP="00963E14">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1,599</w:t>
            </w:r>
          </w:p>
        </w:tc>
        <w:tc>
          <w:tcPr>
            <w:tcW w:w="841" w:type="dxa"/>
            <w:tcBorders>
              <w:left w:val="single" w:sz="4" w:space="0" w:color="auto"/>
            </w:tcBorders>
            <w:shd w:val="clear" w:color="auto" w:fill="auto"/>
            <w:vAlign w:val="center"/>
          </w:tcPr>
          <w:p w14:paraId="6CEB6CFB" w14:textId="14526194" w:rsidR="005637E4" w:rsidRPr="00EE4FAD" w:rsidRDefault="00B85B52" w:rsidP="00963E14">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1,392</w:t>
            </w:r>
          </w:p>
        </w:tc>
        <w:tc>
          <w:tcPr>
            <w:tcW w:w="847" w:type="dxa"/>
            <w:gridSpan w:val="2"/>
            <w:tcBorders>
              <w:right w:val="single" w:sz="12" w:space="0" w:color="auto"/>
            </w:tcBorders>
          </w:tcPr>
          <w:p w14:paraId="1EC0CE00" w14:textId="67650622" w:rsidR="005637E4" w:rsidRPr="00EE4FAD" w:rsidRDefault="00B85B52" w:rsidP="00963E14">
            <w:pPr>
              <w:pStyle w:val="NormalWeb"/>
              <w:spacing w:before="0" w:beforeAutospacing="0" w:after="0" w:afterAutospacing="0"/>
              <w:jc w:val="center"/>
              <w:rPr>
                <w:rFonts w:ascii="Arial Narrow" w:hAnsi="Arial Narrow" w:cs="Arial"/>
                <w:sz w:val="22"/>
                <w:szCs w:val="22"/>
              </w:rPr>
            </w:pPr>
            <w:r w:rsidRPr="00EE4FAD">
              <w:rPr>
                <w:rFonts w:ascii="Arial Narrow" w:hAnsi="Arial Narrow" w:cs="Arial"/>
                <w:sz w:val="22"/>
                <w:szCs w:val="22"/>
              </w:rPr>
              <w:t>1,556</w:t>
            </w:r>
          </w:p>
        </w:tc>
        <w:tc>
          <w:tcPr>
            <w:tcW w:w="938" w:type="dxa"/>
            <w:gridSpan w:val="2"/>
            <w:tcBorders>
              <w:left w:val="single" w:sz="12" w:space="0" w:color="auto"/>
              <w:right w:val="single" w:sz="4" w:space="0" w:color="auto"/>
            </w:tcBorders>
            <w:shd w:val="clear" w:color="auto" w:fill="auto"/>
            <w:vAlign w:val="center"/>
          </w:tcPr>
          <w:p w14:paraId="65AB905E" w14:textId="146EDAAA" w:rsidR="005637E4" w:rsidRPr="00B95D0D" w:rsidRDefault="00B85B52"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10.44</w:t>
            </w:r>
          </w:p>
        </w:tc>
        <w:tc>
          <w:tcPr>
            <w:tcW w:w="938" w:type="dxa"/>
            <w:tcBorders>
              <w:left w:val="single" w:sz="4" w:space="0" w:color="auto"/>
              <w:right w:val="single" w:sz="4" w:space="0" w:color="auto"/>
            </w:tcBorders>
            <w:shd w:val="clear" w:color="auto" w:fill="auto"/>
            <w:vAlign w:val="center"/>
          </w:tcPr>
          <w:p w14:paraId="01CE5319" w14:textId="09822F8A" w:rsidR="005637E4" w:rsidRPr="00B95D0D" w:rsidRDefault="00B85B52"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11.85</w:t>
            </w:r>
          </w:p>
        </w:tc>
        <w:tc>
          <w:tcPr>
            <w:tcW w:w="939" w:type="dxa"/>
            <w:gridSpan w:val="3"/>
            <w:tcBorders>
              <w:left w:val="single" w:sz="4" w:space="0" w:color="auto"/>
              <w:right w:val="single" w:sz="12" w:space="0" w:color="auto"/>
            </w:tcBorders>
            <w:shd w:val="clear" w:color="auto" w:fill="auto"/>
            <w:vAlign w:val="center"/>
          </w:tcPr>
          <w:p w14:paraId="63569D9A" w14:textId="2B7931A9" w:rsidR="005637E4" w:rsidRPr="00B95D0D" w:rsidRDefault="00B85B52"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12.60</w:t>
            </w:r>
          </w:p>
        </w:tc>
        <w:tc>
          <w:tcPr>
            <w:tcW w:w="826" w:type="dxa"/>
            <w:gridSpan w:val="2"/>
            <w:tcBorders>
              <w:left w:val="single" w:sz="12" w:space="0" w:color="auto"/>
              <w:right w:val="single" w:sz="4" w:space="0" w:color="auto"/>
            </w:tcBorders>
          </w:tcPr>
          <w:p w14:paraId="0CE90DA5" w14:textId="656E0076" w:rsidR="005637E4" w:rsidRPr="00B95D0D" w:rsidRDefault="00B85B52"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3.14</w:t>
            </w:r>
          </w:p>
        </w:tc>
        <w:tc>
          <w:tcPr>
            <w:tcW w:w="826" w:type="dxa"/>
            <w:tcBorders>
              <w:left w:val="single" w:sz="4" w:space="0" w:color="auto"/>
            </w:tcBorders>
            <w:shd w:val="clear" w:color="auto" w:fill="auto"/>
            <w:vAlign w:val="center"/>
          </w:tcPr>
          <w:p w14:paraId="63BD1E40" w14:textId="5FA0C825" w:rsidR="005637E4" w:rsidRPr="00B95D0D" w:rsidRDefault="00B85B52"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3.37</w:t>
            </w:r>
          </w:p>
        </w:tc>
        <w:tc>
          <w:tcPr>
            <w:tcW w:w="831" w:type="dxa"/>
            <w:gridSpan w:val="2"/>
            <w:tcBorders>
              <w:right w:val="single" w:sz="12" w:space="0" w:color="auto"/>
            </w:tcBorders>
            <w:shd w:val="clear" w:color="auto" w:fill="auto"/>
            <w:vAlign w:val="center"/>
          </w:tcPr>
          <w:p w14:paraId="693E56A3" w14:textId="0C287CB5" w:rsidR="005637E4" w:rsidRPr="00B95D0D" w:rsidRDefault="0031468F"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3.46</w:t>
            </w:r>
          </w:p>
        </w:tc>
      </w:tr>
      <w:tr w:rsidR="005637E4" w14:paraId="2B5DBE96" w14:textId="77777777" w:rsidTr="0075276B">
        <w:trPr>
          <w:cantSplit/>
          <w:jc w:val="center"/>
        </w:trPr>
        <w:tc>
          <w:tcPr>
            <w:tcW w:w="1506" w:type="dxa"/>
            <w:tcBorders>
              <w:left w:val="single" w:sz="12" w:space="0" w:color="auto"/>
              <w:bottom w:val="single" w:sz="12" w:space="0" w:color="auto"/>
              <w:right w:val="single" w:sz="12" w:space="0" w:color="auto"/>
            </w:tcBorders>
            <w:vAlign w:val="center"/>
          </w:tcPr>
          <w:p w14:paraId="55956D96" w14:textId="77777777" w:rsidR="005637E4" w:rsidRDefault="005637E4"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Total</w:t>
            </w:r>
          </w:p>
        </w:tc>
        <w:tc>
          <w:tcPr>
            <w:tcW w:w="841" w:type="dxa"/>
            <w:gridSpan w:val="3"/>
            <w:tcBorders>
              <w:left w:val="single" w:sz="12" w:space="0" w:color="auto"/>
              <w:bottom w:val="single" w:sz="12" w:space="0" w:color="auto"/>
              <w:right w:val="single" w:sz="4" w:space="0" w:color="auto"/>
            </w:tcBorders>
          </w:tcPr>
          <w:p w14:paraId="609A05D5" w14:textId="164060E4" w:rsidR="005637E4" w:rsidRPr="00645156" w:rsidRDefault="009410E9"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4,118</w:t>
            </w:r>
          </w:p>
        </w:tc>
        <w:tc>
          <w:tcPr>
            <w:tcW w:w="841" w:type="dxa"/>
            <w:tcBorders>
              <w:left w:val="single" w:sz="4" w:space="0" w:color="auto"/>
              <w:bottom w:val="single" w:sz="12" w:space="0" w:color="auto"/>
            </w:tcBorders>
            <w:shd w:val="clear" w:color="auto" w:fill="auto"/>
            <w:vAlign w:val="center"/>
          </w:tcPr>
          <w:p w14:paraId="0FDE9D44" w14:textId="1F82DC47"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3,757</w:t>
            </w:r>
          </w:p>
        </w:tc>
        <w:tc>
          <w:tcPr>
            <w:tcW w:w="847" w:type="dxa"/>
            <w:gridSpan w:val="2"/>
            <w:tcBorders>
              <w:bottom w:val="single" w:sz="12" w:space="0" w:color="auto"/>
              <w:right w:val="single" w:sz="12" w:space="0" w:color="auto"/>
            </w:tcBorders>
          </w:tcPr>
          <w:p w14:paraId="6A43E7DB" w14:textId="6ECAA57B"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3,959</w:t>
            </w:r>
          </w:p>
        </w:tc>
        <w:tc>
          <w:tcPr>
            <w:tcW w:w="938" w:type="dxa"/>
            <w:gridSpan w:val="2"/>
            <w:tcBorders>
              <w:left w:val="single" w:sz="12" w:space="0" w:color="auto"/>
              <w:bottom w:val="single" w:sz="12" w:space="0" w:color="auto"/>
              <w:right w:val="single" w:sz="4" w:space="0" w:color="auto"/>
            </w:tcBorders>
            <w:shd w:val="clear" w:color="auto" w:fill="auto"/>
            <w:vAlign w:val="center"/>
          </w:tcPr>
          <w:p w14:paraId="4A22B891" w14:textId="202C6E23"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10.11</w:t>
            </w:r>
          </w:p>
        </w:tc>
        <w:tc>
          <w:tcPr>
            <w:tcW w:w="938" w:type="dxa"/>
            <w:tcBorders>
              <w:left w:val="single" w:sz="4" w:space="0" w:color="auto"/>
              <w:bottom w:val="single" w:sz="12" w:space="0" w:color="auto"/>
              <w:right w:val="single" w:sz="4" w:space="0" w:color="auto"/>
            </w:tcBorders>
            <w:shd w:val="clear" w:color="auto" w:fill="auto"/>
            <w:vAlign w:val="center"/>
          </w:tcPr>
          <w:p w14:paraId="310F5DC1" w14:textId="4ACFC58E"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11.31</w:t>
            </w:r>
          </w:p>
        </w:tc>
        <w:tc>
          <w:tcPr>
            <w:tcW w:w="939" w:type="dxa"/>
            <w:gridSpan w:val="3"/>
            <w:tcBorders>
              <w:left w:val="single" w:sz="4" w:space="0" w:color="auto"/>
              <w:bottom w:val="single" w:sz="12" w:space="0" w:color="auto"/>
              <w:right w:val="single" w:sz="12" w:space="0" w:color="auto"/>
            </w:tcBorders>
            <w:shd w:val="clear" w:color="auto" w:fill="auto"/>
            <w:vAlign w:val="center"/>
          </w:tcPr>
          <w:p w14:paraId="358C8F1A" w14:textId="63BDCA6F"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12.26</w:t>
            </w:r>
          </w:p>
        </w:tc>
        <w:tc>
          <w:tcPr>
            <w:tcW w:w="826" w:type="dxa"/>
            <w:gridSpan w:val="2"/>
            <w:tcBorders>
              <w:left w:val="single" w:sz="12" w:space="0" w:color="auto"/>
              <w:bottom w:val="single" w:sz="12" w:space="0" w:color="auto"/>
              <w:right w:val="single" w:sz="4" w:space="0" w:color="auto"/>
            </w:tcBorders>
          </w:tcPr>
          <w:p w14:paraId="6C5AB80D" w14:textId="66439B67"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2.98</w:t>
            </w:r>
          </w:p>
        </w:tc>
        <w:tc>
          <w:tcPr>
            <w:tcW w:w="826" w:type="dxa"/>
            <w:tcBorders>
              <w:left w:val="single" w:sz="4" w:space="0" w:color="auto"/>
              <w:bottom w:val="single" w:sz="12" w:space="0" w:color="auto"/>
            </w:tcBorders>
            <w:shd w:val="clear" w:color="auto" w:fill="auto"/>
            <w:vAlign w:val="center"/>
          </w:tcPr>
          <w:p w14:paraId="6F53C23B" w14:textId="538107C3" w:rsidR="005637E4" w:rsidRPr="00645156" w:rsidRDefault="00B85B52"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3.15</w:t>
            </w:r>
          </w:p>
        </w:tc>
        <w:tc>
          <w:tcPr>
            <w:tcW w:w="831" w:type="dxa"/>
            <w:gridSpan w:val="2"/>
            <w:tcBorders>
              <w:bottom w:val="single" w:sz="12" w:space="0" w:color="auto"/>
              <w:right w:val="single" w:sz="12" w:space="0" w:color="auto"/>
            </w:tcBorders>
            <w:shd w:val="clear" w:color="auto" w:fill="auto"/>
            <w:vAlign w:val="center"/>
          </w:tcPr>
          <w:p w14:paraId="7B4F46D8" w14:textId="3C0B33C9" w:rsidR="005637E4" w:rsidRPr="00645156" w:rsidRDefault="0031468F"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3.29</w:t>
            </w:r>
          </w:p>
        </w:tc>
      </w:tr>
    </w:tbl>
    <w:p w14:paraId="5495486F" w14:textId="619D3B0F" w:rsidR="00547C35" w:rsidRDefault="00547C35" w:rsidP="00856859">
      <w:pPr>
        <w:pStyle w:val="NormalWeb"/>
        <w:spacing w:before="0" w:beforeAutospacing="0" w:after="0" w:afterAutospacing="0"/>
        <w:jc w:val="both"/>
        <w:rPr>
          <w:rFonts w:ascii="Arial" w:hAnsi="Arial" w:cs="Arial"/>
          <w:sz w:val="22"/>
          <w:szCs w:val="22"/>
          <w:u w:val="single"/>
        </w:rPr>
      </w:pPr>
    </w:p>
    <w:p w14:paraId="67EF9207" w14:textId="6CC1FFBD" w:rsidR="00A3774F" w:rsidRDefault="00A3774F" w:rsidP="00856859">
      <w:pPr>
        <w:pStyle w:val="NormalWeb"/>
        <w:spacing w:before="0" w:beforeAutospacing="0" w:after="0" w:afterAutospacing="0"/>
        <w:jc w:val="both"/>
        <w:rPr>
          <w:rFonts w:ascii="Arial" w:hAnsi="Arial" w:cs="Arial"/>
          <w:sz w:val="22"/>
          <w:szCs w:val="22"/>
          <w:u w:val="single"/>
        </w:rPr>
      </w:pPr>
    </w:p>
    <w:p w14:paraId="697CF6C2" w14:textId="77777777" w:rsidR="00A3774F" w:rsidRDefault="00A3774F" w:rsidP="00856859">
      <w:pPr>
        <w:pStyle w:val="NormalWeb"/>
        <w:spacing w:before="0" w:beforeAutospacing="0" w:after="0" w:afterAutospacing="0"/>
        <w:jc w:val="both"/>
        <w:rPr>
          <w:rFonts w:ascii="Arial" w:hAnsi="Arial" w:cs="Arial"/>
          <w:sz w:val="22"/>
          <w:szCs w:val="22"/>
          <w:u w:val="single"/>
        </w:rPr>
      </w:pPr>
    </w:p>
    <w:p w14:paraId="5ED51960" w14:textId="3E781BEF" w:rsidR="00966519" w:rsidRDefault="00966519" w:rsidP="00966519">
      <w:pPr>
        <w:pStyle w:val="NormalWeb"/>
        <w:numPr>
          <w:ilvl w:val="0"/>
          <w:numId w:val="9"/>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Impacts Related to High Demand</w:t>
      </w:r>
    </w:p>
    <w:p w14:paraId="20D46DE7" w14:textId="0805B29A" w:rsidR="00856859" w:rsidRPr="00194DED" w:rsidRDefault="00856859" w:rsidP="00856859">
      <w:pPr>
        <w:pStyle w:val="NormalWeb"/>
        <w:spacing w:before="0" w:beforeAutospacing="0" w:after="0" w:afterAutospacing="0"/>
        <w:jc w:val="both"/>
        <w:rPr>
          <w:rFonts w:ascii="Arial" w:hAnsi="Arial" w:cs="Arial"/>
          <w:sz w:val="22"/>
          <w:szCs w:val="22"/>
          <w:u w:val="single"/>
        </w:rPr>
      </w:pPr>
    </w:p>
    <w:p w14:paraId="45A37E8D" w14:textId="09FDE2ED" w:rsidR="001C0274" w:rsidRPr="00993E30" w:rsidRDefault="00194DED" w:rsidP="00926D4D">
      <w:pPr>
        <w:pStyle w:val="NormalWeb"/>
        <w:spacing w:before="0" w:beforeAutospacing="0" w:after="0" w:afterAutospacing="0"/>
        <w:jc w:val="both"/>
        <w:rPr>
          <w:rFonts w:ascii="Arial" w:hAnsi="Arial" w:cs="Arial"/>
          <w:color w:val="000000" w:themeColor="text1"/>
          <w:sz w:val="22"/>
          <w:szCs w:val="22"/>
        </w:rPr>
      </w:pPr>
      <w:r w:rsidRPr="00194DED">
        <w:rPr>
          <w:rFonts w:ascii="Arial" w:hAnsi="Arial" w:cs="Arial"/>
          <w:sz w:val="22"/>
          <w:szCs w:val="22"/>
        </w:rPr>
        <w:t xml:space="preserve">The </w:t>
      </w:r>
      <w:r w:rsidRPr="00B22580">
        <w:rPr>
          <w:rFonts w:ascii="Arial" w:hAnsi="Arial" w:cs="Arial"/>
          <w:sz w:val="22"/>
          <w:szCs w:val="22"/>
        </w:rPr>
        <w:t xml:space="preserve">Applicant notes that the high </w:t>
      </w:r>
      <w:r w:rsidR="00B22580" w:rsidRPr="00B22580">
        <w:rPr>
          <w:rFonts w:ascii="Arial" w:hAnsi="Arial" w:cs="Arial"/>
          <w:sz w:val="22"/>
          <w:szCs w:val="22"/>
        </w:rPr>
        <w:t xml:space="preserve">inpatient bed </w:t>
      </w:r>
      <w:r w:rsidRPr="00B22580">
        <w:rPr>
          <w:rFonts w:ascii="Arial" w:hAnsi="Arial" w:cs="Arial"/>
          <w:sz w:val="22"/>
          <w:szCs w:val="22"/>
        </w:rPr>
        <w:t>utilization and occupancy rates detailed above not only impact access to inpatient care, but also impact ED throughput and operation</w:t>
      </w:r>
      <w:r w:rsidR="002059BC">
        <w:rPr>
          <w:rFonts w:ascii="Arial" w:hAnsi="Arial" w:cs="Arial"/>
          <w:sz w:val="22"/>
          <w:szCs w:val="22"/>
        </w:rPr>
        <w:t>s</w:t>
      </w:r>
      <w:r w:rsidRPr="00B22580">
        <w:rPr>
          <w:rFonts w:ascii="Arial" w:hAnsi="Arial" w:cs="Arial"/>
          <w:sz w:val="22"/>
          <w:szCs w:val="22"/>
        </w:rPr>
        <w:t xml:space="preserve">. </w:t>
      </w:r>
      <w:r w:rsidR="003F3B10" w:rsidRPr="00B22580">
        <w:rPr>
          <w:rFonts w:ascii="Arial" w:hAnsi="Arial" w:cs="Arial"/>
          <w:sz w:val="22"/>
          <w:szCs w:val="22"/>
        </w:rPr>
        <w:t>Studies show</w:t>
      </w:r>
      <w:r w:rsidR="00043B48" w:rsidRPr="00B22580">
        <w:rPr>
          <w:rFonts w:ascii="Arial" w:hAnsi="Arial" w:cs="Arial"/>
          <w:sz w:val="22"/>
          <w:szCs w:val="22"/>
        </w:rPr>
        <w:t xml:space="preserve"> that high inpatient occupancy </w:t>
      </w:r>
      <w:r w:rsidR="00B22580" w:rsidRPr="00B22580">
        <w:rPr>
          <w:rFonts w:ascii="Arial" w:hAnsi="Arial" w:cs="Arial"/>
          <w:sz w:val="22"/>
          <w:szCs w:val="22"/>
        </w:rPr>
        <w:t xml:space="preserve">rates </w:t>
      </w:r>
      <w:r w:rsidR="00043B48" w:rsidRPr="00B22580">
        <w:rPr>
          <w:rFonts w:ascii="Arial" w:hAnsi="Arial" w:cs="Arial"/>
          <w:sz w:val="22"/>
          <w:szCs w:val="22"/>
        </w:rPr>
        <w:t xml:space="preserve">directly impact patient disposition time and contribute to </w:t>
      </w:r>
      <w:r w:rsidR="00E2406C">
        <w:rPr>
          <w:rFonts w:ascii="Arial" w:hAnsi="Arial" w:cs="Arial"/>
          <w:sz w:val="22"/>
          <w:szCs w:val="22"/>
        </w:rPr>
        <w:t xml:space="preserve">longer </w:t>
      </w:r>
      <w:r w:rsidR="00043B48" w:rsidRPr="00B22580">
        <w:rPr>
          <w:rFonts w:ascii="Arial" w:hAnsi="Arial" w:cs="Arial"/>
          <w:sz w:val="22"/>
          <w:szCs w:val="22"/>
        </w:rPr>
        <w:t>length of stay</w:t>
      </w:r>
      <w:r w:rsidR="00E2406C">
        <w:rPr>
          <w:rFonts w:ascii="Arial" w:hAnsi="Arial" w:cs="Arial"/>
          <w:sz w:val="22"/>
          <w:szCs w:val="22"/>
        </w:rPr>
        <w:t>s in the ED</w:t>
      </w:r>
      <w:r w:rsidR="00043B48" w:rsidRPr="00B22580">
        <w:rPr>
          <w:rFonts w:ascii="Arial" w:hAnsi="Arial" w:cs="Arial"/>
          <w:sz w:val="22"/>
          <w:szCs w:val="22"/>
        </w:rPr>
        <w:t xml:space="preserve"> and that ED boarding is </w:t>
      </w:r>
      <w:r w:rsidR="003F3B10" w:rsidRPr="00B22580">
        <w:rPr>
          <w:rFonts w:ascii="Arial" w:hAnsi="Arial" w:cs="Arial"/>
          <w:sz w:val="22"/>
          <w:szCs w:val="22"/>
        </w:rPr>
        <w:t>partially</w:t>
      </w:r>
      <w:r w:rsidR="00043B48" w:rsidRPr="00B22580">
        <w:rPr>
          <w:rFonts w:ascii="Arial" w:hAnsi="Arial" w:cs="Arial"/>
          <w:sz w:val="22"/>
          <w:szCs w:val="22"/>
        </w:rPr>
        <w:t xml:space="preserve"> </w:t>
      </w:r>
      <w:r w:rsidR="00B22580" w:rsidRPr="00B22580">
        <w:rPr>
          <w:rFonts w:ascii="Arial" w:hAnsi="Arial" w:cs="Arial"/>
          <w:sz w:val="22"/>
          <w:szCs w:val="22"/>
        </w:rPr>
        <w:t>caused by</w:t>
      </w:r>
      <w:r w:rsidR="00043B48" w:rsidRPr="00B22580">
        <w:rPr>
          <w:rFonts w:ascii="Arial" w:hAnsi="Arial" w:cs="Arial"/>
          <w:sz w:val="22"/>
          <w:szCs w:val="22"/>
        </w:rPr>
        <w:t xml:space="preserve"> </w:t>
      </w:r>
      <w:r w:rsidR="00E2406C">
        <w:rPr>
          <w:rFonts w:ascii="Arial" w:hAnsi="Arial" w:cs="Arial"/>
          <w:sz w:val="22"/>
          <w:szCs w:val="22"/>
        </w:rPr>
        <w:t>insufficient</w:t>
      </w:r>
      <w:r w:rsidR="00043B48" w:rsidRPr="00B22580">
        <w:rPr>
          <w:rFonts w:ascii="Arial" w:hAnsi="Arial" w:cs="Arial"/>
          <w:sz w:val="22"/>
          <w:szCs w:val="22"/>
        </w:rPr>
        <w:t xml:space="preserve"> inpatient </w:t>
      </w:r>
      <w:r w:rsidR="003F3B10" w:rsidRPr="00B22580">
        <w:rPr>
          <w:rFonts w:ascii="Arial" w:hAnsi="Arial" w:cs="Arial"/>
          <w:sz w:val="22"/>
          <w:szCs w:val="22"/>
        </w:rPr>
        <w:t>bed capacity</w:t>
      </w:r>
      <w:r w:rsidR="00E80208" w:rsidRPr="00B22580">
        <w:rPr>
          <w:rFonts w:ascii="Arial" w:hAnsi="Arial" w:cs="Arial"/>
          <w:sz w:val="22"/>
          <w:szCs w:val="22"/>
        </w:rPr>
        <w:t>.</w:t>
      </w:r>
      <w:bookmarkStart w:id="6" w:name="_Ref109193648"/>
      <w:r w:rsidR="00FB167B">
        <w:rPr>
          <w:rFonts w:ascii="ZWAdobeF" w:hAnsi="ZWAdobeF" w:cs="ZWAdobeF"/>
          <w:sz w:val="2"/>
          <w:szCs w:val="2"/>
        </w:rPr>
        <w:t>41F</w:t>
      </w:r>
      <w:r w:rsidR="00B22580">
        <w:rPr>
          <w:rStyle w:val="FootnoteReference"/>
          <w:rFonts w:ascii="Arial" w:hAnsi="Arial" w:cs="Arial"/>
          <w:sz w:val="22"/>
          <w:szCs w:val="22"/>
        </w:rPr>
        <w:footnoteReference w:id="42"/>
      </w:r>
      <w:bookmarkEnd w:id="6"/>
      <w:r w:rsidR="00043B48" w:rsidRPr="00B22580">
        <w:rPr>
          <w:rFonts w:ascii="Arial" w:hAnsi="Arial" w:cs="Arial"/>
          <w:sz w:val="14"/>
          <w:szCs w:val="14"/>
        </w:rPr>
        <w:t xml:space="preserve"> </w:t>
      </w:r>
      <w:r w:rsidR="001C3BC7">
        <w:rPr>
          <w:rFonts w:ascii="Arial" w:hAnsi="Arial" w:cs="Arial"/>
          <w:sz w:val="22"/>
          <w:szCs w:val="22"/>
        </w:rPr>
        <w:t>W</w:t>
      </w:r>
      <w:r w:rsidR="00043B48" w:rsidRPr="00B22580">
        <w:rPr>
          <w:rFonts w:ascii="Arial" w:hAnsi="Arial" w:cs="Arial"/>
          <w:sz w:val="22"/>
          <w:szCs w:val="22"/>
        </w:rPr>
        <w:t xml:space="preserve">hen inpatient units are </w:t>
      </w:r>
      <w:r w:rsidR="00E2406C">
        <w:rPr>
          <w:rFonts w:ascii="Arial" w:hAnsi="Arial" w:cs="Arial"/>
          <w:sz w:val="22"/>
          <w:szCs w:val="22"/>
        </w:rPr>
        <w:t>unable</w:t>
      </w:r>
      <w:r w:rsidR="00043B48" w:rsidRPr="00B22580">
        <w:rPr>
          <w:rFonts w:ascii="Arial" w:hAnsi="Arial" w:cs="Arial"/>
          <w:sz w:val="22"/>
          <w:szCs w:val="22"/>
        </w:rPr>
        <w:t xml:space="preserve"> to admit </w:t>
      </w:r>
      <w:r w:rsidR="001C3BC7">
        <w:rPr>
          <w:rFonts w:ascii="Arial" w:hAnsi="Arial" w:cs="Arial"/>
          <w:sz w:val="22"/>
          <w:szCs w:val="22"/>
        </w:rPr>
        <w:t>new</w:t>
      </w:r>
      <w:r w:rsidR="001C3BC7" w:rsidRPr="00B22580">
        <w:rPr>
          <w:rFonts w:ascii="Arial" w:hAnsi="Arial" w:cs="Arial"/>
          <w:sz w:val="22"/>
          <w:szCs w:val="22"/>
        </w:rPr>
        <w:t xml:space="preserve"> </w:t>
      </w:r>
      <w:r w:rsidR="00043B48" w:rsidRPr="00B22580">
        <w:rPr>
          <w:rFonts w:ascii="Arial" w:hAnsi="Arial" w:cs="Arial"/>
          <w:sz w:val="22"/>
          <w:szCs w:val="22"/>
        </w:rPr>
        <w:t>patients</w:t>
      </w:r>
      <w:r w:rsidR="001C3BC7">
        <w:rPr>
          <w:rFonts w:ascii="Arial" w:hAnsi="Arial" w:cs="Arial"/>
          <w:sz w:val="22"/>
          <w:szCs w:val="22"/>
        </w:rPr>
        <w:t xml:space="preserve"> from the ED</w:t>
      </w:r>
      <w:r w:rsidR="00043B48" w:rsidRPr="00B22580">
        <w:rPr>
          <w:rFonts w:ascii="Arial" w:hAnsi="Arial" w:cs="Arial"/>
          <w:sz w:val="22"/>
          <w:szCs w:val="22"/>
        </w:rPr>
        <w:t xml:space="preserve">, </w:t>
      </w:r>
      <w:r w:rsidR="003F3B10" w:rsidRPr="00B22580">
        <w:rPr>
          <w:rFonts w:ascii="Arial" w:hAnsi="Arial" w:cs="Arial"/>
          <w:sz w:val="22"/>
          <w:szCs w:val="22"/>
        </w:rPr>
        <w:t xml:space="preserve">these </w:t>
      </w:r>
      <w:r w:rsidR="00043B48" w:rsidRPr="00B22580">
        <w:rPr>
          <w:rFonts w:ascii="Arial" w:hAnsi="Arial" w:cs="Arial"/>
          <w:sz w:val="22"/>
          <w:szCs w:val="22"/>
        </w:rPr>
        <w:t xml:space="preserve">patients must </w:t>
      </w:r>
      <w:r w:rsidR="003F3B10" w:rsidRPr="00B22580">
        <w:rPr>
          <w:rFonts w:ascii="Arial" w:hAnsi="Arial" w:cs="Arial"/>
          <w:sz w:val="22"/>
          <w:szCs w:val="22"/>
        </w:rPr>
        <w:t>board in the ED until a bed is available</w:t>
      </w:r>
      <w:r w:rsidR="00B22580" w:rsidRPr="00B22580">
        <w:rPr>
          <w:rFonts w:ascii="Arial" w:hAnsi="Arial" w:cs="Arial"/>
          <w:sz w:val="22"/>
          <w:szCs w:val="22"/>
        </w:rPr>
        <w:t xml:space="preserve">, </w:t>
      </w:r>
      <w:r w:rsidR="00AC1CB6">
        <w:rPr>
          <w:rFonts w:ascii="Arial" w:hAnsi="Arial" w:cs="Arial"/>
          <w:sz w:val="22"/>
          <w:szCs w:val="22"/>
        </w:rPr>
        <w:t xml:space="preserve">causing </w:t>
      </w:r>
      <w:r w:rsidR="00824790">
        <w:rPr>
          <w:rFonts w:ascii="Arial" w:hAnsi="Arial" w:cs="Arial"/>
          <w:sz w:val="22"/>
          <w:szCs w:val="22"/>
        </w:rPr>
        <w:t xml:space="preserve">a situation known as access block that </w:t>
      </w:r>
      <w:r w:rsidR="00B22580" w:rsidRPr="00B22580">
        <w:rPr>
          <w:rFonts w:ascii="Arial" w:hAnsi="Arial" w:cs="Arial"/>
          <w:sz w:val="22"/>
          <w:szCs w:val="22"/>
        </w:rPr>
        <w:t>contribut</w:t>
      </w:r>
      <w:r w:rsidR="00AC1CB6">
        <w:rPr>
          <w:rFonts w:ascii="Arial" w:hAnsi="Arial" w:cs="Arial"/>
          <w:sz w:val="22"/>
          <w:szCs w:val="22"/>
        </w:rPr>
        <w:t>es</w:t>
      </w:r>
      <w:r w:rsidR="00B22580" w:rsidRPr="00B22580">
        <w:rPr>
          <w:rFonts w:ascii="Arial" w:hAnsi="Arial" w:cs="Arial"/>
          <w:sz w:val="22"/>
          <w:szCs w:val="22"/>
        </w:rPr>
        <w:t xml:space="preserve"> to ED </w:t>
      </w:r>
      <w:r w:rsidR="00B22580" w:rsidRPr="00431971">
        <w:rPr>
          <w:rFonts w:ascii="Arial" w:hAnsi="Arial" w:cs="Arial"/>
          <w:color w:val="000000" w:themeColor="text1"/>
          <w:sz w:val="22"/>
          <w:szCs w:val="22"/>
        </w:rPr>
        <w:t>overcrowding.</w:t>
      </w:r>
      <w:r w:rsidR="00FB167B">
        <w:rPr>
          <w:rFonts w:ascii="ZWAdobeF" w:hAnsi="ZWAdobeF" w:cs="ZWAdobeF"/>
          <w:sz w:val="2"/>
          <w:szCs w:val="2"/>
        </w:rPr>
        <w:t>42F</w:t>
      </w:r>
      <w:r w:rsidR="00B22580" w:rsidRPr="00431971">
        <w:rPr>
          <w:rStyle w:val="FootnoteReference"/>
          <w:rFonts w:ascii="Arial" w:hAnsi="Arial" w:cs="Arial"/>
          <w:color w:val="000000" w:themeColor="text1"/>
          <w:sz w:val="22"/>
          <w:szCs w:val="22"/>
        </w:rPr>
        <w:footnoteReference w:id="43"/>
      </w:r>
      <w:r w:rsidR="00A13E3A" w:rsidRPr="00431971">
        <w:rPr>
          <w:rFonts w:ascii="Arial" w:hAnsi="Arial" w:cs="Arial"/>
          <w:color w:val="000000" w:themeColor="text1"/>
          <w:sz w:val="22"/>
          <w:szCs w:val="22"/>
        </w:rPr>
        <w:t xml:space="preserve"> </w:t>
      </w:r>
      <w:r w:rsidR="00431971" w:rsidRPr="00431971">
        <w:rPr>
          <w:rFonts w:ascii="Arial" w:hAnsi="Arial" w:cs="Arial"/>
          <w:color w:val="000000" w:themeColor="text1"/>
          <w:sz w:val="22"/>
          <w:szCs w:val="22"/>
        </w:rPr>
        <w:t xml:space="preserve"> As more fully discussed in Factor F1.b.i, impacts associated with ED boarding and ED overcrowding include, but are not limited to: compromised clinical care, diminished health outcomes, and increased cases of mortality</w:t>
      </w:r>
      <w:r w:rsidR="00FD6793">
        <w:rPr>
          <w:rFonts w:ascii="Arial" w:hAnsi="Arial" w:cs="Arial"/>
          <w:color w:val="000000" w:themeColor="text1"/>
          <w:sz w:val="22"/>
          <w:szCs w:val="22"/>
        </w:rPr>
        <w:t>;</w:t>
      </w:r>
      <w:r w:rsidR="00E713D9">
        <w:rPr>
          <w:rFonts w:ascii="Arial" w:hAnsi="Arial" w:cs="Arial"/>
          <w:color w:val="000000" w:themeColor="text1"/>
          <w:sz w:val="22"/>
          <w:szCs w:val="22"/>
        </w:rPr>
        <w:t xml:space="preserve"> </w:t>
      </w:r>
      <w:r w:rsidR="00E713D9" w:rsidRPr="00431971">
        <w:rPr>
          <w:rFonts w:ascii="Arial" w:hAnsi="Arial" w:cs="Arial"/>
          <w:color w:val="000000" w:themeColor="text1"/>
          <w:sz w:val="22"/>
          <w:szCs w:val="22"/>
        </w:rPr>
        <w:t>decreased patient satisfaction</w:t>
      </w:r>
      <w:r w:rsidR="00431971" w:rsidRPr="00431971">
        <w:rPr>
          <w:rFonts w:ascii="Arial" w:hAnsi="Arial" w:cs="Arial"/>
          <w:color w:val="000000" w:themeColor="text1"/>
          <w:sz w:val="22"/>
          <w:szCs w:val="22"/>
        </w:rPr>
        <w:t>; ambulance diversion and impaired access to emergency care; and higher overall health</w:t>
      </w:r>
      <w:r w:rsidR="00CF77C3">
        <w:rPr>
          <w:rFonts w:ascii="Arial" w:hAnsi="Arial" w:cs="Arial"/>
          <w:color w:val="000000" w:themeColor="text1"/>
          <w:sz w:val="22"/>
          <w:szCs w:val="22"/>
        </w:rPr>
        <w:t xml:space="preserve"> </w:t>
      </w:r>
      <w:r w:rsidR="00431971" w:rsidRPr="00431971">
        <w:rPr>
          <w:rFonts w:ascii="Arial" w:hAnsi="Arial" w:cs="Arial"/>
          <w:color w:val="000000" w:themeColor="text1"/>
          <w:sz w:val="22"/>
          <w:szCs w:val="22"/>
        </w:rPr>
        <w:t>care costs.</w:t>
      </w:r>
      <w:bookmarkStart w:id="7" w:name="_Ref109194990"/>
      <w:r w:rsidR="00FB167B">
        <w:rPr>
          <w:rFonts w:ascii="ZWAdobeF" w:hAnsi="ZWAdobeF" w:cs="ZWAdobeF"/>
          <w:sz w:val="2"/>
          <w:szCs w:val="2"/>
        </w:rPr>
        <w:t>43F</w:t>
      </w:r>
      <w:r w:rsidR="00431971" w:rsidRPr="00431971">
        <w:rPr>
          <w:rStyle w:val="FootnoteReference"/>
          <w:rFonts w:ascii="Arial" w:hAnsi="Arial" w:cs="Arial"/>
          <w:color w:val="000000" w:themeColor="text1"/>
          <w:sz w:val="22"/>
          <w:szCs w:val="22"/>
        </w:rPr>
        <w:footnoteReference w:id="44"/>
      </w:r>
      <w:bookmarkEnd w:id="7"/>
      <w:r w:rsidR="00431971" w:rsidRPr="00431971">
        <w:rPr>
          <w:rFonts w:ascii="Arial" w:hAnsi="Arial" w:cs="Arial"/>
          <w:color w:val="000000" w:themeColor="text1"/>
          <w:sz w:val="22"/>
          <w:szCs w:val="22"/>
        </w:rPr>
        <w:t xml:space="preserve"> </w:t>
      </w:r>
    </w:p>
    <w:p w14:paraId="0A9B15E8" w14:textId="7AA40905" w:rsidR="003F3B10" w:rsidRDefault="003F3B10" w:rsidP="00926D4D">
      <w:pPr>
        <w:pStyle w:val="NormalWeb"/>
        <w:spacing w:before="0" w:beforeAutospacing="0" w:after="0" w:afterAutospacing="0"/>
        <w:jc w:val="both"/>
        <w:rPr>
          <w:rFonts w:ascii="Arial" w:hAnsi="Arial" w:cs="Arial"/>
          <w:sz w:val="22"/>
          <w:szCs w:val="22"/>
        </w:rPr>
      </w:pPr>
    </w:p>
    <w:p w14:paraId="06626F37" w14:textId="6BF76534" w:rsidR="00CD523F" w:rsidRDefault="00B22580" w:rsidP="00B22580">
      <w:pPr>
        <w:pStyle w:val="NormalWeb"/>
        <w:spacing w:before="0" w:beforeAutospacing="0" w:after="0" w:afterAutospacing="0"/>
        <w:jc w:val="both"/>
        <w:rPr>
          <w:rFonts w:ascii="Arial" w:hAnsi="Arial" w:cs="Arial"/>
          <w:sz w:val="22"/>
          <w:szCs w:val="22"/>
        </w:rPr>
      </w:pPr>
      <w:r w:rsidRPr="001C0274">
        <w:rPr>
          <w:rFonts w:ascii="Arial" w:hAnsi="Arial" w:cs="Arial"/>
          <w:sz w:val="22"/>
          <w:szCs w:val="22"/>
        </w:rPr>
        <w:t xml:space="preserve">According to patient panel data, </w:t>
      </w:r>
      <w:r w:rsidR="00A13E3A">
        <w:rPr>
          <w:rFonts w:ascii="Arial" w:hAnsi="Arial" w:cs="Arial"/>
          <w:sz w:val="22"/>
          <w:szCs w:val="22"/>
        </w:rPr>
        <w:t xml:space="preserve">both the number of ED boarders and the </w:t>
      </w:r>
      <w:r w:rsidRPr="001C0274">
        <w:rPr>
          <w:rFonts w:ascii="Arial" w:hAnsi="Arial" w:cs="Arial"/>
          <w:sz w:val="22"/>
          <w:szCs w:val="22"/>
        </w:rPr>
        <w:t>average boarder hours at BMC increased</w:t>
      </w:r>
      <w:r w:rsidR="001C3BC7" w:rsidRPr="001C3BC7">
        <w:t xml:space="preserve"> </w:t>
      </w:r>
      <w:r w:rsidR="001C3BC7">
        <w:rPr>
          <w:rFonts w:ascii="Arial" w:hAnsi="Arial" w:cs="Arial"/>
          <w:sz w:val="22"/>
          <w:szCs w:val="22"/>
        </w:rPr>
        <w:t>over the last three fiscal years</w:t>
      </w:r>
      <w:r w:rsidR="00A13E3A">
        <w:rPr>
          <w:rFonts w:ascii="Arial" w:hAnsi="Arial" w:cs="Arial"/>
          <w:sz w:val="22"/>
          <w:szCs w:val="22"/>
        </w:rPr>
        <w:t>. The number of ED boarders increased by 12.5%, from 16,805 boarders in FY19 to 18,905 boarders in FY21</w:t>
      </w:r>
      <w:r w:rsidR="00CD523F">
        <w:rPr>
          <w:rFonts w:ascii="Arial" w:hAnsi="Arial" w:cs="Arial"/>
          <w:sz w:val="22"/>
          <w:szCs w:val="22"/>
        </w:rPr>
        <w:t>, and t</w:t>
      </w:r>
      <w:r w:rsidR="00A13E3A">
        <w:rPr>
          <w:rFonts w:ascii="Arial" w:hAnsi="Arial" w:cs="Arial"/>
          <w:sz w:val="22"/>
          <w:szCs w:val="22"/>
        </w:rPr>
        <w:t>he average boarder hours increased</w:t>
      </w:r>
      <w:r w:rsidRPr="001C0274">
        <w:rPr>
          <w:rFonts w:ascii="Arial" w:hAnsi="Arial" w:cs="Arial"/>
          <w:sz w:val="22"/>
          <w:szCs w:val="22"/>
        </w:rPr>
        <w:t xml:space="preserve"> by 16.8%, from 4.9 hours in FY19 to 5.7 hours in FY21. </w:t>
      </w:r>
      <w:r w:rsidR="000A6195">
        <w:rPr>
          <w:rFonts w:ascii="Arial" w:hAnsi="Arial" w:cs="Arial"/>
          <w:sz w:val="22"/>
          <w:szCs w:val="22"/>
        </w:rPr>
        <w:t>However</w:t>
      </w:r>
      <w:r w:rsidRPr="001C0274">
        <w:rPr>
          <w:rFonts w:ascii="Arial" w:hAnsi="Arial" w:cs="Arial"/>
          <w:sz w:val="22"/>
          <w:szCs w:val="22"/>
        </w:rPr>
        <w:t xml:space="preserve">, like hospitals across the state and the nation, </w:t>
      </w:r>
      <w:r w:rsidR="000A6195">
        <w:rPr>
          <w:rFonts w:ascii="Arial" w:hAnsi="Arial" w:cs="Arial"/>
          <w:sz w:val="22"/>
          <w:szCs w:val="22"/>
        </w:rPr>
        <w:t xml:space="preserve">BMC </w:t>
      </w:r>
      <w:r w:rsidRPr="001C0274">
        <w:rPr>
          <w:rFonts w:ascii="Arial" w:hAnsi="Arial" w:cs="Arial"/>
          <w:sz w:val="22"/>
          <w:szCs w:val="22"/>
        </w:rPr>
        <w:t>experienced decreases in ED visits</w:t>
      </w:r>
      <w:r w:rsidR="00AE6B58">
        <w:rPr>
          <w:rFonts w:ascii="Arial" w:hAnsi="Arial" w:cs="Arial"/>
          <w:sz w:val="22"/>
          <w:szCs w:val="22"/>
        </w:rPr>
        <w:t xml:space="preserve"> during this same period</w:t>
      </w:r>
      <w:r w:rsidRPr="001C0274">
        <w:rPr>
          <w:rFonts w:ascii="Arial" w:hAnsi="Arial" w:cs="Arial"/>
          <w:sz w:val="22"/>
          <w:szCs w:val="22"/>
        </w:rPr>
        <w:t xml:space="preserve"> due to the COVID-19 pandemic (decrease of 3.8% between FY19 and FY21)</w:t>
      </w:r>
      <w:r w:rsidR="000A6195">
        <w:rPr>
          <w:rFonts w:ascii="Arial" w:hAnsi="Arial" w:cs="Arial"/>
          <w:sz w:val="22"/>
          <w:szCs w:val="22"/>
        </w:rPr>
        <w:t>.</w:t>
      </w:r>
      <w:r w:rsidR="00FB167B">
        <w:rPr>
          <w:rFonts w:ascii="ZWAdobeF" w:hAnsi="ZWAdobeF" w:cs="ZWAdobeF"/>
          <w:sz w:val="2"/>
          <w:szCs w:val="2"/>
        </w:rPr>
        <w:t>44F</w:t>
      </w:r>
      <w:r w:rsidR="00AE6B58">
        <w:rPr>
          <w:rStyle w:val="FootnoteReference"/>
          <w:rFonts w:ascii="Arial" w:hAnsi="Arial" w:cs="Arial"/>
          <w:sz w:val="22"/>
          <w:szCs w:val="22"/>
        </w:rPr>
        <w:footnoteReference w:id="45"/>
      </w:r>
      <w:r w:rsidR="000A6195">
        <w:rPr>
          <w:rFonts w:ascii="Arial" w:hAnsi="Arial" w:cs="Arial"/>
          <w:sz w:val="22"/>
          <w:szCs w:val="22"/>
        </w:rPr>
        <w:t xml:space="preserve"> </w:t>
      </w:r>
      <w:r w:rsidR="00CD523F">
        <w:rPr>
          <w:rFonts w:ascii="Arial" w:hAnsi="Arial" w:cs="Arial"/>
          <w:sz w:val="22"/>
          <w:szCs w:val="22"/>
        </w:rPr>
        <w:t>The simultaneous decrease in</w:t>
      </w:r>
      <w:r w:rsidR="000A6195">
        <w:rPr>
          <w:rFonts w:ascii="Arial" w:hAnsi="Arial" w:cs="Arial"/>
          <w:sz w:val="22"/>
          <w:szCs w:val="22"/>
        </w:rPr>
        <w:t xml:space="preserve"> th</w:t>
      </w:r>
      <w:r w:rsidR="00CD523F">
        <w:rPr>
          <w:rFonts w:ascii="Arial" w:hAnsi="Arial" w:cs="Arial"/>
          <w:sz w:val="22"/>
          <w:szCs w:val="22"/>
        </w:rPr>
        <w:t>e</w:t>
      </w:r>
      <w:r w:rsidR="000A6195">
        <w:rPr>
          <w:rFonts w:ascii="Arial" w:hAnsi="Arial" w:cs="Arial"/>
          <w:sz w:val="22"/>
          <w:szCs w:val="22"/>
        </w:rPr>
        <w:t xml:space="preserve"> number of patient visits </w:t>
      </w:r>
      <w:r w:rsidR="00CD523F">
        <w:rPr>
          <w:rFonts w:ascii="Arial" w:hAnsi="Arial" w:cs="Arial"/>
          <w:sz w:val="22"/>
          <w:szCs w:val="22"/>
        </w:rPr>
        <w:t xml:space="preserve">to the ED and increase </w:t>
      </w:r>
      <w:r w:rsidRPr="001C0274">
        <w:rPr>
          <w:rFonts w:ascii="Arial" w:hAnsi="Arial" w:cs="Arial"/>
          <w:sz w:val="22"/>
          <w:szCs w:val="22"/>
        </w:rPr>
        <w:t xml:space="preserve">in </w:t>
      </w:r>
      <w:r w:rsidR="00CD523F">
        <w:rPr>
          <w:rFonts w:ascii="Arial" w:hAnsi="Arial" w:cs="Arial"/>
          <w:sz w:val="22"/>
          <w:szCs w:val="22"/>
        </w:rPr>
        <w:t xml:space="preserve">the </w:t>
      </w:r>
      <w:r w:rsidR="000A6195">
        <w:rPr>
          <w:rFonts w:ascii="Arial" w:hAnsi="Arial" w:cs="Arial"/>
          <w:sz w:val="22"/>
          <w:szCs w:val="22"/>
        </w:rPr>
        <w:t xml:space="preserve">number of </w:t>
      </w:r>
      <w:r w:rsidR="00CD523F">
        <w:rPr>
          <w:rFonts w:ascii="Arial" w:hAnsi="Arial" w:cs="Arial"/>
          <w:sz w:val="22"/>
          <w:szCs w:val="22"/>
        </w:rPr>
        <w:t xml:space="preserve">ED </w:t>
      </w:r>
      <w:r w:rsidR="000A6195">
        <w:rPr>
          <w:rFonts w:ascii="Arial" w:hAnsi="Arial" w:cs="Arial"/>
          <w:sz w:val="22"/>
          <w:szCs w:val="22"/>
        </w:rPr>
        <w:t>boarder</w:t>
      </w:r>
      <w:r w:rsidR="00CD523F">
        <w:rPr>
          <w:rFonts w:ascii="Arial" w:hAnsi="Arial" w:cs="Arial"/>
          <w:sz w:val="22"/>
          <w:szCs w:val="22"/>
        </w:rPr>
        <w:t>s</w:t>
      </w:r>
      <w:r w:rsidR="000A6195">
        <w:rPr>
          <w:rFonts w:ascii="Arial" w:hAnsi="Arial" w:cs="Arial"/>
          <w:sz w:val="22"/>
          <w:szCs w:val="22"/>
        </w:rPr>
        <w:t xml:space="preserve"> and </w:t>
      </w:r>
      <w:r w:rsidRPr="001C0274">
        <w:rPr>
          <w:rFonts w:ascii="Arial" w:hAnsi="Arial" w:cs="Arial"/>
          <w:sz w:val="22"/>
          <w:szCs w:val="22"/>
        </w:rPr>
        <w:t xml:space="preserve">average </w:t>
      </w:r>
      <w:r w:rsidR="00CD523F">
        <w:rPr>
          <w:rFonts w:ascii="Arial" w:hAnsi="Arial" w:cs="Arial"/>
          <w:sz w:val="22"/>
          <w:szCs w:val="22"/>
        </w:rPr>
        <w:t xml:space="preserve">ED </w:t>
      </w:r>
      <w:r w:rsidRPr="001C0274">
        <w:rPr>
          <w:rFonts w:ascii="Arial" w:hAnsi="Arial" w:cs="Arial"/>
          <w:sz w:val="22"/>
          <w:szCs w:val="22"/>
        </w:rPr>
        <w:t xml:space="preserve">boarder hours </w:t>
      </w:r>
      <w:r w:rsidR="000A6195">
        <w:rPr>
          <w:rFonts w:ascii="Arial" w:hAnsi="Arial" w:cs="Arial"/>
          <w:sz w:val="22"/>
          <w:szCs w:val="22"/>
        </w:rPr>
        <w:t>suggest</w:t>
      </w:r>
      <w:r w:rsidR="00CD523F">
        <w:rPr>
          <w:rFonts w:ascii="Arial" w:hAnsi="Arial" w:cs="Arial"/>
          <w:sz w:val="22"/>
          <w:szCs w:val="22"/>
        </w:rPr>
        <w:t xml:space="preserve">s that patients are spending more time waiting in the ED for an inpatient bed to become available. In other words, </w:t>
      </w:r>
      <w:r w:rsidR="00E2406C">
        <w:rPr>
          <w:rFonts w:ascii="Arial" w:hAnsi="Arial" w:cs="Arial"/>
          <w:sz w:val="22"/>
          <w:szCs w:val="22"/>
        </w:rPr>
        <w:t xml:space="preserve">the data suggest that the increase </w:t>
      </w:r>
      <w:r w:rsidR="001C3BC7">
        <w:rPr>
          <w:rFonts w:ascii="Arial" w:hAnsi="Arial" w:cs="Arial"/>
          <w:sz w:val="22"/>
          <w:szCs w:val="22"/>
        </w:rPr>
        <w:t xml:space="preserve">in </w:t>
      </w:r>
      <w:r w:rsidR="00E2406C">
        <w:rPr>
          <w:rFonts w:ascii="Arial" w:hAnsi="Arial" w:cs="Arial"/>
          <w:sz w:val="22"/>
          <w:szCs w:val="22"/>
        </w:rPr>
        <w:t>ED boarding is due to increased inpatient utilization</w:t>
      </w:r>
      <w:r w:rsidR="00E2406C" w:rsidRPr="00E2406C">
        <w:rPr>
          <w:rFonts w:ascii="Arial" w:hAnsi="Arial" w:cs="Arial"/>
          <w:sz w:val="22"/>
          <w:szCs w:val="22"/>
        </w:rPr>
        <w:t xml:space="preserve"> as evidenced by the </w:t>
      </w:r>
      <w:r w:rsidR="00E2406C">
        <w:rPr>
          <w:rFonts w:ascii="Arial" w:hAnsi="Arial" w:cs="Arial"/>
          <w:sz w:val="22"/>
          <w:szCs w:val="22"/>
        </w:rPr>
        <w:t>high</w:t>
      </w:r>
      <w:r w:rsidR="00E2406C" w:rsidRPr="00E2406C">
        <w:rPr>
          <w:rFonts w:ascii="Arial" w:hAnsi="Arial" w:cs="Arial"/>
          <w:sz w:val="22"/>
          <w:szCs w:val="22"/>
        </w:rPr>
        <w:t xml:space="preserve"> occupancy rate described above.</w:t>
      </w:r>
    </w:p>
    <w:p w14:paraId="721FD4CB" w14:textId="77777777" w:rsidR="00A3774F" w:rsidRDefault="00A3774F" w:rsidP="00B22580">
      <w:pPr>
        <w:pStyle w:val="NormalWeb"/>
        <w:spacing w:before="0" w:beforeAutospacing="0" w:after="0" w:afterAutospacing="0"/>
        <w:jc w:val="both"/>
        <w:rPr>
          <w:rFonts w:ascii="Arial" w:hAnsi="Arial" w:cs="Arial"/>
          <w:sz w:val="22"/>
          <w:szCs w:val="22"/>
        </w:rPr>
      </w:pPr>
    </w:p>
    <w:p w14:paraId="475F9A16" w14:textId="1C4096DF" w:rsidR="00B22580" w:rsidRDefault="004E2C16" w:rsidP="00926D4D">
      <w:pPr>
        <w:pStyle w:val="NormalWeb"/>
        <w:spacing w:before="0" w:beforeAutospacing="0" w:after="0" w:afterAutospacing="0"/>
        <w:jc w:val="both"/>
        <w:rPr>
          <w:rFonts w:ascii="Arial" w:hAnsi="Arial" w:cs="Arial"/>
          <w:sz w:val="22"/>
          <w:szCs w:val="22"/>
        </w:rPr>
      </w:pPr>
      <w:r w:rsidRPr="004E2C16">
        <w:rPr>
          <w:rFonts w:ascii="Arial Narrow" w:hAnsi="Arial Narrow" w:cs="Arial"/>
          <w:b/>
          <w:bCs/>
          <w:color w:val="000000" w:themeColor="text1"/>
          <w:sz w:val="22"/>
          <w:szCs w:val="22"/>
        </w:rPr>
        <w:t>Table 14: BMC ED Metrics (Adult Only)</w:t>
      </w:r>
    </w:p>
    <w:tbl>
      <w:tblPr>
        <w:tblStyle w:val="TableGrid"/>
        <w:tblW w:w="0" w:type="auto"/>
        <w:jc w:val="center"/>
        <w:tblLook w:val="04A0" w:firstRow="1" w:lastRow="0" w:firstColumn="1" w:lastColumn="0" w:noHBand="0" w:noVBand="1"/>
      </w:tblPr>
      <w:tblGrid>
        <w:gridCol w:w="2505"/>
        <w:gridCol w:w="1732"/>
        <w:gridCol w:w="1733"/>
        <w:gridCol w:w="1733"/>
      </w:tblGrid>
      <w:tr w:rsidR="00E2503E" w14:paraId="654CA26B" w14:textId="77777777" w:rsidTr="001A7E1A">
        <w:trPr>
          <w:cantSplit/>
          <w:tblHeader/>
          <w:jc w:val="center"/>
        </w:trPr>
        <w:tc>
          <w:tcPr>
            <w:tcW w:w="2505" w:type="dxa"/>
            <w:tcBorders>
              <w:left w:val="single" w:sz="12" w:space="0" w:color="auto"/>
              <w:right w:val="single" w:sz="4" w:space="0" w:color="auto"/>
            </w:tcBorders>
            <w:shd w:val="clear" w:color="auto" w:fill="8DA9DB"/>
          </w:tcPr>
          <w:p w14:paraId="2DBAF05A" w14:textId="77777777" w:rsidR="00E2503E" w:rsidRPr="00F80B42" w:rsidRDefault="00E2503E" w:rsidP="00963E14">
            <w:pPr>
              <w:pStyle w:val="NormalWeb"/>
              <w:spacing w:before="0" w:beforeAutospacing="0" w:after="0" w:afterAutospacing="0"/>
              <w:jc w:val="both"/>
              <w:rPr>
                <w:rFonts w:ascii="Arial Narrow" w:hAnsi="Arial Narrow" w:cs="Arial"/>
                <w:b/>
                <w:bCs/>
                <w:sz w:val="22"/>
                <w:szCs w:val="22"/>
              </w:rPr>
            </w:pPr>
          </w:p>
        </w:tc>
        <w:tc>
          <w:tcPr>
            <w:tcW w:w="1732" w:type="dxa"/>
            <w:tcBorders>
              <w:left w:val="single" w:sz="4" w:space="0" w:color="auto"/>
            </w:tcBorders>
            <w:shd w:val="clear" w:color="auto" w:fill="8DA9DB"/>
            <w:vAlign w:val="center"/>
          </w:tcPr>
          <w:p w14:paraId="77A36ACF" w14:textId="0DCC3169" w:rsidR="00E2503E" w:rsidRPr="00F80B42" w:rsidRDefault="00E2503E"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733" w:type="dxa"/>
            <w:tcBorders>
              <w:right w:val="single" w:sz="4" w:space="0" w:color="auto"/>
            </w:tcBorders>
            <w:shd w:val="clear" w:color="auto" w:fill="8DA9DB"/>
            <w:vAlign w:val="center"/>
          </w:tcPr>
          <w:p w14:paraId="5345774B" w14:textId="106D2FB9" w:rsidR="00E2503E" w:rsidRPr="00F80B42" w:rsidRDefault="00E2503E"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733" w:type="dxa"/>
            <w:tcBorders>
              <w:left w:val="single" w:sz="4" w:space="0" w:color="auto"/>
              <w:right w:val="single" w:sz="12" w:space="0" w:color="auto"/>
            </w:tcBorders>
            <w:shd w:val="clear" w:color="auto" w:fill="8DA9DB"/>
            <w:vAlign w:val="center"/>
          </w:tcPr>
          <w:p w14:paraId="4CDD6A87" w14:textId="5D32F8AD" w:rsidR="00E2503E" w:rsidRPr="00F80B42" w:rsidRDefault="00E2503E"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r>
      <w:tr w:rsidR="00E2503E" w14:paraId="3CF8956C" w14:textId="77777777" w:rsidTr="001A7E1A">
        <w:trPr>
          <w:cantSplit/>
          <w:jc w:val="center"/>
        </w:trPr>
        <w:tc>
          <w:tcPr>
            <w:tcW w:w="2505" w:type="dxa"/>
            <w:tcBorders>
              <w:left w:val="single" w:sz="12" w:space="0" w:color="auto"/>
              <w:right w:val="single" w:sz="4" w:space="0" w:color="auto"/>
            </w:tcBorders>
            <w:vAlign w:val="center"/>
          </w:tcPr>
          <w:p w14:paraId="47FFD9DB" w14:textId="55BFF038" w:rsidR="00E2503E" w:rsidRDefault="00E2503E"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Total Visits</w:t>
            </w:r>
          </w:p>
        </w:tc>
        <w:tc>
          <w:tcPr>
            <w:tcW w:w="1732" w:type="dxa"/>
            <w:tcBorders>
              <w:left w:val="single" w:sz="4" w:space="0" w:color="auto"/>
            </w:tcBorders>
            <w:shd w:val="clear" w:color="auto" w:fill="auto"/>
            <w:vAlign w:val="center"/>
          </w:tcPr>
          <w:p w14:paraId="3D55917B" w14:textId="60112FDF"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87,542</w:t>
            </w:r>
          </w:p>
        </w:tc>
        <w:tc>
          <w:tcPr>
            <w:tcW w:w="1733" w:type="dxa"/>
            <w:tcBorders>
              <w:right w:val="single" w:sz="4" w:space="0" w:color="auto"/>
            </w:tcBorders>
            <w:shd w:val="clear" w:color="auto" w:fill="auto"/>
            <w:vAlign w:val="center"/>
          </w:tcPr>
          <w:p w14:paraId="16BAFD3E" w14:textId="52B26CFC"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83,159</w:t>
            </w:r>
          </w:p>
        </w:tc>
        <w:tc>
          <w:tcPr>
            <w:tcW w:w="1733" w:type="dxa"/>
            <w:tcBorders>
              <w:left w:val="single" w:sz="4" w:space="0" w:color="auto"/>
              <w:right w:val="single" w:sz="12" w:space="0" w:color="auto"/>
            </w:tcBorders>
            <w:shd w:val="clear" w:color="auto" w:fill="auto"/>
            <w:vAlign w:val="center"/>
          </w:tcPr>
          <w:p w14:paraId="1636521B" w14:textId="46D4F28F"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84</w:t>
            </w:r>
            <w:r w:rsidR="000A6195">
              <w:rPr>
                <w:rFonts w:ascii="Arial Narrow" w:hAnsi="Arial Narrow" w:cs="Arial"/>
                <w:sz w:val="22"/>
                <w:szCs w:val="22"/>
              </w:rPr>
              <w:t>,</w:t>
            </w:r>
            <w:r>
              <w:rPr>
                <w:rFonts w:ascii="Arial Narrow" w:hAnsi="Arial Narrow" w:cs="Arial"/>
                <w:sz w:val="22"/>
                <w:szCs w:val="22"/>
              </w:rPr>
              <w:t>241</w:t>
            </w:r>
          </w:p>
        </w:tc>
      </w:tr>
      <w:tr w:rsidR="00E2503E" w14:paraId="765BFE86" w14:textId="77777777" w:rsidTr="001A7E1A">
        <w:trPr>
          <w:cantSplit/>
          <w:jc w:val="center"/>
        </w:trPr>
        <w:tc>
          <w:tcPr>
            <w:tcW w:w="2505" w:type="dxa"/>
            <w:tcBorders>
              <w:left w:val="single" w:sz="12" w:space="0" w:color="auto"/>
              <w:right w:val="single" w:sz="4" w:space="0" w:color="auto"/>
            </w:tcBorders>
            <w:vAlign w:val="center"/>
          </w:tcPr>
          <w:p w14:paraId="2789323E" w14:textId="6D22920F" w:rsidR="00E2503E" w:rsidRDefault="00E2503E"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 xml:space="preserve">Boarders </w:t>
            </w:r>
          </w:p>
        </w:tc>
        <w:tc>
          <w:tcPr>
            <w:tcW w:w="1732" w:type="dxa"/>
            <w:tcBorders>
              <w:left w:val="single" w:sz="4" w:space="0" w:color="auto"/>
            </w:tcBorders>
            <w:shd w:val="clear" w:color="auto" w:fill="auto"/>
            <w:vAlign w:val="center"/>
          </w:tcPr>
          <w:p w14:paraId="55593E7A" w14:textId="2DF4E6F2"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16,805</w:t>
            </w:r>
          </w:p>
        </w:tc>
        <w:tc>
          <w:tcPr>
            <w:tcW w:w="1733" w:type="dxa"/>
            <w:tcBorders>
              <w:right w:val="single" w:sz="4" w:space="0" w:color="auto"/>
            </w:tcBorders>
            <w:shd w:val="clear" w:color="auto" w:fill="auto"/>
            <w:vAlign w:val="center"/>
          </w:tcPr>
          <w:p w14:paraId="5BBEB2DF" w14:textId="2AB10521"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17,162</w:t>
            </w:r>
          </w:p>
        </w:tc>
        <w:tc>
          <w:tcPr>
            <w:tcW w:w="1733" w:type="dxa"/>
            <w:tcBorders>
              <w:left w:val="single" w:sz="4" w:space="0" w:color="auto"/>
              <w:right w:val="single" w:sz="12" w:space="0" w:color="auto"/>
            </w:tcBorders>
            <w:shd w:val="clear" w:color="auto" w:fill="auto"/>
            <w:vAlign w:val="center"/>
          </w:tcPr>
          <w:p w14:paraId="621C6503" w14:textId="422BF143"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18,905</w:t>
            </w:r>
          </w:p>
        </w:tc>
      </w:tr>
      <w:tr w:rsidR="00E2503E" w14:paraId="4EF4F5F2" w14:textId="77777777" w:rsidTr="001A7E1A">
        <w:trPr>
          <w:cantSplit/>
          <w:jc w:val="center"/>
        </w:trPr>
        <w:tc>
          <w:tcPr>
            <w:tcW w:w="2505" w:type="dxa"/>
            <w:tcBorders>
              <w:left w:val="single" w:sz="12" w:space="0" w:color="auto"/>
              <w:bottom w:val="single" w:sz="12" w:space="0" w:color="auto"/>
              <w:right w:val="single" w:sz="4" w:space="0" w:color="auto"/>
            </w:tcBorders>
            <w:vAlign w:val="center"/>
          </w:tcPr>
          <w:p w14:paraId="42406419" w14:textId="7D0C7614" w:rsidR="00E2503E" w:rsidRDefault="00E2503E" w:rsidP="00963E14">
            <w:pPr>
              <w:pStyle w:val="NormalWeb"/>
              <w:spacing w:before="0" w:beforeAutospacing="0" w:after="0" w:afterAutospacing="0"/>
              <w:rPr>
                <w:rFonts w:ascii="Arial Narrow" w:hAnsi="Arial Narrow" w:cs="Arial"/>
                <w:b/>
                <w:bCs/>
                <w:sz w:val="22"/>
                <w:szCs w:val="22"/>
              </w:rPr>
            </w:pPr>
            <w:r>
              <w:rPr>
                <w:rFonts w:ascii="Arial Narrow" w:hAnsi="Arial Narrow" w:cs="Arial"/>
                <w:b/>
                <w:bCs/>
                <w:sz w:val="22"/>
                <w:szCs w:val="22"/>
              </w:rPr>
              <w:t>Average Boarding Hours</w:t>
            </w:r>
          </w:p>
        </w:tc>
        <w:tc>
          <w:tcPr>
            <w:tcW w:w="1732" w:type="dxa"/>
            <w:tcBorders>
              <w:left w:val="single" w:sz="4" w:space="0" w:color="auto"/>
              <w:bottom w:val="single" w:sz="12" w:space="0" w:color="auto"/>
            </w:tcBorders>
            <w:shd w:val="clear" w:color="auto" w:fill="auto"/>
            <w:vAlign w:val="center"/>
          </w:tcPr>
          <w:p w14:paraId="3B4CF204" w14:textId="40DA8CCF"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w:t>
            </w:r>
            <w:r w:rsidR="00A13E3A">
              <w:rPr>
                <w:rFonts w:ascii="Arial Narrow" w:hAnsi="Arial Narrow" w:cs="Arial"/>
                <w:sz w:val="22"/>
                <w:szCs w:val="22"/>
              </w:rPr>
              <w:t>9</w:t>
            </w:r>
          </w:p>
        </w:tc>
        <w:tc>
          <w:tcPr>
            <w:tcW w:w="1733" w:type="dxa"/>
            <w:tcBorders>
              <w:bottom w:val="single" w:sz="12" w:space="0" w:color="auto"/>
              <w:right w:val="single" w:sz="4" w:space="0" w:color="auto"/>
            </w:tcBorders>
            <w:shd w:val="clear" w:color="auto" w:fill="auto"/>
            <w:vAlign w:val="center"/>
          </w:tcPr>
          <w:p w14:paraId="11ED629D" w14:textId="5D484962"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4.8</w:t>
            </w:r>
          </w:p>
        </w:tc>
        <w:tc>
          <w:tcPr>
            <w:tcW w:w="1733" w:type="dxa"/>
            <w:tcBorders>
              <w:left w:val="single" w:sz="4" w:space="0" w:color="auto"/>
              <w:bottom w:val="single" w:sz="12" w:space="0" w:color="auto"/>
              <w:right w:val="single" w:sz="12" w:space="0" w:color="auto"/>
            </w:tcBorders>
            <w:shd w:val="clear" w:color="auto" w:fill="auto"/>
            <w:vAlign w:val="center"/>
          </w:tcPr>
          <w:p w14:paraId="71226120" w14:textId="17B48047" w:rsidR="00E2503E" w:rsidRPr="00F80B42" w:rsidRDefault="00A72843"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5.7</w:t>
            </w:r>
          </w:p>
        </w:tc>
      </w:tr>
    </w:tbl>
    <w:p w14:paraId="3AF41F49" w14:textId="77777777" w:rsidR="00926D4D" w:rsidRPr="0058495C" w:rsidRDefault="00926D4D" w:rsidP="00194DED">
      <w:pPr>
        <w:pStyle w:val="NormalWeb"/>
        <w:spacing w:before="0" w:beforeAutospacing="0" w:after="0" w:afterAutospacing="0"/>
        <w:jc w:val="both"/>
        <w:rPr>
          <w:rFonts w:ascii="Arial" w:hAnsi="Arial" w:cs="Arial"/>
          <w:color w:val="000000" w:themeColor="text1"/>
          <w:sz w:val="22"/>
          <w:szCs w:val="22"/>
        </w:rPr>
      </w:pPr>
    </w:p>
    <w:p w14:paraId="262B8C9E" w14:textId="58734E80" w:rsidR="00431971" w:rsidRPr="00997718" w:rsidRDefault="0007691A" w:rsidP="00194DED">
      <w:pPr>
        <w:pStyle w:val="NormalWeb"/>
        <w:spacing w:before="0" w:beforeAutospacing="0" w:after="0" w:afterAutospacing="0"/>
        <w:jc w:val="both"/>
        <w:rPr>
          <w:rFonts w:ascii="Arial" w:hAnsi="Arial" w:cs="Arial"/>
          <w:sz w:val="22"/>
          <w:szCs w:val="22"/>
        </w:rPr>
      </w:pPr>
      <w:r w:rsidRPr="00997718">
        <w:rPr>
          <w:rFonts w:ascii="Arial" w:hAnsi="Arial" w:cs="Arial"/>
          <w:sz w:val="22"/>
          <w:szCs w:val="22"/>
        </w:rPr>
        <w:t>Commensurate with</w:t>
      </w:r>
      <w:r w:rsidR="003020D5" w:rsidRPr="00997718">
        <w:rPr>
          <w:rFonts w:ascii="Arial" w:hAnsi="Arial" w:cs="Arial"/>
          <w:sz w:val="22"/>
          <w:szCs w:val="22"/>
        </w:rPr>
        <w:t xml:space="preserve"> </w:t>
      </w:r>
      <w:r w:rsidRPr="00997718">
        <w:rPr>
          <w:rFonts w:ascii="Arial" w:hAnsi="Arial" w:cs="Arial"/>
          <w:sz w:val="22"/>
          <w:szCs w:val="22"/>
        </w:rPr>
        <w:t>increases in ED boarding</w:t>
      </w:r>
      <w:r w:rsidR="00194DED" w:rsidRPr="00997718">
        <w:rPr>
          <w:rFonts w:ascii="Arial" w:hAnsi="Arial" w:cs="Arial"/>
          <w:sz w:val="22"/>
          <w:szCs w:val="22"/>
        </w:rPr>
        <w:t>, BMC</w:t>
      </w:r>
      <w:r w:rsidR="003020D5" w:rsidRPr="00997718">
        <w:rPr>
          <w:rFonts w:ascii="Arial" w:hAnsi="Arial" w:cs="Arial"/>
          <w:sz w:val="22"/>
          <w:szCs w:val="22"/>
        </w:rPr>
        <w:t xml:space="preserve"> </w:t>
      </w:r>
      <w:r w:rsidR="00194DED" w:rsidRPr="00997718">
        <w:rPr>
          <w:rFonts w:ascii="Arial" w:hAnsi="Arial" w:cs="Arial"/>
          <w:sz w:val="22"/>
          <w:szCs w:val="22"/>
        </w:rPr>
        <w:t xml:space="preserve">has </w:t>
      </w:r>
      <w:r w:rsidRPr="00997718">
        <w:rPr>
          <w:rFonts w:ascii="Arial" w:hAnsi="Arial" w:cs="Arial"/>
          <w:sz w:val="22"/>
          <w:szCs w:val="22"/>
        </w:rPr>
        <w:t xml:space="preserve">also </w:t>
      </w:r>
      <w:r w:rsidR="00194DED" w:rsidRPr="00997718">
        <w:rPr>
          <w:rFonts w:ascii="Arial" w:hAnsi="Arial" w:cs="Arial"/>
          <w:sz w:val="22"/>
          <w:szCs w:val="22"/>
        </w:rPr>
        <w:t xml:space="preserve">seen </w:t>
      </w:r>
      <w:r w:rsidR="003020D5" w:rsidRPr="00997718">
        <w:rPr>
          <w:rFonts w:ascii="Arial" w:hAnsi="Arial" w:cs="Arial"/>
          <w:sz w:val="22"/>
          <w:szCs w:val="22"/>
        </w:rPr>
        <w:t xml:space="preserve">an increase in </w:t>
      </w:r>
      <w:r w:rsidR="00CD799E" w:rsidRPr="00997718">
        <w:rPr>
          <w:rFonts w:ascii="Arial" w:hAnsi="Arial" w:cs="Arial"/>
          <w:sz w:val="22"/>
          <w:szCs w:val="22"/>
        </w:rPr>
        <w:t xml:space="preserve">utilization of its alternate care spaces (e.g., </w:t>
      </w:r>
      <w:r w:rsidR="003020D5" w:rsidRPr="00997718">
        <w:rPr>
          <w:rFonts w:ascii="Arial" w:hAnsi="Arial" w:cs="Arial"/>
          <w:sz w:val="22"/>
          <w:szCs w:val="22"/>
        </w:rPr>
        <w:t xml:space="preserve">Code Yellow instances </w:t>
      </w:r>
      <w:r w:rsidR="00CD799E" w:rsidRPr="00997718">
        <w:rPr>
          <w:rFonts w:ascii="Arial" w:hAnsi="Arial" w:cs="Arial"/>
          <w:sz w:val="22"/>
          <w:szCs w:val="22"/>
        </w:rPr>
        <w:t xml:space="preserve">and other </w:t>
      </w:r>
      <w:r w:rsidR="00997718">
        <w:rPr>
          <w:rFonts w:ascii="Arial" w:hAnsi="Arial" w:cs="Arial"/>
          <w:sz w:val="22"/>
          <w:szCs w:val="22"/>
        </w:rPr>
        <w:t xml:space="preserve">acute inpatient care </w:t>
      </w:r>
      <w:r w:rsidR="00CD799E" w:rsidRPr="00997718">
        <w:rPr>
          <w:rFonts w:ascii="Arial" w:hAnsi="Arial" w:cs="Arial"/>
          <w:sz w:val="22"/>
          <w:szCs w:val="22"/>
        </w:rPr>
        <w:t xml:space="preserve">COVID-19 surge spaces) </w:t>
      </w:r>
      <w:r w:rsidR="003020D5" w:rsidRPr="00997718">
        <w:rPr>
          <w:rFonts w:ascii="Arial" w:hAnsi="Arial" w:cs="Arial"/>
          <w:sz w:val="22"/>
          <w:szCs w:val="22"/>
        </w:rPr>
        <w:t>from FY19-FY21</w:t>
      </w:r>
      <w:r w:rsidRPr="00997718">
        <w:rPr>
          <w:rFonts w:ascii="Arial" w:hAnsi="Arial" w:cs="Arial"/>
          <w:sz w:val="22"/>
          <w:szCs w:val="22"/>
        </w:rPr>
        <w:t xml:space="preserve"> due to high inpatient occupancy rates</w:t>
      </w:r>
      <w:r w:rsidR="00CD799E" w:rsidRPr="00997718">
        <w:rPr>
          <w:rFonts w:ascii="Arial" w:hAnsi="Arial" w:cs="Arial"/>
          <w:sz w:val="22"/>
          <w:szCs w:val="22"/>
        </w:rPr>
        <w:t xml:space="preserve"> as well as the COVID-19 pandemic, as detailed in Tables 11 and 12.</w:t>
      </w:r>
      <w:r w:rsidRPr="00997718">
        <w:rPr>
          <w:rFonts w:ascii="Arial" w:hAnsi="Arial" w:cs="Arial"/>
          <w:sz w:val="22"/>
          <w:szCs w:val="22"/>
        </w:rPr>
        <w:t xml:space="preserve"> </w:t>
      </w:r>
      <w:r w:rsidR="005827F9" w:rsidRPr="00997718">
        <w:rPr>
          <w:rFonts w:ascii="Arial" w:hAnsi="Arial" w:cs="Arial"/>
          <w:sz w:val="22"/>
          <w:szCs w:val="22"/>
        </w:rPr>
        <w:t xml:space="preserve">The additional inpatient beds that are included in the Proposed Project are expected to help address ED boarding and overcrowding, as well as the utilization of </w:t>
      </w:r>
      <w:r w:rsidR="00CD799E" w:rsidRPr="00997718">
        <w:rPr>
          <w:rFonts w:ascii="Arial" w:hAnsi="Arial" w:cs="Arial"/>
          <w:sz w:val="22"/>
          <w:szCs w:val="22"/>
        </w:rPr>
        <w:t>alternate</w:t>
      </w:r>
      <w:r w:rsidR="005827F9" w:rsidRPr="00997718">
        <w:rPr>
          <w:rFonts w:ascii="Arial" w:hAnsi="Arial" w:cs="Arial"/>
          <w:sz w:val="22"/>
          <w:szCs w:val="22"/>
        </w:rPr>
        <w:t xml:space="preserve"> </w:t>
      </w:r>
      <w:r w:rsidR="003058DB">
        <w:rPr>
          <w:rFonts w:ascii="Arial" w:hAnsi="Arial" w:cs="Arial"/>
          <w:sz w:val="22"/>
          <w:szCs w:val="22"/>
        </w:rPr>
        <w:t xml:space="preserve">care spaces </w:t>
      </w:r>
      <w:r w:rsidR="005827F9" w:rsidRPr="00997718">
        <w:rPr>
          <w:rFonts w:ascii="Arial" w:hAnsi="Arial" w:cs="Arial"/>
          <w:sz w:val="22"/>
          <w:szCs w:val="22"/>
        </w:rPr>
        <w:t>at the Hospital by allowing patients who need to be admitted from the ED to be moved to a</w:t>
      </w:r>
      <w:r w:rsidR="003058DB">
        <w:rPr>
          <w:rFonts w:ascii="Arial" w:hAnsi="Arial" w:cs="Arial"/>
          <w:sz w:val="22"/>
          <w:szCs w:val="22"/>
        </w:rPr>
        <w:t xml:space="preserve"> licensed</w:t>
      </w:r>
      <w:r w:rsidR="005827F9" w:rsidRPr="00997718">
        <w:rPr>
          <w:rFonts w:ascii="Arial" w:hAnsi="Arial" w:cs="Arial"/>
          <w:sz w:val="22"/>
          <w:szCs w:val="22"/>
        </w:rPr>
        <w:t xml:space="preserve"> inpatient bed more quickly.</w:t>
      </w:r>
    </w:p>
    <w:p w14:paraId="6850E65F" w14:textId="77777777" w:rsidR="00D84A05" w:rsidRDefault="00D84A05" w:rsidP="00856859">
      <w:pPr>
        <w:pStyle w:val="NormalWeb"/>
        <w:spacing w:before="0" w:beforeAutospacing="0" w:after="0" w:afterAutospacing="0"/>
        <w:jc w:val="both"/>
        <w:rPr>
          <w:rFonts w:ascii="Arial" w:hAnsi="Arial" w:cs="Arial"/>
          <w:sz w:val="22"/>
          <w:szCs w:val="22"/>
          <w:u w:val="single"/>
        </w:rPr>
      </w:pPr>
    </w:p>
    <w:p w14:paraId="1ED4C2B6" w14:textId="7121A483" w:rsidR="00966519" w:rsidRDefault="00966519" w:rsidP="00966519">
      <w:pPr>
        <w:pStyle w:val="NormalWeb"/>
        <w:numPr>
          <w:ilvl w:val="0"/>
          <w:numId w:val="9"/>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Projected Demand and Meeting Future Needs through the Proposed Project</w:t>
      </w:r>
    </w:p>
    <w:p w14:paraId="1793DC8E" w14:textId="77777777" w:rsidR="00AE6B58" w:rsidRDefault="00AE6B58" w:rsidP="00D4649D">
      <w:pPr>
        <w:jc w:val="both"/>
        <w:rPr>
          <w:rFonts w:ascii="Arial" w:hAnsi="Arial" w:cs="Arial"/>
          <w:sz w:val="22"/>
          <w:szCs w:val="22"/>
        </w:rPr>
      </w:pPr>
    </w:p>
    <w:p w14:paraId="01BA9035" w14:textId="0CF27B30" w:rsidR="00E500C8" w:rsidRDefault="00AE6B58" w:rsidP="00D4649D">
      <w:pPr>
        <w:jc w:val="both"/>
        <w:rPr>
          <w:rFonts w:ascii="Arial" w:hAnsi="Arial" w:cs="Arial"/>
          <w:sz w:val="22"/>
          <w:szCs w:val="22"/>
        </w:rPr>
      </w:pPr>
      <w:r>
        <w:rPr>
          <w:rFonts w:ascii="Arial" w:hAnsi="Arial" w:cs="Arial"/>
          <w:sz w:val="22"/>
          <w:szCs w:val="22"/>
        </w:rPr>
        <w:t xml:space="preserve">Finally, </w:t>
      </w:r>
      <w:r w:rsidR="000E212B">
        <w:rPr>
          <w:rFonts w:ascii="Arial" w:hAnsi="Arial" w:cs="Arial"/>
          <w:sz w:val="22"/>
          <w:szCs w:val="22"/>
        </w:rPr>
        <w:t>the Applicant highlights the need for BMC to expand its inpatient bed capacity to meet the projected growth in inpatient demand</w:t>
      </w:r>
      <w:r w:rsidR="00590F4C">
        <w:rPr>
          <w:rFonts w:ascii="Arial" w:hAnsi="Arial" w:cs="Arial"/>
          <w:sz w:val="22"/>
          <w:szCs w:val="22"/>
        </w:rPr>
        <w:t xml:space="preserve">. </w:t>
      </w:r>
      <w:r w:rsidR="001C3BC7">
        <w:rPr>
          <w:rFonts w:ascii="Arial" w:hAnsi="Arial" w:cs="Arial"/>
          <w:sz w:val="22"/>
          <w:szCs w:val="22"/>
        </w:rPr>
        <w:t>C</w:t>
      </w:r>
      <w:r w:rsidR="00590F4C">
        <w:rPr>
          <w:rFonts w:ascii="Arial" w:hAnsi="Arial" w:cs="Arial"/>
          <w:sz w:val="22"/>
          <w:szCs w:val="22"/>
        </w:rPr>
        <w:t xml:space="preserve">ontinued growth among BMC’s patient panel is supported by population growth estimates </w:t>
      </w:r>
      <w:r w:rsidR="00E500C8">
        <w:rPr>
          <w:rFonts w:ascii="Arial" w:hAnsi="Arial" w:cs="Arial"/>
          <w:sz w:val="22"/>
          <w:szCs w:val="22"/>
        </w:rPr>
        <w:t xml:space="preserve">provided by </w:t>
      </w:r>
      <w:r w:rsidR="00C25B06" w:rsidRPr="00C25B06">
        <w:rPr>
          <w:rFonts w:ascii="Arial" w:hAnsi="Arial" w:cs="Arial"/>
          <w:sz w:val="22"/>
          <w:szCs w:val="22"/>
        </w:rPr>
        <w:t>the University of Massachusetts’ Donahue Institute (“UMDI”)</w:t>
      </w:r>
      <w:r w:rsidR="00E500C8">
        <w:rPr>
          <w:rFonts w:ascii="Arial" w:hAnsi="Arial" w:cs="Arial"/>
          <w:sz w:val="22"/>
          <w:szCs w:val="22"/>
        </w:rPr>
        <w:t xml:space="preserve">, </w:t>
      </w:r>
      <w:r w:rsidR="004F668B">
        <w:rPr>
          <w:rFonts w:ascii="Arial" w:hAnsi="Arial" w:cs="Arial"/>
          <w:sz w:val="22"/>
          <w:szCs w:val="22"/>
        </w:rPr>
        <w:t xml:space="preserve">a public service, research, and economic organization that contracts with </w:t>
      </w:r>
      <w:r w:rsidR="001C3BC7">
        <w:rPr>
          <w:rFonts w:ascii="Arial" w:hAnsi="Arial" w:cs="Arial"/>
          <w:sz w:val="22"/>
          <w:szCs w:val="22"/>
        </w:rPr>
        <w:t xml:space="preserve">the </w:t>
      </w:r>
      <w:r w:rsidR="004F668B">
        <w:rPr>
          <w:rFonts w:ascii="Arial" w:hAnsi="Arial" w:cs="Arial"/>
          <w:sz w:val="22"/>
          <w:szCs w:val="22"/>
        </w:rPr>
        <w:t xml:space="preserve">Secretary of </w:t>
      </w:r>
      <w:r w:rsidR="001C3BC7">
        <w:rPr>
          <w:rFonts w:ascii="Arial" w:hAnsi="Arial" w:cs="Arial"/>
          <w:sz w:val="22"/>
          <w:szCs w:val="22"/>
        </w:rPr>
        <w:t xml:space="preserve">the Commonwealth of Massachusetts </w:t>
      </w:r>
      <w:r w:rsidR="004F668B">
        <w:rPr>
          <w:rFonts w:ascii="Arial" w:hAnsi="Arial" w:cs="Arial"/>
          <w:sz w:val="22"/>
          <w:szCs w:val="22"/>
        </w:rPr>
        <w:t xml:space="preserve">to produce </w:t>
      </w:r>
      <w:r w:rsidR="004F668B" w:rsidRPr="004F668B">
        <w:rPr>
          <w:rFonts w:ascii="Arial" w:hAnsi="Arial" w:cs="Arial"/>
          <w:sz w:val="22"/>
          <w:szCs w:val="22"/>
        </w:rPr>
        <w:t>population projections for Massachusetts geographies for use in both public and private planning initiatives.</w:t>
      </w:r>
      <w:r w:rsidR="0048589A">
        <w:rPr>
          <w:rFonts w:ascii="Arial" w:hAnsi="Arial" w:cs="Arial"/>
          <w:sz w:val="22"/>
          <w:szCs w:val="22"/>
        </w:rPr>
        <w:t xml:space="preserve"> </w:t>
      </w:r>
      <w:r w:rsidR="000F5868">
        <w:rPr>
          <w:rFonts w:ascii="Arial" w:hAnsi="Arial" w:cs="Arial"/>
          <w:sz w:val="22"/>
          <w:szCs w:val="22"/>
        </w:rPr>
        <w:t>According to data</w:t>
      </w:r>
      <w:r w:rsidR="0048589A">
        <w:rPr>
          <w:rFonts w:ascii="Arial" w:hAnsi="Arial" w:cs="Arial"/>
          <w:sz w:val="22"/>
          <w:szCs w:val="22"/>
        </w:rPr>
        <w:t xml:space="preserve"> provided by UMDI</w:t>
      </w:r>
      <w:r w:rsidR="000F5868">
        <w:rPr>
          <w:rFonts w:ascii="Arial" w:hAnsi="Arial" w:cs="Arial"/>
          <w:sz w:val="22"/>
          <w:szCs w:val="22"/>
        </w:rPr>
        <w:t>,</w:t>
      </w:r>
      <w:r w:rsidR="00E500C8">
        <w:rPr>
          <w:rFonts w:ascii="Arial" w:hAnsi="Arial" w:cs="Arial"/>
          <w:sz w:val="22"/>
          <w:szCs w:val="22"/>
        </w:rPr>
        <w:t xml:space="preserve"> the </w:t>
      </w:r>
      <w:r w:rsidR="0048589A">
        <w:rPr>
          <w:rFonts w:ascii="Arial" w:hAnsi="Arial" w:cs="Arial"/>
          <w:sz w:val="22"/>
          <w:szCs w:val="22"/>
        </w:rPr>
        <w:t xml:space="preserve">Massachusetts </w:t>
      </w:r>
      <w:r w:rsidR="00E500C8">
        <w:rPr>
          <w:rFonts w:ascii="Arial" w:hAnsi="Arial" w:cs="Arial"/>
          <w:sz w:val="22"/>
          <w:szCs w:val="22"/>
        </w:rPr>
        <w:t xml:space="preserve">statewide population is projected to grow </w:t>
      </w:r>
      <w:r w:rsidR="003276BA">
        <w:rPr>
          <w:rFonts w:ascii="Arial" w:hAnsi="Arial" w:cs="Arial"/>
          <w:sz w:val="22"/>
          <w:szCs w:val="22"/>
        </w:rPr>
        <w:t>a total of 6.4% from 2020 through 2040</w:t>
      </w:r>
      <w:r w:rsidR="000F5868">
        <w:rPr>
          <w:rFonts w:ascii="Arial" w:hAnsi="Arial" w:cs="Arial"/>
          <w:sz w:val="22"/>
          <w:szCs w:val="22"/>
        </w:rPr>
        <w:t xml:space="preserve">, and the Greater Boston region, which </w:t>
      </w:r>
      <w:r w:rsidR="0048589A">
        <w:rPr>
          <w:rFonts w:ascii="Arial" w:hAnsi="Arial" w:cs="Arial"/>
          <w:sz w:val="22"/>
          <w:szCs w:val="22"/>
        </w:rPr>
        <w:t>is home to the large majority of BMC’s medical/surgical and ICU patients</w:t>
      </w:r>
      <w:r w:rsidR="000F5868">
        <w:rPr>
          <w:rFonts w:ascii="Arial" w:hAnsi="Arial" w:cs="Arial"/>
          <w:sz w:val="22"/>
          <w:szCs w:val="22"/>
        </w:rPr>
        <w:t xml:space="preserve">, is expected to </w:t>
      </w:r>
      <w:r w:rsidR="0048589A">
        <w:rPr>
          <w:rFonts w:ascii="Arial" w:hAnsi="Arial" w:cs="Arial"/>
          <w:sz w:val="22"/>
          <w:szCs w:val="22"/>
        </w:rPr>
        <w:t xml:space="preserve">experience an </w:t>
      </w:r>
      <w:r w:rsidR="000F5868">
        <w:rPr>
          <w:rFonts w:ascii="Arial" w:hAnsi="Arial" w:cs="Arial"/>
          <w:sz w:val="22"/>
          <w:szCs w:val="22"/>
        </w:rPr>
        <w:t xml:space="preserve">increase </w:t>
      </w:r>
      <w:r w:rsidR="0048589A">
        <w:rPr>
          <w:rFonts w:ascii="Arial" w:hAnsi="Arial" w:cs="Arial"/>
          <w:sz w:val="22"/>
          <w:szCs w:val="22"/>
        </w:rPr>
        <w:t>of</w:t>
      </w:r>
      <w:r w:rsidR="000F5868">
        <w:rPr>
          <w:rFonts w:ascii="Arial" w:hAnsi="Arial" w:cs="Arial"/>
          <w:sz w:val="22"/>
          <w:szCs w:val="22"/>
        </w:rPr>
        <w:t xml:space="preserve"> 14.2% in </w:t>
      </w:r>
      <w:r w:rsidR="0048589A">
        <w:rPr>
          <w:rFonts w:ascii="Arial" w:hAnsi="Arial" w:cs="Arial"/>
          <w:sz w:val="22"/>
          <w:szCs w:val="22"/>
        </w:rPr>
        <w:t xml:space="preserve">its overall population in </w:t>
      </w:r>
      <w:r w:rsidR="000F5868">
        <w:rPr>
          <w:rFonts w:ascii="Arial" w:hAnsi="Arial" w:cs="Arial"/>
          <w:sz w:val="22"/>
          <w:szCs w:val="22"/>
        </w:rPr>
        <w:t>the 2020 to 2040 period</w:t>
      </w:r>
      <w:r w:rsidR="003276BA">
        <w:rPr>
          <w:rFonts w:ascii="Arial" w:hAnsi="Arial" w:cs="Arial"/>
          <w:sz w:val="22"/>
          <w:szCs w:val="22"/>
        </w:rPr>
        <w:t>.</w:t>
      </w:r>
      <w:r w:rsidR="00FB167B">
        <w:rPr>
          <w:rFonts w:ascii="ZWAdobeF" w:hAnsi="ZWAdobeF" w:cs="ZWAdobeF"/>
          <w:sz w:val="2"/>
          <w:szCs w:val="2"/>
        </w:rPr>
        <w:t>45F</w:t>
      </w:r>
      <w:r w:rsidR="003276BA">
        <w:rPr>
          <w:rStyle w:val="FootnoteReference"/>
          <w:rFonts w:ascii="Arial" w:hAnsi="Arial" w:cs="Arial"/>
          <w:sz w:val="22"/>
          <w:szCs w:val="22"/>
        </w:rPr>
        <w:footnoteReference w:id="46"/>
      </w:r>
    </w:p>
    <w:p w14:paraId="7E9E8E9F" w14:textId="77777777" w:rsidR="00FE3D2C" w:rsidRDefault="00FE3D2C" w:rsidP="00D4649D">
      <w:pPr>
        <w:jc w:val="both"/>
        <w:rPr>
          <w:rFonts w:ascii="Arial" w:hAnsi="Arial" w:cs="Arial"/>
          <w:sz w:val="22"/>
          <w:szCs w:val="22"/>
        </w:rPr>
      </w:pPr>
    </w:p>
    <w:p w14:paraId="19225EEF" w14:textId="5AA9BBB6" w:rsidR="003276BA" w:rsidRDefault="00FB1B14" w:rsidP="00D4649D">
      <w:pPr>
        <w:jc w:val="both"/>
        <w:rPr>
          <w:rFonts w:ascii="Arial" w:hAnsi="Arial" w:cs="Arial"/>
          <w:sz w:val="22"/>
          <w:szCs w:val="22"/>
        </w:rPr>
      </w:pPr>
      <w:r>
        <w:rPr>
          <w:rFonts w:ascii="Arial" w:hAnsi="Arial" w:cs="Arial"/>
          <w:sz w:val="22"/>
          <w:szCs w:val="22"/>
        </w:rPr>
        <w:t>An analysis of UMDI’s projections shows that the growth in the Commonwealth and the Greater Boston region</w:t>
      </w:r>
      <w:r w:rsidR="00F636BB">
        <w:rPr>
          <w:rFonts w:ascii="Arial" w:hAnsi="Arial" w:cs="Arial"/>
          <w:sz w:val="22"/>
          <w:szCs w:val="22"/>
        </w:rPr>
        <w:t>’s population</w:t>
      </w:r>
      <w:r>
        <w:rPr>
          <w:rFonts w:ascii="Arial" w:hAnsi="Arial" w:cs="Arial"/>
          <w:sz w:val="22"/>
          <w:szCs w:val="22"/>
        </w:rPr>
        <w:t xml:space="preserve"> is segmented by age sector, that </w:t>
      </w:r>
      <w:r w:rsidR="00FE3D2C">
        <w:rPr>
          <w:rFonts w:ascii="Arial" w:hAnsi="Arial" w:cs="Arial"/>
          <w:sz w:val="22"/>
          <w:szCs w:val="22"/>
        </w:rPr>
        <w:t>modest growth is attributable to residents ages 0-64</w:t>
      </w:r>
      <w:r w:rsidR="00F47B34">
        <w:rPr>
          <w:rFonts w:ascii="Arial" w:hAnsi="Arial" w:cs="Arial"/>
          <w:sz w:val="22"/>
          <w:szCs w:val="22"/>
        </w:rPr>
        <w:t>,</w:t>
      </w:r>
      <w:r w:rsidR="00FE3D2C">
        <w:rPr>
          <w:rFonts w:ascii="Arial" w:hAnsi="Arial" w:cs="Arial"/>
          <w:sz w:val="22"/>
          <w:szCs w:val="22"/>
        </w:rPr>
        <w:t xml:space="preserve"> </w:t>
      </w:r>
      <w:r w:rsidR="00890B35">
        <w:rPr>
          <w:rFonts w:ascii="Arial" w:hAnsi="Arial" w:cs="Arial"/>
          <w:sz w:val="22"/>
          <w:szCs w:val="22"/>
        </w:rPr>
        <w:t xml:space="preserve">and </w:t>
      </w:r>
      <w:r w:rsidR="00B77BEA">
        <w:rPr>
          <w:rFonts w:ascii="Arial" w:hAnsi="Arial" w:cs="Arial"/>
          <w:sz w:val="22"/>
          <w:szCs w:val="22"/>
        </w:rPr>
        <w:t>th</w:t>
      </w:r>
      <w:r w:rsidR="00F47B34">
        <w:rPr>
          <w:rFonts w:ascii="Arial" w:hAnsi="Arial" w:cs="Arial"/>
          <w:sz w:val="22"/>
          <w:szCs w:val="22"/>
        </w:rPr>
        <w:t>at the</w:t>
      </w:r>
      <w:r w:rsidR="00B77BEA">
        <w:rPr>
          <w:rFonts w:ascii="Arial" w:hAnsi="Arial" w:cs="Arial"/>
          <w:sz w:val="22"/>
          <w:szCs w:val="22"/>
        </w:rPr>
        <w:t xml:space="preserve"> highest percentage </w:t>
      </w:r>
      <w:r w:rsidR="00FE3D2C">
        <w:rPr>
          <w:rFonts w:ascii="Arial" w:hAnsi="Arial" w:cs="Arial"/>
          <w:sz w:val="22"/>
          <w:szCs w:val="22"/>
        </w:rPr>
        <w:t>of the state and the region’s population growth is attributable to residents ages 65+.</w:t>
      </w:r>
      <w:r w:rsidR="00FB167B">
        <w:rPr>
          <w:rFonts w:ascii="ZWAdobeF" w:hAnsi="ZWAdobeF" w:cs="ZWAdobeF"/>
          <w:sz w:val="2"/>
          <w:szCs w:val="2"/>
        </w:rPr>
        <w:t>46F</w:t>
      </w:r>
      <w:r w:rsidR="00F04EE0">
        <w:rPr>
          <w:rStyle w:val="FootnoteReference"/>
          <w:rFonts w:ascii="Arial" w:hAnsi="Arial" w:cs="Arial"/>
          <w:sz w:val="22"/>
          <w:szCs w:val="22"/>
        </w:rPr>
        <w:footnoteReference w:id="47"/>
      </w:r>
      <w:r w:rsidR="00FE3D2C">
        <w:rPr>
          <w:rFonts w:ascii="Arial" w:hAnsi="Arial" w:cs="Arial"/>
          <w:sz w:val="22"/>
          <w:szCs w:val="22"/>
        </w:rPr>
        <w:t xml:space="preserve"> For instance, in the Greater Boston region, between 2020 and 2040, </w:t>
      </w:r>
      <w:r w:rsidR="00090128">
        <w:rPr>
          <w:rFonts w:ascii="Arial" w:hAnsi="Arial" w:cs="Arial"/>
          <w:sz w:val="22"/>
          <w:szCs w:val="22"/>
        </w:rPr>
        <w:t>the 0-64 age cohort is projected to grow 9.6% and the 65+ age cohort is expected to grow 40.7%.</w:t>
      </w:r>
      <w:r w:rsidR="00FB167B">
        <w:rPr>
          <w:rFonts w:ascii="ZWAdobeF" w:hAnsi="ZWAdobeF" w:cs="ZWAdobeF"/>
          <w:sz w:val="2"/>
          <w:szCs w:val="2"/>
        </w:rPr>
        <w:t>47F</w:t>
      </w:r>
      <w:r w:rsidR="00DB7CB2">
        <w:rPr>
          <w:rStyle w:val="FootnoteReference"/>
          <w:rFonts w:ascii="Arial" w:hAnsi="Arial" w:cs="Arial"/>
          <w:sz w:val="22"/>
          <w:szCs w:val="22"/>
        </w:rPr>
        <w:footnoteReference w:id="48"/>
      </w:r>
      <w:r w:rsidR="00C37CF8">
        <w:rPr>
          <w:rFonts w:ascii="Arial" w:hAnsi="Arial" w:cs="Arial"/>
          <w:sz w:val="22"/>
          <w:szCs w:val="22"/>
        </w:rPr>
        <w:t xml:space="preserve"> </w:t>
      </w:r>
      <w:r w:rsidR="001C3BC7">
        <w:rPr>
          <w:rFonts w:ascii="Arial" w:hAnsi="Arial" w:cs="Arial"/>
          <w:sz w:val="22"/>
          <w:szCs w:val="22"/>
        </w:rPr>
        <w:t>U</w:t>
      </w:r>
      <w:r w:rsidR="00B31E6B">
        <w:rPr>
          <w:rFonts w:ascii="Arial" w:hAnsi="Arial" w:cs="Arial"/>
          <w:sz w:val="22"/>
          <w:szCs w:val="22"/>
        </w:rPr>
        <w:t>tilization and acuity rates are high across all age cohorts within BMC’s inpatient bed patient panel</w:t>
      </w:r>
      <w:r w:rsidR="00F47B34">
        <w:rPr>
          <w:rFonts w:ascii="Arial" w:hAnsi="Arial" w:cs="Arial"/>
          <w:sz w:val="22"/>
          <w:szCs w:val="22"/>
        </w:rPr>
        <w:t xml:space="preserve"> due to the vulnerable population the Hospital serves</w:t>
      </w:r>
      <w:r w:rsidR="00FC58EF">
        <w:rPr>
          <w:rFonts w:ascii="Arial" w:hAnsi="Arial" w:cs="Arial"/>
          <w:sz w:val="22"/>
          <w:szCs w:val="22"/>
        </w:rPr>
        <w:t xml:space="preserve">, with </w:t>
      </w:r>
      <w:r w:rsidR="00B31E6B">
        <w:rPr>
          <w:rFonts w:ascii="Arial" w:hAnsi="Arial" w:cs="Arial"/>
          <w:sz w:val="22"/>
          <w:szCs w:val="22"/>
        </w:rPr>
        <w:t xml:space="preserve">patients 65+ </w:t>
      </w:r>
      <w:r w:rsidR="00B85B52">
        <w:rPr>
          <w:rFonts w:ascii="Arial" w:hAnsi="Arial" w:cs="Arial"/>
          <w:sz w:val="22"/>
          <w:szCs w:val="22"/>
        </w:rPr>
        <w:t xml:space="preserve">generally </w:t>
      </w:r>
      <w:r w:rsidR="00C37CF8">
        <w:rPr>
          <w:rFonts w:ascii="Arial" w:hAnsi="Arial" w:cs="Arial"/>
          <w:sz w:val="22"/>
          <w:szCs w:val="22"/>
        </w:rPr>
        <w:t>experienc</w:t>
      </w:r>
      <w:r w:rsidR="006F4D2C">
        <w:rPr>
          <w:rFonts w:ascii="Arial" w:hAnsi="Arial" w:cs="Arial"/>
          <w:sz w:val="22"/>
          <w:szCs w:val="22"/>
        </w:rPr>
        <w:t>ing</w:t>
      </w:r>
      <w:r w:rsidR="00C37CF8">
        <w:rPr>
          <w:rFonts w:ascii="Arial" w:hAnsi="Arial" w:cs="Arial"/>
          <w:sz w:val="22"/>
          <w:szCs w:val="22"/>
        </w:rPr>
        <w:t xml:space="preserve"> longer lengths of stay</w:t>
      </w:r>
      <w:r w:rsidR="00EB7989">
        <w:rPr>
          <w:rFonts w:ascii="Arial" w:hAnsi="Arial" w:cs="Arial"/>
          <w:sz w:val="22"/>
          <w:szCs w:val="22"/>
        </w:rPr>
        <w:t xml:space="preserve"> and representing a higher acuity </w:t>
      </w:r>
      <w:r w:rsidR="00C37CF8">
        <w:rPr>
          <w:rFonts w:ascii="Arial" w:hAnsi="Arial" w:cs="Arial"/>
          <w:sz w:val="22"/>
          <w:szCs w:val="22"/>
        </w:rPr>
        <w:t>as compared with other age cohorts within BMC’s inpatient bed patient panel.</w:t>
      </w:r>
      <w:r w:rsidR="00890B35">
        <w:rPr>
          <w:rFonts w:ascii="Arial" w:hAnsi="Arial" w:cs="Arial"/>
          <w:sz w:val="22"/>
          <w:szCs w:val="22"/>
        </w:rPr>
        <w:t xml:space="preserve"> </w:t>
      </w:r>
      <w:r w:rsidR="002A5084">
        <w:rPr>
          <w:rFonts w:ascii="Arial" w:hAnsi="Arial" w:cs="Arial"/>
          <w:sz w:val="22"/>
          <w:szCs w:val="22"/>
        </w:rPr>
        <w:t xml:space="preserve">In consideration of these factors, </w:t>
      </w:r>
      <w:r w:rsidR="00366360">
        <w:rPr>
          <w:rFonts w:ascii="Arial" w:hAnsi="Arial" w:cs="Arial"/>
          <w:sz w:val="22"/>
          <w:szCs w:val="22"/>
        </w:rPr>
        <w:t xml:space="preserve">as well as the anticipated growth in surgical cases discussed further below, </w:t>
      </w:r>
      <w:r w:rsidR="002A5084">
        <w:rPr>
          <w:rFonts w:ascii="Arial" w:hAnsi="Arial" w:cs="Arial"/>
          <w:sz w:val="22"/>
          <w:szCs w:val="22"/>
        </w:rPr>
        <w:t xml:space="preserve">the Applicant </w:t>
      </w:r>
      <w:r w:rsidR="00DB7CB2">
        <w:rPr>
          <w:rFonts w:ascii="Arial" w:hAnsi="Arial" w:cs="Arial"/>
          <w:sz w:val="22"/>
          <w:szCs w:val="22"/>
        </w:rPr>
        <w:t>expects</w:t>
      </w:r>
      <w:r w:rsidR="002A5084">
        <w:rPr>
          <w:rFonts w:ascii="Arial" w:hAnsi="Arial" w:cs="Arial"/>
          <w:sz w:val="22"/>
          <w:szCs w:val="22"/>
        </w:rPr>
        <w:t xml:space="preserve"> continued utilization growth as the Greater Boston population that BMC serves continues to grow and age. Table </w:t>
      </w:r>
      <w:r w:rsidR="00366360">
        <w:rPr>
          <w:rFonts w:ascii="Arial" w:hAnsi="Arial" w:cs="Arial"/>
          <w:sz w:val="22"/>
          <w:szCs w:val="22"/>
        </w:rPr>
        <w:t>1</w:t>
      </w:r>
      <w:r w:rsidR="00A25F12">
        <w:rPr>
          <w:rFonts w:ascii="Arial" w:hAnsi="Arial" w:cs="Arial"/>
          <w:sz w:val="22"/>
          <w:szCs w:val="22"/>
        </w:rPr>
        <w:t>5</w:t>
      </w:r>
      <w:r w:rsidR="002A5084">
        <w:rPr>
          <w:rFonts w:ascii="Arial" w:hAnsi="Arial" w:cs="Arial"/>
          <w:sz w:val="22"/>
          <w:szCs w:val="22"/>
        </w:rPr>
        <w:t xml:space="preserve"> below provides projected inpatient volume </w:t>
      </w:r>
      <w:r w:rsidR="003F770E">
        <w:rPr>
          <w:rFonts w:ascii="Arial" w:hAnsi="Arial" w:cs="Arial"/>
          <w:sz w:val="22"/>
          <w:szCs w:val="22"/>
        </w:rPr>
        <w:t xml:space="preserve">and utilization </w:t>
      </w:r>
      <w:r w:rsidR="002A5084">
        <w:rPr>
          <w:rFonts w:ascii="Arial" w:hAnsi="Arial" w:cs="Arial"/>
          <w:sz w:val="22"/>
          <w:szCs w:val="22"/>
        </w:rPr>
        <w:t>for the Hospital following implementation of the Proposed Project.</w:t>
      </w:r>
    </w:p>
    <w:p w14:paraId="02BEB59B" w14:textId="6949B500" w:rsidR="00A3774F" w:rsidRDefault="00A3774F" w:rsidP="00D4649D">
      <w:pPr>
        <w:jc w:val="both"/>
        <w:rPr>
          <w:rFonts w:ascii="Arial" w:hAnsi="Arial" w:cs="Arial"/>
          <w:sz w:val="22"/>
          <w:szCs w:val="22"/>
        </w:rPr>
      </w:pPr>
    </w:p>
    <w:p w14:paraId="4BB1BBF6" w14:textId="7C84999D" w:rsidR="00A3774F" w:rsidRDefault="00A3774F" w:rsidP="00D4649D">
      <w:pPr>
        <w:jc w:val="both"/>
        <w:rPr>
          <w:rFonts w:ascii="Arial" w:hAnsi="Arial" w:cs="Arial"/>
          <w:sz w:val="22"/>
          <w:szCs w:val="22"/>
        </w:rPr>
      </w:pPr>
    </w:p>
    <w:p w14:paraId="060626A8" w14:textId="4569C801" w:rsidR="00A3774F" w:rsidRDefault="00693CE9" w:rsidP="00D4649D">
      <w:pPr>
        <w:jc w:val="both"/>
        <w:rPr>
          <w:rFonts w:ascii="Arial" w:hAnsi="Arial" w:cs="Arial"/>
          <w:sz w:val="22"/>
          <w:szCs w:val="22"/>
        </w:rPr>
      </w:pPr>
      <w:r w:rsidRPr="00693CE9">
        <w:rPr>
          <w:rFonts w:ascii="Arial Narrow" w:hAnsi="Arial Narrow" w:cs="Arial"/>
          <w:b/>
          <w:bCs/>
          <w:color w:val="000000" w:themeColor="text1"/>
          <w:sz w:val="22"/>
          <w:szCs w:val="22"/>
        </w:rPr>
        <w:t>Table 15: BMC Inpatient Bed Projected Demand and Utilization</w:t>
      </w:r>
    </w:p>
    <w:tbl>
      <w:tblPr>
        <w:tblStyle w:val="TableGrid"/>
        <w:tblW w:w="0" w:type="auto"/>
        <w:jc w:val="center"/>
        <w:tblLook w:val="04A0" w:firstRow="1" w:lastRow="0" w:firstColumn="1" w:lastColumn="0" w:noHBand="0" w:noVBand="1"/>
      </w:tblPr>
      <w:tblGrid>
        <w:gridCol w:w="2418"/>
        <w:gridCol w:w="1207"/>
        <w:gridCol w:w="1207"/>
        <w:gridCol w:w="1207"/>
        <w:gridCol w:w="1207"/>
        <w:gridCol w:w="1207"/>
      </w:tblGrid>
      <w:tr w:rsidR="00D67555" w14:paraId="4C2662A6" w14:textId="77777777" w:rsidTr="00D61D7A">
        <w:trPr>
          <w:cantSplit/>
          <w:tblHeader/>
          <w:jc w:val="center"/>
        </w:trPr>
        <w:tc>
          <w:tcPr>
            <w:tcW w:w="2418" w:type="dxa"/>
            <w:tcBorders>
              <w:left w:val="single" w:sz="12" w:space="0" w:color="auto"/>
              <w:right w:val="single" w:sz="4" w:space="0" w:color="auto"/>
            </w:tcBorders>
            <w:shd w:val="clear" w:color="auto" w:fill="8DA9DB"/>
          </w:tcPr>
          <w:p w14:paraId="00A8EFFA" w14:textId="6B925B4D"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p>
        </w:tc>
        <w:tc>
          <w:tcPr>
            <w:tcW w:w="1207" w:type="dxa"/>
            <w:tcBorders>
              <w:left w:val="single" w:sz="4" w:space="0" w:color="auto"/>
              <w:right w:val="single" w:sz="4" w:space="0" w:color="auto"/>
            </w:tcBorders>
            <w:shd w:val="clear" w:color="auto" w:fill="8DA9DB"/>
          </w:tcPr>
          <w:p w14:paraId="6ABFF2F5" w14:textId="57567218"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FY24</w:t>
            </w:r>
          </w:p>
        </w:tc>
        <w:tc>
          <w:tcPr>
            <w:tcW w:w="1207" w:type="dxa"/>
            <w:tcBorders>
              <w:left w:val="single" w:sz="4" w:space="0" w:color="auto"/>
            </w:tcBorders>
            <w:shd w:val="clear" w:color="auto" w:fill="8DA9DB"/>
          </w:tcPr>
          <w:p w14:paraId="60D8810F" w14:textId="2A63E806"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FY25</w:t>
            </w:r>
          </w:p>
        </w:tc>
        <w:tc>
          <w:tcPr>
            <w:tcW w:w="1207" w:type="dxa"/>
            <w:tcBorders>
              <w:right w:val="single" w:sz="4" w:space="0" w:color="auto"/>
            </w:tcBorders>
            <w:shd w:val="clear" w:color="auto" w:fill="8DA9DB"/>
          </w:tcPr>
          <w:p w14:paraId="6CDC1767" w14:textId="55C8F7D5"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FY26</w:t>
            </w:r>
          </w:p>
        </w:tc>
        <w:tc>
          <w:tcPr>
            <w:tcW w:w="1207" w:type="dxa"/>
            <w:tcBorders>
              <w:right w:val="single" w:sz="4" w:space="0" w:color="auto"/>
            </w:tcBorders>
            <w:shd w:val="clear" w:color="auto" w:fill="8DA9DB"/>
            <w:vAlign w:val="center"/>
          </w:tcPr>
          <w:p w14:paraId="7F924C23" w14:textId="24E9316B"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FY27</w:t>
            </w:r>
          </w:p>
        </w:tc>
        <w:tc>
          <w:tcPr>
            <w:tcW w:w="1207" w:type="dxa"/>
            <w:tcBorders>
              <w:left w:val="single" w:sz="4" w:space="0" w:color="auto"/>
              <w:right w:val="single" w:sz="12" w:space="0" w:color="auto"/>
            </w:tcBorders>
            <w:shd w:val="clear" w:color="auto" w:fill="8DA9DB"/>
            <w:vAlign w:val="center"/>
          </w:tcPr>
          <w:p w14:paraId="527ACD64" w14:textId="6F182613" w:rsidR="00D67555" w:rsidRPr="00C06DC9" w:rsidRDefault="00D67555" w:rsidP="00D67555">
            <w:pPr>
              <w:pStyle w:val="NormalWeb"/>
              <w:spacing w:before="0" w:beforeAutospacing="0" w:after="0" w:afterAutospacing="0"/>
              <w:jc w:val="center"/>
              <w:rPr>
                <w:rFonts w:ascii="Arial Narrow" w:hAnsi="Arial Narrow" w:cs="Arial"/>
                <w:b/>
                <w:bCs/>
                <w:sz w:val="22"/>
                <w:szCs w:val="22"/>
              </w:rPr>
            </w:pPr>
            <w:r w:rsidRPr="00C06DC9">
              <w:rPr>
                <w:rFonts w:ascii="Arial Narrow" w:hAnsi="Arial Narrow" w:cs="Arial"/>
                <w:b/>
                <w:bCs/>
                <w:sz w:val="22"/>
                <w:szCs w:val="22"/>
              </w:rPr>
              <w:t>FY28</w:t>
            </w:r>
          </w:p>
        </w:tc>
      </w:tr>
      <w:tr w:rsidR="00693CE9" w14:paraId="1BC3A533" w14:textId="77777777" w:rsidTr="00D61D7A">
        <w:trPr>
          <w:cantSplit/>
          <w:jc w:val="center"/>
        </w:trPr>
        <w:tc>
          <w:tcPr>
            <w:tcW w:w="2418" w:type="dxa"/>
            <w:tcBorders>
              <w:left w:val="single" w:sz="12" w:space="0" w:color="auto"/>
              <w:right w:val="single" w:sz="12" w:space="0" w:color="auto"/>
            </w:tcBorders>
            <w:shd w:val="clear" w:color="auto" w:fill="BFBFBF"/>
            <w:vAlign w:val="center"/>
          </w:tcPr>
          <w:p w14:paraId="62AF1505" w14:textId="17F78219" w:rsidR="00693CE9" w:rsidRPr="00B674A0" w:rsidRDefault="00693CE9"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Medical/</w:t>
            </w:r>
            <w:r>
              <w:rPr>
                <w:rFonts w:ascii="Arial Narrow" w:hAnsi="Arial Narrow" w:cs="Arial"/>
                <w:b/>
                <w:bCs/>
                <w:sz w:val="22"/>
                <w:szCs w:val="22"/>
              </w:rPr>
              <w:t xml:space="preserve"> </w:t>
            </w:r>
            <w:r w:rsidRPr="00B674A0">
              <w:rPr>
                <w:rFonts w:ascii="Arial Narrow" w:hAnsi="Arial Narrow" w:cs="Arial"/>
                <w:b/>
                <w:bCs/>
                <w:sz w:val="22"/>
                <w:szCs w:val="22"/>
              </w:rPr>
              <w:t>Surgical</w:t>
            </w:r>
            <w:r>
              <w:rPr>
                <w:rFonts w:ascii="Arial Narrow" w:hAnsi="Arial Narrow" w:cs="Arial"/>
                <w:b/>
                <w:bCs/>
                <w:sz w:val="22"/>
                <w:szCs w:val="22"/>
              </w:rPr>
              <w:t xml:space="preserve"> </w:t>
            </w:r>
            <w:r w:rsidRPr="00B674A0">
              <w:rPr>
                <w:rFonts w:ascii="Arial Narrow" w:hAnsi="Arial Narrow" w:cs="Arial"/>
                <w:b/>
                <w:bCs/>
                <w:sz w:val="22"/>
                <w:szCs w:val="22"/>
              </w:rPr>
              <w:t>Beds</w:t>
            </w:r>
            <w:r>
              <w:rPr>
                <w:rFonts w:ascii="ZWAdobeF" w:hAnsi="ZWAdobeF" w:cs="ZWAdobeF"/>
                <w:bCs/>
                <w:sz w:val="2"/>
                <w:szCs w:val="2"/>
              </w:rPr>
              <w:t>48F</w:t>
            </w:r>
            <w:r>
              <w:rPr>
                <w:rStyle w:val="FootnoteReference"/>
                <w:rFonts w:ascii="Arial Narrow" w:hAnsi="Arial Narrow" w:cs="Arial"/>
                <w:b/>
                <w:bCs/>
                <w:sz w:val="22"/>
                <w:szCs w:val="22"/>
              </w:rPr>
              <w:footnoteReference w:id="49"/>
            </w:r>
            <w:r w:rsidRPr="00F55FF2">
              <w:rPr>
                <w:rFonts w:ascii="Arial Narrow" w:hAnsi="Arial Narrow" w:cs="Arial"/>
                <w:b/>
                <w:bCs/>
                <w:sz w:val="22"/>
                <w:szCs w:val="22"/>
                <w:vertAlign w:val="superscript"/>
              </w:rPr>
              <w:t>,</w:t>
            </w:r>
            <w:r>
              <w:rPr>
                <w:rFonts w:ascii="ZWAdobeF" w:hAnsi="ZWAdobeF" w:cs="ZWAdobeF"/>
                <w:bCs/>
                <w:sz w:val="2"/>
                <w:szCs w:val="2"/>
              </w:rPr>
              <w:t>49F</w:t>
            </w:r>
            <w:r>
              <w:rPr>
                <w:rStyle w:val="FootnoteReference"/>
                <w:rFonts w:ascii="Arial Narrow" w:hAnsi="Arial Narrow" w:cs="Arial"/>
                <w:b/>
                <w:bCs/>
                <w:sz w:val="22"/>
                <w:szCs w:val="22"/>
              </w:rPr>
              <w:footnoteReference w:id="50"/>
            </w:r>
          </w:p>
        </w:tc>
        <w:tc>
          <w:tcPr>
            <w:tcW w:w="1207" w:type="dxa"/>
            <w:tcBorders>
              <w:left w:val="single" w:sz="12" w:space="0" w:color="auto"/>
              <w:right w:val="single" w:sz="12" w:space="0" w:color="auto"/>
            </w:tcBorders>
            <w:shd w:val="clear" w:color="auto" w:fill="BFBFBF"/>
            <w:vAlign w:val="center"/>
          </w:tcPr>
          <w:p w14:paraId="71C6516E"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602EE963"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02BC61B2"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0FFC9E44"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4635DF48" w14:textId="43710A90" w:rsidR="00693CE9" w:rsidRPr="00B674A0" w:rsidRDefault="00693CE9" w:rsidP="00B674A0">
            <w:pPr>
              <w:pStyle w:val="NormalWeb"/>
              <w:spacing w:before="0" w:beforeAutospacing="0" w:after="0" w:afterAutospacing="0"/>
              <w:rPr>
                <w:rFonts w:ascii="Arial Narrow" w:hAnsi="Arial Narrow" w:cs="Arial"/>
                <w:b/>
                <w:bCs/>
                <w:sz w:val="22"/>
                <w:szCs w:val="22"/>
              </w:rPr>
            </w:pPr>
          </w:p>
        </w:tc>
      </w:tr>
      <w:tr w:rsidR="003366FB" w14:paraId="7F60C884" w14:textId="77777777" w:rsidTr="00D61D7A">
        <w:trPr>
          <w:cantSplit/>
          <w:jc w:val="center"/>
        </w:trPr>
        <w:tc>
          <w:tcPr>
            <w:tcW w:w="2418" w:type="dxa"/>
            <w:tcBorders>
              <w:left w:val="single" w:sz="12" w:space="0" w:color="auto"/>
              <w:right w:val="single" w:sz="4" w:space="0" w:color="auto"/>
            </w:tcBorders>
          </w:tcPr>
          <w:p w14:paraId="616EC2FF" w14:textId="23A353D5"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713B9A5C" w14:textId="3C77AEAB"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13,144</w:t>
            </w:r>
          </w:p>
        </w:tc>
        <w:tc>
          <w:tcPr>
            <w:tcW w:w="1207" w:type="dxa"/>
            <w:tcBorders>
              <w:left w:val="single" w:sz="4" w:space="0" w:color="auto"/>
            </w:tcBorders>
            <w:shd w:val="clear" w:color="auto" w:fill="auto"/>
            <w:vAlign w:val="center"/>
          </w:tcPr>
          <w:p w14:paraId="169DA094" w14:textId="5674ABF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13,776</w:t>
            </w:r>
          </w:p>
        </w:tc>
        <w:tc>
          <w:tcPr>
            <w:tcW w:w="1207" w:type="dxa"/>
            <w:tcBorders>
              <w:right w:val="single" w:sz="4" w:space="0" w:color="auto"/>
            </w:tcBorders>
            <w:shd w:val="clear" w:color="auto" w:fill="auto"/>
            <w:vAlign w:val="center"/>
          </w:tcPr>
          <w:p w14:paraId="382609A2" w14:textId="54F6E8E4"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14,015</w:t>
            </w:r>
          </w:p>
        </w:tc>
        <w:tc>
          <w:tcPr>
            <w:tcW w:w="1207" w:type="dxa"/>
            <w:tcBorders>
              <w:right w:val="single" w:sz="4" w:space="0" w:color="auto"/>
            </w:tcBorders>
          </w:tcPr>
          <w:p w14:paraId="264C6AB6" w14:textId="1F5166D2"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Style w:val="CommentReference"/>
                <w:rFonts w:ascii="Arial Narrow" w:hAnsi="Arial Narrow"/>
                <w:sz w:val="22"/>
                <w:szCs w:val="22"/>
              </w:rPr>
              <w:t>14,015</w:t>
            </w:r>
          </w:p>
        </w:tc>
        <w:tc>
          <w:tcPr>
            <w:tcW w:w="1207" w:type="dxa"/>
            <w:tcBorders>
              <w:left w:val="single" w:sz="4" w:space="0" w:color="auto"/>
              <w:right w:val="single" w:sz="12" w:space="0" w:color="auto"/>
            </w:tcBorders>
            <w:shd w:val="clear" w:color="auto" w:fill="auto"/>
          </w:tcPr>
          <w:p w14:paraId="5CA6A04E" w14:textId="10E240A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Style w:val="CommentReference"/>
                <w:rFonts w:ascii="Arial Narrow" w:hAnsi="Arial Narrow"/>
                <w:sz w:val="22"/>
                <w:szCs w:val="22"/>
              </w:rPr>
              <w:t>14,015</w:t>
            </w:r>
          </w:p>
        </w:tc>
      </w:tr>
      <w:tr w:rsidR="003366FB" w14:paraId="52ECABCC" w14:textId="77777777" w:rsidTr="00D61D7A">
        <w:trPr>
          <w:cantSplit/>
          <w:jc w:val="center"/>
        </w:trPr>
        <w:tc>
          <w:tcPr>
            <w:tcW w:w="2418" w:type="dxa"/>
            <w:tcBorders>
              <w:left w:val="single" w:sz="12" w:space="0" w:color="auto"/>
              <w:right w:val="single" w:sz="4" w:space="0" w:color="auto"/>
            </w:tcBorders>
          </w:tcPr>
          <w:p w14:paraId="347E39EA" w14:textId="4BD3DE6E"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698089BE" w14:textId="52D759FA"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17,821</w:t>
            </w:r>
          </w:p>
        </w:tc>
        <w:tc>
          <w:tcPr>
            <w:tcW w:w="1207" w:type="dxa"/>
            <w:tcBorders>
              <w:left w:val="single" w:sz="4" w:space="0" w:color="auto"/>
            </w:tcBorders>
            <w:shd w:val="clear" w:color="auto" w:fill="auto"/>
            <w:vAlign w:val="center"/>
          </w:tcPr>
          <w:p w14:paraId="03311FA9" w14:textId="2AA3A9B5"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18,542</w:t>
            </w:r>
          </w:p>
        </w:tc>
        <w:tc>
          <w:tcPr>
            <w:tcW w:w="1207" w:type="dxa"/>
            <w:tcBorders>
              <w:right w:val="single" w:sz="4" w:space="0" w:color="auto"/>
            </w:tcBorders>
            <w:shd w:val="clear" w:color="auto" w:fill="auto"/>
            <w:vAlign w:val="center"/>
          </w:tcPr>
          <w:p w14:paraId="0E983D83" w14:textId="63B24F15"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c>
          <w:tcPr>
            <w:tcW w:w="1207" w:type="dxa"/>
            <w:tcBorders>
              <w:right w:val="single" w:sz="4" w:space="0" w:color="auto"/>
            </w:tcBorders>
          </w:tcPr>
          <w:p w14:paraId="017C7707" w14:textId="4A90B9A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c>
          <w:tcPr>
            <w:tcW w:w="1207" w:type="dxa"/>
            <w:tcBorders>
              <w:left w:val="single" w:sz="4" w:space="0" w:color="auto"/>
              <w:right w:val="single" w:sz="12" w:space="0" w:color="auto"/>
            </w:tcBorders>
            <w:shd w:val="clear" w:color="auto" w:fill="auto"/>
          </w:tcPr>
          <w:p w14:paraId="1EEF0702" w14:textId="2D2F6ADA"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18,815</w:t>
            </w:r>
          </w:p>
        </w:tc>
      </w:tr>
      <w:tr w:rsidR="003366FB" w14:paraId="6A755972" w14:textId="77777777" w:rsidTr="00D61D7A">
        <w:trPr>
          <w:cantSplit/>
          <w:jc w:val="center"/>
        </w:trPr>
        <w:tc>
          <w:tcPr>
            <w:tcW w:w="2418" w:type="dxa"/>
            <w:tcBorders>
              <w:left w:val="single" w:sz="12" w:space="0" w:color="auto"/>
              <w:right w:val="single" w:sz="4" w:space="0" w:color="auto"/>
            </w:tcBorders>
          </w:tcPr>
          <w:p w14:paraId="46EE4709" w14:textId="1A0909D0"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3E27F9B0" w14:textId="0F22FA9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15,072</w:t>
            </w:r>
          </w:p>
        </w:tc>
        <w:tc>
          <w:tcPr>
            <w:tcW w:w="1207" w:type="dxa"/>
            <w:tcBorders>
              <w:left w:val="single" w:sz="4" w:space="0" w:color="auto"/>
            </w:tcBorders>
            <w:shd w:val="clear" w:color="auto" w:fill="auto"/>
            <w:vAlign w:val="center"/>
          </w:tcPr>
          <w:p w14:paraId="1EA2B17A" w14:textId="4BF48B6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15,674</w:t>
            </w:r>
          </w:p>
        </w:tc>
        <w:tc>
          <w:tcPr>
            <w:tcW w:w="1207" w:type="dxa"/>
            <w:tcBorders>
              <w:right w:val="single" w:sz="4" w:space="0" w:color="auto"/>
            </w:tcBorders>
            <w:shd w:val="clear" w:color="auto" w:fill="auto"/>
            <w:vAlign w:val="center"/>
          </w:tcPr>
          <w:p w14:paraId="627F554F" w14:textId="7F950E16"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c>
          <w:tcPr>
            <w:tcW w:w="1207" w:type="dxa"/>
            <w:tcBorders>
              <w:right w:val="single" w:sz="4" w:space="0" w:color="auto"/>
            </w:tcBorders>
          </w:tcPr>
          <w:p w14:paraId="49F8962F" w14:textId="144A651F"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c>
          <w:tcPr>
            <w:tcW w:w="1207" w:type="dxa"/>
            <w:tcBorders>
              <w:left w:val="single" w:sz="4" w:space="0" w:color="auto"/>
              <w:right w:val="single" w:sz="12" w:space="0" w:color="auto"/>
            </w:tcBorders>
            <w:shd w:val="clear" w:color="auto" w:fill="auto"/>
            <w:vAlign w:val="center"/>
          </w:tcPr>
          <w:p w14:paraId="60A664C9" w14:textId="051604F2"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15,901</w:t>
            </w:r>
          </w:p>
        </w:tc>
      </w:tr>
      <w:tr w:rsidR="003366FB" w14:paraId="2FCE3755" w14:textId="77777777" w:rsidTr="00D61D7A">
        <w:trPr>
          <w:cantSplit/>
          <w:jc w:val="center"/>
        </w:trPr>
        <w:tc>
          <w:tcPr>
            <w:tcW w:w="2418" w:type="dxa"/>
            <w:tcBorders>
              <w:left w:val="single" w:sz="12" w:space="0" w:color="auto"/>
              <w:right w:val="single" w:sz="4" w:space="0" w:color="auto"/>
            </w:tcBorders>
          </w:tcPr>
          <w:p w14:paraId="38558D48" w14:textId="67CA40F5"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4519D0C8" w14:textId="38C8719C"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24,868</w:t>
            </w:r>
          </w:p>
        </w:tc>
        <w:tc>
          <w:tcPr>
            <w:tcW w:w="1207" w:type="dxa"/>
            <w:tcBorders>
              <w:left w:val="single" w:sz="4" w:space="0" w:color="auto"/>
            </w:tcBorders>
            <w:shd w:val="clear" w:color="auto" w:fill="auto"/>
            <w:vAlign w:val="center"/>
          </w:tcPr>
          <w:p w14:paraId="0A6B6964" w14:textId="7CBB4243"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25,861</w:t>
            </w:r>
          </w:p>
        </w:tc>
        <w:tc>
          <w:tcPr>
            <w:tcW w:w="1207" w:type="dxa"/>
            <w:tcBorders>
              <w:right w:val="single" w:sz="4" w:space="0" w:color="auto"/>
            </w:tcBorders>
            <w:shd w:val="clear" w:color="auto" w:fill="auto"/>
            <w:vAlign w:val="center"/>
          </w:tcPr>
          <w:p w14:paraId="55B6E7E9" w14:textId="36EA0751"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c>
          <w:tcPr>
            <w:tcW w:w="1207" w:type="dxa"/>
            <w:tcBorders>
              <w:right w:val="single" w:sz="4" w:space="0" w:color="auto"/>
            </w:tcBorders>
          </w:tcPr>
          <w:p w14:paraId="64EBB387" w14:textId="4B277562"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c>
          <w:tcPr>
            <w:tcW w:w="1207" w:type="dxa"/>
            <w:tcBorders>
              <w:left w:val="single" w:sz="4" w:space="0" w:color="auto"/>
              <w:right w:val="single" w:sz="12" w:space="0" w:color="auto"/>
            </w:tcBorders>
            <w:shd w:val="clear" w:color="auto" w:fill="auto"/>
            <w:vAlign w:val="center"/>
          </w:tcPr>
          <w:p w14:paraId="415332BC" w14:textId="43CF0AF7"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26,237</w:t>
            </w:r>
          </w:p>
        </w:tc>
      </w:tr>
      <w:tr w:rsidR="003366FB" w14:paraId="2CCFEF3F" w14:textId="77777777" w:rsidTr="00D61D7A">
        <w:trPr>
          <w:cantSplit/>
          <w:jc w:val="center"/>
        </w:trPr>
        <w:tc>
          <w:tcPr>
            <w:tcW w:w="2418" w:type="dxa"/>
            <w:tcBorders>
              <w:left w:val="single" w:sz="12" w:space="0" w:color="auto"/>
              <w:right w:val="single" w:sz="4" w:space="0" w:color="auto"/>
            </w:tcBorders>
          </w:tcPr>
          <w:p w14:paraId="6E22168C" w14:textId="552AF362"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2CC7ED4D" w14:textId="78E481D0"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left w:val="single" w:sz="4" w:space="0" w:color="auto"/>
            </w:tcBorders>
            <w:shd w:val="clear" w:color="auto" w:fill="auto"/>
            <w:vAlign w:val="center"/>
          </w:tcPr>
          <w:p w14:paraId="0CE760F1" w14:textId="715511D4"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right w:val="single" w:sz="4" w:space="0" w:color="auto"/>
            </w:tcBorders>
            <w:shd w:val="clear" w:color="auto" w:fill="auto"/>
            <w:vAlign w:val="center"/>
          </w:tcPr>
          <w:p w14:paraId="237EB958" w14:textId="6799E93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right w:val="single" w:sz="4" w:space="0" w:color="auto"/>
            </w:tcBorders>
          </w:tcPr>
          <w:p w14:paraId="4F993CDC" w14:textId="16952F9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c>
          <w:tcPr>
            <w:tcW w:w="1207" w:type="dxa"/>
            <w:tcBorders>
              <w:left w:val="single" w:sz="4" w:space="0" w:color="auto"/>
              <w:right w:val="single" w:sz="12" w:space="0" w:color="auto"/>
            </w:tcBorders>
            <w:shd w:val="clear" w:color="auto" w:fill="auto"/>
            <w:vAlign w:val="center"/>
          </w:tcPr>
          <w:p w14:paraId="44C0A03C" w14:textId="74504FD5"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1.65</w:t>
            </w:r>
          </w:p>
        </w:tc>
      </w:tr>
      <w:tr w:rsidR="003366FB" w14:paraId="0F4C0164" w14:textId="77777777" w:rsidTr="00D61D7A">
        <w:trPr>
          <w:cantSplit/>
          <w:jc w:val="center"/>
        </w:trPr>
        <w:tc>
          <w:tcPr>
            <w:tcW w:w="2418" w:type="dxa"/>
            <w:tcBorders>
              <w:left w:val="single" w:sz="12" w:space="0" w:color="auto"/>
              <w:right w:val="single" w:sz="4" w:space="0" w:color="auto"/>
            </w:tcBorders>
          </w:tcPr>
          <w:p w14:paraId="3461DCD9" w14:textId="49179316"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29622F53" w14:textId="48138841"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5.28</w:t>
            </w:r>
          </w:p>
        </w:tc>
        <w:tc>
          <w:tcPr>
            <w:tcW w:w="1207" w:type="dxa"/>
            <w:tcBorders>
              <w:left w:val="single" w:sz="4" w:space="0" w:color="auto"/>
            </w:tcBorders>
            <w:shd w:val="clear" w:color="auto" w:fill="auto"/>
            <w:vAlign w:val="center"/>
          </w:tcPr>
          <w:p w14:paraId="36BE495C" w14:textId="305EF26B"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5.33</w:t>
            </w:r>
          </w:p>
        </w:tc>
        <w:tc>
          <w:tcPr>
            <w:tcW w:w="1207" w:type="dxa"/>
            <w:tcBorders>
              <w:right w:val="single" w:sz="4" w:space="0" w:color="auto"/>
            </w:tcBorders>
            <w:shd w:val="clear" w:color="auto" w:fill="auto"/>
            <w:vAlign w:val="center"/>
          </w:tcPr>
          <w:p w14:paraId="3D112FD4" w14:textId="4586AD51"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c>
          <w:tcPr>
            <w:tcW w:w="1207" w:type="dxa"/>
            <w:tcBorders>
              <w:right w:val="single" w:sz="4" w:space="0" w:color="auto"/>
            </w:tcBorders>
          </w:tcPr>
          <w:p w14:paraId="5764B6F3" w14:textId="5AB3C9FA"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c>
          <w:tcPr>
            <w:tcW w:w="1207" w:type="dxa"/>
            <w:tcBorders>
              <w:left w:val="single" w:sz="4" w:space="0" w:color="auto"/>
              <w:right w:val="single" w:sz="12" w:space="0" w:color="auto"/>
            </w:tcBorders>
            <w:shd w:val="clear" w:color="auto" w:fill="auto"/>
            <w:vAlign w:val="center"/>
          </w:tcPr>
          <w:p w14:paraId="4DCB6770" w14:textId="3E585596"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5.34</w:t>
            </w:r>
          </w:p>
        </w:tc>
      </w:tr>
      <w:tr w:rsidR="003366FB" w14:paraId="084D2EB5" w14:textId="77777777" w:rsidTr="00D61D7A">
        <w:trPr>
          <w:cantSplit/>
          <w:jc w:val="center"/>
        </w:trPr>
        <w:tc>
          <w:tcPr>
            <w:tcW w:w="2418" w:type="dxa"/>
            <w:tcBorders>
              <w:left w:val="single" w:sz="12" w:space="0" w:color="auto"/>
              <w:right w:val="single" w:sz="4" w:space="0" w:color="auto"/>
            </w:tcBorders>
          </w:tcPr>
          <w:p w14:paraId="0BAAD658" w14:textId="28729F7D"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right w:val="single" w:sz="4" w:space="0" w:color="auto"/>
            </w:tcBorders>
            <w:vAlign w:val="center"/>
          </w:tcPr>
          <w:p w14:paraId="33EDAEEF" w14:textId="5DD82632"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83.4%</w:t>
            </w:r>
          </w:p>
        </w:tc>
        <w:tc>
          <w:tcPr>
            <w:tcW w:w="1207" w:type="dxa"/>
            <w:tcBorders>
              <w:left w:val="single" w:sz="4" w:space="0" w:color="auto"/>
            </w:tcBorders>
            <w:shd w:val="clear" w:color="auto" w:fill="auto"/>
            <w:vAlign w:val="center"/>
          </w:tcPr>
          <w:p w14:paraId="405CCCCF" w14:textId="483E29A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86.1%</w:t>
            </w:r>
          </w:p>
        </w:tc>
        <w:tc>
          <w:tcPr>
            <w:tcW w:w="1207" w:type="dxa"/>
            <w:tcBorders>
              <w:right w:val="single" w:sz="4" w:space="0" w:color="auto"/>
            </w:tcBorders>
            <w:shd w:val="clear" w:color="auto" w:fill="auto"/>
            <w:vAlign w:val="center"/>
          </w:tcPr>
          <w:p w14:paraId="4329EDB3" w14:textId="13D19FB4"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c>
          <w:tcPr>
            <w:tcW w:w="1207" w:type="dxa"/>
            <w:tcBorders>
              <w:right w:val="single" w:sz="4" w:space="0" w:color="auto"/>
            </w:tcBorders>
          </w:tcPr>
          <w:p w14:paraId="3A90D753" w14:textId="6BE8654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c>
          <w:tcPr>
            <w:tcW w:w="1207" w:type="dxa"/>
            <w:tcBorders>
              <w:left w:val="single" w:sz="4" w:space="0" w:color="auto"/>
              <w:right w:val="single" w:sz="12" w:space="0" w:color="auto"/>
            </w:tcBorders>
            <w:shd w:val="clear" w:color="auto" w:fill="auto"/>
            <w:vAlign w:val="center"/>
          </w:tcPr>
          <w:p w14:paraId="61A16930" w14:textId="4D831B8E"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87.1%</w:t>
            </w:r>
          </w:p>
        </w:tc>
      </w:tr>
      <w:tr w:rsidR="00693CE9" w14:paraId="3E7CC135" w14:textId="77777777" w:rsidTr="00D61D7A">
        <w:trPr>
          <w:cantSplit/>
          <w:jc w:val="center"/>
        </w:trPr>
        <w:tc>
          <w:tcPr>
            <w:tcW w:w="2418" w:type="dxa"/>
            <w:tcBorders>
              <w:left w:val="single" w:sz="12" w:space="0" w:color="auto"/>
              <w:right w:val="single" w:sz="12" w:space="0" w:color="auto"/>
            </w:tcBorders>
            <w:shd w:val="clear" w:color="auto" w:fill="BFBFBF"/>
            <w:vAlign w:val="center"/>
          </w:tcPr>
          <w:p w14:paraId="6B5538DC" w14:textId="77777777" w:rsidR="00693CE9" w:rsidRPr="00C06DC9" w:rsidRDefault="00693CE9" w:rsidP="00B674A0">
            <w:pPr>
              <w:pStyle w:val="NormalWeb"/>
              <w:spacing w:before="0" w:beforeAutospacing="0" w:after="0" w:afterAutospacing="0"/>
              <w:rPr>
                <w:rFonts w:ascii="Arial Narrow" w:hAnsi="Arial Narrow" w:cs="Arial"/>
                <w:sz w:val="22"/>
                <w:szCs w:val="22"/>
              </w:rPr>
            </w:pPr>
            <w:r>
              <w:rPr>
                <w:rFonts w:ascii="Arial Narrow" w:hAnsi="Arial Narrow" w:cs="Arial"/>
                <w:b/>
                <w:bCs/>
                <w:sz w:val="22"/>
                <w:szCs w:val="22"/>
              </w:rPr>
              <w:t>ICU Beds</w:t>
            </w:r>
            <w:r>
              <w:rPr>
                <w:rFonts w:ascii="ZWAdobeF" w:hAnsi="ZWAdobeF" w:cs="ZWAdobeF"/>
                <w:bCs/>
                <w:sz w:val="2"/>
                <w:szCs w:val="2"/>
              </w:rPr>
              <w:t>50F</w:t>
            </w:r>
            <w:r>
              <w:rPr>
                <w:rStyle w:val="FootnoteReference"/>
                <w:rFonts w:ascii="Arial Narrow" w:hAnsi="Arial Narrow" w:cs="Arial"/>
                <w:b/>
                <w:bCs/>
                <w:sz w:val="22"/>
                <w:szCs w:val="22"/>
              </w:rPr>
              <w:footnoteReference w:id="51"/>
            </w:r>
          </w:p>
        </w:tc>
        <w:tc>
          <w:tcPr>
            <w:tcW w:w="1207" w:type="dxa"/>
            <w:tcBorders>
              <w:left w:val="single" w:sz="12" w:space="0" w:color="auto"/>
              <w:right w:val="single" w:sz="12" w:space="0" w:color="auto"/>
            </w:tcBorders>
            <w:shd w:val="clear" w:color="auto" w:fill="BFBFBF"/>
            <w:vAlign w:val="center"/>
          </w:tcPr>
          <w:p w14:paraId="3F733DD8" w14:textId="77777777" w:rsidR="00693CE9" w:rsidRPr="00C06DC9" w:rsidRDefault="00693CE9" w:rsidP="00B674A0">
            <w:pPr>
              <w:pStyle w:val="NormalWeb"/>
              <w:spacing w:before="0" w:beforeAutospacing="0" w:after="0" w:afterAutospacing="0"/>
              <w:rPr>
                <w:rFonts w:ascii="Arial Narrow" w:hAnsi="Arial Narrow" w:cs="Arial"/>
                <w:sz w:val="22"/>
                <w:szCs w:val="22"/>
              </w:rPr>
            </w:pPr>
          </w:p>
        </w:tc>
        <w:tc>
          <w:tcPr>
            <w:tcW w:w="1207" w:type="dxa"/>
            <w:tcBorders>
              <w:left w:val="single" w:sz="12" w:space="0" w:color="auto"/>
              <w:right w:val="single" w:sz="12" w:space="0" w:color="auto"/>
            </w:tcBorders>
            <w:shd w:val="clear" w:color="auto" w:fill="BFBFBF"/>
            <w:vAlign w:val="center"/>
          </w:tcPr>
          <w:p w14:paraId="43184CED" w14:textId="77777777" w:rsidR="00693CE9" w:rsidRPr="00C06DC9" w:rsidRDefault="00693CE9" w:rsidP="00B674A0">
            <w:pPr>
              <w:pStyle w:val="NormalWeb"/>
              <w:spacing w:before="0" w:beforeAutospacing="0" w:after="0" w:afterAutospacing="0"/>
              <w:rPr>
                <w:rFonts w:ascii="Arial Narrow" w:hAnsi="Arial Narrow" w:cs="Arial"/>
                <w:sz w:val="22"/>
                <w:szCs w:val="22"/>
              </w:rPr>
            </w:pPr>
          </w:p>
        </w:tc>
        <w:tc>
          <w:tcPr>
            <w:tcW w:w="1207" w:type="dxa"/>
            <w:tcBorders>
              <w:left w:val="single" w:sz="12" w:space="0" w:color="auto"/>
              <w:right w:val="single" w:sz="12" w:space="0" w:color="auto"/>
            </w:tcBorders>
            <w:shd w:val="clear" w:color="auto" w:fill="BFBFBF"/>
            <w:vAlign w:val="center"/>
          </w:tcPr>
          <w:p w14:paraId="164C088D" w14:textId="77777777" w:rsidR="00693CE9" w:rsidRPr="00C06DC9" w:rsidRDefault="00693CE9" w:rsidP="00B674A0">
            <w:pPr>
              <w:pStyle w:val="NormalWeb"/>
              <w:spacing w:before="0" w:beforeAutospacing="0" w:after="0" w:afterAutospacing="0"/>
              <w:rPr>
                <w:rFonts w:ascii="Arial Narrow" w:hAnsi="Arial Narrow" w:cs="Arial"/>
                <w:sz w:val="22"/>
                <w:szCs w:val="22"/>
              </w:rPr>
            </w:pPr>
          </w:p>
        </w:tc>
        <w:tc>
          <w:tcPr>
            <w:tcW w:w="1207" w:type="dxa"/>
            <w:tcBorders>
              <w:left w:val="single" w:sz="12" w:space="0" w:color="auto"/>
              <w:right w:val="single" w:sz="12" w:space="0" w:color="auto"/>
            </w:tcBorders>
            <w:shd w:val="clear" w:color="auto" w:fill="BFBFBF"/>
            <w:vAlign w:val="center"/>
          </w:tcPr>
          <w:p w14:paraId="7DF0C4A3" w14:textId="77777777" w:rsidR="00693CE9" w:rsidRPr="00C06DC9" w:rsidRDefault="00693CE9" w:rsidP="00B674A0">
            <w:pPr>
              <w:pStyle w:val="NormalWeb"/>
              <w:spacing w:before="0" w:beforeAutospacing="0" w:after="0" w:afterAutospacing="0"/>
              <w:rPr>
                <w:rFonts w:ascii="Arial Narrow" w:hAnsi="Arial Narrow" w:cs="Arial"/>
                <w:sz w:val="22"/>
                <w:szCs w:val="22"/>
              </w:rPr>
            </w:pPr>
          </w:p>
        </w:tc>
        <w:tc>
          <w:tcPr>
            <w:tcW w:w="1207" w:type="dxa"/>
            <w:tcBorders>
              <w:left w:val="single" w:sz="12" w:space="0" w:color="auto"/>
              <w:right w:val="single" w:sz="12" w:space="0" w:color="auto"/>
            </w:tcBorders>
            <w:shd w:val="clear" w:color="auto" w:fill="BFBFBF"/>
            <w:vAlign w:val="center"/>
          </w:tcPr>
          <w:p w14:paraId="1E97BEBB" w14:textId="741F2ED9" w:rsidR="00693CE9" w:rsidRPr="00C06DC9" w:rsidRDefault="00693CE9" w:rsidP="00B674A0">
            <w:pPr>
              <w:pStyle w:val="NormalWeb"/>
              <w:spacing w:before="0" w:beforeAutospacing="0" w:after="0" w:afterAutospacing="0"/>
              <w:rPr>
                <w:rFonts w:ascii="Arial Narrow" w:hAnsi="Arial Narrow" w:cs="Arial"/>
                <w:sz w:val="22"/>
                <w:szCs w:val="22"/>
              </w:rPr>
            </w:pPr>
          </w:p>
        </w:tc>
      </w:tr>
      <w:tr w:rsidR="003366FB" w14:paraId="2532054E" w14:textId="77777777" w:rsidTr="00D61D7A">
        <w:trPr>
          <w:cantSplit/>
          <w:jc w:val="center"/>
        </w:trPr>
        <w:tc>
          <w:tcPr>
            <w:tcW w:w="2418" w:type="dxa"/>
            <w:tcBorders>
              <w:left w:val="single" w:sz="12" w:space="0" w:color="auto"/>
              <w:right w:val="single" w:sz="4" w:space="0" w:color="auto"/>
            </w:tcBorders>
          </w:tcPr>
          <w:p w14:paraId="7890CD25" w14:textId="0821540C"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661AFFB2" w14:textId="798BA4C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3,948</w:t>
            </w:r>
          </w:p>
        </w:tc>
        <w:tc>
          <w:tcPr>
            <w:tcW w:w="1207" w:type="dxa"/>
            <w:tcBorders>
              <w:left w:val="single" w:sz="4" w:space="0" w:color="auto"/>
            </w:tcBorders>
            <w:shd w:val="clear" w:color="auto" w:fill="auto"/>
            <w:vAlign w:val="center"/>
          </w:tcPr>
          <w:p w14:paraId="34D0483A" w14:textId="7D3E4ED8"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4,105</w:t>
            </w:r>
          </w:p>
        </w:tc>
        <w:tc>
          <w:tcPr>
            <w:tcW w:w="1207" w:type="dxa"/>
            <w:tcBorders>
              <w:right w:val="single" w:sz="4" w:space="0" w:color="auto"/>
            </w:tcBorders>
            <w:shd w:val="clear" w:color="auto" w:fill="auto"/>
            <w:vAlign w:val="center"/>
          </w:tcPr>
          <w:p w14:paraId="356F9683" w14:textId="5A63B6C5"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c>
          <w:tcPr>
            <w:tcW w:w="1207" w:type="dxa"/>
            <w:tcBorders>
              <w:right w:val="single" w:sz="4" w:space="0" w:color="auto"/>
            </w:tcBorders>
          </w:tcPr>
          <w:p w14:paraId="14EDF755" w14:textId="3E67789C"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c>
          <w:tcPr>
            <w:tcW w:w="1207" w:type="dxa"/>
            <w:tcBorders>
              <w:left w:val="single" w:sz="4" w:space="0" w:color="auto"/>
              <w:right w:val="single" w:sz="12" w:space="0" w:color="auto"/>
            </w:tcBorders>
            <w:shd w:val="clear" w:color="auto" w:fill="auto"/>
            <w:vAlign w:val="center"/>
          </w:tcPr>
          <w:p w14:paraId="08364642" w14:textId="228AD8BB"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4,114</w:t>
            </w:r>
          </w:p>
        </w:tc>
      </w:tr>
      <w:tr w:rsidR="003366FB" w14:paraId="7DC23860" w14:textId="77777777" w:rsidTr="00D61D7A">
        <w:trPr>
          <w:cantSplit/>
          <w:jc w:val="center"/>
        </w:trPr>
        <w:tc>
          <w:tcPr>
            <w:tcW w:w="2418" w:type="dxa"/>
            <w:tcBorders>
              <w:left w:val="single" w:sz="12" w:space="0" w:color="auto"/>
              <w:right w:val="single" w:sz="4" w:space="0" w:color="auto"/>
            </w:tcBorders>
          </w:tcPr>
          <w:p w14:paraId="64B1D596" w14:textId="01A1FCDF"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155BC704" w14:textId="43A95287"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4,327</w:t>
            </w:r>
          </w:p>
        </w:tc>
        <w:tc>
          <w:tcPr>
            <w:tcW w:w="1207" w:type="dxa"/>
            <w:tcBorders>
              <w:left w:val="single" w:sz="4" w:space="0" w:color="auto"/>
            </w:tcBorders>
            <w:shd w:val="clear" w:color="auto" w:fill="auto"/>
            <w:vAlign w:val="center"/>
          </w:tcPr>
          <w:p w14:paraId="7CEEB107" w14:textId="51CFE1A7"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4,497</w:t>
            </w:r>
          </w:p>
        </w:tc>
        <w:tc>
          <w:tcPr>
            <w:tcW w:w="1207" w:type="dxa"/>
            <w:tcBorders>
              <w:right w:val="single" w:sz="4" w:space="0" w:color="auto"/>
            </w:tcBorders>
            <w:shd w:val="clear" w:color="auto" w:fill="auto"/>
            <w:vAlign w:val="center"/>
          </w:tcPr>
          <w:p w14:paraId="6C0A4BCE" w14:textId="2F10B0F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c>
          <w:tcPr>
            <w:tcW w:w="1207" w:type="dxa"/>
            <w:tcBorders>
              <w:right w:val="single" w:sz="4" w:space="0" w:color="auto"/>
            </w:tcBorders>
          </w:tcPr>
          <w:p w14:paraId="620B1E30" w14:textId="2E62B446"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c>
          <w:tcPr>
            <w:tcW w:w="1207" w:type="dxa"/>
            <w:tcBorders>
              <w:left w:val="single" w:sz="4" w:space="0" w:color="auto"/>
              <w:right w:val="single" w:sz="12" w:space="0" w:color="auto"/>
            </w:tcBorders>
            <w:shd w:val="clear" w:color="auto" w:fill="auto"/>
            <w:vAlign w:val="center"/>
          </w:tcPr>
          <w:p w14:paraId="5F91F71F" w14:textId="1BAABD85"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4,506</w:t>
            </w:r>
          </w:p>
        </w:tc>
      </w:tr>
      <w:tr w:rsidR="003366FB" w14:paraId="395E806E" w14:textId="77777777" w:rsidTr="00D61D7A">
        <w:trPr>
          <w:cantSplit/>
          <w:jc w:val="center"/>
        </w:trPr>
        <w:tc>
          <w:tcPr>
            <w:tcW w:w="2418" w:type="dxa"/>
            <w:tcBorders>
              <w:left w:val="single" w:sz="12" w:space="0" w:color="auto"/>
              <w:right w:val="single" w:sz="4" w:space="0" w:color="auto"/>
            </w:tcBorders>
          </w:tcPr>
          <w:p w14:paraId="6A5A7F98" w14:textId="3E6EA671"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2CDDCE1A" w14:textId="003553D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4,046</w:t>
            </w:r>
          </w:p>
        </w:tc>
        <w:tc>
          <w:tcPr>
            <w:tcW w:w="1207" w:type="dxa"/>
            <w:tcBorders>
              <w:left w:val="single" w:sz="4" w:space="0" w:color="auto"/>
            </w:tcBorders>
            <w:shd w:val="clear" w:color="auto" w:fill="auto"/>
            <w:vAlign w:val="center"/>
          </w:tcPr>
          <w:p w14:paraId="543873CA" w14:textId="18DEEFC6"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4,204</w:t>
            </w:r>
          </w:p>
        </w:tc>
        <w:tc>
          <w:tcPr>
            <w:tcW w:w="1207" w:type="dxa"/>
            <w:tcBorders>
              <w:right w:val="single" w:sz="4" w:space="0" w:color="auto"/>
            </w:tcBorders>
            <w:shd w:val="clear" w:color="auto" w:fill="auto"/>
            <w:vAlign w:val="center"/>
          </w:tcPr>
          <w:p w14:paraId="14BEFD01" w14:textId="3BA13208"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c>
          <w:tcPr>
            <w:tcW w:w="1207" w:type="dxa"/>
            <w:tcBorders>
              <w:right w:val="single" w:sz="4" w:space="0" w:color="auto"/>
            </w:tcBorders>
          </w:tcPr>
          <w:p w14:paraId="7DFCC30F" w14:textId="32094078"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c>
          <w:tcPr>
            <w:tcW w:w="1207" w:type="dxa"/>
            <w:tcBorders>
              <w:left w:val="single" w:sz="4" w:space="0" w:color="auto"/>
              <w:right w:val="single" w:sz="12" w:space="0" w:color="auto"/>
            </w:tcBorders>
            <w:shd w:val="clear" w:color="auto" w:fill="auto"/>
            <w:vAlign w:val="center"/>
          </w:tcPr>
          <w:p w14:paraId="64D42363" w14:textId="27FB064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4,213</w:t>
            </w:r>
          </w:p>
        </w:tc>
      </w:tr>
      <w:tr w:rsidR="003366FB" w14:paraId="1AD8507D" w14:textId="77777777" w:rsidTr="00D61D7A">
        <w:trPr>
          <w:cantSplit/>
          <w:jc w:val="center"/>
        </w:trPr>
        <w:tc>
          <w:tcPr>
            <w:tcW w:w="2418" w:type="dxa"/>
            <w:tcBorders>
              <w:left w:val="single" w:sz="12" w:space="0" w:color="auto"/>
              <w:right w:val="single" w:sz="4" w:space="0" w:color="auto"/>
            </w:tcBorders>
          </w:tcPr>
          <w:p w14:paraId="14EBA7FC" w14:textId="35F41611"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2F981DE7" w14:textId="642D6F1E"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13,191</w:t>
            </w:r>
          </w:p>
        </w:tc>
        <w:tc>
          <w:tcPr>
            <w:tcW w:w="1207" w:type="dxa"/>
            <w:tcBorders>
              <w:left w:val="single" w:sz="4" w:space="0" w:color="auto"/>
            </w:tcBorders>
            <w:shd w:val="clear" w:color="auto" w:fill="auto"/>
            <w:vAlign w:val="center"/>
          </w:tcPr>
          <w:p w14:paraId="79BFF8F6" w14:textId="3E0CC61D"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13,706</w:t>
            </w:r>
          </w:p>
        </w:tc>
        <w:tc>
          <w:tcPr>
            <w:tcW w:w="1207" w:type="dxa"/>
            <w:tcBorders>
              <w:right w:val="single" w:sz="4" w:space="0" w:color="auto"/>
            </w:tcBorders>
            <w:shd w:val="clear" w:color="auto" w:fill="auto"/>
            <w:vAlign w:val="center"/>
          </w:tcPr>
          <w:p w14:paraId="54BEF199" w14:textId="0B1915D0"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c>
          <w:tcPr>
            <w:tcW w:w="1207" w:type="dxa"/>
            <w:tcBorders>
              <w:right w:val="single" w:sz="4" w:space="0" w:color="auto"/>
            </w:tcBorders>
          </w:tcPr>
          <w:p w14:paraId="3C475AB7" w14:textId="5C6686C8"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c>
          <w:tcPr>
            <w:tcW w:w="1207" w:type="dxa"/>
            <w:tcBorders>
              <w:left w:val="single" w:sz="4" w:space="0" w:color="auto"/>
              <w:right w:val="single" w:sz="12" w:space="0" w:color="auto"/>
            </w:tcBorders>
            <w:shd w:val="clear" w:color="auto" w:fill="auto"/>
            <w:vAlign w:val="center"/>
          </w:tcPr>
          <w:p w14:paraId="186FFA0C" w14:textId="644D85AA"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13,734</w:t>
            </w:r>
          </w:p>
        </w:tc>
      </w:tr>
      <w:tr w:rsidR="003366FB" w14:paraId="2C1660D5" w14:textId="77777777" w:rsidTr="00D61D7A">
        <w:trPr>
          <w:cantSplit/>
          <w:jc w:val="center"/>
        </w:trPr>
        <w:tc>
          <w:tcPr>
            <w:tcW w:w="2418" w:type="dxa"/>
            <w:tcBorders>
              <w:left w:val="single" w:sz="12" w:space="0" w:color="auto"/>
              <w:right w:val="single" w:sz="4" w:space="0" w:color="auto"/>
            </w:tcBorders>
          </w:tcPr>
          <w:p w14:paraId="2D86CEB2" w14:textId="6FFF6762"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27B44906" w14:textId="0D0DB0E3"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left w:val="single" w:sz="4" w:space="0" w:color="auto"/>
            </w:tcBorders>
            <w:shd w:val="clear" w:color="auto" w:fill="auto"/>
            <w:vAlign w:val="center"/>
          </w:tcPr>
          <w:p w14:paraId="4A623429" w14:textId="6147BE0B"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right w:val="single" w:sz="4" w:space="0" w:color="auto"/>
            </w:tcBorders>
            <w:shd w:val="clear" w:color="auto" w:fill="auto"/>
            <w:vAlign w:val="center"/>
          </w:tcPr>
          <w:p w14:paraId="3477DF96" w14:textId="18529413"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right w:val="single" w:sz="4" w:space="0" w:color="auto"/>
            </w:tcBorders>
          </w:tcPr>
          <w:p w14:paraId="75C95D66" w14:textId="33075BD8"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c>
          <w:tcPr>
            <w:tcW w:w="1207" w:type="dxa"/>
            <w:tcBorders>
              <w:left w:val="single" w:sz="4" w:space="0" w:color="auto"/>
              <w:right w:val="single" w:sz="12" w:space="0" w:color="auto"/>
            </w:tcBorders>
            <w:shd w:val="clear" w:color="auto" w:fill="auto"/>
            <w:vAlign w:val="center"/>
          </w:tcPr>
          <w:p w14:paraId="4910FF13" w14:textId="3C5B3720"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3.26</w:t>
            </w:r>
          </w:p>
        </w:tc>
      </w:tr>
      <w:tr w:rsidR="003366FB" w14:paraId="2D0D8463" w14:textId="77777777" w:rsidTr="00D61D7A">
        <w:trPr>
          <w:cantSplit/>
          <w:jc w:val="center"/>
        </w:trPr>
        <w:tc>
          <w:tcPr>
            <w:tcW w:w="2418" w:type="dxa"/>
            <w:tcBorders>
              <w:left w:val="single" w:sz="12" w:space="0" w:color="auto"/>
              <w:right w:val="single" w:sz="4" w:space="0" w:color="auto"/>
            </w:tcBorders>
          </w:tcPr>
          <w:p w14:paraId="4C6D281F" w14:textId="342E194E"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12A9005C" w14:textId="125E8F4F"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left w:val="single" w:sz="4" w:space="0" w:color="auto"/>
            </w:tcBorders>
            <w:shd w:val="clear" w:color="auto" w:fill="auto"/>
            <w:vAlign w:val="center"/>
          </w:tcPr>
          <w:p w14:paraId="787F8DC1" w14:textId="50AC8484"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right w:val="single" w:sz="4" w:space="0" w:color="auto"/>
            </w:tcBorders>
            <w:shd w:val="clear" w:color="auto" w:fill="auto"/>
            <w:vAlign w:val="center"/>
          </w:tcPr>
          <w:p w14:paraId="506E1821" w14:textId="0564AC5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right w:val="single" w:sz="4" w:space="0" w:color="auto"/>
            </w:tcBorders>
          </w:tcPr>
          <w:p w14:paraId="2AA07CEF" w14:textId="0234977F"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c>
          <w:tcPr>
            <w:tcW w:w="1207" w:type="dxa"/>
            <w:tcBorders>
              <w:left w:val="single" w:sz="4" w:space="0" w:color="auto"/>
              <w:right w:val="single" w:sz="12" w:space="0" w:color="auto"/>
            </w:tcBorders>
            <w:shd w:val="clear" w:color="auto" w:fill="auto"/>
            <w:vAlign w:val="center"/>
          </w:tcPr>
          <w:p w14:paraId="69E5B995" w14:textId="36A4895A"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13.13</w:t>
            </w:r>
          </w:p>
        </w:tc>
      </w:tr>
      <w:tr w:rsidR="003366FB" w14:paraId="5EDF8A8E" w14:textId="77777777" w:rsidTr="00D61D7A">
        <w:trPr>
          <w:cantSplit/>
          <w:jc w:val="center"/>
        </w:trPr>
        <w:tc>
          <w:tcPr>
            <w:tcW w:w="2418" w:type="dxa"/>
            <w:tcBorders>
              <w:left w:val="single" w:sz="12" w:space="0" w:color="auto"/>
              <w:right w:val="single" w:sz="4" w:space="0" w:color="auto"/>
            </w:tcBorders>
          </w:tcPr>
          <w:p w14:paraId="1F980D4B" w14:textId="678DA52B" w:rsidR="003366FB" w:rsidRPr="00B674A0" w:rsidRDefault="003366FB" w:rsidP="003366FB">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right w:val="single" w:sz="4" w:space="0" w:color="auto"/>
            </w:tcBorders>
            <w:vAlign w:val="center"/>
          </w:tcPr>
          <w:p w14:paraId="2742C320" w14:textId="61360D99"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79.4%</w:t>
            </w:r>
          </w:p>
        </w:tc>
        <w:tc>
          <w:tcPr>
            <w:tcW w:w="1207" w:type="dxa"/>
            <w:tcBorders>
              <w:left w:val="single" w:sz="4" w:space="0" w:color="auto"/>
            </w:tcBorders>
            <w:shd w:val="clear" w:color="auto" w:fill="auto"/>
            <w:vAlign w:val="center"/>
          </w:tcPr>
          <w:p w14:paraId="4744640A" w14:textId="71B4977F"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85.0%</w:t>
            </w:r>
          </w:p>
        </w:tc>
        <w:tc>
          <w:tcPr>
            <w:tcW w:w="1207" w:type="dxa"/>
            <w:tcBorders>
              <w:right w:val="single" w:sz="4" w:space="0" w:color="auto"/>
            </w:tcBorders>
            <w:shd w:val="clear" w:color="auto" w:fill="auto"/>
            <w:vAlign w:val="center"/>
          </w:tcPr>
          <w:p w14:paraId="25BE9D11" w14:textId="3824D913"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c>
          <w:tcPr>
            <w:tcW w:w="1207" w:type="dxa"/>
            <w:tcBorders>
              <w:right w:val="single" w:sz="4" w:space="0" w:color="auto"/>
            </w:tcBorders>
          </w:tcPr>
          <w:p w14:paraId="1C9C48F4" w14:textId="78A88424"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c>
          <w:tcPr>
            <w:tcW w:w="1207" w:type="dxa"/>
            <w:tcBorders>
              <w:left w:val="single" w:sz="4" w:space="0" w:color="auto"/>
              <w:right w:val="single" w:sz="12" w:space="0" w:color="auto"/>
            </w:tcBorders>
            <w:shd w:val="clear" w:color="auto" w:fill="auto"/>
            <w:vAlign w:val="center"/>
          </w:tcPr>
          <w:p w14:paraId="32A77FD3" w14:textId="73E25BE6" w:rsidR="003366FB" w:rsidRPr="003366FB" w:rsidRDefault="003366FB" w:rsidP="003366FB">
            <w:pPr>
              <w:pStyle w:val="NormalWeb"/>
              <w:spacing w:before="0" w:beforeAutospacing="0" w:after="0" w:afterAutospacing="0"/>
              <w:jc w:val="center"/>
              <w:rPr>
                <w:rFonts w:ascii="Arial Narrow" w:hAnsi="Arial Narrow" w:cs="Arial"/>
                <w:sz w:val="22"/>
                <w:szCs w:val="22"/>
              </w:rPr>
            </w:pPr>
            <w:r w:rsidRPr="003366FB">
              <w:rPr>
                <w:rFonts w:ascii="Arial Narrow" w:hAnsi="Arial Narrow" w:cs="Arial"/>
                <w:sz w:val="22"/>
                <w:szCs w:val="22"/>
              </w:rPr>
              <w:t>85.2%</w:t>
            </w:r>
          </w:p>
        </w:tc>
      </w:tr>
      <w:tr w:rsidR="00693CE9" w14:paraId="65BC68B3" w14:textId="77777777" w:rsidTr="00D61D7A">
        <w:trPr>
          <w:cantSplit/>
          <w:jc w:val="center"/>
        </w:trPr>
        <w:tc>
          <w:tcPr>
            <w:tcW w:w="2418" w:type="dxa"/>
            <w:tcBorders>
              <w:left w:val="single" w:sz="12" w:space="0" w:color="auto"/>
              <w:right w:val="single" w:sz="12" w:space="0" w:color="auto"/>
            </w:tcBorders>
            <w:shd w:val="clear" w:color="auto" w:fill="BFBFBF"/>
            <w:vAlign w:val="center"/>
          </w:tcPr>
          <w:p w14:paraId="1F5D7F71"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Combined Beds</w:t>
            </w:r>
          </w:p>
        </w:tc>
        <w:tc>
          <w:tcPr>
            <w:tcW w:w="1207" w:type="dxa"/>
            <w:tcBorders>
              <w:left w:val="single" w:sz="12" w:space="0" w:color="auto"/>
              <w:right w:val="single" w:sz="12" w:space="0" w:color="auto"/>
            </w:tcBorders>
            <w:shd w:val="clear" w:color="auto" w:fill="BFBFBF"/>
            <w:vAlign w:val="center"/>
          </w:tcPr>
          <w:p w14:paraId="60EED45C"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4555C41C"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0651353A"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74739762" w14:textId="77777777" w:rsidR="00693CE9" w:rsidRPr="00B674A0" w:rsidRDefault="00693CE9" w:rsidP="00B674A0">
            <w:pPr>
              <w:pStyle w:val="NormalWeb"/>
              <w:spacing w:before="0" w:beforeAutospacing="0" w:after="0" w:afterAutospacing="0"/>
              <w:rPr>
                <w:rFonts w:ascii="Arial Narrow" w:hAnsi="Arial Narrow" w:cs="Arial"/>
                <w:b/>
                <w:bCs/>
                <w:sz w:val="22"/>
                <w:szCs w:val="22"/>
              </w:rPr>
            </w:pPr>
          </w:p>
        </w:tc>
        <w:tc>
          <w:tcPr>
            <w:tcW w:w="1207" w:type="dxa"/>
            <w:tcBorders>
              <w:left w:val="single" w:sz="12" w:space="0" w:color="auto"/>
              <w:right w:val="single" w:sz="12" w:space="0" w:color="auto"/>
            </w:tcBorders>
            <w:shd w:val="clear" w:color="auto" w:fill="BFBFBF"/>
            <w:vAlign w:val="center"/>
          </w:tcPr>
          <w:p w14:paraId="7547FCDC" w14:textId="11E87F04" w:rsidR="00693CE9" w:rsidRPr="00B674A0" w:rsidRDefault="00693CE9" w:rsidP="00B674A0">
            <w:pPr>
              <w:pStyle w:val="NormalWeb"/>
              <w:spacing w:before="0" w:beforeAutospacing="0" w:after="0" w:afterAutospacing="0"/>
              <w:rPr>
                <w:rFonts w:ascii="Arial Narrow" w:hAnsi="Arial Narrow" w:cs="Arial"/>
                <w:b/>
                <w:bCs/>
                <w:sz w:val="22"/>
                <w:szCs w:val="22"/>
              </w:rPr>
            </w:pPr>
          </w:p>
        </w:tc>
      </w:tr>
      <w:tr w:rsidR="00B674A0" w14:paraId="63EC651F" w14:textId="77777777" w:rsidTr="00D61D7A">
        <w:trPr>
          <w:cantSplit/>
          <w:jc w:val="center"/>
        </w:trPr>
        <w:tc>
          <w:tcPr>
            <w:tcW w:w="2418" w:type="dxa"/>
            <w:tcBorders>
              <w:left w:val="single" w:sz="12" w:space="0" w:color="auto"/>
              <w:right w:val="single" w:sz="4" w:space="0" w:color="auto"/>
            </w:tcBorders>
          </w:tcPr>
          <w:p w14:paraId="50374DA0" w14:textId="79E2E000"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Unique Patients</w:t>
            </w:r>
          </w:p>
        </w:tc>
        <w:tc>
          <w:tcPr>
            <w:tcW w:w="1207" w:type="dxa"/>
            <w:tcBorders>
              <w:left w:val="single" w:sz="4" w:space="0" w:color="auto"/>
              <w:right w:val="single" w:sz="4" w:space="0" w:color="auto"/>
            </w:tcBorders>
            <w:vAlign w:val="center"/>
          </w:tcPr>
          <w:p w14:paraId="74A9D235" w14:textId="3FD6E81F"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17,092</w:t>
            </w:r>
          </w:p>
        </w:tc>
        <w:tc>
          <w:tcPr>
            <w:tcW w:w="1207" w:type="dxa"/>
            <w:tcBorders>
              <w:left w:val="single" w:sz="4" w:space="0" w:color="auto"/>
            </w:tcBorders>
            <w:shd w:val="clear" w:color="auto" w:fill="auto"/>
            <w:vAlign w:val="center"/>
          </w:tcPr>
          <w:p w14:paraId="31F2285A" w14:textId="3293CB4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17,882</w:t>
            </w:r>
          </w:p>
        </w:tc>
        <w:tc>
          <w:tcPr>
            <w:tcW w:w="1207" w:type="dxa"/>
            <w:tcBorders>
              <w:right w:val="single" w:sz="4" w:space="0" w:color="auto"/>
            </w:tcBorders>
            <w:shd w:val="clear" w:color="auto" w:fill="auto"/>
            <w:vAlign w:val="center"/>
          </w:tcPr>
          <w:p w14:paraId="3202CA28" w14:textId="6AEAFADF"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18,129</w:t>
            </w:r>
          </w:p>
        </w:tc>
        <w:tc>
          <w:tcPr>
            <w:tcW w:w="1207" w:type="dxa"/>
            <w:tcBorders>
              <w:right w:val="single" w:sz="4" w:space="0" w:color="auto"/>
            </w:tcBorders>
          </w:tcPr>
          <w:p w14:paraId="3012229F" w14:textId="53A73C2A" w:rsidR="00B674A0" w:rsidRPr="00C06DC9" w:rsidRDefault="00B674A0" w:rsidP="00B674A0">
            <w:pPr>
              <w:pStyle w:val="NormalWeb"/>
              <w:spacing w:before="0" w:beforeAutospacing="0" w:after="0" w:afterAutospacing="0"/>
              <w:jc w:val="center"/>
              <w:rPr>
                <w:rStyle w:val="CommentReference"/>
                <w:rFonts w:ascii="Arial Narrow" w:hAnsi="Arial Narrow"/>
                <w:sz w:val="22"/>
                <w:szCs w:val="22"/>
              </w:rPr>
            </w:pPr>
            <w:r w:rsidRPr="00C06DC9">
              <w:rPr>
                <w:rFonts w:ascii="Arial Narrow" w:hAnsi="Arial Narrow" w:cs="Arial"/>
                <w:sz w:val="22"/>
                <w:szCs w:val="22"/>
              </w:rPr>
              <w:t>18,129</w:t>
            </w:r>
          </w:p>
        </w:tc>
        <w:tc>
          <w:tcPr>
            <w:tcW w:w="1207" w:type="dxa"/>
            <w:tcBorders>
              <w:left w:val="single" w:sz="4" w:space="0" w:color="auto"/>
              <w:right w:val="single" w:sz="12" w:space="0" w:color="auto"/>
            </w:tcBorders>
            <w:shd w:val="clear" w:color="auto" w:fill="auto"/>
          </w:tcPr>
          <w:p w14:paraId="42C6E92E" w14:textId="51BBFA89"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18,129</w:t>
            </w:r>
          </w:p>
        </w:tc>
      </w:tr>
      <w:tr w:rsidR="00B674A0" w14:paraId="7F009A34" w14:textId="77777777" w:rsidTr="00D61D7A">
        <w:trPr>
          <w:cantSplit/>
          <w:jc w:val="center"/>
        </w:trPr>
        <w:tc>
          <w:tcPr>
            <w:tcW w:w="2418" w:type="dxa"/>
            <w:tcBorders>
              <w:left w:val="single" w:sz="12" w:space="0" w:color="auto"/>
              <w:right w:val="single" w:sz="4" w:space="0" w:color="auto"/>
            </w:tcBorders>
          </w:tcPr>
          <w:p w14:paraId="0823CEE6" w14:textId="2FCDF6F3"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Visits</w:t>
            </w:r>
          </w:p>
        </w:tc>
        <w:tc>
          <w:tcPr>
            <w:tcW w:w="1207" w:type="dxa"/>
            <w:tcBorders>
              <w:left w:val="single" w:sz="4" w:space="0" w:color="auto"/>
              <w:right w:val="single" w:sz="4" w:space="0" w:color="auto"/>
            </w:tcBorders>
            <w:vAlign w:val="center"/>
          </w:tcPr>
          <w:p w14:paraId="60C5139C" w14:textId="68B36CB9"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22,148</w:t>
            </w:r>
          </w:p>
        </w:tc>
        <w:tc>
          <w:tcPr>
            <w:tcW w:w="1207" w:type="dxa"/>
            <w:tcBorders>
              <w:left w:val="single" w:sz="4" w:space="0" w:color="auto"/>
            </w:tcBorders>
            <w:shd w:val="clear" w:color="auto" w:fill="auto"/>
            <w:vAlign w:val="center"/>
          </w:tcPr>
          <w:p w14:paraId="038E4182" w14:textId="06706A88"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w:t>
            </w:r>
            <w:r w:rsidR="003366FB">
              <w:rPr>
                <w:rFonts w:ascii="Arial Narrow" w:hAnsi="Arial Narrow" w:cs="Arial"/>
                <w:sz w:val="22"/>
                <w:szCs w:val="22"/>
              </w:rPr>
              <w:t>3</w:t>
            </w:r>
            <w:r w:rsidRPr="00C06DC9">
              <w:rPr>
                <w:rFonts w:ascii="Arial Narrow" w:hAnsi="Arial Narrow" w:cs="Arial"/>
                <w:sz w:val="22"/>
                <w:szCs w:val="22"/>
              </w:rPr>
              <w:t>,</w:t>
            </w:r>
            <w:r w:rsidR="003366FB">
              <w:rPr>
                <w:rFonts w:ascii="Arial Narrow" w:hAnsi="Arial Narrow" w:cs="Arial"/>
                <w:sz w:val="22"/>
                <w:szCs w:val="22"/>
              </w:rPr>
              <w:t>039</w:t>
            </w:r>
          </w:p>
        </w:tc>
        <w:tc>
          <w:tcPr>
            <w:tcW w:w="1207" w:type="dxa"/>
            <w:tcBorders>
              <w:right w:val="single" w:sz="4" w:space="0" w:color="auto"/>
            </w:tcBorders>
            <w:shd w:val="clear" w:color="auto" w:fill="auto"/>
            <w:vAlign w:val="center"/>
          </w:tcPr>
          <w:p w14:paraId="0373D90B" w14:textId="5C99E503"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23,</w:t>
            </w:r>
            <w:r w:rsidR="003366FB">
              <w:rPr>
                <w:rFonts w:ascii="Arial Narrow" w:hAnsi="Arial Narrow" w:cs="Arial"/>
                <w:sz w:val="22"/>
                <w:szCs w:val="22"/>
              </w:rPr>
              <w:t>321</w:t>
            </w:r>
          </w:p>
        </w:tc>
        <w:tc>
          <w:tcPr>
            <w:tcW w:w="1207" w:type="dxa"/>
            <w:tcBorders>
              <w:right w:val="single" w:sz="4" w:space="0" w:color="auto"/>
            </w:tcBorders>
          </w:tcPr>
          <w:p w14:paraId="0E5A330C" w14:textId="67BB735C" w:rsidR="00B674A0" w:rsidRPr="00C06DC9" w:rsidRDefault="00B674A0" w:rsidP="00B674A0">
            <w:pPr>
              <w:pStyle w:val="NormalWeb"/>
              <w:spacing w:before="0" w:beforeAutospacing="0" w:after="0" w:afterAutospacing="0"/>
              <w:jc w:val="center"/>
              <w:rPr>
                <w:rStyle w:val="CommentReference"/>
                <w:rFonts w:ascii="Arial Narrow" w:hAnsi="Arial Narrow"/>
                <w:sz w:val="22"/>
                <w:szCs w:val="22"/>
              </w:rPr>
            </w:pPr>
            <w:r w:rsidRPr="00C06DC9">
              <w:rPr>
                <w:rFonts w:ascii="Arial Narrow" w:hAnsi="Arial Narrow" w:cs="Arial"/>
                <w:sz w:val="22"/>
                <w:szCs w:val="22"/>
              </w:rPr>
              <w:t>23,321</w:t>
            </w:r>
          </w:p>
        </w:tc>
        <w:tc>
          <w:tcPr>
            <w:tcW w:w="1207" w:type="dxa"/>
            <w:tcBorders>
              <w:left w:val="single" w:sz="4" w:space="0" w:color="auto"/>
              <w:right w:val="single" w:sz="12" w:space="0" w:color="auto"/>
            </w:tcBorders>
            <w:shd w:val="clear" w:color="auto" w:fill="auto"/>
          </w:tcPr>
          <w:p w14:paraId="356501BE" w14:textId="1D457727"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23,321</w:t>
            </w:r>
          </w:p>
        </w:tc>
      </w:tr>
      <w:tr w:rsidR="00B674A0" w14:paraId="68632973" w14:textId="77777777" w:rsidTr="00D61D7A">
        <w:trPr>
          <w:cantSplit/>
          <w:jc w:val="center"/>
        </w:trPr>
        <w:tc>
          <w:tcPr>
            <w:tcW w:w="2418" w:type="dxa"/>
            <w:tcBorders>
              <w:left w:val="single" w:sz="12" w:space="0" w:color="auto"/>
              <w:right w:val="single" w:sz="4" w:space="0" w:color="auto"/>
            </w:tcBorders>
          </w:tcPr>
          <w:p w14:paraId="48BE438E" w14:textId="6A2FEF6D"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Discharges</w:t>
            </w:r>
          </w:p>
        </w:tc>
        <w:tc>
          <w:tcPr>
            <w:tcW w:w="1207" w:type="dxa"/>
            <w:tcBorders>
              <w:left w:val="single" w:sz="4" w:space="0" w:color="auto"/>
              <w:right w:val="single" w:sz="4" w:space="0" w:color="auto"/>
            </w:tcBorders>
            <w:vAlign w:val="center"/>
          </w:tcPr>
          <w:p w14:paraId="46327B32" w14:textId="7D38699B"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19,118</w:t>
            </w:r>
          </w:p>
        </w:tc>
        <w:tc>
          <w:tcPr>
            <w:tcW w:w="1207" w:type="dxa"/>
            <w:tcBorders>
              <w:left w:val="single" w:sz="4" w:space="0" w:color="auto"/>
            </w:tcBorders>
            <w:shd w:val="clear" w:color="auto" w:fill="auto"/>
            <w:vAlign w:val="center"/>
          </w:tcPr>
          <w:p w14:paraId="19AD1A7D" w14:textId="6651CDBF"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19,878</w:t>
            </w:r>
          </w:p>
        </w:tc>
        <w:tc>
          <w:tcPr>
            <w:tcW w:w="1207" w:type="dxa"/>
            <w:tcBorders>
              <w:right w:val="single" w:sz="4" w:space="0" w:color="auto"/>
            </w:tcBorders>
            <w:shd w:val="clear" w:color="auto" w:fill="auto"/>
            <w:vAlign w:val="center"/>
          </w:tcPr>
          <w:p w14:paraId="20DDE16A" w14:textId="27A067F8"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c>
          <w:tcPr>
            <w:tcW w:w="1207" w:type="dxa"/>
            <w:tcBorders>
              <w:right w:val="single" w:sz="4" w:space="0" w:color="auto"/>
            </w:tcBorders>
          </w:tcPr>
          <w:p w14:paraId="7B1D553A" w14:textId="4F9BB09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c>
          <w:tcPr>
            <w:tcW w:w="1207" w:type="dxa"/>
            <w:tcBorders>
              <w:left w:val="single" w:sz="4" w:space="0" w:color="auto"/>
              <w:right w:val="single" w:sz="12" w:space="0" w:color="auto"/>
            </w:tcBorders>
            <w:shd w:val="clear" w:color="auto" w:fill="auto"/>
            <w:vAlign w:val="center"/>
          </w:tcPr>
          <w:p w14:paraId="2F5B9B57" w14:textId="715E4764"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20,114</w:t>
            </w:r>
          </w:p>
        </w:tc>
      </w:tr>
      <w:tr w:rsidR="00B674A0" w14:paraId="06BA6CF9" w14:textId="77777777" w:rsidTr="00D61D7A">
        <w:trPr>
          <w:cantSplit/>
          <w:jc w:val="center"/>
        </w:trPr>
        <w:tc>
          <w:tcPr>
            <w:tcW w:w="2418" w:type="dxa"/>
            <w:tcBorders>
              <w:left w:val="single" w:sz="12" w:space="0" w:color="auto"/>
              <w:right w:val="single" w:sz="4" w:space="0" w:color="auto"/>
            </w:tcBorders>
          </w:tcPr>
          <w:p w14:paraId="24BD87AD" w14:textId="0B014076"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Case Weight</w:t>
            </w:r>
          </w:p>
        </w:tc>
        <w:tc>
          <w:tcPr>
            <w:tcW w:w="1207" w:type="dxa"/>
            <w:tcBorders>
              <w:left w:val="single" w:sz="4" w:space="0" w:color="auto"/>
              <w:right w:val="single" w:sz="4" w:space="0" w:color="auto"/>
            </w:tcBorders>
            <w:vAlign w:val="center"/>
          </w:tcPr>
          <w:p w14:paraId="160ABE82" w14:textId="08C0CDFB"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38,059</w:t>
            </w:r>
          </w:p>
        </w:tc>
        <w:tc>
          <w:tcPr>
            <w:tcW w:w="1207" w:type="dxa"/>
            <w:tcBorders>
              <w:left w:val="single" w:sz="4" w:space="0" w:color="auto"/>
            </w:tcBorders>
            <w:shd w:val="clear" w:color="auto" w:fill="auto"/>
            <w:vAlign w:val="center"/>
          </w:tcPr>
          <w:p w14:paraId="353B3FB8" w14:textId="1E4FF08D"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39,567</w:t>
            </w:r>
          </w:p>
        </w:tc>
        <w:tc>
          <w:tcPr>
            <w:tcW w:w="1207" w:type="dxa"/>
            <w:tcBorders>
              <w:right w:val="single" w:sz="4" w:space="0" w:color="auto"/>
            </w:tcBorders>
            <w:shd w:val="clear" w:color="auto" w:fill="auto"/>
            <w:vAlign w:val="center"/>
          </w:tcPr>
          <w:p w14:paraId="3D083C0D" w14:textId="2F56C448"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c>
          <w:tcPr>
            <w:tcW w:w="1207" w:type="dxa"/>
            <w:tcBorders>
              <w:right w:val="single" w:sz="4" w:space="0" w:color="auto"/>
            </w:tcBorders>
          </w:tcPr>
          <w:p w14:paraId="7FF4A020" w14:textId="5975DAE2"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c>
          <w:tcPr>
            <w:tcW w:w="1207" w:type="dxa"/>
            <w:tcBorders>
              <w:left w:val="single" w:sz="4" w:space="0" w:color="auto"/>
              <w:right w:val="single" w:sz="12" w:space="0" w:color="auto"/>
            </w:tcBorders>
            <w:shd w:val="clear" w:color="auto" w:fill="auto"/>
            <w:vAlign w:val="center"/>
          </w:tcPr>
          <w:p w14:paraId="66AFF0EC" w14:textId="30E34603"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39,970</w:t>
            </w:r>
          </w:p>
        </w:tc>
      </w:tr>
      <w:tr w:rsidR="00B674A0" w14:paraId="3C774FAA" w14:textId="77777777" w:rsidTr="00D61D7A">
        <w:trPr>
          <w:cantSplit/>
          <w:jc w:val="center"/>
        </w:trPr>
        <w:tc>
          <w:tcPr>
            <w:tcW w:w="2418" w:type="dxa"/>
            <w:tcBorders>
              <w:left w:val="single" w:sz="12" w:space="0" w:color="auto"/>
              <w:right w:val="single" w:sz="4" w:space="0" w:color="auto"/>
            </w:tcBorders>
          </w:tcPr>
          <w:p w14:paraId="5E1F6BAB" w14:textId="4A129C33"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CMI</w:t>
            </w:r>
          </w:p>
        </w:tc>
        <w:tc>
          <w:tcPr>
            <w:tcW w:w="1207" w:type="dxa"/>
            <w:tcBorders>
              <w:left w:val="single" w:sz="4" w:space="0" w:color="auto"/>
              <w:right w:val="single" w:sz="4" w:space="0" w:color="auto"/>
            </w:tcBorders>
            <w:vAlign w:val="center"/>
          </w:tcPr>
          <w:p w14:paraId="76726518" w14:textId="1AAEB09E"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left w:val="single" w:sz="4" w:space="0" w:color="auto"/>
            </w:tcBorders>
            <w:shd w:val="clear" w:color="auto" w:fill="auto"/>
            <w:vAlign w:val="center"/>
          </w:tcPr>
          <w:p w14:paraId="1D9D5217" w14:textId="75F7679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right w:val="single" w:sz="4" w:space="0" w:color="auto"/>
            </w:tcBorders>
            <w:shd w:val="clear" w:color="auto" w:fill="auto"/>
            <w:vAlign w:val="center"/>
          </w:tcPr>
          <w:p w14:paraId="3763064F" w14:textId="2F44C18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right w:val="single" w:sz="4" w:space="0" w:color="auto"/>
            </w:tcBorders>
          </w:tcPr>
          <w:p w14:paraId="6CF5E940" w14:textId="3E2E541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c>
          <w:tcPr>
            <w:tcW w:w="1207" w:type="dxa"/>
            <w:tcBorders>
              <w:left w:val="single" w:sz="4" w:space="0" w:color="auto"/>
              <w:right w:val="single" w:sz="12" w:space="0" w:color="auto"/>
            </w:tcBorders>
            <w:shd w:val="clear" w:color="auto" w:fill="auto"/>
            <w:vAlign w:val="center"/>
          </w:tcPr>
          <w:p w14:paraId="31023350" w14:textId="33A48BF7"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1.99</w:t>
            </w:r>
          </w:p>
        </w:tc>
      </w:tr>
      <w:tr w:rsidR="00B674A0" w14:paraId="7DFB7C34" w14:textId="77777777" w:rsidTr="00D61D7A">
        <w:trPr>
          <w:cantSplit/>
          <w:jc w:val="center"/>
        </w:trPr>
        <w:tc>
          <w:tcPr>
            <w:tcW w:w="2418" w:type="dxa"/>
            <w:tcBorders>
              <w:left w:val="single" w:sz="12" w:space="0" w:color="auto"/>
              <w:right w:val="single" w:sz="4" w:space="0" w:color="auto"/>
            </w:tcBorders>
          </w:tcPr>
          <w:p w14:paraId="394CE42A" w14:textId="59869671"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ALOS</w:t>
            </w:r>
          </w:p>
        </w:tc>
        <w:tc>
          <w:tcPr>
            <w:tcW w:w="1207" w:type="dxa"/>
            <w:tcBorders>
              <w:left w:val="single" w:sz="4" w:space="0" w:color="auto"/>
              <w:right w:val="single" w:sz="4" w:space="0" w:color="auto"/>
            </w:tcBorders>
            <w:vAlign w:val="center"/>
          </w:tcPr>
          <w:p w14:paraId="55D9EAA2" w14:textId="5586AD27"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6.95</w:t>
            </w:r>
          </w:p>
        </w:tc>
        <w:tc>
          <w:tcPr>
            <w:tcW w:w="1207" w:type="dxa"/>
            <w:tcBorders>
              <w:left w:val="single" w:sz="4" w:space="0" w:color="auto"/>
            </w:tcBorders>
            <w:shd w:val="clear" w:color="auto" w:fill="auto"/>
            <w:vAlign w:val="center"/>
          </w:tcPr>
          <w:p w14:paraId="240B3EB7" w14:textId="5A07CC39"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6.98</w:t>
            </w:r>
          </w:p>
        </w:tc>
        <w:tc>
          <w:tcPr>
            <w:tcW w:w="1207" w:type="dxa"/>
            <w:tcBorders>
              <w:right w:val="single" w:sz="4" w:space="0" w:color="auto"/>
            </w:tcBorders>
            <w:shd w:val="clear" w:color="auto" w:fill="auto"/>
            <w:vAlign w:val="center"/>
          </w:tcPr>
          <w:p w14:paraId="5E71C19A" w14:textId="543B378C"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c>
          <w:tcPr>
            <w:tcW w:w="1207" w:type="dxa"/>
            <w:tcBorders>
              <w:right w:val="single" w:sz="4" w:space="0" w:color="auto"/>
            </w:tcBorders>
          </w:tcPr>
          <w:p w14:paraId="4D1D29F4" w14:textId="06AE0E4A"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c>
          <w:tcPr>
            <w:tcW w:w="1207" w:type="dxa"/>
            <w:tcBorders>
              <w:left w:val="single" w:sz="4" w:space="0" w:color="auto"/>
              <w:right w:val="single" w:sz="12" w:space="0" w:color="auto"/>
            </w:tcBorders>
            <w:shd w:val="clear" w:color="auto" w:fill="auto"/>
            <w:vAlign w:val="center"/>
          </w:tcPr>
          <w:p w14:paraId="72DF5CE4" w14:textId="7CE7D8A8"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6.97</w:t>
            </w:r>
          </w:p>
        </w:tc>
      </w:tr>
      <w:tr w:rsidR="00B674A0" w14:paraId="6762B812" w14:textId="77777777" w:rsidTr="00D61D7A">
        <w:trPr>
          <w:cantSplit/>
          <w:jc w:val="center"/>
        </w:trPr>
        <w:tc>
          <w:tcPr>
            <w:tcW w:w="2418" w:type="dxa"/>
            <w:tcBorders>
              <w:left w:val="single" w:sz="12" w:space="0" w:color="auto"/>
              <w:bottom w:val="single" w:sz="12" w:space="0" w:color="auto"/>
              <w:right w:val="single" w:sz="4" w:space="0" w:color="auto"/>
            </w:tcBorders>
          </w:tcPr>
          <w:p w14:paraId="37C13477" w14:textId="4CA0B831" w:rsidR="00B674A0" w:rsidRPr="00B674A0" w:rsidRDefault="00B674A0" w:rsidP="00B674A0">
            <w:pPr>
              <w:pStyle w:val="NormalWeb"/>
              <w:spacing w:before="0" w:beforeAutospacing="0" w:after="0" w:afterAutospacing="0"/>
              <w:rPr>
                <w:rFonts w:ascii="Arial Narrow" w:hAnsi="Arial Narrow" w:cs="Arial"/>
                <w:b/>
                <w:bCs/>
                <w:sz w:val="22"/>
                <w:szCs w:val="22"/>
              </w:rPr>
            </w:pPr>
            <w:r w:rsidRPr="00B674A0">
              <w:rPr>
                <w:rFonts w:ascii="Arial Narrow" w:hAnsi="Arial Narrow" w:cs="Arial"/>
                <w:b/>
                <w:bCs/>
                <w:sz w:val="22"/>
                <w:szCs w:val="22"/>
              </w:rPr>
              <w:t>Occupancy</w:t>
            </w:r>
          </w:p>
        </w:tc>
        <w:tc>
          <w:tcPr>
            <w:tcW w:w="1207" w:type="dxa"/>
            <w:tcBorders>
              <w:left w:val="single" w:sz="4" w:space="0" w:color="auto"/>
              <w:bottom w:val="single" w:sz="12" w:space="0" w:color="auto"/>
              <w:right w:val="single" w:sz="4" w:space="0" w:color="auto"/>
            </w:tcBorders>
            <w:vAlign w:val="center"/>
          </w:tcPr>
          <w:p w14:paraId="0A068523" w14:textId="009FC857"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2</w:t>
            </w:r>
            <w:r w:rsidRPr="00C06DC9">
              <w:rPr>
                <w:rFonts w:ascii="Arial Narrow" w:hAnsi="Arial Narrow" w:cs="Arial"/>
                <w:sz w:val="22"/>
                <w:szCs w:val="22"/>
              </w:rPr>
              <w:t>.</w:t>
            </w:r>
            <w:r>
              <w:rPr>
                <w:rFonts w:ascii="Arial Narrow" w:hAnsi="Arial Narrow" w:cs="Arial"/>
                <w:sz w:val="22"/>
                <w:szCs w:val="22"/>
              </w:rPr>
              <w:t>8</w:t>
            </w:r>
            <w:r w:rsidRPr="00C06DC9">
              <w:rPr>
                <w:rFonts w:ascii="Arial Narrow" w:hAnsi="Arial Narrow" w:cs="Arial"/>
                <w:sz w:val="22"/>
                <w:szCs w:val="22"/>
              </w:rPr>
              <w:t>%</w:t>
            </w:r>
          </w:p>
        </w:tc>
        <w:tc>
          <w:tcPr>
            <w:tcW w:w="1207" w:type="dxa"/>
            <w:tcBorders>
              <w:left w:val="single" w:sz="4" w:space="0" w:color="auto"/>
              <w:bottom w:val="single" w:sz="12" w:space="0" w:color="auto"/>
            </w:tcBorders>
            <w:shd w:val="clear" w:color="auto" w:fill="auto"/>
            <w:vAlign w:val="center"/>
          </w:tcPr>
          <w:p w14:paraId="372E4344" w14:textId="4BA62957"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5</w:t>
            </w:r>
            <w:r w:rsidRPr="00C06DC9">
              <w:rPr>
                <w:rFonts w:ascii="Arial Narrow" w:hAnsi="Arial Narrow" w:cs="Arial"/>
                <w:sz w:val="22"/>
                <w:szCs w:val="22"/>
              </w:rPr>
              <w:t>.</w:t>
            </w:r>
            <w:r>
              <w:rPr>
                <w:rFonts w:ascii="Arial Narrow" w:hAnsi="Arial Narrow" w:cs="Arial"/>
                <w:sz w:val="22"/>
                <w:szCs w:val="22"/>
              </w:rPr>
              <w:t>9</w:t>
            </w:r>
            <w:r w:rsidRPr="00C06DC9">
              <w:rPr>
                <w:rFonts w:ascii="Arial Narrow" w:hAnsi="Arial Narrow" w:cs="Arial"/>
                <w:sz w:val="22"/>
                <w:szCs w:val="22"/>
              </w:rPr>
              <w:t>%</w:t>
            </w:r>
          </w:p>
        </w:tc>
        <w:tc>
          <w:tcPr>
            <w:tcW w:w="1207" w:type="dxa"/>
            <w:tcBorders>
              <w:bottom w:val="single" w:sz="12" w:space="0" w:color="auto"/>
              <w:right w:val="single" w:sz="4" w:space="0" w:color="auto"/>
            </w:tcBorders>
            <w:shd w:val="clear" w:color="auto" w:fill="auto"/>
            <w:vAlign w:val="center"/>
          </w:tcPr>
          <w:p w14:paraId="04D76059" w14:textId="21B39490"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c>
          <w:tcPr>
            <w:tcW w:w="1207" w:type="dxa"/>
            <w:tcBorders>
              <w:bottom w:val="single" w:sz="12" w:space="0" w:color="auto"/>
              <w:right w:val="single" w:sz="4" w:space="0" w:color="auto"/>
            </w:tcBorders>
          </w:tcPr>
          <w:p w14:paraId="5597E53C" w14:textId="545F2A94"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c>
          <w:tcPr>
            <w:tcW w:w="1207" w:type="dxa"/>
            <w:tcBorders>
              <w:left w:val="single" w:sz="4" w:space="0" w:color="auto"/>
              <w:bottom w:val="single" w:sz="12" w:space="0" w:color="auto"/>
              <w:right w:val="single" w:sz="12" w:space="0" w:color="auto"/>
            </w:tcBorders>
            <w:shd w:val="clear" w:color="auto" w:fill="auto"/>
            <w:vAlign w:val="center"/>
          </w:tcPr>
          <w:p w14:paraId="3F4223C3" w14:textId="61F14BED" w:rsidR="00B674A0" w:rsidRPr="00C06DC9" w:rsidRDefault="00B674A0" w:rsidP="00B674A0">
            <w:pPr>
              <w:pStyle w:val="NormalWeb"/>
              <w:spacing w:before="0" w:beforeAutospacing="0" w:after="0" w:afterAutospacing="0"/>
              <w:jc w:val="center"/>
              <w:rPr>
                <w:rFonts w:ascii="Arial Narrow" w:hAnsi="Arial Narrow" w:cs="Arial"/>
                <w:sz w:val="22"/>
                <w:szCs w:val="22"/>
              </w:rPr>
            </w:pPr>
            <w:r w:rsidRPr="00C06DC9">
              <w:rPr>
                <w:rFonts w:ascii="Arial Narrow" w:hAnsi="Arial Narrow" w:cs="Arial"/>
                <w:sz w:val="22"/>
                <w:szCs w:val="22"/>
              </w:rPr>
              <w:t>8</w:t>
            </w:r>
            <w:r>
              <w:rPr>
                <w:rFonts w:ascii="Arial Narrow" w:hAnsi="Arial Narrow" w:cs="Arial"/>
                <w:sz w:val="22"/>
                <w:szCs w:val="22"/>
              </w:rPr>
              <w:t>6</w:t>
            </w:r>
            <w:r w:rsidRPr="00C06DC9">
              <w:rPr>
                <w:rFonts w:ascii="Arial Narrow" w:hAnsi="Arial Narrow" w:cs="Arial"/>
                <w:sz w:val="22"/>
                <w:szCs w:val="22"/>
              </w:rPr>
              <w:t>.8%</w:t>
            </w:r>
          </w:p>
        </w:tc>
      </w:tr>
    </w:tbl>
    <w:p w14:paraId="5C83D54E" w14:textId="489B0254" w:rsidR="00366360" w:rsidRDefault="00366360" w:rsidP="00D4649D">
      <w:pPr>
        <w:jc w:val="both"/>
        <w:rPr>
          <w:rFonts w:ascii="Arial" w:hAnsi="Arial" w:cs="Arial"/>
          <w:sz w:val="22"/>
          <w:szCs w:val="22"/>
        </w:rPr>
      </w:pPr>
    </w:p>
    <w:p w14:paraId="3E0774D8" w14:textId="7EC4CE4C" w:rsidR="00A66135" w:rsidRDefault="003F770E" w:rsidP="001B5792">
      <w:pPr>
        <w:jc w:val="both"/>
        <w:rPr>
          <w:rFonts w:ascii="Arial" w:hAnsi="Arial" w:cs="Arial"/>
          <w:sz w:val="22"/>
          <w:szCs w:val="22"/>
        </w:rPr>
      </w:pPr>
      <w:r w:rsidRPr="00CF312D">
        <w:rPr>
          <w:rFonts w:ascii="Arial" w:hAnsi="Arial" w:cs="Arial"/>
          <w:sz w:val="22"/>
          <w:szCs w:val="22"/>
        </w:rPr>
        <w:t>As shown in Table 1</w:t>
      </w:r>
      <w:r w:rsidR="00A25F12">
        <w:rPr>
          <w:rFonts w:ascii="Arial" w:hAnsi="Arial" w:cs="Arial"/>
          <w:sz w:val="22"/>
          <w:szCs w:val="22"/>
        </w:rPr>
        <w:t>5</w:t>
      </w:r>
      <w:r w:rsidRPr="00CF312D">
        <w:rPr>
          <w:rFonts w:ascii="Arial" w:hAnsi="Arial" w:cs="Arial"/>
          <w:sz w:val="22"/>
          <w:szCs w:val="22"/>
        </w:rPr>
        <w:t xml:space="preserve">, </w:t>
      </w:r>
      <w:r w:rsidR="00E24D42" w:rsidRPr="00CF312D">
        <w:rPr>
          <w:rFonts w:ascii="Arial" w:hAnsi="Arial" w:cs="Arial"/>
          <w:sz w:val="22"/>
          <w:szCs w:val="22"/>
        </w:rPr>
        <w:t xml:space="preserve">implementation of the Proposed Project is anticipated to help </w:t>
      </w:r>
      <w:r w:rsidR="007B3FBE" w:rsidRPr="00CF312D">
        <w:rPr>
          <w:rFonts w:ascii="Arial" w:hAnsi="Arial" w:cs="Arial"/>
          <w:sz w:val="22"/>
          <w:szCs w:val="22"/>
        </w:rPr>
        <w:t>curtail</w:t>
      </w:r>
      <w:r w:rsidR="008D545C" w:rsidRPr="00CF312D">
        <w:rPr>
          <w:rFonts w:ascii="Arial" w:hAnsi="Arial" w:cs="Arial"/>
          <w:sz w:val="22"/>
          <w:szCs w:val="22"/>
        </w:rPr>
        <w:t xml:space="preserve"> some of the</w:t>
      </w:r>
      <w:r w:rsidR="00E24D42" w:rsidRPr="00CF312D">
        <w:rPr>
          <w:rFonts w:ascii="Arial" w:hAnsi="Arial" w:cs="Arial"/>
          <w:sz w:val="22"/>
          <w:szCs w:val="22"/>
        </w:rPr>
        <w:t xml:space="preserve"> Hospital’s </w:t>
      </w:r>
      <w:r w:rsidR="008D545C" w:rsidRPr="00CF312D">
        <w:rPr>
          <w:rFonts w:ascii="Arial" w:hAnsi="Arial" w:cs="Arial"/>
          <w:sz w:val="22"/>
          <w:szCs w:val="22"/>
        </w:rPr>
        <w:t>projected</w:t>
      </w:r>
      <w:r w:rsidR="00E24D42" w:rsidRPr="00CF312D">
        <w:rPr>
          <w:rFonts w:ascii="Arial" w:hAnsi="Arial" w:cs="Arial"/>
          <w:sz w:val="22"/>
          <w:szCs w:val="22"/>
        </w:rPr>
        <w:t xml:space="preserve"> inpatient capacity constraints</w:t>
      </w:r>
      <w:r w:rsidR="008D545C" w:rsidRPr="00CF312D">
        <w:rPr>
          <w:rFonts w:ascii="Arial" w:hAnsi="Arial" w:cs="Arial"/>
          <w:sz w:val="22"/>
          <w:szCs w:val="22"/>
        </w:rPr>
        <w:t>.</w:t>
      </w:r>
      <w:r w:rsidR="008D545C">
        <w:rPr>
          <w:rFonts w:ascii="Arial" w:hAnsi="Arial" w:cs="Arial"/>
          <w:sz w:val="22"/>
          <w:szCs w:val="22"/>
        </w:rPr>
        <w:t xml:space="preserve"> Without the Proposed Project, </w:t>
      </w:r>
      <w:r w:rsidR="00A66135">
        <w:rPr>
          <w:rFonts w:ascii="Arial" w:hAnsi="Arial" w:cs="Arial"/>
          <w:sz w:val="22"/>
          <w:szCs w:val="22"/>
        </w:rPr>
        <w:t xml:space="preserve">inpatient utilization rates will </w:t>
      </w:r>
      <w:r w:rsidR="001B5792">
        <w:rPr>
          <w:rFonts w:ascii="Arial" w:hAnsi="Arial" w:cs="Arial"/>
          <w:sz w:val="22"/>
          <w:szCs w:val="22"/>
        </w:rPr>
        <w:t xml:space="preserve">continue to </w:t>
      </w:r>
      <w:r w:rsidR="00A66135">
        <w:rPr>
          <w:rFonts w:ascii="Arial" w:hAnsi="Arial" w:cs="Arial"/>
          <w:sz w:val="22"/>
          <w:szCs w:val="22"/>
        </w:rPr>
        <w:t xml:space="preserve">rise to unsustainable levels </w:t>
      </w:r>
      <w:r w:rsidR="008D545C">
        <w:rPr>
          <w:rFonts w:ascii="Arial" w:hAnsi="Arial" w:cs="Arial"/>
          <w:sz w:val="22"/>
          <w:szCs w:val="22"/>
        </w:rPr>
        <w:t xml:space="preserve">as patient volumes and acuity levels </w:t>
      </w:r>
      <w:r w:rsidR="00A66135">
        <w:rPr>
          <w:rFonts w:ascii="Arial" w:hAnsi="Arial" w:cs="Arial"/>
          <w:sz w:val="22"/>
          <w:szCs w:val="22"/>
        </w:rPr>
        <w:t>continue to increase</w:t>
      </w:r>
      <w:r w:rsidR="001C3BC7">
        <w:rPr>
          <w:rFonts w:ascii="Arial" w:hAnsi="Arial" w:cs="Arial"/>
          <w:sz w:val="22"/>
          <w:szCs w:val="22"/>
        </w:rPr>
        <w:t>.</w:t>
      </w:r>
      <w:r w:rsidR="00A66135">
        <w:rPr>
          <w:rFonts w:ascii="Arial" w:hAnsi="Arial" w:cs="Arial"/>
          <w:sz w:val="22"/>
          <w:szCs w:val="22"/>
        </w:rPr>
        <w:t xml:space="preserve"> Hospital throughput will continue to be negatively impacted</w:t>
      </w:r>
      <w:r w:rsidR="001B5792">
        <w:rPr>
          <w:rFonts w:ascii="Arial" w:hAnsi="Arial" w:cs="Arial"/>
          <w:sz w:val="22"/>
          <w:szCs w:val="22"/>
        </w:rPr>
        <w:t>, and patients will continue to face increased wait times and delays in diagnosis and treatment. T</w:t>
      </w:r>
      <w:r>
        <w:rPr>
          <w:rFonts w:ascii="Arial" w:hAnsi="Arial" w:cs="Arial"/>
          <w:sz w:val="22"/>
          <w:szCs w:val="22"/>
        </w:rPr>
        <w:t>hrough the Proposed Project, the Applicant seeks t</w:t>
      </w:r>
      <w:r w:rsidR="00BA0153">
        <w:rPr>
          <w:rFonts w:ascii="Arial" w:hAnsi="Arial" w:cs="Arial"/>
          <w:sz w:val="22"/>
          <w:szCs w:val="22"/>
        </w:rPr>
        <w:t xml:space="preserve">o </w:t>
      </w:r>
      <w:r w:rsidR="007B3FBE">
        <w:rPr>
          <w:rFonts w:ascii="Arial" w:hAnsi="Arial" w:cs="Arial"/>
          <w:sz w:val="22"/>
          <w:szCs w:val="22"/>
        </w:rPr>
        <w:t xml:space="preserve">help </w:t>
      </w:r>
      <w:r w:rsidR="001B5792">
        <w:rPr>
          <w:rFonts w:ascii="Arial" w:hAnsi="Arial" w:cs="Arial"/>
          <w:sz w:val="22"/>
          <w:szCs w:val="22"/>
        </w:rPr>
        <w:t>alleviate these issues</w:t>
      </w:r>
      <w:r w:rsidR="001C3BC7">
        <w:rPr>
          <w:rFonts w:ascii="Arial" w:hAnsi="Arial" w:cs="Arial"/>
          <w:sz w:val="22"/>
          <w:szCs w:val="22"/>
        </w:rPr>
        <w:t xml:space="preserve">. The Proposed Project will </w:t>
      </w:r>
      <w:r w:rsidR="0058277A">
        <w:rPr>
          <w:rFonts w:ascii="Arial" w:hAnsi="Arial" w:cs="Arial"/>
          <w:sz w:val="22"/>
          <w:szCs w:val="22"/>
        </w:rPr>
        <w:t>ensure</w:t>
      </w:r>
      <w:r w:rsidR="00BA0153">
        <w:rPr>
          <w:rFonts w:ascii="Arial" w:hAnsi="Arial" w:cs="Arial"/>
          <w:sz w:val="22"/>
          <w:szCs w:val="22"/>
        </w:rPr>
        <w:t xml:space="preserve"> timely access to high-quality medical/surgical and ICU </w:t>
      </w:r>
      <w:r w:rsidR="0058277A">
        <w:rPr>
          <w:rFonts w:ascii="Arial" w:hAnsi="Arial" w:cs="Arial"/>
          <w:sz w:val="22"/>
          <w:szCs w:val="22"/>
        </w:rPr>
        <w:t>inpatient services</w:t>
      </w:r>
      <w:r w:rsidR="001C3BC7">
        <w:rPr>
          <w:rFonts w:ascii="Arial" w:hAnsi="Arial" w:cs="Arial"/>
          <w:sz w:val="22"/>
          <w:szCs w:val="22"/>
        </w:rPr>
        <w:t xml:space="preserve"> as well as</w:t>
      </w:r>
      <w:r w:rsidR="0058277A">
        <w:rPr>
          <w:rFonts w:ascii="Arial" w:hAnsi="Arial" w:cs="Arial"/>
          <w:sz w:val="22"/>
          <w:szCs w:val="22"/>
        </w:rPr>
        <w:t xml:space="preserve"> improve ED throughput and operating efficiency, </w:t>
      </w:r>
      <w:r w:rsidR="001C3BC7">
        <w:rPr>
          <w:rFonts w:ascii="Arial" w:hAnsi="Arial" w:cs="Arial"/>
          <w:sz w:val="22"/>
          <w:szCs w:val="22"/>
        </w:rPr>
        <w:t>which will in turn</w:t>
      </w:r>
      <w:r w:rsidR="001B5792">
        <w:rPr>
          <w:rFonts w:ascii="Arial" w:hAnsi="Arial" w:cs="Arial"/>
          <w:sz w:val="22"/>
          <w:szCs w:val="22"/>
        </w:rPr>
        <w:t xml:space="preserve"> </w:t>
      </w:r>
      <w:r w:rsidR="0058277A">
        <w:rPr>
          <w:rFonts w:ascii="Arial" w:hAnsi="Arial" w:cs="Arial"/>
          <w:sz w:val="22"/>
          <w:szCs w:val="22"/>
        </w:rPr>
        <w:t>increase patient satisfaction and health outcomes</w:t>
      </w:r>
      <w:r w:rsidR="001B5792">
        <w:rPr>
          <w:rFonts w:ascii="Arial" w:hAnsi="Arial" w:cs="Arial"/>
          <w:sz w:val="22"/>
          <w:szCs w:val="22"/>
        </w:rPr>
        <w:t>.</w:t>
      </w:r>
      <w:r w:rsidR="00A66135">
        <w:rPr>
          <w:rFonts w:ascii="Arial" w:hAnsi="Arial" w:cs="Arial"/>
          <w:sz w:val="22"/>
          <w:szCs w:val="22"/>
        </w:rPr>
        <w:t xml:space="preserve"> </w:t>
      </w:r>
      <w:r w:rsidR="00366360">
        <w:rPr>
          <w:rFonts w:ascii="Arial" w:hAnsi="Arial" w:cs="Arial"/>
          <w:sz w:val="22"/>
          <w:szCs w:val="22"/>
        </w:rPr>
        <w:t xml:space="preserve">Accordingly, </w:t>
      </w:r>
      <w:r w:rsidR="00DB7CB2">
        <w:rPr>
          <w:rFonts w:ascii="Arial" w:hAnsi="Arial" w:cs="Arial"/>
          <w:sz w:val="22"/>
          <w:szCs w:val="22"/>
        </w:rPr>
        <w:t xml:space="preserve">the Applicant </w:t>
      </w:r>
      <w:r w:rsidR="001B5792">
        <w:rPr>
          <w:rFonts w:ascii="Arial" w:hAnsi="Arial" w:cs="Arial"/>
          <w:sz w:val="22"/>
          <w:szCs w:val="22"/>
        </w:rPr>
        <w:t>proposes</w:t>
      </w:r>
      <w:r w:rsidR="00DB7CB2">
        <w:rPr>
          <w:rFonts w:ascii="Arial" w:hAnsi="Arial" w:cs="Arial"/>
          <w:sz w:val="22"/>
          <w:szCs w:val="22"/>
        </w:rPr>
        <w:t xml:space="preserve"> to expand inpatient capacity through the addition of </w:t>
      </w:r>
      <w:r w:rsidR="00E75A93">
        <w:rPr>
          <w:rFonts w:ascii="Arial" w:hAnsi="Arial" w:cs="Arial"/>
          <w:sz w:val="22"/>
          <w:szCs w:val="22"/>
        </w:rPr>
        <w:t>sixty (</w:t>
      </w:r>
      <w:r w:rsidR="00DB7CB2">
        <w:rPr>
          <w:rFonts w:ascii="Arial" w:hAnsi="Arial" w:cs="Arial"/>
          <w:sz w:val="22"/>
          <w:szCs w:val="22"/>
        </w:rPr>
        <w:t>60</w:t>
      </w:r>
      <w:r w:rsidR="00E75A93">
        <w:rPr>
          <w:rFonts w:ascii="Arial" w:hAnsi="Arial" w:cs="Arial"/>
          <w:sz w:val="22"/>
          <w:szCs w:val="22"/>
        </w:rPr>
        <w:t>)</w:t>
      </w:r>
      <w:r w:rsidR="00DB7CB2">
        <w:rPr>
          <w:rFonts w:ascii="Arial" w:hAnsi="Arial" w:cs="Arial"/>
          <w:sz w:val="22"/>
          <w:szCs w:val="22"/>
        </w:rPr>
        <w:t xml:space="preserve"> medical/surgical inpatient beds and </w:t>
      </w:r>
      <w:r w:rsidR="00E75A93">
        <w:rPr>
          <w:rFonts w:ascii="Arial" w:hAnsi="Arial" w:cs="Arial"/>
          <w:sz w:val="22"/>
          <w:szCs w:val="22"/>
        </w:rPr>
        <w:t>ten (</w:t>
      </w:r>
      <w:r w:rsidR="00DB7CB2">
        <w:rPr>
          <w:rFonts w:ascii="Arial" w:hAnsi="Arial" w:cs="Arial"/>
          <w:sz w:val="22"/>
          <w:szCs w:val="22"/>
        </w:rPr>
        <w:t>10</w:t>
      </w:r>
      <w:r w:rsidR="00E75A93">
        <w:rPr>
          <w:rFonts w:ascii="Arial" w:hAnsi="Arial" w:cs="Arial"/>
          <w:sz w:val="22"/>
          <w:szCs w:val="22"/>
        </w:rPr>
        <w:t>)</w:t>
      </w:r>
      <w:r w:rsidR="00DB7CB2">
        <w:rPr>
          <w:rFonts w:ascii="Arial" w:hAnsi="Arial" w:cs="Arial"/>
          <w:sz w:val="22"/>
          <w:szCs w:val="22"/>
        </w:rPr>
        <w:t xml:space="preserve"> ICU beds at BMC. </w:t>
      </w:r>
    </w:p>
    <w:p w14:paraId="47FEA89C" w14:textId="77777777" w:rsidR="001B5792" w:rsidRPr="00A66135" w:rsidRDefault="001B5792" w:rsidP="001B5792">
      <w:pPr>
        <w:jc w:val="both"/>
        <w:rPr>
          <w:rFonts w:ascii="Arial" w:hAnsi="Arial" w:cs="Arial"/>
          <w:b/>
          <w:bCs/>
          <w:sz w:val="22"/>
          <w:szCs w:val="22"/>
        </w:rPr>
      </w:pPr>
    </w:p>
    <w:p w14:paraId="062C00D9" w14:textId="4698AD19" w:rsidR="00966519" w:rsidRPr="00B53310" w:rsidRDefault="00966519" w:rsidP="00966519">
      <w:pPr>
        <w:pStyle w:val="NormalWeb"/>
        <w:numPr>
          <w:ilvl w:val="0"/>
          <w:numId w:val="8"/>
        </w:numPr>
        <w:spacing w:before="0" w:beforeAutospacing="0" w:after="0" w:afterAutospacing="0"/>
        <w:ind w:left="360"/>
        <w:jc w:val="both"/>
        <w:rPr>
          <w:rFonts w:ascii="Arial" w:hAnsi="Arial" w:cs="Arial"/>
          <w:smallCaps/>
          <w:sz w:val="22"/>
          <w:szCs w:val="22"/>
          <w:u w:val="single"/>
        </w:rPr>
      </w:pPr>
      <w:r>
        <w:rPr>
          <w:rFonts w:ascii="Arial" w:hAnsi="Arial" w:cs="Arial"/>
          <w:smallCaps/>
          <w:sz w:val="22"/>
          <w:szCs w:val="22"/>
          <w:u w:val="single"/>
        </w:rPr>
        <w:t>Need for Expansion of Inpatient OR Suite</w:t>
      </w:r>
    </w:p>
    <w:p w14:paraId="7B51531A" w14:textId="77777777" w:rsidR="00EF3272" w:rsidRPr="004E5F4C" w:rsidRDefault="00EF3272" w:rsidP="00EF3272">
      <w:pPr>
        <w:pStyle w:val="NormalWeb"/>
        <w:spacing w:before="0" w:beforeAutospacing="0" w:after="0" w:afterAutospacing="0"/>
        <w:jc w:val="both"/>
        <w:rPr>
          <w:rFonts w:ascii="Arial" w:hAnsi="Arial" w:cs="Arial"/>
          <w:sz w:val="22"/>
          <w:szCs w:val="22"/>
          <w:u w:val="single"/>
        </w:rPr>
      </w:pPr>
    </w:p>
    <w:p w14:paraId="031D5A80" w14:textId="2440FA53" w:rsidR="00966519" w:rsidRDefault="00D633FE" w:rsidP="00856859">
      <w:pPr>
        <w:pStyle w:val="NormalWeb"/>
        <w:numPr>
          <w:ilvl w:val="0"/>
          <w:numId w:val="10"/>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 xml:space="preserve">Review of </w:t>
      </w:r>
      <w:r w:rsidR="00966519">
        <w:rPr>
          <w:rFonts w:ascii="Arial" w:hAnsi="Arial" w:cs="Arial"/>
          <w:sz w:val="22"/>
          <w:szCs w:val="22"/>
          <w:u w:val="single"/>
        </w:rPr>
        <w:t>Historic Demand</w:t>
      </w:r>
    </w:p>
    <w:p w14:paraId="404146F2" w14:textId="235C9DFC" w:rsidR="00856859" w:rsidRDefault="00856859" w:rsidP="007C7545">
      <w:pPr>
        <w:pStyle w:val="NormalWeb"/>
        <w:spacing w:before="0" w:beforeAutospacing="0" w:after="0" w:afterAutospacing="0"/>
        <w:jc w:val="both"/>
        <w:rPr>
          <w:rFonts w:ascii="Arial" w:hAnsi="Arial" w:cs="Arial"/>
          <w:sz w:val="22"/>
          <w:szCs w:val="22"/>
          <w:u w:val="single"/>
        </w:rPr>
      </w:pPr>
    </w:p>
    <w:p w14:paraId="6778F702" w14:textId="2F3734DD" w:rsidR="00BA07BE" w:rsidRDefault="001C3BC7" w:rsidP="00BA07BE">
      <w:pPr>
        <w:pStyle w:val="NormalWeb"/>
        <w:spacing w:before="0" w:beforeAutospacing="0" w:after="0" w:afterAutospacing="0"/>
        <w:jc w:val="both"/>
        <w:rPr>
          <w:rFonts w:ascii="ArialMT" w:hAnsi="ArialMT"/>
          <w:sz w:val="22"/>
          <w:szCs w:val="22"/>
        </w:rPr>
      </w:pPr>
      <w:r>
        <w:rPr>
          <w:rFonts w:ascii="ArialMT" w:hAnsi="ArialMT"/>
          <w:sz w:val="22"/>
          <w:szCs w:val="22"/>
        </w:rPr>
        <w:t>T</w:t>
      </w:r>
      <w:r w:rsidR="00BA07BE" w:rsidRPr="00BA07BE">
        <w:rPr>
          <w:rFonts w:ascii="ArialMT" w:hAnsi="ArialMT"/>
          <w:sz w:val="22"/>
          <w:szCs w:val="22"/>
        </w:rPr>
        <w:t xml:space="preserve">he Applicant </w:t>
      </w:r>
      <w:r w:rsidR="00CB0519">
        <w:rPr>
          <w:rFonts w:ascii="ArialMT" w:hAnsi="ArialMT"/>
          <w:sz w:val="22"/>
          <w:szCs w:val="22"/>
        </w:rPr>
        <w:t xml:space="preserve">has </w:t>
      </w:r>
      <w:r w:rsidR="00BA07BE" w:rsidRPr="00BA07BE">
        <w:rPr>
          <w:rFonts w:ascii="ArialMT" w:hAnsi="ArialMT"/>
          <w:sz w:val="22"/>
          <w:szCs w:val="22"/>
        </w:rPr>
        <w:t xml:space="preserve">identified a need for additional inpatient </w:t>
      </w:r>
      <w:r w:rsidR="00DF2BA5">
        <w:rPr>
          <w:rFonts w:ascii="ArialMT" w:hAnsi="ArialMT"/>
          <w:sz w:val="22"/>
          <w:szCs w:val="22"/>
        </w:rPr>
        <w:t>OR</w:t>
      </w:r>
      <w:r>
        <w:rPr>
          <w:rFonts w:ascii="ArialMT" w:hAnsi="ArialMT"/>
          <w:sz w:val="22"/>
          <w:szCs w:val="22"/>
        </w:rPr>
        <w:t xml:space="preserve"> capacity</w:t>
      </w:r>
      <w:r w:rsidR="00BA07BE" w:rsidRPr="00BA07BE">
        <w:rPr>
          <w:rFonts w:ascii="ArialMT" w:hAnsi="ArialMT"/>
          <w:sz w:val="22"/>
          <w:szCs w:val="22"/>
        </w:rPr>
        <w:t xml:space="preserve"> at BMC</w:t>
      </w:r>
      <w:r>
        <w:rPr>
          <w:rFonts w:ascii="ArialMT" w:hAnsi="ArialMT"/>
          <w:sz w:val="22"/>
          <w:szCs w:val="22"/>
        </w:rPr>
        <w:t xml:space="preserve"> i</w:t>
      </w:r>
      <w:r w:rsidRPr="001C3BC7">
        <w:rPr>
          <w:rFonts w:ascii="ArialMT" w:hAnsi="ArialMT"/>
          <w:sz w:val="22"/>
          <w:szCs w:val="22"/>
        </w:rPr>
        <w:t xml:space="preserve">n addition and </w:t>
      </w:r>
      <w:r>
        <w:rPr>
          <w:rFonts w:ascii="ArialMT" w:hAnsi="ArialMT"/>
          <w:sz w:val="22"/>
          <w:szCs w:val="22"/>
        </w:rPr>
        <w:t xml:space="preserve">in </w:t>
      </w:r>
      <w:r w:rsidRPr="001C3BC7">
        <w:rPr>
          <w:rFonts w:ascii="ArialMT" w:hAnsi="ArialMT"/>
          <w:sz w:val="22"/>
          <w:szCs w:val="22"/>
        </w:rPr>
        <w:t>relat</w:t>
      </w:r>
      <w:r>
        <w:rPr>
          <w:rFonts w:ascii="ArialMT" w:hAnsi="ArialMT"/>
          <w:sz w:val="22"/>
          <w:szCs w:val="22"/>
        </w:rPr>
        <w:t xml:space="preserve">ion </w:t>
      </w:r>
      <w:r w:rsidRPr="001C3BC7">
        <w:rPr>
          <w:rFonts w:ascii="ArialMT" w:hAnsi="ArialMT"/>
          <w:sz w:val="22"/>
          <w:szCs w:val="22"/>
        </w:rPr>
        <w:t>to the need for additional inpatient beds</w:t>
      </w:r>
      <w:r w:rsidR="00BA07BE" w:rsidRPr="00BA07BE">
        <w:rPr>
          <w:rFonts w:ascii="ArialMT" w:hAnsi="ArialMT"/>
          <w:sz w:val="22"/>
          <w:szCs w:val="22"/>
        </w:rPr>
        <w:t>.</w:t>
      </w:r>
      <w:r w:rsidR="00BA07BE">
        <w:rPr>
          <w:rFonts w:ascii="ArialMT" w:hAnsi="ArialMT"/>
          <w:sz w:val="22"/>
          <w:szCs w:val="22"/>
        </w:rPr>
        <w:t xml:space="preserve"> </w:t>
      </w:r>
      <w:r>
        <w:rPr>
          <w:rFonts w:ascii="ArialMT" w:hAnsi="ArialMT"/>
          <w:sz w:val="22"/>
          <w:szCs w:val="22"/>
        </w:rPr>
        <w:t>T</w:t>
      </w:r>
      <w:r w:rsidR="00BA07BE">
        <w:rPr>
          <w:rFonts w:ascii="ArialMT" w:hAnsi="ArialMT"/>
          <w:sz w:val="22"/>
          <w:szCs w:val="22"/>
        </w:rPr>
        <w:t xml:space="preserve">he Applicant seeks to add </w:t>
      </w:r>
      <w:r w:rsidR="002F1348">
        <w:rPr>
          <w:rFonts w:ascii="ArialMT" w:hAnsi="ArialMT"/>
          <w:sz w:val="22"/>
          <w:szCs w:val="22"/>
        </w:rPr>
        <w:t xml:space="preserve">five (5) new inpatient </w:t>
      </w:r>
      <w:r w:rsidR="00DF2BA5">
        <w:rPr>
          <w:rFonts w:ascii="ArialMT" w:hAnsi="ArialMT"/>
          <w:sz w:val="22"/>
          <w:szCs w:val="22"/>
        </w:rPr>
        <w:t xml:space="preserve">ORs </w:t>
      </w:r>
      <w:r w:rsidR="002F1348">
        <w:rPr>
          <w:rFonts w:ascii="ArialMT" w:hAnsi="ArialMT"/>
          <w:sz w:val="22"/>
          <w:szCs w:val="22"/>
        </w:rPr>
        <w:t xml:space="preserve">to its existing inventory of </w:t>
      </w:r>
      <w:r w:rsidR="00B77044">
        <w:rPr>
          <w:rFonts w:ascii="ArialMT" w:hAnsi="ArialMT"/>
          <w:sz w:val="22"/>
          <w:szCs w:val="22"/>
        </w:rPr>
        <w:t>eighteen (</w:t>
      </w:r>
      <w:r w:rsidR="002F1348">
        <w:rPr>
          <w:rFonts w:ascii="ArialMT" w:hAnsi="ArialMT"/>
          <w:sz w:val="22"/>
          <w:szCs w:val="22"/>
        </w:rPr>
        <w:t>18</w:t>
      </w:r>
      <w:r w:rsidR="00B77044">
        <w:rPr>
          <w:rFonts w:ascii="ArialMT" w:hAnsi="ArialMT"/>
          <w:sz w:val="22"/>
          <w:szCs w:val="22"/>
        </w:rPr>
        <w:t>)</w:t>
      </w:r>
      <w:r w:rsidR="002F1348">
        <w:rPr>
          <w:rFonts w:ascii="ArialMT" w:hAnsi="ArialMT"/>
          <w:sz w:val="22"/>
          <w:szCs w:val="22"/>
        </w:rPr>
        <w:t xml:space="preserve">, for a new total of </w:t>
      </w:r>
      <w:r w:rsidR="00243598">
        <w:rPr>
          <w:rFonts w:ascii="ArialMT" w:hAnsi="ArialMT"/>
          <w:sz w:val="22"/>
          <w:szCs w:val="22"/>
        </w:rPr>
        <w:t>twenty-three (</w:t>
      </w:r>
      <w:r w:rsidR="002F1348">
        <w:rPr>
          <w:rFonts w:ascii="ArialMT" w:hAnsi="ArialMT"/>
          <w:sz w:val="22"/>
          <w:szCs w:val="22"/>
        </w:rPr>
        <w:t>23</w:t>
      </w:r>
      <w:r w:rsidR="00243598">
        <w:rPr>
          <w:rFonts w:ascii="ArialMT" w:hAnsi="ArialMT"/>
          <w:sz w:val="22"/>
          <w:szCs w:val="22"/>
        </w:rPr>
        <w:t>)</w:t>
      </w:r>
      <w:r w:rsidR="002F1348">
        <w:rPr>
          <w:rFonts w:ascii="ArialMT" w:hAnsi="ArialMT"/>
          <w:sz w:val="22"/>
          <w:szCs w:val="22"/>
        </w:rPr>
        <w:t xml:space="preserve"> inpatient </w:t>
      </w:r>
      <w:r w:rsidR="00DF2BA5">
        <w:rPr>
          <w:rFonts w:ascii="ArialMT" w:hAnsi="ArialMT"/>
          <w:sz w:val="22"/>
          <w:szCs w:val="22"/>
        </w:rPr>
        <w:t>ORs at the Hospital</w:t>
      </w:r>
      <w:r w:rsidR="002F1348">
        <w:rPr>
          <w:rFonts w:ascii="ArialMT" w:hAnsi="ArialMT"/>
          <w:sz w:val="22"/>
          <w:szCs w:val="22"/>
        </w:rPr>
        <w:t>. The need for additional</w:t>
      </w:r>
      <w:r>
        <w:rPr>
          <w:rFonts w:ascii="ArialMT" w:hAnsi="ArialMT"/>
          <w:sz w:val="22"/>
          <w:szCs w:val="22"/>
        </w:rPr>
        <w:t xml:space="preserve"> inpatient</w:t>
      </w:r>
      <w:r w:rsidR="002F1348">
        <w:rPr>
          <w:rFonts w:ascii="ArialMT" w:hAnsi="ArialMT"/>
          <w:sz w:val="22"/>
          <w:szCs w:val="22"/>
        </w:rPr>
        <w:t xml:space="preserve"> </w:t>
      </w:r>
      <w:r w:rsidR="001A2F45">
        <w:rPr>
          <w:rFonts w:ascii="ArialMT" w:hAnsi="ArialMT"/>
          <w:sz w:val="22"/>
          <w:szCs w:val="22"/>
        </w:rPr>
        <w:t>ORs</w:t>
      </w:r>
      <w:r w:rsidR="002F1348">
        <w:rPr>
          <w:rFonts w:ascii="ArialMT" w:hAnsi="ArialMT"/>
          <w:sz w:val="22"/>
          <w:szCs w:val="22"/>
        </w:rPr>
        <w:t xml:space="preserve"> is </w:t>
      </w:r>
      <w:r w:rsidR="00B77044">
        <w:rPr>
          <w:rFonts w:ascii="ArialMT" w:hAnsi="ArialMT"/>
          <w:sz w:val="22"/>
          <w:szCs w:val="22"/>
        </w:rPr>
        <w:t>evidenced</w:t>
      </w:r>
      <w:r w:rsidR="002F1348">
        <w:rPr>
          <w:rFonts w:ascii="ArialMT" w:hAnsi="ArialMT"/>
          <w:sz w:val="22"/>
          <w:szCs w:val="22"/>
        </w:rPr>
        <w:t xml:space="preserve"> by the Hospital’s </w:t>
      </w:r>
      <w:r w:rsidR="00B77044" w:rsidRPr="0029022F">
        <w:rPr>
          <w:rFonts w:ascii="Arial" w:hAnsi="Arial" w:cs="Arial"/>
          <w:sz w:val="22"/>
          <w:szCs w:val="22"/>
        </w:rPr>
        <w:t xml:space="preserve">annual </w:t>
      </w:r>
      <w:r w:rsidR="00645B43">
        <w:rPr>
          <w:rFonts w:ascii="Arial" w:hAnsi="Arial" w:cs="Arial"/>
          <w:sz w:val="22"/>
          <w:szCs w:val="22"/>
        </w:rPr>
        <w:t xml:space="preserve">inpatient OR </w:t>
      </w:r>
      <w:r w:rsidR="00B77044" w:rsidRPr="0029022F">
        <w:rPr>
          <w:rFonts w:ascii="Arial" w:hAnsi="Arial" w:cs="Arial"/>
          <w:sz w:val="22"/>
          <w:szCs w:val="22"/>
        </w:rPr>
        <w:t>patient and visit volume</w:t>
      </w:r>
      <w:r w:rsidR="00645B43">
        <w:rPr>
          <w:rFonts w:ascii="Arial" w:hAnsi="Arial" w:cs="Arial"/>
          <w:sz w:val="22"/>
          <w:szCs w:val="22"/>
        </w:rPr>
        <w:t>s</w:t>
      </w:r>
      <w:r w:rsidR="00DF2BA5">
        <w:rPr>
          <w:rFonts w:ascii="ArialMT" w:hAnsi="ArialMT"/>
          <w:sz w:val="22"/>
          <w:szCs w:val="22"/>
        </w:rPr>
        <w:t xml:space="preserve">. </w:t>
      </w:r>
      <w:r w:rsidR="00DF2BA5">
        <w:rPr>
          <w:rFonts w:ascii="Arial" w:hAnsi="Arial" w:cs="Arial"/>
          <w:sz w:val="22"/>
          <w:szCs w:val="22"/>
        </w:rPr>
        <w:t>Table 1</w:t>
      </w:r>
      <w:r w:rsidR="00A25F12">
        <w:rPr>
          <w:rFonts w:ascii="Arial" w:hAnsi="Arial" w:cs="Arial"/>
          <w:sz w:val="22"/>
          <w:szCs w:val="22"/>
        </w:rPr>
        <w:t>6</w:t>
      </w:r>
      <w:r w:rsidR="00DF2BA5">
        <w:rPr>
          <w:rFonts w:ascii="Arial" w:hAnsi="Arial" w:cs="Arial"/>
          <w:sz w:val="22"/>
          <w:szCs w:val="22"/>
        </w:rPr>
        <w:t xml:space="preserve"> </w:t>
      </w:r>
      <w:r w:rsidR="00DF2BA5" w:rsidRPr="00FE5DDB">
        <w:rPr>
          <w:rFonts w:ascii="Arial" w:hAnsi="Arial" w:cs="Arial"/>
          <w:sz w:val="22"/>
          <w:szCs w:val="22"/>
        </w:rPr>
        <w:t>outlines th</w:t>
      </w:r>
      <w:r w:rsidR="00D10D6D">
        <w:rPr>
          <w:rFonts w:ascii="Arial" w:hAnsi="Arial" w:cs="Arial"/>
          <w:sz w:val="22"/>
          <w:szCs w:val="22"/>
        </w:rPr>
        <w:t>ese</w:t>
      </w:r>
      <w:r w:rsidR="00DF2BA5" w:rsidRPr="00FE5DDB">
        <w:rPr>
          <w:rFonts w:ascii="Arial" w:hAnsi="Arial" w:cs="Arial"/>
          <w:sz w:val="22"/>
          <w:szCs w:val="22"/>
        </w:rPr>
        <w:t xml:space="preserve"> data</w:t>
      </w:r>
      <w:r w:rsidR="00400B2F">
        <w:rPr>
          <w:rFonts w:ascii="Arial" w:hAnsi="Arial" w:cs="Arial"/>
          <w:sz w:val="22"/>
          <w:szCs w:val="22"/>
        </w:rPr>
        <w:t xml:space="preserve">, which </w:t>
      </w:r>
      <w:r w:rsidR="00D10D6D">
        <w:rPr>
          <w:rFonts w:ascii="Arial" w:hAnsi="Arial" w:cs="Arial"/>
          <w:sz w:val="22"/>
          <w:szCs w:val="22"/>
        </w:rPr>
        <w:t xml:space="preserve">provide </w:t>
      </w:r>
      <w:r w:rsidR="00792FDF">
        <w:rPr>
          <w:rFonts w:ascii="Arial" w:hAnsi="Arial" w:cs="Arial"/>
          <w:sz w:val="22"/>
          <w:szCs w:val="22"/>
        </w:rPr>
        <w:t>that</w:t>
      </w:r>
      <w:r w:rsidR="00400B2F">
        <w:rPr>
          <w:rFonts w:ascii="Arial" w:hAnsi="Arial" w:cs="Arial"/>
          <w:sz w:val="22"/>
          <w:szCs w:val="22"/>
        </w:rPr>
        <w:t xml:space="preserve">, similar to the Hospital’s </w:t>
      </w:r>
      <w:r w:rsidR="00400B2F" w:rsidRPr="00B77044">
        <w:rPr>
          <w:rFonts w:ascii="Arial" w:hAnsi="Arial" w:cs="Arial"/>
          <w:sz w:val="22"/>
          <w:szCs w:val="22"/>
        </w:rPr>
        <w:t>inpatient bed services</w:t>
      </w:r>
      <w:r w:rsidR="00400B2F" w:rsidRPr="0029022F">
        <w:rPr>
          <w:rFonts w:ascii="Arial" w:hAnsi="Arial" w:cs="Arial"/>
          <w:sz w:val="22"/>
          <w:szCs w:val="22"/>
        </w:rPr>
        <w:t xml:space="preserve">, annual patient and visit volume for BMC’s </w:t>
      </w:r>
      <w:r w:rsidR="00400B2F">
        <w:rPr>
          <w:rFonts w:ascii="Arial" w:hAnsi="Arial" w:cs="Arial"/>
          <w:sz w:val="22"/>
          <w:szCs w:val="22"/>
        </w:rPr>
        <w:t>inpatient surgical</w:t>
      </w:r>
      <w:r w:rsidR="00400B2F" w:rsidRPr="0029022F">
        <w:rPr>
          <w:rFonts w:ascii="Arial" w:hAnsi="Arial" w:cs="Arial"/>
          <w:sz w:val="22"/>
          <w:szCs w:val="22"/>
        </w:rPr>
        <w:t xml:space="preserve"> services has remained high over the last three </w:t>
      </w:r>
      <w:r w:rsidR="001A2F45">
        <w:rPr>
          <w:rFonts w:ascii="Arial" w:hAnsi="Arial" w:cs="Arial"/>
          <w:sz w:val="22"/>
          <w:szCs w:val="22"/>
        </w:rPr>
        <w:t>fiscal year</w:t>
      </w:r>
      <w:r w:rsidR="00400B2F" w:rsidRPr="0029022F">
        <w:rPr>
          <w:rFonts w:ascii="Arial" w:hAnsi="Arial" w:cs="Arial"/>
          <w:sz w:val="22"/>
          <w:szCs w:val="22"/>
        </w:rPr>
        <w:t>s</w:t>
      </w:r>
      <w:r w:rsidR="00264BCD">
        <w:rPr>
          <w:rFonts w:ascii="Arial" w:hAnsi="Arial" w:cs="Arial"/>
          <w:sz w:val="22"/>
          <w:szCs w:val="22"/>
        </w:rPr>
        <w:t xml:space="preserve"> </w:t>
      </w:r>
      <w:r w:rsidR="00264BCD" w:rsidRPr="0029022F">
        <w:rPr>
          <w:rFonts w:ascii="Arial" w:hAnsi="Arial" w:cs="Arial"/>
          <w:sz w:val="22"/>
          <w:szCs w:val="22"/>
        </w:rPr>
        <w:t xml:space="preserve">despite </w:t>
      </w:r>
      <w:r w:rsidR="00264BCD">
        <w:rPr>
          <w:rFonts w:ascii="Arial" w:hAnsi="Arial" w:cs="Arial"/>
          <w:sz w:val="22"/>
          <w:szCs w:val="22"/>
        </w:rPr>
        <w:t xml:space="preserve">periods of </w:t>
      </w:r>
      <w:r w:rsidR="00264BCD" w:rsidRPr="003B3A67">
        <w:rPr>
          <w:rFonts w:ascii="Arial" w:hAnsi="Arial" w:cs="Arial"/>
          <w:sz w:val="22"/>
          <w:szCs w:val="22"/>
        </w:rPr>
        <w:t xml:space="preserve">reduced </w:t>
      </w:r>
      <w:r w:rsidR="00264BCD" w:rsidRPr="0029022F">
        <w:rPr>
          <w:rFonts w:ascii="Arial" w:hAnsi="Arial" w:cs="Arial"/>
          <w:sz w:val="22"/>
          <w:szCs w:val="22"/>
        </w:rPr>
        <w:t xml:space="preserve">demand </w:t>
      </w:r>
      <w:r w:rsidR="00264BCD">
        <w:rPr>
          <w:rFonts w:ascii="Arial" w:hAnsi="Arial" w:cs="Arial"/>
          <w:sz w:val="22"/>
          <w:szCs w:val="22"/>
        </w:rPr>
        <w:t>due to</w:t>
      </w:r>
      <w:r w:rsidR="00264BCD" w:rsidRPr="0029022F">
        <w:rPr>
          <w:rFonts w:ascii="Arial" w:hAnsi="Arial" w:cs="Arial"/>
          <w:sz w:val="22"/>
          <w:szCs w:val="22"/>
        </w:rPr>
        <w:t xml:space="preserve"> the COVID-19 pandemic</w:t>
      </w:r>
      <w:r w:rsidR="00264BCD">
        <w:rPr>
          <w:rFonts w:ascii="Arial" w:hAnsi="Arial" w:cs="Arial"/>
          <w:sz w:val="22"/>
          <w:szCs w:val="22"/>
        </w:rPr>
        <w:t>.</w:t>
      </w:r>
    </w:p>
    <w:p w14:paraId="54773D72" w14:textId="77777777" w:rsidR="00D61D7A" w:rsidRDefault="00D61D7A" w:rsidP="00BA07BE">
      <w:pPr>
        <w:pStyle w:val="NormalWeb"/>
        <w:spacing w:before="0" w:beforeAutospacing="0" w:after="0" w:afterAutospacing="0"/>
        <w:jc w:val="both"/>
        <w:rPr>
          <w:rFonts w:ascii="Arial Narrow" w:hAnsi="Arial Narrow" w:cs="Arial"/>
          <w:b/>
          <w:bCs/>
          <w:color w:val="000000" w:themeColor="text1"/>
          <w:sz w:val="22"/>
          <w:szCs w:val="22"/>
        </w:rPr>
      </w:pPr>
    </w:p>
    <w:p w14:paraId="26F2CFF5" w14:textId="5353E4A4" w:rsidR="002F1348" w:rsidRDefault="00D61D7A" w:rsidP="00BA07BE">
      <w:pPr>
        <w:pStyle w:val="NormalWeb"/>
        <w:spacing w:before="0" w:beforeAutospacing="0" w:after="0" w:afterAutospacing="0"/>
        <w:jc w:val="both"/>
        <w:rPr>
          <w:rFonts w:ascii="ArialMT" w:hAnsi="ArialMT"/>
          <w:sz w:val="22"/>
          <w:szCs w:val="22"/>
        </w:rPr>
      </w:pPr>
      <w:r w:rsidRPr="00D61D7A">
        <w:rPr>
          <w:rFonts w:ascii="Arial Narrow" w:hAnsi="Arial Narrow" w:cs="Arial"/>
          <w:b/>
          <w:bCs/>
          <w:color w:val="000000" w:themeColor="text1"/>
          <w:sz w:val="22"/>
          <w:szCs w:val="22"/>
        </w:rPr>
        <w:t>Table 16: BMC Inpatient Surgical Patients and Visits</w:t>
      </w:r>
    </w:p>
    <w:tbl>
      <w:tblPr>
        <w:tblStyle w:val="TableGrid"/>
        <w:tblW w:w="0" w:type="auto"/>
        <w:jc w:val="center"/>
        <w:tblLook w:val="04A0" w:firstRow="1" w:lastRow="0" w:firstColumn="1" w:lastColumn="0" w:noHBand="0" w:noVBand="1"/>
      </w:tblPr>
      <w:tblGrid>
        <w:gridCol w:w="1335"/>
        <w:gridCol w:w="2475"/>
        <w:gridCol w:w="2475"/>
      </w:tblGrid>
      <w:tr w:rsidR="002F1348" w14:paraId="40EDC9A3" w14:textId="77777777" w:rsidTr="00D61D7A">
        <w:trPr>
          <w:cantSplit/>
          <w:jc w:val="center"/>
        </w:trPr>
        <w:tc>
          <w:tcPr>
            <w:tcW w:w="1335" w:type="dxa"/>
            <w:tcBorders>
              <w:left w:val="single" w:sz="12" w:space="0" w:color="auto"/>
              <w:right w:val="single" w:sz="4" w:space="0" w:color="auto"/>
            </w:tcBorders>
            <w:shd w:val="clear" w:color="auto" w:fill="8DA9DB"/>
          </w:tcPr>
          <w:p w14:paraId="6ACB3D1A" w14:textId="77777777" w:rsidR="002F1348" w:rsidRPr="00F80B42" w:rsidRDefault="002F1348" w:rsidP="00963E14">
            <w:pPr>
              <w:pStyle w:val="NormalWeb"/>
              <w:spacing w:before="0" w:beforeAutospacing="0" w:after="0" w:afterAutospacing="0"/>
              <w:jc w:val="both"/>
              <w:rPr>
                <w:rFonts w:ascii="Arial Narrow" w:hAnsi="Arial Narrow" w:cs="Arial"/>
                <w:b/>
                <w:bCs/>
                <w:sz w:val="22"/>
                <w:szCs w:val="22"/>
              </w:rPr>
            </w:pPr>
            <w:r w:rsidRPr="00F80B42">
              <w:rPr>
                <w:rFonts w:ascii="Arial Narrow" w:hAnsi="Arial Narrow" w:cs="Arial"/>
                <w:b/>
                <w:bCs/>
                <w:sz w:val="22"/>
                <w:szCs w:val="22"/>
              </w:rPr>
              <w:t>Year</w:t>
            </w:r>
          </w:p>
        </w:tc>
        <w:tc>
          <w:tcPr>
            <w:tcW w:w="2475" w:type="dxa"/>
            <w:tcBorders>
              <w:left w:val="single" w:sz="4" w:space="0" w:color="auto"/>
            </w:tcBorders>
            <w:shd w:val="clear" w:color="auto" w:fill="8DA9DB"/>
            <w:vAlign w:val="center"/>
          </w:tcPr>
          <w:p w14:paraId="11F3F1CE" w14:textId="77777777" w:rsidR="002F1348" w:rsidRPr="00F80B42" w:rsidRDefault="002F1348"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Unique Patients</w:t>
            </w:r>
          </w:p>
        </w:tc>
        <w:tc>
          <w:tcPr>
            <w:tcW w:w="2475" w:type="dxa"/>
            <w:tcBorders>
              <w:right w:val="single" w:sz="12" w:space="0" w:color="auto"/>
            </w:tcBorders>
            <w:shd w:val="clear" w:color="auto" w:fill="8DA9DB"/>
            <w:vAlign w:val="center"/>
          </w:tcPr>
          <w:p w14:paraId="1CFD6A90" w14:textId="239C5ADB" w:rsidR="002F1348" w:rsidRPr="00F80B42" w:rsidRDefault="002F1348" w:rsidP="00963E14">
            <w:pPr>
              <w:pStyle w:val="NormalWeb"/>
              <w:spacing w:before="0" w:beforeAutospacing="0" w:after="0" w:afterAutospacing="0"/>
              <w:jc w:val="center"/>
              <w:rPr>
                <w:rFonts w:ascii="Arial Narrow" w:hAnsi="Arial Narrow" w:cs="Arial"/>
                <w:b/>
                <w:bCs/>
                <w:sz w:val="22"/>
                <w:szCs w:val="22"/>
              </w:rPr>
            </w:pPr>
            <w:r w:rsidRPr="00F80B42">
              <w:rPr>
                <w:rFonts w:ascii="Arial Narrow" w:hAnsi="Arial Narrow" w:cs="Arial"/>
                <w:b/>
                <w:bCs/>
                <w:sz w:val="22"/>
                <w:szCs w:val="22"/>
              </w:rPr>
              <w:t>Visits</w:t>
            </w:r>
          </w:p>
        </w:tc>
      </w:tr>
      <w:tr w:rsidR="002F1348" w14:paraId="1587252A" w14:textId="77777777" w:rsidTr="00D61D7A">
        <w:trPr>
          <w:cantSplit/>
          <w:jc w:val="center"/>
        </w:trPr>
        <w:tc>
          <w:tcPr>
            <w:tcW w:w="1335" w:type="dxa"/>
            <w:tcBorders>
              <w:left w:val="single" w:sz="12" w:space="0" w:color="auto"/>
              <w:right w:val="single" w:sz="4" w:space="0" w:color="auto"/>
            </w:tcBorders>
            <w:vAlign w:val="center"/>
          </w:tcPr>
          <w:p w14:paraId="7D5D5C4F" w14:textId="77777777" w:rsidR="002F1348" w:rsidRPr="00F80B42" w:rsidRDefault="002F1348"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FY19</w:t>
            </w:r>
          </w:p>
        </w:tc>
        <w:tc>
          <w:tcPr>
            <w:tcW w:w="2475" w:type="dxa"/>
            <w:tcBorders>
              <w:left w:val="single" w:sz="4" w:space="0" w:color="auto"/>
            </w:tcBorders>
            <w:vAlign w:val="center"/>
          </w:tcPr>
          <w:p w14:paraId="01AB4AB3" w14:textId="3032CA7C"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4,741</w:t>
            </w:r>
          </w:p>
        </w:tc>
        <w:tc>
          <w:tcPr>
            <w:tcW w:w="2475" w:type="dxa"/>
            <w:tcBorders>
              <w:right w:val="single" w:sz="12" w:space="0" w:color="auto"/>
            </w:tcBorders>
            <w:vAlign w:val="center"/>
          </w:tcPr>
          <w:p w14:paraId="68761817" w14:textId="25B5CD47"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5,105</w:t>
            </w:r>
          </w:p>
        </w:tc>
      </w:tr>
      <w:tr w:rsidR="002F1348" w14:paraId="0E5BA54C" w14:textId="77777777" w:rsidTr="00D61D7A">
        <w:trPr>
          <w:cantSplit/>
          <w:jc w:val="center"/>
        </w:trPr>
        <w:tc>
          <w:tcPr>
            <w:tcW w:w="1335" w:type="dxa"/>
            <w:tcBorders>
              <w:left w:val="single" w:sz="12" w:space="0" w:color="auto"/>
              <w:right w:val="single" w:sz="4" w:space="0" w:color="auto"/>
            </w:tcBorders>
            <w:vAlign w:val="center"/>
          </w:tcPr>
          <w:p w14:paraId="7CA98AEE" w14:textId="77777777" w:rsidR="002F1348" w:rsidRPr="00F80B42" w:rsidRDefault="002F1348"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FY20</w:t>
            </w:r>
          </w:p>
        </w:tc>
        <w:tc>
          <w:tcPr>
            <w:tcW w:w="2475" w:type="dxa"/>
            <w:tcBorders>
              <w:left w:val="single" w:sz="4" w:space="0" w:color="auto"/>
            </w:tcBorders>
            <w:vAlign w:val="center"/>
          </w:tcPr>
          <w:p w14:paraId="0F43C207" w14:textId="43B46090"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4,114</w:t>
            </w:r>
          </w:p>
        </w:tc>
        <w:tc>
          <w:tcPr>
            <w:tcW w:w="2475" w:type="dxa"/>
            <w:tcBorders>
              <w:right w:val="single" w:sz="12" w:space="0" w:color="auto"/>
            </w:tcBorders>
            <w:vAlign w:val="center"/>
          </w:tcPr>
          <w:p w14:paraId="5C74F804" w14:textId="2D48DEEF"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4,434</w:t>
            </w:r>
          </w:p>
        </w:tc>
      </w:tr>
      <w:tr w:rsidR="002F1348" w14:paraId="6B0DC7E8" w14:textId="77777777" w:rsidTr="00D61D7A">
        <w:trPr>
          <w:cantSplit/>
          <w:jc w:val="center"/>
        </w:trPr>
        <w:tc>
          <w:tcPr>
            <w:tcW w:w="1335" w:type="dxa"/>
            <w:tcBorders>
              <w:left w:val="single" w:sz="12" w:space="0" w:color="auto"/>
              <w:right w:val="single" w:sz="4" w:space="0" w:color="auto"/>
            </w:tcBorders>
            <w:vAlign w:val="center"/>
          </w:tcPr>
          <w:p w14:paraId="6CE1010A" w14:textId="77777777" w:rsidR="002F1348" w:rsidRPr="00F80B42" w:rsidRDefault="002F1348" w:rsidP="00963E14">
            <w:pPr>
              <w:pStyle w:val="NormalWeb"/>
              <w:spacing w:before="0" w:beforeAutospacing="0" w:after="0" w:afterAutospacing="0"/>
              <w:rPr>
                <w:rFonts w:ascii="Arial Narrow" w:hAnsi="Arial Narrow" w:cs="Arial"/>
                <w:b/>
                <w:bCs/>
                <w:sz w:val="22"/>
                <w:szCs w:val="22"/>
              </w:rPr>
            </w:pPr>
            <w:r w:rsidRPr="00F80B42">
              <w:rPr>
                <w:rFonts w:ascii="Arial Narrow" w:hAnsi="Arial Narrow" w:cs="Arial"/>
                <w:b/>
                <w:bCs/>
                <w:sz w:val="22"/>
                <w:szCs w:val="22"/>
              </w:rPr>
              <w:t>FY21</w:t>
            </w:r>
          </w:p>
        </w:tc>
        <w:tc>
          <w:tcPr>
            <w:tcW w:w="2475" w:type="dxa"/>
            <w:tcBorders>
              <w:left w:val="single" w:sz="4" w:space="0" w:color="auto"/>
            </w:tcBorders>
            <w:vAlign w:val="center"/>
          </w:tcPr>
          <w:p w14:paraId="0EF1D1D3" w14:textId="38C64A0A"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4,703</w:t>
            </w:r>
          </w:p>
        </w:tc>
        <w:tc>
          <w:tcPr>
            <w:tcW w:w="2475" w:type="dxa"/>
            <w:tcBorders>
              <w:right w:val="single" w:sz="12" w:space="0" w:color="auto"/>
            </w:tcBorders>
            <w:vAlign w:val="center"/>
          </w:tcPr>
          <w:p w14:paraId="3CFDAE20" w14:textId="605F271C" w:rsidR="002F1348" w:rsidRPr="00F80B42"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5,104</w:t>
            </w:r>
          </w:p>
        </w:tc>
      </w:tr>
      <w:tr w:rsidR="002F1348" w14:paraId="45CA15EC" w14:textId="77777777" w:rsidTr="00D61D7A">
        <w:trPr>
          <w:cantSplit/>
          <w:jc w:val="center"/>
        </w:trPr>
        <w:tc>
          <w:tcPr>
            <w:tcW w:w="1335" w:type="dxa"/>
            <w:tcBorders>
              <w:left w:val="single" w:sz="12" w:space="0" w:color="auto"/>
              <w:bottom w:val="single" w:sz="12" w:space="0" w:color="auto"/>
              <w:right w:val="single" w:sz="4" w:space="0" w:color="auto"/>
            </w:tcBorders>
            <w:vAlign w:val="center"/>
          </w:tcPr>
          <w:p w14:paraId="0ABAF7A9" w14:textId="77777777" w:rsidR="002F1348" w:rsidRPr="00B95D0D" w:rsidRDefault="002F1348" w:rsidP="00963E14">
            <w:pPr>
              <w:pStyle w:val="NormalWeb"/>
              <w:spacing w:before="0" w:beforeAutospacing="0" w:after="0" w:afterAutospacing="0"/>
              <w:rPr>
                <w:rFonts w:ascii="Arial Narrow" w:hAnsi="Arial Narrow" w:cs="Arial"/>
                <w:b/>
                <w:bCs/>
                <w:sz w:val="22"/>
                <w:szCs w:val="22"/>
              </w:rPr>
            </w:pPr>
            <w:r w:rsidRPr="00B95D0D">
              <w:rPr>
                <w:rFonts w:ascii="Arial Narrow" w:hAnsi="Arial Narrow" w:cs="Arial"/>
                <w:b/>
                <w:bCs/>
                <w:sz w:val="22"/>
                <w:szCs w:val="22"/>
              </w:rPr>
              <w:t>FY22 YTD</w:t>
            </w:r>
          </w:p>
        </w:tc>
        <w:tc>
          <w:tcPr>
            <w:tcW w:w="2475" w:type="dxa"/>
            <w:tcBorders>
              <w:left w:val="single" w:sz="4" w:space="0" w:color="auto"/>
              <w:bottom w:val="single" w:sz="12" w:space="0" w:color="auto"/>
            </w:tcBorders>
            <w:vAlign w:val="center"/>
          </w:tcPr>
          <w:p w14:paraId="41BBC2EB" w14:textId="5565BF57" w:rsidR="002F1348" w:rsidRPr="00B95D0D"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1,184</w:t>
            </w:r>
          </w:p>
        </w:tc>
        <w:tc>
          <w:tcPr>
            <w:tcW w:w="2475" w:type="dxa"/>
            <w:tcBorders>
              <w:bottom w:val="single" w:sz="12" w:space="0" w:color="auto"/>
              <w:right w:val="single" w:sz="12" w:space="0" w:color="auto"/>
            </w:tcBorders>
            <w:vAlign w:val="center"/>
          </w:tcPr>
          <w:p w14:paraId="3B479FCC" w14:textId="7EB3EBCC" w:rsidR="002F1348" w:rsidRPr="00B95D0D" w:rsidRDefault="00DF2BA5"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1,211</w:t>
            </w:r>
          </w:p>
        </w:tc>
      </w:tr>
    </w:tbl>
    <w:p w14:paraId="2C9E34BE" w14:textId="77777777" w:rsidR="00B77044" w:rsidRDefault="00B77044" w:rsidP="007C7545">
      <w:pPr>
        <w:jc w:val="both"/>
        <w:rPr>
          <w:rFonts w:ascii="Arial" w:hAnsi="Arial" w:cs="Arial"/>
          <w:sz w:val="22"/>
          <w:szCs w:val="22"/>
        </w:rPr>
      </w:pPr>
    </w:p>
    <w:p w14:paraId="729FFA5F" w14:textId="540B9F48" w:rsidR="00792FDF" w:rsidRDefault="00645B43" w:rsidP="00792FDF">
      <w:pPr>
        <w:jc w:val="both"/>
        <w:rPr>
          <w:rFonts w:ascii="Arial" w:hAnsi="Arial" w:cs="Arial"/>
          <w:sz w:val="22"/>
          <w:szCs w:val="22"/>
        </w:rPr>
      </w:pPr>
      <w:r>
        <w:rPr>
          <w:rFonts w:ascii="Arial" w:hAnsi="Arial" w:cs="Arial"/>
          <w:sz w:val="22"/>
          <w:szCs w:val="22"/>
        </w:rPr>
        <w:t xml:space="preserve">Moreover, </w:t>
      </w:r>
      <w:r w:rsidR="00792FDF">
        <w:rPr>
          <w:rFonts w:ascii="Arial" w:hAnsi="Arial" w:cs="Arial"/>
          <w:sz w:val="22"/>
          <w:szCs w:val="22"/>
        </w:rPr>
        <w:t>Table 1</w:t>
      </w:r>
      <w:r w:rsidR="00A25F12">
        <w:rPr>
          <w:rFonts w:ascii="Arial" w:hAnsi="Arial" w:cs="Arial"/>
          <w:sz w:val="22"/>
          <w:szCs w:val="22"/>
        </w:rPr>
        <w:t>7</w:t>
      </w:r>
      <w:r w:rsidR="00792FDF">
        <w:rPr>
          <w:rFonts w:ascii="Arial" w:hAnsi="Arial" w:cs="Arial"/>
          <w:sz w:val="22"/>
          <w:szCs w:val="22"/>
        </w:rPr>
        <w:t xml:space="preserve"> </w:t>
      </w:r>
      <w:r w:rsidR="00792FDF" w:rsidRPr="00264BCD">
        <w:rPr>
          <w:rFonts w:ascii="Arial" w:hAnsi="Arial" w:cs="Arial"/>
          <w:sz w:val="22"/>
          <w:szCs w:val="22"/>
        </w:rPr>
        <w:t xml:space="preserve">illustrates the Hospital’s historical inpatient surgical case demand with a breakdown by service line. </w:t>
      </w:r>
      <w:r w:rsidR="00792FDF" w:rsidRPr="007C7545">
        <w:rPr>
          <w:rFonts w:ascii="ArialMT" w:hAnsi="ArialMT"/>
          <w:sz w:val="22"/>
          <w:szCs w:val="22"/>
        </w:rPr>
        <w:t xml:space="preserve">As the data show, the Hospital </w:t>
      </w:r>
      <w:r w:rsidR="00792FDF" w:rsidRPr="00264BCD">
        <w:rPr>
          <w:rFonts w:ascii="ArialMT" w:hAnsi="ArialMT"/>
          <w:sz w:val="22"/>
          <w:szCs w:val="22"/>
        </w:rPr>
        <w:t>has</w:t>
      </w:r>
      <w:r w:rsidR="00792FDF" w:rsidRPr="007C7545">
        <w:rPr>
          <w:rFonts w:ascii="ArialMT" w:hAnsi="ArialMT"/>
          <w:sz w:val="22"/>
          <w:szCs w:val="22"/>
        </w:rPr>
        <w:t xml:space="preserve"> experienc</w:t>
      </w:r>
      <w:r w:rsidR="00792FDF" w:rsidRPr="00264BCD">
        <w:rPr>
          <w:rFonts w:ascii="ArialMT" w:hAnsi="ArialMT"/>
          <w:sz w:val="22"/>
          <w:szCs w:val="22"/>
        </w:rPr>
        <w:t>ed</w:t>
      </w:r>
      <w:r w:rsidR="00792FDF" w:rsidRPr="007C7545">
        <w:rPr>
          <w:rFonts w:ascii="ArialMT" w:hAnsi="ArialMT"/>
          <w:sz w:val="22"/>
          <w:szCs w:val="22"/>
        </w:rPr>
        <w:t xml:space="preserve"> a continued and steady demand for its surgical services</w:t>
      </w:r>
      <w:r w:rsidR="00792FDF" w:rsidRPr="00264BCD">
        <w:rPr>
          <w:rFonts w:ascii="ArialMT" w:hAnsi="ArialMT"/>
          <w:sz w:val="22"/>
          <w:szCs w:val="22"/>
        </w:rPr>
        <w:t xml:space="preserve"> over the last three</w:t>
      </w:r>
      <w:r w:rsidR="00792FDF" w:rsidRPr="00B77044">
        <w:rPr>
          <w:rFonts w:ascii="ArialMT" w:hAnsi="ArialMT"/>
          <w:sz w:val="22"/>
          <w:szCs w:val="22"/>
        </w:rPr>
        <w:t xml:space="preserve"> </w:t>
      </w:r>
      <w:r w:rsidR="001C3BC7">
        <w:rPr>
          <w:rFonts w:ascii="ArialMT" w:hAnsi="ArialMT"/>
          <w:sz w:val="22"/>
          <w:szCs w:val="22"/>
        </w:rPr>
        <w:t>fiscal years</w:t>
      </w:r>
      <w:r w:rsidR="00792FDF">
        <w:rPr>
          <w:rFonts w:ascii="ArialMT" w:hAnsi="ArialMT"/>
          <w:sz w:val="22"/>
          <w:szCs w:val="22"/>
        </w:rPr>
        <w:t>,</w:t>
      </w:r>
      <w:r w:rsidR="00792FDF" w:rsidRPr="007C7545">
        <w:rPr>
          <w:rFonts w:ascii="ArialMT" w:hAnsi="ArialMT"/>
          <w:sz w:val="22"/>
          <w:szCs w:val="22"/>
        </w:rPr>
        <w:t xml:space="preserve"> </w:t>
      </w:r>
      <w:r w:rsidR="00792FDF" w:rsidRPr="00B77044">
        <w:rPr>
          <w:rFonts w:ascii="Arial" w:hAnsi="Arial" w:cs="Arial"/>
          <w:sz w:val="22"/>
          <w:szCs w:val="22"/>
        </w:rPr>
        <w:t xml:space="preserve">notwithstanding </w:t>
      </w:r>
      <w:r w:rsidR="00264BCD">
        <w:rPr>
          <w:rFonts w:ascii="Arial" w:hAnsi="Arial" w:cs="Arial"/>
          <w:sz w:val="22"/>
          <w:szCs w:val="22"/>
        </w:rPr>
        <w:t xml:space="preserve">increased hospital avoidance and </w:t>
      </w:r>
      <w:r w:rsidR="00792FDF" w:rsidRPr="00B77044">
        <w:rPr>
          <w:rFonts w:ascii="Arial" w:hAnsi="Arial" w:cs="Arial"/>
          <w:sz w:val="22"/>
          <w:szCs w:val="22"/>
        </w:rPr>
        <w:t xml:space="preserve">reduced demand </w:t>
      </w:r>
      <w:r w:rsidR="00792FDF">
        <w:rPr>
          <w:rFonts w:ascii="Arial" w:hAnsi="Arial" w:cs="Arial"/>
          <w:sz w:val="22"/>
          <w:szCs w:val="22"/>
        </w:rPr>
        <w:t>due to</w:t>
      </w:r>
      <w:r w:rsidR="00792FDF" w:rsidRPr="00B77044">
        <w:rPr>
          <w:rFonts w:ascii="Arial" w:hAnsi="Arial" w:cs="Arial"/>
          <w:sz w:val="22"/>
          <w:szCs w:val="22"/>
        </w:rPr>
        <w:t xml:space="preserve"> the COVID-19 pandemic</w:t>
      </w:r>
      <w:r w:rsidR="00792FDF">
        <w:rPr>
          <w:rFonts w:ascii="Arial" w:hAnsi="Arial" w:cs="Arial"/>
          <w:sz w:val="22"/>
          <w:szCs w:val="22"/>
        </w:rPr>
        <w:t xml:space="preserve">. </w:t>
      </w:r>
    </w:p>
    <w:p w14:paraId="704528B2" w14:textId="77777777" w:rsidR="00D24724" w:rsidRDefault="00D24724" w:rsidP="007C7545">
      <w:pPr>
        <w:jc w:val="both"/>
        <w:rPr>
          <w:rFonts w:ascii="Arial Narrow" w:hAnsi="Arial Narrow" w:cs="Arial"/>
          <w:b/>
          <w:bCs/>
          <w:color w:val="000000" w:themeColor="text1"/>
          <w:sz w:val="22"/>
          <w:szCs w:val="22"/>
        </w:rPr>
      </w:pPr>
    </w:p>
    <w:p w14:paraId="69B3C0CA" w14:textId="1208A240" w:rsidR="00645B43" w:rsidRDefault="00D24724" w:rsidP="007C7545">
      <w:pPr>
        <w:jc w:val="both"/>
        <w:rPr>
          <w:rFonts w:ascii="Arial" w:hAnsi="Arial" w:cs="Arial"/>
          <w:sz w:val="22"/>
          <w:szCs w:val="22"/>
        </w:rPr>
      </w:pPr>
      <w:r w:rsidRPr="00D24724">
        <w:rPr>
          <w:rFonts w:ascii="Arial Narrow" w:hAnsi="Arial Narrow" w:cs="Arial"/>
          <w:b/>
          <w:bCs/>
          <w:color w:val="000000" w:themeColor="text1"/>
          <w:sz w:val="22"/>
          <w:szCs w:val="22"/>
        </w:rPr>
        <w:t>Table 17: BMC Inpatient Surgical Cases</w:t>
      </w:r>
    </w:p>
    <w:tbl>
      <w:tblPr>
        <w:tblStyle w:val="TableGrid"/>
        <w:tblW w:w="0" w:type="auto"/>
        <w:jc w:val="center"/>
        <w:tblLayout w:type="fixed"/>
        <w:tblLook w:val="04A0" w:firstRow="1" w:lastRow="0" w:firstColumn="1" w:lastColumn="0" w:noHBand="0" w:noVBand="1"/>
      </w:tblPr>
      <w:tblGrid>
        <w:gridCol w:w="2505"/>
        <w:gridCol w:w="1147"/>
        <w:gridCol w:w="1148"/>
        <w:gridCol w:w="1147"/>
        <w:gridCol w:w="1148"/>
      </w:tblGrid>
      <w:tr w:rsidR="00C71DEE" w14:paraId="4B7B13AB" w14:textId="77777777" w:rsidTr="00D24724">
        <w:trPr>
          <w:cantSplit/>
          <w:tblHeader/>
          <w:jc w:val="center"/>
        </w:trPr>
        <w:tc>
          <w:tcPr>
            <w:tcW w:w="2505" w:type="dxa"/>
            <w:tcBorders>
              <w:left w:val="single" w:sz="12" w:space="0" w:color="auto"/>
              <w:right w:val="single" w:sz="4" w:space="0" w:color="auto"/>
            </w:tcBorders>
            <w:shd w:val="clear" w:color="auto" w:fill="8DA9DB"/>
          </w:tcPr>
          <w:p w14:paraId="28754931" w14:textId="74A08C52" w:rsidR="00C71DEE" w:rsidRPr="00F80B42" w:rsidRDefault="00962AFB" w:rsidP="00C71DEE">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Service</w:t>
            </w:r>
            <w:r w:rsidR="0024062E">
              <w:rPr>
                <w:rFonts w:ascii="Arial Narrow" w:hAnsi="Arial Narrow" w:cs="Arial"/>
                <w:b/>
                <w:bCs/>
                <w:sz w:val="22"/>
                <w:szCs w:val="22"/>
              </w:rPr>
              <w:t xml:space="preserve"> Line</w:t>
            </w:r>
          </w:p>
        </w:tc>
        <w:tc>
          <w:tcPr>
            <w:tcW w:w="1147" w:type="dxa"/>
            <w:tcBorders>
              <w:left w:val="single" w:sz="4" w:space="0" w:color="auto"/>
              <w:right w:val="single" w:sz="4" w:space="0" w:color="auto"/>
            </w:tcBorders>
            <w:shd w:val="clear" w:color="auto" w:fill="8DA9DB"/>
            <w:vAlign w:val="center"/>
          </w:tcPr>
          <w:p w14:paraId="5BD25988" w14:textId="53483BC2" w:rsidR="00C71DEE" w:rsidRPr="00F80B42" w:rsidRDefault="00C71DEE"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FY19</w:t>
            </w:r>
          </w:p>
        </w:tc>
        <w:tc>
          <w:tcPr>
            <w:tcW w:w="1148" w:type="dxa"/>
            <w:tcBorders>
              <w:left w:val="single" w:sz="4" w:space="0" w:color="auto"/>
            </w:tcBorders>
            <w:shd w:val="clear" w:color="auto" w:fill="8DA9DB"/>
            <w:vAlign w:val="center"/>
          </w:tcPr>
          <w:p w14:paraId="2FC19006" w14:textId="61ACC825" w:rsidR="00C71DEE" w:rsidRPr="00F80B42" w:rsidRDefault="00C71DEE"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FY20</w:t>
            </w:r>
          </w:p>
        </w:tc>
        <w:tc>
          <w:tcPr>
            <w:tcW w:w="1147" w:type="dxa"/>
            <w:shd w:val="clear" w:color="auto" w:fill="8DA9DB"/>
            <w:vAlign w:val="center"/>
          </w:tcPr>
          <w:p w14:paraId="51E75A04" w14:textId="1D1F4415" w:rsidR="00C71DEE" w:rsidRPr="00F80B42" w:rsidRDefault="00C71DEE" w:rsidP="00AF24FF">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FY21</w:t>
            </w:r>
          </w:p>
        </w:tc>
        <w:tc>
          <w:tcPr>
            <w:tcW w:w="1148" w:type="dxa"/>
            <w:tcBorders>
              <w:right w:val="single" w:sz="12" w:space="0" w:color="auto"/>
            </w:tcBorders>
            <w:shd w:val="clear" w:color="auto" w:fill="8DA9DB"/>
            <w:vAlign w:val="center"/>
          </w:tcPr>
          <w:p w14:paraId="2FBEF2F3" w14:textId="587E8257" w:rsidR="00C71DEE" w:rsidRPr="00F80B42" w:rsidRDefault="00C71DEE"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FY22 YTD</w:t>
            </w:r>
          </w:p>
        </w:tc>
      </w:tr>
      <w:tr w:rsidR="00C71DEE" w14:paraId="4E6A0E02" w14:textId="77777777" w:rsidTr="00D24724">
        <w:trPr>
          <w:cantSplit/>
          <w:jc w:val="center"/>
        </w:trPr>
        <w:tc>
          <w:tcPr>
            <w:tcW w:w="2505" w:type="dxa"/>
            <w:tcBorders>
              <w:left w:val="single" w:sz="12" w:space="0" w:color="auto"/>
              <w:right w:val="single" w:sz="4" w:space="0" w:color="auto"/>
            </w:tcBorders>
            <w:vAlign w:val="center"/>
          </w:tcPr>
          <w:p w14:paraId="4277865B" w14:textId="45B0F69C" w:rsidR="00C71DEE" w:rsidRPr="00067768" w:rsidRDefault="00067768" w:rsidP="00C71DEE">
            <w:pPr>
              <w:pStyle w:val="NormalWeb"/>
              <w:spacing w:before="0" w:beforeAutospacing="0" w:after="0" w:afterAutospacing="0"/>
              <w:rPr>
                <w:rFonts w:ascii="Arial Narrow" w:hAnsi="Arial Narrow" w:cs="Arial"/>
                <w:sz w:val="22"/>
                <w:szCs w:val="22"/>
              </w:rPr>
            </w:pPr>
            <w:r w:rsidRPr="00067768">
              <w:rPr>
                <w:rFonts w:ascii="Arial Narrow" w:hAnsi="Arial Narrow" w:cs="Arial"/>
                <w:sz w:val="22"/>
                <w:szCs w:val="22"/>
              </w:rPr>
              <w:t>Cardiothoracic</w:t>
            </w:r>
            <w:r w:rsidR="00FB167B">
              <w:rPr>
                <w:rFonts w:ascii="ZWAdobeF" w:hAnsi="ZWAdobeF" w:cs="ZWAdobeF"/>
                <w:sz w:val="2"/>
                <w:szCs w:val="2"/>
              </w:rPr>
              <w:t>51F</w:t>
            </w:r>
            <w:r w:rsidR="00E30BC4">
              <w:rPr>
                <w:rStyle w:val="FootnoteReference"/>
                <w:rFonts w:ascii="Arial Narrow" w:hAnsi="Arial Narrow" w:cs="Arial"/>
                <w:sz w:val="22"/>
                <w:szCs w:val="22"/>
              </w:rPr>
              <w:footnoteReference w:id="52"/>
            </w:r>
          </w:p>
        </w:tc>
        <w:tc>
          <w:tcPr>
            <w:tcW w:w="1147" w:type="dxa"/>
            <w:tcBorders>
              <w:left w:val="single" w:sz="4" w:space="0" w:color="auto"/>
              <w:right w:val="single" w:sz="4" w:space="0" w:color="auto"/>
            </w:tcBorders>
            <w:vAlign w:val="center"/>
          </w:tcPr>
          <w:p w14:paraId="4BAE5439" w14:textId="75C43857" w:rsidR="00C71DEE"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118</w:t>
            </w:r>
          </w:p>
        </w:tc>
        <w:tc>
          <w:tcPr>
            <w:tcW w:w="1148" w:type="dxa"/>
            <w:tcBorders>
              <w:left w:val="single" w:sz="4" w:space="0" w:color="auto"/>
            </w:tcBorders>
            <w:vAlign w:val="center"/>
          </w:tcPr>
          <w:p w14:paraId="79E1E505" w14:textId="5F1D5B2D" w:rsidR="00C71DEE" w:rsidRPr="00F80B42"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87</w:t>
            </w:r>
          </w:p>
        </w:tc>
        <w:tc>
          <w:tcPr>
            <w:tcW w:w="1147" w:type="dxa"/>
          </w:tcPr>
          <w:p w14:paraId="30697CD1" w14:textId="2872ABAE" w:rsidR="00C71DEE"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151</w:t>
            </w:r>
          </w:p>
        </w:tc>
        <w:tc>
          <w:tcPr>
            <w:tcW w:w="1148" w:type="dxa"/>
            <w:tcBorders>
              <w:right w:val="single" w:sz="12" w:space="0" w:color="auto"/>
            </w:tcBorders>
            <w:vAlign w:val="center"/>
          </w:tcPr>
          <w:p w14:paraId="6A1BFA9B" w14:textId="1134B345" w:rsidR="00C71DEE" w:rsidRPr="00F80B42"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38</w:t>
            </w:r>
            <w:r w:rsidR="00D46001">
              <w:rPr>
                <w:rFonts w:ascii="Arial Narrow" w:hAnsi="Arial Narrow" w:cs="Arial"/>
                <w:sz w:val="22"/>
                <w:szCs w:val="22"/>
              </w:rPr>
              <w:t xml:space="preserve"> </w:t>
            </w:r>
          </w:p>
        </w:tc>
      </w:tr>
      <w:tr w:rsidR="00C71DEE" w14:paraId="6E620E06" w14:textId="77777777" w:rsidTr="00D24724">
        <w:trPr>
          <w:cantSplit/>
          <w:jc w:val="center"/>
        </w:trPr>
        <w:tc>
          <w:tcPr>
            <w:tcW w:w="2505" w:type="dxa"/>
            <w:tcBorders>
              <w:left w:val="single" w:sz="12" w:space="0" w:color="auto"/>
              <w:right w:val="single" w:sz="4" w:space="0" w:color="auto"/>
            </w:tcBorders>
            <w:vAlign w:val="center"/>
          </w:tcPr>
          <w:p w14:paraId="477E67F0" w14:textId="30F18AA7" w:rsidR="00C71DEE" w:rsidRPr="00067768" w:rsidRDefault="00067768" w:rsidP="00C71DEE">
            <w:pPr>
              <w:pStyle w:val="NormalWeb"/>
              <w:spacing w:before="0" w:beforeAutospacing="0" w:after="0" w:afterAutospacing="0"/>
              <w:rPr>
                <w:rFonts w:ascii="Arial Narrow" w:hAnsi="Arial Narrow" w:cs="Arial"/>
                <w:sz w:val="22"/>
                <w:szCs w:val="22"/>
              </w:rPr>
            </w:pPr>
            <w:r w:rsidRPr="00067768">
              <w:rPr>
                <w:rFonts w:ascii="Arial Narrow" w:hAnsi="Arial Narrow" w:cs="Arial"/>
                <w:sz w:val="22"/>
                <w:szCs w:val="22"/>
              </w:rPr>
              <w:t>General</w:t>
            </w:r>
            <w:r w:rsidR="00FB167B">
              <w:rPr>
                <w:rFonts w:ascii="ZWAdobeF" w:hAnsi="ZWAdobeF" w:cs="ZWAdobeF"/>
                <w:sz w:val="2"/>
                <w:szCs w:val="2"/>
              </w:rPr>
              <w:t>52F</w:t>
            </w:r>
            <w:r w:rsidR="00E30BC4">
              <w:rPr>
                <w:rStyle w:val="FootnoteReference"/>
                <w:rFonts w:ascii="Arial Narrow" w:hAnsi="Arial Narrow" w:cs="Arial"/>
                <w:sz w:val="22"/>
                <w:szCs w:val="22"/>
              </w:rPr>
              <w:footnoteReference w:id="53"/>
            </w:r>
          </w:p>
        </w:tc>
        <w:tc>
          <w:tcPr>
            <w:tcW w:w="1147" w:type="dxa"/>
            <w:tcBorders>
              <w:left w:val="single" w:sz="4" w:space="0" w:color="auto"/>
              <w:right w:val="single" w:sz="4" w:space="0" w:color="auto"/>
            </w:tcBorders>
            <w:vAlign w:val="center"/>
          </w:tcPr>
          <w:p w14:paraId="55A84CAD" w14:textId="1B023B49" w:rsidR="00C71DEE"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1,594</w:t>
            </w:r>
          </w:p>
        </w:tc>
        <w:tc>
          <w:tcPr>
            <w:tcW w:w="1148" w:type="dxa"/>
            <w:tcBorders>
              <w:left w:val="single" w:sz="4" w:space="0" w:color="auto"/>
            </w:tcBorders>
            <w:vAlign w:val="center"/>
          </w:tcPr>
          <w:p w14:paraId="34925C8B" w14:textId="092BD82A" w:rsidR="00C71DEE" w:rsidRPr="00F80B42"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1,445</w:t>
            </w:r>
          </w:p>
        </w:tc>
        <w:tc>
          <w:tcPr>
            <w:tcW w:w="1147" w:type="dxa"/>
          </w:tcPr>
          <w:p w14:paraId="6C9212EE" w14:textId="66AA52DD" w:rsidR="00C71DEE"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1,753</w:t>
            </w:r>
          </w:p>
        </w:tc>
        <w:tc>
          <w:tcPr>
            <w:tcW w:w="1148" w:type="dxa"/>
            <w:tcBorders>
              <w:right w:val="single" w:sz="12" w:space="0" w:color="auto"/>
            </w:tcBorders>
            <w:vAlign w:val="center"/>
          </w:tcPr>
          <w:p w14:paraId="6DF51636" w14:textId="10A86A25" w:rsidR="00C71DEE" w:rsidRPr="00F80B42"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392</w:t>
            </w:r>
          </w:p>
        </w:tc>
      </w:tr>
      <w:tr w:rsidR="00C71DEE" w14:paraId="48AAD8DD" w14:textId="77777777" w:rsidTr="00D24724">
        <w:trPr>
          <w:cantSplit/>
          <w:jc w:val="center"/>
        </w:trPr>
        <w:tc>
          <w:tcPr>
            <w:tcW w:w="2505" w:type="dxa"/>
            <w:tcBorders>
              <w:left w:val="single" w:sz="12" w:space="0" w:color="auto"/>
              <w:right w:val="single" w:sz="4" w:space="0" w:color="auto"/>
            </w:tcBorders>
            <w:vAlign w:val="center"/>
          </w:tcPr>
          <w:p w14:paraId="07283515" w14:textId="07AF8775" w:rsidR="00C71DEE" w:rsidRPr="00067768" w:rsidRDefault="00067768" w:rsidP="00C71DEE">
            <w:pPr>
              <w:pStyle w:val="NormalWeb"/>
              <w:spacing w:before="0" w:beforeAutospacing="0" w:after="0" w:afterAutospacing="0"/>
              <w:rPr>
                <w:rFonts w:ascii="Arial Narrow" w:hAnsi="Arial Narrow" w:cs="Arial"/>
                <w:sz w:val="22"/>
                <w:szCs w:val="22"/>
              </w:rPr>
            </w:pPr>
            <w:r w:rsidRPr="00067768">
              <w:rPr>
                <w:rFonts w:ascii="Arial Narrow" w:hAnsi="Arial Narrow" w:cs="Arial"/>
                <w:sz w:val="22"/>
                <w:szCs w:val="22"/>
              </w:rPr>
              <w:t>Genitourinary</w:t>
            </w:r>
          </w:p>
        </w:tc>
        <w:tc>
          <w:tcPr>
            <w:tcW w:w="1147" w:type="dxa"/>
            <w:tcBorders>
              <w:left w:val="single" w:sz="4" w:space="0" w:color="auto"/>
              <w:right w:val="single" w:sz="4" w:space="0" w:color="auto"/>
            </w:tcBorders>
            <w:vAlign w:val="center"/>
          </w:tcPr>
          <w:p w14:paraId="42C0F87C" w14:textId="3B6D7682" w:rsidR="00C71DEE"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256</w:t>
            </w:r>
          </w:p>
        </w:tc>
        <w:tc>
          <w:tcPr>
            <w:tcW w:w="1148" w:type="dxa"/>
            <w:tcBorders>
              <w:left w:val="single" w:sz="4" w:space="0" w:color="auto"/>
            </w:tcBorders>
            <w:vAlign w:val="center"/>
          </w:tcPr>
          <w:p w14:paraId="00099414" w14:textId="7465FA29" w:rsidR="00C71DEE" w:rsidRPr="00F80B42"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193</w:t>
            </w:r>
          </w:p>
        </w:tc>
        <w:tc>
          <w:tcPr>
            <w:tcW w:w="1147" w:type="dxa"/>
          </w:tcPr>
          <w:p w14:paraId="35C2D545" w14:textId="37865928" w:rsidR="00C71DEE"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185</w:t>
            </w:r>
          </w:p>
        </w:tc>
        <w:tc>
          <w:tcPr>
            <w:tcW w:w="1148" w:type="dxa"/>
            <w:tcBorders>
              <w:right w:val="single" w:sz="12" w:space="0" w:color="auto"/>
            </w:tcBorders>
            <w:vAlign w:val="center"/>
          </w:tcPr>
          <w:p w14:paraId="0A826D61" w14:textId="2767BEB3" w:rsidR="00C71DEE" w:rsidRPr="00F80B42"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50</w:t>
            </w:r>
          </w:p>
        </w:tc>
      </w:tr>
      <w:tr w:rsidR="00067768" w14:paraId="66ECF475" w14:textId="77777777" w:rsidTr="00D24724">
        <w:trPr>
          <w:cantSplit/>
          <w:jc w:val="center"/>
        </w:trPr>
        <w:tc>
          <w:tcPr>
            <w:tcW w:w="2505" w:type="dxa"/>
            <w:tcBorders>
              <w:left w:val="single" w:sz="12" w:space="0" w:color="auto"/>
              <w:right w:val="single" w:sz="4" w:space="0" w:color="auto"/>
            </w:tcBorders>
            <w:vAlign w:val="center"/>
          </w:tcPr>
          <w:p w14:paraId="5F474862" w14:textId="52526D5E" w:rsidR="00067768" w:rsidRPr="00067768" w:rsidRDefault="00067768" w:rsidP="00C71DEE">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Neurosurgery</w:t>
            </w:r>
          </w:p>
        </w:tc>
        <w:tc>
          <w:tcPr>
            <w:tcW w:w="1147" w:type="dxa"/>
            <w:tcBorders>
              <w:left w:val="single" w:sz="4" w:space="0" w:color="auto"/>
              <w:right w:val="single" w:sz="4" w:space="0" w:color="auto"/>
            </w:tcBorders>
            <w:vAlign w:val="center"/>
          </w:tcPr>
          <w:p w14:paraId="4CB0B603" w14:textId="54AB62B3"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385</w:t>
            </w:r>
          </w:p>
        </w:tc>
        <w:tc>
          <w:tcPr>
            <w:tcW w:w="1148" w:type="dxa"/>
            <w:tcBorders>
              <w:left w:val="single" w:sz="4" w:space="0" w:color="auto"/>
            </w:tcBorders>
            <w:vAlign w:val="center"/>
          </w:tcPr>
          <w:p w14:paraId="324365D6" w14:textId="119F65A4"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379</w:t>
            </w:r>
          </w:p>
        </w:tc>
        <w:tc>
          <w:tcPr>
            <w:tcW w:w="1147" w:type="dxa"/>
          </w:tcPr>
          <w:p w14:paraId="5EA686ED" w14:textId="3DA42F16"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371</w:t>
            </w:r>
          </w:p>
        </w:tc>
        <w:tc>
          <w:tcPr>
            <w:tcW w:w="1148" w:type="dxa"/>
            <w:tcBorders>
              <w:right w:val="single" w:sz="12" w:space="0" w:color="auto"/>
            </w:tcBorders>
            <w:vAlign w:val="center"/>
          </w:tcPr>
          <w:p w14:paraId="3593172D" w14:textId="6AB60B14"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84</w:t>
            </w:r>
          </w:p>
        </w:tc>
      </w:tr>
      <w:tr w:rsidR="00067768" w14:paraId="16224678" w14:textId="77777777" w:rsidTr="00D24724">
        <w:trPr>
          <w:cantSplit/>
          <w:jc w:val="center"/>
        </w:trPr>
        <w:tc>
          <w:tcPr>
            <w:tcW w:w="2505" w:type="dxa"/>
            <w:tcBorders>
              <w:left w:val="single" w:sz="12" w:space="0" w:color="auto"/>
              <w:right w:val="single" w:sz="4" w:space="0" w:color="auto"/>
            </w:tcBorders>
            <w:vAlign w:val="center"/>
          </w:tcPr>
          <w:p w14:paraId="02DE8AA3" w14:textId="609AAAEE" w:rsidR="00067768" w:rsidRPr="00067768" w:rsidRDefault="00B74575" w:rsidP="00C71DEE">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OB</w:t>
            </w:r>
            <w:r w:rsidR="00E30BC4">
              <w:rPr>
                <w:rFonts w:ascii="Arial Narrow" w:hAnsi="Arial Narrow" w:cs="Arial"/>
                <w:sz w:val="22"/>
                <w:szCs w:val="22"/>
              </w:rPr>
              <w:t>/</w:t>
            </w:r>
            <w:r>
              <w:rPr>
                <w:rFonts w:ascii="Arial Narrow" w:hAnsi="Arial Narrow" w:cs="Arial"/>
                <w:sz w:val="22"/>
                <w:szCs w:val="22"/>
              </w:rPr>
              <w:t>GYN</w:t>
            </w:r>
          </w:p>
        </w:tc>
        <w:tc>
          <w:tcPr>
            <w:tcW w:w="1147" w:type="dxa"/>
            <w:tcBorders>
              <w:left w:val="single" w:sz="4" w:space="0" w:color="auto"/>
              <w:right w:val="single" w:sz="4" w:space="0" w:color="auto"/>
            </w:tcBorders>
            <w:vAlign w:val="center"/>
          </w:tcPr>
          <w:p w14:paraId="2E794BFC" w14:textId="132CA557"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268</w:t>
            </w:r>
          </w:p>
        </w:tc>
        <w:tc>
          <w:tcPr>
            <w:tcW w:w="1148" w:type="dxa"/>
            <w:tcBorders>
              <w:left w:val="single" w:sz="4" w:space="0" w:color="auto"/>
            </w:tcBorders>
            <w:vAlign w:val="center"/>
          </w:tcPr>
          <w:p w14:paraId="7E64C1EF" w14:textId="66D97714"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249</w:t>
            </w:r>
          </w:p>
        </w:tc>
        <w:tc>
          <w:tcPr>
            <w:tcW w:w="1147" w:type="dxa"/>
          </w:tcPr>
          <w:p w14:paraId="7A70F84A" w14:textId="2A8E4C8E"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286</w:t>
            </w:r>
          </w:p>
        </w:tc>
        <w:tc>
          <w:tcPr>
            <w:tcW w:w="1148" w:type="dxa"/>
            <w:tcBorders>
              <w:right w:val="single" w:sz="12" w:space="0" w:color="auto"/>
            </w:tcBorders>
            <w:vAlign w:val="center"/>
          </w:tcPr>
          <w:p w14:paraId="5AF2227F" w14:textId="225EA86A"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74</w:t>
            </w:r>
          </w:p>
        </w:tc>
      </w:tr>
      <w:tr w:rsidR="00067768" w14:paraId="2D35A50F" w14:textId="77777777" w:rsidTr="00D24724">
        <w:trPr>
          <w:cantSplit/>
          <w:jc w:val="center"/>
        </w:trPr>
        <w:tc>
          <w:tcPr>
            <w:tcW w:w="2505" w:type="dxa"/>
            <w:tcBorders>
              <w:left w:val="single" w:sz="12" w:space="0" w:color="auto"/>
              <w:right w:val="single" w:sz="4" w:space="0" w:color="auto"/>
            </w:tcBorders>
            <w:vAlign w:val="center"/>
          </w:tcPr>
          <w:p w14:paraId="5623F927" w14:textId="3C15CB99" w:rsidR="00067768"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Ophthalmology</w:t>
            </w:r>
          </w:p>
        </w:tc>
        <w:tc>
          <w:tcPr>
            <w:tcW w:w="1147" w:type="dxa"/>
            <w:tcBorders>
              <w:left w:val="single" w:sz="4" w:space="0" w:color="auto"/>
              <w:right w:val="single" w:sz="4" w:space="0" w:color="auto"/>
            </w:tcBorders>
            <w:vAlign w:val="center"/>
          </w:tcPr>
          <w:p w14:paraId="3D1A3A0A" w14:textId="7D00B932"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14</w:t>
            </w:r>
          </w:p>
        </w:tc>
        <w:tc>
          <w:tcPr>
            <w:tcW w:w="1148" w:type="dxa"/>
            <w:tcBorders>
              <w:left w:val="single" w:sz="4" w:space="0" w:color="auto"/>
            </w:tcBorders>
            <w:vAlign w:val="center"/>
          </w:tcPr>
          <w:p w14:paraId="3231688D" w14:textId="60EECAD5"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w:t>
            </w:r>
          </w:p>
        </w:tc>
        <w:tc>
          <w:tcPr>
            <w:tcW w:w="1147" w:type="dxa"/>
          </w:tcPr>
          <w:p w14:paraId="2C84B7AD" w14:textId="7FD6FB12"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16</w:t>
            </w:r>
          </w:p>
        </w:tc>
        <w:tc>
          <w:tcPr>
            <w:tcW w:w="1148" w:type="dxa"/>
            <w:tcBorders>
              <w:right w:val="single" w:sz="12" w:space="0" w:color="auto"/>
            </w:tcBorders>
            <w:vAlign w:val="center"/>
          </w:tcPr>
          <w:p w14:paraId="7A872223" w14:textId="64D3DB8D"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w:t>
            </w:r>
          </w:p>
        </w:tc>
      </w:tr>
      <w:tr w:rsidR="00067768" w14:paraId="09D3FCB9" w14:textId="77777777" w:rsidTr="00D24724">
        <w:trPr>
          <w:cantSplit/>
          <w:jc w:val="center"/>
        </w:trPr>
        <w:tc>
          <w:tcPr>
            <w:tcW w:w="2505" w:type="dxa"/>
            <w:tcBorders>
              <w:left w:val="single" w:sz="12" w:space="0" w:color="auto"/>
              <w:right w:val="single" w:sz="4" w:space="0" w:color="auto"/>
            </w:tcBorders>
            <w:vAlign w:val="center"/>
          </w:tcPr>
          <w:p w14:paraId="03ECC321" w14:textId="3D60E330" w:rsidR="00067768" w:rsidRPr="00067768" w:rsidRDefault="00B74575" w:rsidP="00C71DEE">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Oral</w:t>
            </w:r>
            <w:r w:rsidR="00FB167B">
              <w:rPr>
                <w:rFonts w:ascii="ZWAdobeF" w:hAnsi="ZWAdobeF" w:cs="ZWAdobeF"/>
                <w:sz w:val="2"/>
                <w:szCs w:val="2"/>
              </w:rPr>
              <w:t>53F</w:t>
            </w:r>
            <w:r w:rsidR="0024062E">
              <w:rPr>
                <w:rStyle w:val="FootnoteReference"/>
                <w:rFonts w:ascii="Arial Narrow" w:hAnsi="Arial Narrow" w:cs="Arial"/>
                <w:sz w:val="22"/>
                <w:szCs w:val="22"/>
              </w:rPr>
              <w:footnoteReference w:id="54"/>
            </w:r>
          </w:p>
        </w:tc>
        <w:tc>
          <w:tcPr>
            <w:tcW w:w="1147" w:type="dxa"/>
            <w:tcBorders>
              <w:left w:val="single" w:sz="4" w:space="0" w:color="auto"/>
              <w:right w:val="single" w:sz="4" w:space="0" w:color="auto"/>
            </w:tcBorders>
            <w:vAlign w:val="center"/>
          </w:tcPr>
          <w:p w14:paraId="2D066B62" w14:textId="31B2B58C"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386</w:t>
            </w:r>
          </w:p>
        </w:tc>
        <w:tc>
          <w:tcPr>
            <w:tcW w:w="1148" w:type="dxa"/>
            <w:tcBorders>
              <w:left w:val="single" w:sz="4" w:space="0" w:color="auto"/>
            </w:tcBorders>
            <w:vAlign w:val="center"/>
          </w:tcPr>
          <w:p w14:paraId="6A525063" w14:textId="51121764"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316</w:t>
            </w:r>
          </w:p>
        </w:tc>
        <w:tc>
          <w:tcPr>
            <w:tcW w:w="1147" w:type="dxa"/>
          </w:tcPr>
          <w:p w14:paraId="72E2D23C" w14:textId="4DAAF10D"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349</w:t>
            </w:r>
          </w:p>
        </w:tc>
        <w:tc>
          <w:tcPr>
            <w:tcW w:w="1148" w:type="dxa"/>
            <w:tcBorders>
              <w:right w:val="single" w:sz="12" w:space="0" w:color="auto"/>
            </w:tcBorders>
            <w:vAlign w:val="center"/>
          </w:tcPr>
          <w:p w14:paraId="02A833B3" w14:textId="491CF574"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102</w:t>
            </w:r>
          </w:p>
        </w:tc>
      </w:tr>
      <w:tr w:rsidR="00067768" w14:paraId="45FF3431" w14:textId="77777777" w:rsidTr="00D24724">
        <w:trPr>
          <w:cantSplit/>
          <w:jc w:val="center"/>
        </w:trPr>
        <w:tc>
          <w:tcPr>
            <w:tcW w:w="2505" w:type="dxa"/>
            <w:tcBorders>
              <w:left w:val="single" w:sz="12" w:space="0" w:color="auto"/>
              <w:right w:val="single" w:sz="4" w:space="0" w:color="auto"/>
            </w:tcBorders>
            <w:vAlign w:val="center"/>
          </w:tcPr>
          <w:p w14:paraId="35B287B0" w14:textId="6C63C4E9" w:rsidR="00067768" w:rsidRPr="00067768" w:rsidRDefault="00B74575" w:rsidP="00C71DEE">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Orthopedics</w:t>
            </w:r>
          </w:p>
        </w:tc>
        <w:tc>
          <w:tcPr>
            <w:tcW w:w="1147" w:type="dxa"/>
            <w:tcBorders>
              <w:left w:val="single" w:sz="4" w:space="0" w:color="auto"/>
              <w:right w:val="single" w:sz="4" w:space="0" w:color="auto"/>
            </w:tcBorders>
            <w:vAlign w:val="center"/>
          </w:tcPr>
          <w:p w14:paraId="1D0C3019" w14:textId="206B1010"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1,686</w:t>
            </w:r>
          </w:p>
        </w:tc>
        <w:tc>
          <w:tcPr>
            <w:tcW w:w="1148" w:type="dxa"/>
            <w:tcBorders>
              <w:left w:val="single" w:sz="4" w:space="0" w:color="auto"/>
            </w:tcBorders>
            <w:vAlign w:val="center"/>
          </w:tcPr>
          <w:p w14:paraId="779DFBA8" w14:textId="70B28776"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1,296</w:t>
            </w:r>
          </w:p>
        </w:tc>
        <w:tc>
          <w:tcPr>
            <w:tcW w:w="1147" w:type="dxa"/>
          </w:tcPr>
          <w:p w14:paraId="02CC4E4D" w14:textId="0660BBF9"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1,508</w:t>
            </w:r>
          </w:p>
        </w:tc>
        <w:tc>
          <w:tcPr>
            <w:tcW w:w="1148" w:type="dxa"/>
            <w:tcBorders>
              <w:right w:val="single" w:sz="12" w:space="0" w:color="auto"/>
            </w:tcBorders>
            <w:vAlign w:val="center"/>
          </w:tcPr>
          <w:p w14:paraId="72E49398" w14:textId="68676DEB"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376</w:t>
            </w:r>
          </w:p>
        </w:tc>
      </w:tr>
      <w:tr w:rsidR="00067768" w14:paraId="05DE1095" w14:textId="77777777" w:rsidTr="00D24724">
        <w:trPr>
          <w:cantSplit/>
          <w:jc w:val="center"/>
        </w:trPr>
        <w:tc>
          <w:tcPr>
            <w:tcW w:w="2505" w:type="dxa"/>
            <w:tcBorders>
              <w:left w:val="single" w:sz="12" w:space="0" w:color="auto"/>
              <w:right w:val="single" w:sz="4" w:space="0" w:color="auto"/>
            </w:tcBorders>
            <w:vAlign w:val="center"/>
          </w:tcPr>
          <w:p w14:paraId="25D89BDF" w14:textId="06A58A15" w:rsidR="00067768"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Otolaryngology</w:t>
            </w:r>
          </w:p>
        </w:tc>
        <w:tc>
          <w:tcPr>
            <w:tcW w:w="1147" w:type="dxa"/>
            <w:tcBorders>
              <w:left w:val="single" w:sz="4" w:space="0" w:color="auto"/>
              <w:right w:val="single" w:sz="4" w:space="0" w:color="auto"/>
            </w:tcBorders>
            <w:vAlign w:val="center"/>
          </w:tcPr>
          <w:p w14:paraId="01E082EC" w14:textId="6F3089A6" w:rsidR="00067768"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271</w:t>
            </w:r>
          </w:p>
        </w:tc>
        <w:tc>
          <w:tcPr>
            <w:tcW w:w="1148" w:type="dxa"/>
            <w:tcBorders>
              <w:left w:val="single" w:sz="4" w:space="0" w:color="auto"/>
            </w:tcBorders>
            <w:vAlign w:val="center"/>
          </w:tcPr>
          <w:p w14:paraId="1D0B4119" w14:textId="6E30CBE8" w:rsidR="00067768"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223</w:t>
            </w:r>
          </w:p>
        </w:tc>
        <w:tc>
          <w:tcPr>
            <w:tcW w:w="1147" w:type="dxa"/>
          </w:tcPr>
          <w:p w14:paraId="53CD19C0" w14:textId="60A970B0" w:rsidR="00067768"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264</w:t>
            </w:r>
          </w:p>
        </w:tc>
        <w:tc>
          <w:tcPr>
            <w:tcW w:w="1148" w:type="dxa"/>
            <w:tcBorders>
              <w:right w:val="single" w:sz="12" w:space="0" w:color="auto"/>
            </w:tcBorders>
            <w:vAlign w:val="center"/>
          </w:tcPr>
          <w:p w14:paraId="7E61B808" w14:textId="467F42A0" w:rsidR="00067768"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40</w:t>
            </w:r>
          </w:p>
        </w:tc>
      </w:tr>
      <w:tr w:rsidR="00B74575" w14:paraId="065A927F" w14:textId="77777777" w:rsidTr="00D24724">
        <w:trPr>
          <w:cantSplit/>
          <w:jc w:val="center"/>
        </w:trPr>
        <w:tc>
          <w:tcPr>
            <w:tcW w:w="2505" w:type="dxa"/>
            <w:tcBorders>
              <w:left w:val="single" w:sz="12" w:space="0" w:color="auto"/>
              <w:right w:val="single" w:sz="4" w:space="0" w:color="auto"/>
            </w:tcBorders>
            <w:vAlign w:val="center"/>
          </w:tcPr>
          <w:p w14:paraId="0295ED02" w14:textId="36A88A2D"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Pediatrics</w:t>
            </w:r>
          </w:p>
        </w:tc>
        <w:tc>
          <w:tcPr>
            <w:tcW w:w="1147" w:type="dxa"/>
            <w:tcBorders>
              <w:left w:val="single" w:sz="4" w:space="0" w:color="auto"/>
              <w:right w:val="single" w:sz="4" w:space="0" w:color="auto"/>
            </w:tcBorders>
            <w:vAlign w:val="center"/>
          </w:tcPr>
          <w:p w14:paraId="4CB2286A" w14:textId="7040BF86"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41</w:t>
            </w:r>
          </w:p>
        </w:tc>
        <w:tc>
          <w:tcPr>
            <w:tcW w:w="1148" w:type="dxa"/>
            <w:tcBorders>
              <w:left w:val="single" w:sz="4" w:space="0" w:color="auto"/>
            </w:tcBorders>
            <w:vAlign w:val="center"/>
          </w:tcPr>
          <w:p w14:paraId="69C5374F" w14:textId="100568A4"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23</w:t>
            </w:r>
          </w:p>
        </w:tc>
        <w:tc>
          <w:tcPr>
            <w:tcW w:w="1147" w:type="dxa"/>
          </w:tcPr>
          <w:p w14:paraId="4DE7C982" w14:textId="58C15BA5"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24</w:t>
            </w:r>
          </w:p>
        </w:tc>
        <w:tc>
          <w:tcPr>
            <w:tcW w:w="1148" w:type="dxa"/>
            <w:tcBorders>
              <w:right w:val="single" w:sz="12" w:space="0" w:color="auto"/>
            </w:tcBorders>
            <w:vAlign w:val="center"/>
          </w:tcPr>
          <w:p w14:paraId="502A6B13" w14:textId="1B2BC5F3"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w:t>
            </w:r>
          </w:p>
        </w:tc>
      </w:tr>
      <w:tr w:rsidR="00B74575" w14:paraId="3B2A24D5" w14:textId="77777777" w:rsidTr="00D24724">
        <w:trPr>
          <w:cantSplit/>
          <w:jc w:val="center"/>
        </w:trPr>
        <w:tc>
          <w:tcPr>
            <w:tcW w:w="2505" w:type="dxa"/>
            <w:tcBorders>
              <w:left w:val="single" w:sz="12" w:space="0" w:color="auto"/>
              <w:right w:val="single" w:sz="4" w:space="0" w:color="auto"/>
            </w:tcBorders>
            <w:vAlign w:val="center"/>
          </w:tcPr>
          <w:p w14:paraId="2C27F921" w14:textId="1D6BD958"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Plastics</w:t>
            </w:r>
          </w:p>
        </w:tc>
        <w:tc>
          <w:tcPr>
            <w:tcW w:w="1147" w:type="dxa"/>
            <w:tcBorders>
              <w:left w:val="single" w:sz="4" w:space="0" w:color="auto"/>
              <w:right w:val="single" w:sz="4" w:space="0" w:color="auto"/>
            </w:tcBorders>
            <w:vAlign w:val="center"/>
          </w:tcPr>
          <w:p w14:paraId="148D25A2" w14:textId="4CE7AEBF"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57</w:t>
            </w:r>
          </w:p>
        </w:tc>
        <w:tc>
          <w:tcPr>
            <w:tcW w:w="1148" w:type="dxa"/>
            <w:tcBorders>
              <w:left w:val="single" w:sz="4" w:space="0" w:color="auto"/>
            </w:tcBorders>
            <w:vAlign w:val="center"/>
          </w:tcPr>
          <w:p w14:paraId="05E965A3" w14:textId="2BDC6A3B"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91</w:t>
            </w:r>
          </w:p>
        </w:tc>
        <w:tc>
          <w:tcPr>
            <w:tcW w:w="1147" w:type="dxa"/>
          </w:tcPr>
          <w:p w14:paraId="65ECD104" w14:textId="6032895F"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90</w:t>
            </w:r>
          </w:p>
        </w:tc>
        <w:tc>
          <w:tcPr>
            <w:tcW w:w="1148" w:type="dxa"/>
            <w:tcBorders>
              <w:right w:val="single" w:sz="12" w:space="0" w:color="auto"/>
            </w:tcBorders>
            <w:vAlign w:val="center"/>
          </w:tcPr>
          <w:p w14:paraId="491B6623" w14:textId="69235C81"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28</w:t>
            </w:r>
          </w:p>
        </w:tc>
      </w:tr>
      <w:tr w:rsidR="00B74575" w14:paraId="15DA0194" w14:textId="77777777" w:rsidTr="00D24724">
        <w:trPr>
          <w:cantSplit/>
          <w:jc w:val="center"/>
        </w:trPr>
        <w:tc>
          <w:tcPr>
            <w:tcW w:w="2505" w:type="dxa"/>
            <w:tcBorders>
              <w:left w:val="single" w:sz="12" w:space="0" w:color="auto"/>
              <w:right w:val="single" w:sz="4" w:space="0" w:color="auto"/>
            </w:tcBorders>
            <w:vAlign w:val="center"/>
          </w:tcPr>
          <w:p w14:paraId="532CE88F" w14:textId="1B826E94"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Podiatry</w:t>
            </w:r>
          </w:p>
        </w:tc>
        <w:tc>
          <w:tcPr>
            <w:tcW w:w="1147" w:type="dxa"/>
            <w:tcBorders>
              <w:left w:val="single" w:sz="4" w:space="0" w:color="auto"/>
              <w:right w:val="single" w:sz="4" w:space="0" w:color="auto"/>
            </w:tcBorders>
            <w:vAlign w:val="center"/>
          </w:tcPr>
          <w:p w14:paraId="7CE29FD2" w14:textId="66081D70"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308</w:t>
            </w:r>
          </w:p>
        </w:tc>
        <w:tc>
          <w:tcPr>
            <w:tcW w:w="1148" w:type="dxa"/>
            <w:tcBorders>
              <w:left w:val="single" w:sz="4" w:space="0" w:color="auto"/>
            </w:tcBorders>
            <w:vAlign w:val="center"/>
          </w:tcPr>
          <w:p w14:paraId="1D1A2E62" w14:textId="685A43D8"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319</w:t>
            </w:r>
          </w:p>
        </w:tc>
        <w:tc>
          <w:tcPr>
            <w:tcW w:w="1147" w:type="dxa"/>
          </w:tcPr>
          <w:p w14:paraId="10721915" w14:textId="06CBDC98"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251</w:t>
            </w:r>
          </w:p>
        </w:tc>
        <w:tc>
          <w:tcPr>
            <w:tcW w:w="1148" w:type="dxa"/>
            <w:tcBorders>
              <w:right w:val="single" w:sz="12" w:space="0" w:color="auto"/>
            </w:tcBorders>
            <w:vAlign w:val="center"/>
          </w:tcPr>
          <w:p w14:paraId="0438E5F1" w14:textId="0C21919D"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78</w:t>
            </w:r>
          </w:p>
        </w:tc>
      </w:tr>
      <w:tr w:rsidR="00B74575" w14:paraId="7213C587" w14:textId="77777777" w:rsidTr="00D24724">
        <w:trPr>
          <w:cantSplit/>
          <w:jc w:val="center"/>
        </w:trPr>
        <w:tc>
          <w:tcPr>
            <w:tcW w:w="2505" w:type="dxa"/>
            <w:tcBorders>
              <w:left w:val="single" w:sz="12" w:space="0" w:color="auto"/>
              <w:right w:val="single" w:sz="4" w:space="0" w:color="auto"/>
            </w:tcBorders>
            <w:vAlign w:val="center"/>
          </w:tcPr>
          <w:p w14:paraId="28A4D0F3" w14:textId="40027615"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Thoracic</w:t>
            </w:r>
          </w:p>
        </w:tc>
        <w:tc>
          <w:tcPr>
            <w:tcW w:w="1147" w:type="dxa"/>
            <w:tcBorders>
              <w:left w:val="single" w:sz="4" w:space="0" w:color="auto"/>
              <w:right w:val="single" w:sz="4" w:space="0" w:color="auto"/>
            </w:tcBorders>
            <w:vAlign w:val="center"/>
          </w:tcPr>
          <w:p w14:paraId="55F0C9A0" w14:textId="1A2B08DE"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217</w:t>
            </w:r>
          </w:p>
        </w:tc>
        <w:tc>
          <w:tcPr>
            <w:tcW w:w="1148" w:type="dxa"/>
            <w:tcBorders>
              <w:left w:val="single" w:sz="4" w:space="0" w:color="auto"/>
            </w:tcBorders>
            <w:vAlign w:val="center"/>
          </w:tcPr>
          <w:p w14:paraId="1173E6AE" w14:textId="6B51BAF1"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182</w:t>
            </w:r>
          </w:p>
        </w:tc>
        <w:tc>
          <w:tcPr>
            <w:tcW w:w="1147" w:type="dxa"/>
          </w:tcPr>
          <w:p w14:paraId="266555BD" w14:textId="429EE7D0"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185</w:t>
            </w:r>
          </w:p>
        </w:tc>
        <w:tc>
          <w:tcPr>
            <w:tcW w:w="1148" w:type="dxa"/>
            <w:tcBorders>
              <w:right w:val="single" w:sz="12" w:space="0" w:color="auto"/>
            </w:tcBorders>
            <w:vAlign w:val="center"/>
          </w:tcPr>
          <w:p w14:paraId="1896F3CD" w14:textId="54B2253F"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20</w:t>
            </w:r>
          </w:p>
        </w:tc>
      </w:tr>
      <w:tr w:rsidR="00B74575" w14:paraId="29A8A2B0" w14:textId="77777777" w:rsidTr="00D24724">
        <w:trPr>
          <w:cantSplit/>
          <w:jc w:val="center"/>
        </w:trPr>
        <w:tc>
          <w:tcPr>
            <w:tcW w:w="2505" w:type="dxa"/>
            <w:tcBorders>
              <w:left w:val="single" w:sz="12" w:space="0" w:color="auto"/>
              <w:right w:val="single" w:sz="4" w:space="0" w:color="auto"/>
            </w:tcBorders>
            <w:vAlign w:val="center"/>
          </w:tcPr>
          <w:p w14:paraId="3A0C1739" w14:textId="4E9D98A1"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Transplant</w:t>
            </w:r>
          </w:p>
        </w:tc>
        <w:tc>
          <w:tcPr>
            <w:tcW w:w="1147" w:type="dxa"/>
            <w:tcBorders>
              <w:left w:val="single" w:sz="4" w:space="0" w:color="auto"/>
              <w:right w:val="single" w:sz="4" w:space="0" w:color="auto"/>
            </w:tcBorders>
            <w:vAlign w:val="center"/>
          </w:tcPr>
          <w:p w14:paraId="7CE3BA73" w14:textId="1A7ECCAC"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68</w:t>
            </w:r>
          </w:p>
        </w:tc>
        <w:tc>
          <w:tcPr>
            <w:tcW w:w="1148" w:type="dxa"/>
            <w:tcBorders>
              <w:left w:val="single" w:sz="4" w:space="0" w:color="auto"/>
            </w:tcBorders>
            <w:vAlign w:val="center"/>
          </w:tcPr>
          <w:p w14:paraId="4774B853" w14:textId="22319A73"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57</w:t>
            </w:r>
          </w:p>
        </w:tc>
        <w:tc>
          <w:tcPr>
            <w:tcW w:w="1147" w:type="dxa"/>
          </w:tcPr>
          <w:p w14:paraId="63D02D61" w14:textId="790169CA"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59</w:t>
            </w:r>
          </w:p>
        </w:tc>
        <w:tc>
          <w:tcPr>
            <w:tcW w:w="1148" w:type="dxa"/>
            <w:tcBorders>
              <w:right w:val="single" w:sz="12" w:space="0" w:color="auto"/>
            </w:tcBorders>
            <w:vAlign w:val="center"/>
          </w:tcPr>
          <w:p w14:paraId="4469CB4A" w14:textId="3FF497B9"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9</w:t>
            </w:r>
          </w:p>
        </w:tc>
      </w:tr>
      <w:tr w:rsidR="00B74575" w14:paraId="3D673126" w14:textId="77777777" w:rsidTr="00D24724">
        <w:trPr>
          <w:cantSplit/>
          <w:jc w:val="center"/>
        </w:trPr>
        <w:tc>
          <w:tcPr>
            <w:tcW w:w="2505" w:type="dxa"/>
            <w:tcBorders>
              <w:left w:val="single" w:sz="12" w:space="0" w:color="auto"/>
              <w:right w:val="single" w:sz="4" w:space="0" w:color="auto"/>
            </w:tcBorders>
            <w:vAlign w:val="center"/>
          </w:tcPr>
          <w:p w14:paraId="3B676071" w14:textId="2A263B8C"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Vascular</w:t>
            </w:r>
          </w:p>
        </w:tc>
        <w:tc>
          <w:tcPr>
            <w:tcW w:w="1147" w:type="dxa"/>
            <w:tcBorders>
              <w:left w:val="single" w:sz="4" w:space="0" w:color="auto"/>
              <w:right w:val="single" w:sz="4" w:space="0" w:color="auto"/>
            </w:tcBorders>
            <w:vAlign w:val="center"/>
          </w:tcPr>
          <w:p w14:paraId="07EB9A22" w14:textId="40304F59"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316</w:t>
            </w:r>
          </w:p>
        </w:tc>
        <w:tc>
          <w:tcPr>
            <w:tcW w:w="1148" w:type="dxa"/>
            <w:tcBorders>
              <w:left w:val="single" w:sz="4" w:space="0" w:color="auto"/>
            </w:tcBorders>
            <w:vAlign w:val="center"/>
          </w:tcPr>
          <w:p w14:paraId="7484BDF9" w14:textId="49320539"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284</w:t>
            </w:r>
          </w:p>
        </w:tc>
        <w:tc>
          <w:tcPr>
            <w:tcW w:w="1147" w:type="dxa"/>
          </w:tcPr>
          <w:p w14:paraId="2378FF6E" w14:textId="7C96140C"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342</w:t>
            </w:r>
          </w:p>
        </w:tc>
        <w:tc>
          <w:tcPr>
            <w:tcW w:w="1148" w:type="dxa"/>
            <w:tcBorders>
              <w:right w:val="single" w:sz="12" w:space="0" w:color="auto"/>
            </w:tcBorders>
            <w:vAlign w:val="center"/>
          </w:tcPr>
          <w:p w14:paraId="73EBF01B" w14:textId="70158BB2"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75</w:t>
            </w:r>
          </w:p>
        </w:tc>
      </w:tr>
      <w:tr w:rsidR="00B74575" w14:paraId="55CAE739" w14:textId="77777777" w:rsidTr="00D24724">
        <w:trPr>
          <w:cantSplit/>
          <w:jc w:val="center"/>
        </w:trPr>
        <w:tc>
          <w:tcPr>
            <w:tcW w:w="2505" w:type="dxa"/>
            <w:tcBorders>
              <w:left w:val="single" w:sz="12" w:space="0" w:color="auto"/>
              <w:right w:val="single" w:sz="4" w:space="0" w:color="auto"/>
            </w:tcBorders>
            <w:vAlign w:val="center"/>
          </w:tcPr>
          <w:p w14:paraId="5A687B80" w14:textId="2A71A982" w:rsidR="00B74575" w:rsidRPr="00B74575" w:rsidRDefault="00B74575" w:rsidP="00B74575">
            <w:pPr>
              <w:pStyle w:val="NormalWeb"/>
              <w:spacing w:before="0" w:beforeAutospacing="0" w:after="0" w:afterAutospacing="0"/>
              <w:rPr>
                <w:rFonts w:ascii="Arial Narrow" w:hAnsi="Arial Narrow" w:cs="Arial"/>
                <w:sz w:val="22"/>
                <w:szCs w:val="22"/>
              </w:rPr>
            </w:pPr>
            <w:r w:rsidRPr="00B74575">
              <w:rPr>
                <w:rFonts w:ascii="Arial Narrow" w:hAnsi="Arial Narrow" w:cs="Arial"/>
                <w:sz w:val="22"/>
                <w:szCs w:val="22"/>
              </w:rPr>
              <w:t>Cardiac Catheterization</w:t>
            </w:r>
          </w:p>
        </w:tc>
        <w:tc>
          <w:tcPr>
            <w:tcW w:w="1147" w:type="dxa"/>
            <w:tcBorders>
              <w:left w:val="single" w:sz="4" w:space="0" w:color="auto"/>
              <w:right w:val="single" w:sz="4" w:space="0" w:color="auto"/>
            </w:tcBorders>
            <w:vAlign w:val="center"/>
          </w:tcPr>
          <w:p w14:paraId="7556D6BB" w14:textId="5645D42F" w:rsidR="00B74575" w:rsidRPr="00E30BC4" w:rsidRDefault="00E30BC4" w:rsidP="00E30BC4">
            <w:pPr>
              <w:pStyle w:val="NormalWeb"/>
              <w:spacing w:before="0" w:beforeAutospacing="0" w:after="0" w:afterAutospacing="0"/>
              <w:jc w:val="center"/>
              <w:rPr>
                <w:rFonts w:ascii="Arial Narrow" w:hAnsi="Arial Narrow" w:cs="Arial"/>
                <w:sz w:val="22"/>
                <w:szCs w:val="22"/>
              </w:rPr>
            </w:pPr>
            <w:r w:rsidRPr="00E30BC4">
              <w:rPr>
                <w:rFonts w:ascii="Arial Narrow" w:hAnsi="Arial Narrow" w:cs="Arial"/>
                <w:sz w:val="22"/>
                <w:szCs w:val="22"/>
              </w:rPr>
              <w:t>28</w:t>
            </w:r>
          </w:p>
        </w:tc>
        <w:tc>
          <w:tcPr>
            <w:tcW w:w="1148" w:type="dxa"/>
            <w:tcBorders>
              <w:left w:val="single" w:sz="4" w:space="0" w:color="auto"/>
            </w:tcBorders>
            <w:vAlign w:val="center"/>
          </w:tcPr>
          <w:p w14:paraId="1F78C018" w14:textId="3EF29653" w:rsidR="00B74575" w:rsidRPr="00B95D0D" w:rsidRDefault="0024062E"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30</w:t>
            </w:r>
          </w:p>
        </w:tc>
        <w:tc>
          <w:tcPr>
            <w:tcW w:w="1147" w:type="dxa"/>
          </w:tcPr>
          <w:p w14:paraId="766E0B71" w14:textId="2C757549" w:rsidR="00B74575"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31</w:t>
            </w:r>
          </w:p>
        </w:tc>
        <w:tc>
          <w:tcPr>
            <w:tcW w:w="1148" w:type="dxa"/>
            <w:tcBorders>
              <w:right w:val="single" w:sz="12" w:space="0" w:color="auto"/>
            </w:tcBorders>
            <w:vAlign w:val="center"/>
          </w:tcPr>
          <w:p w14:paraId="76B9ED20" w14:textId="059D1E4F" w:rsidR="00B74575" w:rsidRPr="00B95D0D" w:rsidRDefault="00CE41F1" w:rsidP="00C71DEE">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w:t>
            </w:r>
          </w:p>
        </w:tc>
      </w:tr>
      <w:tr w:rsidR="00B74575" w14:paraId="0227E737" w14:textId="77777777" w:rsidTr="00D24724">
        <w:trPr>
          <w:cantSplit/>
          <w:jc w:val="center"/>
        </w:trPr>
        <w:tc>
          <w:tcPr>
            <w:tcW w:w="2505" w:type="dxa"/>
            <w:tcBorders>
              <w:left w:val="single" w:sz="12" w:space="0" w:color="auto"/>
              <w:bottom w:val="single" w:sz="12" w:space="0" w:color="auto"/>
              <w:right w:val="single" w:sz="4" w:space="0" w:color="auto"/>
            </w:tcBorders>
            <w:shd w:val="clear" w:color="auto" w:fill="BFBFBF"/>
            <w:vAlign w:val="center"/>
          </w:tcPr>
          <w:p w14:paraId="0E796B2B" w14:textId="66D2A6AD" w:rsidR="00B74575" w:rsidRPr="00B74575" w:rsidRDefault="00B74575" w:rsidP="00B74575">
            <w:pPr>
              <w:pStyle w:val="NormalWeb"/>
              <w:spacing w:before="0" w:beforeAutospacing="0" w:after="0" w:afterAutospacing="0"/>
              <w:rPr>
                <w:rFonts w:ascii="Arial Narrow" w:hAnsi="Arial Narrow" w:cs="Arial"/>
                <w:b/>
                <w:bCs/>
                <w:sz w:val="22"/>
                <w:szCs w:val="22"/>
              </w:rPr>
            </w:pPr>
            <w:r w:rsidRPr="00B74575">
              <w:rPr>
                <w:rFonts w:ascii="Arial Narrow" w:hAnsi="Arial Narrow" w:cs="Arial"/>
                <w:b/>
                <w:bCs/>
                <w:sz w:val="22"/>
                <w:szCs w:val="22"/>
              </w:rPr>
              <w:t>Total</w:t>
            </w:r>
          </w:p>
        </w:tc>
        <w:tc>
          <w:tcPr>
            <w:tcW w:w="1147" w:type="dxa"/>
            <w:tcBorders>
              <w:left w:val="single" w:sz="4" w:space="0" w:color="auto"/>
              <w:bottom w:val="single" w:sz="12" w:space="0" w:color="auto"/>
              <w:right w:val="single" w:sz="4" w:space="0" w:color="auto"/>
            </w:tcBorders>
            <w:shd w:val="clear" w:color="auto" w:fill="BFBFBF"/>
            <w:vAlign w:val="center"/>
          </w:tcPr>
          <w:p w14:paraId="63110A9D" w14:textId="586D1354" w:rsidR="00B74575" w:rsidRPr="00B74575" w:rsidRDefault="00B74575" w:rsidP="00792FDF">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6,013</w:t>
            </w:r>
          </w:p>
        </w:tc>
        <w:tc>
          <w:tcPr>
            <w:tcW w:w="1148" w:type="dxa"/>
            <w:tcBorders>
              <w:left w:val="single" w:sz="4" w:space="0" w:color="auto"/>
              <w:bottom w:val="single" w:sz="12" w:space="0" w:color="auto"/>
            </w:tcBorders>
            <w:shd w:val="clear" w:color="auto" w:fill="BFBFBF"/>
            <w:vAlign w:val="center"/>
          </w:tcPr>
          <w:p w14:paraId="1FD11981" w14:textId="78F0EC2C" w:rsidR="00B74575" w:rsidRPr="00B74575" w:rsidRDefault="00B74575"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5,186</w:t>
            </w:r>
          </w:p>
        </w:tc>
        <w:tc>
          <w:tcPr>
            <w:tcW w:w="1147" w:type="dxa"/>
            <w:tcBorders>
              <w:bottom w:val="single" w:sz="12" w:space="0" w:color="auto"/>
            </w:tcBorders>
            <w:shd w:val="clear" w:color="auto" w:fill="BFBFBF"/>
          </w:tcPr>
          <w:p w14:paraId="33CC35FE" w14:textId="7B103F95" w:rsidR="00B74575" w:rsidRPr="00B74575" w:rsidRDefault="00B74575"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5,865</w:t>
            </w:r>
          </w:p>
        </w:tc>
        <w:tc>
          <w:tcPr>
            <w:tcW w:w="1148" w:type="dxa"/>
            <w:tcBorders>
              <w:bottom w:val="single" w:sz="12" w:space="0" w:color="auto"/>
              <w:right w:val="single" w:sz="12" w:space="0" w:color="auto"/>
            </w:tcBorders>
            <w:shd w:val="clear" w:color="auto" w:fill="BFBFBF"/>
            <w:vAlign w:val="center"/>
          </w:tcPr>
          <w:p w14:paraId="3C4019BB" w14:textId="3A2FFA0F" w:rsidR="00B74575" w:rsidRPr="00B74575" w:rsidRDefault="00B74575" w:rsidP="00C71DEE">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1,381</w:t>
            </w:r>
          </w:p>
        </w:tc>
      </w:tr>
    </w:tbl>
    <w:p w14:paraId="0B3E6BED" w14:textId="15E3F980" w:rsidR="007C7545" w:rsidRDefault="007C7545" w:rsidP="007C7545">
      <w:pPr>
        <w:pStyle w:val="NormalWeb"/>
        <w:spacing w:before="0" w:beforeAutospacing="0" w:after="0" w:afterAutospacing="0"/>
        <w:jc w:val="both"/>
        <w:rPr>
          <w:rFonts w:ascii="Arial" w:hAnsi="Arial" w:cs="Arial"/>
          <w:sz w:val="22"/>
          <w:szCs w:val="22"/>
          <w:u w:val="single"/>
        </w:rPr>
      </w:pPr>
    </w:p>
    <w:p w14:paraId="716C4D0E" w14:textId="48F87CF5" w:rsidR="00A47A77" w:rsidRDefault="00843DC9" w:rsidP="007C7545">
      <w:pPr>
        <w:pStyle w:val="NormalWeb"/>
        <w:spacing w:before="0" w:beforeAutospacing="0" w:after="0" w:afterAutospacing="0"/>
        <w:jc w:val="both"/>
        <w:rPr>
          <w:rFonts w:ascii="Arial" w:hAnsi="Arial" w:cs="Arial"/>
          <w:sz w:val="22"/>
          <w:szCs w:val="22"/>
        </w:rPr>
      </w:pPr>
      <w:r w:rsidRPr="00843DC9">
        <w:rPr>
          <w:rFonts w:ascii="Arial" w:hAnsi="Arial" w:cs="Arial"/>
          <w:sz w:val="22"/>
          <w:szCs w:val="22"/>
        </w:rPr>
        <w:t xml:space="preserve">As a result of such high demand, BMC’s inpatient ORs are operating </w:t>
      </w:r>
      <w:r w:rsidR="00B86453">
        <w:rPr>
          <w:rFonts w:ascii="Arial" w:hAnsi="Arial" w:cs="Arial"/>
          <w:sz w:val="22"/>
          <w:szCs w:val="22"/>
        </w:rPr>
        <w:t>at/above benchmark capacity.</w:t>
      </w:r>
      <w:r w:rsidR="00FB167B">
        <w:rPr>
          <w:rFonts w:ascii="ZWAdobeF" w:hAnsi="ZWAdobeF" w:cs="ZWAdobeF"/>
          <w:sz w:val="2"/>
          <w:szCs w:val="2"/>
        </w:rPr>
        <w:t>54F</w:t>
      </w:r>
      <w:r w:rsidR="00B86453">
        <w:rPr>
          <w:rStyle w:val="FootnoteReference"/>
          <w:rFonts w:ascii="Arial" w:hAnsi="Arial" w:cs="Arial"/>
          <w:sz w:val="22"/>
          <w:szCs w:val="22"/>
        </w:rPr>
        <w:footnoteReference w:id="55"/>
      </w:r>
      <w:r w:rsidR="00B86453">
        <w:rPr>
          <w:rFonts w:ascii="Arial" w:hAnsi="Arial" w:cs="Arial"/>
          <w:sz w:val="22"/>
          <w:szCs w:val="22"/>
        </w:rPr>
        <w:t xml:space="preserve"> </w:t>
      </w:r>
      <w:r w:rsidR="00A47A77">
        <w:rPr>
          <w:rFonts w:ascii="Arial" w:hAnsi="Arial" w:cs="Arial"/>
          <w:sz w:val="22"/>
          <w:szCs w:val="22"/>
        </w:rPr>
        <w:t>For example,</w:t>
      </w:r>
      <w:r w:rsidR="003B7A23">
        <w:rPr>
          <w:rFonts w:ascii="Arial" w:hAnsi="Arial" w:cs="Arial"/>
          <w:sz w:val="22"/>
          <w:szCs w:val="22"/>
        </w:rPr>
        <w:t xml:space="preserve"> </w:t>
      </w:r>
      <w:r w:rsidR="00A47A77">
        <w:rPr>
          <w:rFonts w:ascii="Arial" w:hAnsi="Arial" w:cs="Arial"/>
          <w:sz w:val="22"/>
          <w:szCs w:val="22"/>
        </w:rPr>
        <w:t xml:space="preserve">Table 18 shows </w:t>
      </w:r>
      <w:r w:rsidR="00DC1740">
        <w:rPr>
          <w:rFonts w:ascii="Arial" w:hAnsi="Arial" w:cs="Arial"/>
          <w:sz w:val="22"/>
          <w:szCs w:val="22"/>
        </w:rPr>
        <w:t xml:space="preserve">utilization </w:t>
      </w:r>
      <w:r w:rsidR="00A47A77">
        <w:rPr>
          <w:rFonts w:ascii="Arial" w:hAnsi="Arial" w:cs="Arial"/>
          <w:sz w:val="22"/>
          <w:szCs w:val="22"/>
        </w:rPr>
        <w:t xml:space="preserve">data for a representative </w:t>
      </w:r>
      <w:r w:rsidR="00DC1740">
        <w:rPr>
          <w:rFonts w:ascii="Arial" w:hAnsi="Arial" w:cs="Arial"/>
          <w:sz w:val="22"/>
          <w:szCs w:val="22"/>
        </w:rPr>
        <w:t xml:space="preserve">period from </w:t>
      </w:r>
      <w:r w:rsidR="00A47A77">
        <w:rPr>
          <w:rFonts w:ascii="Arial" w:hAnsi="Arial" w:cs="Arial"/>
          <w:sz w:val="22"/>
          <w:szCs w:val="22"/>
        </w:rPr>
        <w:t>October 2020 through June 2021.</w:t>
      </w:r>
      <w:r w:rsidR="00DC1740">
        <w:rPr>
          <w:rFonts w:ascii="Arial" w:hAnsi="Arial" w:cs="Arial"/>
          <w:sz w:val="22"/>
          <w:szCs w:val="22"/>
        </w:rPr>
        <w:t xml:space="preserve"> </w:t>
      </w:r>
      <w:r w:rsidR="002F5293">
        <w:rPr>
          <w:rFonts w:ascii="Arial" w:hAnsi="Arial" w:cs="Arial"/>
          <w:sz w:val="22"/>
          <w:szCs w:val="22"/>
        </w:rPr>
        <w:t>These data provide</w:t>
      </w:r>
      <w:r w:rsidR="00DC1740">
        <w:rPr>
          <w:rFonts w:ascii="Arial" w:hAnsi="Arial" w:cs="Arial"/>
          <w:sz w:val="22"/>
          <w:szCs w:val="22"/>
        </w:rPr>
        <w:t xml:space="preserve"> that BMC’s operating capacity was at/above benchmark capacity </w:t>
      </w:r>
      <w:r w:rsidR="001D44EB">
        <w:rPr>
          <w:rFonts w:ascii="Arial" w:hAnsi="Arial" w:cs="Arial"/>
          <w:sz w:val="22"/>
          <w:szCs w:val="22"/>
        </w:rPr>
        <w:t xml:space="preserve">5 out of 9 months in FY20, and that the 4 months below benchmark capacity were during a COVID-19 surge period. </w:t>
      </w:r>
    </w:p>
    <w:p w14:paraId="4D06FBB8" w14:textId="77777777" w:rsidR="00F644E5" w:rsidRDefault="00F644E5" w:rsidP="007C7545">
      <w:pPr>
        <w:pStyle w:val="NormalWeb"/>
        <w:spacing w:before="0" w:beforeAutospacing="0" w:after="0" w:afterAutospacing="0"/>
        <w:jc w:val="both"/>
        <w:rPr>
          <w:rFonts w:ascii="Arial Narrow" w:hAnsi="Arial Narrow" w:cs="Arial"/>
          <w:b/>
          <w:bCs/>
          <w:color w:val="000000" w:themeColor="text1"/>
          <w:sz w:val="22"/>
          <w:szCs w:val="22"/>
        </w:rPr>
      </w:pPr>
    </w:p>
    <w:p w14:paraId="23C0EBE8" w14:textId="4EA5E31F" w:rsidR="00A47A77" w:rsidRDefault="00664BFC" w:rsidP="007C7545">
      <w:pPr>
        <w:pStyle w:val="NormalWeb"/>
        <w:spacing w:before="0" w:beforeAutospacing="0" w:after="0" w:afterAutospacing="0"/>
        <w:jc w:val="both"/>
        <w:rPr>
          <w:rFonts w:ascii="Arial" w:hAnsi="Arial" w:cs="Arial"/>
          <w:sz w:val="22"/>
          <w:szCs w:val="22"/>
        </w:rPr>
      </w:pPr>
      <w:r w:rsidRPr="00664BFC">
        <w:rPr>
          <w:rFonts w:ascii="Arial Narrow" w:hAnsi="Arial Narrow" w:cs="Arial"/>
          <w:b/>
          <w:bCs/>
          <w:color w:val="000000" w:themeColor="text1"/>
          <w:sz w:val="22"/>
          <w:szCs w:val="22"/>
        </w:rPr>
        <w:t>Table 18: BMC Inpatient OR Utilization (Target = 80%)</w:t>
      </w:r>
    </w:p>
    <w:tbl>
      <w:tblPr>
        <w:tblStyle w:val="TableGrid"/>
        <w:tblW w:w="0" w:type="auto"/>
        <w:jc w:val="center"/>
        <w:tblLayout w:type="fixed"/>
        <w:tblLook w:val="04A0" w:firstRow="1" w:lastRow="0" w:firstColumn="1" w:lastColumn="0" w:noHBand="0" w:noVBand="1"/>
      </w:tblPr>
      <w:tblGrid>
        <w:gridCol w:w="2692"/>
        <w:gridCol w:w="2693"/>
      </w:tblGrid>
      <w:tr w:rsidR="00A47A77" w14:paraId="6426CE5C" w14:textId="77777777" w:rsidTr="00664BFC">
        <w:trPr>
          <w:cantSplit/>
          <w:tblHeader/>
          <w:jc w:val="center"/>
        </w:trPr>
        <w:tc>
          <w:tcPr>
            <w:tcW w:w="2692" w:type="dxa"/>
            <w:tcBorders>
              <w:left w:val="single" w:sz="12" w:space="0" w:color="auto"/>
              <w:right w:val="single" w:sz="4" w:space="0" w:color="auto"/>
            </w:tcBorders>
            <w:shd w:val="clear" w:color="auto" w:fill="8DA9DB"/>
          </w:tcPr>
          <w:p w14:paraId="7F76F43E" w14:textId="28BFD316" w:rsidR="00A47A77" w:rsidRPr="00F80B42" w:rsidRDefault="00A47A77" w:rsidP="00963E14">
            <w:pPr>
              <w:pStyle w:val="NormalWeb"/>
              <w:spacing w:before="0" w:beforeAutospacing="0" w:after="0" w:afterAutospacing="0"/>
              <w:jc w:val="both"/>
              <w:rPr>
                <w:rFonts w:ascii="Arial Narrow" w:hAnsi="Arial Narrow" w:cs="Arial"/>
                <w:b/>
                <w:bCs/>
                <w:sz w:val="22"/>
                <w:szCs w:val="22"/>
              </w:rPr>
            </w:pPr>
            <w:r>
              <w:rPr>
                <w:rFonts w:ascii="Arial Narrow" w:hAnsi="Arial Narrow" w:cs="Arial"/>
                <w:b/>
                <w:bCs/>
                <w:sz w:val="22"/>
                <w:szCs w:val="22"/>
              </w:rPr>
              <w:t>Month</w:t>
            </w:r>
          </w:p>
        </w:tc>
        <w:tc>
          <w:tcPr>
            <w:tcW w:w="2693" w:type="dxa"/>
            <w:tcBorders>
              <w:left w:val="single" w:sz="4" w:space="0" w:color="auto"/>
              <w:right w:val="single" w:sz="12" w:space="0" w:color="auto"/>
            </w:tcBorders>
            <w:shd w:val="clear" w:color="auto" w:fill="8DA9DB"/>
            <w:vAlign w:val="center"/>
          </w:tcPr>
          <w:p w14:paraId="1184D87A" w14:textId="285ED3C7" w:rsidR="00A47A77" w:rsidRPr="00F80B42" w:rsidRDefault="00A47A77" w:rsidP="00963E14">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OR Utilization Rate</w:t>
            </w:r>
          </w:p>
        </w:tc>
      </w:tr>
      <w:tr w:rsidR="00A47A77" w14:paraId="3C591954" w14:textId="77777777" w:rsidTr="00664BFC">
        <w:trPr>
          <w:cantSplit/>
          <w:jc w:val="center"/>
        </w:trPr>
        <w:tc>
          <w:tcPr>
            <w:tcW w:w="2692" w:type="dxa"/>
            <w:tcBorders>
              <w:left w:val="single" w:sz="12" w:space="0" w:color="auto"/>
              <w:right w:val="single" w:sz="4" w:space="0" w:color="auto"/>
            </w:tcBorders>
            <w:vAlign w:val="center"/>
          </w:tcPr>
          <w:p w14:paraId="3FC79EBA" w14:textId="17723A37" w:rsidR="00A47A77" w:rsidRPr="00067768" w:rsidRDefault="00A47A77"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October 2020</w:t>
            </w:r>
          </w:p>
        </w:tc>
        <w:tc>
          <w:tcPr>
            <w:tcW w:w="2693" w:type="dxa"/>
            <w:tcBorders>
              <w:left w:val="single" w:sz="4" w:space="0" w:color="auto"/>
              <w:right w:val="single" w:sz="12" w:space="0" w:color="auto"/>
            </w:tcBorders>
            <w:vAlign w:val="center"/>
          </w:tcPr>
          <w:p w14:paraId="68211059" w14:textId="51C7E8CD" w:rsidR="00A47A77" w:rsidRPr="00E30BC4" w:rsidRDefault="00DC1740"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83%</w:t>
            </w:r>
          </w:p>
        </w:tc>
      </w:tr>
      <w:tr w:rsidR="00A47A77" w14:paraId="348BF8BB" w14:textId="77777777" w:rsidTr="00664BFC">
        <w:trPr>
          <w:cantSplit/>
          <w:jc w:val="center"/>
        </w:trPr>
        <w:tc>
          <w:tcPr>
            <w:tcW w:w="2692" w:type="dxa"/>
            <w:tcBorders>
              <w:left w:val="single" w:sz="12" w:space="0" w:color="auto"/>
              <w:right w:val="single" w:sz="4" w:space="0" w:color="auto"/>
            </w:tcBorders>
            <w:vAlign w:val="center"/>
          </w:tcPr>
          <w:p w14:paraId="412D7CF7" w14:textId="5311E197" w:rsidR="00A47A77" w:rsidRPr="00067768" w:rsidRDefault="00A47A77"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November 2020</w:t>
            </w:r>
          </w:p>
        </w:tc>
        <w:tc>
          <w:tcPr>
            <w:tcW w:w="2693" w:type="dxa"/>
            <w:tcBorders>
              <w:left w:val="single" w:sz="4" w:space="0" w:color="auto"/>
              <w:right w:val="single" w:sz="12" w:space="0" w:color="auto"/>
            </w:tcBorders>
            <w:vAlign w:val="center"/>
          </w:tcPr>
          <w:p w14:paraId="091FD438" w14:textId="4A58EF0E" w:rsidR="00A47A77" w:rsidRPr="00E30BC4" w:rsidRDefault="00DC1740"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80%</w:t>
            </w:r>
          </w:p>
        </w:tc>
      </w:tr>
      <w:tr w:rsidR="00A47A77" w14:paraId="4DF596F8" w14:textId="77777777" w:rsidTr="00664BFC">
        <w:trPr>
          <w:cantSplit/>
          <w:jc w:val="center"/>
        </w:trPr>
        <w:tc>
          <w:tcPr>
            <w:tcW w:w="2692" w:type="dxa"/>
            <w:tcBorders>
              <w:left w:val="single" w:sz="12" w:space="0" w:color="auto"/>
              <w:right w:val="single" w:sz="4" w:space="0" w:color="auto"/>
            </w:tcBorders>
            <w:shd w:val="clear" w:color="auto" w:fill="BFBFBF"/>
            <w:vAlign w:val="center"/>
          </w:tcPr>
          <w:p w14:paraId="78D1ECD4" w14:textId="633EAEAC" w:rsidR="00A47A77" w:rsidRPr="00067768" w:rsidRDefault="00793439"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w:t>
            </w:r>
            <w:r w:rsidR="00A47A77">
              <w:rPr>
                <w:rFonts w:ascii="Arial Narrow" w:hAnsi="Arial Narrow" w:cs="Arial"/>
                <w:sz w:val="22"/>
                <w:szCs w:val="22"/>
              </w:rPr>
              <w:t>December 2020</w:t>
            </w:r>
          </w:p>
        </w:tc>
        <w:tc>
          <w:tcPr>
            <w:tcW w:w="2693" w:type="dxa"/>
            <w:tcBorders>
              <w:left w:val="single" w:sz="4" w:space="0" w:color="auto"/>
              <w:right w:val="single" w:sz="12" w:space="0" w:color="auto"/>
            </w:tcBorders>
            <w:shd w:val="clear" w:color="auto" w:fill="BFBFBF"/>
            <w:vAlign w:val="center"/>
          </w:tcPr>
          <w:p w14:paraId="28778B7C" w14:textId="123AA843" w:rsidR="00A47A77" w:rsidRPr="00E30BC4" w:rsidRDefault="00DC1740"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73%</w:t>
            </w:r>
          </w:p>
        </w:tc>
      </w:tr>
      <w:tr w:rsidR="00A47A77" w14:paraId="210A14B9" w14:textId="77777777" w:rsidTr="00664BFC">
        <w:trPr>
          <w:cantSplit/>
          <w:jc w:val="center"/>
        </w:trPr>
        <w:tc>
          <w:tcPr>
            <w:tcW w:w="2692" w:type="dxa"/>
            <w:tcBorders>
              <w:left w:val="single" w:sz="12" w:space="0" w:color="auto"/>
              <w:right w:val="single" w:sz="4" w:space="0" w:color="auto"/>
            </w:tcBorders>
            <w:shd w:val="clear" w:color="auto" w:fill="BFBFBF"/>
            <w:vAlign w:val="center"/>
          </w:tcPr>
          <w:p w14:paraId="61AD8407" w14:textId="76BFEB00" w:rsidR="00A47A77" w:rsidRPr="00067768" w:rsidRDefault="00793439"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w:t>
            </w:r>
            <w:r w:rsidR="00A47A77">
              <w:rPr>
                <w:rFonts w:ascii="Arial Narrow" w:hAnsi="Arial Narrow" w:cs="Arial"/>
                <w:sz w:val="22"/>
                <w:szCs w:val="22"/>
              </w:rPr>
              <w:t>January 2021</w:t>
            </w:r>
          </w:p>
        </w:tc>
        <w:tc>
          <w:tcPr>
            <w:tcW w:w="2693" w:type="dxa"/>
            <w:tcBorders>
              <w:left w:val="single" w:sz="4" w:space="0" w:color="auto"/>
              <w:right w:val="single" w:sz="12" w:space="0" w:color="auto"/>
            </w:tcBorders>
            <w:shd w:val="clear" w:color="auto" w:fill="BFBFBF"/>
            <w:vAlign w:val="center"/>
          </w:tcPr>
          <w:p w14:paraId="58AEFBE0" w14:textId="3E4F66CA" w:rsidR="00A47A77" w:rsidRPr="00E30BC4" w:rsidRDefault="00DC1740"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66%</w:t>
            </w:r>
          </w:p>
        </w:tc>
      </w:tr>
      <w:tr w:rsidR="00A47A77" w14:paraId="5B930CEE" w14:textId="77777777" w:rsidTr="00664BFC">
        <w:trPr>
          <w:cantSplit/>
          <w:jc w:val="center"/>
        </w:trPr>
        <w:tc>
          <w:tcPr>
            <w:tcW w:w="2692" w:type="dxa"/>
            <w:tcBorders>
              <w:left w:val="single" w:sz="12" w:space="0" w:color="auto"/>
              <w:right w:val="single" w:sz="4" w:space="0" w:color="auto"/>
            </w:tcBorders>
            <w:shd w:val="clear" w:color="auto" w:fill="BFBFBF"/>
            <w:vAlign w:val="center"/>
          </w:tcPr>
          <w:p w14:paraId="1AC9CCC9" w14:textId="3BA75C21" w:rsidR="00A47A77" w:rsidRPr="00067768" w:rsidRDefault="00793439"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w:t>
            </w:r>
            <w:r w:rsidR="00A47A77">
              <w:rPr>
                <w:rFonts w:ascii="Arial Narrow" w:hAnsi="Arial Narrow" w:cs="Arial"/>
                <w:sz w:val="22"/>
                <w:szCs w:val="22"/>
              </w:rPr>
              <w:t>February 2021</w:t>
            </w:r>
          </w:p>
        </w:tc>
        <w:tc>
          <w:tcPr>
            <w:tcW w:w="2693" w:type="dxa"/>
            <w:tcBorders>
              <w:left w:val="single" w:sz="4" w:space="0" w:color="auto"/>
              <w:right w:val="single" w:sz="12" w:space="0" w:color="auto"/>
            </w:tcBorders>
            <w:shd w:val="clear" w:color="auto" w:fill="BFBFBF"/>
            <w:vAlign w:val="center"/>
          </w:tcPr>
          <w:p w14:paraId="4AC1EAC0" w14:textId="135F4C64" w:rsidR="00A47A77" w:rsidRPr="00E30BC4" w:rsidRDefault="00DC1740" w:rsidP="00963E14">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70%</w:t>
            </w:r>
          </w:p>
        </w:tc>
      </w:tr>
      <w:tr w:rsidR="00A47A77" w14:paraId="57F1479E" w14:textId="77777777" w:rsidTr="00664BFC">
        <w:trPr>
          <w:cantSplit/>
          <w:jc w:val="center"/>
        </w:trPr>
        <w:tc>
          <w:tcPr>
            <w:tcW w:w="2692" w:type="dxa"/>
            <w:tcBorders>
              <w:left w:val="single" w:sz="12" w:space="0" w:color="auto"/>
              <w:right w:val="single" w:sz="4" w:space="0" w:color="auto"/>
            </w:tcBorders>
            <w:shd w:val="clear" w:color="auto" w:fill="BFBFBF"/>
            <w:vAlign w:val="center"/>
          </w:tcPr>
          <w:p w14:paraId="3363F342" w14:textId="1E864504" w:rsidR="00A47A77" w:rsidRPr="00B74575" w:rsidRDefault="00793439" w:rsidP="00963E14">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w:t>
            </w:r>
            <w:r w:rsidR="00A47A77">
              <w:rPr>
                <w:rFonts w:ascii="Arial Narrow" w:hAnsi="Arial Narrow" w:cs="Arial"/>
                <w:sz w:val="22"/>
                <w:szCs w:val="22"/>
              </w:rPr>
              <w:t>March 2021</w:t>
            </w:r>
          </w:p>
        </w:tc>
        <w:tc>
          <w:tcPr>
            <w:tcW w:w="2693" w:type="dxa"/>
            <w:tcBorders>
              <w:left w:val="single" w:sz="4" w:space="0" w:color="auto"/>
              <w:right w:val="single" w:sz="12" w:space="0" w:color="auto"/>
            </w:tcBorders>
            <w:shd w:val="clear" w:color="auto" w:fill="BFBFBF"/>
            <w:vAlign w:val="center"/>
          </w:tcPr>
          <w:p w14:paraId="1C77FAED" w14:textId="49A76668" w:rsidR="00A47A77" w:rsidRPr="00E30BC4" w:rsidRDefault="00DC1740" w:rsidP="00DC1740">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77%</w:t>
            </w:r>
          </w:p>
        </w:tc>
      </w:tr>
      <w:tr w:rsidR="00A47A77" w14:paraId="030DC2C1" w14:textId="77777777" w:rsidTr="00664BFC">
        <w:trPr>
          <w:cantSplit/>
          <w:jc w:val="center"/>
        </w:trPr>
        <w:tc>
          <w:tcPr>
            <w:tcW w:w="2692" w:type="dxa"/>
            <w:tcBorders>
              <w:left w:val="single" w:sz="12" w:space="0" w:color="auto"/>
              <w:right w:val="single" w:sz="4" w:space="0" w:color="auto"/>
            </w:tcBorders>
          </w:tcPr>
          <w:p w14:paraId="5E5566D7" w14:textId="47B080CE" w:rsidR="00A47A77" w:rsidRPr="00067768" w:rsidRDefault="00A47A77" w:rsidP="00A47A77">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April</w:t>
            </w:r>
            <w:r w:rsidRPr="00A146A9">
              <w:rPr>
                <w:rFonts w:ascii="Arial Narrow" w:hAnsi="Arial Narrow" w:cs="Arial"/>
                <w:sz w:val="22"/>
                <w:szCs w:val="22"/>
              </w:rPr>
              <w:t xml:space="preserve"> 2021</w:t>
            </w:r>
          </w:p>
        </w:tc>
        <w:tc>
          <w:tcPr>
            <w:tcW w:w="2693" w:type="dxa"/>
            <w:tcBorders>
              <w:left w:val="single" w:sz="4" w:space="0" w:color="auto"/>
              <w:right w:val="single" w:sz="12" w:space="0" w:color="auto"/>
            </w:tcBorders>
            <w:vAlign w:val="center"/>
          </w:tcPr>
          <w:p w14:paraId="0D573C45" w14:textId="42AA1E91" w:rsidR="00A47A77" w:rsidRPr="00E30BC4" w:rsidRDefault="00DC1740" w:rsidP="00A47A77">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80%</w:t>
            </w:r>
          </w:p>
        </w:tc>
      </w:tr>
      <w:tr w:rsidR="00A47A77" w14:paraId="42FE1F8E" w14:textId="77777777" w:rsidTr="00664BFC">
        <w:trPr>
          <w:cantSplit/>
          <w:jc w:val="center"/>
        </w:trPr>
        <w:tc>
          <w:tcPr>
            <w:tcW w:w="2692" w:type="dxa"/>
            <w:tcBorders>
              <w:left w:val="single" w:sz="12" w:space="0" w:color="auto"/>
              <w:right w:val="single" w:sz="4" w:space="0" w:color="auto"/>
            </w:tcBorders>
          </w:tcPr>
          <w:p w14:paraId="41F50AAE" w14:textId="4C684D8F" w:rsidR="00A47A77" w:rsidRPr="00067768" w:rsidRDefault="00A47A77" w:rsidP="00A47A77">
            <w:pPr>
              <w:pStyle w:val="NormalWeb"/>
              <w:spacing w:before="0" w:beforeAutospacing="0" w:after="0" w:afterAutospacing="0"/>
              <w:rPr>
                <w:rFonts w:ascii="Arial Narrow" w:hAnsi="Arial Narrow" w:cs="Arial"/>
                <w:sz w:val="22"/>
                <w:szCs w:val="22"/>
              </w:rPr>
            </w:pPr>
            <w:r w:rsidRPr="00A146A9">
              <w:rPr>
                <w:rFonts w:ascii="Arial Narrow" w:hAnsi="Arial Narrow" w:cs="Arial"/>
                <w:sz w:val="22"/>
                <w:szCs w:val="22"/>
              </w:rPr>
              <w:t>Ma</w:t>
            </w:r>
            <w:r>
              <w:rPr>
                <w:rFonts w:ascii="Arial Narrow" w:hAnsi="Arial Narrow" w:cs="Arial"/>
                <w:sz w:val="22"/>
                <w:szCs w:val="22"/>
              </w:rPr>
              <w:t>y</w:t>
            </w:r>
            <w:r w:rsidRPr="00A146A9">
              <w:rPr>
                <w:rFonts w:ascii="Arial Narrow" w:hAnsi="Arial Narrow" w:cs="Arial"/>
                <w:sz w:val="22"/>
                <w:szCs w:val="22"/>
              </w:rPr>
              <w:t xml:space="preserve"> 2021</w:t>
            </w:r>
          </w:p>
        </w:tc>
        <w:tc>
          <w:tcPr>
            <w:tcW w:w="2693" w:type="dxa"/>
            <w:tcBorders>
              <w:left w:val="single" w:sz="4" w:space="0" w:color="auto"/>
              <w:right w:val="single" w:sz="12" w:space="0" w:color="auto"/>
            </w:tcBorders>
            <w:vAlign w:val="center"/>
          </w:tcPr>
          <w:p w14:paraId="70A78143" w14:textId="6F2113C4" w:rsidR="00A47A77" w:rsidRPr="00E30BC4" w:rsidRDefault="00DC1740" w:rsidP="00A47A77">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81%</w:t>
            </w:r>
          </w:p>
        </w:tc>
      </w:tr>
      <w:tr w:rsidR="00A47A77" w14:paraId="44E970F0" w14:textId="77777777" w:rsidTr="00664BFC">
        <w:trPr>
          <w:cantSplit/>
          <w:trHeight w:val="67"/>
          <w:jc w:val="center"/>
        </w:trPr>
        <w:tc>
          <w:tcPr>
            <w:tcW w:w="2692" w:type="dxa"/>
            <w:tcBorders>
              <w:left w:val="single" w:sz="12" w:space="0" w:color="auto"/>
              <w:bottom w:val="single" w:sz="12" w:space="0" w:color="auto"/>
              <w:right w:val="single" w:sz="4" w:space="0" w:color="auto"/>
            </w:tcBorders>
          </w:tcPr>
          <w:p w14:paraId="2A0D6FBE" w14:textId="06A6382B" w:rsidR="00A47A77" w:rsidRPr="00B74575" w:rsidRDefault="00A47A77" w:rsidP="00A47A77">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June</w:t>
            </w:r>
            <w:r w:rsidRPr="00A146A9">
              <w:rPr>
                <w:rFonts w:ascii="Arial Narrow" w:hAnsi="Arial Narrow" w:cs="Arial"/>
                <w:sz w:val="22"/>
                <w:szCs w:val="22"/>
              </w:rPr>
              <w:t xml:space="preserve"> 2021</w:t>
            </w:r>
          </w:p>
        </w:tc>
        <w:tc>
          <w:tcPr>
            <w:tcW w:w="2693" w:type="dxa"/>
            <w:tcBorders>
              <w:left w:val="single" w:sz="4" w:space="0" w:color="auto"/>
              <w:bottom w:val="single" w:sz="12" w:space="0" w:color="auto"/>
              <w:right w:val="single" w:sz="12" w:space="0" w:color="auto"/>
            </w:tcBorders>
            <w:vAlign w:val="center"/>
          </w:tcPr>
          <w:p w14:paraId="608487BD" w14:textId="64F5B85C" w:rsidR="00A47A77" w:rsidRPr="00E30BC4" w:rsidRDefault="00DC1740" w:rsidP="00A47A77">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83%</w:t>
            </w:r>
          </w:p>
        </w:tc>
      </w:tr>
      <w:tr w:rsidR="00DC1740" w14:paraId="2B9A9769" w14:textId="77777777" w:rsidTr="00DC1740">
        <w:trPr>
          <w:trHeight w:val="312"/>
          <w:jc w:val="center"/>
        </w:trPr>
        <w:tc>
          <w:tcPr>
            <w:tcW w:w="5385" w:type="dxa"/>
            <w:gridSpan w:val="2"/>
            <w:tcBorders>
              <w:top w:val="single" w:sz="12" w:space="0" w:color="auto"/>
              <w:left w:val="nil"/>
              <w:bottom w:val="nil"/>
              <w:right w:val="single" w:sz="12" w:space="0" w:color="FFFFFF" w:themeColor="background1"/>
            </w:tcBorders>
            <w:vAlign w:val="center"/>
          </w:tcPr>
          <w:p w14:paraId="12D5B557" w14:textId="02DDE2FA" w:rsidR="00DC1740" w:rsidRDefault="00DC1740" w:rsidP="00DC1740">
            <w:pPr>
              <w:pStyle w:val="NormalWeb"/>
              <w:spacing w:before="0" w:beforeAutospacing="0" w:after="0" w:afterAutospacing="0"/>
              <w:rPr>
                <w:rFonts w:ascii="Arial Narrow" w:hAnsi="Arial Narrow" w:cs="Arial"/>
                <w:sz w:val="22"/>
                <w:szCs w:val="22"/>
              </w:rPr>
            </w:pPr>
            <w:r>
              <w:rPr>
                <w:rFonts w:ascii="Arial Narrow" w:hAnsi="Arial Narrow" w:cs="Arial"/>
                <w:sz w:val="22"/>
                <w:szCs w:val="22"/>
              </w:rPr>
              <w:t xml:space="preserve">Months in gray </w:t>
            </w:r>
            <w:r w:rsidR="00AA638A">
              <w:rPr>
                <w:rFonts w:ascii="Arial Narrow" w:hAnsi="Arial Narrow" w:cs="Arial"/>
                <w:sz w:val="22"/>
                <w:szCs w:val="22"/>
              </w:rPr>
              <w:t>[and starred</w:t>
            </w:r>
            <w:r w:rsidR="00793439">
              <w:rPr>
                <w:rFonts w:ascii="Arial Narrow" w:hAnsi="Arial Narrow" w:cs="Arial"/>
                <w:sz w:val="22"/>
                <w:szCs w:val="22"/>
              </w:rPr>
              <w:t xml:space="preserve">*] </w:t>
            </w:r>
            <w:r>
              <w:rPr>
                <w:rFonts w:ascii="Arial Narrow" w:hAnsi="Arial Narrow" w:cs="Arial"/>
                <w:sz w:val="22"/>
                <w:szCs w:val="22"/>
              </w:rPr>
              <w:t>represent COVID-19 surge period.</w:t>
            </w:r>
          </w:p>
        </w:tc>
      </w:tr>
    </w:tbl>
    <w:p w14:paraId="139A7BCA" w14:textId="77777777" w:rsidR="00843DC9" w:rsidRDefault="00843DC9" w:rsidP="007C7545">
      <w:pPr>
        <w:pStyle w:val="NormalWeb"/>
        <w:spacing w:before="0" w:beforeAutospacing="0" w:after="0" w:afterAutospacing="0"/>
        <w:jc w:val="both"/>
        <w:rPr>
          <w:rFonts w:ascii="Arial" w:hAnsi="Arial" w:cs="Arial"/>
          <w:sz w:val="22"/>
          <w:szCs w:val="22"/>
          <w:u w:val="single"/>
        </w:rPr>
      </w:pPr>
    </w:p>
    <w:p w14:paraId="040AFAA0" w14:textId="12568F18" w:rsidR="00E24D42" w:rsidRPr="00264BCD" w:rsidRDefault="00966519" w:rsidP="007C7545">
      <w:pPr>
        <w:pStyle w:val="NormalWeb"/>
        <w:numPr>
          <w:ilvl w:val="0"/>
          <w:numId w:val="10"/>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Projected Demand and Meeting Future Needs through the Proposed Project</w:t>
      </w:r>
    </w:p>
    <w:p w14:paraId="7F632588" w14:textId="77777777" w:rsidR="00CF1E45" w:rsidRDefault="00CF1E45" w:rsidP="00CF1E45">
      <w:pPr>
        <w:pStyle w:val="NormalWeb"/>
        <w:spacing w:before="0" w:beforeAutospacing="0" w:after="0" w:afterAutospacing="0"/>
        <w:rPr>
          <w:rFonts w:ascii="ArialMT" w:hAnsi="ArialMT"/>
          <w:sz w:val="22"/>
          <w:szCs w:val="22"/>
        </w:rPr>
      </w:pPr>
    </w:p>
    <w:p w14:paraId="60F18E01" w14:textId="670DFA86" w:rsidR="00CF1E45" w:rsidRDefault="00CF1E45" w:rsidP="00CF1E45">
      <w:pPr>
        <w:pStyle w:val="NormalWeb"/>
        <w:spacing w:before="0" w:beforeAutospacing="0" w:after="0" w:afterAutospacing="0"/>
        <w:jc w:val="both"/>
        <w:rPr>
          <w:rFonts w:ascii="ArialMT" w:hAnsi="ArialMT"/>
          <w:sz w:val="22"/>
          <w:szCs w:val="22"/>
        </w:rPr>
      </w:pPr>
      <w:r>
        <w:rPr>
          <w:rFonts w:ascii="ArialMT" w:hAnsi="ArialMT"/>
          <w:sz w:val="22"/>
          <w:szCs w:val="22"/>
        </w:rPr>
        <w:t>The Hospital anticipates that demand for surgical services will continue to grow into the future.</w:t>
      </w:r>
      <w:r w:rsidR="00B256EC">
        <w:rPr>
          <w:rFonts w:ascii="ArialMT" w:hAnsi="ArialMT"/>
          <w:sz w:val="22"/>
          <w:szCs w:val="22"/>
        </w:rPr>
        <w:t xml:space="preserve"> T</w:t>
      </w:r>
      <w:r>
        <w:rPr>
          <w:rFonts w:ascii="ArialMT" w:hAnsi="ArialMT"/>
          <w:sz w:val="22"/>
          <w:szCs w:val="22"/>
        </w:rPr>
        <w:t>able</w:t>
      </w:r>
      <w:r w:rsidR="00B256EC">
        <w:rPr>
          <w:rFonts w:ascii="ArialMT" w:hAnsi="ArialMT"/>
          <w:sz w:val="22"/>
          <w:szCs w:val="22"/>
        </w:rPr>
        <w:t xml:space="preserve"> 1</w:t>
      </w:r>
      <w:r w:rsidR="00A25F12">
        <w:rPr>
          <w:rFonts w:ascii="ArialMT" w:hAnsi="ArialMT"/>
          <w:sz w:val="22"/>
          <w:szCs w:val="22"/>
        </w:rPr>
        <w:t>9</w:t>
      </w:r>
      <w:r>
        <w:rPr>
          <w:rFonts w:ascii="ArialMT" w:hAnsi="ArialMT"/>
          <w:sz w:val="22"/>
          <w:szCs w:val="22"/>
        </w:rPr>
        <w:t xml:space="preserve"> illustrates the future year projections for such volume. </w:t>
      </w:r>
    </w:p>
    <w:p w14:paraId="49621666" w14:textId="77777777" w:rsidR="00F644E5" w:rsidRDefault="00F644E5" w:rsidP="00CF1E45">
      <w:pPr>
        <w:pStyle w:val="NormalWeb"/>
        <w:spacing w:before="0" w:beforeAutospacing="0" w:after="0" w:afterAutospacing="0"/>
        <w:jc w:val="both"/>
        <w:rPr>
          <w:rFonts w:ascii="Arial Narrow" w:hAnsi="Arial Narrow" w:cs="Arial"/>
          <w:b/>
          <w:bCs/>
          <w:color w:val="000000" w:themeColor="text1"/>
          <w:sz w:val="22"/>
          <w:szCs w:val="22"/>
        </w:rPr>
      </w:pPr>
    </w:p>
    <w:p w14:paraId="0A709095" w14:textId="53021C19" w:rsidR="00CF1E45" w:rsidRDefault="00F644E5" w:rsidP="00CF1E45">
      <w:pPr>
        <w:pStyle w:val="NormalWeb"/>
        <w:spacing w:before="0" w:beforeAutospacing="0" w:after="0" w:afterAutospacing="0"/>
        <w:jc w:val="both"/>
        <w:rPr>
          <w:rFonts w:ascii="ArialMT" w:hAnsi="ArialMT"/>
          <w:sz w:val="22"/>
          <w:szCs w:val="22"/>
        </w:rPr>
      </w:pPr>
      <w:r w:rsidRPr="00F644E5">
        <w:rPr>
          <w:rFonts w:ascii="Arial Narrow" w:hAnsi="Arial Narrow" w:cs="Arial"/>
          <w:b/>
          <w:bCs/>
          <w:color w:val="000000" w:themeColor="text1"/>
          <w:sz w:val="22"/>
          <w:szCs w:val="22"/>
        </w:rPr>
        <w:t>Table 19: BMC Projected Inpatient Surgical Cases</w:t>
      </w:r>
    </w:p>
    <w:tbl>
      <w:tblPr>
        <w:tblStyle w:val="TableGrid"/>
        <w:tblW w:w="0" w:type="auto"/>
        <w:jc w:val="center"/>
        <w:tblLayout w:type="fixed"/>
        <w:tblLook w:val="04A0" w:firstRow="1" w:lastRow="0" w:firstColumn="1" w:lastColumn="0" w:noHBand="0" w:noVBand="1"/>
      </w:tblPr>
      <w:tblGrid>
        <w:gridCol w:w="1527"/>
        <w:gridCol w:w="1527"/>
        <w:gridCol w:w="1527"/>
        <w:gridCol w:w="1527"/>
        <w:gridCol w:w="1527"/>
      </w:tblGrid>
      <w:tr w:rsidR="00CF1E45" w14:paraId="79C3EE9C" w14:textId="77777777" w:rsidTr="00F644E5">
        <w:trPr>
          <w:cantSplit/>
          <w:tblHeader/>
          <w:jc w:val="center"/>
        </w:trPr>
        <w:tc>
          <w:tcPr>
            <w:tcW w:w="1527" w:type="dxa"/>
            <w:tcBorders>
              <w:left w:val="single" w:sz="12" w:space="0" w:color="auto"/>
              <w:right w:val="single" w:sz="4" w:space="0" w:color="auto"/>
            </w:tcBorders>
            <w:shd w:val="clear" w:color="auto" w:fill="8DA9DB"/>
            <w:vAlign w:val="center"/>
          </w:tcPr>
          <w:p w14:paraId="34E31329" w14:textId="740DA2F8" w:rsidR="00CF1E45" w:rsidRPr="00F80B42" w:rsidRDefault="00CF1E45" w:rsidP="00CF1E45">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FY24</w:t>
            </w:r>
          </w:p>
        </w:tc>
        <w:tc>
          <w:tcPr>
            <w:tcW w:w="1527" w:type="dxa"/>
            <w:tcBorders>
              <w:left w:val="single" w:sz="4" w:space="0" w:color="auto"/>
              <w:right w:val="single" w:sz="4" w:space="0" w:color="auto"/>
            </w:tcBorders>
            <w:shd w:val="clear" w:color="auto" w:fill="8DA9DB"/>
          </w:tcPr>
          <w:p w14:paraId="0662E058" w14:textId="79D9206D" w:rsidR="00CF1E45" w:rsidRPr="00F80B42" w:rsidRDefault="00CF1E45" w:rsidP="00CF1E45">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FY25</w:t>
            </w:r>
          </w:p>
        </w:tc>
        <w:tc>
          <w:tcPr>
            <w:tcW w:w="1527" w:type="dxa"/>
            <w:tcBorders>
              <w:left w:val="single" w:sz="4" w:space="0" w:color="auto"/>
            </w:tcBorders>
            <w:shd w:val="clear" w:color="auto" w:fill="8DA9DB"/>
          </w:tcPr>
          <w:p w14:paraId="1A453848" w14:textId="28CA9CF1" w:rsidR="00CF1E45" w:rsidRPr="00F80B42" w:rsidRDefault="00CF1E45" w:rsidP="00CF1E45">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FY26</w:t>
            </w:r>
          </w:p>
        </w:tc>
        <w:tc>
          <w:tcPr>
            <w:tcW w:w="1527" w:type="dxa"/>
            <w:shd w:val="clear" w:color="auto" w:fill="8DA9DB"/>
            <w:vAlign w:val="center"/>
          </w:tcPr>
          <w:p w14:paraId="6C8CF15A" w14:textId="3D85CAE5" w:rsidR="00CF1E45" w:rsidRPr="00F80B42" w:rsidRDefault="00CF1E45" w:rsidP="00CF1E45">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FY27</w:t>
            </w:r>
          </w:p>
        </w:tc>
        <w:tc>
          <w:tcPr>
            <w:tcW w:w="1527" w:type="dxa"/>
            <w:tcBorders>
              <w:right w:val="single" w:sz="12" w:space="0" w:color="auto"/>
            </w:tcBorders>
            <w:shd w:val="clear" w:color="auto" w:fill="8DA9DB"/>
            <w:vAlign w:val="center"/>
          </w:tcPr>
          <w:p w14:paraId="761409AB" w14:textId="42ACA103" w:rsidR="00CF1E45" w:rsidRPr="00F80B42" w:rsidRDefault="00CF1E45" w:rsidP="00CF1E45">
            <w:pPr>
              <w:pStyle w:val="NormalWeb"/>
              <w:spacing w:before="0" w:beforeAutospacing="0" w:after="0" w:afterAutospacing="0"/>
              <w:jc w:val="center"/>
              <w:rPr>
                <w:rFonts w:ascii="Arial Narrow" w:hAnsi="Arial Narrow" w:cs="Arial"/>
                <w:b/>
                <w:bCs/>
                <w:sz w:val="22"/>
                <w:szCs w:val="22"/>
              </w:rPr>
            </w:pPr>
            <w:r>
              <w:rPr>
                <w:rFonts w:ascii="Arial Narrow" w:hAnsi="Arial Narrow" w:cs="Arial"/>
                <w:b/>
                <w:bCs/>
                <w:sz w:val="22"/>
                <w:szCs w:val="22"/>
              </w:rPr>
              <w:t>FY28</w:t>
            </w:r>
          </w:p>
        </w:tc>
      </w:tr>
      <w:tr w:rsidR="00CF1E45" w14:paraId="72C75AFB" w14:textId="77777777" w:rsidTr="00F644E5">
        <w:trPr>
          <w:cantSplit/>
          <w:jc w:val="center"/>
        </w:trPr>
        <w:tc>
          <w:tcPr>
            <w:tcW w:w="1527" w:type="dxa"/>
            <w:tcBorders>
              <w:left w:val="single" w:sz="12" w:space="0" w:color="auto"/>
              <w:bottom w:val="single" w:sz="12" w:space="0" w:color="auto"/>
              <w:right w:val="single" w:sz="4" w:space="0" w:color="auto"/>
            </w:tcBorders>
            <w:vAlign w:val="center"/>
          </w:tcPr>
          <w:p w14:paraId="6CA5E2DC" w14:textId="5FB2C8B5" w:rsidR="00CF1E45" w:rsidRPr="00067768" w:rsidRDefault="00B052A5" w:rsidP="00CF1E45">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6,</w:t>
            </w:r>
            <w:r w:rsidR="00A95438">
              <w:rPr>
                <w:rFonts w:ascii="Arial Narrow" w:hAnsi="Arial Narrow" w:cs="Arial"/>
                <w:sz w:val="22"/>
                <w:szCs w:val="22"/>
              </w:rPr>
              <w:t>571</w:t>
            </w:r>
          </w:p>
        </w:tc>
        <w:tc>
          <w:tcPr>
            <w:tcW w:w="1527" w:type="dxa"/>
            <w:tcBorders>
              <w:left w:val="single" w:sz="4" w:space="0" w:color="auto"/>
              <w:bottom w:val="single" w:sz="12" w:space="0" w:color="auto"/>
              <w:right w:val="single" w:sz="4" w:space="0" w:color="auto"/>
            </w:tcBorders>
            <w:vAlign w:val="center"/>
          </w:tcPr>
          <w:p w14:paraId="32FD0C6E" w14:textId="5D89F67F" w:rsidR="00CF1E45" w:rsidRPr="00E30BC4" w:rsidRDefault="00B052A5" w:rsidP="00CF1E45">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w:t>
            </w:r>
            <w:r w:rsidR="00A95438">
              <w:rPr>
                <w:rFonts w:ascii="Arial Narrow" w:hAnsi="Arial Narrow" w:cs="Arial"/>
                <w:sz w:val="22"/>
                <w:szCs w:val="22"/>
              </w:rPr>
              <w:t>331</w:t>
            </w:r>
          </w:p>
        </w:tc>
        <w:tc>
          <w:tcPr>
            <w:tcW w:w="1527" w:type="dxa"/>
            <w:tcBorders>
              <w:left w:val="single" w:sz="4" w:space="0" w:color="auto"/>
              <w:bottom w:val="single" w:sz="12" w:space="0" w:color="auto"/>
            </w:tcBorders>
            <w:vAlign w:val="center"/>
          </w:tcPr>
          <w:p w14:paraId="30D2B134" w14:textId="6C073D9D" w:rsidR="00CF1E45" w:rsidRPr="00F80B42" w:rsidRDefault="00B052A5" w:rsidP="00CF1E45">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w:t>
            </w:r>
            <w:r w:rsidR="00A95438">
              <w:rPr>
                <w:rFonts w:ascii="Arial Narrow" w:hAnsi="Arial Narrow" w:cs="Arial"/>
                <w:sz w:val="22"/>
                <w:szCs w:val="22"/>
              </w:rPr>
              <w:t>567</w:t>
            </w:r>
          </w:p>
        </w:tc>
        <w:tc>
          <w:tcPr>
            <w:tcW w:w="1527" w:type="dxa"/>
            <w:tcBorders>
              <w:bottom w:val="single" w:sz="12" w:space="0" w:color="auto"/>
            </w:tcBorders>
            <w:vAlign w:val="center"/>
          </w:tcPr>
          <w:p w14:paraId="1DE4D82E" w14:textId="0B5C87A1" w:rsidR="00CF1E45" w:rsidRDefault="00B052A5" w:rsidP="00CF1E45">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w:t>
            </w:r>
            <w:r w:rsidR="00A95438">
              <w:rPr>
                <w:rFonts w:ascii="Arial Narrow" w:hAnsi="Arial Narrow" w:cs="Arial"/>
                <w:sz w:val="22"/>
                <w:szCs w:val="22"/>
              </w:rPr>
              <w:t>567</w:t>
            </w:r>
          </w:p>
        </w:tc>
        <w:tc>
          <w:tcPr>
            <w:tcW w:w="1527" w:type="dxa"/>
            <w:tcBorders>
              <w:bottom w:val="single" w:sz="12" w:space="0" w:color="auto"/>
              <w:right w:val="single" w:sz="12" w:space="0" w:color="auto"/>
            </w:tcBorders>
            <w:vAlign w:val="center"/>
          </w:tcPr>
          <w:p w14:paraId="6F4630B4" w14:textId="7FAAEFA6" w:rsidR="00CF1E45" w:rsidRPr="00F80B42" w:rsidRDefault="00B052A5" w:rsidP="00CF1E45">
            <w:pPr>
              <w:pStyle w:val="NormalWeb"/>
              <w:spacing w:before="0" w:beforeAutospacing="0" w:after="0" w:afterAutospacing="0"/>
              <w:jc w:val="center"/>
              <w:rPr>
                <w:rFonts w:ascii="Arial Narrow" w:hAnsi="Arial Narrow" w:cs="Arial"/>
                <w:sz w:val="22"/>
                <w:szCs w:val="22"/>
              </w:rPr>
            </w:pPr>
            <w:r>
              <w:rPr>
                <w:rFonts w:ascii="Arial Narrow" w:hAnsi="Arial Narrow" w:cs="Arial"/>
                <w:sz w:val="22"/>
                <w:szCs w:val="22"/>
              </w:rPr>
              <w:t>7,</w:t>
            </w:r>
            <w:r w:rsidR="00A95438">
              <w:rPr>
                <w:rFonts w:ascii="Arial Narrow" w:hAnsi="Arial Narrow" w:cs="Arial"/>
                <w:sz w:val="22"/>
                <w:szCs w:val="22"/>
              </w:rPr>
              <w:t>567</w:t>
            </w:r>
          </w:p>
        </w:tc>
      </w:tr>
    </w:tbl>
    <w:p w14:paraId="07EA62D7" w14:textId="77777777" w:rsidR="00CF1E45" w:rsidRDefault="00CF1E45" w:rsidP="00264BCD">
      <w:pPr>
        <w:jc w:val="both"/>
        <w:rPr>
          <w:rFonts w:ascii="ArialMT" w:hAnsi="ArialMT"/>
          <w:sz w:val="22"/>
          <w:szCs w:val="22"/>
          <w:highlight w:val="yellow"/>
        </w:rPr>
      </w:pPr>
    </w:p>
    <w:p w14:paraId="543AFC58" w14:textId="12ACDBE2" w:rsidR="00773EAA" w:rsidRDefault="00B256EC" w:rsidP="00B256EC">
      <w:pPr>
        <w:pStyle w:val="NormalWeb"/>
        <w:spacing w:before="0" w:beforeAutospacing="0" w:after="0" w:afterAutospacing="0"/>
        <w:jc w:val="both"/>
        <w:rPr>
          <w:rFonts w:ascii="ArialMT" w:hAnsi="ArialMT"/>
          <w:sz w:val="22"/>
          <w:szCs w:val="22"/>
        </w:rPr>
      </w:pPr>
      <w:r>
        <w:rPr>
          <w:rFonts w:ascii="ArialMT" w:hAnsi="ArialMT"/>
          <w:sz w:val="22"/>
          <w:szCs w:val="22"/>
        </w:rPr>
        <w:t>This projected demand is b</w:t>
      </w:r>
      <w:r w:rsidRPr="00255A4E">
        <w:rPr>
          <w:rFonts w:ascii="ArialMT" w:hAnsi="ArialMT"/>
          <w:sz w:val="22"/>
          <w:szCs w:val="22"/>
        </w:rPr>
        <w:t>ased on several factors</w:t>
      </w:r>
      <w:r w:rsidR="000F312B" w:rsidRPr="00255A4E">
        <w:rPr>
          <w:rFonts w:ascii="ArialMT" w:hAnsi="ArialMT"/>
          <w:sz w:val="22"/>
          <w:szCs w:val="22"/>
        </w:rPr>
        <w:t xml:space="preserve"> in</w:t>
      </w:r>
      <w:r w:rsidR="00773EAA" w:rsidRPr="00255A4E">
        <w:rPr>
          <w:rFonts w:ascii="ArialMT" w:hAnsi="ArialMT"/>
          <w:sz w:val="22"/>
          <w:szCs w:val="22"/>
        </w:rPr>
        <w:t xml:space="preserve">cluding </w:t>
      </w:r>
      <w:r w:rsidR="000F312B" w:rsidRPr="00255A4E">
        <w:rPr>
          <w:rFonts w:ascii="ArialMT" w:hAnsi="ArialMT"/>
          <w:sz w:val="22"/>
          <w:szCs w:val="22"/>
        </w:rPr>
        <w:t>historic trends</w:t>
      </w:r>
      <w:r w:rsidR="00773EAA" w:rsidRPr="00255A4E">
        <w:rPr>
          <w:rFonts w:ascii="ArialMT" w:hAnsi="ArialMT"/>
          <w:sz w:val="22"/>
          <w:szCs w:val="22"/>
        </w:rPr>
        <w:t>, a</w:t>
      </w:r>
      <w:r w:rsidR="00DC7068" w:rsidRPr="00255A4E">
        <w:rPr>
          <w:rFonts w:ascii="ArialMT" w:hAnsi="ArialMT"/>
          <w:sz w:val="22"/>
          <w:szCs w:val="22"/>
        </w:rPr>
        <w:t xml:space="preserve"> growing and</w:t>
      </w:r>
      <w:r w:rsidR="00773EAA" w:rsidRPr="00255A4E">
        <w:rPr>
          <w:rFonts w:ascii="ArialMT" w:hAnsi="ArialMT"/>
          <w:sz w:val="22"/>
          <w:szCs w:val="22"/>
        </w:rPr>
        <w:t xml:space="preserve"> aging population, and </w:t>
      </w:r>
      <w:r w:rsidR="00255A4E" w:rsidRPr="00255A4E">
        <w:rPr>
          <w:rFonts w:ascii="ArialMT" w:hAnsi="ArialMT"/>
          <w:sz w:val="22"/>
          <w:szCs w:val="22"/>
        </w:rPr>
        <w:t>proposed</w:t>
      </w:r>
      <w:r w:rsidR="00057AA4" w:rsidRPr="00255A4E">
        <w:rPr>
          <w:rFonts w:ascii="ArialMT" w:hAnsi="ArialMT"/>
          <w:sz w:val="22"/>
          <w:szCs w:val="22"/>
        </w:rPr>
        <w:t xml:space="preserve"> </w:t>
      </w:r>
      <w:r w:rsidR="00773EAA" w:rsidRPr="00255A4E">
        <w:rPr>
          <w:rFonts w:ascii="ArialMT" w:hAnsi="ArialMT"/>
          <w:sz w:val="22"/>
          <w:szCs w:val="22"/>
        </w:rPr>
        <w:t xml:space="preserve">arrangements for </w:t>
      </w:r>
      <w:r w:rsidR="00057AA4" w:rsidRPr="00255A4E">
        <w:rPr>
          <w:rFonts w:ascii="ArialMT" w:hAnsi="ArialMT"/>
          <w:sz w:val="22"/>
          <w:szCs w:val="22"/>
        </w:rPr>
        <w:t xml:space="preserve">additional </w:t>
      </w:r>
      <w:r w:rsidR="00255A4E" w:rsidRPr="00255A4E">
        <w:rPr>
          <w:rFonts w:ascii="ArialMT" w:hAnsi="ArialMT"/>
          <w:sz w:val="22"/>
          <w:szCs w:val="22"/>
        </w:rPr>
        <w:t xml:space="preserve">surgical </w:t>
      </w:r>
      <w:r w:rsidR="00E3629A">
        <w:rPr>
          <w:rFonts w:ascii="ArialMT" w:hAnsi="ArialMT"/>
          <w:sz w:val="22"/>
          <w:szCs w:val="22"/>
        </w:rPr>
        <w:t>staff to provide greater access to services</w:t>
      </w:r>
      <w:r w:rsidRPr="00255A4E">
        <w:rPr>
          <w:rFonts w:ascii="ArialMT" w:hAnsi="ArialMT"/>
          <w:sz w:val="22"/>
          <w:szCs w:val="22"/>
        </w:rPr>
        <w:t xml:space="preserve">. </w:t>
      </w:r>
      <w:r w:rsidR="00773EAA" w:rsidRPr="00255A4E">
        <w:rPr>
          <w:rFonts w:ascii="ArialMT" w:hAnsi="ArialMT"/>
          <w:sz w:val="22"/>
          <w:szCs w:val="22"/>
        </w:rPr>
        <w:t xml:space="preserve">With regard to </w:t>
      </w:r>
      <w:r w:rsidR="00DC7068" w:rsidRPr="00255A4E">
        <w:rPr>
          <w:rFonts w:ascii="ArialMT" w:hAnsi="ArialMT"/>
          <w:sz w:val="22"/>
          <w:szCs w:val="22"/>
        </w:rPr>
        <w:t>population growth and age trends</w:t>
      </w:r>
      <w:r w:rsidRPr="00255A4E">
        <w:rPr>
          <w:rFonts w:ascii="ArialMT" w:hAnsi="ArialMT"/>
          <w:sz w:val="22"/>
          <w:szCs w:val="22"/>
        </w:rPr>
        <w:t xml:space="preserve">, </w:t>
      </w:r>
      <w:r w:rsidR="00773EAA" w:rsidRPr="00255A4E">
        <w:rPr>
          <w:rFonts w:ascii="ArialMT" w:hAnsi="ArialMT"/>
          <w:sz w:val="22"/>
          <w:szCs w:val="22"/>
        </w:rPr>
        <w:t xml:space="preserve">the </w:t>
      </w:r>
      <w:r w:rsidR="00DC7068" w:rsidRPr="00255A4E">
        <w:rPr>
          <w:rFonts w:ascii="ArialMT" w:hAnsi="ArialMT"/>
          <w:sz w:val="22"/>
          <w:szCs w:val="22"/>
        </w:rPr>
        <w:t xml:space="preserve">Applicant notes that the </w:t>
      </w:r>
      <w:r w:rsidR="00773EAA" w:rsidRPr="00255A4E">
        <w:rPr>
          <w:rFonts w:ascii="ArialMT" w:hAnsi="ArialMT"/>
          <w:sz w:val="22"/>
          <w:szCs w:val="22"/>
        </w:rPr>
        <w:t xml:space="preserve">projected growth in inpatient surgical volume is </w:t>
      </w:r>
      <w:r w:rsidR="00255A4E">
        <w:rPr>
          <w:rFonts w:ascii="ArialMT" w:hAnsi="ArialMT"/>
          <w:sz w:val="22"/>
          <w:szCs w:val="22"/>
        </w:rPr>
        <w:t>largely</w:t>
      </w:r>
      <w:r w:rsidR="00773EAA" w:rsidRPr="00255A4E">
        <w:rPr>
          <w:rFonts w:ascii="ArialMT" w:hAnsi="ArialMT"/>
          <w:sz w:val="22"/>
          <w:szCs w:val="22"/>
        </w:rPr>
        <w:t xml:space="preserve"> attributable to the anticipated increase in the number of </w:t>
      </w:r>
      <w:r w:rsidR="001D1ECA" w:rsidRPr="00255A4E">
        <w:rPr>
          <w:rFonts w:ascii="ArialMT" w:hAnsi="ArialMT"/>
          <w:sz w:val="22"/>
          <w:szCs w:val="22"/>
        </w:rPr>
        <w:t>Greater Boston residents</w:t>
      </w:r>
      <w:r w:rsidR="00DC7068" w:rsidRPr="00255A4E">
        <w:rPr>
          <w:rFonts w:ascii="ArialMT" w:hAnsi="ArialMT"/>
          <w:sz w:val="22"/>
          <w:szCs w:val="22"/>
        </w:rPr>
        <w:t xml:space="preserve">, particularly </w:t>
      </w:r>
      <w:r w:rsidR="001D1ECA" w:rsidRPr="00255A4E">
        <w:rPr>
          <w:rFonts w:ascii="ArialMT" w:hAnsi="ArialMT"/>
          <w:sz w:val="22"/>
          <w:szCs w:val="22"/>
        </w:rPr>
        <w:t xml:space="preserve">those </w:t>
      </w:r>
      <w:r w:rsidR="00773EAA" w:rsidRPr="00255A4E">
        <w:rPr>
          <w:rFonts w:ascii="ArialMT" w:hAnsi="ArialMT"/>
          <w:sz w:val="22"/>
          <w:szCs w:val="22"/>
        </w:rPr>
        <w:t>within the 65+ age cohort</w:t>
      </w:r>
      <w:r w:rsidR="00DC7068" w:rsidRPr="00255A4E">
        <w:rPr>
          <w:rFonts w:ascii="ArialMT" w:hAnsi="ArialMT"/>
          <w:sz w:val="22"/>
          <w:szCs w:val="22"/>
        </w:rPr>
        <w:t>,</w:t>
      </w:r>
      <w:r w:rsidR="00773EAA" w:rsidRPr="00255A4E">
        <w:rPr>
          <w:rFonts w:ascii="ArialMT" w:hAnsi="ArialMT"/>
          <w:sz w:val="22"/>
          <w:szCs w:val="22"/>
        </w:rPr>
        <w:t xml:space="preserve"> in the coming years. To this point, the Applicant reiterates </w:t>
      </w:r>
      <w:r w:rsidR="00DC7068" w:rsidRPr="00255A4E">
        <w:rPr>
          <w:rFonts w:ascii="ArialMT" w:hAnsi="ArialMT"/>
          <w:sz w:val="22"/>
          <w:szCs w:val="22"/>
        </w:rPr>
        <w:t xml:space="preserve">that data provided by UMDI suggest that </w:t>
      </w:r>
      <w:r w:rsidR="001D1ECA" w:rsidRPr="00255A4E">
        <w:rPr>
          <w:rFonts w:ascii="Arial" w:hAnsi="Arial" w:cs="Arial"/>
          <w:sz w:val="22"/>
          <w:szCs w:val="22"/>
        </w:rPr>
        <w:t xml:space="preserve">between 2020 and 2040, </w:t>
      </w:r>
      <w:r w:rsidR="00DC7068" w:rsidRPr="00255A4E">
        <w:rPr>
          <w:rFonts w:ascii="ArialMT" w:hAnsi="ArialMT"/>
          <w:sz w:val="22"/>
          <w:szCs w:val="22"/>
        </w:rPr>
        <w:t xml:space="preserve">the </w:t>
      </w:r>
      <w:r w:rsidR="00DC7068" w:rsidRPr="00255A4E">
        <w:rPr>
          <w:rFonts w:ascii="Arial" w:hAnsi="Arial" w:cs="Arial"/>
          <w:sz w:val="22"/>
          <w:szCs w:val="22"/>
        </w:rPr>
        <w:t>Greater Boston region</w:t>
      </w:r>
      <w:r w:rsidR="001D1ECA" w:rsidRPr="00255A4E">
        <w:rPr>
          <w:rFonts w:ascii="Arial" w:hAnsi="Arial" w:cs="Arial"/>
          <w:sz w:val="22"/>
          <w:szCs w:val="22"/>
        </w:rPr>
        <w:t xml:space="preserve"> is expected to experience a 9.6% increase in</w:t>
      </w:r>
      <w:r w:rsidR="001D1ECA">
        <w:rPr>
          <w:rFonts w:ascii="Arial" w:hAnsi="Arial" w:cs="Arial"/>
          <w:sz w:val="22"/>
          <w:szCs w:val="22"/>
        </w:rPr>
        <w:t xml:space="preserve"> residents ages 0-64 and a 40.7% increase in residents ages 65+.</w:t>
      </w:r>
      <w:r w:rsidR="001D1ECA">
        <w:rPr>
          <w:rFonts w:ascii="ArialMT" w:hAnsi="ArialMT"/>
          <w:sz w:val="22"/>
          <w:szCs w:val="22"/>
        </w:rPr>
        <w:t xml:space="preserve"> </w:t>
      </w:r>
      <w:r w:rsidR="00B650FA">
        <w:rPr>
          <w:rFonts w:ascii="ArialMT" w:hAnsi="ArialMT"/>
          <w:sz w:val="22"/>
          <w:szCs w:val="22"/>
        </w:rPr>
        <w:t xml:space="preserve">As the Greater Boston population grows, the Applicant anticipates that demand for surgical services will grow as well. </w:t>
      </w:r>
      <w:r w:rsidR="005A6536">
        <w:rPr>
          <w:rFonts w:ascii="ArialMT" w:hAnsi="ArialMT"/>
          <w:sz w:val="22"/>
          <w:szCs w:val="22"/>
        </w:rPr>
        <w:t>In particular</w:t>
      </w:r>
      <w:r w:rsidR="00B650FA">
        <w:rPr>
          <w:rFonts w:ascii="ArialMT" w:hAnsi="ArialMT"/>
          <w:sz w:val="22"/>
          <w:szCs w:val="22"/>
        </w:rPr>
        <w:t>, t</w:t>
      </w:r>
      <w:r w:rsidR="001D1ECA">
        <w:rPr>
          <w:rFonts w:ascii="ArialMT" w:hAnsi="ArialMT"/>
          <w:sz w:val="22"/>
          <w:szCs w:val="22"/>
        </w:rPr>
        <w:t xml:space="preserve">he increase in older adult patients is </w:t>
      </w:r>
      <w:r w:rsidR="005A6536">
        <w:rPr>
          <w:rFonts w:ascii="ArialMT" w:hAnsi="ArialMT"/>
          <w:sz w:val="22"/>
          <w:szCs w:val="22"/>
        </w:rPr>
        <w:t>expected to</w:t>
      </w:r>
      <w:r w:rsidR="001D1ECA">
        <w:rPr>
          <w:rFonts w:ascii="ArialMT" w:hAnsi="ArialMT"/>
          <w:sz w:val="22"/>
          <w:szCs w:val="22"/>
        </w:rPr>
        <w:t xml:space="preserve"> significant</w:t>
      </w:r>
      <w:r w:rsidR="005A6536">
        <w:rPr>
          <w:rFonts w:ascii="ArialMT" w:hAnsi="ArialMT"/>
          <w:sz w:val="22"/>
          <w:szCs w:val="22"/>
        </w:rPr>
        <w:t>ly drive demand,</w:t>
      </w:r>
      <w:r w:rsidR="001D1ECA">
        <w:rPr>
          <w:rFonts w:ascii="ArialMT" w:hAnsi="ArialMT"/>
          <w:sz w:val="22"/>
          <w:szCs w:val="22"/>
        </w:rPr>
        <w:t xml:space="preserve"> as </w:t>
      </w:r>
      <w:r w:rsidR="00B650FA">
        <w:rPr>
          <w:rFonts w:ascii="ArialMT" w:hAnsi="ArialMT"/>
          <w:sz w:val="22"/>
          <w:szCs w:val="22"/>
        </w:rPr>
        <w:t>the surgical procedures offered by the Hospital are often necessary to treat conditions that have high incidence rates related to aging</w:t>
      </w:r>
      <w:r w:rsidR="005A6536">
        <w:rPr>
          <w:rFonts w:ascii="ArialMT" w:hAnsi="ArialMT"/>
          <w:sz w:val="22"/>
          <w:szCs w:val="22"/>
        </w:rPr>
        <w:t xml:space="preserve"> (e.g., cardiovascular, neurological, etc.).</w:t>
      </w:r>
    </w:p>
    <w:p w14:paraId="0368743E" w14:textId="09FB59D1" w:rsidR="00057AA4" w:rsidRDefault="00057AA4" w:rsidP="00B256EC">
      <w:pPr>
        <w:pStyle w:val="NormalWeb"/>
        <w:spacing w:before="0" w:beforeAutospacing="0" w:after="0" w:afterAutospacing="0"/>
        <w:jc w:val="both"/>
        <w:rPr>
          <w:rFonts w:ascii="ArialMT" w:hAnsi="ArialMT"/>
          <w:sz w:val="22"/>
          <w:szCs w:val="22"/>
        </w:rPr>
      </w:pPr>
    </w:p>
    <w:p w14:paraId="0149F624" w14:textId="38B0F35B" w:rsidR="006C667C" w:rsidRPr="006C667C" w:rsidRDefault="00BB21B5" w:rsidP="005A6536">
      <w:pPr>
        <w:pStyle w:val="NormalWeb"/>
        <w:spacing w:before="0" w:beforeAutospacing="0" w:after="0" w:afterAutospacing="0"/>
        <w:jc w:val="both"/>
        <w:rPr>
          <w:rFonts w:ascii="Arial" w:hAnsi="Arial" w:cs="Arial"/>
          <w:sz w:val="22"/>
          <w:szCs w:val="22"/>
        </w:rPr>
      </w:pPr>
      <w:r>
        <w:rPr>
          <w:rFonts w:ascii="ArialMT" w:hAnsi="ArialMT"/>
          <w:sz w:val="22"/>
          <w:szCs w:val="22"/>
        </w:rPr>
        <w:t xml:space="preserve">Based on these factors, the Applicant projects that inpatient surgical volume will grow to approximately </w:t>
      </w:r>
      <w:r w:rsidR="00B052A5" w:rsidRPr="00FF59D4">
        <w:rPr>
          <w:rFonts w:ascii="ArialMT" w:hAnsi="ArialMT"/>
          <w:sz w:val="22"/>
          <w:szCs w:val="22"/>
        </w:rPr>
        <w:t>7,</w:t>
      </w:r>
      <w:r w:rsidR="00A3461C" w:rsidRPr="00FF59D4">
        <w:rPr>
          <w:rFonts w:ascii="ArialMT" w:hAnsi="ArialMT"/>
          <w:sz w:val="22"/>
          <w:szCs w:val="22"/>
        </w:rPr>
        <w:t>567</w:t>
      </w:r>
      <w:r>
        <w:rPr>
          <w:rFonts w:ascii="ArialMT" w:hAnsi="ArialMT"/>
          <w:sz w:val="22"/>
          <w:szCs w:val="22"/>
        </w:rPr>
        <w:t xml:space="preserve"> cases by FY2</w:t>
      </w:r>
      <w:r w:rsidR="00B052A5">
        <w:rPr>
          <w:rFonts w:ascii="ArialMT" w:hAnsi="ArialMT"/>
          <w:sz w:val="22"/>
          <w:szCs w:val="22"/>
        </w:rPr>
        <w:t>6</w:t>
      </w:r>
      <w:r>
        <w:rPr>
          <w:rFonts w:ascii="ArialMT" w:hAnsi="ArialMT"/>
          <w:sz w:val="22"/>
          <w:szCs w:val="22"/>
        </w:rPr>
        <w:t xml:space="preserve">. </w:t>
      </w:r>
      <w:r w:rsidR="005A6536">
        <w:rPr>
          <w:rFonts w:ascii="ArialMT" w:hAnsi="ArialMT"/>
          <w:sz w:val="22"/>
          <w:szCs w:val="22"/>
        </w:rPr>
        <w:t>To meet this projected demand and ease the strain on the Hospital’s current inpatient ORs, the Applicant propose</w:t>
      </w:r>
      <w:r w:rsidR="006C667C">
        <w:rPr>
          <w:rFonts w:ascii="ArialMT" w:hAnsi="ArialMT"/>
          <w:sz w:val="22"/>
          <w:szCs w:val="22"/>
        </w:rPr>
        <w:t>s</w:t>
      </w:r>
      <w:r w:rsidR="005A6536">
        <w:rPr>
          <w:rFonts w:ascii="ArialMT" w:hAnsi="ArialMT"/>
          <w:sz w:val="22"/>
          <w:szCs w:val="22"/>
        </w:rPr>
        <w:t xml:space="preserve"> the addition of five (5) additional inpatient ORs rooms, as well as related </w:t>
      </w:r>
      <w:r w:rsidR="003E6CBF" w:rsidRPr="00F031D7">
        <w:rPr>
          <w:rFonts w:ascii="Arial" w:hAnsi="Arial" w:cs="Arial"/>
          <w:sz w:val="22"/>
          <w:szCs w:val="22"/>
        </w:rPr>
        <w:t>pre- and post-operative/PACU</w:t>
      </w:r>
      <w:r w:rsidR="003E6CBF">
        <w:rPr>
          <w:rFonts w:ascii="Arial" w:hAnsi="Arial" w:cs="Arial"/>
          <w:sz w:val="22"/>
          <w:szCs w:val="22"/>
        </w:rPr>
        <w:t xml:space="preserve"> space</w:t>
      </w:r>
      <w:r w:rsidR="006C667C">
        <w:rPr>
          <w:rFonts w:ascii="Arial" w:hAnsi="Arial" w:cs="Arial"/>
          <w:sz w:val="22"/>
          <w:szCs w:val="22"/>
        </w:rPr>
        <w:t xml:space="preserve">, including </w:t>
      </w:r>
      <w:r w:rsidR="004B2B2D">
        <w:rPr>
          <w:rFonts w:ascii="Arial" w:hAnsi="Arial" w:cs="Arial"/>
          <w:sz w:val="22"/>
          <w:szCs w:val="22"/>
        </w:rPr>
        <w:t>sixteen (</w:t>
      </w:r>
      <w:r w:rsidR="006C667C">
        <w:rPr>
          <w:rFonts w:ascii="Arial" w:hAnsi="Arial" w:cs="Arial"/>
          <w:sz w:val="22"/>
          <w:szCs w:val="22"/>
        </w:rPr>
        <w:t>16</w:t>
      </w:r>
      <w:r w:rsidR="004B2B2D">
        <w:rPr>
          <w:rFonts w:ascii="Arial" w:hAnsi="Arial" w:cs="Arial"/>
          <w:sz w:val="22"/>
          <w:szCs w:val="22"/>
        </w:rPr>
        <w:t>)</w:t>
      </w:r>
      <w:r w:rsidR="006C667C">
        <w:rPr>
          <w:rFonts w:ascii="Arial" w:hAnsi="Arial" w:cs="Arial"/>
          <w:sz w:val="22"/>
          <w:szCs w:val="22"/>
        </w:rPr>
        <w:t xml:space="preserve"> new </w:t>
      </w:r>
      <w:r w:rsidR="006C667C" w:rsidRPr="00BD0CAE">
        <w:rPr>
          <w:rFonts w:ascii="Arial" w:hAnsi="Arial" w:cs="Arial"/>
          <w:sz w:val="22"/>
          <w:szCs w:val="22"/>
        </w:rPr>
        <w:t>pre- and post-operative/PACU</w:t>
      </w:r>
      <w:r w:rsidR="006C667C">
        <w:rPr>
          <w:rFonts w:ascii="Arial" w:hAnsi="Arial" w:cs="Arial"/>
          <w:sz w:val="22"/>
          <w:szCs w:val="22"/>
        </w:rPr>
        <w:t xml:space="preserve"> beds. This expansion will allow for </w:t>
      </w:r>
      <w:r>
        <w:rPr>
          <w:rFonts w:ascii="Arial" w:hAnsi="Arial" w:cs="Arial"/>
          <w:sz w:val="22"/>
          <w:szCs w:val="22"/>
        </w:rPr>
        <w:t xml:space="preserve">timely access to </w:t>
      </w:r>
      <w:r w:rsidR="006C667C">
        <w:rPr>
          <w:rFonts w:ascii="Arial" w:hAnsi="Arial" w:cs="Arial"/>
          <w:sz w:val="22"/>
          <w:szCs w:val="22"/>
        </w:rPr>
        <w:t>high-quality</w:t>
      </w:r>
      <w:r>
        <w:rPr>
          <w:rFonts w:ascii="Arial" w:hAnsi="Arial" w:cs="Arial"/>
          <w:sz w:val="22"/>
          <w:szCs w:val="22"/>
        </w:rPr>
        <w:t xml:space="preserve"> surgical services in New England’s largest safety net hospital, which will precipitate higher patient satisfaction and improved patient outcomes.</w:t>
      </w:r>
    </w:p>
    <w:p w14:paraId="0F95BE01" w14:textId="77777777" w:rsidR="00264BCD" w:rsidRPr="00264BCD" w:rsidRDefault="00264BCD" w:rsidP="00264BCD"/>
    <w:p w14:paraId="343D7C3B" w14:textId="7BD9978D" w:rsidR="00E24D42" w:rsidRPr="00B53310" w:rsidRDefault="00E24D42" w:rsidP="00E24D42">
      <w:pPr>
        <w:pStyle w:val="NormalWeb"/>
        <w:numPr>
          <w:ilvl w:val="0"/>
          <w:numId w:val="8"/>
        </w:numPr>
        <w:spacing w:before="0" w:beforeAutospacing="0" w:after="0" w:afterAutospacing="0"/>
        <w:ind w:left="360"/>
        <w:jc w:val="both"/>
        <w:rPr>
          <w:rFonts w:ascii="Arial" w:hAnsi="Arial" w:cs="Arial"/>
          <w:smallCaps/>
          <w:sz w:val="22"/>
          <w:szCs w:val="22"/>
          <w:u w:val="single"/>
        </w:rPr>
      </w:pPr>
      <w:r>
        <w:rPr>
          <w:rFonts w:ascii="Arial" w:hAnsi="Arial" w:cs="Arial"/>
          <w:smallCaps/>
          <w:sz w:val="22"/>
          <w:szCs w:val="22"/>
          <w:u w:val="single"/>
        </w:rPr>
        <w:t>Need for Other Project Components</w:t>
      </w:r>
    </w:p>
    <w:p w14:paraId="4FC64326" w14:textId="2BE8707F" w:rsidR="00E24D42" w:rsidRDefault="00E24D42" w:rsidP="00E24D42">
      <w:pPr>
        <w:pStyle w:val="NormalWeb"/>
        <w:spacing w:before="0" w:beforeAutospacing="0" w:after="0" w:afterAutospacing="0"/>
        <w:jc w:val="both"/>
        <w:rPr>
          <w:rFonts w:ascii="Arial" w:hAnsi="Arial" w:cs="Arial"/>
          <w:sz w:val="22"/>
          <w:szCs w:val="22"/>
          <w:u w:val="single"/>
        </w:rPr>
      </w:pPr>
    </w:p>
    <w:p w14:paraId="3D639D83" w14:textId="3B4519C1" w:rsidR="00EF3272" w:rsidRDefault="00F811BF" w:rsidP="00E24D4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Finally, the Applicant proposes various other </w:t>
      </w:r>
      <w:r w:rsidRPr="00F031D7">
        <w:rPr>
          <w:rFonts w:ascii="Arial" w:hAnsi="Arial" w:cs="Arial"/>
          <w:sz w:val="22"/>
          <w:szCs w:val="22"/>
        </w:rPr>
        <w:t xml:space="preserve">construction and renovation projects </w:t>
      </w:r>
      <w:r>
        <w:rPr>
          <w:rFonts w:ascii="Arial" w:hAnsi="Arial" w:cs="Arial"/>
          <w:sz w:val="22"/>
          <w:szCs w:val="22"/>
        </w:rPr>
        <w:t xml:space="preserve">at BMC, as detailed above. These project components are necessary </w:t>
      </w:r>
      <w:r w:rsidRPr="00F031D7">
        <w:rPr>
          <w:rFonts w:ascii="Arial" w:hAnsi="Arial" w:cs="Arial"/>
          <w:sz w:val="22"/>
          <w:szCs w:val="22"/>
        </w:rPr>
        <w:t>to accommodate the proposed inpatient expansion projects, support campus infrastructure reorganization efforts, and improve existing services, facilities, and patient experience and wayfinding at the Hospital</w:t>
      </w:r>
      <w:r>
        <w:rPr>
          <w:rFonts w:ascii="Arial" w:hAnsi="Arial" w:cs="Arial"/>
          <w:sz w:val="22"/>
          <w:szCs w:val="22"/>
        </w:rPr>
        <w:t>. These additional projects are included in this Application as the Hospital’s combined foreseeable capital expenditures for FY22 exceed the inpatient minimum capital expenditure.</w:t>
      </w:r>
    </w:p>
    <w:p w14:paraId="64F9D9D4" w14:textId="60267640" w:rsidR="005C5911" w:rsidRDefault="005C5911" w:rsidP="00E24D42">
      <w:pPr>
        <w:pStyle w:val="NormalWeb"/>
        <w:spacing w:before="0" w:beforeAutospacing="0" w:after="0" w:afterAutospacing="0"/>
        <w:jc w:val="both"/>
        <w:rPr>
          <w:rFonts w:ascii="Arial" w:hAnsi="Arial" w:cs="Arial"/>
          <w:sz w:val="22"/>
          <w:szCs w:val="22"/>
        </w:rPr>
      </w:pPr>
    </w:p>
    <w:p w14:paraId="330672E4" w14:textId="3B5C9F31" w:rsidR="005C5911" w:rsidRDefault="005C5911" w:rsidP="009A7F8F">
      <w:pPr>
        <w:ind w:left="1080" w:hanging="1080"/>
        <w:jc w:val="both"/>
        <w:rPr>
          <w:rStyle w:val="eop"/>
          <w:rFonts w:ascii="Arial" w:hAnsi="Arial" w:cs="Arial"/>
          <w:sz w:val="22"/>
          <w:szCs w:val="22"/>
        </w:rPr>
      </w:pPr>
      <w:r>
        <w:rPr>
          <w:rStyle w:val="normaltextrun"/>
          <w:rFonts w:ascii="Arial" w:hAnsi="Arial" w:cs="Arial"/>
          <w:b/>
          <w:bCs/>
          <w:sz w:val="22"/>
          <w:szCs w:val="22"/>
        </w:rPr>
        <w:t>F1.a.iii</w:t>
      </w:r>
      <w:r>
        <w:rPr>
          <w:rStyle w:val="tabchar"/>
          <w:rFonts w:ascii="Calibri" w:hAnsi="Calibri" w:cs="Calibri"/>
          <w:sz w:val="22"/>
          <w:szCs w:val="22"/>
        </w:rPr>
        <w:tab/>
      </w:r>
      <w:r>
        <w:rPr>
          <w:rStyle w:val="normaltextrun"/>
          <w:rFonts w:ascii="Arial" w:hAnsi="Arial" w:cs="Arial"/>
          <w:b/>
          <w:bCs/>
          <w:sz w:val="22"/>
          <w:szCs w:val="22"/>
          <w:u w:val="single"/>
        </w:rPr>
        <w:t>Competition</w:t>
      </w:r>
      <w:r>
        <w:rPr>
          <w:rStyle w:val="normaltextrun"/>
          <w:rFonts w:ascii="Arial" w:hAnsi="Arial" w:cs="Arial"/>
          <w:b/>
          <w:bCs/>
          <w:sz w:val="22"/>
          <w:szCs w:val="22"/>
        </w:rPr>
        <w:t>:</w:t>
      </w:r>
      <w:r>
        <w:rPr>
          <w:rStyle w:val="scxw132659955"/>
          <w:rFonts w:ascii="Arial" w:hAnsi="Arial" w:cs="Arial"/>
          <w:sz w:val="22"/>
          <w:szCs w:val="22"/>
        </w:rPr>
        <w:t> </w:t>
      </w:r>
      <w:r>
        <w:rPr>
          <w:rFonts w:ascii="Arial" w:hAnsi="Arial" w:cs="Arial"/>
          <w:sz w:val="22"/>
          <w:szCs w:val="22"/>
        </w:rPr>
        <w:br/>
      </w:r>
      <w:r>
        <w:rPr>
          <w:rStyle w:val="normaltextrun"/>
          <w:rFonts w:ascii="Arial" w:hAnsi="Arial" w:cs="Arial"/>
          <w:b/>
          <w:bCs/>
          <w:sz w:val="22"/>
          <w:szCs w:val="22"/>
        </w:rPr>
        <w:t>Provide evidence that the Proposed Project will compete on the basis of price, total medical expenses, provider costs, and other recognized measures of health care spending. When responding to this question, please consider Factor 4, Financial Feasibility and Reasonableness of Costs.</w:t>
      </w:r>
      <w:r>
        <w:rPr>
          <w:rStyle w:val="normaltextrun"/>
          <w:rFonts w:ascii="Arial" w:hAnsi="Arial" w:cs="Arial"/>
          <w:sz w:val="22"/>
          <w:szCs w:val="22"/>
        </w:rPr>
        <w:t> </w:t>
      </w:r>
      <w:r>
        <w:rPr>
          <w:rStyle w:val="eop"/>
          <w:rFonts w:ascii="Arial" w:hAnsi="Arial" w:cs="Arial"/>
          <w:sz w:val="22"/>
          <w:szCs w:val="22"/>
        </w:rPr>
        <w:t> </w:t>
      </w:r>
    </w:p>
    <w:p w14:paraId="2ED6CD51" w14:textId="77777777" w:rsidR="003E54B5" w:rsidRDefault="003E54B5" w:rsidP="009A7F8F">
      <w:pPr>
        <w:ind w:left="1080" w:hanging="1080"/>
        <w:jc w:val="both"/>
        <w:rPr>
          <w:rStyle w:val="eop"/>
          <w:rFonts w:ascii="Arial" w:hAnsi="Arial" w:cs="Arial"/>
          <w:sz w:val="22"/>
          <w:szCs w:val="22"/>
        </w:rPr>
      </w:pPr>
    </w:p>
    <w:p w14:paraId="45DD1946" w14:textId="0C7C19FD" w:rsidR="00FB2D9E" w:rsidRPr="00D47753" w:rsidRDefault="00907510" w:rsidP="00CF77C3">
      <w:pPr>
        <w:jc w:val="both"/>
        <w:rPr>
          <w:rFonts w:ascii="Arial" w:eastAsiaTheme="minorHAnsi" w:hAnsi="Arial" w:cs="Arial"/>
          <w:sz w:val="22"/>
          <w:szCs w:val="22"/>
        </w:rPr>
      </w:pPr>
      <w:r w:rsidRPr="00D47753">
        <w:rPr>
          <w:rFonts w:ascii="Arial" w:eastAsiaTheme="minorHAnsi" w:hAnsi="Arial" w:cs="Arial"/>
          <w:sz w:val="22"/>
          <w:szCs w:val="22"/>
        </w:rPr>
        <w:t xml:space="preserve">The Proposed Project competes on the basis of price, </w:t>
      </w:r>
      <w:r w:rsidR="005354A0">
        <w:rPr>
          <w:rFonts w:ascii="Arial" w:eastAsiaTheme="minorHAnsi" w:hAnsi="Arial" w:cs="Arial"/>
          <w:sz w:val="22"/>
          <w:szCs w:val="22"/>
        </w:rPr>
        <w:t>TME</w:t>
      </w:r>
      <w:r w:rsidRPr="00D47753">
        <w:rPr>
          <w:rFonts w:ascii="Arial" w:eastAsiaTheme="minorHAnsi" w:hAnsi="Arial" w:cs="Arial"/>
          <w:sz w:val="22"/>
          <w:szCs w:val="22"/>
        </w:rPr>
        <w:t xml:space="preserve">, provider costs, and other recognized measures of health care spending by addressing BMC’s current capacity constraints and providing timely access to services for all patients, including the </w:t>
      </w:r>
      <w:r w:rsidR="005354A0">
        <w:rPr>
          <w:rFonts w:ascii="Arial" w:eastAsiaTheme="minorHAnsi" w:hAnsi="Arial" w:cs="Arial"/>
          <w:sz w:val="22"/>
          <w:szCs w:val="22"/>
        </w:rPr>
        <w:t>H</w:t>
      </w:r>
      <w:r w:rsidRPr="00D47753">
        <w:rPr>
          <w:rFonts w:ascii="Arial" w:eastAsiaTheme="minorHAnsi" w:hAnsi="Arial" w:cs="Arial"/>
          <w:sz w:val="22"/>
          <w:szCs w:val="22"/>
        </w:rPr>
        <w:t xml:space="preserve">ospital’s large under-resourced patient population. Through the expansion of inpatient </w:t>
      </w:r>
      <w:r w:rsidR="005354A0">
        <w:rPr>
          <w:rFonts w:ascii="Arial" w:eastAsiaTheme="minorHAnsi" w:hAnsi="Arial" w:cs="Arial"/>
          <w:sz w:val="22"/>
          <w:szCs w:val="22"/>
        </w:rPr>
        <w:t xml:space="preserve">bed </w:t>
      </w:r>
      <w:r w:rsidRPr="00D47753">
        <w:rPr>
          <w:rFonts w:ascii="Arial" w:eastAsiaTheme="minorHAnsi" w:hAnsi="Arial" w:cs="Arial"/>
          <w:sz w:val="22"/>
          <w:szCs w:val="22"/>
        </w:rPr>
        <w:t xml:space="preserve">and surgical capacity, BMC will reduce overcrowding in its ED as well as create operational efficiencies throughout the </w:t>
      </w:r>
      <w:r w:rsidR="005354A0">
        <w:rPr>
          <w:rFonts w:ascii="Arial" w:eastAsiaTheme="minorHAnsi" w:hAnsi="Arial" w:cs="Arial"/>
          <w:sz w:val="22"/>
          <w:szCs w:val="22"/>
        </w:rPr>
        <w:t>H</w:t>
      </w:r>
      <w:r w:rsidRPr="00D47753">
        <w:rPr>
          <w:rFonts w:ascii="Arial" w:eastAsiaTheme="minorHAnsi" w:hAnsi="Arial" w:cs="Arial"/>
          <w:sz w:val="22"/>
          <w:szCs w:val="22"/>
        </w:rPr>
        <w:t xml:space="preserve">ospital. There are positive financial and clinical impacts associated with providing timely access to care and moving patients from the resource-intensive ED to the inpatient setting.  </w:t>
      </w:r>
    </w:p>
    <w:p w14:paraId="6A573144" w14:textId="77777777" w:rsidR="00907510" w:rsidRPr="00D47753" w:rsidRDefault="00907510" w:rsidP="00907510">
      <w:pPr>
        <w:rPr>
          <w:rFonts w:ascii="Arial" w:eastAsiaTheme="minorHAnsi" w:hAnsi="Arial" w:cs="Arial"/>
          <w:sz w:val="22"/>
          <w:szCs w:val="22"/>
        </w:rPr>
      </w:pPr>
    </w:p>
    <w:p w14:paraId="2E09F48A" w14:textId="332A00BE" w:rsidR="00907510" w:rsidRDefault="00907510" w:rsidP="00AF3ADF">
      <w:pPr>
        <w:jc w:val="both"/>
        <w:rPr>
          <w:rFonts w:ascii="Arial" w:eastAsiaTheme="minorHAnsi" w:hAnsi="Arial" w:cs="Arial"/>
          <w:sz w:val="22"/>
          <w:szCs w:val="22"/>
        </w:rPr>
      </w:pPr>
      <w:r w:rsidRPr="00D47753">
        <w:rPr>
          <w:rFonts w:ascii="Arial" w:eastAsiaTheme="minorHAnsi" w:hAnsi="Arial" w:cs="Arial"/>
          <w:sz w:val="22"/>
          <w:szCs w:val="22"/>
        </w:rPr>
        <w:t xml:space="preserve">Research provides that ED boarding </w:t>
      </w:r>
      <w:r w:rsidR="00F33C2A">
        <w:rPr>
          <w:rFonts w:ascii="Arial" w:eastAsiaTheme="minorHAnsi" w:hAnsi="Arial" w:cs="Arial"/>
          <w:sz w:val="22"/>
          <w:szCs w:val="22"/>
        </w:rPr>
        <w:t xml:space="preserve">has a number of negative impacts on patient care and hospital operations. ED boarding </w:t>
      </w:r>
      <w:r w:rsidRPr="00D47753">
        <w:rPr>
          <w:rFonts w:ascii="Arial" w:eastAsiaTheme="minorHAnsi" w:hAnsi="Arial" w:cs="Arial"/>
          <w:sz w:val="22"/>
          <w:szCs w:val="22"/>
        </w:rPr>
        <w:t>prevents incoming patients from being treated in a timely manner</w:t>
      </w:r>
      <w:r w:rsidR="00F33C2A">
        <w:rPr>
          <w:rFonts w:ascii="Arial" w:eastAsiaTheme="minorHAnsi" w:hAnsi="Arial" w:cs="Arial"/>
          <w:sz w:val="22"/>
          <w:szCs w:val="22"/>
        </w:rPr>
        <w:t xml:space="preserve">, </w:t>
      </w:r>
      <w:r w:rsidRPr="00D47753">
        <w:rPr>
          <w:rFonts w:ascii="Arial" w:eastAsiaTheme="minorHAnsi" w:hAnsi="Arial" w:cs="Arial"/>
          <w:sz w:val="22"/>
          <w:szCs w:val="22"/>
        </w:rPr>
        <w:t xml:space="preserve">leads to increased </w:t>
      </w:r>
      <w:r w:rsidR="00F33C2A">
        <w:rPr>
          <w:rFonts w:ascii="Arial" w:eastAsiaTheme="minorHAnsi" w:hAnsi="Arial" w:cs="Arial"/>
          <w:sz w:val="22"/>
          <w:szCs w:val="22"/>
        </w:rPr>
        <w:t>rates of “</w:t>
      </w:r>
      <w:r w:rsidRPr="00D47753">
        <w:rPr>
          <w:rFonts w:ascii="Arial" w:eastAsiaTheme="minorHAnsi" w:hAnsi="Arial" w:cs="Arial"/>
          <w:sz w:val="22"/>
          <w:szCs w:val="22"/>
        </w:rPr>
        <w:t>left without being seen</w:t>
      </w:r>
      <w:r w:rsidR="001A2F45">
        <w:rPr>
          <w:rFonts w:ascii="Arial" w:eastAsiaTheme="minorHAnsi" w:hAnsi="Arial" w:cs="Arial"/>
          <w:sz w:val="22"/>
          <w:szCs w:val="22"/>
        </w:rPr>
        <w:t>,</w:t>
      </w:r>
      <w:r w:rsidR="00F33C2A">
        <w:rPr>
          <w:rFonts w:ascii="Arial" w:eastAsiaTheme="minorHAnsi" w:hAnsi="Arial" w:cs="Arial"/>
          <w:sz w:val="22"/>
          <w:szCs w:val="22"/>
        </w:rPr>
        <w:t>”</w:t>
      </w:r>
      <w:r w:rsidRPr="00D47753">
        <w:rPr>
          <w:rFonts w:ascii="Arial" w:eastAsiaTheme="minorHAnsi" w:hAnsi="Arial" w:cs="Arial"/>
          <w:sz w:val="22"/>
          <w:szCs w:val="22"/>
        </w:rPr>
        <w:t xml:space="preserve"> </w:t>
      </w:r>
      <w:r w:rsidR="00F33C2A">
        <w:rPr>
          <w:rFonts w:ascii="Arial" w:eastAsiaTheme="minorHAnsi" w:hAnsi="Arial" w:cs="Arial"/>
          <w:sz w:val="22"/>
          <w:szCs w:val="22"/>
        </w:rPr>
        <w:t xml:space="preserve">and </w:t>
      </w:r>
      <w:r w:rsidR="00F33C2A" w:rsidRPr="00F33C2A">
        <w:rPr>
          <w:rFonts w:ascii="Arial" w:eastAsiaTheme="minorHAnsi" w:hAnsi="Arial" w:cs="Arial"/>
          <w:sz w:val="22"/>
          <w:szCs w:val="22"/>
        </w:rPr>
        <w:t>increases the rate of patients leaving against medical advice, a course of action taken by some patients frustrated by long wait times</w:t>
      </w:r>
      <w:r w:rsidR="00F33C2A">
        <w:rPr>
          <w:rFonts w:ascii="Arial" w:eastAsiaTheme="minorHAnsi" w:hAnsi="Arial" w:cs="Arial"/>
          <w:sz w:val="22"/>
          <w:szCs w:val="22"/>
        </w:rPr>
        <w:t>.</w:t>
      </w:r>
      <w:r w:rsidR="00F33C2A" w:rsidRPr="00F33C2A">
        <w:rPr>
          <w:rFonts w:ascii="Arial" w:eastAsiaTheme="minorHAnsi" w:hAnsi="Arial" w:cs="Arial"/>
          <w:sz w:val="22"/>
          <w:szCs w:val="22"/>
        </w:rPr>
        <w:t xml:space="preserve"> </w:t>
      </w:r>
      <w:r w:rsidR="00F33C2A">
        <w:rPr>
          <w:rFonts w:ascii="Arial" w:eastAsiaTheme="minorHAnsi" w:hAnsi="Arial" w:cs="Arial"/>
          <w:sz w:val="22"/>
          <w:szCs w:val="22"/>
        </w:rPr>
        <w:t xml:space="preserve">The boarding of patients in the ED </w:t>
      </w:r>
      <w:r w:rsidRPr="00D47753">
        <w:rPr>
          <w:rFonts w:ascii="Arial" w:eastAsiaTheme="minorHAnsi" w:hAnsi="Arial" w:cs="Arial"/>
          <w:sz w:val="22"/>
          <w:szCs w:val="22"/>
        </w:rPr>
        <w:t>exacerbat</w:t>
      </w:r>
      <w:r w:rsidR="00F33C2A">
        <w:rPr>
          <w:rFonts w:ascii="Arial" w:eastAsiaTheme="minorHAnsi" w:hAnsi="Arial" w:cs="Arial"/>
          <w:sz w:val="22"/>
          <w:szCs w:val="22"/>
        </w:rPr>
        <w:t>es</w:t>
      </w:r>
      <w:r w:rsidRPr="00D47753">
        <w:rPr>
          <w:rFonts w:ascii="Arial" w:eastAsiaTheme="minorHAnsi" w:hAnsi="Arial" w:cs="Arial"/>
          <w:sz w:val="22"/>
          <w:szCs w:val="22"/>
        </w:rPr>
        <w:t xml:space="preserve"> certain medical conditions, especially for those under-resourced patients who may have increased co-morbidities when seeking care</w:t>
      </w:r>
      <w:r w:rsidR="00F33C2A">
        <w:rPr>
          <w:rFonts w:ascii="Arial" w:eastAsiaTheme="minorHAnsi" w:hAnsi="Arial" w:cs="Arial"/>
          <w:sz w:val="22"/>
          <w:szCs w:val="22"/>
        </w:rPr>
        <w:t>, as well as</w:t>
      </w:r>
      <w:r w:rsidR="00CF77C3">
        <w:rPr>
          <w:rFonts w:ascii="Arial" w:eastAsiaTheme="minorHAnsi" w:hAnsi="Arial" w:cs="Arial"/>
          <w:sz w:val="22"/>
          <w:szCs w:val="22"/>
        </w:rPr>
        <w:t xml:space="preserve"> </w:t>
      </w:r>
      <w:r w:rsidRPr="00D47753">
        <w:rPr>
          <w:rFonts w:ascii="Arial" w:eastAsiaTheme="minorHAnsi" w:hAnsi="Arial" w:cs="Arial"/>
          <w:sz w:val="22"/>
          <w:szCs w:val="22"/>
        </w:rPr>
        <w:t xml:space="preserve">increases the </w:t>
      </w:r>
      <w:r w:rsidR="00B334F6">
        <w:rPr>
          <w:rFonts w:ascii="Arial" w:eastAsiaTheme="minorHAnsi" w:hAnsi="Arial" w:cs="Arial"/>
          <w:sz w:val="22"/>
          <w:szCs w:val="22"/>
        </w:rPr>
        <w:t>ALOS</w:t>
      </w:r>
      <w:r w:rsidR="00F33C2A">
        <w:rPr>
          <w:rFonts w:ascii="Arial" w:eastAsiaTheme="minorHAnsi" w:hAnsi="Arial" w:cs="Arial"/>
          <w:sz w:val="22"/>
          <w:szCs w:val="22"/>
        </w:rPr>
        <w:t xml:space="preserve"> and </w:t>
      </w:r>
      <w:r w:rsidRPr="00D47753">
        <w:rPr>
          <w:rFonts w:ascii="Arial" w:eastAsiaTheme="minorHAnsi" w:hAnsi="Arial" w:cs="Arial"/>
          <w:sz w:val="22"/>
          <w:szCs w:val="22"/>
        </w:rPr>
        <w:t>definitive treatment</w:t>
      </w:r>
      <w:r w:rsidR="00F33C2A">
        <w:rPr>
          <w:rFonts w:ascii="Arial" w:eastAsiaTheme="minorHAnsi" w:hAnsi="Arial" w:cs="Arial"/>
          <w:sz w:val="22"/>
          <w:szCs w:val="22"/>
        </w:rPr>
        <w:t>. All of these outcomes in turn</w:t>
      </w:r>
      <w:r w:rsidRPr="00D47753">
        <w:rPr>
          <w:rFonts w:ascii="Arial" w:eastAsiaTheme="minorHAnsi" w:hAnsi="Arial" w:cs="Arial"/>
          <w:sz w:val="22"/>
          <w:szCs w:val="22"/>
        </w:rPr>
        <w:t xml:space="preserve"> are associated with increased costs.</w:t>
      </w:r>
      <w:r w:rsidR="00FB167B">
        <w:rPr>
          <w:rFonts w:ascii="ZWAdobeF" w:eastAsiaTheme="minorHAnsi" w:hAnsi="ZWAdobeF" w:cs="ZWAdobeF"/>
          <w:sz w:val="2"/>
          <w:szCs w:val="2"/>
        </w:rPr>
        <w:t>55F</w:t>
      </w:r>
      <w:r w:rsidRPr="005354A0">
        <w:rPr>
          <w:rFonts w:ascii="Arial" w:eastAsiaTheme="minorHAnsi" w:hAnsi="Arial" w:cs="Arial"/>
          <w:sz w:val="22"/>
          <w:szCs w:val="22"/>
          <w:vertAlign w:val="superscript"/>
        </w:rPr>
        <w:footnoteReference w:id="56"/>
      </w:r>
      <w:r w:rsidRPr="005354A0">
        <w:rPr>
          <w:rFonts w:ascii="Arial" w:eastAsiaTheme="minorHAnsi" w:hAnsi="Arial" w:cs="Arial"/>
          <w:sz w:val="22"/>
          <w:szCs w:val="22"/>
        </w:rPr>
        <w:t xml:space="preserve"> In 2017, Schreyer and Martin reviewed the cost of ED boarding and found that maintaining an admitted patient in an ED bed costs a hospital twice as much as an inpatient bed when accounting for personnel and other resource costs.</w:t>
      </w:r>
      <w:r w:rsidR="00FB167B">
        <w:rPr>
          <w:rFonts w:ascii="ZWAdobeF" w:eastAsiaTheme="minorHAnsi" w:hAnsi="ZWAdobeF" w:cs="ZWAdobeF"/>
          <w:sz w:val="2"/>
          <w:szCs w:val="2"/>
        </w:rPr>
        <w:t>56F</w:t>
      </w:r>
      <w:r w:rsidRPr="00CF77C3">
        <w:rPr>
          <w:rFonts w:ascii="Arial" w:eastAsiaTheme="minorHAnsi" w:hAnsi="Arial" w:cs="Arial"/>
          <w:sz w:val="22"/>
          <w:szCs w:val="22"/>
          <w:vertAlign w:val="superscript"/>
        </w:rPr>
        <w:footnoteReference w:id="57"/>
      </w:r>
      <w:r w:rsidRPr="00CF77C3">
        <w:rPr>
          <w:rFonts w:ascii="Arial" w:eastAsiaTheme="minorHAnsi" w:hAnsi="Arial" w:cs="Arial"/>
          <w:sz w:val="22"/>
          <w:szCs w:val="22"/>
        </w:rPr>
        <w:t xml:space="preserve"> A more recent study conducted in 2020 found a strong correlation between measures of ED crowding, such as ED boarding and risk-adjusted hospital spending, leading the authors to call for improved access to care and better patient flow.</w:t>
      </w:r>
      <w:r w:rsidR="00FB167B">
        <w:rPr>
          <w:rFonts w:ascii="ZWAdobeF" w:eastAsiaTheme="minorHAnsi" w:hAnsi="ZWAdobeF" w:cs="ZWAdobeF"/>
          <w:sz w:val="2"/>
          <w:szCs w:val="2"/>
        </w:rPr>
        <w:t>57F</w:t>
      </w:r>
      <w:r w:rsidRPr="00CF77C3">
        <w:rPr>
          <w:rFonts w:ascii="Arial" w:eastAsiaTheme="minorHAnsi" w:hAnsi="Arial" w:cs="Arial"/>
          <w:sz w:val="22"/>
          <w:szCs w:val="22"/>
          <w:vertAlign w:val="superscript"/>
        </w:rPr>
        <w:footnoteReference w:id="58"/>
      </w:r>
      <w:r w:rsidRPr="00CF77C3">
        <w:rPr>
          <w:rFonts w:ascii="Arial" w:eastAsiaTheme="minorHAnsi" w:hAnsi="Arial" w:cs="Arial"/>
          <w:sz w:val="22"/>
          <w:szCs w:val="22"/>
        </w:rPr>
        <w:t xml:space="preserve"> BMC will reduce overall ED boarding</w:t>
      </w:r>
      <w:r w:rsidR="00F33C2A">
        <w:rPr>
          <w:rFonts w:ascii="Arial" w:eastAsiaTheme="minorHAnsi" w:hAnsi="Arial" w:cs="Arial"/>
          <w:sz w:val="22"/>
          <w:szCs w:val="22"/>
        </w:rPr>
        <w:t xml:space="preserve"> b</w:t>
      </w:r>
      <w:r w:rsidR="00F33C2A" w:rsidRPr="00F33C2A">
        <w:rPr>
          <w:rFonts w:ascii="Arial" w:eastAsiaTheme="minorHAnsi" w:hAnsi="Arial" w:cs="Arial"/>
          <w:sz w:val="22"/>
          <w:szCs w:val="22"/>
        </w:rPr>
        <w:t>y increasing inpatient bed and surgical capacity</w:t>
      </w:r>
      <w:r w:rsidRPr="00CF77C3">
        <w:rPr>
          <w:rFonts w:ascii="Arial" w:eastAsiaTheme="minorHAnsi" w:hAnsi="Arial" w:cs="Arial"/>
          <w:sz w:val="22"/>
          <w:szCs w:val="22"/>
        </w:rPr>
        <w:t xml:space="preserve">, positively impacting measures of health care spending as well as overall clinical quality outcomes for patients and satisfaction for providers and patients. </w:t>
      </w:r>
    </w:p>
    <w:p w14:paraId="12E8D402" w14:textId="77777777" w:rsidR="00821073" w:rsidRDefault="00821073" w:rsidP="00AF3ADF">
      <w:pPr>
        <w:jc w:val="both"/>
        <w:rPr>
          <w:rFonts w:ascii="Arial" w:eastAsiaTheme="minorHAnsi" w:hAnsi="Arial" w:cs="Arial"/>
          <w:sz w:val="22"/>
          <w:szCs w:val="22"/>
        </w:rPr>
      </w:pPr>
    </w:p>
    <w:p w14:paraId="76BA5F50" w14:textId="6D6B4034" w:rsidR="00821073" w:rsidRPr="00CF77C3" w:rsidRDefault="00821073" w:rsidP="00AF3ADF">
      <w:pPr>
        <w:jc w:val="both"/>
        <w:rPr>
          <w:rFonts w:ascii="Arial" w:eastAsiaTheme="minorHAnsi" w:hAnsi="Arial" w:cs="Arial"/>
          <w:sz w:val="22"/>
          <w:szCs w:val="22"/>
        </w:rPr>
      </w:pPr>
      <w:r>
        <w:rPr>
          <w:rFonts w:ascii="Arial" w:eastAsiaTheme="minorHAnsi" w:hAnsi="Arial" w:cs="Arial"/>
          <w:sz w:val="22"/>
          <w:szCs w:val="22"/>
        </w:rPr>
        <w:t xml:space="preserve">Moreover, as discussed in </w:t>
      </w:r>
      <w:r w:rsidR="002800C1">
        <w:rPr>
          <w:rFonts w:ascii="Arial" w:eastAsiaTheme="minorHAnsi" w:hAnsi="Arial" w:cs="Arial"/>
          <w:sz w:val="22"/>
          <w:szCs w:val="22"/>
        </w:rPr>
        <w:t>Factor</w:t>
      </w:r>
      <w:r>
        <w:rPr>
          <w:rFonts w:ascii="Arial" w:eastAsiaTheme="minorHAnsi" w:hAnsi="Arial" w:cs="Arial"/>
          <w:sz w:val="22"/>
          <w:szCs w:val="22"/>
        </w:rPr>
        <w:t xml:space="preserve"> F1.b.1,</w:t>
      </w:r>
      <w:r w:rsidR="00FE1A32">
        <w:rPr>
          <w:rFonts w:ascii="Arial" w:eastAsiaTheme="minorHAnsi" w:hAnsi="Arial" w:cs="Arial"/>
          <w:sz w:val="22"/>
          <w:szCs w:val="22"/>
        </w:rPr>
        <w:t xml:space="preserve"> </w:t>
      </w:r>
      <w:r w:rsidR="001C61FE">
        <w:rPr>
          <w:rFonts w:ascii="Arial" w:eastAsiaTheme="minorHAnsi" w:hAnsi="Arial" w:cs="Arial"/>
          <w:sz w:val="22"/>
          <w:szCs w:val="22"/>
        </w:rPr>
        <w:t xml:space="preserve">peer-reviewed </w:t>
      </w:r>
      <w:r w:rsidRPr="00821073">
        <w:rPr>
          <w:rFonts w:ascii="Arial" w:eastAsiaTheme="minorHAnsi" w:hAnsi="Arial" w:cs="Arial"/>
          <w:sz w:val="22"/>
          <w:szCs w:val="22"/>
        </w:rPr>
        <w:t xml:space="preserve">literature details that surgical delays </w:t>
      </w:r>
      <w:r w:rsidR="001C61FE">
        <w:rPr>
          <w:rFonts w:ascii="Arial" w:eastAsiaTheme="minorHAnsi" w:hAnsi="Arial" w:cs="Arial"/>
          <w:sz w:val="22"/>
          <w:szCs w:val="22"/>
        </w:rPr>
        <w:t>impact</w:t>
      </w:r>
      <w:r w:rsidRPr="00821073">
        <w:rPr>
          <w:rFonts w:ascii="Arial" w:eastAsiaTheme="minorHAnsi" w:hAnsi="Arial" w:cs="Arial"/>
          <w:sz w:val="22"/>
          <w:szCs w:val="22"/>
        </w:rPr>
        <w:t xml:space="preserve"> patient health outcomes as well as hospital resources and provider satisfaction. While the actual financial costs of surgical delays are </w:t>
      </w:r>
      <w:r w:rsidR="002D169D">
        <w:rPr>
          <w:rFonts w:ascii="Arial" w:eastAsiaTheme="minorHAnsi" w:hAnsi="Arial" w:cs="Arial"/>
          <w:sz w:val="22"/>
          <w:szCs w:val="22"/>
        </w:rPr>
        <w:t>challenging to analyze</w:t>
      </w:r>
      <w:r w:rsidR="0052024E">
        <w:rPr>
          <w:rFonts w:ascii="Arial" w:eastAsiaTheme="minorHAnsi" w:hAnsi="Arial" w:cs="Arial"/>
          <w:sz w:val="22"/>
          <w:szCs w:val="22"/>
        </w:rPr>
        <w:t>, one study approximated that it</w:t>
      </w:r>
      <w:r w:rsidRPr="00821073">
        <w:rPr>
          <w:rFonts w:ascii="Arial" w:eastAsiaTheme="minorHAnsi" w:hAnsi="Arial" w:cs="Arial"/>
          <w:sz w:val="22"/>
          <w:szCs w:val="22"/>
        </w:rPr>
        <w:t xml:space="preserve"> is about $20 per minute of delay, based on 2016 data.</w:t>
      </w:r>
      <w:bookmarkStart w:id="8" w:name="_Ref109315176"/>
      <w:r w:rsidR="00FB167B">
        <w:rPr>
          <w:rFonts w:ascii="ZWAdobeF" w:eastAsiaTheme="minorHAnsi" w:hAnsi="ZWAdobeF" w:cs="ZWAdobeF"/>
          <w:sz w:val="2"/>
          <w:szCs w:val="2"/>
        </w:rPr>
        <w:t>58F</w:t>
      </w:r>
      <w:r w:rsidR="002800C1">
        <w:rPr>
          <w:rStyle w:val="FootnoteReference"/>
          <w:rFonts w:ascii="Arial" w:eastAsiaTheme="minorHAnsi" w:hAnsi="Arial" w:cs="Arial"/>
          <w:sz w:val="22"/>
          <w:szCs w:val="22"/>
        </w:rPr>
        <w:footnoteReference w:id="59"/>
      </w:r>
      <w:bookmarkEnd w:id="8"/>
      <w:r w:rsidR="00DC32A3">
        <w:rPr>
          <w:rFonts w:ascii="Arial" w:eastAsiaTheme="minorHAnsi" w:hAnsi="Arial" w:cs="Arial"/>
          <w:sz w:val="22"/>
          <w:szCs w:val="22"/>
        </w:rPr>
        <w:t xml:space="preserve"> Again, timely access to care impacts both quality and cost measures. </w:t>
      </w:r>
    </w:p>
    <w:p w14:paraId="4EF72F1E" w14:textId="77777777" w:rsidR="00907510" w:rsidRPr="00CF77C3" w:rsidRDefault="00907510" w:rsidP="00AF3ADF">
      <w:pPr>
        <w:jc w:val="both"/>
        <w:rPr>
          <w:rFonts w:ascii="Arial" w:eastAsiaTheme="minorHAnsi" w:hAnsi="Arial" w:cs="Arial"/>
          <w:sz w:val="22"/>
          <w:szCs w:val="22"/>
        </w:rPr>
      </w:pPr>
    </w:p>
    <w:p w14:paraId="7BD77BB2" w14:textId="5CABC6B1" w:rsidR="00907510" w:rsidRPr="00CF77C3" w:rsidRDefault="00907510" w:rsidP="00AF3ADF">
      <w:pPr>
        <w:jc w:val="both"/>
        <w:rPr>
          <w:rFonts w:ascii="Arial" w:eastAsiaTheme="minorHAnsi" w:hAnsi="Arial" w:cs="Arial"/>
          <w:sz w:val="22"/>
          <w:szCs w:val="22"/>
        </w:rPr>
      </w:pPr>
      <w:r w:rsidRPr="00CF77C3">
        <w:rPr>
          <w:rFonts w:ascii="Arial" w:eastAsiaTheme="minorHAnsi" w:hAnsi="Arial" w:cs="Arial"/>
          <w:sz w:val="22"/>
          <w:szCs w:val="22"/>
        </w:rPr>
        <w:t>The Proposed Project also competes on the basis of recognized measures of health</w:t>
      </w:r>
      <w:r w:rsidR="00CF77C3">
        <w:rPr>
          <w:rFonts w:ascii="Arial" w:eastAsiaTheme="minorHAnsi" w:hAnsi="Arial" w:cs="Arial"/>
          <w:sz w:val="22"/>
          <w:szCs w:val="22"/>
        </w:rPr>
        <w:t xml:space="preserve"> </w:t>
      </w:r>
      <w:r w:rsidRPr="00CF77C3">
        <w:rPr>
          <w:rFonts w:ascii="Arial" w:eastAsiaTheme="minorHAnsi" w:hAnsi="Arial" w:cs="Arial"/>
          <w:sz w:val="22"/>
          <w:szCs w:val="22"/>
        </w:rPr>
        <w:t>care spending by allowing BMC to extrapolate upon successful population health management and value-based reimbursement successes – by screening and assisting more patients with costs associated with the social drivers of health. A report from the American Hospital Association provides that socioeconomic factors are responsible for approximately 40% of a patient’s health, while access to care and overall quality care account for only 20%.</w:t>
      </w:r>
      <w:bookmarkStart w:id="9" w:name="_Ref109130348"/>
      <w:r w:rsidR="00FB167B">
        <w:rPr>
          <w:rFonts w:ascii="ZWAdobeF" w:eastAsiaTheme="minorHAnsi" w:hAnsi="ZWAdobeF" w:cs="ZWAdobeF"/>
          <w:sz w:val="2"/>
          <w:szCs w:val="2"/>
        </w:rPr>
        <w:t>59F</w:t>
      </w:r>
      <w:r w:rsidRPr="00CF77C3">
        <w:rPr>
          <w:rFonts w:ascii="Arial" w:eastAsiaTheme="minorHAnsi" w:hAnsi="Arial" w:cs="Arial"/>
          <w:sz w:val="22"/>
          <w:szCs w:val="22"/>
          <w:vertAlign w:val="superscript"/>
        </w:rPr>
        <w:footnoteReference w:id="60"/>
      </w:r>
      <w:bookmarkEnd w:id="9"/>
      <w:r w:rsidRPr="00CF77C3">
        <w:rPr>
          <w:rFonts w:ascii="Arial" w:eastAsiaTheme="minorHAnsi" w:hAnsi="Arial" w:cs="Arial"/>
          <w:sz w:val="22"/>
          <w:szCs w:val="22"/>
        </w:rPr>
        <w:t xml:space="preserve"> Consequently, by addressing patients’</w:t>
      </w:r>
      <w:r w:rsidR="00C850C2" w:rsidRPr="00CF77C3">
        <w:rPr>
          <w:rFonts w:ascii="Arial" w:eastAsiaTheme="minorHAnsi" w:hAnsi="Arial" w:cs="Arial"/>
          <w:sz w:val="22"/>
          <w:szCs w:val="22"/>
        </w:rPr>
        <w:t xml:space="preserve"> </w:t>
      </w:r>
      <w:proofErr w:type="spellStart"/>
      <w:r w:rsidR="00C850C2" w:rsidRPr="00CF77C3">
        <w:rPr>
          <w:rFonts w:ascii="Arial" w:eastAsiaTheme="minorHAnsi" w:hAnsi="Arial" w:cs="Arial"/>
          <w:sz w:val="22"/>
          <w:szCs w:val="22"/>
        </w:rPr>
        <w:t>SDoH</w:t>
      </w:r>
      <w:proofErr w:type="spellEnd"/>
      <w:r w:rsidRPr="00CF77C3">
        <w:rPr>
          <w:rFonts w:ascii="Arial" w:eastAsiaTheme="minorHAnsi" w:hAnsi="Arial" w:cs="Arial"/>
          <w:sz w:val="22"/>
          <w:szCs w:val="22"/>
        </w:rPr>
        <w:t xml:space="preserve"> needs</w:t>
      </w:r>
      <w:r w:rsidR="00CF77C3">
        <w:rPr>
          <w:rFonts w:ascii="Arial" w:eastAsiaTheme="minorHAnsi" w:hAnsi="Arial" w:cs="Arial"/>
          <w:sz w:val="22"/>
          <w:szCs w:val="22"/>
        </w:rPr>
        <w:t>,</w:t>
      </w:r>
      <w:r w:rsidRPr="00FF59D4">
        <w:rPr>
          <w:rFonts w:ascii="Arial" w:eastAsiaTheme="minorHAnsi" w:hAnsi="Arial" w:cs="Arial"/>
          <w:sz w:val="22"/>
          <w:szCs w:val="22"/>
        </w:rPr>
        <w:t xml:space="preserve"> providers can significantly reduce health</w:t>
      </w:r>
      <w:r w:rsidR="00CF77C3">
        <w:rPr>
          <w:rFonts w:ascii="Arial" w:eastAsiaTheme="minorHAnsi" w:hAnsi="Arial" w:cs="Arial"/>
          <w:sz w:val="22"/>
          <w:szCs w:val="22"/>
        </w:rPr>
        <w:t xml:space="preserve"> </w:t>
      </w:r>
      <w:r w:rsidRPr="00CF77C3">
        <w:rPr>
          <w:rFonts w:ascii="Arial" w:eastAsiaTheme="minorHAnsi" w:hAnsi="Arial" w:cs="Arial"/>
          <w:sz w:val="22"/>
          <w:szCs w:val="22"/>
        </w:rPr>
        <w:t>care costs. Examples of programs that reduce health</w:t>
      </w:r>
      <w:r w:rsidR="00CF77C3">
        <w:rPr>
          <w:rFonts w:ascii="Arial" w:eastAsiaTheme="minorHAnsi" w:hAnsi="Arial" w:cs="Arial"/>
          <w:sz w:val="22"/>
          <w:szCs w:val="22"/>
        </w:rPr>
        <w:t xml:space="preserve"> </w:t>
      </w:r>
      <w:r w:rsidRPr="00CF77C3">
        <w:rPr>
          <w:rFonts w:ascii="Arial" w:eastAsiaTheme="minorHAnsi" w:hAnsi="Arial" w:cs="Arial"/>
          <w:sz w:val="22"/>
          <w:szCs w:val="22"/>
        </w:rPr>
        <w:t>care costs overall include addressing food insecurity through available food resource programs and lower-cost grocery stores, providing access to affordable housing, and creating transportation programs that make accessing health care and other social support services easier.</w:t>
      </w:r>
      <w:r w:rsidR="00FB167B">
        <w:rPr>
          <w:rFonts w:ascii="ZWAdobeF" w:eastAsiaTheme="minorHAnsi" w:hAnsi="ZWAdobeF" w:cs="ZWAdobeF"/>
          <w:sz w:val="2"/>
          <w:szCs w:val="2"/>
        </w:rPr>
        <w:t>60F</w:t>
      </w:r>
      <w:r w:rsidRPr="00CF77C3">
        <w:rPr>
          <w:rFonts w:ascii="Arial" w:eastAsiaTheme="minorHAnsi" w:hAnsi="Arial" w:cs="Arial"/>
          <w:sz w:val="22"/>
          <w:szCs w:val="22"/>
          <w:vertAlign w:val="superscript"/>
        </w:rPr>
        <w:footnoteReference w:id="61"/>
      </w:r>
      <w:r w:rsidRPr="00CF77C3">
        <w:rPr>
          <w:rFonts w:ascii="Arial" w:eastAsiaTheme="minorHAnsi" w:hAnsi="Arial" w:cs="Arial"/>
          <w:sz w:val="22"/>
          <w:szCs w:val="22"/>
        </w:rPr>
        <w:t xml:space="preserve"> </w:t>
      </w:r>
    </w:p>
    <w:p w14:paraId="14B147CA" w14:textId="77777777" w:rsidR="00907510" w:rsidRPr="00CF77C3" w:rsidRDefault="00907510" w:rsidP="00907510">
      <w:pPr>
        <w:rPr>
          <w:rFonts w:ascii="Arial" w:eastAsiaTheme="minorHAnsi" w:hAnsi="Arial" w:cs="Arial"/>
          <w:sz w:val="22"/>
          <w:szCs w:val="22"/>
        </w:rPr>
      </w:pPr>
    </w:p>
    <w:p w14:paraId="701BC80D" w14:textId="50C2B91C" w:rsidR="00907510" w:rsidRPr="00CF77C3" w:rsidRDefault="00907510" w:rsidP="00AF3ADF">
      <w:pPr>
        <w:jc w:val="both"/>
        <w:rPr>
          <w:rFonts w:ascii="Arial" w:eastAsiaTheme="minorHAnsi" w:hAnsi="Arial" w:cs="Arial"/>
          <w:sz w:val="22"/>
          <w:szCs w:val="22"/>
        </w:rPr>
      </w:pPr>
      <w:r w:rsidRPr="00CF77C3">
        <w:rPr>
          <w:rFonts w:ascii="Arial" w:eastAsiaTheme="minorHAnsi" w:hAnsi="Arial" w:cs="Arial"/>
          <w:sz w:val="22"/>
          <w:szCs w:val="22"/>
        </w:rPr>
        <w:t>For many years, BMC has been a leader in Massachusetts</w:t>
      </w:r>
      <w:r w:rsidR="00F33C2A">
        <w:rPr>
          <w:rFonts w:ascii="Arial" w:eastAsiaTheme="minorHAnsi" w:hAnsi="Arial" w:cs="Arial"/>
          <w:sz w:val="22"/>
          <w:szCs w:val="22"/>
        </w:rPr>
        <w:t xml:space="preserve"> by</w:t>
      </w:r>
      <w:r w:rsidRPr="00CF77C3">
        <w:rPr>
          <w:rFonts w:ascii="Arial" w:eastAsiaTheme="minorHAnsi" w:hAnsi="Arial" w:cs="Arial"/>
          <w:sz w:val="22"/>
          <w:szCs w:val="22"/>
        </w:rPr>
        <w:t xml:space="preserve"> integrating </w:t>
      </w:r>
      <w:proofErr w:type="spellStart"/>
      <w:r w:rsidRPr="00CF77C3">
        <w:rPr>
          <w:rFonts w:ascii="Arial" w:eastAsiaTheme="minorHAnsi" w:hAnsi="Arial" w:cs="Arial"/>
          <w:sz w:val="22"/>
          <w:szCs w:val="22"/>
        </w:rPr>
        <w:t>SDoH</w:t>
      </w:r>
      <w:proofErr w:type="spellEnd"/>
      <w:r w:rsidRPr="00CF77C3">
        <w:rPr>
          <w:rFonts w:ascii="Arial" w:eastAsiaTheme="minorHAnsi" w:hAnsi="Arial" w:cs="Arial"/>
          <w:sz w:val="22"/>
          <w:szCs w:val="22"/>
        </w:rPr>
        <w:t xml:space="preserve"> programming into its clinical models</w:t>
      </w:r>
      <w:r w:rsidR="00F33C2A">
        <w:rPr>
          <w:rFonts w:ascii="Arial" w:eastAsiaTheme="minorHAnsi" w:hAnsi="Arial" w:cs="Arial"/>
          <w:sz w:val="22"/>
          <w:szCs w:val="22"/>
        </w:rPr>
        <w:t xml:space="preserve"> and</w:t>
      </w:r>
      <w:r w:rsidRPr="00CF77C3">
        <w:rPr>
          <w:rFonts w:ascii="Arial" w:eastAsiaTheme="minorHAnsi" w:hAnsi="Arial" w:cs="Arial"/>
          <w:sz w:val="22"/>
          <w:szCs w:val="22"/>
        </w:rPr>
        <w:t xml:space="preserve"> ensuring that patients’ health care and </w:t>
      </w:r>
      <w:proofErr w:type="spellStart"/>
      <w:r w:rsidRPr="00CF77C3">
        <w:rPr>
          <w:rFonts w:ascii="Arial" w:eastAsiaTheme="minorHAnsi" w:hAnsi="Arial" w:cs="Arial"/>
          <w:sz w:val="22"/>
          <w:szCs w:val="22"/>
        </w:rPr>
        <w:t>SDoH</w:t>
      </w:r>
      <w:proofErr w:type="spellEnd"/>
      <w:r w:rsidRPr="00CF77C3">
        <w:rPr>
          <w:rFonts w:ascii="Arial" w:eastAsiaTheme="minorHAnsi" w:hAnsi="Arial" w:cs="Arial"/>
          <w:sz w:val="22"/>
          <w:szCs w:val="22"/>
        </w:rPr>
        <w:t xml:space="preserve"> needs are addressed. The </w:t>
      </w:r>
      <w:r w:rsidR="00004CC7">
        <w:rPr>
          <w:rFonts w:ascii="Arial" w:eastAsiaTheme="minorHAnsi" w:hAnsi="Arial" w:cs="Arial"/>
          <w:sz w:val="22"/>
          <w:szCs w:val="22"/>
        </w:rPr>
        <w:t>Hospital</w:t>
      </w:r>
      <w:r w:rsidRPr="00CF77C3">
        <w:rPr>
          <w:rFonts w:ascii="Arial" w:eastAsiaTheme="minorHAnsi" w:hAnsi="Arial" w:cs="Arial"/>
          <w:sz w:val="22"/>
          <w:szCs w:val="22"/>
        </w:rPr>
        <w:t xml:space="preserve"> has invested in a diverse group of community partnerships throughout its various targeted neighborhoods. Some of these investments include: $1 million for a no-interest loan and a $400,000 operating subsidy to support a new, Good Food Markets in a new housing development in Roxbury; $1 million for a stabilization fund that will provide grants to community-based organizations to help families avoid eviction in and around Boston; and $1 million to Pine Street Inn, Boston Health Care for the Homeless Program</w:t>
      </w:r>
      <w:r w:rsidR="00F33C2A">
        <w:rPr>
          <w:rFonts w:ascii="Arial" w:eastAsiaTheme="minorHAnsi" w:hAnsi="Arial" w:cs="Arial"/>
          <w:sz w:val="22"/>
          <w:szCs w:val="22"/>
        </w:rPr>
        <w:t>,</w:t>
      </w:r>
      <w:r w:rsidRPr="00CF77C3">
        <w:rPr>
          <w:rFonts w:ascii="Arial" w:eastAsiaTheme="minorHAnsi" w:hAnsi="Arial" w:cs="Arial"/>
          <w:sz w:val="22"/>
          <w:szCs w:val="22"/>
        </w:rPr>
        <w:t xml:space="preserve"> and other community partners to create a housing stabilization program for individuals with complex medical problems, including </w:t>
      </w:r>
      <w:r w:rsidR="00004CC7">
        <w:rPr>
          <w:rFonts w:ascii="Arial" w:eastAsiaTheme="minorHAnsi" w:hAnsi="Arial" w:cs="Arial"/>
          <w:sz w:val="22"/>
          <w:szCs w:val="22"/>
        </w:rPr>
        <w:t>SUDs</w:t>
      </w:r>
      <w:r w:rsidRPr="00CF77C3">
        <w:rPr>
          <w:rFonts w:ascii="Arial" w:eastAsiaTheme="minorHAnsi" w:hAnsi="Arial" w:cs="Arial"/>
          <w:sz w:val="22"/>
          <w:szCs w:val="22"/>
        </w:rPr>
        <w:t xml:space="preserve">. The Proposed Project will allow BMC to screen additional patients for </w:t>
      </w:r>
      <w:proofErr w:type="spellStart"/>
      <w:r w:rsidRPr="00CF77C3">
        <w:rPr>
          <w:rFonts w:ascii="Arial" w:eastAsiaTheme="minorHAnsi" w:hAnsi="Arial" w:cs="Arial"/>
          <w:sz w:val="22"/>
          <w:szCs w:val="22"/>
        </w:rPr>
        <w:t>SDoH</w:t>
      </w:r>
      <w:r w:rsidR="00B334F6">
        <w:rPr>
          <w:rFonts w:ascii="Arial" w:eastAsiaTheme="minorHAnsi" w:hAnsi="Arial" w:cs="Arial"/>
          <w:sz w:val="22"/>
          <w:szCs w:val="22"/>
        </w:rPr>
        <w:t>s</w:t>
      </w:r>
      <w:proofErr w:type="spellEnd"/>
      <w:r w:rsidRPr="00CF77C3">
        <w:rPr>
          <w:rFonts w:ascii="Arial" w:eastAsiaTheme="minorHAnsi" w:hAnsi="Arial" w:cs="Arial"/>
          <w:sz w:val="22"/>
          <w:szCs w:val="22"/>
        </w:rPr>
        <w:t xml:space="preserve"> and further invest in social programming, ultimately leading to reductions in health care costs. </w:t>
      </w:r>
    </w:p>
    <w:p w14:paraId="74D69959" w14:textId="77777777" w:rsidR="00907510" w:rsidRPr="00CF77C3" w:rsidRDefault="00907510" w:rsidP="00907510">
      <w:pPr>
        <w:rPr>
          <w:rFonts w:ascii="Arial" w:eastAsiaTheme="minorHAnsi" w:hAnsi="Arial" w:cs="Arial"/>
          <w:sz w:val="22"/>
          <w:szCs w:val="22"/>
        </w:rPr>
      </w:pPr>
    </w:p>
    <w:p w14:paraId="04C6718C" w14:textId="4EBFEB89" w:rsidR="003E54B5" w:rsidRPr="00CF77C3" w:rsidRDefault="00907510" w:rsidP="00AF3ADF">
      <w:pPr>
        <w:jc w:val="both"/>
        <w:rPr>
          <w:rFonts w:ascii="Arial" w:eastAsiaTheme="minorHAnsi" w:hAnsi="Arial" w:cs="Arial"/>
          <w:sz w:val="22"/>
          <w:szCs w:val="22"/>
        </w:rPr>
      </w:pPr>
      <w:r w:rsidRPr="00CF77C3">
        <w:rPr>
          <w:rFonts w:ascii="Arial" w:eastAsiaTheme="minorHAnsi" w:hAnsi="Arial" w:cs="Arial"/>
          <w:sz w:val="22"/>
          <w:szCs w:val="22"/>
        </w:rPr>
        <w:t xml:space="preserve">Finally, the Proposed Project will compete on recognized measures of health care spending as it is designed to conservatively increase inpatient bed and </w:t>
      </w:r>
      <w:r w:rsidR="00004CC7">
        <w:rPr>
          <w:rFonts w:ascii="Arial" w:eastAsiaTheme="minorHAnsi" w:hAnsi="Arial" w:cs="Arial"/>
          <w:sz w:val="22"/>
          <w:szCs w:val="22"/>
        </w:rPr>
        <w:t>OR</w:t>
      </w:r>
      <w:r w:rsidRPr="00CF77C3">
        <w:rPr>
          <w:rFonts w:ascii="Arial" w:eastAsiaTheme="minorHAnsi" w:hAnsi="Arial" w:cs="Arial"/>
          <w:sz w:val="22"/>
          <w:szCs w:val="22"/>
        </w:rPr>
        <w:t xml:space="preserve"> capacity by prioritizing BMC’s existing space and infrastructure through small additions and interior renovations and relocations rather than building anew. By renovating its current physical plant, the </w:t>
      </w:r>
      <w:r w:rsidR="00004CC7">
        <w:rPr>
          <w:rFonts w:ascii="Arial" w:eastAsiaTheme="minorHAnsi" w:hAnsi="Arial" w:cs="Arial"/>
          <w:sz w:val="22"/>
          <w:szCs w:val="22"/>
        </w:rPr>
        <w:t>H</w:t>
      </w:r>
      <w:r w:rsidRPr="00CF77C3">
        <w:rPr>
          <w:rFonts w:ascii="Arial" w:eastAsiaTheme="minorHAnsi" w:hAnsi="Arial" w:cs="Arial"/>
          <w:sz w:val="22"/>
          <w:szCs w:val="22"/>
        </w:rPr>
        <w:t xml:space="preserve">ospital will be able to use existing resources reducing the overall costs of the Proposed Project and ensuring its financial feasibility. Accordingly, the Proposed Project is reasonable and competes on the basis of recognized measures of health care spending. </w:t>
      </w:r>
    </w:p>
    <w:p w14:paraId="3E936618" w14:textId="7D557A69" w:rsidR="005C5911" w:rsidRDefault="005C5911" w:rsidP="00E24D42">
      <w:pPr>
        <w:pStyle w:val="NormalWeb"/>
        <w:spacing w:before="0" w:beforeAutospacing="0" w:after="0" w:afterAutospacing="0"/>
        <w:jc w:val="both"/>
        <w:rPr>
          <w:rFonts w:ascii="Arial" w:hAnsi="Arial" w:cs="Arial"/>
          <w:sz w:val="22"/>
          <w:szCs w:val="22"/>
          <w:u w:val="single"/>
        </w:rPr>
      </w:pPr>
    </w:p>
    <w:p w14:paraId="707E977D" w14:textId="7C9E0E16" w:rsidR="005C5911" w:rsidRDefault="005C5911"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F1.b.i</w:t>
      </w:r>
      <w:r>
        <w:rPr>
          <w:rStyle w:val="normaltextrun"/>
          <w:rFonts w:ascii="Arial" w:hAnsi="Arial" w:cs="Arial"/>
          <w:sz w:val="22"/>
          <w:szCs w:val="22"/>
        </w:rPr>
        <w:t xml:space="preserve"> </w:t>
      </w:r>
      <w:r>
        <w:rPr>
          <w:rStyle w:val="tabchar"/>
          <w:rFonts w:ascii="Calibri" w:hAnsi="Calibri" w:cs="Calibri"/>
          <w:sz w:val="22"/>
          <w:szCs w:val="22"/>
        </w:rPr>
        <w:tab/>
      </w:r>
      <w:r>
        <w:rPr>
          <w:rStyle w:val="normaltextrun"/>
          <w:rFonts w:ascii="Arial" w:hAnsi="Arial" w:cs="Arial"/>
          <w:b/>
          <w:bCs/>
          <w:sz w:val="22"/>
          <w:szCs w:val="22"/>
          <w:u w:val="single"/>
        </w:rPr>
        <w:t>Public Health Value/Evidence-Based:</w:t>
      </w:r>
      <w:r>
        <w:rPr>
          <w:rStyle w:val="eop"/>
          <w:rFonts w:ascii="Arial" w:hAnsi="Arial" w:cs="Arial"/>
          <w:sz w:val="22"/>
          <w:szCs w:val="22"/>
        </w:rPr>
        <w:t> </w:t>
      </w:r>
    </w:p>
    <w:p w14:paraId="43867ABD" w14:textId="77777777" w:rsidR="005C5911" w:rsidRDefault="005C5911" w:rsidP="009A7F8F">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Provide information on the evidence-base for the Proposed Project. That is, how does the Proposed Project address the Need that Applicant has identified. </w:t>
      </w:r>
      <w:r>
        <w:rPr>
          <w:rStyle w:val="eop"/>
          <w:rFonts w:ascii="Arial" w:hAnsi="Arial" w:cs="Arial"/>
          <w:sz w:val="22"/>
          <w:szCs w:val="22"/>
        </w:rPr>
        <w:t> </w:t>
      </w:r>
    </w:p>
    <w:p w14:paraId="3A19FCDA" w14:textId="023F6370" w:rsidR="005C5911" w:rsidRDefault="005C5911" w:rsidP="00E24D42">
      <w:pPr>
        <w:pStyle w:val="NormalWeb"/>
        <w:spacing w:before="0" w:beforeAutospacing="0" w:after="0" w:afterAutospacing="0"/>
        <w:jc w:val="both"/>
        <w:rPr>
          <w:rFonts w:ascii="Arial" w:hAnsi="Arial" w:cs="Arial"/>
          <w:sz w:val="22"/>
          <w:szCs w:val="22"/>
          <w:u w:val="single"/>
        </w:rPr>
      </w:pPr>
    </w:p>
    <w:p w14:paraId="65CAF3E5" w14:textId="57DDA4AE" w:rsidR="005D5269" w:rsidRPr="00337988" w:rsidRDefault="00095891" w:rsidP="00993E30">
      <w:pPr>
        <w:pStyle w:val="NormalWeb"/>
        <w:spacing w:before="0" w:beforeAutospacing="0" w:after="0" w:afterAutospacing="0"/>
        <w:jc w:val="both"/>
        <w:rPr>
          <w:rFonts w:ascii="Arial" w:hAnsi="Arial" w:cs="Arial"/>
          <w:color w:val="000000" w:themeColor="text1"/>
          <w:sz w:val="22"/>
          <w:szCs w:val="22"/>
        </w:rPr>
      </w:pPr>
      <w:r w:rsidRPr="00095891">
        <w:rPr>
          <w:rFonts w:ascii="Arial" w:hAnsi="Arial" w:cs="Arial"/>
          <w:sz w:val="22"/>
          <w:szCs w:val="22"/>
        </w:rPr>
        <w:t xml:space="preserve">Through the Proposed Project, the Applicant seeks to </w:t>
      </w:r>
      <w:r w:rsidRPr="00F031D7">
        <w:rPr>
          <w:rFonts w:ascii="Arial" w:hAnsi="Arial" w:cs="Arial"/>
          <w:color w:val="000000" w:themeColor="text1"/>
          <w:sz w:val="22"/>
          <w:szCs w:val="22"/>
        </w:rPr>
        <w:t>address inpatient capacity constraints</w:t>
      </w:r>
      <w:r>
        <w:rPr>
          <w:rFonts w:ascii="Arial" w:hAnsi="Arial" w:cs="Arial"/>
          <w:color w:val="000000" w:themeColor="text1"/>
          <w:sz w:val="22"/>
          <w:szCs w:val="22"/>
        </w:rPr>
        <w:t xml:space="preserve"> and related demands</w:t>
      </w:r>
      <w:r w:rsidRPr="00F031D7">
        <w:rPr>
          <w:rFonts w:ascii="Arial" w:hAnsi="Arial" w:cs="Arial"/>
          <w:color w:val="000000" w:themeColor="text1"/>
          <w:sz w:val="22"/>
          <w:szCs w:val="22"/>
        </w:rPr>
        <w:t xml:space="preserve"> at BMC due to challenges inherent in BMC’s historical physical campus layout </w:t>
      </w:r>
      <w:r w:rsidR="00F33C2A">
        <w:rPr>
          <w:rFonts w:ascii="Arial" w:hAnsi="Arial" w:cs="Arial"/>
          <w:color w:val="000000" w:themeColor="text1"/>
          <w:sz w:val="22"/>
          <w:szCs w:val="22"/>
        </w:rPr>
        <w:t>that</w:t>
      </w:r>
      <w:r w:rsidR="00F33C2A" w:rsidRPr="00F031D7">
        <w:rPr>
          <w:rFonts w:ascii="Arial" w:hAnsi="Arial" w:cs="Arial"/>
          <w:color w:val="000000" w:themeColor="text1"/>
          <w:sz w:val="22"/>
          <w:szCs w:val="22"/>
        </w:rPr>
        <w:t xml:space="preserve"> </w:t>
      </w:r>
      <w:r w:rsidRPr="00F031D7">
        <w:rPr>
          <w:rFonts w:ascii="Arial" w:hAnsi="Arial" w:cs="Arial"/>
          <w:color w:val="000000" w:themeColor="text1"/>
          <w:sz w:val="22"/>
          <w:szCs w:val="22"/>
        </w:rPr>
        <w:t>have been exacerbated by recent changes in the health</w:t>
      </w:r>
      <w:r w:rsidR="00CF77C3">
        <w:rPr>
          <w:rFonts w:ascii="Arial" w:hAnsi="Arial" w:cs="Arial"/>
          <w:color w:val="000000" w:themeColor="text1"/>
          <w:sz w:val="22"/>
          <w:szCs w:val="22"/>
        </w:rPr>
        <w:t xml:space="preserve"> </w:t>
      </w:r>
      <w:r w:rsidRPr="00F031D7">
        <w:rPr>
          <w:rFonts w:ascii="Arial" w:hAnsi="Arial" w:cs="Arial"/>
          <w:color w:val="000000" w:themeColor="text1"/>
          <w:sz w:val="22"/>
          <w:szCs w:val="22"/>
        </w:rPr>
        <w:t xml:space="preserve">care environment </w:t>
      </w:r>
      <w:r w:rsidR="00F33C2A">
        <w:rPr>
          <w:rFonts w:ascii="Arial" w:hAnsi="Arial" w:cs="Arial"/>
          <w:color w:val="000000" w:themeColor="text1"/>
          <w:sz w:val="22"/>
          <w:szCs w:val="22"/>
        </w:rPr>
        <w:t>and</w:t>
      </w:r>
      <w:r w:rsidRPr="00F031D7">
        <w:rPr>
          <w:rFonts w:ascii="Arial" w:hAnsi="Arial" w:cs="Arial"/>
          <w:color w:val="000000" w:themeColor="text1"/>
          <w:sz w:val="22"/>
          <w:szCs w:val="22"/>
        </w:rPr>
        <w:t xml:space="preserve"> increased </w:t>
      </w:r>
      <w:r>
        <w:rPr>
          <w:rFonts w:ascii="Arial" w:hAnsi="Arial" w:cs="Arial"/>
          <w:color w:val="000000" w:themeColor="text1"/>
          <w:sz w:val="22"/>
          <w:szCs w:val="22"/>
        </w:rPr>
        <w:t>patient volume</w:t>
      </w:r>
      <w:r w:rsidRPr="00F031D7">
        <w:rPr>
          <w:rFonts w:ascii="Arial" w:hAnsi="Arial" w:cs="Arial"/>
          <w:color w:val="000000" w:themeColor="text1"/>
          <w:sz w:val="22"/>
          <w:szCs w:val="22"/>
        </w:rPr>
        <w:t>.</w:t>
      </w:r>
      <w:r w:rsidR="00176DC2">
        <w:rPr>
          <w:rFonts w:ascii="Arial" w:hAnsi="Arial" w:cs="Arial"/>
          <w:color w:val="000000" w:themeColor="text1"/>
          <w:sz w:val="22"/>
          <w:szCs w:val="22"/>
        </w:rPr>
        <w:t xml:space="preserve"> </w:t>
      </w:r>
      <w:r w:rsidR="00F33C2A">
        <w:rPr>
          <w:rFonts w:ascii="Arial" w:hAnsi="Arial" w:cs="Arial"/>
          <w:color w:val="000000" w:themeColor="text1"/>
          <w:sz w:val="22"/>
          <w:szCs w:val="22"/>
        </w:rPr>
        <w:t>The</w:t>
      </w:r>
      <w:r w:rsidR="00176DC2">
        <w:rPr>
          <w:rFonts w:ascii="Arial" w:hAnsi="Arial" w:cs="Arial"/>
          <w:color w:val="000000" w:themeColor="text1"/>
          <w:sz w:val="22"/>
          <w:szCs w:val="22"/>
        </w:rPr>
        <w:t xml:space="preserve"> Proposed Project is designed to </w:t>
      </w:r>
      <w:r w:rsidR="007B616B" w:rsidRPr="00C27873">
        <w:rPr>
          <w:rFonts w:ascii="Arial" w:hAnsi="Arial" w:cs="Arial"/>
          <w:sz w:val="22"/>
          <w:szCs w:val="22"/>
        </w:rPr>
        <w:t xml:space="preserve">implement strategic space modifications </w:t>
      </w:r>
      <w:r w:rsidR="007B616B">
        <w:rPr>
          <w:rFonts w:ascii="Arial" w:hAnsi="Arial" w:cs="Arial"/>
          <w:color w:val="000000" w:themeColor="text1"/>
          <w:sz w:val="22"/>
          <w:szCs w:val="22"/>
        </w:rPr>
        <w:t xml:space="preserve">to </w:t>
      </w:r>
      <w:r w:rsidR="00176DC2" w:rsidRPr="00095891">
        <w:rPr>
          <w:rFonts w:ascii="Arial" w:hAnsi="Arial" w:cs="Arial"/>
          <w:sz w:val="22"/>
          <w:szCs w:val="22"/>
        </w:rPr>
        <w:t>meet the growing demand for inpatient services</w:t>
      </w:r>
      <w:r w:rsidR="005D5269">
        <w:rPr>
          <w:rFonts w:ascii="Arial" w:hAnsi="Arial" w:cs="Arial"/>
          <w:sz w:val="22"/>
          <w:szCs w:val="22"/>
        </w:rPr>
        <w:t xml:space="preserve">, </w:t>
      </w:r>
      <w:r w:rsidR="00176DC2">
        <w:rPr>
          <w:rFonts w:ascii="Arial" w:hAnsi="Arial" w:cs="Arial"/>
          <w:sz w:val="22"/>
          <w:szCs w:val="22"/>
        </w:rPr>
        <w:t>positively impact ED throughput and operation</w:t>
      </w:r>
      <w:r w:rsidR="00B73931">
        <w:rPr>
          <w:rFonts w:ascii="Arial" w:hAnsi="Arial" w:cs="Arial"/>
          <w:sz w:val="22"/>
          <w:szCs w:val="22"/>
        </w:rPr>
        <w:t>s</w:t>
      </w:r>
      <w:r w:rsidR="00176DC2">
        <w:rPr>
          <w:rFonts w:ascii="Arial" w:hAnsi="Arial" w:cs="Arial"/>
          <w:sz w:val="22"/>
          <w:szCs w:val="22"/>
        </w:rPr>
        <w:t xml:space="preserve">, </w:t>
      </w:r>
      <w:r w:rsidR="00D04C62">
        <w:rPr>
          <w:rFonts w:ascii="Arial" w:hAnsi="Arial" w:cs="Arial"/>
          <w:sz w:val="22"/>
          <w:szCs w:val="22"/>
        </w:rPr>
        <w:t xml:space="preserve">increase patient satisfaction and health outcomes, and </w:t>
      </w:r>
      <w:r w:rsidR="005D5269">
        <w:rPr>
          <w:rFonts w:ascii="Arial" w:hAnsi="Arial" w:cs="Arial"/>
          <w:sz w:val="22"/>
          <w:szCs w:val="22"/>
        </w:rPr>
        <w:t>ensure timely access to New England’s largest safety net hospital.</w:t>
      </w:r>
      <w:r w:rsidR="005D5269">
        <w:rPr>
          <w:rFonts w:ascii="Arial" w:hAnsi="Arial" w:cs="Arial"/>
          <w:color w:val="000000" w:themeColor="text1"/>
          <w:sz w:val="22"/>
          <w:szCs w:val="22"/>
        </w:rPr>
        <w:t xml:space="preserve"> </w:t>
      </w:r>
      <w:r w:rsidR="00176DC2" w:rsidRPr="00095891">
        <w:rPr>
          <w:rFonts w:ascii="Arial" w:hAnsi="Arial" w:cs="Arial"/>
          <w:sz w:val="22"/>
          <w:szCs w:val="22"/>
        </w:rPr>
        <w:t>Factor</w:t>
      </w:r>
      <w:r w:rsidR="00004CC7">
        <w:rPr>
          <w:rFonts w:ascii="Arial" w:hAnsi="Arial" w:cs="Arial"/>
          <w:sz w:val="22"/>
          <w:szCs w:val="22"/>
        </w:rPr>
        <w:t>s</w:t>
      </w:r>
      <w:r w:rsidR="00176DC2" w:rsidRPr="00095891">
        <w:rPr>
          <w:rFonts w:ascii="Arial" w:hAnsi="Arial" w:cs="Arial"/>
          <w:sz w:val="22"/>
          <w:szCs w:val="22"/>
        </w:rPr>
        <w:t xml:space="preserve"> F1.a.ii</w:t>
      </w:r>
      <w:r w:rsidR="00176DC2">
        <w:rPr>
          <w:rFonts w:ascii="Arial" w:hAnsi="Arial" w:cs="Arial"/>
          <w:sz w:val="22"/>
          <w:szCs w:val="22"/>
        </w:rPr>
        <w:t xml:space="preserve"> </w:t>
      </w:r>
      <w:r w:rsidR="00004CC7">
        <w:rPr>
          <w:rFonts w:ascii="Arial" w:hAnsi="Arial" w:cs="Arial"/>
          <w:sz w:val="22"/>
          <w:szCs w:val="22"/>
        </w:rPr>
        <w:t xml:space="preserve">and F1.a.iii </w:t>
      </w:r>
      <w:r w:rsidR="00176DC2">
        <w:rPr>
          <w:rFonts w:ascii="Arial" w:hAnsi="Arial" w:cs="Arial"/>
          <w:sz w:val="22"/>
          <w:szCs w:val="22"/>
        </w:rPr>
        <w:t xml:space="preserve">describe how the various Proposed Project components will contribute to these goals and </w:t>
      </w:r>
      <w:r w:rsidR="00176DC2" w:rsidRPr="00993E30">
        <w:rPr>
          <w:rFonts w:ascii="Arial" w:hAnsi="Arial" w:cs="Arial"/>
          <w:color w:val="000000" w:themeColor="text1"/>
          <w:sz w:val="22"/>
          <w:szCs w:val="22"/>
        </w:rPr>
        <w:t>meet the Applicant’s patient panel need</w:t>
      </w:r>
      <w:r w:rsidR="00004CC7">
        <w:rPr>
          <w:rFonts w:ascii="Arial" w:hAnsi="Arial" w:cs="Arial"/>
          <w:color w:val="000000" w:themeColor="text1"/>
          <w:sz w:val="22"/>
          <w:szCs w:val="22"/>
        </w:rPr>
        <w:t xml:space="preserve"> in a cost-effective</w:t>
      </w:r>
      <w:r w:rsidR="00830AAD">
        <w:rPr>
          <w:rFonts w:ascii="Arial" w:hAnsi="Arial" w:cs="Arial"/>
          <w:color w:val="000000" w:themeColor="text1"/>
          <w:sz w:val="22"/>
          <w:szCs w:val="22"/>
        </w:rPr>
        <w:t xml:space="preserve"> manner</w:t>
      </w:r>
      <w:r w:rsidR="00176DC2" w:rsidRPr="00993E30">
        <w:rPr>
          <w:rFonts w:ascii="Arial" w:hAnsi="Arial" w:cs="Arial"/>
          <w:color w:val="000000" w:themeColor="text1"/>
          <w:sz w:val="22"/>
          <w:szCs w:val="22"/>
        </w:rPr>
        <w:t>.</w:t>
      </w:r>
      <w:r w:rsidR="00993E30">
        <w:rPr>
          <w:rFonts w:ascii="Arial" w:hAnsi="Arial" w:cs="Arial"/>
          <w:color w:val="000000" w:themeColor="text1"/>
          <w:sz w:val="22"/>
          <w:szCs w:val="22"/>
        </w:rPr>
        <w:t xml:space="preserve"> </w:t>
      </w:r>
      <w:r w:rsidR="005D5269" w:rsidRPr="00993E30">
        <w:rPr>
          <w:rFonts w:ascii="Arial" w:hAnsi="Arial" w:cs="Arial"/>
          <w:color w:val="000000" w:themeColor="text1"/>
          <w:sz w:val="22"/>
          <w:szCs w:val="22"/>
        </w:rPr>
        <w:t xml:space="preserve">As detailed herein, the Proposed Project components also </w:t>
      </w:r>
      <w:r w:rsidR="00F4074A">
        <w:rPr>
          <w:rFonts w:ascii="Arial" w:hAnsi="Arial" w:cs="Arial"/>
          <w:color w:val="000000" w:themeColor="text1"/>
          <w:sz w:val="22"/>
          <w:szCs w:val="22"/>
        </w:rPr>
        <w:t xml:space="preserve">are </w:t>
      </w:r>
      <w:r w:rsidR="005D5269" w:rsidRPr="00993E30">
        <w:rPr>
          <w:rFonts w:ascii="Arial" w:hAnsi="Arial" w:cs="Arial"/>
          <w:color w:val="000000" w:themeColor="text1"/>
          <w:sz w:val="22"/>
          <w:szCs w:val="22"/>
        </w:rPr>
        <w:t>supported by evidence</w:t>
      </w:r>
      <w:r w:rsidR="00993E30" w:rsidRPr="00993E30">
        <w:rPr>
          <w:rFonts w:ascii="Arial" w:hAnsi="Arial" w:cs="Arial"/>
          <w:color w:val="000000" w:themeColor="text1"/>
          <w:sz w:val="22"/>
          <w:szCs w:val="22"/>
        </w:rPr>
        <w:t>-based literature that</w:t>
      </w:r>
      <w:r w:rsidR="005D5269" w:rsidRPr="00993E30">
        <w:rPr>
          <w:rFonts w:ascii="Arial" w:hAnsi="Arial" w:cs="Arial"/>
          <w:color w:val="000000" w:themeColor="text1"/>
          <w:sz w:val="22"/>
          <w:szCs w:val="22"/>
        </w:rPr>
        <w:t xml:space="preserve"> </w:t>
      </w:r>
      <w:r w:rsidR="002B03F3" w:rsidRPr="00993E30">
        <w:rPr>
          <w:rFonts w:ascii="Arial" w:hAnsi="Arial" w:cs="Arial"/>
          <w:color w:val="000000" w:themeColor="text1"/>
          <w:sz w:val="22"/>
          <w:szCs w:val="22"/>
        </w:rPr>
        <w:t xml:space="preserve">illustrates the </w:t>
      </w:r>
      <w:r w:rsidR="002B03F3">
        <w:rPr>
          <w:rFonts w:ascii="Arial" w:hAnsi="Arial" w:cs="Arial"/>
          <w:color w:val="000000" w:themeColor="text1"/>
          <w:sz w:val="22"/>
          <w:szCs w:val="22"/>
        </w:rPr>
        <w:t xml:space="preserve">essential </w:t>
      </w:r>
      <w:r w:rsidR="002B03F3" w:rsidRPr="00993E30">
        <w:rPr>
          <w:rFonts w:ascii="Arial" w:hAnsi="Arial" w:cs="Arial"/>
          <w:color w:val="000000" w:themeColor="text1"/>
          <w:sz w:val="22"/>
          <w:szCs w:val="22"/>
        </w:rPr>
        <w:t xml:space="preserve">role </w:t>
      </w:r>
      <w:r w:rsidR="002B03F3">
        <w:rPr>
          <w:rFonts w:ascii="Arial" w:hAnsi="Arial" w:cs="Arial"/>
          <w:color w:val="000000" w:themeColor="text1"/>
          <w:sz w:val="22"/>
          <w:szCs w:val="22"/>
        </w:rPr>
        <w:t>that</w:t>
      </w:r>
      <w:r w:rsidR="002B03F3" w:rsidRPr="00993E30">
        <w:rPr>
          <w:rFonts w:ascii="Arial" w:hAnsi="Arial" w:cs="Arial"/>
          <w:color w:val="000000" w:themeColor="text1"/>
          <w:sz w:val="22"/>
          <w:szCs w:val="22"/>
        </w:rPr>
        <w:t xml:space="preserve"> safety net hospitals</w:t>
      </w:r>
      <w:r w:rsidR="002B03F3">
        <w:rPr>
          <w:rFonts w:ascii="Arial" w:hAnsi="Arial" w:cs="Arial"/>
          <w:color w:val="000000" w:themeColor="text1"/>
          <w:sz w:val="22"/>
          <w:szCs w:val="22"/>
        </w:rPr>
        <w:t>, like BMC, play</w:t>
      </w:r>
      <w:r w:rsidR="002B03F3" w:rsidRPr="00993E30">
        <w:rPr>
          <w:rFonts w:ascii="Arial" w:hAnsi="Arial" w:cs="Arial"/>
          <w:color w:val="000000" w:themeColor="text1"/>
          <w:sz w:val="22"/>
          <w:szCs w:val="22"/>
        </w:rPr>
        <w:t xml:space="preserve"> </w:t>
      </w:r>
      <w:r w:rsidR="002B03F3">
        <w:rPr>
          <w:rFonts w:ascii="Arial" w:hAnsi="Arial" w:cs="Arial"/>
          <w:color w:val="000000" w:themeColor="text1"/>
          <w:sz w:val="22"/>
          <w:szCs w:val="22"/>
        </w:rPr>
        <w:t>in the health</w:t>
      </w:r>
      <w:r w:rsidR="00CF77C3">
        <w:rPr>
          <w:rFonts w:ascii="Arial" w:hAnsi="Arial" w:cs="Arial"/>
          <w:color w:val="000000" w:themeColor="text1"/>
          <w:sz w:val="22"/>
          <w:szCs w:val="22"/>
        </w:rPr>
        <w:t xml:space="preserve"> </w:t>
      </w:r>
      <w:r w:rsidR="002B03F3">
        <w:rPr>
          <w:rFonts w:ascii="Arial" w:hAnsi="Arial" w:cs="Arial"/>
          <w:color w:val="000000" w:themeColor="text1"/>
          <w:sz w:val="22"/>
          <w:szCs w:val="22"/>
        </w:rPr>
        <w:t xml:space="preserve">care system and </w:t>
      </w:r>
      <w:r w:rsidR="00993E30" w:rsidRPr="00993E30">
        <w:rPr>
          <w:rFonts w:ascii="Arial" w:hAnsi="Arial" w:cs="Arial"/>
          <w:color w:val="000000" w:themeColor="text1"/>
          <w:sz w:val="22"/>
          <w:szCs w:val="22"/>
        </w:rPr>
        <w:t xml:space="preserve">details </w:t>
      </w:r>
      <w:r w:rsidR="005D5269" w:rsidRPr="00993E30">
        <w:rPr>
          <w:rFonts w:ascii="Arial" w:hAnsi="Arial" w:cs="Arial"/>
          <w:color w:val="000000" w:themeColor="text1"/>
          <w:sz w:val="22"/>
          <w:szCs w:val="22"/>
        </w:rPr>
        <w:t xml:space="preserve">the importance of </w:t>
      </w:r>
      <w:r w:rsidR="00993E30" w:rsidRPr="00993E30">
        <w:rPr>
          <w:rFonts w:ascii="Arial" w:hAnsi="Arial" w:cs="Arial"/>
          <w:color w:val="000000" w:themeColor="text1"/>
          <w:sz w:val="22"/>
          <w:szCs w:val="22"/>
        </w:rPr>
        <w:t xml:space="preserve">adequate </w:t>
      </w:r>
      <w:r w:rsidR="005D5269" w:rsidRPr="00993E30">
        <w:rPr>
          <w:rFonts w:ascii="Arial" w:hAnsi="Arial" w:cs="Arial"/>
          <w:color w:val="000000" w:themeColor="text1"/>
          <w:sz w:val="22"/>
          <w:szCs w:val="22"/>
        </w:rPr>
        <w:t xml:space="preserve">inpatient </w:t>
      </w:r>
      <w:r w:rsidR="00993E30" w:rsidRPr="00993E30">
        <w:rPr>
          <w:rFonts w:ascii="Arial" w:hAnsi="Arial" w:cs="Arial"/>
          <w:color w:val="000000" w:themeColor="text1"/>
          <w:sz w:val="22"/>
          <w:szCs w:val="22"/>
        </w:rPr>
        <w:t xml:space="preserve">bed and surgical </w:t>
      </w:r>
      <w:r w:rsidR="005D5269" w:rsidRPr="00993E30">
        <w:rPr>
          <w:rFonts w:ascii="Arial" w:hAnsi="Arial" w:cs="Arial"/>
          <w:color w:val="000000" w:themeColor="text1"/>
          <w:sz w:val="22"/>
          <w:szCs w:val="22"/>
        </w:rPr>
        <w:t>capacity on hospital operations</w:t>
      </w:r>
      <w:r w:rsidR="00993E30" w:rsidRPr="00993E30">
        <w:rPr>
          <w:rFonts w:ascii="Arial" w:hAnsi="Arial" w:cs="Arial"/>
          <w:color w:val="000000" w:themeColor="text1"/>
          <w:sz w:val="22"/>
          <w:szCs w:val="22"/>
        </w:rPr>
        <w:t xml:space="preserve"> and patient satisfaction </w:t>
      </w:r>
      <w:r w:rsidR="00993E30" w:rsidRPr="00337988">
        <w:rPr>
          <w:rFonts w:ascii="Arial" w:hAnsi="Arial" w:cs="Arial"/>
          <w:color w:val="000000" w:themeColor="text1"/>
          <w:sz w:val="22"/>
          <w:szCs w:val="22"/>
        </w:rPr>
        <w:t>and outcomes</w:t>
      </w:r>
      <w:r w:rsidR="002B03F3" w:rsidRPr="00337988">
        <w:rPr>
          <w:rFonts w:ascii="Arial" w:hAnsi="Arial" w:cs="Arial"/>
          <w:color w:val="000000" w:themeColor="text1"/>
          <w:sz w:val="22"/>
          <w:szCs w:val="22"/>
        </w:rPr>
        <w:t>.</w:t>
      </w:r>
    </w:p>
    <w:p w14:paraId="54D66F7E" w14:textId="77777777" w:rsidR="00095891" w:rsidRPr="00337988" w:rsidRDefault="00095891" w:rsidP="00E24D42">
      <w:pPr>
        <w:pStyle w:val="NormalWeb"/>
        <w:spacing w:before="0" w:beforeAutospacing="0" w:after="0" w:afterAutospacing="0"/>
        <w:jc w:val="both"/>
        <w:rPr>
          <w:rFonts w:ascii="Arial" w:hAnsi="Arial" w:cs="Arial"/>
          <w:sz w:val="22"/>
          <w:szCs w:val="22"/>
          <w:u w:val="single"/>
        </w:rPr>
      </w:pPr>
    </w:p>
    <w:p w14:paraId="220E2875" w14:textId="0D9D6C23" w:rsidR="002B03F3" w:rsidRPr="00337988" w:rsidRDefault="002B03F3" w:rsidP="002B03F3">
      <w:pPr>
        <w:pStyle w:val="NormalWeb"/>
        <w:numPr>
          <w:ilvl w:val="0"/>
          <w:numId w:val="12"/>
        </w:numPr>
        <w:spacing w:before="0" w:beforeAutospacing="0" w:after="0" w:afterAutospacing="0"/>
        <w:ind w:left="360"/>
        <w:jc w:val="both"/>
        <w:rPr>
          <w:rFonts w:ascii="Arial" w:hAnsi="Arial" w:cs="Arial"/>
          <w:smallCaps/>
          <w:sz w:val="22"/>
          <w:szCs w:val="22"/>
          <w:u w:val="single"/>
        </w:rPr>
      </w:pPr>
      <w:r w:rsidRPr="00337988">
        <w:rPr>
          <w:rFonts w:ascii="Arial" w:hAnsi="Arial" w:cs="Arial"/>
          <w:smallCaps/>
          <w:sz w:val="22"/>
          <w:szCs w:val="22"/>
          <w:u w:val="single"/>
        </w:rPr>
        <w:t>Importance of Safety Net Hospitals, Including BMC</w:t>
      </w:r>
    </w:p>
    <w:p w14:paraId="68B5D08A" w14:textId="6B4A2D10" w:rsidR="002B03F3" w:rsidRPr="00337988" w:rsidRDefault="002B03F3" w:rsidP="009B2E2C">
      <w:pPr>
        <w:pStyle w:val="NormalWeb"/>
        <w:spacing w:before="0" w:beforeAutospacing="0" w:after="0" w:afterAutospacing="0"/>
        <w:jc w:val="both"/>
        <w:rPr>
          <w:rFonts w:ascii="Arial" w:hAnsi="Arial" w:cs="Arial"/>
          <w:color w:val="000000" w:themeColor="text1"/>
          <w:sz w:val="22"/>
          <w:szCs w:val="22"/>
        </w:rPr>
      </w:pPr>
    </w:p>
    <w:p w14:paraId="17AFC16A" w14:textId="019D341B" w:rsidR="002B03F3" w:rsidRPr="00B31830" w:rsidRDefault="00F33C2A" w:rsidP="00B31830">
      <w:pPr>
        <w:jc w:val="both"/>
        <w:rPr>
          <w:rFonts w:ascii="Arial" w:hAnsi="Arial" w:cs="Arial"/>
          <w:color w:val="000000" w:themeColor="text1"/>
          <w:sz w:val="22"/>
          <w:szCs w:val="22"/>
        </w:rPr>
      </w:pPr>
      <w:r>
        <w:rPr>
          <w:rFonts w:ascii="Arial" w:hAnsi="Arial" w:cs="Arial"/>
          <w:color w:val="000000" w:themeColor="text1"/>
          <w:sz w:val="22"/>
          <w:szCs w:val="22"/>
        </w:rPr>
        <w:t>BMC and other s</w:t>
      </w:r>
      <w:r w:rsidR="002B03F3" w:rsidRPr="00337988">
        <w:rPr>
          <w:rFonts w:ascii="Arial" w:hAnsi="Arial" w:cs="Arial"/>
          <w:color w:val="000000" w:themeColor="text1"/>
          <w:sz w:val="22"/>
          <w:szCs w:val="22"/>
        </w:rPr>
        <w:t xml:space="preserve">afety net hospitals play an essential role in the United States </w:t>
      </w:r>
      <w:r w:rsidR="009B2E2C" w:rsidRPr="00337988">
        <w:rPr>
          <w:rFonts w:ascii="Arial" w:hAnsi="Arial" w:cs="Arial"/>
          <w:color w:val="000000" w:themeColor="text1"/>
          <w:sz w:val="22"/>
          <w:szCs w:val="22"/>
        </w:rPr>
        <w:t xml:space="preserve">and the Massachusetts </w:t>
      </w:r>
      <w:r w:rsidR="002B03F3" w:rsidRPr="00337988">
        <w:rPr>
          <w:rFonts w:ascii="Arial" w:hAnsi="Arial" w:cs="Arial"/>
          <w:color w:val="000000" w:themeColor="text1"/>
          <w:sz w:val="22"/>
          <w:szCs w:val="22"/>
        </w:rPr>
        <w:t>health</w:t>
      </w:r>
      <w:r w:rsidR="00CF77C3">
        <w:rPr>
          <w:rFonts w:ascii="Arial" w:hAnsi="Arial" w:cs="Arial"/>
          <w:color w:val="000000" w:themeColor="text1"/>
          <w:sz w:val="22"/>
          <w:szCs w:val="22"/>
        </w:rPr>
        <w:t xml:space="preserve"> </w:t>
      </w:r>
      <w:r w:rsidR="002B03F3" w:rsidRPr="00337988">
        <w:rPr>
          <w:rFonts w:ascii="Arial" w:hAnsi="Arial" w:cs="Arial"/>
          <w:color w:val="000000" w:themeColor="text1"/>
          <w:sz w:val="22"/>
          <w:szCs w:val="22"/>
        </w:rPr>
        <w:t>care system</w:t>
      </w:r>
      <w:r w:rsidR="009B2E2C" w:rsidRPr="00337988">
        <w:rPr>
          <w:rFonts w:ascii="Arial" w:hAnsi="Arial" w:cs="Arial"/>
          <w:color w:val="000000" w:themeColor="text1"/>
          <w:sz w:val="22"/>
          <w:szCs w:val="22"/>
        </w:rPr>
        <w:t>s</w:t>
      </w:r>
      <w:r w:rsidR="002B03F3" w:rsidRPr="00337988">
        <w:rPr>
          <w:rFonts w:ascii="Arial" w:hAnsi="Arial" w:cs="Arial"/>
          <w:color w:val="000000" w:themeColor="text1"/>
          <w:sz w:val="22"/>
          <w:szCs w:val="22"/>
        </w:rPr>
        <w:t xml:space="preserve"> by providing </w:t>
      </w:r>
      <w:r w:rsidR="00337988">
        <w:rPr>
          <w:rFonts w:ascii="Arial" w:hAnsi="Arial" w:cs="Arial"/>
          <w:color w:val="000000" w:themeColor="text1"/>
          <w:sz w:val="22"/>
          <w:szCs w:val="22"/>
        </w:rPr>
        <w:t xml:space="preserve">indispensable </w:t>
      </w:r>
      <w:r w:rsidR="002B03F3" w:rsidRPr="00337988">
        <w:rPr>
          <w:rFonts w:ascii="Arial" w:hAnsi="Arial" w:cs="Arial"/>
          <w:color w:val="000000" w:themeColor="text1"/>
          <w:sz w:val="22"/>
          <w:szCs w:val="22"/>
        </w:rPr>
        <w:t xml:space="preserve">care to low-income and vulnerable populations, including the uninsured and individuals with Medicaid as well as populations </w:t>
      </w:r>
      <w:r w:rsidR="00AA779C">
        <w:rPr>
          <w:rFonts w:ascii="Arial" w:hAnsi="Arial" w:cs="Arial"/>
          <w:color w:val="000000" w:themeColor="text1"/>
          <w:sz w:val="22"/>
          <w:szCs w:val="22"/>
        </w:rPr>
        <w:t>facing health inequities, such as</w:t>
      </w:r>
      <w:r w:rsidR="00AA779C" w:rsidRPr="00337988">
        <w:rPr>
          <w:rFonts w:ascii="Arial" w:hAnsi="Arial" w:cs="Arial"/>
          <w:color w:val="000000" w:themeColor="text1"/>
          <w:sz w:val="22"/>
          <w:szCs w:val="22"/>
        </w:rPr>
        <w:t xml:space="preserve"> </w:t>
      </w:r>
      <w:r w:rsidR="002B03F3" w:rsidRPr="00337988">
        <w:rPr>
          <w:rFonts w:ascii="Arial" w:hAnsi="Arial" w:cs="Arial"/>
          <w:color w:val="000000" w:themeColor="text1"/>
          <w:sz w:val="22"/>
          <w:szCs w:val="22"/>
        </w:rPr>
        <w:t xml:space="preserve">racial and ethnic minorities. </w:t>
      </w:r>
      <w:r w:rsidR="00820AF4" w:rsidRPr="00337988">
        <w:rPr>
          <w:rFonts w:ascii="Arial" w:hAnsi="Arial" w:cs="Arial"/>
          <w:color w:val="000000" w:themeColor="text1"/>
          <w:sz w:val="22"/>
          <w:szCs w:val="22"/>
        </w:rPr>
        <w:t>Despite the significant reduction in uninsurance levels in Massachusetts</w:t>
      </w:r>
      <w:r w:rsidR="00820AF4" w:rsidRPr="009B2E2C">
        <w:rPr>
          <w:rFonts w:ascii="Arial" w:hAnsi="Arial" w:cs="Arial"/>
          <w:color w:val="000000" w:themeColor="text1"/>
          <w:sz w:val="22"/>
          <w:szCs w:val="22"/>
        </w:rPr>
        <w:t xml:space="preserve"> that occurred with health care reform, the demand for care at safety net facilities continues to rise.</w:t>
      </w:r>
      <w:bookmarkStart w:id="10" w:name="_Ref109198267"/>
      <w:r w:rsidR="00FB167B">
        <w:rPr>
          <w:rFonts w:ascii="ZWAdobeF" w:hAnsi="ZWAdobeF" w:cs="ZWAdobeF"/>
          <w:sz w:val="2"/>
          <w:szCs w:val="2"/>
        </w:rPr>
        <w:t>61F</w:t>
      </w:r>
      <w:r w:rsidR="00820AF4">
        <w:rPr>
          <w:rStyle w:val="FootnoteReference"/>
          <w:rFonts w:ascii="Arial" w:hAnsi="Arial" w:cs="Arial"/>
          <w:color w:val="000000" w:themeColor="text1"/>
          <w:sz w:val="22"/>
          <w:szCs w:val="22"/>
        </w:rPr>
        <w:footnoteReference w:id="62"/>
      </w:r>
      <w:bookmarkEnd w:id="10"/>
      <w:r w:rsidR="00820AF4" w:rsidRPr="009B2E2C">
        <w:rPr>
          <w:rFonts w:ascii="Arial" w:hAnsi="Arial" w:cs="Arial"/>
          <w:color w:val="000000" w:themeColor="text1"/>
          <w:sz w:val="22"/>
          <w:szCs w:val="22"/>
        </w:rPr>
        <w:t xml:space="preserve"> </w:t>
      </w:r>
      <w:r w:rsidR="00820AF4" w:rsidRPr="00FD5417">
        <w:rPr>
          <w:rFonts w:ascii="Arial" w:hAnsi="Arial" w:cs="Arial"/>
          <w:color w:val="000000" w:themeColor="text1"/>
          <w:sz w:val="22"/>
          <w:szCs w:val="22"/>
        </w:rPr>
        <w:t>Most safety net patients do not view these facilities as providers of last resort;</w:t>
      </w:r>
      <w:r w:rsidR="00820AF4" w:rsidRPr="009B2E2C">
        <w:rPr>
          <w:rFonts w:ascii="Arial" w:hAnsi="Arial" w:cs="Arial"/>
          <w:color w:val="000000" w:themeColor="text1"/>
          <w:sz w:val="22"/>
          <w:szCs w:val="22"/>
        </w:rPr>
        <w:t xml:space="preserve"> rather, they prefer the types of care that are offered there</w:t>
      </w:r>
      <w:r w:rsidR="00820AF4">
        <w:rPr>
          <w:rFonts w:ascii="Arial" w:hAnsi="Arial" w:cs="Arial"/>
          <w:color w:val="000000" w:themeColor="text1"/>
          <w:sz w:val="22"/>
          <w:szCs w:val="22"/>
        </w:rPr>
        <w:t xml:space="preserve"> and use the facilities willingly</w:t>
      </w:r>
      <w:r w:rsidR="00820AF4" w:rsidRPr="009B2E2C">
        <w:rPr>
          <w:rFonts w:ascii="Arial" w:hAnsi="Arial" w:cs="Arial"/>
          <w:color w:val="000000" w:themeColor="text1"/>
          <w:sz w:val="22"/>
          <w:szCs w:val="22"/>
        </w:rPr>
        <w:t>.</w:t>
      </w:r>
      <w:r w:rsidR="00FB167B">
        <w:rPr>
          <w:rFonts w:ascii="ZWAdobeF" w:hAnsi="ZWAdobeF" w:cs="ZWAdobeF"/>
          <w:sz w:val="2"/>
          <w:szCs w:val="2"/>
        </w:rPr>
        <w:t>62F</w:t>
      </w:r>
      <w:r w:rsidR="00820AF4">
        <w:rPr>
          <w:rStyle w:val="FootnoteReference"/>
          <w:rFonts w:ascii="Arial" w:hAnsi="Arial" w:cs="Arial"/>
          <w:color w:val="000000" w:themeColor="text1"/>
          <w:sz w:val="22"/>
          <w:szCs w:val="22"/>
        </w:rPr>
        <w:footnoteReference w:id="63"/>
      </w:r>
      <w:r w:rsidR="00820AF4" w:rsidRPr="009B2E2C">
        <w:rPr>
          <w:rFonts w:ascii="Arial" w:hAnsi="Arial" w:cs="Arial"/>
          <w:color w:val="000000" w:themeColor="text1"/>
          <w:sz w:val="22"/>
          <w:szCs w:val="22"/>
        </w:rPr>
        <w:t xml:space="preserve"> </w:t>
      </w:r>
      <w:r w:rsidR="00CB49ED">
        <w:rPr>
          <w:rFonts w:ascii="Arial" w:hAnsi="Arial" w:cs="Arial"/>
          <w:color w:val="000000" w:themeColor="text1"/>
          <w:sz w:val="22"/>
          <w:szCs w:val="22"/>
        </w:rPr>
        <w:t xml:space="preserve">Being that </w:t>
      </w:r>
      <w:r>
        <w:rPr>
          <w:rFonts w:ascii="Arial" w:hAnsi="Arial" w:cs="Arial"/>
          <w:color w:val="000000" w:themeColor="text1"/>
          <w:sz w:val="22"/>
          <w:szCs w:val="22"/>
        </w:rPr>
        <w:t xml:space="preserve">BMC and other </w:t>
      </w:r>
      <w:r w:rsidR="00820AF4" w:rsidRPr="009B2E2C">
        <w:rPr>
          <w:rFonts w:ascii="Arial" w:hAnsi="Arial" w:cs="Arial"/>
          <w:color w:val="000000" w:themeColor="text1"/>
          <w:sz w:val="22"/>
          <w:szCs w:val="22"/>
        </w:rPr>
        <w:t xml:space="preserve">safety net hospitals </w:t>
      </w:r>
      <w:r w:rsidR="00D31E2D">
        <w:rPr>
          <w:rFonts w:ascii="Arial" w:hAnsi="Arial" w:cs="Arial"/>
          <w:color w:val="000000" w:themeColor="text1"/>
          <w:sz w:val="22"/>
          <w:szCs w:val="22"/>
        </w:rPr>
        <w:t>are anticipated to</w:t>
      </w:r>
      <w:r w:rsidR="00820AF4" w:rsidRPr="009B2E2C">
        <w:rPr>
          <w:rFonts w:ascii="Arial" w:hAnsi="Arial" w:cs="Arial"/>
          <w:color w:val="000000" w:themeColor="text1"/>
          <w:sz w:val="22"/>
          <w:szCs w:val="22"/>
        </w:rPr>
        <w:t xml:space="preserve"> continue to play a </w:t>
      </w:r>
      <w:r w:rsidR="00CB49ED">
        <w:rPr>
          <w:rFonts w:ascii="Arial" w:hAnsi="Arial" w:cs="Arial"/>
          <w:color w:val="000000" w:themeColor="text1"/>
          <w:sz w:val="22"/>
          <w:szCs w:val="22"/>
        </w:rPr>
        <w:t>disproportionately large</w:t>
      </w:r>
      <w:r w:rsidR="00820AF4" w:rsidRPr="009B2E2C">
        <w:rPr>
          <w:rFonts w:ascii="Arial" w:hAnsi="Arial" w:cs="Arial"/>
          <w:color w:val="000000" w:themeColor="text1"/>
          <w:sz w:val="22"/>
          <w:szCs w:val="22"/>
        </w:rPr>
        <w:t xml:space="preserve"> role in providing inpatient, emergency, and ambulatory </w:t>
      </w:r>
      <w:r w:rsidR="00D31E2D">
        <w:rPr>
          <w:rFonts w:ascii="Arial" w:hAnsi="Arial" w:cs="Arial"/>
          <w:color w:val="000000" w:themeColor="text1"/>
          <w:sz w:val="22"/>
          <w:szCs w:val="22"/>
        </w:rPr>
        <w:t>care</w:t>
      </w:r>
      <w:r w:rsidR="00820AF4">
        <w:rPr>
          <w:rFonts w:ascii="Arial" w:hAnsi="Arial" w:cs="Arial"/>
          <w:color w:val="000000" w:themeColor="text1"/>
          <w:sz w:val="22"/>
          <w:szCs w:val="22"/>
        </w:rPr>
        <w:t xml:space="preserve"> to the area’s most </w:t>
      </w:r>
      <w:r w:rsidR="0021058A">
        <w:rPr>
          <w:rFonts w:ascii="Arial" w:hAnsi="Arial" w:cs="Arial"/>
          <w:color w:val="000000" w:themeColor="text1"/>
          <w:sz w:val="22"/>
          <w:szCs w:val="22"/>
        </w:rPr>
        <w:t xml:space="preserve">under-resourced </w:t>
      </w:r>
      <w:r w:rsidR="00337988">
        <w:rPr>
          <w:rFonts w:ascii="Arial" w:hAnsi="Arial" w:cs="Arial"/>
          <w:color w:val="000000" w:themeColor="text1"/>
          <w:sz w:val="22"/>
          <w:szCs w:val="22"/>
        </w:rPr>
        <w:t xml:space="preserve">patients </w:t>
      </w:r>
      <w:r w:rsidR="00820AF4">
        <w:rPr>
          <w:rFonts w:ascii="Arial" w:hAnsi="Arial" w:cs="Arial"/>
          <w:color w:val="000000" w:themeColor="text1"/>
          <w:sz w:val="22"/>
          <w:szCs w:val="22"/>
        </w:rPr>
        <w:t>into the future</w:t>
      </w:r>
      <w:r w:rsidR="00CB49ED">
        <w:rPr>
          <w:rFonts w:ascii="Arial" w:hAnsi="Arial" w:cs="Arial"/>
          <w:color w:val="000000" w:themeColor="text1"/>
          <w:sz w:val="22"/>
          <w:szCs w:val="22"/>
        </w:rPr>
        <w:t xml:space="preserve">, </w:t>
      </w:r>
      <w:r w:rsidR="002F7924">
        <w:rPr>
          <w:rFonts w:ascii="Arial" w:hAnsi="Arial" w:cs="Arial"/>
          <w:color w:val="000000" w:themeColor="text1"/>
          <w:sz w:val="22"/>
          <w:szCs w:val="22"/>
        </w:rPr>
        <w:t xml:space="preserve">it is essential </w:t>
      </w:r>
      <w:r w:rsidR="00D31E2D">
        <w:rPr>
          <w:rFonts w:ascii="Arial" w:hAnsi="Arial" w:cs="Arial"/>
          <w:color w:val="000000" w:themeColor="text1"/>
          <w:sz w:val="22"/>
          <w:szCs w:val="22"/>
        </w:rPr>
        <w:t xml:space="preserve">to </w:t>
      </w:r>
      <w:r w:rsidR="00B31830">
        <w:rPr>
          <w:rFonts w:ascii="Arial" w:hAnsi="Arial" w:cs="Arial"/>
          <w:color w:val="000000" w:themeColor="text1"/>
          <w:sz w:val="22"/>
          <w:szCs w:val="22"/>
        </w:rPr>
        <w:t xml:space="preserve">achieving </w:t>
      </w:r>
      <w:r w:rsidR="00D31E2D">
        <w:rPr>
          <w:rFonts w:ascii="Arial" w:hAnsi="Arial" w:cs="Arial"/>
          <w:color w:val="000000" w:themeColor="text1"/>
          <w:sz w:val="22"/>
          <w:szCs w:val="22"/>
        </w:rPr>
        <w:t xml:space="preserve">the </w:t>
      </w:r>
      <w:r w:rsidR="00B31830">
        <w:rPr>
          <w:rFonts w:ascii="Arial" w:hAnsi="Arial" w:cs="Arial"/>
          <w:color w:val="000000" w:themeColor="text1"/>
          <w:sz w:val="22"/>
          <w:szCs w:val="22"/>
        </w:rPr>
        <w:t>objectives</w:t>
      </w:r>
      <w:r w:rsidR="00D31E2D">
        <w:rPr>
          <w:rFonts w:ascii="Arial" w:hAnsi="Arial" w:cs="Arial"/>
          <w:color w:val="000000" w:themeColor="text1"/>
          <w:sz w:val="22"/>
          <w:szCs w:val="22"/>
        </w:rPr>
        <w:t xml:space="preserve"> of equitable care</w:t>
      </w:r>
      <w:r w:rsidR="00B31830">
        <w:rPr>
          <w:rFonts w:ascii="Arial" w:hAnsi="Arial" w:cs="Arial"/>
          <w:color w:val="000000" w:themeColor="text1"/>
          <w:sz w:val="22"/>
          <w:szCs w:val="22"/>
        </w:rPr>
        <w:t xml:space="preserve"> </w:t>
      </w:r>
      <w:r w:rsidR="002F7924">
        <w:rPr>
          <w:rFonts w:ascii="Arial" w:hAnsi="Arial" w:cs="Arial"/>
          <w:color w:val="000000" w:themeColor="text1"/>
          <w:sz w:val="22"/>
          <w:szCs w:val="22"/>
        </w:rPr>
        <w:t xml:space="preserve">that such hospitals have the resources and depth of services necessary to provide </w:t>
      </w:r>
      <w:r w:rsidR="00B31830">
        <w:rPr>
          <w:rFonts w:ascii="Arial" w:hAnsi="Arial" w:cs="Arial"/>
          <w:color w:val="000000" w:themeColor="text1"/>
          <w:sz w:val="22"/>
          <w:szCs w:val="22"/>
        </w:rPr>
        <w:t>such disadvantage</w:t>
      </w:r>
      <w:r w:rsidR="00C76426">
        <w:rPr>
          <w:rFonts w:ascii="Arial" w:hAnsi="Arial" w:cs="Arial"/>
          <w:color w:val="000000" w:themeColor="text1"/>
          <w:sz w:val="22"/>
          <w:szCs w:val="22"/>
        </w:rPr>
        <w:t>d</w:t>
      </w:r>
      <w:r w:rsidR="00B31830">
        <w:rPr>
          <w:rFonts w:ascii="Arial" w:hAnsi="Arial" w:cs="Arial"/>
          <w:color w:val="000000" w:themeColor="text1"/>
          <w:sz w:val="22"/>
          <w:szCs w:val="22"/>
        </w:rPr>
        <w:t xml:space="preserve"> patients with </w:t>
      </w:r>
      <w:r w:rsidR="002F7924">
        <w:rPr>
          <w:rFonts w:ascii="Arial" w:hAnsi="Arial" w:cs="Arial"/>
          <w:color w:val="000000" w:themeColor="text1"/>
          <w:sz w:val="22"/>
          <w:szCs w:val="22"/>
        </w:rPr>
        <w:t xml:space="preserve">timely access to </w:t>
      </w:r>
      <w:r w:rsidR="00B31830">
        <w:rPr>
          <w:rFonts w:ascii="Arial" w:hAnsi="Arial" w:cs="Arial"/>
          <w:color w:val="000000" w:themeColor="text1"/>
          <w:sz w:val="22"/>
          <w:szCs w:val="22"/>
        </w:rPr>
        <w:t xml:space="preserve">high-quality </w:t>
      </w:r>
      <w:r w:rsidR="002F7924">
        <w:rPr>
          <w:rFonts w:ascii="Arial" w:hAnsi="Arial" w:cs="Arial"/>
          <w:color w:val="000000" w:themeColor="text1"/>
          <w:sz w:val="22"/>
          <w:szCs w:val="22"/>
        </w:rPr>
        <w:t>care</w:t>
      </w:r>
      <w:r w:rsidR="00D31E2D">
        <w:rPr>
          <w:rFonts w:ascii="Arial" w:hAnsi="Arial" w:cs="Arial"/>
          <w:color w:val="000000" w:themeColor="text1"/>
          <w:sz w:val="22"/>
          <w:szCs w:val="22"/>
        </w:rPr>
        <w:t xml:space="preserve"> </w:t>
      </w:r>
      <w:r w:rsidR="00B31830">
        <w:rPr>
          <w:rFonts w:ascii="Arial" w:hAnsi="Arial" w:cs="Arial"/>
          <w:color w:val="000000" w:themeColor="text1"/>
          <w:sz w:val="22"/>
          <w:szCs w:val="22"/>
        </w:rPr>
        <w:t>that does n</w:t>
      </w:r>
      <w:r w:rsidR="00B31830" w:rsidRPr="002512C2">
        <w:rPr>
          <w:rFonts w:ascii="Arial" w:hAnsi="Arial" w:cs="Arial"/>
          <w:color w:val="000000" w:themeColor="text1"/>
          <w:sz w:val="22"/>
          <w:szCs w:val="22"/>
        </w:rPr>
        <w:t>ot</w:t>
      </w:r>
      <w:r w:rsidR="00D31E2D" w:rsidRPr="002512C2">
        <w:rPr>
          <w:rFonts w:ascii="Arial" w:hAnsi="Arial" w:cs="Arial"/>
          <w:color w:val="000000" w:themeColor="text1"/>
          <w:sz w:val="22"/>
          <w:szCs w:val="22"/>
        </w:rPr>
        <w:t xml:space="preserve"> jeopardiz</w:t>
      </w:r>
      <w:r w:rsidR="00B31830" w:rsidRPr="002512C2">
        <w:rPr>
          <w:rFonts w:ascii="Arial" w:hAnsi="Arial" w:cs="Arial"/>
          <w:color w:val="000000" w:themeColor="text1"/>
          <w:sz w:val="22"/>
          <w:szCs w:val="22"/>
        </w:rPr>
        <w:t>e</w:t>
      </w:r>
      <w:r w:rsidR="00D31E2D" w:rsidRPr="002512C2">
        <w:rPr>
          <w:rFonts w:ascii="Arial" w:hAnsi="Arial" w:cs="Arial"/>
          <w:color w:val="000000" w:themeColor="text1"/>
          <w:sz w:val="22"/>
          <w:szCs w:val="22"/>
        </w:rPr>
        <w:t xml:space="preserve"> patient outcomes</w:t>
      </w:r>
      <w:r w:rsidR="00820AF4" w:rsidRPr="002512C2">
        <w:rPr>
          <w:rFonts w:ascii="Arial" w:hAnsi="Arial" w:cs="Arial"/>
          <w:color w:val="000000" w:themeColor="text1"/>
          <w:sz w:val="22"/>
          <w:szCs w:val="22"/>
        </w:rPr>
        <w:t>.</w:t>
      </w:r>
      <w:bookmarkStart w:id="11" w:name="_Ref109305374"/>
      <w:r w:rsidR="00FB167B">
        <w:rPr>
          <w:rFonts w:ascii="ZWAdobeF" w:hAnsi="ZWAdobeF" w:cs="ZWAdobeF"/>
          <w:sz w:val="2"/>
          <w:szCs w:val="2"/>
        </w:rPr>
        <w:t>63F</w:t>
      </w:r>
      <w:r w:rsidR="00820AF4" w:rsidRPr="002512C2">
        <w:rPr>
          <w:rStyle w:val="FootnoteReference"/>
          <w:rFonts w:ascii="Arial" w:hAnsi="Arial" w:cs="Arial"/>
          <w:color w:val="000000" w:themeColor="text1"/>
          <w:sz w:val="22"/>
          <w:szCs w:val="22"/>
        </w:rPr>
        <w:footnoteReference w:id="64"/>
      </w:r>
      <w:bookmarkEnd w:id="11"/>
      <w:r w:rsidR="00B31830" w:rsidRPr="002512C2">
        <w:rPr>
          <w:rFonts w:ascii="Arial" w:hAnsi="Arial" w:cs="Arial"/>
          <w:color w:val="000000" w:themeColor="text1"/>
          <w:sz w:val="22"/>
          <w:szCs w:val="22"/>
        </w:rPr>
        <w:t xml:space="preserve"> </w:t>
      </w:r>
      <w:r w:rsidR="002F7924" w:rsidRPr="002512C2">
        <w:rPr>
          <w:rFonts w:ascii="Arial" w:hAnsi="Arial" w:cs="Arial"/>
          <w:color w:val="000000" w:themeColor="text1"/>
          <w:sz w:val="22"/>
          <w:szCs w:val="22"/>
        </w:rPr>
        <w:t xml:space="preserve">The Proposed Project </w:t>
      </w:r>
      <w:r w:rsidR="00B31830" w:rsidRPr="002512C2">
        <w:rPr>
          <w:rFonts w:ascii="Arial" w:hAnsi="Arial" w:cs="Arial"/>
          <w:color w:val="000000" w:themeColor="text1"/>
          <w:sz w:val="22"/>
          <w:szCs w:val="22"/>
        </w:rPr>
        <w:t>seeks</w:t>
      </w:r>
      <w:r w:rsidR="002F7924" w:rsidRPr="002512C2">
        <w:rPr>
          <w:rFonts w:ascii="Arial" w:hAnsi="Arial" w:cs="Arial"/>
          <w:color w:val="000000" w:themeColor="text1"/>
          <w:sz w:val="22"/>
          <w:szCs w:val="22"/>
        </w:rPr>
        <w:t xml:space="preserve"> to </w:t>
      </w:r>
      <w:r w:rsidR="002512C2" w:rsidRPr="002512C2">
        <w:rPr>
          <w:rFonts w:ascii="Arial" w:hAnsi="Arial" w:cs="Arial"/>
          <w:color w:val="000000" w:themeColor="text1"/>
          <w:sz w:val="22"/>
          <w:szCs w:val="22"/>
        </w:rPr>
        <w:t>facilitate these goals</w:t>
      </w:r>
      <w:r w:rsidR="002F7924" w:rsidRPr="002512C2">
        <w:rPr>
          <w:rFonts w:ascii="Arial" w:hAnsi="Arial" w:cs="Arial"/>
          <w:color w:val="000000" w:themeColor="text1"/>
          <w:sz w:val="22"/>
          <w:szCs w:val="22"/>
        </w:rPr>
        <w:t>.</w:t>
      </w:r>
    </w:p>
    <w:p w14:paraId="0FA39764" w14:textId="3505B002" w:rsidR="002B03F3" w:rsidRDefault="002B03F3" w:rsidP="002B03F3">
      <w:pPr>
        <w:pStyle w:val="NormalWeb"/>
        <w:spacing w:before="0" w:beforeAutospacing="0" w:after="0" w:afterAutospacing="0"/>
        <w:jc w:val="both"/>
        <w:rPr>
          <w:rFonts w:ascii="Arial" w:hAnsi="Arial" w:cs="Arial"/>
          <w:smallCaps/>
          <w:sz w:val="22"/>
          <w:szCs w:val="22"/>
          <w:u w:val="single"/>
        </w:rPr>
      </w:pPr>
    </w:p>
    <w:p w14:paraId="363E0050" w14:textId="039ED0C3" w:rsidR="00A3774F" w:rsidRDefault="00A3774F" w:rsidP="002B03F3">
      <w:pPr>
        <w:pStyle w:val="NormalWeb"/>
        <w:spacing w:before="0" w:beforeAutospacing="0" w:after="0" w:afterAutospacing="0"/>
        <w:jc w:val="both"/>
        <w:rPr>
          <w:rFonts w:ascii="Arial" w:hAnsi="Arial" w:cs="Arial"/>
          <w:smallCaps/>
          <w:sz w:val="22"/>
          <w:szCs w:val="22"/>
          <w:u w:val="single"/>
        </w:rPr>
      </w:pPr>
    </w:p>
    <w:p w14:paraId="7EBB7831" w14:textId="78FEE835" w:rsidR="00A3774F" w:rsidRDefault="00A3774F" w:rsidP="002B03F3">
      <w:pPr>
        <w:pStyle w:val="NormalWeb"/>
        <w:spacing w:before="0" w:beforeAutospacing="0" w:after="0" w:afterAutospacing="0"/>
        <w:jc w:val="both"/>
        <w:rPr>
          <w:rFonts w:ascii="Arial" w:hAnsi="Arial" w:cs="Arial"/>
          <w:smallCaps/>
          <w:sz w:val="22"/>
          <w:szCs w:val="22"/>
          <w:u w:val="single"/>
        </w:rPr>
      </w:pPr>
    </w:p>
    <w:p w14:paraId="661F358F" w14:textId="77777777" w:rsidR="00A3774F" w:rsidRDefault="00A3774F" w:rsidP="002B03F3">
      <w:pPr>
        <w:pStyle w:val="NormalWeb"/>
        <w:spacing w:before="0" w:beforeAutospacing="0" w:after="0" w:afterAutospacing="0"/>
        <w:jc w:val="both"/>
        <w:rPr>
          <w:rFonts w:ascii="Arial" w:hAnsi="Arial" w:cs="Arial"/>
          <w:smallCaps/>
          <w:sz w:val="22"/>
          <w:szCs w:val="22"/>
          <w:u w:val="single"/>
        </w:rPr>
      </w:pPr>
    </w:p>
    <w:p w14:paraId="1F6984E1" w14:textId="76926190" w:rsidR="005C5911" w:rsidRDefault="005C5911" w:rsidP="005C5911">
      <w:pPr>
        <w:pStyle w:val="NormalWeb"/>
        <w:numPr>
          <w:ilvl w:val="0"/>
          <w:numId w:val="12"/>
        </w:numPr>
        <w:spacing w:before="0" w:beforeAutospacing="0" w:after="0" w:afterAutospacing="0"/>
        <w:ind w:left="360"/>
        <w:jc w:val="both"/>
        <w:rPr>
          <w:rFonts w:ascii="Arial" w:hAnsi="Arial" w:cs="Arial"/>
          <w:smallCaps/>
          <w:sz w:val="22"/>
          <w:szCs w:val="22"/>
          <w:u w:val="single"/>
        </w:rPr>
      </w:pPr>
      <w:r>
        <w:rPr>
          <w:rFonts w:ascii="Arial" w:hAnsi="Arial" w:cs="Arial"/>
          <w:smallCaps/>
          <w:sz w:val="22"/>
          <w:szCs w:val="22"/>
          <w:u w:val="single"/>
        </w:rPr>
        <w:t>Evidence Supporting the Proposed Inpatient Bed Expansion</w:t>
      </w:r>
    </w:p>
    <w:p w14:paraId="64493AEB" w14:textId="77777777" w:rsidR="00200CC6" w:rsidRDefault="00200CC6" w:rsidP="00B05CF9">
      <w:pPr>
        <w:pStyle w:val="NormalWeb"/>
        <w:spacing w:before="0" w:beforeAutospacing="0" w:after="0" w:afterAutospacing="0"/>
        <w:jc w:val="both"/>
        <w:rPr>
          <w:rFonts w:ascii="Arial" w:hAnsi="Arial" w:cs="Arial"/>
          <w:sz w:val="22"/>
          <w:szCs w:val="22"/>
        </w:rPr>
      </w:pPr>
    </w:p>
    <w:p w14:paraId="2DE7C53E" w14:textId="06E4A0BE" w:rsidR="0056259C" w:rsidRDefault="00B05CF9" w:rsidP="00B05CF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major component of the Applicant’s Proposed Project is the expansion of inpatient </w:t>
      </w:r>
      <w:r w:rsidR="007B616B">
        <w:rPr>
          <w:rFonts w:ascii="Arial" w:hAnsi="Arial" w:cs="Arial"/>
          <w:sz w:val="22"/>
          <w:szCs w:val="22"/>
        </w:rPr>
        <w:t xml:space="preserve">bed capacity by </w:t>
      </w:r>
      <w:r w:rsidR="00830AAD">
        <w:rPr>
          <w:rFonts w:ascii="Arial" w:hAnsi="Arial" w:cs="Arial"/>
          <w:sz w:val="22"/>
          <w:szCs w:val="22"/>
        </w:rPr>
        <w:t>sixty (</w:t>
      </w:r>
      <w:r w:rsidR="007B616B">
        <w:rPr>
          <w:rFonts w:ascii="Arial" w:hAnsi="Arial" w:cs="Arial"/>
          <w:sz w:val="22"/>
          <w:szCs w:val="22"/>
        </w:rPr>
        <w:t>60</w:t>
      </w:r>
      <w:r w:rsidR="00830AAD">
        <w:rPr>
          <w:rFonts w:ascii="Arial" w:hAnsi="Arial" w:cs="Arial"/>
          <w:sz w:val="22"/>
          <w:szCs w:val="22"/>
        </w:rPr>
        <w:t>)</w:t>
      </w:r>
      <w:r w:rsidR="007B616B">
        <w:rPr>
          <w:rFonts w:ascii="Arial" w:hAnsi="Arial" w:cs="Arial"/>
          <w:sz w:val="22"/>
          <w:szCs w:val="22"/>
        </w:rPr>
        <w:t xml:space="preserve"> additional medical/surgical beds and </w:t>
      </w:r>
      <w:r w:rsidR="00830AAD">
        <w:rPr>
          <w:rFonts w:ascii="Arial" w:hAnsi="Arial" w:cs="Arial"/>
          <w:sz w:val="22"/>
          <w:szCs w:val="22"/>
        </w:rPr>
        <w:t>ten (</w:t>
      </w:r>
      <w:r w:rsidR="007B616B">
        <w:rPr>
          <w:rFonts w:ascii="Arial" w:hAnsi="Arial" w:cs="Arial"/>
          <w:sz w:val="22"/>
          <w:szCs w:val="22"/>
        </w:rPr>
        <w:t>10</w:t>
      </w:r>
      <w:r w:rsidR="00830AAD">
        <w:rPr>
          <w:rFonts w:ascii="Arial" w:hAnsi="Arial" w:cs="Arial"/>
          <w:sz w:val="22"/>
          <w:szCs w:val="22"/>
        </w:rPr>
        <w:t>)</w:t>
      </w:r>
      <w:r w:rsidR="007B616B">
        <w:rPr>
          <w:rFonts w:ascii="Arial" w:hAnsi="Arial" w:cs="Arial"/>
          <w:sz w:val="22"/>
          <w:szCs w:val="22"/>
        </w:rPr>
        <w:t xml:space="preserve"> additional ICU beds</w:t>
      </w:r>
      <w:r w:rsidR="00D04C62">
        <w:rPr>
          <w:rFonts w:ascii="Arial" w:hAnsi="Arial" w:cs="Arial"/>
          <w:sz w:val="22"/>
          <w:szCs w:val="22"/>
        </w:rPr>
        <w:t xml:space="preserve">. In addition to being an effective approach to treating various conditions, </w:t>
      </w:r>
      <w:r w:rsidR="0056259C">
        <w:rPr>
          <w:rFonts w:ascii="Arial" w:hAnsi="Arial" w:cs="Arial"/>
          <w:sz w:val="22"/>
          <w:szCs w:val="22"/>
        </w:rPr>
        <w:t xml:space="preserve">generally speaking, </w:t>
      </w:r>
      <w:r w:rsidR="00D04C62">
        <w:rPr>
          <w:rFonts w:ascii="Arial" w:hAnsi="Arial" w:cs="Arial"/>
          <w:sz w:val="22"/>
          <w:szCs w:val="22"/>
        </w:rPr>
        <w:t xml:space="preserve">an adequate supply of inpatient beds </w:t>
      </w:r>
      <w:r w:rsidR="00243598">
        <w:rPr>
          <w:rFonts w:ascii="Arial" w:hAnsi="Arial" w:cs="Arial"/>
          <w:sz w:val="22"/>
          <w:szCs w:val="22"/>
        </w:rPr>
        <w:t>is also an important way to combat patient flow issues, such as ED boarding and ED crowding.</w:t>
      </w:r>
      <w:r w:rsidR="00FB167B">
        <w:rPr>
          <w:rFonts w:ascii="ZWAdobeF" w:hAnsi="ZWAdobeF" w:cs="ZWAdobeF"/>
          <w:sz w:val="2"/>
          <w:szCs w:val="2"/>
        </w:rPr>
        <w:t>64F</w:t>
      </w:r>
      <w:r w:rsidR="00243598">
        <w:rPr>
          <w:rStyle w:val="FootnoteReference"/>
          <w:rFonts w:ascii="Arial" w:hAnsi="Arial" w:cs="Arial"/>
          <w:sz w:val="22"/>
          <w:szCs w:val="22"/>
        </w:rPr>
        <w:footnoteReference w:id="65"/>
      </w:r>
      <w:r w:rsidR="00D04C62">
        <w:rPr>
          <w:rFonts w:ascii="Arial" w:hAnsi="Arial" w:cs="Arial"/>
          <w:sz w:val="22"/>
          <w:szCs w:val="22"/>
        </w:rPr>
        <w:t xml:space="preserve">  </w:t>
      </w:r>
      <w:r w:rsidR="0056259C">
        <w:rPr>
          <w:rFonts w:ascii="Arial" w:hAnsi="Arial" w:cs="Arial"/>
          <w:sz w:val="22"/>
          <w:szCs w:val="22"/>
        </w:rPr>
        <w:t>For BMC, an adequate supply of inpatient beds is</w:t>
      </w:r>
      <w:r w:rsidR="003D49BD">
        <w:rPr>
          <w:rFonts w:ascii="Arial" w:hAnsi="Arial" w:cs="Arial"/>
          <w:sz w:val="22"/>
          <w:szCs w:val="22"/>
        </w:rPr>
        <w:t xml:space="preserve"> necessary to</w:t>
      </w:r>
      <w:r w:rsidR="0056259C">
        <w:rPr>
          <w:rFonts w:ascii="Arial" w:hAnsi="Arial" w:cs="Arial"/>
          <w:sz w:val="22"/>
          <w:szCs w:val="22"/>
        </w:rPr>
        <w:t xml:space="preserve"> combat such issues.</w:t>
      </w:r>
    </w:p>
    <w:p w14:paraId="5B02E3D2" w14:textId="77777777" w:rsidR="0056259C" w:rsidRDefault="0056259C" w:rsidP="00B05CF9">
      <w:pPr>
        <w:pStyle w:val="NormalWeb"/>
        <w:spacing w:before="0" w:beforeAutospacing="0" w:after="0" w:afterAutospacing="0"/>
        <w:jc w:val="both"/>
        <w:rPr>
          <w:rFonts w:ascii="Arial" w:hAnsi="Arial" w:cs="Arial"/>
          <w:sz w:val="22"/>
          <w:szCs w:val="22"/>
        </w:rPr>
      </w:pPr>
    </w:p>
    <w:p w14:paraId="2C75360C" w14:textId="2702A169" w:rsidR="00D04C62" w:rsidRDefault="00745458" w:rsidP="00B05CF9">
      <w:pPr>
        <w:pStyle w:val="NormalWeb"/>
        <w:spacing w:before="0" w:beforeAutospacing="0" w:after="0" w:afterAutospacing="0"/>
        <w:jc w:val="both"/>
        <w:rPr>
          <w:rFonts w:ascii="Arial" w:hAnsi="Arial" w:cs="Arial"/>
          <w:sz w:val="22"/>
          <w:szCs w:val="22"/>
        </w:rPr>
      </w:pPr>
      <w:r>
        <w:rPr>
          <w:rFonts w:ascii="Arial" w:hAnsi="Arial" w:cs="Arial"/>
          <w:sz w:val="22"/>
          <w:szCs w:val="22"/>
        </w:rPr>
        <w:t>To this point, the Applicant notes that ED boarding and ED crowding are caused by multiple factors, including “input” and “output” factors.</w:t>
      </w:r>
      <w:r w:rsidR="00FB167B">
        <w:rPr>
          <w:rFonts w:ascii="ZWAdobeF" w:hAnsi="ZWAdobeF" w:cs="ZWAdobeF"/>
          <w:sz w:val="2"/>
          <w:szCs w:val="2"/>
        </w:rPr>
        <w:t>65F</w:t>
      </w:r>
      <w:r w:rsidR="0030180C">
        <w:rPr>
          <w:rStyle w:val="FootnoteReference"/>
          <w:rFonts w:ascii="Arial" w:hAnsi="Arial" w:cs="Arial"/>
          <w:sz w:val="22"/>
          <w:szCs w:val="22"/>
        </w:rPr>
        <w:footnoteReference w:id="66"/>
      </w:r>
      <w:r>
        <w:rPr>
          <w:rFonts w:ascii="Arial" w:hAnsi="Arial" w:cs="Arial"/>
          <w:sz w:val="22"/>
          <w:szCs w:val="22"/>
        </w:rPr>
        <w:t xml:space="preserve"> Input factors </w:t>
      </w:r>
      <w:r w:rsidR="0056259C">
        <w:rPr>
          <w:rFonts w:ascii="Arial" w:hAnsi="Arial" w:cs="Arial"/>
          <w:sz w:val="22"/>
          <w:szCs w:val="22"/>
        </w:rPr>
        <w:t>include the volume, types, and acuity of patients.</w:t>
      </w:r>
      <w:r w:rsidR="00FB167B">
        <w:rPr>
          <w:rFonts w:ascii="ZWAdobeF" w:hAnsi="ZWAdobeF" w:cs="ZWAdobeF"/>
          <w:sz w:val="2"/>
          <w:szCs w:val="2"/>
        </w:rPr>
        <w:t>66F</w:t>
      </w:r>
      <w:r w:rsidR="00422EDA">
        <w:rPr>
          <w:rStyle w:val="FootnoteReference"/>
          <w:rFonts w:ascii="Arial" w:hAnsi="Arial" w:cs="Arial"/>
          <w:sz w:val="22"/>
          <w:szCs w:val="22"/>
        </w:rPr>
        <w:footnoteReference w:id="67"/>
      </w:r>
      <w:r w:rsidR="0056259C">
        <w:rPr>
          <w:rFonts w:ascii="Arial" w:hAnsi="Arial" w:cs="Arial"/>
          <w:sz w:val="22"/>
          <w:szCs w:val="22"/>
        </w:rPr>
        <w:t xml:space="preserve"> As discussed in Factor </w:t>
      </w:r>
      <w:r w:rsidR="0056259C" w:rsidRPr="00095891">
        <w:rPr>
          <w:rFonts w:ascii="Arial" w:hAnsi="Arial" w:cs="Arial"/>
          <w:sz w:val="22"/>
          <w:szCs w:val="22"/>
        </w:rPr>
        <w:t>F1.a.ii</w:t>
      </w:r>
      <w:r w:rsidR="0056259C">
        <w:rPr>
          <w:rFonts w:ascii="Arial" w:hAnsi="Arial" w:cs="Arial"/>
          <w:sz w:val="22"/>
          <w:szCs w:val="22"/>
        </w:rPr>
        <w:t>, BMC</w:t>
      </w:r>
      <w:r w:rsidR="00422EDA">
        <w:rPr>
          <w:rFonts w:ascii="Arial" w:hAnsi="Arial" w:cs="Arial"/>
          <w:sz w:val="22"/>
          <w:szCs w:val="22"/>
        </w:rPr>
        <w:t xml:space="preserve"> has experienced high volumes of inpatients, as well increas</w:t>
      </w:r>
      <w:r w:rsidR="00EB0C1B">
        <w:rPr>
          <w:rFonts w:ascii="Arial" w:hAnsi="Arial" w:cs="Arial"/>
          <w:sz w:val="22"/>
          <w:szCs w:val="22"/>
        </w:rPr>
        <w:t>es</w:t>
      </w:r>
      <w:r w:rsidR="00422EDA">
        <w:rPr>
          <w:rFonts w:ascii="Arial" w:hAnsi="Arial" w:cs="Arial"/>
          <w:sz w:val="22"/>
          <w:szCs w:val="22"/>
        </w:rPr>
        <w:t xml:space="preserve"> in utilization</w:t>
      </w:r>
      <w:r w:rsidR="00EB0C1B">
        <w:rPr>
          <w:rFonts w:ascii="Arial" w:hAnsi="Arial" w:cs="Arial"/>
          <w:sz w:val="22"/>
          <w:szCs w:val="22"/>
        </w:rPr>
        <w:t xml:space="preserve">, </w:t>
      </w:r>
      <w:r w:rsidR="00422EDA">
        <w:rPr>
          <w:rFonts w:ascii="Arial" w:hAnsi="Arial" w:cs="Arial"/>
          <w:sz w:val="22"/>
          <w:szCs w:val="22"/>
        </w:rPr>
        <w:t>acuity</w:t>
      </w:r>
      <w:r w:rsidR="00EB0C1B">
        <w:rPr>
          <w:rFonts w:ascii="Arial" w:hAnsi="Arial" w:cs="Arial"/>
          <w:sz w:val="22"/>
          <w:szCs w:val="22"/>
        </w:rPr>
        <w:t>, age</w:t>
      </w:r>
      <w:r w:rsidR="00B72D81">
        <w:rPr>
          <w:rFonts w:ascii="Arial" w:hAnsi="Arial" w:cs="Arial"/>
          <w:sz w:val="22"/>
          <w:szCs w:val="22"/>
        </w:rPr>
        <w:t>,</w:t>
      </w:r>
      <w:r w:rsidR="00EB0C1B">
        <w:rPr>
          <w:rFonts w:ascii="Arial" w:hAnsi="Arial" w:cs="Arial"/>
          <w:sz w:val="22"/>
          <w:szCs w:val="22"/>
        </w:rPr>
        <w:t xml:space="preserve"> and vulnerability</w:t>
      </w:r>
      <w:r w:rsidR="00422EDA">
        <w:rPr>
          <w:rFonts w:ascii="Arial" w:hAnsi="Arial" w:cs="Arial"/>
          <w:sz w:val="22"/>
          <w:szCs w:val="22"/>
        </w:rPr>
        <w:t xml:space="preserve"> </w:t>
      </w:r>
      <w:r w:rsidR="00422EDA" w:rsidRPr="00AB068B">
        <w:rPr>
          <w:rFonts w:ascii="Arial" w:hAnsi="Arial" w:cs="Arial"/>
          <w:color w:val="000000" w:themeColor="text1"/>
          <w:sz w:val="22"/>
          <w:szCs w:val="22"/>
        </w:rPr>
        <w:t xml:space="preserve">across </w:t>
      </w:r>
      <w:r w:rsidR="00422EDA" w:rsidRPr="0013718F">
        <w:rPr>
          <w:rFonts w:ascii="Arial" w:hAnsi="Arial" w:cs="Arial"/>
          <w:color w:val="000000" w:themeColor="text1"/>
          <w:sz w:val="22"/>
          <w:szCs w:val="22"/>
        </w:rPr>
        <w:t>its medical/surgical and ICU inpatient populations since FY1</w:t>
      </w:r>
      <w:r w:rsidR="00422EDA" w:rsidRPr="00AB068B">
        <w:rPr>
          <w:rFonts w:ascii="Arial" w:hAnsi="Arial" w:cs="Arial"/>
          <w:color w:val="000000" w:themeColor="text1"/>
          <w:sz w:val="22"/>
          <w:szCs w:val="22"/>
        </w:rPr>
        <w:t>9</w:t>
      </w:r>
      <w:r w:rsidR="00260F61">
        <w:rPr>
          <w:rFonts w:ascii="Arial" w:hAnsi="Arial" w:cs="Arial"/>
          <w:color w:val="000000" w:themeColor="text1"/>
          <w:sz w:val="22"/>
          <w:szCs w:val="22"/>
        </w:rPr>
        <w:t>, all of which impact hospital capacity</w:t>
      </w:r>
      <w:r w:rsidR="00422EDA">
        <w:rPr>
          <w:rFonts w:ascii="Arial" w:hAnsi="Arial" w:cs="Arial"/>
          <w:color w:val="000000" w:themeColor="text1"/>
          <w:sz w:val="22"/>
          <w:szCs w:val="22"/>
        </w:rPr>
        <w:t xml:space="preserve">. </w:t>
      </w:r>
      <w:r w:rsidR="00837D33">
        <w:rPr>
          <w:rFonts w:ascii="Arial" w:hAnsi="Arial" w:cs="Arial"/>
          <w:color w:val="000000" w:themeColor="text1"/>
          <w:sz w:val="22"/>
          <w:szCs w:val="22"/>
        </w:rPr>
        <w:t>Being that</w:t>
      </w:r>
      <w:r w:rsidR="00EB0C1B">
        <w:rPr>
          <w:rFonts w:ascii="Arial" w:hAnsi="Arial" w:cs="Arial"/>
          <w:color w:val="000000" w:themeColor="text1"/>
          <w:sz w:val="22"/>
          <w:szCs w:val="22"/>
        </w:rPr>
        <w:t xml:space="preserve"> projections indicate that these input factors will continue to be impactful into the futur</w:t>
      </w:r>
      <w:r w:rsidR="00837D33">
        <w:rPr>
          <w:rFonts w:ascii="Arial" w:hAnsi="Arial" w:cs="Arial"/>
          <w:color w:val="000000" w:themeColor="text1"/>
          <w:sz w:val="22"/>
          <w:szCs w:val="22"/>
        </w:rPr>
        <w:t>e</w:t>
      </w:r>
      <w:r w:rsidR="00EB0C1B">
        <w:rPr>
          <w:rFonts w:ascii="Arial" w:hAnsi="Arial" w:cs="Arial"/>
          <w:color w:val="000000" w:themeColor="text1"/>
          <w:sz w:val="22"/>
          <w:szCs w:val="22"/>
        </w:rPr>
        <w:t xml:space="preserve">, output solutions are needed </w:t>
      </w:r>
      <w:r w:rsidR="00EB0C1B">
        <w:rPr>
          <w:rFonts w:ascii="Arial" w:hAnsi="Arial" w:cs="Arial"/>
          <w:sz w:val="22"/>
          <w:szCs w:val="22"/>
        </w:rPr>
        <w:t>to help resolve ED throughput and operation</w:t>
      </w:r>
      <w:r w:rsidR="004728EE">
        <w:rPr>
          <w:rFonts w:ascii="Arial" w:hAnsi="Arial" w:cs="Arial"/>
          <w:sz w:val="22"/>
          <w:szCs w:val="22"/>
        </w:rPr>
        <w:t>al</w:t>
      </w:r>
      <w:r w:rsidR="00EB0C1B">
        <w:rPr>
          <w:rFonts w:ascii="Arial" w:hAnsi="Arial" w:cs="Arial"/>
          <w:sz w:val="22"/>
          <w:szCs w:val="22"/>
        </w:rPr>
        <w:t xml:space="preserve"> challenges at BMC.</w:t>
      </w:r>
    </w:p>
    <w:p w14:paraId="2650B2C7" w14:textId="00E73AA3" w:rsidR="00260F61" w:rsidRDefault="00260F61" w:rsidP="00B05CF9">
      <w:pPr>
        <w:pStyle w:val="NormalWeb"/>
        <w:spacing w:before="0" w:beforeAutospacing="0" w:after="0" w:afterAutospacing="0"/>
        <w:jc w:val="both"/>
        <w:rPr>
          <w:rFonts w:ascii="Arial" w:hAnsi="Arial" w:cs="Arial"/>
          <w:sz w:val="22"/>
          <w:szCs w:val="22"/>
        </w:rPr>
      </w:pPr>
    </w:p>
    <w:p w14:paraId="3D1278ED" w14:textId="3E6EE83A" w:rsidR="00B05CF9" w:rsidRPr="0058289A" w:rsidRDefault="00200CC6" w:rsidP="00B05CF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With regard to output, </w:t>
      </w:r>
      <w:r w:rsidR="008A5C1A">
        <w:rPr>
          <w:rFonts w:ascii="Arial" w:hAnsi="Arial" w:cs="Arial"/>
          <w:sz w:val="22"/>
          <w:szCs w:val="22"/>
        </w:rPr>
        <w:t>several studies</w:t>
      </w:r>
      <w:r w:rsidR="00260F61">
        <w:rPr>
          <w:rFonts w:ascii="Arial" w:hAnsi="Arial" w:cs="Arial"/>
          <w:sz w:val="22"/>
          <w:szCs w:val="22"/>
        </w:rPr>
        <w:t xml:space="preserve"> indicate that </w:t>
      </w:r>
      <w:r w:rsidR="000237B4">
        <w:rPr>
          <w:rFonts w:ascii="Arial" w:hAnsi="Arial" w:cs="Arial"/>
          <w:sz w:val="22"/>
          <w:szCs w:val="22"/>
        </w:rPr>
        <w:t xml:space="preserve">access block, </w:t>
      </w:r>
      <w:r w:rsidR="00F21322">
        <w:rPr>
          <w:rFonts w:ascii="Arial" w:hAnsi="Arial" w:cs="Arial"/>
          <w:sz w:val="22"/>
          <w:szCs w:val="22"/>
        </w:rPr>
        <w:t xml:space="preserve">i.e., </w:t>
      </w:r>
      <w:r w:rsidR="000237B4">
        <w:rPr>
          <w:rFonts w:ascii="Arial" w:hAnsi="Arial" w:cs="Arial"/>
          <w:sz w:val="22"/>
          <w:szCs w:val="22"/>
        </w:rPr>
        <w:t xml:space="preserve">delays in admission of patients to hospital inpatient beds from EDs due to </w:t>
      </w:r>
      <w:r w:rsidR="00837D33">
        <w:rPr>
          <w:rFonts w:ascii="Arial" w:hAnsi="Arial" w:cs="Arial"/>
          <w:sz w:val="22"/>
          <w:szCs w:val="22"/>
        </w:rPr>
        <w:t>lack of inpatient beds</w:t>
      </w:r>
      <w:r w:rsidR="000237B4">
        <w:rPr>
          <w:rFonts w:ascii="Arial" w:hAnsi="Arial" w:cs="Arial"/>
          <w:sz w:val="22"/>
          <w:szCs w:val="22"/>
        </w:rPr>
        <w:t>,</w:t>
      </w:r>
      <w:r w:rsidR="00837D33">
        <w:rPr>
          <w:rFonts w:ascii="Arial" w:hAnsi="Arial" w:cs="Arial"/>
          <w:sz w:val="22"/>
          <w:szCs w:val="22"/>
        </w:rPr>
        <w:t xml:space="preserve"> is the single most important cause of </w:t>
      </w:r>
      <w:r>
        <w:rPr>
          <w:rFonts w:ascii="Arial" w:hAnsi="Arial" w:cs="Arial"/>
          <w:sz w:val="22"/>
          <w:szCs w:val="22"/>
        </w:rPr>
        <w:t>ED boarding and crowding</w:t>
      </w:r>
      <w:r w:rsidR="00837D33">
        <w:rPr>
          <w:rFonts w:ascii="Arial" w:hAnsi="Arial" w:cs="Arial"/>
          <w:sz w:val="22"/>
          <w:szCs w:val="22"/>
        </w:rPr>
        <w:t>.</w:t>
      </w:r>
      <w:r w:rsidR="00FB167B">
        <w:rPr>
          <w:rFonts w:ascii="ZWAdobeF" w:hAnsi="ZWAdobeF" w:cs="ZWAdobeF"/>
          <w:sz w:val="2"/>
          <w:szCs w:val="2"/>
        </w:rPr>
        <w:t>67F</w:t>
      </w:r>
      <w:r w:rsidR="0030180C">
        <w:rPr>
          <w:rStyle w:val="FootnoteReference"/>
          <w:rFonts w:ascii="Arial" w:hAnsi="Arial" w:cs="Arial"/>
          <w:sz w:val="22"/>
          <w:szCs w:val="22"/>
        </w:rPr>
        <w:footnoteReference w:id="68"/>
      </w:r>
      <w:r w:rsidR="00837D33">
        <w:rPr>
          <w:rFonts w:ascii="Arial" w:hAnsi="Arial" w:cs="Arial"/>
          <w:sz w:val="22"/>
          <w:szCs w:val="22"/>
        </w:rPr>
        <w:t xml:space="preserve"> </w:t>
      </w:r>
      <w:r w:rsidR="00F731E6">
        <w:rPr>
          <w:rFonts w:ascii="Arial" w:hAnsi="Arial" w:cs="Arial"/>
          <w:sz w:val="22"/>
          <w:szCs w:val="22"/>
        </w:rPr>
        <w:t>Significantly, such</w:t>
      </w:r>
      <w:r w:rsidR="00F731E6" w:rsidRPr="0030180C">
        <w:rPr>
          <w:rFonts w:ascii="Arial" w:hAnsi="Arial" w:cs="Arial"/>
          <w:sz w:val="22"/>
          <w:szCs w:val="22"/>
        </w:rPr>
        <w:t xml:space="preserve"> crowding is generally accepted as a reason for decreased efficiency and quality of care, and has also been linked to </w:t>
      </w:r>
      <w:r w:rsidR="003F6615" w:rsidRPr="003F6615">
        <w:rPr>
          <w:rFonts w:ascii="Arial" w:hAnsi="Arial" w:cs="Arial"/>
          <w:sz w:val="22"/>
          <w:szCs w:val="22"/>
        </w:rPr>
        <w:t xml:space="preserve">significant patient harm, including morbidity and mortality related to consequential delays of treatment for both high- and low-acuity patients, </w:t>
      </w:r>
      <w:r w:rsidR="003B36E6" w:rsidRPr="003F6615">
        <w:rPr>
          <w:rFonts w:ascii="Arial" w:hAnsi="Arial" w:cs="Arial"/>
          <w:sz w:val="22"/>
          <w:szCs w:val="22"/>
        </w:rPr>
        <w:t xml:space="preserve">ambulance diversion, </w:t>
      </w:r>
      <w:r w:rsidR="003F6615" w:rsidRPr="003F6615">
        <w:rPr>
          <w:rFonts w:ascii="Arial" w:hAnsi="Arial" w:cs="Arial"/>
          <w:sz w:val="22"/>
          <w:szCs w:val="22"/>
        </w:rPr>
        <w:t>increased adverse events, preventable error</w:t>
      </w:r>
      <w:r w:rsidR="002B5E70">
        <w:rPr>
          <w:rFonts w:ascii="Arial" w:hAnsi="Arial" w:cs="Arial"/>
          <w:sz w:val="22"/>
          <w:szCs w:val="22"/>
        </w:rPr>
        <w:t>s</w:t>
      </w:r>
      <w:r w:rsidR="003F6615">
        <w:rPr>
          <w:rFonts w:ascii="Arial" w:hAnsi="Arial" w:cs="Arial"/>
          <w:sz w:val="22"/>
          <w:szCs w:val="22"/>
        </w:rPr>
        <w:t>, staff burnout</w:t>
      </w:r>
      <w:r w:rsidR="003B36E6">
        <w:rPr>
          <w:rFonts w:ascii="Arial" w:hAnsi="Arial" w:cs="Arial"/>
          <w:sz w:val="22"/>
          <w:szCs w:val="22"/>
        </w:rPr>
        <w:t xml:space="preserve">, </w:t>
      </w:r>
      <w:r w:rsidR="00AB141F">
        <w:rPr>
          <w:rFonts w:ascii="Arial" w:hAnsi="Arial" w:cs="Arial"/>
          <w:sz w:val="22"/>
          <w:szCs w:val="22"/>
        </w:rPr>
        <w:t>higher costs, and</w:t>
      </w:r>
      <w:r w:rsidR="003B36E6">
        <w:rPr>
          <w:rFonts w:ascii="Arial" w:hAnsi="Arial" w:cs="Arial"/>
          <w:sz w:val="22"/>
          <w:szCs w:val="22"/>
        </w:rPr>
        <w:t xml:space="preserve"> decreased patient satisfaction.</w:t>
      </w:r>
      <w:bookmarkStart w:id="12" w:name="_Ref109200306"/>
      <w:r w:rsidR="00FB167B">
        <w:rPr>
          <w:rFonts w:ascii="ZWAdobeF" w:hAnsi="ZWAdobeF" w:cs="ZWAdobeF"/>
          <w:sz w:val="2"/>
          <w:szCs w:val="2"/>
        </w:rPr>
        <w:t>68F</w:t>
      </w:r>
      <w:r w:rsidR="003B36E6">
        <w:rPr>
          <w:rStyle w:val="FootnoteReference"/>
          <w:rFonts w:ascii="Arial" w:hAnsi="Arial" w:cs="Arial"/>
          <w:sz w:val="22"/>
          <w:szCs w:val="22"/>
        </w:rPr>
        <w:footnoteReference w:id="69"/>
      </w:r>
      <w:bookmarkEnd w:id="12"/>
      <w:r w:rsidR="00AB141F">
        <w:rPr>
          <w:rFonts w:ascii="Arial" w:hAnsi="Arial" w:cs="Arial"/>
          <w:sz w:val="22"/>
          <w:szCs w:val="22"/>
        </w:rPr>
        <w:t xml:space="preserve"> </w:t>
      </w:r>
      <w:r w:rsidR="008A5C1A" w:rsidRPr="00AB141F">
        <w:rPr>
          <w:rFonts w:ascii="Arial" w:hAnsi="Arial" w:cs="Arial"/>
          <w:sz w:val="22"/>
          <w:szCs w:val="22"/>
        </w:rPr>
        <w:t xml:space="preserve">To improve ED performance, </w:t>
      </w:r>
      <w:r w:rsidR="00F731E6" w:rsidRPr="00AB141F">
        <w:rPr>
          <w:rFonts w:ascii="Arial" w:hAnsi="Arial" w:cs="Arial"/>
          <w:sz w:val="22"/>
          <w:szCs w:val="22"/>
        </w:rPr>
        <w:t xml:space="preserve">the evidence-based literature asserts that </w:t>
      </w:r>
      <w:r w:rsidR="008A5C1A" w:rsidRPr="00AB141F">
        <w:rPr>
          <w:rFonts w:ascii="Arial" w:hAnsi="Arial" w:cs="Arial"/>
          <w:sz w:val="22"/>
          <w:szCs w:val="22"/>
        </w:rPr>
        <w:t xml:space="preserve">steps need to be taken to </w:t>
      </w:r>
      <w:r w:rsidR="00AB141F" w:rsidRPr="00AB141F">
        <w:rPr>
          <w:rFonts w:ascii="Arial" w:hAnsi="Arial" w:cs="Arial"/>
          <w:sz w:val="22"/>
          <w:szCs w:val="22"/>
        </w:rPr>
        <w:t xml:space="preserve">reduce </w:t>
      </w:r>
      <w:r w:rsidR="00AB141F" w:rsidRPr="00F21322">
        <w:rPr>
          <w:rFonts w:ascii="Arial" w:hAnsi="Arial" w:cs="Arial"/>
          <w:sz w:val="22"/>
          <w:szCs w:val="22"/>
        </w:rPr>
        <w:t>access block</w:t>
      </w:r>
      <w:r w:rsidR="00AB141F" w:rsidRPr="00AB141F">
        <w:rPr>
          <w:rFonts w:ascii="Arial" w:hAnsi="Arial" w:cs="Arial"/>
          <w:sz w:val="22"/>
          <w:szCs w:val="22"/>
        </w:rPr>
        <w:t xml:space="preserve"> </w:t>
      </w:r>
      <w:r w:rsidR="00AB141F">
        <w:rPr>
          <w:rFonts w:ascii="Arial" w:hAnsi="Arial" w:cs="Arial"/>
          <w:sz w:val="22"/>
          <w:szCs w:val="22"/>
        </w:rPr>
        <w:t xml:space="preserve">and </w:t>
      </w:r>
      <w:r w:rsidR="008A5C1A" w:rsidRPr="00AB141F">
        <w:rPr>
          <w:rFonts w:ascii="Arial" w:hAnsi="Arial" w:cs="Arial"/>
          <w:sz w:val="22"/>
          <w:szCs w:val="22"/>
        </w:rPr>
        <w:t>improve patient flow.</w:t>
      </w:r>
      <w:r w:rsidR="00FB167B">
        <w:rPr>
          <w:rFonts w:ascii="ZWAdobeF" w:hAnsi="ZWAdobeF" w:cs="ZWAdobeF"/>
          <w:sz w:val="2"/>
          <w:szCs w:val="2"/>
        </w:rPr>
        <w:t>69F</w:t>
      </w:r>
      <w:r w:rsidR="00AB141F">
        <w:rPr>
          <w:rStyle w:val="FootnoteReference"/>
          <w:rFonts w:ascii="Arial" w:hAnsi="Arial" w:cs="Arial"/>
          <w:sz w:val="22"/>
          <w:szCs w:val="22"/>
        </w:rPr>
        <w:footnoteReference w:id="70"/>
      </w:r>
      <w:r w:rsidR="008A5C1A" w:rsidRPr="00AB141F">
        <w:rPr>
          <w:rFonts w:ascii="Arial" w:hAnsi="Arial" w:cs="Arial"/>
          <w:sz w:val="22"/>
          <w:szCs w:val="22"/>
        </w:rPr>
        <w:t xml:space="preserve"> </w:t>
      </w:r>
      <w:r w:rsidR="00F731E6" w:rsidRPr="00AB141F">
        <w:rPr>
          <w:rFonts w:ascii="Arial" w:hAnsi="Arial" w:cs="Arial"/>
          <w:sz w:val="22"/>
          <w:szCs w:val="22"/>
        </w:rPr>
        <w:t>Specifically,</w:t>
      </w:r>
      <w:r w:rsidR="00912F3F">
        <w:rPr>
          <w:rFonts w:ascii="Arial" w:hAnsi="Arial" w:cs="Arial"/>
          <w:sz w:val="22"/>
          <w:szCs w:val="22"/>
        </w:rPr>
        <w:t xml:space="preserve"> expansion of functional inpatient capacity is necessary to improve output and reduce ED boarding and crowding.</w:t>
      </w:r>
      <w:r w:rsidR="00FB167B">
        <w:rPr>
          <w:rFonts w:ascii="ZWAdobeF" w:hAnsi="ZWAdobeF" w:cs="ZWAdobeF"/>
          <w:sz w:val="2"/>
          <w:szCs w:val="2"/>
        </w:rPr>
        <w:t>70F</w:t>
      </w:r>
      <w:r w:rsidR="00912F3F">
        <w:rPr>
          <w:rStyle w:val="FootnoteReference"/>
          <w:rFonts w:ascii="Arial" w:hAnsi="Arial" w:cs="Arial"/>
          <w:sz w:val="22"/>
          <w:szCs w:val="22"/>
        </w:rPr>
        <w:footnoteReference w:id="71"/>
      </w:r>
      <w:r w:rsidR="0058289A">
        <w:rPr>
          <w:rFonts w:ascii="Arial" w:hAnsi="Arial" w:cs="Arial"/>
          <w:sz w:val="22"/>
          <w:szCs w:val="22"/>
        </w:rPr>
        <w:t xml:space="preserve"> </w:t>
      </w:r>
      <w:r w:rsidR="0058289A" w:rsidRPr="0058289A">
        <w:rPr>
          <w:rFonts w:ascii="Arial" w:hAnsi="Arial" w:cs="Arial"/>
          <w:sz w:val="22"/>
          <w:szCs w:val="22"/>
        </w:rPr>
        <w:t xml:space="preserve">In accordance with this well-established solution, the Applicant proposes to expand its inpatient capacity by </w:t>
      </w:r>
      <w:r w:rsidR="00F21322">
        <w:rPr>
          <w:rFonts w:ascii="Arial" w:hAnsi="Arial" w:cs="Arial"/>
          <w:sz w:val="22"/>
          <w:szCs w:val="22"/>
        </w:rPr>
        <w:t>seventy (</w:t>
      </w:r>
      <w:r w:rsidR="0058289A" w:rsidRPr="0058289A">
        <w:rPr>
          <w:rFonts w:ascii="Arial" w:hAnsi="Arial" w:cs="Arial"/>
          <w:sz w:val="22"/>
          <w:szCs w:val="22"/>
        </w:rPr>
        <w:t>70</w:t>
      </w:r>
      <w:r w:rsidR="00F21322">
        <w:rPr>
          <w:rFonts w:ascii="Arial" w:hAnsi="Arial" w:cs="Arial"/>
          <w:sz w:val="22"/>
          <w:szCs w:val="22"/>
        </w:rPr>
        <w:t>)</w:t>
      </w:r>
      <w:r w:rsidR="0058289A" w:rsidRPr="0058289A">
        <w:rPr>
          <w:rFonts w:ascii="Arial" w:hAnsi="Arial" w:cs="Arial"/>
          <w:sz w:val="22"/>
          <w:szCs w:val="22"/>
        </w:rPr>
        <w:t xml:space="preserve"> beds.</w:t>
      </w:r>
    </w:p>
    <w:p w14:paraId="15A578A1" w14:textId="77777777" w:rsidR="0058289A" w:rsidRDefault="0058289A" w:rsidP="00B05CF9">
      <w:pPr>
        <w:pStyle w:val="NormalWeb"/>
        <w:spacing w:before="0" w:beforeAutospacing="0" w:after="0" w:afterAutospacing="0"/>
        <w:jc w:val="both"/>
        <w:rPr>
          <w:rFonts w:ascii="Arial" w:hAnsi="Arial" w:cs="Arial"/>
          <w:smallCaps/>
          <w:sz w:val="22"/>
          <w:szCs w:val="22"/>
          <w:u w:val="single"/>
        </w:rPr>
      </w:pPr>
    </w:p>
    <w:p w14:paraId="44336BAA" w14:textId="1192D9C8" w:rsidR="005C5911" w:rsidRDefault="005C5911" w:rsidP="005C5911">
      <w:pPr>
        <w:pStyle w:val="NormalWeb"/>
        <w:numPr>
          <w:ilvl w:val="0"/>
          <w:numId w:val="12"/>
        </w:numPr>
        <w:spacing w:before="0" w:beforeAutospacing="0" w:after="0" w:afterAutospacing="0"/>
        <w:ind w:left="360"/>
        <w:jc w:val="both"/>
        <w:rPr>
          <w:rFonts w:ascii="Arial" w:hAnsi="Arial" w:cs="Arial"/>
          <w:smallCaps/>
          <w:sz w:val="22"/>
          <w:szCs w:val="22"/>
          <w:u w:val="single"/>
        </w:rPr>
      </w:pPr>
      <w:r>
        <w:rPr>
          <w:rFonts w:ascii="Arial" w:hAnsi="Arial" w:cs="Arial"/>
          <w:smallCaps/>
          <w:sz w:val="22"/>
          <w:szCs w:val="22"/>
          <w:u w:val="single"/>
        </w:rPr>
        <w:t>Evidence Supporting the Proposed Inpatient OR Expansion</w:t>
      </w:r>
    </w:p>
    <w:p w14:paraId="49B978AA" w14:textId="6B56F5A3" w:rsidR="00E75A93" w:rsidRDefault="00E75A93" w:rsidP="00E75A93">
      <w:pPr>
        <w:pStyle w:val="NormalWeb"/>
        <w:spacing w:before="0" w:beforeAutospacing="0" w:after="0" w:afterAutospacing="0"/>
        <w:jc w:val="both"/>
        <w:rPr>
          <w:rFonts w:ascii="Arial" w:hAnsi="Arial" w:cs="Arial"/>
          <w:smallCaps/>
          <w:sz w:val="22"/>
          <w:szCs w:val="22"/>
          <w:u w:val="single"/>
        </w:rPr>
      </w:pPr>
    </w:p>
    <w:p w14:paraId="439DFB3D" w14:textId="3FCFD036" w:rsidR="0031038B" w:rsidRDefault="00E75A93" w:rsidP="00E75A93">
      <w:pPr>
        <w:pStyle w:val="NormalWeb"/>
        <w:spacing w:before="0" w:beforeAutospacing="0" w:after="0" w:afterAutospacing="0"/>
        <w:jc w:val="both"/>
        <w:rPr>
          <w:rFonts w:ascii="Arial" w:hAnsi="Arial" w:cs="Arial"/>
          <w:sz w:val="22"/>
          <w:szCs w:val="22"/>
        </w:rPr>
      </w:pPr>
      <w:r>
        <w:rPr>
          <w:rFonts w:ascii="Arial" w:hAnsi="Arial" w:cs="Arial"/>
          <w:sz w:val="22"/>
          <w:szCs w:val="22"/>
        </w:rPr>
        <w:t>The other major component of the Applicant’s Proposed Project is the expansion of inpatient OR capacity by five (5) additional inpatient ORs and additional</w:t>
      </w:r>
      <w:r w:rsidRPr="00E75A93">
        <w:rPr>
          <w:rFonts w:ascii="Arial" w:hAnsi="Arial" w:cs="Arial"/>
          <w:sz w:val="22"/>
          <w:szCs w:val="22"/>
        </w:rPr>
        <w:t xml:space="preserve"> </w:t>
      </w:r>
      <w:r w:rsidRPr="00F031D7">
        <w:rPr>
          <w:rFonts w:ascii="Arial" w:hAnsi="Arial" w:cs="Arial"/>
          <w:sz w:val="22"/>
          <w:szCs w:val="22"/>
        </w:rPr>
        <w:t>pre- and post-operative/PACU space</w:t>
      </w:r>
      <w:r>
        <w:rPr>
          <w:rFonts w:ascii="Arial" w:hAnsi="Arial" w:cs="Arial"/>
          <w:sz w:val="22"/>
          <w:szCs w:val="22"/>
        </w:rPr>
        <w:t xml:space="preserve">. </w:t>
      </w:r>
      <w:r w:rsidR="006307BA">
        <w:rPr>
          <w:rFonts w:ascii="Arial" w:hAnsi="Arial" w:cs="Arial"/>
          <w:sz w:val="22"/>
          <w:szCs w:val="22"/>
        </w:rPr>
        <w:t xml:space="preserve">The evidence-based literature </w:t>
      </w:r>
      <w:r w:rsidR="00933901">
        <w:rPr>
          <w:rFonts w:ascii="Arial" w:hAnsi="Arial" w:cs="Arial"/>
          <w:sz w:val="22"/>
          <w:szCs w:val="22"/>
        </w:rPr>
        <w:t xml:space="preserve">supports these additions </w:t>
      </w:r>
      <w:r w:rsidR="00B764CF">
        <w:rPr>
          <w:rFonts w:ascii="Arial" w:hAnsi="Arial" w:cs="Arial"/>
          <w:sz w:val="22"/>
          <w:szCs w:val="22"/>
        </w:rPr>
        <w:t xml:space="preserve">both </w:t>
      </w:r>
      <w:r w:rsidR="00933901">
        <w:rPr>
          <w:rFonts w:ascii="Arial" w:hAnsi="Arial" w:cs="Arial"/>
          <w:sz w:val="22"/>
          <w:szCs w:val="22"/>
        </w:rPr>
        <w:t xml:space="preserve">by </w:t>
      </w:r>
      <w:r w:rsidR="00B764CF">
        <w:rPr>
          <w:rFonts w:ascii="Arial" w:hAnsi="Arial" w:cs="Arial"/>
          <w:sz w:val="22"/>
          <w:szCs w:val="22"/>
        </w:rPr>
        <w:t xml:space="preserve">discussing benchmark utilization for inpatient ORs and describing the impacts of </w:t>
      </w:r>
      <w:r w:rsidR="000B6560">
        <w:rPr>
          <w:rFonts w:ascii="Arial" w:hAnsi="Arial" w:cs="Arial"/>
          <w:sz w:val="22"/>
          <w:szCs w:val="22"/>
        </w:rPr>
        <w:t xml:space="preserve">exceeding such </w:t>
      </w:r>
      <w:r w:rsidR="00B764CF">
        <w:rPr>
          <w:rFonts w:ascii="Arial" w:hAnsi="Arial" w:cs="Arial"/>
          <w:sz w:val="22"/>
          <w:szCs w:val="22"/>
        </w:rPr>
        <w:t xml:space="preserve">benchmarks. </w:t>
      </w:r>
      <w:r w:rsidR="00B6752B">
        <w:rPr>
          <w:rFonts w:ascii="Arial" w:hAnsi="Arial" w:cs="Arial"/>
          <w:sz w:val="22"/>
          <w:szCs w:val="22"/>
        </w:rPr>
        <w:t>With regard to benchmark utilization, most industry sources indicate that a common target is 80%, which is that used by the Hospital.</w:t>
      </w:r>
      <w:r w:rsidR="00FB167B">
        <w:rPr>
          <w:rFonts w:ascii="ZWAdobeF" w:hAnsi="ZWAdobeF" w:cs="ZWAdobeF"/>
          <w:sz w:val="2"/>
          <w:szCs w:val="2"/>
        </w:rPr>
        <w:t>71F</w:t>
      </w:r>
      <w:r w:rsidR="00B6752B">
        <w:rPr>
          <w:rStyle w:val="FootnoteReference"/>
          <w:rFonts w:ascii="Arial" w:hAnsi="Arial" w:cs="Arial"/>
          <w:sz w:val="22"/>
          <w:szCs w:val="22"/>
        </w:rPr>
        <w:footnoteReference w:id="72"/>
      </w:r>
      <w:r w:rsidR="00B6752B">
        <w:rPr>
          <w:rFonts w:ascii="Arial" w:hAnsi="Arial" w:cs="Arial"/>
          <w:sz w:val="22"/>
          <w:szCs w:val="22"/>
        </w:rPr>
        <w:t xml:space="preserve"> </w:t>
      </w:r>
      <w:r w:rsidR="00056C32">
        <w:rPr>
          <w:rFonts w:ascii="Arial" w:hAnsi="Arial" w:cs="Arial"/>
          <w:sz w:val="22"/>
          <w:szCs w:val="22"/>
        </w:rPr>
        <w:t>When utilization exceeds this benchmark, the risk of scheduled outpatient procedures being delayed or moved due to emergency surgeries</w:t>
      </w:r>
      <w:r w:rsidR="0031038B">
        <w:rPr>
          <w:rFonts w:ascii="Arial" w:hAnsi="Arial" w:cs="Arial"/>
          <w:sz w:val="22"/>
          <w:szCs w:val="22"/>
        </w:rPr>
        <w:t xml:space="preserve"> that take longer than expected increases substantially. </w:t>
      </w:r>
    </w:p>
    <w:p w14:paraId="31346BE9" w14:textId="77777777" w:rsidR="0031038B" w:rsidRDefault="0031038B" w:rsidP="00E75A93">
      <w:pPr>
        <w:pStyle w:val="NormalWeb"/>
        <w:spacing w:before="0" w:beforeAutospacing="0" w:after="0" w:afterAutospacing="0"/>
        <w:jc w:val="both"/>
        <w:rPr>
          <w:rFonts w:ascii="Arial" w:hAnsi="Arial" w:cs="Arial"/>
          <w:sz w:val="22"/>
          <w:szCs w:val="22"/>
        </w:rPr>
      </w:pPr>
    </w:p>
    <w:p w14:paraId="7C27491E" w14:textId="3D521ADA" w:rsidR="004B2B2D" w:rsidRDefault="0031038B" w:rsidP="00FE192D">
      <w:pPr>
        <w:pStyle w:val="NormalWeb"/>
        <w:spacing w:before="0" w:beforeAutospacing="0" w:after="0" w:afterAutospacing="0"/>
        <w:jc w:val="both"/>
        <w:rPr>
          <w:rFonts w:ascii="Arial" w:hAnsi="Arial" w:cs="Arial"/>
          <w:sz w:val="22"/>
          <w:szCs w:val="22"/>
        </w:rPr>
      </w:pPr>
      <w:bookmarkStart w:id="13" w:name="_Hlk109312646"/>
      <w:r>
        <w:rPr>
          <w:rFonts w:ascii="Arial" w:hAnsi="Arial" w:cs="Arial"/>
          <w:sz w:val="22"/>
          <w:szCs w:val="22"/>
        </w:rPr>
        <w:t>To this point, the literature details that surg</w:t>
      </w:r>
      <w:r w:rsidR="00D06416">
        <w:rPr>
          <w:rFonts w:ascii="Arial" w:hAnsi="Arial" w:cs="Arial"/>
          <w:sz w:val="22"/>
          <w:szCs w:val="22"/>
        </w:rPr>
        <w:t>ical delays</w:t>
      </w:r>
      <w:r>
        <w:rPr>
          <w:rFonts w:ascii="Arial" w:hAnsi="Arial" w:cs="Arial"/>
          <w:sz w:val="22"/>
          <w:szCs w:val="22"/>
        </w:rPr>
        <w:t xml:space="preserve"> have real impacts on patient health outcomes, as well as hospital resources and provider satisfaction</w:t>
      </w:r>
      <w:r w:rsidR="00342F3B">
        <w:rPr>
          <w:rFonts w:ascii="Arial" w:hAnsi="Arial" w:cs="Arial"/>
          <w:sz w:val="22"/>
          <w:szCs w:val="22"/>
        </w:rPr>
        <w:t xml:space="preserve"> and collaboration</w:t>
      </w:r>
      <w:r>
        <w:rPr>
          <w:rFonts w:ascii="Arial" w:hAnsi="Arial" w:cs="Arial"/>
          <w:sz w:val="22"/>
          <w:szCs w:val="22"/>
        </w:rPr>
        <w:t>.</w:t>
      </w:r>
      <w:bookmarkStart w:id="14" w:name="_Ref109201154"/>
      <w:r w:rsidR="00FB167B">
        <w:rPr>
          <w:rFonts w:ascii="ZWAdobeF" w:hAnsi="ZWAdobeF" w:cs="ZWAdobeF"/>
          <w:sz w:val="2"/>
          <w:szCs w:val="2"/>
        </w:rPr>
        <w:t>72F</w:t>
      </w:r>
      <w:r w:rsidR="00D06416">
        <w:rPr>
          <w:rStyle w:val="FootnoteReference"/>
          <w:rFonts w:ascii="Arial" w:hAnsi="Arial" w:cs="Arial"/>
          <w:sz w:val="22"/>
          <w:szCs w:val="22"/>
        </w:rPr>
        <w:footnoteReference w:id="73"/>
      </w:r>
      <w:bookmarkEnd w:id="14"/>
      <w:r>
        <w:rPr>
          <w:rFonts w:ascii="Arial" w:hAnsi="Arial" w:cs="Arial"/>
          <w:sz w:val="22"/>
          <w:szCs w:val="22"/>
        </w:rPr>
        <w:t xml:space="preserve"> </w:t>
      </w:r>
      <w:r w:rsidR="004B2B2D">
        <w:rPr>
          <w:rFonts w:ascii="Arial" w:hAnsi="Arial" w:cs="Arial"/>
          <w:sz w:val="22"/>
          <w:szCs w:val="22"/>
        </w:rPr>
        <w:t>In terms of hospital operations, delays</w:t>
      </w:r>
      <w:r w:rsidR="004B2B2D" w:rsidRPr="00342F3B">
        <w:rPr>
          <w:rFonts w:ascii="Arial" w:hAnsi="Arial" w:cs="Arial"/>
          <w:sz w:val="22"/>
          <w:szCs w:val="22"/>
        </w:rPr>
        <w:t xml:space="preserve"> </w:t>
      </w:r>
      <w:r w:rsidR="004B2B2D" w:rsidRPr="00D06416">
        <w:rPr>
          <w:rFonts w:ascii="Arial" w:hAnsi="Arial" w:cs="Arial"/>
          <w:sz w:val="22"/>
          <w:szCs w:val="22"/>
        </w:rPr>
        <w:t>pose a barrier to optimal patient flow</w:t>
      </w:r>
      <w:r w:rsidR="004B2B2D">
        <w:rPr>
          <w:rFonts w:ascii="Arial" w:hAnsi="Arial" w:cs="Arial"/>
          <w:sz w:val="22"/>
          <w:szCs w:val="22"/>
        </w:rPr>
        <w:t xml:space="preserve">, affect </w:t>
      </w:r>
      <w:r w:rsidR="004B2B2D" w:rsidRPr="00D06416">
        <w:rPr>
          <w:rFonts w:ascii="Arial" w:hAnsi="Arial" w:cs="Arial"/>
          <w:sz w:val="22"/>
          <w:szCs w:val="22"/>
        </w:rPr>
        <w:t>interprofessional teamwork across medical disciplines</w:t>
      </w:r>
      <w:r w:rsidR="004B2B2D">
        <w:rPr>
          <w:rFonts w:ascii="Arial" w:hAnsi="Arial" w:cs="Arial"/>
          <w:sz w:val="22"/>
          <w:szCs w:val="22"/>
        </w:rPr>
        <w:t>, and result in increased costs.</w:t>
      </w:r>
      <w:r w:rsidR="00FB167B">
        <w:rPr>
          <w:rFonts w:ascii="ZWAdobeF" w:hAnsi="ZWAdobeF" w:cs="ZWAdobeF"/>
          <w:sz w:val="2"/>
          <w:szCs w:val="2"/>
        </w:rPr>
        <w:t>73F</w:t>
      </w:r>
      <w:r w:rsidR="004B2B2D">
        <w:rPr>
          <w:rStyle w:val="FootnoteReference"/>
          <w:rFonts w:ascii="Arial" w:hAnsi="Arial" w:cs="Arial"/>
          <w:sz w:val="22"/>
          <w:szCs w:val="22"/>
        </w:rPr>
        <w:footnoteReference w:id="74"/>
      </w:r>
      <w:r w:rsidR="004B2B2D">
        <w:rPr>
          <w:rFonts w:ascii="Arial" w:hAnsi="Arial" w:cs="Arial"/>
          <w:sz w:val="22"/>
          <w:szCs w:val="22"/>
        </w:rPr>
        <w:t xml:space="preserve"> While the</w:t>
      </w:r>
      <w:r w:rsidR="004B2B2D" w:rsidRPr="00D06416">
        <w:rPr>
          <w:rFonts w:ascii="Arial" w:hAnsi="Arial" w:cs="Arial"/>
          <w:sz w:val="22"/>
          <w:szCs w:val="22"/>
        </w:rPr>
        <w:t xml:space="preserve"> actual financial costs of surgical delay</w:t>
      </w:r>
      <w:r w:rsidR="00C667CE">
        <w:rPr>
          <w:rFonts w:ascii="Arial" w:hAnsi="Arial" w:cs="Arial"/>
          <w:sz w:val="22"/>
          <w:szCs w:val="22"/>
        </w:rPr>
        <w:t>s</w:t>
      </w:r>
      <w:r w:rsidR="004B2B2D" w:rsidRPr="00D06416">
        <w:rPr>
          <w:rFonts w:ascii="Arial" w:hAnsi="Arial" w:cs="Arial"/>
          <w:sz w:val="22"/>
          <w:szCs w:val="22"/>
        </w:rPr>
        <w:t xml:space="preserve"> are difficult to determine due to varying factors such as administrative overhead, type of surgery, reasons for delay, and regional costs</w:t>
      </w:r>
      <w:r w:rsidR="004B2B2D">
        <w:rPr>
          <w:rFonts w:ascii="Arial" w:hAnsi="Arial" w:cs="Arial"/>
          <w:sz w:val="22"/>
          <w:szCs w:val="22"/>
        </w:rPr>
        <w:t>, a</w:t>
      </w:r>
      <w:r w:rsidR="004B2B2D" w:rsidRPr="00D06416">
        <w:rPr>
          <w:rFonts w:ascii="Arial" w:hAnsi="Arial" w:cs="Arial"/>
          <w:sz w:val="22"/>
          <w:szCs w:val="22"/>
        </w:rPr>
        <w:t>n estimate of cost is about $20 per minute of delay</w:t>
      </w:r>
      <w:r w:rsidR="004B2B2D">
        <w:rPr>
          <w:rFonts w:ascii="Arial" w:hAnsi="Arial" w:cs="Arial"/>
          <w:sz w:val="22"/>
          <w:szCs w:val="22"/>
        </w:rPr>
        <w:t>, based on 2016 data.</w:t>
      </w:r>
      <w:r w:rsidR="00FB167B">
        <w:rPr>
          <w:rFonts w:ascii="ZWAdobeF" w:hAnsi="ZWAdobeF" w:cs="ZWAdobeF"/>
          <w:sz w:val="2"/>
          <w:szCs w:val="2"/>
        </w:rPr>
        <w:t>74F</w:t>
      </w:r>
      <w:r w:rsidR="004B2B2D">
        <w:rPr>
          <w:rStyle w:val="FootnoteReference"/>
          <w:rFonts w:ascii="Arial" w:hAnsi="Arial" w:cs="Arial"/>
          <w:sz w:val="22"/>
          <w:szCs w:val="22"/>
        </w:rPr>
        <w:footnoteReference w:id="75"/>
      </w:r>
    </w:p>
    <w:bookmarkEnd w:id="13"/>
    <w:p w14:paraId="7D451CB4" w14:textId="77777777" w:rsidR="004B2B2D" w:rsidRDefault="004B2B2D" w:rsidP="00FE192D">
      <w:pPr>
        <w:pStyle w:val="NormalWeb"/>
        <w:spacing w:before="0" w:beforeAutospacing="0" w:after="0" w:afterAutospacing="0"/>
        <w:jc w:val="both"/>
        <w:rPr>
          <w:rFonts w:ascii="Arial" w:hAnsi="Arial" w:cs="Arial"/>
          <w:sz w:val="22"/>
          <w:szCs w:val="22"/>
        </w:rPr>
      </w:pPr>
    </w:p>
    <w:p w14:paraId="55F64EE6" w14:textId="6F5E1049" w:rsidR="00342F3B" w:rsidRDefault="00FE192D" w:rsidP="00FE192D">
      <w:pPr>
        <w:pStyle w:val="NormalWeb"/>
        <w:spacing w:before="0" w:beforeAutospacing="0" w:after="0" w:afterAutospacing="0"/>
        <w:jc w:val="both"/>
        <w:rPr>
          <w:rFonts w:ascii="Arial" w:hAnsi="Arial" w:cs="Arial"/>
          <w:sz w:val="22"/>
          <w:szCs w:val="22"/>
        </w:rPr>
      </w:pPr>
      <w:r>
        <w:rPr>
          <w:rFonts w:ascii="Arial" w:hAnsi="Arial" w:cs="Arial"/>
          <w:sz w:val="22"/>
          <w:szCs w:val="22"/>
        </w:rPr>
        <w:t>For patients</w:t>
      </w:r>
      <w:r w:rsidR="00D06416">
        <w:rPr>
          <w:rFonts w:ascii="Arial" w:hAnsi="Arial" w:cs="Arial"/>
          <w:sz w:val="22"/>
          <w:szCs w:val="22"/>
        </w:rPr>
        <w:t>, delays</w:t>
      </w:r>
      <w:r w:rsidR="00D06416" w:rsidRPr="00D06416">
        <w:rPr>
          <w:rFonts w:ascii="Arial" w:hAnsi="Arial" w:cs="Arial"/>
          <w:sz w:val="22"/>
          <w:szCs w:val="22"/>
        </w:rPr>
        <w:t xml:space="preserve"> raise anxiety levels, </w:t>
      </w:r>
      <w:r>
        <w:rPr>
          <w:rFonts w:ascii="Arial" w:hAnsi="Arial" w:cs="Arial"/>
          <w:sz w:val="22"/>
          <w:szCs w:val="22"/>
        </w:rPr>
        <w:t xml:space="preserve">negatively impact satisfaction, </w:t>
      </w:r>
      <w:r w:rsidR="00D06416" w:rsidRPr="00D06416">
        <w:rPr>
          <w:rFonts w:ascii="Arial" w:hAnsi="Arial" w:cs="Arial"/>
          <w:sz w:val="22"/>
          <w:szCs w:val="22"/>
        </w:rPr>
        <w:t>and ultimately place patients at risk.</w:t>
      </w:r>
      <w:r w:rsidR="00FB167B">
        <w:rPr>
          <w:rFonts w:ascii="ZWAdobeF" w:hAnsi="ZWAdobeF" w:cs="ZWAdobeF"/>
          <w:sz w:val="2"/>
          <w:szCs w:val="2"/>
        </w:rPr>
        <w:t>75F</w:t>
      </w:r>
      <w:r w:rsidR="00D06416">
        <w:rPr>
          <w:rStyle w:val="FootnoteReference"/>
          <w:rFonts w:ascii="Arial" w:hAnsi="Arial" w:cs="Arial"/>
          <w:sz w:val="22"/>
          <w:szCs w:val="22"/>
        </w:rPr>
        <w:footnoteReference w:id="76"/>
      </w:r>
      <w:r w:rsidR="00D06416">
        <w:rPr>
          <w:rFonts w:ascii="Arial" w:hAnsi="Arial" w:cs="Arial"/>
          <w:sz w:val="22"/>
          <w:szCs w:val="22"/>
        </w:rPr>
        <w:t xml:space="preserve"> </w:t>
      </w:r>
      <w:r>
        <w:rPr>
          <w:rFonts w:ascii="Arial" w:hAnsi="Arial" w:cs="Arial"/>
          <w:sz w:val="22"/>
          <w:szCs w:val="22"/>
        </w:rPr>
        <w:t>Progression is a key feature of surgical diseases, and delays in treatment result in worse outcomes and higher mortality across a broad spectrum of diseases.</w:t>
      </w:r>
      <w:r w:rsidR="00FB167B">
        <w:rPr>
          <w:rFonts w:ascii="ZWAdobeF" w:hAnsi="ZWAdobeF" w:cs="ZWAdobeF"/>
          <w:sz w:val="2"/>
          <w:szCs w:val="2"/>
        </w:rPr>
        <w:t>76F</w:t>
      </w:r>
      <w:r>
        <w:rPr>
          <w:rStyle w:val="FootnoteReference"/>
          <w:rFonts w:ascii="Arial" w:hAnsi="Arial" w:cs="Arial"/>
          <w:sz w:val="22"/>
          <w:szCs w:val="22"/>
        </w:rPr>
        <w:footnoteReference w:id="77"/>
      </w:r>
      <w:r>
        <w:rPr>
          <w:rFonts w:ascii="Arial" w:hAnsi="Arial" w:cs="Arial"/>
          <w:sz w:val="22"/>
          <w:szCs w:val="22"/>
        </w:rPr>
        <w:t xml:space="preserve"> For example, for certain cancers, </w:t>
      </w:r>
      <w:r w:rsidRPr="00DA5DEA">
        <w:rPr>
          <w:rFonts w:ascii="Arial" w:hAnsi="Arial" w:cs="Arial"/>
          <w:sz w:val="22"/>
          <w:szCs w:val="22"/>
        </w:rPr>
        <w:t xml:space="preserve">advancement to later stages can occur in as little as </w:t>
      </w:r>
      <w:r>
        <w:rPr>
          <w:rFonts w:ascii="Arial" w:hAnsi="Arial" w:cs="Arial"/>
          <w:sz w:val="22"/>
          <w:szCs w:val="22"/>
        </w:rPr>
        <w:t>a matter of</w:t>
      </w:r>
      <w:r w:rsidRPr="00DA5DEA">
        <w:rPr>
          <w:rFonts w:ascii="Arial" w:hAnsi="Arial" w:cs="Arial"/>
          <w:sz w:val="22"/>
          <w:szCs w:val="22"/>
        </w:rPr>
        <w:t xml:space="preserve"> weeks, </w:t>
      </w:r>
      <w:r>
        <w:rPr>
          <w:rFonts w:ascii="Arial" w:hAnsi="Arial" w:cs="Arial"/>
          <w:sz w:val="22"/>
          <w:szCs w:val="22"/>
        </w:rPr>
        <w:t xml:space="preserve">often </w:t>
      </w:r>
      <w:r w:rsidRPr="00DA5DEA">
        <w:rPr>
          <w:rFonts w:ascii="Arial" w:hAnsi="Arial" w:cs="Arial"/>
          <w:sz w:val="22"/>
          <w:szCs w:val="22"/>
        </w:rPr>
        <w:t>well within projected delays of elective surgical procedures</w:t>
      </w:r>
      <w:r>
        <w:rPr>
          <w:rFonts w:ascii="Arial" w:hAnsi="Arial" w:cs="Arial"/>
          <w:sz w:val="22"/>
          <w:szCs w:val="22"/>
        </w:rPr>
        <w:t>, and more advanced disease at the time of surgery may result in increasingly morbid operations associated with higher costs.</w:t>
      </w:r>
      <w:r w:rsidR="00FB167B">
        <w:rPr>
          <w:rFonts w:ascii="ZWAdobeF" w:hAnsi="ZWAdobeF" w:cs="ZWAdobeF"/>
          <w:sz w:val="2"/>
          <w:szCs w:val="2"/>
        </w:rPr>
        <w:t>77F</w:t>
      </w:r>
      <w:r>
        <w:rPr>
          <w:rStyle w:val="FootnoteReference"/>
          <w:rFonts w:ascii="Arial" w:hAnsi="Arial" w:cs="Arial"/>
          <w:sz w:val="22"/>
          <w:szCs w:val="22"/>
        </w:rPr>
        <w:footnoteReference w:id="78"/>
      </w:r>
      <w:r>
        <w:rPr>
          <w:rFonts w:ascii="Arial" w:hAnsi="Arial" w:cs="Arial"/>
          <w:sz w:val="22"/>
          <w:szCs w:val="22"/>
        </w:rPr>
        <w:t xml:space="preserve"> Even the deferral of procedures traditionally considered low-acuity, such as </w:t>
      </w:r>
      <w:r w:rsidRPr="00C95D89">
        <w:rPr>
          <w:rFonts w:ascii="Arial" w:hAnsi="Arial" w:cs="Arial"/>
          <w:sz w:val="22"/>
          <w:szCs w:val="22"/>
        </w:rPr>
        <w:t>cataract surgery, joint replacements, or bariatric cases</w:t>
      </w:r>
      <w:r>
        <w:rPr>
          <w:rFonts w:ascii="Arial" w:hAnsi="Arial" w:cs="Arial"/>
          <w:sz w:val="22"/>
          <w:szCs w:val="22"/>
        </w:rPr>
        <w:t xml:space="preserve">, have material implications through </w:t>
      </w:r>
      <w:r w:rsidRPr="00C95D89">
        <w:rPr>
          <w:rFonts w:ascii="Arial" w:hAnsi="Arial" w:cs="Arial"/>
          <w:sz w:val="22"/>
          <w:szCs w:val="22"/>
        </w:rPr>
        <w:t>reduced activity, mobility, and quality of life for patients</w:t>
      </w:r>
      <w:r>
        <w:rPr>
          <w:rFonts w:ascii="Arial" w:hAnsi="Arial" w:cs="Arial"/>
          <w:sz w:val="22"/>
          <w:szCs w:val="22"/>
        </w:rPr>
        <w:t>.</w:t>
      </w:r>
      <w:r w:rsidR="00FB167B">
        <w:rPr>
          <w:rFonts w:ascii="ZWAdobeF" w:hAnsi="ZWAdobeF" w:cs="ZWAdobeF"/>
          <w:sz w:val="2"/>
          <w:szCs w:val="2"/>
        </w:rPr>
        <w:t>78F</w:t>
      </w:r>
      <w:r>
        <w:rPr>
          <w:rStyle w:val="FootnoteReference"/>
          <w:rFonts w:ascii="Arial" w:hAnsi="Arial" w:cs="Arial"/>
          <w:sz w:val="22"/>
          <w:szCs w:val="22"/>
        </w:rPr>
        <w:footnoteReference w:id="79"/>
      </w:r>
      <w:r w:rsidR="00342F3B">
        <w:rPr>
          <w:rFonts w:ascii="Arial" w:hAnsi="Arial" w:cs="Arial"/>
          <w:sz w:val="22"/>
          <w:szCs w:val="22"/>
        </w:rPr>
        <w:t xml:space="preserve"> </w:t>
      </w:r>
    </w:p>
    <w:p w14:paraId="0BCCA287" w14:textId="77777777" w:rsidR="00342F3B" w:rsidRDefault="00342F3B" w:rsidP="00FE192D">
      <w:pPr>
        <w:pStyle w:val="NormalWeb"/>
        <w:spacing w:before="0" w:beforeAutospacing="0" w:after="0" w:afterAutospacing="0"/>
        <w:jc w:val="both"/>
        <w:rPr>
          <w:rFonts w:ascii="Arial" w:hAnsi="Arial" w:cs="Arial"/>
          <w:sz w:val="22"/>
          <w:szCs w:val="22"/>
        </w:rPr>
      </w:pPr>
    </w:p>
    <w:p w14:paraId="58C18842" w14:textId="1436530E" w:rsidR="00342F3B" w:rsidRPr="00342F3B" w:rsidRDefault="00342F3B" w:rsidP="00342F3B">
      <w:pPr>
        <w:pStyle w:val="NormalWeb"/>
        <w:spacing w:before="0" w:beforeAutospacing="0" w:after="0" w:afterAutospacing="0"/>
        <w:jc w:val="both"/>
        <w:rPr>
          <w:rFonts w:ascii="Arial" w:hAnsi="Arial" w:cs="Arial"/>
          <w:sz w:val="22"/>
          <w:szCs w:val="22"/>
        </w:rPr>
      </w:pPr>
      <w:r>
        <w:rPr>
          <w:rFonts w:ascii="Arial" w:hAnsi="Arial" w:cs="Arial"/>
          <w:sz w:val="22"/>
          <w:szCs w:val="22"/>
        </w:rPr>
        <w:t>Moreover, certain socioeconomic groups are already disadvantaged with regard to receipt of timely surgical treatment, and delays exacerbate the challenges these vulnerable groups face.</w:t>
      </w:r>
      <w:r w:rsidR="00FB167B">
        <w:rPr>
          <w:rFonts w:ascii="ZWAdobeF" w:hAnsi="ZWAdobeF" w:cs="ZWAdobeF"/>
          <w:sz w:val="2"/>
          <w:szCs w:val="2"/>
        </w:rPr>
        <w:t>79F</w:t>
      </w:r>
      <w:r w:rsidR="000E2633">
        <w:rPr>
          <w:rStyle w:val="FootnoteReference"/>
          <w:rFonts w:ascii="Arial" w:hAnsi="Arial" w:cs="Arial"/>
          <w:sz w:val="22"/>
          <w:szCs w:val="22"/>
        </w:rPr>
        <w:footnoteReference w:id="80"/>
      </w:r>
      <w:r>
        <w:rPr>
          <w:rFonts w:ascii="Arial" w:hAnsi="Arial" w:cs="Arial"/>
          <w:sz w:val="22"/>
          <w:szCs w:val="22"/>
        </w:rPr>
        <w:t xml:space="preserve"> Many </w:t>
      </w:r>
      <w:r w:rsidRPr="000E2633">
        <w:rPr>
          <w:rFonts w:ascii="Arial" w:hAnsi="Arial" w:cs="Arial"/>
          <w:sz w:val="22"/>
          <w:szCs w:val="22"/>
        </w:rPr>
        <w:t>patients struggle to find time off work, secure childcare, and obtain transportation to and from the hospital.</w:t>
      </w:r>
      <w:r w:rsidR="00FB167B">
        <w:rPr>
          <w:rFonts w:ascii="ZWAdobeF" w:hAnsi="ZWAdobeF" w:cs="ZWAdobeF"/>
          <w:sz w:val="2"/>
          <w:szCs w:val="2"/>
        </w:rPr>
        <w:t>80F</w:t>
      </w:r>
      <w:r w:rsidR="000E2633">
        <w:rPr>
          <w:rStyle w:val="FootnoteReference"/>
          <w:rFonts w:ascii="Arial" w:hAnsi="Arial" w:cs="Arial"/>
          <w:sz w:val="22"/>
          <w:szCs w:val="22"/>
        </w:rPr>
        <w:footnoteReference w:id="81"/>
      </w:r>
      <w:r w:rsidRPr="000E2633">
        <w:rPr>
          <w:rFonts w:ascii="Arial" w:hAnsi="Arial" w:cs="Arial"/>
          <w:sz w:val="22"/>
          <w:szCs w:val="22"/>
        </w:rPr>
        <w:t xml:space="preserve"> Delays </w:t>
      </w:r>
      <w:r w:rsidR="000E2633" w:rsidRPr="000E2633">
        <w:rPr>
          <w:rFonts w:ascii="Arial" w:hAnsi="Arial" w:cs="Arial"/>
          <w:sz w:val="22"/>
          <w:szCs w:val="22"/>
        </w:rPr>
        <w:t>result in</w:t>
      </w:r>
      <w:r w:rsidRPr="000E2633">
        <w:rPr>
          <w:rFonts w:ascii="Arial" w:hAnsi="Arial" w:cs="Arial"/>
          <w:sz w:val="22"/>
          <w:szCs w:val="22"/>
        </w:rPr>
        <w:t xml:space="preserve"> </w:t>
      </w:r>
      <w:r w:rsidR="000E2633" w:rsidRPr="000E2633">
        <w:rPr>
          <w:rFonts w:ascii="Arial" w:hAnsi="Arial" w:cs="Arial"/>
          <w:sz w:val="22"/>
          <w:szCs w:val="22"/>
        </w:rPr>
        <w:t>these</w:t>
      </w:r>
      <w:r w:rsidRPr="000E2633">
        <w:rPr>
          <w:rFonts w:ascii="Arial" w:hAnsi="Arial" w:cs="Arial"/>
          <w:sz w:val="22"/>
          <w:szCs w:val="22"/>
        </w:rPr>
        <w:t xml:space="preserve"> at-risk patients be</w:t>
      </w:r>
      <w:r w:rsidR="000E2633" w:rsidRPr="000E2633">
        <w:rPr>
          <w:rFonts w:ascii="Arial" w:hAnsi="Arial" w:cs="Arial"/>
          <w:sz w:val="22"/>
          <w:szCs w:val="22"/>
        </w:rPr>
        <w:t>ing</w:t>
      </w:r>
      <w:r w:rsidRPr="000E2633">
        <w:rPr>
          <w:rFonts w:ascii="Arial" w:hAnsi="Arial" w:cs="Arial"/>
          <w:sz w:val="22"/>
          <w:szCs w:val="22"/>
        </w:rPr>
        <w:t xml:space="preserve"> more difficult to reach</w:t>
      </w:r>
      <w:r w:rsidR="000E2633" w:rsidRPr="000E2633">
        <w:rPr>
          <w:rFonts w:ascii="Arial" w:hAnsi="Arial" w:cs="Arial"/>
          <w:sz w:val="22"/>
          <w:szCs w:val="22"/>
        </w:rPr>
        <w:t xml:space="preserve"> and facing more </w:t>
      </w:r>
      <w:r w:rsidRPr="000E2633">
        <w:rPr>
          <w:rFonts w:ascii="Arial" w:hAnsi="Arial" w:cs="Arial"/>
          <w:sz w:val="22"/>
          <w:szCs w:val="22"/>
        </w:rPr>
        <w:t>challenges in advocating for themselves</w:t>
      </w:r>
      <w:r w:rsidR="000E2633" w:rsidRPr="000E2633">
        <w:rPr>
          <w:rFonts w:ascii="Arial" w:hAnsi="Arial" w:cs="Arial"/>
          <w:sz w:val="22"/>
          <w:szCs w:val="22"/>
        </w:rPr>
        <w:t>, and ultimately have a negative impact on equitable access to surgical care.</w:t>
      </w:r>
      <w:r w:rsidR="00FB167B">
        <w:rPr>
          <w:rFonts w:ascii="ZWAdobeF" w:hAnsi="ZWAdobeF" w:cs="ZWAdobeF"/>
          <w:sz w:val="2"/>
          <w:szCs w:val="2"/>
        </w:rPr>
        <w:t>81F</w:t>
      </w:r>
      <w:r w:rsidR="000E2633">
        <w:rPr>
          <w:rStyle w:val="FootnoteReference"/>
          <w:rFonts w:ascii="Arial" w:hAnsi="Arial" w:cs="Arial"/>
          <w:sz w:val="22"/>
          <w:szCs w:val="22"/>
        </w:rPr>
        <w:footnoteReference w:id="82"/>
      </w:r>
      <w:r w:rsidRPr="000E2633">
        <w:rPr>
          <w:rFonts w:ascii="Arial" w:hAnsi="Arial" w:cs="Arial"/>
          <w:sz w:val="22"/>
          <w:szCs w:val="22"/>
        </w:rPr>
        <w:t xml:space="preserve"> </w:t>
      </w:r>
      <w:r w:rsidR="000E2633" w:rsidRPr="000E2633">
        <w:rPr>
          <w:rFonts w:ascii="Arial" w:hAnsi="Arial" w:cs="Arial"/>
          <w:sz w:val="22"/>
          <w:szCs w:val="22"/>
        </w:rPr>
        <w:t xml:space="preserve">These consequences are particularly significant with regard to BMC, which </w:t>
      </w:r>
      <w:r w:rsidR="002B03F3">
        <w:rPr>
          <w:rFonts w:ascii="Arial" w:hAnsi="Arial" w:cs="Arial"/>
          <w:sz w:val="22"/>
          <w:szCs w:val="22"/>
        </w:rPr>
        <w:t xml:space="preserve">is </w:t>
      </w:r>
      <w:r w:rsidR="000E2633">
        <w:rPr>
          <w:rFonts w:ascii="Arial" w:hAnsi="Arial" w:cs="Arial"/>
          <w:sz w:val="22"/>
          <w:szCs w:val="22"/>
        </w:rPr>
        <w:t>New England’s largest safety net hospital</w:t>
      </w:r>
      <w:r w:rsidR="002B03F3">
        <w:rPr>
          <w:rFonts w:ascii="Arial" w:hAnsi="Arial" w:cs="Arial"/>
          <w:sz w:val="22"/>
          <w:szCs w:val="22"/>
        </w:rPr>
        <w:t xml:space="preserve"> and </w:t>
      </w:r>
      <w:r w:rsidR="000E2633">
        <w:rPr>
          <w:rFonts w:ascii="Arial" w:hAnsi="Arial" w:cs="Arial"/>
          <w:sz w:val="22"/>
          <w:szCs w:val="22"/>
        </w:rPr>
        <w:t xml:space="preserve">serves the area’s </w:t>
      </w:r>
      <w:r w:rsidR="000E2633" w:rsidRPr="00876F4C">
        <w:rPr>
          <w:rFonts w:ascii="Arial" w:hAnsi="Arial" w:cs="Arial"/>
          <w:sz w:val="22"/>
          <w:szCs w:val="22"/>
        </w:rPr>
        <w:t>most vulnerable patient population</w:t>
      </w:r>
      <w:r w:rsidR="000E2633">
        <w:rPr>
          <w:rFonts w:ascii="Arial" w:hAnsi="Arial" w:cs="Arial"/>
          <w:sz w:val="22"/>
          <w:szCs w:val="22"/>
        </w:rPr>
        <w:t>.</w:t>
      </w:r>
    </w:p>
    <w:p w14:paraId="7477CBA7" w14:textId="32CCB71C" w:rsidR="004B2B2D" w:rsidRDefault="004B2B2D" w:rsidP="00D06416">
      <w:pPr>
        <w:pStyle w:val="NormalWeb"/>
        <w:spacing w:before="0" w:beforeAutospacing="0" w:after="0" w:afterAutospacing="0"/>
        <w:jc w:val="both"/>
        <w:rPr>
          <w:rFonts w:ascii="Arial" w:hAnsi="Arial" w:cs="Arial"/>
          <w:sz w:val="22"/>
          <w:szCs w:val="22"/>
        </w:rPr>
      </w:pPr>
    </w:p>
    <w:p w14:paraId="7299874F" w14:textId="63D93877" w:rsidR="004B2B2D" w:rsidRDefault="004B2B2D" w:rsidP="00D06416">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In consideration of these impacts, and the fact that BMC’s </w:t>
      </w:r>
      <w:r w:rsidRPr="00843DC9">
        <w:rPr>
          <w:rFonts w:ascii="Arial" w:hAnsi="Arial" w:cs="Arial"/>
          <w:sz w:val="22"/>
          <w:szCs w:val="22"/>
        </w:rPr>
        <w:t>inpatient ORs are</w:t>
      </w:r>
      <w:r>
        <w:rPr>
          <w:rFonts w:ascii="Arial" w:hAnsi="Arial" w:cs="Arial"/>
          <w:sz w:val="22"/>
          <w:szCs w:val="22"/>
        </w:rPr>
        <w:t xml:space="preserve"> already</w:t>
      </w:r>
      <w:r w:rsidRPr="00843DC9">
        <w:rPr>
          <w:rFonts w:ascii="Arial" w:hAnsi="Arial" w:cs="Arial"/>
          <w:sz w:val="22"/>
          <w:szCs w:val="22"/>
        </w:rPr>
        <w:t xml:space="preserve"> operating </w:t>
      </w:r>
      <w:r>
        <w:rPr>
          <w:rFonts w:ascii="Arial" w:hAnsi="Arial" w:cs="Arial"/>
          <w:sz w:val="22"/>
          <w:szCs w:val="22"/>
        </w:rPr>
        <w:t xml:space="preserve">at/above benchmark capacity, </w:t>
      </w:r>
      <w:r w:rsidRPr="0058289A">
        <w:rPr>
          <w:rFonts w:ascii="Arial" w:hAnsi="Arial" w:cs="Arial"/>
          <w:sz w:val="22"/>
          <w:szCs w:val="22"/>
        </w:rPr>
        <w:t xml:space="preserve">the Applicant proposes </w:t>
      </w:r>
      <w:r>
        <w:rPr>
          <w:rFonts w:ascii="Arial" w:hAnsi="Arial" w:cs="Arial"/>
          <w:sz w:val="22"/>
          <w:szCs w:val="22"/>
        </w:rPr>
        <w:t>implementation of the Proposed Project.</w:t>
      </w:r>
    </w:p>
    <w:p w14:paraId="5ACF5C90" w14:textId="19D653DC" w:rsidR="005C5911" w:rsidRDefault="005C5911" w:rsidP="00E24D42">
      <w:pPr>
        <w:pStyle w:val="NormalWeb"/>
        <w:spacing w:before="0" w:beforeAutospacing="0" w:after="0" w:afterAutospacing="0"/>
        <w:jc w:val="both"/>
        <w:rPr>
          <w:rFonts w:ascii="Arial" w:hAnsi="Arial" w:cs="Arial"/>
          <w:sz w:val="22"/>
          <w:szCs w:val="22"/>
          <w:u w:val="single"/>
        </w:rPr>
      </w:pPr>
    </w:p>
    <w:p w14:paraId="3DA2C10A" w14:textId="568F4BF1" w:rsidR="001F5FD9" w:rsidRDefault="001F5FD9"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 xml:space="preserve">F1.b.ii </w:t>
      </w:r>
      <w:r>
        <w:rPr>
          <w:rStyle w:val="tabchar"/>
          <w:rFonts w:ascii="Calibri" w:hAnsi="Calibri" w:cs="Calibri"/>
          <w:sz w:val="22"/>
          <w:szCs w:val="22"/>
        </w:rPr>
        <w:tab/>
      </w:r>
      <w:r>
        <w:rPr>
          <w:rStyle w:val="normaltextrun"/>
          <w:rFonts w:ascii="Arial" w:hAnsi="Arial" w:cs="Arial"/>
          <w:b/>
          <w:bCs/>
          <w:sz w:val="22"/>
          <w:szCs w:val="22"/>
          <w:u w:val="single"/>
        </w:rPr>
        <w:t>Public Health Value/Outcome-Oriented</w:t>
      </w:r>
      <w:r>
        <w:rPr>
          <w:rStyle w:val="normaltextrun"/>
          <w:rFonts w:ascii="Arial" w:hAnsi="Arial" w:cs="Arial"/>
          <w:b/>
          <w:bCs/>
          <w:sz w:val="22"/>
          <w:szCs w:val="22"/>
        </w:rPr>
        <w:t>:</w:t>
      </w:r>
      <w:r>
        <w:rPr>
          <w:rStyle w:val="eop"/>
          <w:rFonts w:ascii="Arial" w:hAnsi="Arial" w:cs="Arial"/>
          <w:sz w:val="22"/>
          <w:szCs w:val="22"/>
        </w:rPr>
        <w:t> </w:t>
      </w:r>
    </w:p>
    <w:p w14:paraId="2ECD2F7F" w14:textId="323C3885" w:rsidR="001F5FD9" w:rsidRPr="001F5FD9" w:rsidRDefault="001F5FD9" w:rsidP="009A7F8F">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Pr>
          <w:rStyle w:val="eop"/>
          <w:rFonts w:ascii="Arial" w:hAnsi="Arial" w:cs="Arial"/>
          <w:sz w:val="22"/>
          <w:szCs w:val="22"/>
        </w:rPr>
        <w:t> </w:t>
      </w:r>
    </w:p>
    <w:p w14:paraId="7942774C" w14:textId="207CA3A4" w:rsidR="001F5FD9" w:rsidRDefault="001F5FD9" w:rsidP="00E24D42">
      <w:pPr>
        <w:pStyle w:val="NormalWeb"/>
        <w:spacing w:before="0" w:beforeAutospacing="0" w:after="0" w:afterAutospacing="0"/>
        <w:jc w:val="both"/>
        <w:rPr>
          <w:rFonts w:ascii="Arial" w:hAnsi="Arial" w:cs="Arial"/>
          <w:sz w:val="22"/>
          <w:szCs w:val="22"/>
          <w:u w:val="single"/>
        </w:rPr>
      </w:pPr>
    </w:p>
    <w:p w14:paraId="546D5B48" w14:textId="6D990B36" w:rsidR="00105849" w:rsidRDefault="00105849" w:rsidP="00105849">
      <w:pPr>
        <w:jc w:val="both"/>
        <w:rPr>
          <w:rStyle w:val="normaltextrun"/>
          <w:rFonts w:ascii="Arial" w:hAnsi="Arial" w:cs="Arial"/>
          <w:sz w:val="22"/>
          <w:szCs w:val="22"/>
        </w:rPr>
      </w:pPr>
      <w:r>
        <w:rPr>
          <w:rStyle w:val="normaltextrun"/>
          <w:rFonts w:ascii="Arial" w:hAnsi="Arial" w:cs="Arial"/>
          <w:sz w:val="22"/>
          <w:szCs w:val="22"/>
        </w:rPr>
        <w:t xml:space="preserve">To assess the impact of the Proposed Project, the Applicant has developed the following outcome measures. </w:t>
      </w:r>
      <w:r w:rsidRPr="00105849">
        <w:rPr>
          <w:rStyle w:val="normaltextrun"/>
          <w:rFonts w:ascii="Arial" w:hAnsi="Arial" w:cs="Arial"/>
          <w:sz w:val="22"/>
          <w:szCs w:val="22"/>
        </w:rPr>
        <w:t xml:space="preserve">The Applicant will report this </w:t>
      </w:r>
      <w:r w:rsidR="00BD44B6">
        <w:rPr>
          <w:rStyle w:val="normaltextrun"/>
          <w:rFonts w:ascii="Arial" w:hAnsi="Arial" w:cs="Arial"/>
          <w:sz w:val="22"/>
          <w:szCs w:val="22"/>
        </w:rPr>
        <w:t>information</w:t>
      </w:r>
      <w:r w:rsidR="00BD44B6" w:rsidRPr="00105849">
        <w:rPr>
          <w:rStyle w:val="normaltextrun"/>
          <w:rFonts w:ascii="Arial" w:hAnsi="Arial" w:cs="Arial"/>
          <w:sz w:val="22"/>
          <w:szCs w:val="22"/>
        </w:rPr>
        <w:t xml:space="preserve"> </w:t>
      </w:r>
      <w:r w:rsidRPr="00105849">
        <w:rPr>
          <w:rStyle w:val="normaltextrun"/>
          <w:rFonts w:ascii="Arial" w:hAnsi="Arial" w:cs="Arial"/>
          <w:sz w:val="22"/>
          <w:szCs w:val="22"/>
        </w:rPr>
        <w:t xml:space="preserve">to </w:t>
      </w:r>
      <w:r w:rsidR="004D0B30">
        <w:rPr>
          <w:rStyle w:val="normaltextrun"/>
          <w:rFonts w:ascii="Arial" w:hAnsi="Arial" w:cs="Arial"/>
          <w:sz w:val="22"/>
          <w:szCs w:val="22"/>
        </w:rPr>
        <w:t xml:space="preserve">the Department’s DoN Program staff as part of its annual report required by 105 CMR 100.310(A)(12) </w:t>
      </w:r>
      <w:r w:rsidRPr="00105849">
        <w:rPr>
          <w:rStyle w:val="normaltextrun"/>
          <w:rFonts w:ascii="Arial" w:hAnsi="Arial" w:cs="Arial"/>
          <w:sz w:val="22"/>
          <w:szCs w:val="22"/>
        </w:rPr>
        <w:t>following implementation of the Proposed Project.</w:t>
      </w:r>
    </w:p>
    <w:p w14:paraId="689E913C" w14:textId="26368FA7" w:rsidR="00105849" w:rsidRDefault="00105849" w:rsidP="00E24D42">
      <w:pPr>
        <w:pStyle w:val="NormalWeb"/>
        <w:spacing w:before="0" w:beforeAutospacing="0" w:after="0" w:afterAutospacing="0"/>
        <w:jc w:val="both"/>
        <w:rPr>
          <w:rFonts w:ascii="Arial" w:hAnsi="Arial" w:cs="Arial"/>
          <w:sz w:val="22"/>
          <w:szCs w:val="22"/>
          <w:u w:val="single"/>
        </w:rPr>
      </w:pPr>
    </w:p>
    <w:p w14:paraId="38063170" w14:textId="4CD2B255" w:rsidR="004D0B30" w:rsidRPr="004D0B30" w:rsidRDefault="004D0B30" w:rsidP="004D0B30">
      <w:pPr>
        <w:pStyle w:val="ListParagraph"/>
        <w:numPr>
          <w:ilvl w:val="0"/>
          <w:numId w:val="14"/>
        </w:numPr>
        <w:jc w:val="both"/>
        <w:rPr>
          <w:rStyle w:val="normaltextrun"/>
          <w:rFonts w:ascii="Arial" w:hAnsi="Arial" w:cs="Arial"/>
          <w:sz w:val="22"/>
          <w:szCs w:val="22"/>
        </w:rPr>
      </w:pPr>
      <w:r w:rsidRPr="004D0B30">
        <w:rPr>
          <w:rStyle w:val="normaltextrun"/>
          <w:rFonts w:ascii="Arial" w:hAnsi="Arial" w:cs="Arial"/>
          <w:b/>
          <w:bCs/>
          <w:sz w:val="22"/>
          <w:szCs w:val="22"/>
        </w:rPr>
        <w:t xml:space="preserve">Patient Experience and Satisfaction: </w:t>
      </w:r>
      <w:r w:rsidRPr="004D0B30">
        <w:rPr>
          <w:rStyle w:val="normaltextrun"/>
          <w:rFonts w:ascii="Arial" w:hAnsi="Arial" w:cs="Arial"/>
          <w:sz w:val="22"/>
          <w:szCs w:val="22"/>
        </w:rPr>
        <w:t>Patients that have positive care experiences are more likely to seek additional treatment when necessary. BMC collects patient experience and satisfaction data via the Hospital Consumer Assessment of Healthcare Providers and Systems (“HCAHPS”) survey, which is administered to recently discharged inpatients</w:t>
      </w:r>
      <w:r w:rsidR="00F33C2A">
        <w:rPr>
          <w:rStyle w:val="normaltextrun"/>
          <w:rFonts w:ascii="Arial" w:hAnsi="Arial" w:cs="Arial"/>
          <w:sz w:val="22"/>
          <w:szCs w:val="22"/>
        </w:rPr>
        <w:t>. The HCAHPS survey</w:t>
      </w:r>
      <w:r w:rsidRPr="004D0B30">
        <w:rPr>
          <w:rStyle w:val="normaltextrun"/>
          <w:rFonts w:ascii="Arial" w:hAnsi="Arial" w:cs="Arial"/>
          <w:sz w:val="22"/>
          <w:szCs w:val="22"/>
        </w:rPr>
        <w:t xml:space="preserve"> focuses on aspects of the hospital experience that patients have said are important to them to have an optimal stay, including but not limited to communication with doctors and nurses, responsiveness of Hospital staff, and cleanliness and quietness of the Hospital environment. Additionally, the HCAHPS survey asks patients to provide an overall rating of the Hospital and whether they would recommend it to family and friends. Due to the increased inpatient </w:t>
      </w:r>
      <w:r>
        <w:rPr>
          <w:rStyle w:val="normaltextrun"/>
          <w:rFonts w:ascii="Arial" w:hAnsi="Arial" w:cs="Arial"/>
          <w:sz w:val="22"/>
          <w:szCs w:val="22"/>
        </w:rPr>
        <w:t xml:space="preserve">surgical and bed </w:t>
      </w:r>
      <w:r w:rsidRPr="004D0B30">
        <w:rPr>
          <w:rStyle w:val="normaltextrun"/>
          <w:rFonts w:ascii="Arial" w:hAnsi="Arial" w:cs="Arial"/>
          <w:sz w:val="22"/>
          <w:szCs w:val="22"/>
        </w:rPr>
        <w:t>capacity as well as the increased number of private medical/surgical and ICU rooms, the Applicant anticipates that inpatients will report favorably on the Hospital environment and that overall inpatient experience and satisfaction ratings will improve.</w:t>
      </w:r>
    </w:p>
    <w:p w14:paraId="0246FD95" w14:textId="77777777" w:rsidR="004D0B30" w:rsidRPr="004D0B30" w:rsidRDefault="004D0B30" w:rsidP="004D0B30">
      <w:pPr>
        <w:pStyle w:val="ListParagraph"/>
        <w:jc w:val="both"/>
        <w:rPr>
          <w:rFonts w:ascii="Arial" w:hAnsi="Arial" w:cs="Arial"/>
          <w:sz w:val="22"/>
          <w:szCs w:val="22"/>
        </w:rPr>
      </w:pPr>
    </w:p>
    <w:p w14:paraId="2CB0A129" w14:textId="4A1033FB" w:rsidR="004D0B30" w:rsidRPr="004D0B30" w:rsidRDefault="004D0B30" w:rsidP="0005508C">
      <w:pPr>
        <w:pStyle w:val="ListParagraph"/>
        <w:ind w:left="1080"/>
        <w:jc w:val="both"/>
        <w:rPr>
          <w:rStyle w:val="eop"/>
          <w:rFonts w:ascii="Arial" w:hAnsi="Arial" w:cs="Arial"/>
          <w:sz w:val="22"/>
          <w:szCs w:val="22"/>
        </w:rPr>
      </w:pPr>
      <w:r w:rsidRPr="004D0B30">
        <w:rPr>
          <w:rStyle w:val="normaltextrun"/>
          <w:rFonts w:ascii="Arial" w:hAnsi="Arial" w:cs="Arial"/>
          <w:b/>
          <w:bCs/>
          <w:sz w:val="22"/>
          <w:szCs w:val="22"/>
        </w:rPr>
        <w:t>Measure:</w:t>
      </w:r>
      <w:r w:rsidRPr="004D0B30">
        <w:rPr>
          <w:rStyle w:val="normaltextrun"/>
          <w:rFonts w:ascii="Arial" w:hAnsi="Arial" w:cs="Arial"/>
          <w:sz w:val="22"/>
          <w:szCs w:val="22"/>
        </w:rPr>
        <w:t xml:space="preserve"> The Applicant will collect and provide data from the HCAHPS survey specific to the Hospital environment as well as overall rating and likelihood to recommend.</w:t>
      </w:r>
      <w:r w:rsidRPr="004D0B30">
        <w:rPr>
          <w:rStyle w:val="eop"/>
          <w:rFonts w:ascii="Arial" w:hAnsi="Arial" w:cs="Arial"/>
          <w:sz w:val="22"/>
          <w:szCs w:val="22"/>
        </w:rPr>
        <w:t> </w:t>
      </w:r>
    </w:p>
    <w:p w14:paraId="71B0A1DF" w14:textId="77777777" w:rsidR="004D0B30" w:rsidRPr="004D0B30" w:rsidRDefault="004D0B30" w:rsidP="004D0B30">
      <w:pPr>
        <w:pStyle w:val="ListParagraph"/>
        <w:jc w:val="both"/>
        <w:rPr>
          <w:rFonts w:ascii="Arial" w:hAnsi="Arial" w:cs="Arial"/>
          <w:sz w:val="22"/>
          <w:szCs w:val="22"/>
        </w:rPr>
      </w:pPr>
    </w:p>
    <w:p w14:paraId="2D1F5890" w14:textId="06422AD1" w:rsidR="004D0B30" w:rsidRPr="004D0B30" w:rsidRDefault="004D0B30" w:rsidP="0005508C">
      <w:pPr>
        <w:ind w:left="1080"/>
        <w:jc w:val="both"/>
        <w:rPr>
          <w:rFonts w:ascii="Arial" w:hAnsi="Arial" w:cs="Arial"/>
          <w:sz w:val="22"/>
          <w:szCs w:val="22"/>
        </w:rPr>
      </w:pPr>
      <w:r w:rsidRPr="004D0B30">
        <w:rPr>
          <w:rStyle w:val="normaltextrun"/>
          <w:rFonts w:ascii="Arial" w:hAnsi="Arial" w:cs="Arial"/>
          <w:b/>
          <w:bCs/>
          <w:sz w:val="22"/>
          <w:szCs w:val="22"/>
        </w:rPr>
        <w:t>Projections</w:t>
      </w:r>
      <w:r w:rsidRPr="004D0B30">
        <w:rPr>
          <w:rFonts w:ascii="Arial" w:hAnsi="Arial" w:cs="Arial"/>
          <w:b/>
          <w:bCs/>
          <w:sz w:val="22"/>
          <w:szCs w:val="22"/>
        </w:rPr>
        <w:t>:</w:t>
      </w:r>
      <w:r w:rsidRPr="004D0B30">
        <w:rPr>
          <w:rFonts w:ascii="Arial" w:hAnsi="Arial" w:cs="Arial"/>
          <w:sz w:val="22"/>
          <w:szCs w:val="22"/>
        </w:rPr>
        <w:t xml:space="preserve"> </w:t>
      </w:r>
      <w:r w:rsidR="007D55CF">
        <w:rPr>
          <w:rFonts w:ascii="Arial" w:hAnsi="Arial" w:cs="Arial"/>
          <w:sz w:val="22"/>
          <w:szCs w:val="22"/>
        </w:rPr>
        <w:t>Given that</w:t>
      </w:r>
      <w:r w:rsidR="007D55CF" w:rsidRPr="004D0B30">
        <w:rPr>
          <w:rFonts w:ascii="Arial" w:hAnsi="Arial" w:cs="Arial"/>
          <w:sz w:val="22"/>
          <w:szCs w:val="22"/>
        </w:rPr>
        <w:t xml:space="preserve"> the Proposed Project will not be implemented for several years, the Applicant will provide baseline measures and three years of projections one year following implementation of the Proposed Project</w:t>
      </w:r>
      <w:r w:rsidRPr="004D0B30">
        <w:rPr>
          <w:rFonts w:ascii="Arial" w:hAnsi="Arial" w:cs="Arial"/>
          <w:sz w:val="22"/>
          <w:szCs w:val="22"/>
        </w:rPr>
        <w:t xml:space="preserve">. </w:t>
      </w:r>
    </w:p>
    <w:p w14:paraId="201F73F8" w14:textId="77777777" w:rsidR="004D0B30" w:rsidRPr="004D0B30" w:rsidRDefault="004D0B30" w:rsidP="004D0B30">
      <w:pPr>
        <w:pStyle w:val="ListParagraph"/>
        <w:jc w:val="both"/>
        <w:rPr>
          <w:rFonts w:ascii="Arial" w:hAnsi="Arial" w:cs="Arial"/>
          <w:sz w:val="22"/>
          <w:szCs w:val="22"/>
        </w:rPr>
      </w:pPr>
    </w:p>
    <w:p w14:paraId="15127541" w14:textId="6462E8D5" w:rsidR="0005508C" w:rsidRPr="0005508C" w:rsidRDefault="0005508C" w:rsidP="0005508C">
      <w:pPr>
        <w:pStyle w:val="NormalWeb"/>
        <w:numPr>
          <w:ilvl w:val="0"/>
          <w:numId w:val="14"/>
        </w:numPr>
        <w:spacing w:before="0" w:beforeAutospacing="0" w:after="0" w:afterAutospacing="0"/>
        <w:jc w:val="both"/>
        <w:rPr>
          <w:rFonts w:ascii="Arial" w:hAnsi="Arial" w:cs="Arial"/>
          <w:b/>
          <w:bCs/>
          <w:sz w:val="22"/>
          <w:szCs w:val="22"/>
        </w:rPr>
      </w:pPr>
      <w:r w:rsidRPr="0005508C">
        <w:rPr>
          <w:rFonts w:ascii="Arial" w:hAnsi="Arial" w:cs="Arial"/>
          <w:b/>
          <w:bCs/>
          <w:sz w:val="22"/>
          <w:szCs w:val="22"/>
        </w:rPr>
        <w:t>ALOS in the ED:</w:t>
      </w:r>
      <w:r>
        <w:rPr>
          <w:rFonts w:ascii="Arial" w:hAnsi="Arial" w:cs="Arial"/>
          <w:b/>
          <w:bCs/>
          <w:sz w:val="22"/>
          <w:szCs w:val="22"/>
        </w:rPr>
        <w:t xml:space="preserve"> </w:t>
      </w:r>
      <w:r w:rsidRPr="0005508C">
        <w:rPr>
          <w:rStyle w:val="normaltextrun"/>
          <w:rFonts w:ascii="Arial" w:hAnsi="Arial" w:cs="Arial"/>
          <w:sz w:val="22"/>
          <w:szCs w:val="22"/>
        </w:rPr>
        <w:t>This measure reviews the amount of time a patient must wait in the ED for an inpatient bed prior to being admitted to BMC. Due to increased inpatient bed capacity, the Applicant anticipates that ALOS in the Hospital’s ED will be reduced. </w:t>
      </w:r>
      <w:r w:rsidRPr="0005508C">
        <w:rPr>
          <w:rStyle w:val="eop"/>
          <w:rFonts w:ascii="Arial" w:hAnsi="Arial" w:cs="Arial"/>
          <w:sz w:val="22"/>
          <w:szCs w:val="22"/>
        </w:rPr>
        <w:t> </w:t>
      </w:r>
    </w:p>
    <w:p w14:paraId="2400BDB2" w14:textId="4051D3B0" w:rsidR="0005508C" w:rsidRDefault="0005508C" w:rsidP="0005508C">
      <w:pPr>
        <w:pStyle w:val="NormalWeb"/>
        <w:spacing w:before="0" w:beforeAutospacing="0" w:after="0" w:afterAutospacing="0"/>
        <w:jc w:val="both"/>
        <w:rPr>
          <w:rFonts w:ascii="Arial" w:hAnsi="Arial" w:cs="Arial"/>
          <w:b/>
          <w:bCs/>
          <w:sz w:val="22"/>
          <w:szCs w:val="22"/>
        </w:rPr>
      </w:pPr>
    </w:p>
    <w:p w14:paraId="1DC9C7CA" w14:textId="4A6896D4" w:rsidR="0005508C" w:rsidRPr="004D0B30" w:rsidRDefault="0005508C" w:rsidP="0005508C">
      <w:pPr>
        <w:pStyle w:val="ListParagraph"/>
        <w:ind w:left="1080"/>
        <w:jc w:val="both"/>
        <w:rPr>
          <w:rStyle w:val="eop"/>
          <w:rFonts w:ascii="Arial" w:hAnsi="Arial" w:cs="Arial"/>
          <w:sz w:val="22"/>
          <w:szCs w:val="22"/>
        </w:rPr>
      </w:pPr>
      <w:r w:rsidRPr="004D0B30">
        <w:rPr>
          <w:rStyle w:val="normaltextrun"/>
          <w:rFonts w:ascii="Arial" w:hAnsi="Arial" w:cs="Arial"/>
          <w:b/>
          <w:bCs/>
          <w:sz w:val="22"/>
          <w:szCs w:val="22"/>
        </w:rPr>
        <w:t>Measure:</w:t>
      </w:r>
      <w:r w:rsidRPr="004D0B30">
        <w:rPr>
          <w:rStyle w:val="normaltextrun"/>
          <w:rFonts w:ascii="Arial" w:hAnsi="Arial" w:cs="Arial"/>
          <w:sz w:val="22"/>
          <w:szCs w:val="22"/>
        </w:rPr>
        <w:t xml:space="preserve"> </w:t>
      </w:r>
      <w:r w:rsidRPr="0005508C">
        <w:rPr>
          <w:rStyle w:val="normaltextrun"/>
          <w:rFonts w:ascii="Arial" w:hAnsi="Arial" w:cs="Arial"/>
          <w:sz w:val="22"/>
          <w:szCs w:val="22"/>
        </w:rPr>
        <w:t xml:space="preserve">This measure will collect and provide data based on the following calculation: the difference between the </w:t>
      </w:r>
      <w:r w:rsidR="00063458">
        <w:rPr>
          <w:rStyle w:val="normaltextrun"/>
          <w:rFonts w:ascii="Arial" w:hAnsi="Arial" w:cs="Arial"/>
          <w:sz w:val="22"/>
          <w:szCs w:val="22"/>
        </w:rPr>
        <w:t>a</w:t>
      </w:r>
      <w:r w:rsidRPr="0005508C">
        <w:rPr>
          <w:rStyle w:val="normaltextrun"/>
          <w:rFonts w:ascii="Arial" w:hAnsi="Arial" w:cs="Arial"/>
          <w:sz w:val="22"/>
          <w:szCs w:val="22"/>
        </w:rPr>
        <w:t xml:space="preserve">rrival </w:t>
      </w:r>
      <w:r w:rsidR="00063458">
        <w:rPr>
          <w:rStyle w:val="normaltextrun"/>
          <w:rFonts w:ascii="Arial" w:hAnsi="Arial" w:cs="Arial"/>
          <w:sz w:val="22"/>
          <w:szCs w:val="22"/>
        </w:rPr>
        <w:t>d</w:t>
      </w:r>
      <w:r w:rsidRPr="0005508C">
        <w:rPr>
          <w:rStyle w:val="normaltextrun"/>
          <w:rFonts w:ascii="Arial" w:hAnsi="Arial" w:cs="Arial"/>
          <w:sz w:val="22"/>
          <w:szCs w:val="22"/>
        </w:rPr>
        <w:t>ate/</w:t>
      </w:r>
      <w:r w:rsidR="00063458">
        <w:rPr>
          <w:rStyle w:val="normaltextrun"/>
          <w:rFonts w:ascii="Arial" w:hAnsi="Arial" w:cs="Arial"/>
          <w:sz w:val="22"/>
          <w:szCs w:val="22"/>
        </w:rPr>
        <w:t>t</w:t>
      </w:r>
      <w:r w:rsidRPr="0005508C">
        <w:rPr>
          <w:rStyle w:val="normaltextrun"/>
          <w:rFonts w:ascii="Arial" w:hAnsi="Arial" w:cs="Arial"/>
          <w:sz w:val="22"/>
          <w:szCs w:val="22"/>
        </w:rPr>
        <w:t xml:space="preserve">ime and the ED </w:t>
      </w:r>
      <w:r w:rsidR="00063458">
        <w:rPr>
          <w:rStyle w:val="normaltextrun"/>
          <w:rFonts w:ascii="Arial" w:hAnsi="Arial" w:cs="Arial"/>
          <w:sz w:val="22"/>
          <w:szCs w:val="22"/>
        </w:rPr>
        <w:t>d</w:t>
      </w:r>
      <w:r w:rsidRPr="0005508C">
        <w:rPr>
          <w:rStyle w:val="normaltextrun"/>
          <w:rFonts w:ascii="Arial" w:hAnsi="Arial" w:cs="Arial"/>
          <w:sz w:val="22"/>
          <w:szCs w:val="22"/>
        </w:rPr>
        <w:t xml:space="preserve">eparture </w:t>
      </w:r>
      <w:r w:rsidR="00063458">
        <w:rPr>
          <w:rStyle w:val="normaltextrun"/>
          <w:rFonts w:ascii="Arial" w:hAnsi="Arial" w:cs="Arial"/>
          <w:sz w:val="22"/>
          <w:szCs w:val="22"/>
        </w:rPr>
        <w:t>d</w:t>
      </w:r>
      <w:r w:rsidRPr="0005508C">
        <w:rPr>
          <w:rStyle w:val="normaltextrun"/>
          <w:rFonts w:ascii="Arial" w:hAnsi="Arial" w:cs="Arial"/>
          <w:sz w:val="22"/>
          <w:szCs w:val="22"/>
        </w:rPr>
        <w:t>ate/</w:t>
      </w:r>
      <w:r w:rsidR="00063458">
        <w:rPr>
          <w:rStyle w:val="normaltextrun"/>
          <w:rFonts w:ascii="Arial" w:hAnsi="Arial" w:cs="Arial"/>
          <w:sz w:val="22"/>
          <w:szCs w:val="22"/>
        </w:rPr>
        <w:t>t</w:t>
      </w:r>
      <w:r w:rsidRPr="0005508C">
        <w:rPr>
          <w:rStyle w:val="normaltextrun"/>
          <w:rFonts w:ascii="Arial" w:hAnsi="Arial" w:cs="Arial"/>
          <w:sz w:val="22"/>
          <w:szCs w:val="22"/>
        </w:rPr>
        <w:t>ime for all ED patients admitted to an inpatient bed</w:t>
      </w:r>
      <w:r>
        <w:rPr>
          <w:rStyle w:val="normaltextrun"/>
          <w:rFonts w:ascii="Arial" w:hAnsi="Arial" w:cs="Arial"/>
          <w:sz w:val="22"/>
          <w:szCs w:val="22"/>
        </w:rPr>
        <w:t>.</w:t>
      </w:r>
    </w:p>
    <w:p w14:paraId="61026068" w14:textId="77777777" w:rsidR="0005508C" w:rsidRPr="004D0B30" w:rsidRDefault="0005508C" w:rsidP="0005508C">
      <w:pPr>
        <w:pStyle w:val="ListParagraph"/>
        <w:jc w:val="both"/>
        <w:rPr>
          <w:rFonts w:ascii="Arial" w:hAnsi="Arial" w:cs="Arial"/>
          <w:sz w:val="22"/>
          <w:szCs w:val="22"/>
        </w:rPr>
      </w:pPr>
    </w:p>
    <w:p w14:paraId="33394F52" w14:textId="263B5B81" w:rsidR="0005508C" w:rsidRPr="004D0B30" w:rsidRDefault="0005508C" w:rsidP="0005508C">
      <w:pPr>
        <w:ind w:left="1080"/>
        <w:jc w:val="both"/>
        <w:rPr>
          <w:rFonts w:ascii="Arial" w:hAnsi="Arial" w:cs="Arial"/>
          <w:sz w:val="22"/>
          <w:szCs w:val="22"/>
        </w:rPr>
      </w:pPr>
      <w:r w:rsidRPr="004D0B30">
        <w:rPr>
          <w:rStyle w:val="normaltextrun"/>
          <w:rFonts w:ascii="Arial" w:hAnsi="Arial" w:cs="Arial"/>
          <w:b/>
          <w:bCs/>
          <w:sz w:val="22"/>
          <w:szCs w:val="22"/>
        </w:rPr>
        <w:t>Projections</w:t>
      </w:r>
      <w:r w:rsidRPr="004D0B30">
        <w:rPr>
          <w:rFonts w:ascii="Arial" w:hAnsi="Arial" w:cs="Arial"/>
          <w:b/>
          <w:bCs/>
          <w:sz w:val="22"/>
          <w:szCs w:val="22"/>
        </w:rPr>
        <w:t>:</w:t>
      </w:r>
      <w:r w:rsidRPr="004D0B30">
        <w:rPr>
          <w:rFonts w:ascii="Arial" w:hAnsi="Arial" w:cs="Arial"/>
          <w:sz w:val="22"/>
          <w:szCs w:val="22"/>
        </w:rPr>
        <w:t xml:space="preserve"> </w:t>
      </w:r>
      <w:r w:rsidR="007D55CF">
        <w:rPr>
          <w:rFonts w:ascii="Arial" w:hAnsi="Arial" w:cs="Arial"/>
          <w:sz w:val="22"/>
          <w:szCs w:val="22"/>
        </w:rPr>
        <w:t>Given that</w:t>
      </w:r>
      <w:r w:rsidR="007D55CF" w:rsidRPr="004D0B30">
        <w:rPr>
          <w:rFonts w:ascii="Arial" w:hAnsi="Arial" w:cs="Arial"/>
          <w:sz w:val="22"/>
          <w:szCs w:val="22"/>
        </w:rPr>
        <w:t xml:space="preserve"> the Proposed Project will not be implemented for several years, the Applicant will provide baseline measures and three years of projections one year following implementation of the Proposed Project</w:t>
      </w:r>
      <w:r w:rsidRPr="004D0B30">
        <w:rPr>
          <w:rFonts w:ascii="Arial" w:hAnsi="Arial" w:cs="Arial"/>
          <w:sz w:val="22"/>
          <w:szCs w:val="22"/>
        </w:rPr>
        <w:t xml:space="preserve">. </w:t>
      </w:r>
    </w:p>
    <w:p w14:paraId="1E32CC06" w14:textId="77777777" w:rsidR="0005508C" w:rsidRPr="001357B3" w:rsidRDefault="0005508C" w:rsidP="0005508C">
      <w:pPr>
        <w:pStyle w:val="NormalWeb"/>
        <w:spacing w:before="0" w:beforeAutospacing="0" w:after="0" w:afterAutospacing="0"/>
        <w:jc w:val="both"/>
        <w:rPr>
          <w:rFonts w:ascii="Arial" w:hAnsi="Arial" w:cs="Arial"/>
          <w:b/>
          <w:bCs/>
          <w:color w:val="000000" w:themeColor="text1"/>
          <w:sz w:val="22"/>
          <w:szCs w:val="22"/>
        </w:rPr>
      </w:pPr>
    </w:p>
    <w:p w14:paraId="1A6CA101" w14:textId="5F900DD0" w:rsidR="007D55CF" w:rsidRPr="001357B3" w:rsidRDefault="007D55CF" w:rsidP="001357B3">
      <w:pPr>
        <w:pStyle w:val="ListParagraph"/>
        <w:numPr>
          <w:ilvl w:val="0"/>
          <w:numId w:val="14"/>
        </w:numPr>
        <w:jc w:val="both"/>
        <w:rPr>
          <w:rStyle w:val="eop"/>
          <w:color w:val="000000" w:themeColor="text1"/>
        </w:rPr>
      </w:pPr>
      <w:r w:rsidRPr="001357B3">
        <w:rPr>
          <w:rFonts w:ascii="Arial" w:hAnsi="Arial" w:cs="Arial"/>
          <w:b/>
          <w:bCs/>
          <w:color w:val="000000" w:themeColor="text1"/>
          <w:sz w:val="22"/>
          <w:szCs w:val="22"/>
          <w:shd w:val="clear" w:color="auto" w:fill="FFFFFF"/>
        </w:rPr>
        <w:t>Hospital Acquired Pressure Injuries (“HAPI”)</w:t>
      </w:r>
      <w:r w:rsidRPr="001357B3">
        <w:rPr>
          <w:rFonts w:ascii="Arial" w:hAnsi="Arial" w:cs="Arial"/>
          <w:b/>
          <w:bCs/>
          <w:color w:val="000000" w:themeColor="text1"/>
          <w:sz w:val="22"/>
          <w:szCs w:val="22"/>
        </w:rPr>
        <w:t>:</w:t>
      </w:r>
      <w:r w:rsidR="003518FD" w:rsidRPr="001357B3">
        <w:rPr>
          <w:rFonts w:ascii="Arial" w:hAnsi="Arial" w:cs="Arial"/>
          <w:b/>
          <w:bCs/>
          <w:color w:val="000000" w:themeColor="text1"/>
          <w:sz w:val="22"/>
          <w:szCs w:val="22"/>
        </w:rPr>
        <w:t xml:space="preserve"> </w:t>
      </w:r>
      <w:r w:rsidR="003518FD" w:rsidRPr="001357B3">
        <w:rPr>
          <w:rFonts w:ascii="Arial" w:hAnsi="Arial" w:cs="Arial"/>
          <w:color w:val="000000" w:themeColor="text1"/>
          <w:sz w:val="22"/>
          <w:szCs w:val="22"/>
        </w:rPr>
        <w:t xml:space="preserve">The Applicant will review the incidence of HAPI across BMC’s inpatients. Given the proposed increase in inpatient capacity, the Applicant anticipates a reduction the incidence of HAPI </w:t>
      </w:r>
      <w:r w:rsidR="009D2A89" w:rsidRPr="001357B3">
        <w:rPr>
          <w:rFonts w:ascii="Arial" w:hAnsi="Arial" w:cs="Arial"/>
          <w:color w:val="000000" w:themeColor="text1"/>
          <w:sz w:val="22"/>
          <w:szCs w:val="22"/>
        </w:rPr>
        <w:t xml:space="preserve">due to </w:t>
      </w:r>
      <w:r w:rsidR="001357B3" w:rsidRPr="001357B3">
        <w:rPr>
          <w:rFonts w:ascii="Arial" w:hAnsi="Arial" w:cs="Arial"/>
          <w:color w:val="000000" w:themeColor="text1"/>
          <w:sz w:val="22"/>
          <w:szCs w:val="22"/>
        </w:rPr>
        <w:t xml:space="preserve">a reduction in ED </w:t>
      </w:r>
      <w:r w:rsidR="00B334F6">
        <w:rPr>
          <w:rFonts w:ascii="Arial" w:hAnsi="Arial" w:cs="Arial"/>
          <w:color w:val="000000" w:themeColor="text1"/>
          <w:sz w:val="22"/>
          <w:szCs w:val="22"/>
        </w:rPr>
        <w:t>A</w:t>
      </w:r>
      <w:r w:rsidR="001357B3" w:rsidRPr="001357B3">
        <w:rPr>
          <w:rFonts w:ascii="Arial" w:hAnsi="Arial" w:cs="Arial"/>
          <w:color w:val="000000" w:themeColor="text1"/>
          <w:sz w:val="22"/>
          <w:szCs w:val="22"/>
        </w:rPr>
        <w:t xml:space="preserve">LOS and an increase in </w:t>
      </w:r>
      <w:r w:rsidR="001357B3" w:rsidRPr="001357B3">
        <w:rPr>
          <w:rStyle w:val="normaltextrun"/>
          <w:rFonts w:ascii="Arial" w:hAnsi="Arial" w:cs="Arial"/>
          <w:color w:val="000000" w:themeColor="text1"/>
          <w:sz w:val="22"/>
          <w:szCs w:val="22"/>
        </w:rPr>
        <w:t>receipt of timely care in the appropriate setting.</w:t>
      </w:r>
    </w:p>
    <w:p w14:paraId="68DD2949" w14:textId="4B08EA7E" w:rsidR="009C6F4D" w:rsidRPr="001357B3" w:rsidRDefault="009C6F4D" w:rsidP="009C6F4D">
      <w:pPr>
        <w:jc w:val="both"/>
        <w:rPr>
          <w:color w:val="000000" w:themeColor="text1"/>
        </w:rPr>
      </w:pPr>
    </w:p>
    <w:p w14:paraId="5BCFA678" w14:textId="2DEA29B4" w:rsidR="003518FD" w:rsidRPr="00813698" w:rsidRDefault="003518FD" w:rsidP="003518FD">
      <w:pPr>
        <w:pStyle w:val="ListParagraph"/>
        <w:ind w:left="1080"/>
        <w:jc w:val="both"/>
        <w:rPr>
          <w:rStyle w:val="normaltextrun"/>
          <w:rFonts w:ascii="Arial" w:hAnsi="Arial" w:cs="Arial"/>
          <w:b/>
          <w:bCs/>
          <w:color w:val="000000" w:themeColor="text1"/>
          <w:sz w:val="22"/>
          <w:szCs w:val="22"/>
        </w:rPr>
      </w:pPr>
      <w:r w:rsidRPr="00813698">
        <w:rPr>
          <w:rStyle w:val="normaltextrun"/>
          <w:rFonts w:ascii="Arial" w:hAnsi="Arial" w:cs="Arial"/>
          <w:b/>
          <w:bCs/>
          <w:color w:val="000000" w:themeColor="text1"/>
          <w:sz w:val="22"/>
          <w:szCs w:val="22"/>
        </w:rPr>
        <w:t>Measure:</w:t>
      </w:r>
      <w:r w:rsidR="001357B3" w:rsidRPr="00813698">
        <w:rPr>
          <w:rStyle w:val="normaltextrun"/>
          <w:rFonts w:ascii="Arial" w:hAnsi="Arial" w:cs="Arial"/>
          <w:b/>
          <w:bCs/>
          <w:color w:val="000000" w:themeColor="text1"/>
          <w:sz w:val="22"/>
          <w:szCs w:val="22"/>
        </w:rPr>
        <w:t xml:space="preserve"> </w:t>
      </w:r>
      <w:r w:rsidR="001357B3" w:rsidRPr="00813698">
        <w:rPr>
          <w:rStyle w:val="normaltextrun"/>
          <w:rFonts w:ascii="Arial" w:hAnsi="Arial" w:cs="Arial"/>
          <w:color w:val="000000" w:themeColor="text1"/>
          <w:sz w:val="22"/>
          <w:szCs w:val="22"/>
        </w:rPr>
        <w:t xml:space="preserve">This measure will collect and provide data using the National Database of Nursing Quality Indicators measure on pressure injuries as follows: </w:t>
      </w:r>
      <w:r w:rsidR="00813698" w:rsidRPr="00813698">
        <w:rPr>
          <w:rStyle w:val="normaltextrun"/>
          <w:rFonts w:ascii="Arial" w:hAnsi="Arial" w:cs="Arial"/>
          <w:color w:val="000000" w:themeColor="text1"/>
          <w:sz w:val="22"/>
          <w:szCs w:val="22"/>
        </w:rPr>
        <w:t>number of HAPI/total inpatient census.</w:t>
      </w:r>
      <w:r w:rsidR="00813698">
        <w:rPr>
          <w:rStyle w:val="normaltextrun"/>
          <w:rFonts w:ascii="Arial" w:hAnsi="Arial" w:cs="Arial"/>
          <w:color w:val="000000" w:themeColor="text1"/>
          <w:sz w:val="22"/>
          <w:szCs w:val="22"/>
        </w:rPr>
        <w:t xml:space="preserve"> While the measure will be reported annually, it will show data by month.</w:t>
      </w:r>
    </w:p>
    <w:p w14:paraId="4832356A" w14:textId="77777777" w:rsidR="003518FD" w:rsidRPr="00813698" w:rsidRDefault="003518FD" w:rsidP="00813698">
      <w:pPr>
        <w:jc w:val="both"/>
        <w:rPr>
          <w:rFonts w:ascii="Arial" w:hAnsi="Arial" w:cs="Arial"/>
          <w:sz w:val="22"/>
          <w:szCs w:val="22"/>
        </w:rPr>
      </w:pPr>
    </w:p>
    <w:p w14:paraId="49380BF5" w14:textId="0382507F" w:rsidR="003518FD" w:rsidRDefault="003518FD" w:rsidP="003518FD">
      <w:pPr>
        <w:ind w:left="1080"/>
        <w:jc w:val="both"/>
        <w:rPr>
          <w:rFonts w:ascii="Arial" w:hAnsi="Arial" w:cs="Arial"/>
          <w:sz w:val="22"/>
          <w:szCs w:val="22"/>
        </w:rPr>
      </w:pPr>
      <w:r w:rsidRPr="004D0B30">
        <w:rPr>
          <w:rStyle w:val="normaltextrun"/>
          <w:rFonts w:ascii="Arial" w:hAnsi="Arial" w:cs="Arial"/>
          <w:b/>
          <w:bCs/>
          <w:sz w:val="22"/>
          <w:szCs w:val="22"/>
        </w:rPr>
        <w:t>Projections</w:t>
      </w:r>
      <w:r w:rsidRPr="004D0B30">
        <w:rPr>
          <w:rFonts w:ascii="Arial" w:hAnsi="Arial" w:cs="Arial"/>
          <w:b/>
          <w:bCs/>
          <w:sz w:val="22"/>
          <w:szCs w:val="22"/>
        </w:rPr>
        <w:t>:</w:t>
      </w:r>
      <w:r w:rsidRPr="004D0B30">
        <w:rPr>
          <w:rFonts w:ascii="Arial" w:hAnsi="Arial" w:cs="Arial"/>
          <w:sz w:val="22"/>
          <w:szCs w:val="22"/>
        </w:rPr>
        <w:t xml:space="preserve"> </w:t>
      </w:r>
      <w:r>
        <w:rPr>
          <w:rFonts w:ascii="Arial" w:hAnsi="Arial" w:cs="Arial"/>
          <w:sz w:val="22"/>
          <w:szCs w:val="22"/>
        </w:rPr>
        <w:t>Given that</w:t>
      </w:r>
      <w:r w:rsidRPr="004D0B30">
        <w:rPr>
          <w:rFonts w:ascii="Arial" w:hAnsi="Arial" w:cs="Arial"/>
          <w:sz w:val="22"/>
          <w:szCs w:val="22"/>
        </w:rPr>
        <w:t xml:space="preserve"> the Proposed Project will not be implemented for several years, the Applicant will provide baseline measures and three years of projections one year following implementation of the Proposed Project. </w:t>
      </w:r>
    </w:p>
    <w:p w14:paraId="3956BFC6" w14:textId="5007EC24" w:rsidR="00CB6000" w:rsidRDefault="00CB6000" w:rsidP="003518FD">
      <w:pPr>
        <w:ind w:left="1080"/>
        <w:jc w:val="both"/>
        <w:rPr>
          <w:rFonts w:ascii="Arial" w:hAnsi="Arial" w:cs="Arial"/>
          <w:sz w:val="22"/>
          <w:szCs w:val="22"/>
        </w:rPr>
      </w:pPr>
    </w:p>
    <w:p w14:paraId="4BB2DBAC" w14:textId="39DF88EA" w:rsidR="00CB6000" w:rsidRPr="009C6F4D" w:rsidRDefault="00CB6000" w:rsidP="00CB6000">
      <w:pPr>
        <w:pStyle w:val="ListParagraph"/>
        <w:numPr>
          <w:ilvl w:val="0"/>
          <w:numId w:val="14"/>
        </w:numPr>
        <w:jc w:val="both"/>
        <w:rPr>
          <w:rStyle w:val="eop"/>
          <w:color w:val="FF0000"/>
        </w:rPr>
      </w:pPr>
      <w:r>
        <w:rPr>
          <w:rFonts w:ascii="Arial" w:hAnsi="Arial" w:cs="Arial"/>
          <w:b/>
          <w:bCs/>
          <w:color w:val="000000" w:themeColor="text1"/>
          <w:sz w:val="22"/>
          <w:szCs w:val="22"/>
          <w:shd w:val="clear" w:color="auto" w:fill="FFFFFF"/>
        </w:rPr>
        <w:t>Inpatient Surgical Wait Times</w:t>
      </w:r>
      <w:r w:rsidRPr="007D55CF">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05508C">
        <w:rPr>
          <w:rStyle w:val="normaltextrun"/>
          <w:rFonts w:ascii="Arial" w:hAnsi="Arial" w:cs="Arial"/>
          <w:sz w:val="22"/>
          <w:szCs w:val="22"/>
        </w:rPr>
        <w:t xml:space="preserve">This measure reviews the amount of time a patient must wait </w:t>
      </w:r>
      <w:r w:rsidR="00063458">
        <w:rPr>
          <w:rStyle w:val="normaltextrun"/>
          <w:rFonts w:ascii="Arial" w:hAnsi="Arial" w:cs="Arial"/>
          <w:sz w:val="22"/>
          <w:szCs w:val="22"/>
        </w:rPr>
        <w:t>for surgery once it has been indicated</w:t>
      </w:r>
      <w:r w:rsidRPr="0005508C">
        <w:rPr>
          <w:rStyle w:val="normaltextrun"/>
          <w:rFonts w:ascii="Arial" w:hAnsi="Arial" w:cs="Arial"/>
          <w:sz w:val="22"/>
          <w:szCs w:val="22"/>
        </w:rPr>
        <w:t xml:space="preserve">. Due to increased inpatient </w:t>
      </w:r>
      <w:r>
        <w:rPr>
          <w:rStyle w:val="normaltextrun"/>
          <w:rFonts w:ascii="Arial" w:hAnsi="Arial" w:cs="Arial"/>
          <w:sz w:val="22"/>
          <w:szCs w:val="22"/>
        </w:rPr>
        <w:t>OR</w:t>
      </w:r>
      <w:r w:rsidRPr="0005508C">
        <w:rPr>
          <w:rStyle w:val="normaltextrun"/>
          <w:rFonts w:ascii="Arial" w:hAnsi="Arial" w:cs="Arial"/>
          <w:sz w:val="22"/>
          <w:szCs w:val="22"/>
        </w:rPr>
        <w:t xml:space="preserve"> capacity, the Applicant anticipates that </w:t>
      </w:r>
      <w:r>
        <w:rPr>
          <w:rStyle w:val="normaltextrun"/>
          <w:rFonts w:ascii="Arial" w:hAnsi="Arial" w:cs="Arial"/>
          <w:sz w:val="22"/>
          <w:szCs w:val="22"/>
        </w:rPr>
        <w:t>wait times</w:t>
      </w:r>
      <w:r w:rsidRPr="0005508C">
        <w:rPr>
          <w:rStyle w:val="normaltextrun"/>
          <w:rFonts w:ascii="Arial" w:hAnsi="Arial" w:cs="Arial"/>
          <w:sz w:val="22"/>
          <w:szCs w:val="22"/>
        </w:rPr>
        <w:t xml:space="preserve"> will be reduced</w:t>
      </w:r>
      <w:r>
        <w:rPr>
          <w:rStyle w:val="normaltextrun"/>
          <w:rFonts w:ascii="Arial" w:hAnsi="Arial" w:cs="Arial"/>
          <w:sz w:val="22"/>
          <w:szCs w:val="22"/>
        </w:rPr>
        <w:t>.</w:t>
      </w:r>
    </w:p>
    <w:p w14:paraId="27A22E6D" w14:textId="77777777" w:rsidR="00CB6000" w:rsidRDefault="00CB6000" w:rsidP="00CB6000">
      <w:pPr>
        <w:jc w:val="both"/>
        <w:rPr>
          <w:color w:val="FF0000"/>
        </w:rPr>
      </w:pPr>
    </w:p>
    <w:p w14:paraId="13DBD661" w14:textId="36616AF6" w:rsidR="00CB6000" w:rsidRPr="004D0B30" w:rsidRDefault="00CB6000" w:rsidP="00CB6000">
      <w:pPr>
        <w:pStyle w:val="ListParagraph"/>
        <w:ind w:left="1080"/>
        <w:jc w:val="both"/>
        <w:rPr>
          <w:rStyle w:val="eop"/>
          <w:rFonts w:ascii="Arial" w:hAnsi="Arial" w:cs="Arial"/>
          <w:sz w:val="22"/>
          <w:szCs w:val="22"/>
        </w:rPr>
      </w:pPr>
      <w:r w:rsidRPr="004D0B30">
        <w:rPr>
          <w:rStyle w:val="normaltextrun"/>
          <w:rFonts w:ascii="Arial" w:hAnsi="Arial" w:cs="Arial"/>
          <w:b/>
          <w:bCs/>
          <w:sz w:val="22"/>
          <w:szCs w:val="22"/>
        </w:rPr>
        <w:t>Measure:</w:t>
      </w:r>
      <w:r w:rsidRPr="00CB6000">
        <w:rPr>
          <w:rStyle w:val="normaltextrun"/>
          <w:rFonts w:ascii="Arial" w:hAnsi="Arial" w:cs="Arial"/>
          <w:sz w:val="22"/>
          <w:szCs w:val="22"/>
        </w:rPr>
        <w:t xml:space="preserve"> </w:t>
      </w:r>
      <w:r w:rsidRPr="0005508C">
        <w:rPr>
          <w:rStyle w:val="normaltextrun"/>
          <w:rFonts w:ascii="Arial" w:hAnsi="Arial" w:cs="Arial"/>
          <w:sz w:val="22"/>
          <w:szCs w:val="22"/>
        </w:rPr>
        <w:t xml:space="preserve">This measure will collect and provide data based on the following calculation: the </w:t>
      </w:r>
      <w:r w:rsidR="00063458">
        <w:rPr>
          <w:rStyle w:val="normaltextrun"/>
          <w:rFonts w:ascii="Arial" w:hAnsi="Arial" w:cs="Arial"/>
          <w:sz w:val="22"/>
          <w:szCs w:val="22"/>
        </w:rPr>
        <w:t>number of days from the date that the surgery is indicated to the scheduled surgery date.</w:t>
      </w:r>
    </w:p>
    <w:p w14:paraId="73BC055A" w14:textId="77777777" w:rsidR="00CB6000" w:rsidRPr="004D0B30" w:rsidRDefault="00CB6000" w:rsidP="00CB6000">
      <w:pPr>
        <w:pStyle w:val="ListParagraph"/>
        <w:jc w:val="both"/>
        <w:rPr>
          <w:rFonts w:ascii="Arial" w:hAnsi="Arial" w:cs="Arial"/>
          <w:sz w:val="22"/>
          <w:szCs w:val="22"/>
        </w:rPr>
      </w:pPr>
    </w:p>
    <w:p w14:paraId="0F263DCB" w14:textId="525133F6" w:rsidR="00CB6000" w:rsidRDefault="00CB6000" w:rsidP="00CB6000">
      <w:pPr>
        <w:ind w:left="1080"/>
        <w:jc w:val="both"/>
        <w:rPr>
          <w:rFonts w:ascii="Arial" w:hAnsi="Arial" w:cs="Arial"/>
          <w:sz w:val="22"/>
          <w:szCs w:val="22"/>
        </w:rPr>
      </w:pPr>
      <w:r w:rsidRPr="004D0B30">
        <w:rPr>
          <w:rStyle w:val="normaltextrun"/>
          <w:rFonts w:ascii="Arial" w:hAnsi="Arial" w:cs="Arial"/>
          <w:b/>
          <w:bCs/>
          <w:sz w:val="22"/>
          <w:szCs w:val="22"/>
        </w:rPr>
        <w:t>Projections</w:t>
      </w:r>
      <w:r w:rsidRPr="004D0B30">
        <w:rPr>
          <w:rFonts w:ascii="Arial" w:hAnsi="Arial" w:cs="Arial"/>
          <w:b/>
          <w:bCs/>
          <w:sz w:val="22"/>
          <w:szCs w:val="22"/>
        </w:rPr>
        <w:t>:</w:t>
      </w:r>
      <w:r w:rsidRPr="004D0B30">
        <w:rPr>
          <w:rFonts w:ascii="Arial" w:hAnsi="Arial" w:cs="Arial"/>
          <w:sz w:val="22"/>
          <w:szCs w:val="22"/>
        </w:rPr>
        <w:t xml:space="preserve"> </w:t>
      </w:r>
      <w:r>
        <w:rPr>
          <w:rFonts w:ascii="Arial" w:hAnsi="Arial" w:cs="Arial"/>
          <w:sz w:val="22"/>
          <w:szCs w:val="22"/>
        </w:rPr>
        <w:t>Given that</w:t>
      </w:r>
      <w:r w:rsidRPr="004D0B30">
        <w:rPr>
          <w:rFonts w:ascii="Arial" w:hAnsi="Arial" w:cs="Arial"/>
          <w:sz w:val="22"/>
          <w:szCs w:val="22"/>
        </w:rPr>
        <w:t xml:space="preserve"> the Proposed Project will not be implemented for several years, the Applicant will provide baseline measures and three years of projections one year following implementation of the Proposed Project. </w:t>
      </w:r>
    </w:p>
    <w:p w14:paraId="104340FB" w14:textId="77777777" w:rsidR="00063458" w:rsidRDefault="00063458" w:rsidP="00063458">
      <w:pPr>
        <w:jc w:val="both"/>
        <w:rPr>
          <w:rFonts w:ascii="Arial" w:hAnsi="Arial" w:cs="Arial"/>
          <w:sz w:val="22"/>
          <w:szCs w:val="22"/>
        </w:rPr>
      </w:pPr>
    </w:p>
    <w:p w14:paraId="5AFAF96B" w14:textId="3F1842ED" w:rsidR="00CB6000" w:rsidRPr="00194527" w:rsidRDefault="00194527" w:rsidP="00CB6000">
      <w:pPr>
        <w:pStyle w:val="ListParagraph"/>
        <w:numPr>
          <w:ilvl w:val="0"/>
          <w:numId w:val="14"/>
        </w:numPr>
        <w:jc w:val="both"/>
        <w:rPr>
          <w:rFonts w:ascii="Arial" w:hAnsi="Arial" w:cs="Arial"/>
          <w:sz w:val="22"/>
          <w:szCs w:val="22"/>
        </w:rPr>
      </w:pPr>
      <w:r w:rsidRPr="00194527">
        <w:rPr>
          <w:rFonts w:ascii="Arial" w:hAnsi="Arial" w:cs="Arial"/>
          <w:b/>
          <w:bCs/>
          <w:sz w:val="22"/>
          <w:szCs w:val="22"/>
        </w:rPr>
        <w:t xml:space="preserve">Surgical Site Infection Rates: </w:t>
      </w:r>
      <w:r w:rsidRPr="00194527">
        <w:rPr>
          <w:rFonts w:ascii="Arial" w:hAnsi="Arial" w:cs="Arial"/>
          <w:sz w:val="22"/>
          <w:szCs w:val="22"/>
        </w:rPr>
        <w:t xml:space="preserve">This measure </w:t>
      </w:r>
      <w:r w:rsidR="00D376D7">
        <w:rPr>
          <w:rFonts w:ascii="Arial" w:hAnsi="Arial" w:cs="Arial"/>
          <w:sz w:val="22"/>
          <w:szCs w:val="22"/>
        </w:rPr>
        <w:t xml:space="preserve">will monitor and </w:t>
      </w:r>
      <w:r w:rsidRPr="00194527">
        <w:rPr>
          <w:rFonts w:ascii="Arial" w:hAnsi="Arial" w:cs="Arial"/>
          <w:sz w:val="22"/>
          <w:szCs w:val="22"/>
        </w:rPr>
        <w:t xml:space="preserve">evaluate the </w:t>
      </w:r>
      <w:r w:rsidR="00D376D7">
        <w:rPr>
          <w:rFonts w:ascii="Arial" w:hAnsi="Arial" w:cs="Arial"/>
          <w:sz w:val="22"/>
          <w:szCs w:val="22"/>
        </w:rPr>
        <w:t>rate at which</w:t>
      </w:r>
      <w:r w:rsidRPr="00194527">
        <w:rPr>
          <w:rFonts w:ascii="Arial" w:hAnsi="Arial" w:cs="Arial"/>
          <w:sz w:val="22"/>
          <w:szCs w:val="22"/>
        </w:rPr>
        <w:t xml:space="preserve"> </w:t>
      </w:r>
      <w:r w:rsidR="00D376D7">
        <w:rPr>
          <w:rFonts w:ascii="Arial" w:hAnsi="Arial" w:cs="Arial"/>
          <w:sz w:val="22"/>
          <w:szCs w:val="22"/>
        </w:rPr>
        <w:t xml:space="preserve">BMC’s inpatient surgical </w:t>
      </w:r>
      <w:r w:rsidRPr="00194527">
        <w:rPr>
          <w:rFonts w:ascii="Arial" w:hAnsi="Arial" w:cs="Arial"/>
          <w:sz w:val="22"/>
          <w:szCs w:val="22"/>
        </w:rPr>
        <w:t xml:space="preserve">patients </w:t>
      </w:r>
      <w:r w:rsidR="00D376D7">
        <w:rPr>
          <w:rFonts w:ascii="Arial" w:hAnsi="Arial" w:cs="Arial"/>
          <w:sz w:val="22"/>
          <w:szCs w:val="22"/>
        </w:rPr>
        <w:t>develop</w:t>
      </w:r>
      <w:r w:rsidRPr="00194527">
        <w:rPr>
          <w:rFonts w:ascii="Arial" w:hAnsi="Arial" w:cs="Arial"/>
          <w:sz w:val="22"/>
          <w:szCs w:val="22"/>
        </w:rPr>
        <w:t xml:space="preserve"> surgical site infections and aims to reduce or eliminate such </w:t>
      </w:r>
      <w:r w:rsidR="00D376D7" w:rsidRPr="00194527">
        <w:rPr>
          <w:rFonts w:ascii="Arial" w:hAnsi="Arial" w:cs="Arial"/>
          <w:sz w:val="22"/>
          <w:szCs w:val="22"/>
        </w:rPr>
        <w:t>occurrences</w:t>
      </w:r>
      <w:r w:rsidRPr="00194527">
        <w:rPr>
          <w:rFonts w:ascii="Arial" w:hAnsi="Arial" w:cs="Arial"/>
          <w:sz w:val="22"/>
          <w:szCs w:val="22"/>
        </w:rPr>
        <w:t>.</w:t>
      </w:r>
    </w:p>
    <w:p w14:paraId="55D7A779" w14:textId="7A0F4FA2" w:rsidR="00105849" w:rsidRDefault="00105849" w:rsidP="00E24D42">
      <w:pPr>
        <w:pStyle w:val="NormalWeb"/>
        <w:spacing w:before="0" w:beforeAutospacing="0" w:after="0" w:afterAutospacing="0"/>
        <w:jc w:val="both"/>
        <w:rPr>
          <w:rFonts w:ascii="Arial" w:hAnsi="Arial" w:cs="Arial"/>
          <w:sz w:val="22"/>
          <w:szCs w:val="22"/>
          <w:u w:val="single"/>
        </w:rPr>
      </w:pPr>
    </w:p>
    <w:p w14:paraId="1381A803" w14:textId="6D634CAF" w:rsidR="00194527" w:rsidRPr="004D0B30" w:rsidRDefault="00194527" w:rsidP="00194527">
      <w:pPr>
        <w:pStyle w:val="ListParagraph"/>
        <w:ind w:left="1080"/>
        <w:jc w:val="both"/>
        <w:rPr>
          <w:rStyle w:val="eop"/>
          <w:rFonts w:ascii="Arial" w:hAnsi="Arial" w:cs="Arial"/>
          <w:sz w:val="22"/>
          <w:szCs w:val="22"/>
        </w:rPr>
      </w:pPr>
      <w:r w:rsidRPr="004D0B30">
        <w:rPr>
          <w:rStyle w:val="normaltextrun"/>
          <w:rFonts w:ascii="Arial" w:hAnsi="Arial" w:cs="Arial"/>
          <w:b/>
          <w:bCs/>
          <w:sz w:val="22"/>
          <w:szCs w:val="22"/>
        </w:rPr>
        <w:t>Measure:</w:t>
      </w:r>
      <w:r w:rsidRPr="00CB6000">
        <w:rPr>
          <w:rStyle w:val="normaltextrun"/>
          <w:rFonts w:ascii="Arial" w:hAnsi="Arial" w:cs="Arial"/>
          <w:sz w:val="22"/>
          <w:szCs w:val="22"/>
        </w:rPr>
        <w:t xml:space="preserve"> </w:t>
      </w:r>
      <w:r w:rsidRPr="0005508C">
        <w:rPr>
          <w:rStyle w:val="normaltextrun"/>
          <w:rFonts w:ascii="Arial" w:hAnsi="Arial" w:cs="Arial"/>
          <w:sz w:val="22"/>
          <w:szCs w:val="22"/>
        </w:rPr>
        <w:t xml:space="preserve">This measure will collect and provide data </w:t>
      </w:r>
      <w:r>
        <w:rPr>
          <w:rStyle w:val="normaltextrun"/>
          <w:rFonts w:ascii="Arial" w:hAnsi="Arial" w:cs="Arial"/>
          <w:sz w:val="22"/>
          <w:szCs w:val="22"/>
        </w:rPr>
        <w:t xml:space="preserve">on the number of inpatients with </w:t>
      </w:r>
      <w:r w:rsidR="00D376D7">
        <w:rPr>
          <w:rStyle w:val="normaltextrun"/>
          <w:rFonts w:ascii="Arial" w:hAnsi="Arial" w:cs="Arial"/>
          <w:sz w:val="22"/>
          <w:szCs w:val="22"/>
        </w:rPr>
        <w:t xml:space="preserve">a </w:t>
      </w:r>
      <w:r>
        <w:rPr>
          <w:rStyle w:val="normaltextrun"/>
          <w:rFonts w:ascii="Arial" w:hAnsi="Arial" w:cs="Arial"/>
          <w:sz w:val="22"/>
          <w:szCs w:val="22"/>
        </w:rPr>
        <w:t xml:space="preserve">surgical site infection </w:t>
      </w:r>
      <w:r w:rsidR="00D376D7">
        <w:rPr>
          <w:rStyle w:val="normaltextrun"/>
          <w:rFonts w:ascii="Arial" w:hAnsi="Arial" w:cs="Arial"/>
          <w:sz w:val="22"/>
          <w:szCs w:val="22"/>
        </w:rPr>
        <w:t>within thirty (30) days of surgery</w:t>
      </w:r>
      <w:r>
        <w:rPr>
          <w:rStyle w:val="normaltextrun"/>
          <w:rFonts w:ascii="Arial" w:hAnsi="Arial" w:cs="Arial"/>
          <w:sz w:val="22"/>
          <w:szCs w:val="22"/>
        </w:rPr>
        <w:t>.</w:t>
      </w:r>
    </w:p>
    <w:p w14:paraId="70173B60" w14:textId="77777777" w:rsidR="00194527" w:rsidRPr="004D0B30" w:rsidRDefault="00194527" w:rsidP="00194527">
      <w:pPr>
        <w:pStyle w:val="ListParagraph"/>
        <w:jc w:val="both"/>
        <w:rPr>
          <w:rFonts w:ascii="Arial" w:hAnsi="Arial" w:cs="Arial"/>
          <w:sz w:val="22"/>
          <w:szCs w:val="22"/>
        </w:rPr>
      </w:pPr>
    </w:p>
    <w:p w14:paraId="464DCC3C" w14:textId="77777777" w:rsidR="00194527" w:rsidRDefault="00194527" w:rsidP="00194527">
      <w:pPr>
        <w:ind w:left="1080"/>
        <w:jc w:val="both"/>
        <w:rPr>
          <w:rFonts w:ascii="Arial" w:hAnsi="Arial" w:cs="Arial"/>
          <w:sz w:val="22"/>
          <w:szCs w:val="22"/>
        </w:rPr>
      </w:pPr>
      <w:r w:rsidRPr="004D0B30">
        <w:rPr>
          <w:rStyle w:val="normaltextrun"/>
          <w:rFonts w:ascii="Arial" w:hAnsi="Arial" w:cs="Arial"/>
          <w:b/>
          <w:bCs/>
          <w:sz w:val="22"/>
          <w:szCs w:val="22"/>
        </w:rPr>
        <w:t>Projections</w:t>
      </w:r>
      <w:r w:rsidRPr="004D0B30">
        <w:rPr>
          <w:rFonts w:ascii="Arial" w:hAnsi="Arial" w:cs="Arial"/>
          <w:b/>
          <w:bCs/>
          <w:sz w:val="22"/>
          <w:szCs w:val="22"/>
        </w:rPr>
        <w:t>:</w:t>
      </w:r>
      <w:r w:rsidRPr="004D0B30">
        <w:rPr>
          <w:rFonts w:ascii="Arial" w:hAnsi="Arial" w:cs="Arial"/>
          <w:sz w:val="22"/>
          <w:szCs w:val="22"/>
        </w:rPr>
        <w:t xml:space="preserve"> </w:t>
      </w:r>
      <w:r>
        <w:rPr>
          <w:rFonts w:ascii="Arial" w:hAnsi="Arial" w:cs="Arial"/>
          <w:sz w:val="22"/>
          <w:szCs w:val="22"/>
        </w:rPr>
        <w:t>Given that</w:t>
      </w:r>
      <w:r w:rsidRPr="004D0B30">
        <w:rPr>
          <w:rFonts w:ascii="Arial" w:hAnsi="Arial" w:cs="Arial"/>
          <w:sz w:val="22"/>
          <w:szCs w:val="22"/>
        </w:rPr>
        <w:t xml:space="preserve"> the Proposed Project will not be implemented for several years, the Applicant will provide baseline measures and three years of projections one year following implementation of the Proposed Project. </w:t>
      </w:r>
    </w:p>
    <w:p w14:paraId="386EF389" w14:textId="77777777" w:rsidR="00194527" w:rsidRDefault="00194527" w:rsidP="00E24D42">
      <w:pPr>
        <w:pStyle w:val="NormalWeb"/>
        <w:spacing w:before="0" w:beforeAutospacing="0" w:after="0" w:afterAutospacing="0"/>
        <w:jc w:val="both"/>
        <w:rPr>
          <w:rFonts w:ascii="Arial" w:hAnsi="Arial" w:cs="Arial"/>
          <w:sz w:val="22"/>
          <w:szCs w:val="22"/>
          <w:u w:val="single"/>
        </w:rPr>
      </w:pPr>
    </w:p>
    <w:p w14:paraId="35E90E85" w14:textId="77777777" w:rsidR="001F5FD9" w:rsidRDefault="001F5FD9"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 xml:space="preserve">F1.b.iii </w:t>
      </w:r>
      <w:r>
        <w:rPr>
          <w:rStyle w:val="tabchar"/>
          <w:rFonts w:ascii="Calibri" w:hAnsi="Calibri" w:cs="Calibri"/>
          <w:sz w:val="22"/>
          <w:szCs w:val="22"/>
        </w:rPr>
        <w:tab/>
      </w:r>
      <w:r>
        <w:rPr>
          <w:rStyle w:val="normaltextrun"/>
          <w:rFonts w:ascii="Arial" w:hAnsi="Arial" w:cs="Arial"/>
          <w:b/>
          <w:bCs/>
          <w:sz w:val="22"/>
          <w:szCs w:val="22"/>
          <w:u w:val="single"/>
        </w:rPr>
        <w:t>Public Health Value/Health Equity-Focused</w:t>
      </w:r>
      <w:r>
        <w:rPr>
          <w:rStyle w:val="normaltextrun"/>
          <w:rFonts w:ascii="Arial" w:hAnsi="Arial" w:cs="Arial"/>
          <w:b/>
          <w:bCs/>
          <w:sz w:val="22"/>
          <w:szCs w:val="22"/>
        </w:rPr>
        <w:t>:</w:t>
      </w:r>
      <w:r>
        <w:rPr>
          <w:rStyle w:val="eop"/>
          <w:rFonts w:ascii="Arial" w:hAnsi="Arial" w:cs="Arial"/>
          <w:sz w:val="22"/>
          <w:szCs w:val="22"/>
        </w:rPr>
        <w:t> </w:t>
      </w:r>
    </w:p>
    <w:p w14:paraId="48DECCC6" w14:textId="77777777" w:rsidR="001F5FD9" w:rsidRDefault="001F5FD9" w:rsidP="009A7F8F">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Pr>
          <w:rStyle w:val="eop"/>
          <w:rFonts w:ascii="Arial" w:hAnsi="Arial" w:cs="Arial"/>
          <w:sz w:val="22"/>
          <w:szCs w:val="22"/>
        </w:rPr>
        <w:t> </w:t>
      </w:r>
    </w:p>
    <w:p w14:paraId="7E40979E" w14:textId="4A41A032" w:rsidR="001F5FD9" w:rsidRDefault="001F5FD9" w:rsidP="00E24D42">
      <w:pPr>
        <w:pStyle w:val="NormalWeb"/>
        <w:spacing w:before="0" w:beforeAutospacing="0" w:after="0" w:afterAutospacing="0"/>
        <w:jc w:val="both"/>
        <w:rPr>
          <w:rFonts w:ascii="Arial" w:hAnsi="Arial" w:cs="Arial"/>
          <w:sz w:val="22"/>
          <w:szCs w:val="22"/>
          <w:u w:val="single"/>
        </w:rPr>
      </w:pPr>
    </w:p>
    <w:p w14:paraId="09C78611" w14:textId="6AA6FA80" w:rsidR="00834993" w:rsidRPr="00B13AE0" w:rsidRDefault="00834993" w:rsidP="00834993">
      <w:pPr>
        <w:jc w:val="both"/>
        <w:rPr>
          <w:rFonts w:ascii="Arial" w:hAnsi="Arial" w:cs="Arial"/>
          <w:sz w:val="22"/>
          <w:szCs w:val="22"/>
        </w:rPr>
      </w:pPr>
      <w:r w:rsidRPr="008B0F33">
        <w:rPr>
          <w:rFonts w:ascii="Arial" w:hAnsi="Arial" w:cs="Arial"/>
          <w:sz w:val="22"/>
          <w:szCs w:val="22"/>
        </w:rPr>
        <w:t xml:space="preserve">As outlined throughout </w:t>
      </w:r>
      <w:r>
        <w:rPr>
          <w:rFonts w:ascii="Arial" w:hAnsi="Arial" w:cs="Arial"/>
          <w:sz w:val="22"/>
          <w:szCs w:val="22"/>
        </w:rPr>
        <w:t>this narrative</w:t>
      </w:r>
      <w:r w:rsidRPr="008B0F33">
        <w:rPr>
          <w:rFonts w:ascii="Arial" w:hAnsi="Arial" w:cs="Arial"/>
          <w:sz w:val="22"/>
          <w:szCs w:val="22"/>
        </w:rPr>
        <w:t xml:space="preserve">, </w:t>
      </w:r>
      <w:r>
        <w:rPr>
          <w:rFonts w:ascii="Arial" w:hAnsi="Arial" w:cs="Arial"/>
          <w:sz w:val="22"/>
          <w:szCs w:val="22"/>
        </w:rPr>
        <w:t xml:space="preserve">through the </w:t>
      </w:r>
      <w:r w:rsidRPr="008B0F33">
        <w:rPr>
          <w:rFonts w:ascii="Arial" w:hAnsi="Arial" w:cs="Arial"/>
          <w:sz w:val="22"/>
          <w:szCs w:val="22"/>
        </w:rPr>
        <w:t>Proposed Project</w:t>
      </w:r>
      <w:r>
        <w:rPr>
          <w:rFonts w:ascii="Arial" w:hAnsi="Arial" w:cs="Arial"/>
          <w:sz w:val="22"/>
          <w:szCs w:val="22"/>
        </w:rPr>
        <w:t>, the Applicant</w:t>
      </w:r>
      <w:r w:rsidRPr="008B0F33">
        <w:rPr>
          <w:rFonts w:ascii="Arial" w:hAnsi="Arial" w:cs="Arial"/>
          <w:sz w:val="22"/>
          <w:szCs w:val="22"/>
        </w:rPr>
        <w:t xml:space="preserve"> seeks</w:t>
      </w:r>
      <w:r>
        <w:rPr>
          <w:rFonts w:ascii="Arial" w:hAnsi="Arial" w:cs="Arial"/>
          <w:sz w:val="22"/>
          <w:szCs w:val="22"/>
        </w:rPr>
        <w:t xml:space="preserve"> to alleviate </w:t>
      </w:r>
      <w:r w:rsidRPr="008B0F33">
        <w:rPr>
          <w:rFonts w:ascii="Arial" w:hAnsi="Arial" w:cs="Arial"/>
          <w:color w:val="000000" w:themeColor="text1"/>
          <w:sz w:val="22"/>
          <w:szCs w:val="22"/>
        </w:rPr>
        <w:t>inpatient capacity constraints and related demands at the Hospital</w:t>
      </w:r>
      <w:r>
        <w:rPr>
          <w:rFonts w:ascii="Arial" w:hAnsi="Arial" w:cs="Arial"/>
          <w:color w:val="000000" w:themeColor="text1"/>
          <w:sz w:val="22"/>
          <w:szCs w:val="22"/>
        </w:rPr>
        <w:t xml:space="preserve">, </w:t>
      </w:r>
      <w:r>
        <w:rPr>
          <w:rFonts w:ascii="Arial" w:hAnsi="Arial" w:cs="Arial"/>
          <w:sz w:val="22"/>
          <w:szCs w:val="22"/>
        </w:rPr>
        <w:t xml:space="preserve">ensure timely access to medical/surgical and ICU inpatient services, improve ED </w:t>
      </w:r>
      <w:r w:rsidRPr="00B13AE0">
        <w:rPr>
          <w:rFonts w:ascii="Arial" w:hAnsi="Arial" w:cs="Arial"/>
          <w:sz w:val="22"/>
          <w:szCs w:val="22"/>
        </w:rPr>
        <w:t>throughput and operating efficiency, and increase patient satisfaction and health outcomes. In order to achieve these goals, BMC is further dedicated to addressing deep health inequities that exist among the Hospital’s patients and ensuring BMC’s sustainability as an academic safety net hospital providing exceptional care to Boston’s under-resourced population.</w:t>
      </w:r>
      <w:r>
        <w:rPr>
          <w:rFonts w:ascii="Arial" w:hAnsi="Arial" w:cs="Arial"/>
          <w:sz w:val="22"/>
          <w:szCs w:val="22"/>
        </w:rPr>
        <w:t xml:space="preserve"> Details on BMC’s essential role in the community and these efforts are detailed herein. </w:t>
      </w:r>
    </w:p>
    <w:p w14:paraId="466EDFDD" w14:textId="77777777" w:rsidR="00834993" w:rsidRPr="00535DB3" w:rsidRDefault="00834993" w:rsidP="00834993">
      <w:pPr>
        <w:rPr>
          <w:rFonts w:ascii="Arial" w:hAnsi="Arial" w:cs="Arial"/>
          <w:sz w:val="22"/>
          <w:szCs w:val="22"/>
        </w:rPr>
      </w:pPr>
    </w:p>
    <w:p w14:paraId="268F0923" w14:textId="77777777" w:rsidR="00834993" w:rsidRPr="008F2CEB" w:rsidRDefault="00834993" w:rsidP="00834993">
      <w:pPr>
        <w:pStyle w:val="ListParagraph"/>
        <w:numPr>
          <w:ilvl w:val="0"/>
          <w:numId w:val="26"/>
        </w:numPr>
        <w:ind w:left="360"/>
        <w:rPr>
          <w:rFonts w:ascii="Arial" w:hAnsi="Arial" w:cs="Arial"/>
          <w:smallCaps/>
          <w:sz w:val="22"/>
          <w:szCs w:val="22"/>
          <w:u w:val="single"/>
        </w:rPr>
      </w:pPr>
      <w:r w:rsidRPr="008F2CEB">
        <w:rPr>
          <w:rFonts w:ascii="Arial" w:hAnsi="Arial" w:cs="Arial"/>
          <w:smallCaps/>
          <w:sz w:val="22"/>
          <w:szCs w:val="22"/>
          <w:u w:val="single"/>
        </w:rPr>
        <w:t>Safety Net Hospital</w:t>
      </w:r>
    </w:p>
    <w:p w14:paraId="585E541D" w14:textId="77777777" w:rsidR="00834993" w:rsidRDefault="00834993" w:rsidP="00834993">
      <w:pPr>
        <w:rPr>
          <w:rFonts w:ascii="Arial" w:hAnsi="Arial" w:cs="Arial"/>
          <w:sz w:val="22"/>
          <w:szCs w:val="22"/>
        </w:rPr>
      </w:pPr>
    </w:p>
    <w:p w14:paraId="35CDB28E" w14:textId="77777777" w:rsidR="00834993" w:rsidRDefault="00834993" w:rsidP="00834993">
      <w:pPr>
        <w:jc w:val="both"/>
        <w:rPr>
          <w:rFonts w:ascii="ArialMT" w:hAnsi="ArialMT"/>
          <w:sz w:val="22"/>
          <w:szCs w:val="22"/>
        </w:rPr>
      </w:pPr>
      <w:r>
        <w:rPr>
          <w:rFonts w:ascii="Arial" w:hAnsi="Arial" w:cs="Arial"/>
          <w:sz w:val="22"/>
          <w:szCs w:val="22"/>
        </w:rPr>
        <w:t xml:space="preserve">As noted throughout this narrative, BMC is New England’s largest safety net hospital, and as such, is dedicated to providing accessible care for everyone regardless </w:t>
      </w:r>
      <w:r w:rsidRPr="00F031D7">
        <w:rPr>
          <w:rFonts w:ascii="Arial" w:hAnsi="Arial" w:cs="Arial"/>
          <w:sz w:val="22"/>
          <w:szCs w:val="22"/>
        </w:rPr>
        <w:t>of insurance status or ability to pay</w:t>
      </w:r>
      <w:r>
        <w:rPr>
          <w:rFonts w:ascii="Arial" w:hAnsi="Arial" w:cs="Arial"/>
          <w:sz w:val="22"/>
          <w:szCs w:val="22"/>
        </w:rPr>
        <w:t xml:space="preserve">. </w:t>
      </w:r>
      <w:r>
        <w:rPr>
          <w:rFonts w:ascii="ArialMT" w:hAnsi="ArialMT"/>
          <w:sz w:val="22"/>
          <w:szCs w:val="22"/>
        </w:rPr>
        <w:t xml:space="preserve">The majority of communities that BMC serves are Boston </w:t>
      </w:r>
      <w:r w:rsidRPr="00862EC2">
        <w:rPr>
          <w:rFonts w:ascii="Arial" w:hAnsi="Arial" w:cs="Arial"/>
          <w:sz w:val="22"/>
          <w:szCs w:val="22"/>
        </w:rPr>
        <w:t>census tracts that are federally</w:t>
      </w:r>
      <w:r>
        <w:rPr>
          <w:rFonts w:ascii="Arial" w:hAnsi="Arial" w:cs="Arial"/>
          <w:sz w:val="22"/>
          <w:szCs w:val="22"/>
        </w:rPr>
        <w:t>-</w:t>
      </w:r>
      <w:r w:rsidRPr="00862EC2">
        <w:rPr>
          <w:rFonts w:ascii="Arial" w:hAnsi="Arial" w:cs="Arial"/>
          <w:sz w:val="22"/>
          <w:szCs w:val="22"/>
        </w:rPr>
        <w:t>designated medically underserved populations</w:t>
      </w:r>
      <w:r>
        <w:rPr>
          <w:rFonts w:ascii="Arial" w:hAnsi="Arial" w:cs="Arial"/>
          <w:sz w:val="22"/>
          <w:szCs w:val="22"/>
        </w:rPr>
        <w:t xml:space="preserve">. As detailed in Factor </w:t>
      </w:r>
      <w:r w:rsidRPr="00CD2273">
        <w:rPr>
          <w:rFonts w:ascii="Arial" w:hAnsi="Arial" w:cs="Arial"/>
          <w:sz w:val="22"/>
          <w:szCs w:val="22"/>
        </w:rPr>
        <w:t>F1.a.i,</w:t>
      </w:r>
      <w:r>
        <w:rPr>
          <w:rFonts w:ascii="Arial" w:hAnsi="Arial" w:cs="Arial"/>
          <w:sz w:val="22"/>
          <w:szCs w:val="22"/>
        </w:rPr>
        <w:t xml:space="preserve"> </w:t>
      </w:r>
      <w:r>
        <w:rPr>
          <w:rFonts w:ascii="ArialMT" w:hAnsi="ArialMT"/>
          <w:sz w:val="22"/>
          <w:szCs w:val="22"/>
        </w:rPr>
        <w:t xml:space="preserve">nearly 50% of BMC’s patients receive insurance coverage through a public payer and another 2.7% receive free care or are covered under the HSN. Moreover, the panels for the specific components included within the Proposed Project show even higher percentages of patients who receive insurance coverage through a public payer – in FY21, BMC’s medical/surgical public payer mix included 78% of all medical/surgical patients, </w:t>
      </w:r>
      <w:r w:rsidRPr="002926D8">
        <w:rPr>
          <w:rFonts w:ascii="ArialMT" w:hAnsi="ArialMT"/>
          <w:sz w:val="22"/>
          <w:szCs w:val="22"/>
        </w:rPr>
        <w:t>BMC’s ICU public payer mix included 79% of all ICU patients</w:t>
      </w:r>
      <w:r>
        <w:rPr>
          <w:rFonts w:ascii="ArialMT" w:hAnsi="ArialMT"/>
          <w:sz w:val="22"/>
          <w:szCs w:val="22"/>
        </w:rPr>
        <w:t>, and BMC’s inpatient surgical public payer mix included 71.2% of all medical/surgical patients.</w:t>
      </w:r>
    </w:p>
    <w:p w14:paraId="2F47B925" w14:textId="77777777" w:rsidR="00834993" w:rsidRDefault="00834993" w:rsidP="00834993">
      <w:pPr>
        <w:jc w:val="both"/>
        <w:rPr>
          <w:rFonts w:ascii="ArialMT" w:hAnsi="ArialMT"/>
          <w:sz w:val="22"/>
          <w:szCs w:val="22"/>
        </w:rPr>
      </w:pPr>
    </w:p>
    <w:p w14:paraId="6D9685D3" w14:textId="031D0480" w:rsidR="00834993" w:rsidRPr="00C0304D" w:rsidRDefault="00834993" w:rsidP="00834993">
      <w:pPr>
        <w:jc w:val="both"/>
        <w:rPr>
          <w:rFonts w:ascii="ArialMT" w:eastAsiaTheme="minorHAnsi" w:hAnsi="ArialMT" w:cstheme="minorBidi"/>
          <w:sz w:val="22"/>
          <w:szCs w:val="22"/>
        </w:rPr>
      </w:pPr>
      <w:r w:rsidRPr="00C478B2">
        <w:rPr>
          <w:rFonts w:ascii="ArialMT" w:eastAsiaTheme="minorHAnsi" w:hAnsi="ArialMT" w:cstheme="minorBidi"/>
          <w:sz w:val="22"/>
          <w:szCs w:val="22"/>
        </w:rPr>
        <w:t xml:space="preserve">Notwithstanding widespread health reform efforts in the state from 2006 to 2008 which expanded </w:t>
      </w:r>
      <w:r w:rsidRPr="00C0304D">
        <w:rPr>
          <w:rFonts w:ascii="ArialMT" w:eastAsiaTheme="minorHAnsi" w:hAnsi="ArialMT" w:cstheme="minorBidi"/>
          <w:sz w:val="22"/>
          <w:szCs w:val="22"/>
        </w:rPr>
        <w:t>access to public medical insurance, created a health insurance exchange for more affordable private insurance</w:t>
      </w:r>
      <w:r w:rsidRPr="00C478B2">
        <w:rPr>
          <w:rFonts w:ascii="ArialMT" w:eastAsiaTheme="minorHAnsi" w:hAnsi="ArialMT" w:cstheme="minorBidi"/>
          <w:sz w:val="22"/>
          <w:szCs w:val="22"/>
        </w:rPr>
        <w:t>, and expanded access to care in non-safety net hospitals</w:t>
      </w:r>
      <w:r>
        <w:rPr>
          <w:rFonts w:ascii="ArialMT" w:hAnsi="ArialMT"/>
          <w:sz w:val="22"/>
          <w:szCs w:val="22"/>
        </w:rPr>
        <w:t xml:space="preserve">, research suggests that safety net hospitals like BMC remain an important and vital component of the health care system. Specifically, the research shows that </w:t>
      </w:r>
      <w:r w:rsidRPr="00C478B2">
        <w:rPr>
          <w:rFonts w:ascii="ArialMT" w:eastAsiaTheme="minorHAnsi" w:hAnsi="ArialMT" w:cstheme="minorBidi"/>
          <w:sz w:val="22"/>
          <w:szCs w:val="22"/>
        </w:rPr>
        <w:t>the proportion of discharges among minority patients receiving inpatient care at minority-serving hospitals in Massachusetts increased after the implementation of health insurance reform measures which expanded access to care in non-safety net hospitals.</w:t>
      </w:r>
      <w:r>
        <w:rPr>
          <w:rFonts w:ascii="ArialMT" w:hAnsi="ArialMT"/>
          <w:sz w:val="22"/>
          <w:szCs w:val="22"/>
        </w:rPr>
        <w:t xml:space="preserve"> </w:t>
      </w:r>
      <w:r w:rsidRPr="00C0304D">
        <w:rPr>
          <w:rFonts w:ascii="ArialMT" w:eastAsiaTheme="minorHAnsi" w:hAnsi="ArialMT" w:cstheme="minorBidi"/>
          <w:sz w:val="22"/>
          <w:szCs w:val="22"/>
        </w:rPr>
        <w:t>Researchers point to several possible explanations for the increase in the proportion of minorities cared for at minority-serving hospitals in Massachusetts over the study period</w:t>
      </w:r>
      <w:r>
        <w:rPr>
          <w:rFonts w:ascii="ArialMT" w:hAnsi="ArialMT"/>
          <w:sz w:val="22"/>
          <w:szCs w:val="22"/>
        </w:rPr>
        <w:t xml:space="preserve">, </w:t>
      </w:r>
      <w:r w:rsidRPr="00C0304D">
        <w:rPr>
          <w:rFonts w:ascii="ArialMT" w:eastAsiaTheme="minorHAnsi" w:hAnsi="ArialMT" w:cstheme="minorBidi"/>
          <w:sz w:val="22"/>
          <w:szCs w:val="22"/>
        </w:rPr>
        <w:t>includ</w:t>
      </w:r>
      <w:r>
        <w:rPr>
          <w:rFonts w:ascii="ArialMT" w:hAnsi="ArialMT"/>
          <w:sz w:val="22"/>
          <w:szCs w:val="22"/>
        </w:rPr>
        <w:t>ing</w:t>
      </w:r>
      <w:r w:rsidRPr="007E4157">
        <w:rPr>
          <w:rFonts w:ascii="ArialMT" w:eastAsiaTheme="minorHAnsi" w:hAnsi="ArialMT" w:cstheme="minorBidi"/>
          <w:sz w:val="22"/>
          <w:szCs w:val="22"/>
        </w:rPr>
        <w:t xml:space="preserve">, but are not limited to </w:t>
      </w:r>
      <w:r w:rsidRPr="00C0304D">
        <w:rPr>
          <w:rFonts w:ascii="ArialMT" w:eastAsiaTheme="minorHAnsi" w:hAnsi="ArialMT" w:cstheme="minorBidi"/>
          <w:sz w:val="22"/>
          <w:szCs w:val="22"/>
        </w:rPr>
        <w:t>"loyalty" of patients</w:t>
      </w:r>
      <w:r w:rsidRPr="007E4157">
        <w:rPr>
          <w:rFonts w:ascii="ArialMT" w:eastAsiaTheme="minorHAnsi" w:hAnsi="ArialMT" w:cstheme="minorBidi"/>
          <w:sz w:val="22"/>
          <w:szCs w:val="22"/>
        </w:rPr>
        <w:t xml:space="preserve"> and </w:t>
      </w:r>
      <w:r>
        <w:rPr>
          <w:rFonts w:ascii="ArialMT" w:hAnsi="ArialMT"/>
          <w:sz w:val="22"/>
          <w:szCs w:val="22"/>
        </w:rPr>
        <w:t xml:space="preserve">access to </w:t>
      </w:r>
      <w:r w:rsidRPr="00C0304D">
        <w:rPr>
          <w:rFonts w:ascii="ArialMT" w:eastAsiaTheme="minorHAnsi" w:hAnsi="ArialMT" w:cstheme="minorBidi"/>
          <w:sz w:val="22"/>
          <w:szCs w:val="22"/>
        </w:rPr>
        <w:t>services such as insurance assistance, interpretation, and intensive case management which are often unavailable at other facilities due to poor reimbursement rates.</w:t>
      </w:r>
      <w:r w:rsidR="00FB167B">
        <w:rPr>
          <w:rFonts w:ascii="ZWAdobeF" w:eastAsiaTheme="minorHAnsi" w:hAnsi="ZWAdobeF" w:cs="ZWAdobeF"/>
          <w:sz w:val="2"/>
          <w:szCs w:val="2"/>
        </w:rPr>
        <w:t>82F</w:t>
      </w:r>
      <w:r>
        <w:rPr>
          <w:rStyle w:val="FootnoteReference"/>
          <w:rFonts w:ascii="ArialMT" w:hAnsi="ArialMT"/>
          <w:sz w:val="22"/>
          <w:szCs w:val="22"/>
        </w:rPr>
        <w:footnoteReference w:id="83"/>
      </w:r>
    </w:p>
    <w:p w14:paraId="4298D122" w14:textId="77777777" w:rsidR="00834993" w:rsidRDefault="00834993" w:rsidP="00834993">
      <w:pPr>
        <w:jc w:val="both"/>
        <w:rPr>
          <w:rFonts w:ascii="Arial" w:hAnsi="Arial" w:cs="Arial"/>
          <w:sz w:val="22"/>
          <w:szCs w:val="22"/>
        </w:rPr>
      </w:pPr>
    </w:p>
    <w:p w14:paraId="7B9BEB53" w14:textId="22E4E3EF" w:rsidR="00834993" w:rsidRPr="0094470C" w:rsidRDefault="00834993" w:rsidP="00834993">
      <w:pPr>
        <w:jc w:val="both"/>
        <w:rPr>
          <w:rFonts w:ascii="ArialMT" w:eastAsiaTheme="minorHAnsi" w:hAnsi="ArialMT" w:cstheme="minorBidi"/>
          <w:sz w:val="22"/>
          <w:szCs w:val="22"/>
        </w:rPr>
      </w:pPr>
      <w:r>
        <w:rPr>
          <w:rFonts w:ascii="ArialMT" w:hAnsi="ArialMT"/>
          <w:sz w:val="22"/>
          <w:szCs w:val="22"/>
        </w:rPr>
        <w:t>I</w:t>
      </w:r>
      <w:r w:rsidRPr="00C0304D">
        <w:rPr>
          <w:rFonts w:ascii="ArialMT" w:eastAsiaTheme="minorHAnsi" w:hAnsi="ArialMT" w:cstheme="minorBidi"/>
          <w:sz w:val="22"/>
          <w:szCs w:val="22"/>
        </w:rPr>
        <w:t xml:space="preserve">nterpretation and case management </w:t>
      </w:r>
      <w:r>
        <w:rPr>
          <w:rFonts w:ascii="ArialMT" w:hAnsi="ArialMT"/>
          <w:sz w:val="22"/>
          <w:szCs w:val="22"/>
        </w:rPr>
        <w:t xml:space="preserve">services are detailed below as well as in </w:t>
      </w:r>
      <w:r w:rsidRPr="00CB48DC">
        <w:rPr>
          <w:rFonts w:ascii="ArialMT" w:hAnsi="ArialMT"/>
          <w:color w:val="000000" w:themeColor="text1"/>
          <w:sz w:val="22"/>
          <w:szCs w:val="22"/>
        </w:rPr>
        <w:t xml:space="preserve">Factor </w:t>
      </w:r>
      <w:r w:rsidR="00CB48DC" w:rsidRPr="00CB48DC">
        <w:rPr>
          <w:rFonts w:ascii="ArialMT" w:hAnsi="ArialMT"/>
          <w:color w:val="000000" w:themeColor="text1"/>
          <w:sz w:val="22"/>
          <w:szCs w:val="22"/>
        </w:rPr>
        <w:t>F1.c</w:t>
      </w:r>
      <w:r w:rsidRPr="00CB48DC">
        <w:rPr>
          <w:rFonts w:ascii="ArialMT" w:hAnsi="ArialMT"/>
          <w:color w:val="000000" w:themeColor="text1"/>
          <w:sz w:val="22"/>
          <w:szCs w:val="22"/>
        </w:rPr>
        <w:t xml:space="preserve">. </w:t>
      </w:r>
      <w:r w:rsidRPr="00CB48DC">
        <w:rPr>
          <w:rFonts w:ascii="Arial" w:hAnsi="Arial" w:cs="Arial"/>
          <w:color w:val="000000" w:themeColor="text1"/>
          <w:sz w:val="22"/>
          <w:szCs w:val="22"/>
        </w:rPr>
        <w:t xml:space="preserve">With </w:t>
      </w:r>
      <w:r>
        <w:rPr>
          <w:rFonts w:ascii="Arial" w:hAnsi="Arial" w:cs="Arial"/>
          <w:sz w:val="22"/>
          <w:szCs w:val="22"/>
        </w:rPr>
        <w:t xml:space="preserve">regard to insurance assistance, the Applicant highlights the Hospital’s Patient Financial Assistance Program. The </w:t>
      </w:r>
      <w:r w:rsidRPr="0094470C">
        <w:rPr>
          <w:rFonts w:ascii="ArialMT" w:hAnsi="ArialMT" w:cstheme="minorBidi"/>
          <w:sz w:val="22"/>
          <w:szCs w:val="22"/>
        </w:rPr>
        <w:t xml:space="preserve">Hospital, in collaboration with its CHC partners, </w:t>
      </w:r>
      <w:r w:rsidRPr="0094470C">
        <w:rPr>
          <w:rFonts w:ascii="ArialMT" w:eastAsiaTheme="minorHAnsi" w:hAnsi="ArialMT" w:cstheme="minorBidi"/>
          <w:sz w:val="22"/>
          <w:szCs w:val="22"/>
        </w:rPr>
        <w:t>provides high quality, accessible, medically necessary services without cost or at a reduced cost to eligible patients.</w:t>
      </w:r>
      <w:r>
        <w:rPr>
          <w:rFonts w:ascii="ArialMT" w:hAnsi="ArialMT"/>
          <w:sz w:val="22"/>
          <w:szCs w:val="22"/>
        </w:rPr>
        <w:t xml:space="preserve"> Specifically, the Hospital helps </w:t>
      </w:r>
      <w:r w:rsidRPr="0094470C">
        <w:rPr>
          <w:rFonts w:ascii="ArialMT" w:eastAsiaTheme="minorHAnsi" w:hAnsi="ArialMT" w:cstheme="minorBidi"/>
          <w:sz w:val="22"/>
          <w:szCs w:val="22"/>
        </w:rPr>
        <w:t xml:space="preserve">uninsured and underinsured individuals apply for health coverage through a public assistance program or the Hospital's financial assistance program (including but not limited to MassHealth, the premium assistance payment program operated by the Health Connector, the Children's Medical Security Program, the </w:t>
      </w:r>
      <w:r w:rsidRPr="00C0304D">
        <w:rPr>
          <w:rFonts w:ascii="ArialMT" w:eastAsiaTheme="minorHAnsi" w:hAnsi="ArialMT" w:cstheme="minorBidi"/>
          <w:sz w:val="22"/>
          <w:szCs w:val="22"/>
        </w:rPr>
        <w:t>HSN</w:t>
      </w:r>
      <w:r w:rsidRPr="0094470C">
        <w:rPr>
          <w:rFonts w:ascii="ArialMT" w:eastAsiaTheme="minorHAnsi" w:hAnsi="ArialMT" w:cstheme="minorBidi"/>
          <w:sz w:val="22"/>
          <w:szCs w:val="22"/>
        </w:rPr>
        <w:t>, and Medical Hardship)</w:t>
      </w:r>
      <w:r>
        <w:rPr>
          <w:rFonts w:ascii="ArialMT" w:hAnsi="ArialMT"/>
          <w:sz w:val="22"/>
          <w:szCs w:val="22"/>
        </w:rPr>
        <w:t>. The Hospital does</w:t>
      </w:r>
      <w:r w:rsidRPr="0094470C">
        <w:rPr>
          <w:rFonts w:ascii="ArialMT" w:eastAsiaTheme="minorHAnsi" w:hAnsi="ArialMT" w:cstheme="minorBidi"/>
          <w:sz w:val="22"/>
          <w:szCs w:val="22"/>
        </w:rPr>
        <w:t xml:space="preserve"> not charge patients deemed eligible under the financial assistance policy more than Amounts Generally Billed for emergency or other medically necessary care</w:t>
      </w:r>
      <w:r>
        <w:rPr>
          <w:rFonts w:ascii="ArialMT" w:hAnsi="ArialMT"/>
          <w:sz w:val="22"/>
          <w:szCs w:val="22"/>
        </w:rPr>
        <w:t xml:space="preserve">, and </w:t>
      </w:r>
      <w:r w:rsidRPr="0094470C">
        <w:rPr>
          <w:rFonts w:ascii="ArialMT" w:eastAsiaTheme="minorHAnsi" w:hAnsi="ArialMT" w:cstheme="minorBidi"/>
          <w:sz w:val="22"/>
          <w:szCs w:val="22"/>
        </w:rPr>
        <w:t>provides financial assistance to low-income uninsured and underinsured patients who are Massachusetts residents with incomes up to 300% of the federal poverty level.</w:t>
      </w:r>
    </w:p>
    <w:p w14:paraId="279FD786" w14:textId="77777777" w:rsidR="00834993" w:rsidRDefault="00834993" w:rsidP="00834993">
      <w:pPr>
        <w:jc w:val="both"/>
        <w:rPr>
          <w:rFonts w:ascii="Arial" w:hAnsi="Arial" w:cs="Arial"/>
          <w:sz w:val="22"/>
          <w:szCs w:val="22"/>
        </w:rPr>
      </w:pPr>
    </w:p>
    <w:p w14:paraId="3A1BF9A2" w14:textId="0B424FC3" w:rsidR="00834993" w:rsidRPr="00C30C28" w:rsidRDefault="00F33C2A" w:rsidP="00834993">
      <w:pPr>
        <w:jc w:val="both"/>
        <w:rPr>
          <w:rFonts w:ascii="Arial" w:hAnsi="Arial" w:cs="Arial"/>
          <w:color w:val="000000" w:themeColor="text1"/>
          <w:sz w:val="22"/>
          <w:szCs w:val="22"/>
        </w:rPr>
      </w:pPr>
      <w:r>
        <w:rPr>
          <w:rFonts w:ascii="Arial" w:hAnsi="Arial" w:cs="Arial"/>
          <w:color w:val="000000" w:themeColor="text1"/>
          <w:sz w:val="22"/>
          <w:szCs w:val="22"/>
        </w:rPr>
        <w:t>S</w:t>
      </w:r>
      <w:r w:rsidR="00834993" w:rsidRPr="009B2E2C">
        <w:rPr>
          <w:rFonts w:ascii="Arial" w:hAnsi="Arial" w:cs="Arial"/>
          <w:color w:val="000000" w:themeColor="text1"/>
          <w:sz w:val="22"/>
          <w:szCs w:val="22"/>
        </w:rPr>
        <w:t xml:space="preserve">afety net hospitals like BMC </w:t>
      </w:r>
      <w:r w:rsidR="00834993">
        <w:rPr>
          <w:rFonts w:ascii="Arial" w:hAnsi="Arial" w:cs="Arial"/>
          <w:color w:val="000000" w:themeColor="text1"/>
          <w:sz w:val="22"/>
          <w:szCs w:val="22"/>
        </w:rPr>
        <w:t>are anticipated to</w:t>
      </w:r>
      <w:r w:rsidR="00834993" w:rsidRPr="009B2E2C">
        <w:rPr>
          <w:rFonts w:ascii="Arial" w:hAnsi="Arial" w:cs="Arial"/>
          <w:color w:val="000000" w:themeColor="text1"/>
          <w:sz w:val="22"/>
          <w:szCs w:val="22"/>
        </w:rPr>
        <w:t xml:space="preserve"> continue to play a </w:t>
      </w:r>
      <w:r w:rsidR="00834993">
        <w:rPr>
          <w:rFonts w:ascii="Arial" w:hAnsi="Arial" w:cs="Arial"/>
          <w:color w:val="000000" w:themeColor="text1"/>
          <w:sz w:val="22"/>
          <w:szCs w:val="22"/>
        </w:rPr>
        <w:t>disproportionately large</w:t>
      </w:r>
      <w:r w:rsidR="00834993" w:rsidRPr="009B2E2C">
        <w:rPr>
          <w:rFonts w:ascii="Arial" w:hAnsi="Arial" w:cs="Arial"/>
          <w:color w:val="000000" w:themeColor="text1"/>
          <w:sz w:val="22"/>
          <w:szCs w:val="22"/>
        </w:rPr>
        <w:t xml:space="preserve"> role in providing </w:t>
      </w:r>
      <w:r w:rsidR="00834993">
        <w:rPr>
          <w:rFonts w:ascii="Arial" w:hAnsi="Arial" w:cs="Arial"/>
          <w:color w:val="000000" w:themeColor="text1"/>
          <w:sz w:val="22"/>
          <w:szCs w:val="22"/>
        </w:rPr>
        <w:t>care to the area’s most under-resourced patients into the future</w:t>
      </w:r>
      <w:r>
        <w:rPr>
          <w:rFonts w:ascii="Arial" w:hAnsi="Arial" w:cs="Arial"/>
          <w:color w:val="000000" w:themeColor="text1"/>
          <w:sz w:val="22"/>
          <w:szCs w:val="22"/>
        </w:rPr>
        <w:t>.</w:t>
      </w:r>
      <w:r w:rsidR="00834993">
        <w:rPr>
          <w:rFonts w:ascii="Arial" w:hAnsi="Arial" w:cs="Arial"/>
          <w:color w:val="000000" w:themeColor="text1"/>
          <w:sz w:val="22"/>
          <w:szCs w:val="22"/>
        </w:rPr>
        <w:t xml:space="preserve"> </w:t>
      </w:r>
      <w:r>
        <w:rPr>
          <w:rFonts w:ascii="Arial" w:hAnsi="Arial" w:cs="Arial"/>
          <w:color w:val="000000" w:themeColor="text1"/>
          <w:sz w:val="22"/>
          <w:szCs w:val="22"/>
        </w:rPr>
        <w:t>I</w:t>
      </w:r>
      <w:r w:rsidR="00834993">
        <w:rPr>
          <w:rFonts w:ascii="Arial" w:hAnsi="Arial" w:cs="Arial"/>
          <w:color w:val="000000" w:themeColor="text1"/>
          <w:sz w:val="22"/>
          <w:szCs w:val="22"/>
        </w:rPr>
        <w:t>t is</w:t>
      </w:r>
      <w:r>
        <w:rPr>
          <w:rFonts w:ascii="Arial" w:hAnsi="Arial" w:cs="Arial"/>
          <w:color w:val="000000" w:themeColor="text1"/>
          <w:sz w:val="22"/>
          <w:szCs w:val="22"/>
        </w:rPr>
        <w:t xml:space="preserve"> therefore</w:t>
      </w:r>
      <w:r w:rsidR="00834993">
        <w:rPr>
          <w:rFonts w:ascii="Arial" w:hAnsi="Arial" w:cs="Arial"/>
          <w:color w:val="000000" w:themeColor="text1"/>
          <w:sz w:val="22"/>
          <w:szCs w:val="22"/>
        </w:rPr>
        <w:t xml:space="preserve"> essential to achieving the objectives of equitable care that such hospitals have the resources and depth of services necessary to provide such disadvantaged patients with timely access to high-quality care that does n</w:t>
      </w:r>
      <w:r w:rsidR="00834993" w:rsidRPr="002512C2">
        <w:rPr>
          <w:rFonts w:ascii="Arial" w:hAnsi="Arial" w:cs="Arial"/>
          <w:color w:val="000000" w:themeColor="text1"/>
          <w:sz w:val="22"/>
          <w:szCs w:val="22"/>
        </w:rPr>
        <w:t>ot jeopardize patient outcomes.</w:t>
      </w:r>
      <w:r w:rsidR="00FB167B">
        <w:rPr>
          <w:rFonts w:ascii="ZWAdobeF" w:hAnsi="ZWAdobeF" w:cs="ZWAdobeF"/>
          <w:sz w:val="2"/>
          <w:szCs w:val="2"/>
        </w:rPr>
        <w:t>83F</w:t>
      </w:r>
      <w:r w:rsidR="00834993" w:rsidRPr="002512C2">
        <w:rPr>
          <w:rStyle w:val="FootnoteReference"/>
          <w:rFonts w:ascii="Arial" w:hAnsi="Arial" w:cs="Arial"/>
          <w:color w:val="000000" w:themeColor="text1"/>
          <w:sz w:val="22"/>
          <w:szCs w:val="22"/>
        </w:rPr>
        <w:footnoteReference w:id="84"/>
      </w:r>
      <w:r w:rsidR="00834993" w:rsidRPr="002512C2">
        <w:rPr>
          <w:rFonts w:ascii="Arial" w:hAnsi="Arial" w:cs="Arial"/>
          <w:color w:val="000000" w:themeColor="text1"/>
          <w:sz w:val="22"/>
          <w:szCs w:val="22"/>
        </w:rPr>
        <w:t xml:space="preserve"> The Proposed Project seeks to facilitate these goals</w:t>
      </w:r>
      <w:r w:rsidR="00834993">
        <w:rPr>
          <w:rFonts w:ascii="Arial" w:hAnsi="Arial" w:cs="Arial"/>
          <w:color w:val="000000" w:themeColor="text1"/>
          <w:sz w:val="22"/>
          <w:szCs w:val="22"/>
        </w:rPr>
        <w:t xml:space="preserve"> by </w:t>
      </w:r>
      <w:r w:rsidR="00834993">
        <w:rPr>
          <w:rFonts w:ascii="Arial" w:hAnsi="Arial" w:cs="Arial"/>
          <w:sz w:val="22"/>
          <w:szCs w:val="22"/>
        </w:rPr>
        <w:t xml:space="preserve">increasing access to high-quality inpatient services for all of BMC’s patients. </w:t>
      </w:r>
    </w:p>
    <w:p w14:paraId="5E44A067" w14:textId="77777777" w:rsidR="00834993" w:rsidRDefault="00834993" w:rsidP="00834993">
      <w:pPr>
        <w:jc w:val="both"/>
        <w:rPr>
          <w:rFonts w:ascii="Arial" w:hAnsi="Arial" w:cs="Arial"/>
          <w:sz w:val="22"/>
          <w:szCs w:val="22"/>
        </w:rPr>
      </w:pPr>
    </w:p>
    <w:p w14:paraId="09CA867C" w14:textId="77777777" w:rsidR="00834993" w:rsidRPr="009A0631" w:rsidRDefault="00834993" w:rsidP="00834993">
      <w:pPr>
        <w:pStyle w:val="ListParagraph"/>
        <w:numPr>
          <w:ilvl w:val="0"/>
          <w:numId w:val="26"/>
        </w:numPr>
        <w:ind w:left="360"/>
        <w:jc w:val="both"/>
        <w:rPr>
          <w:rFonts w:ascii="ArialMT" w:hAnsi="ArialMT"/>
          <w:color w:val="000000" w:themeColor="text1"/>
          <w:sz w:val="22"/>
          <w:szCs w:val="22"/>
        </w:rPr>
      </w:pPr>
      <w:r w:rsidRPr="00B91CD5">
        <w:rPr>
          <w:rFonts w:ascii="Arial" w:hAnsi="Arial" w:cs="Arial"/>
          <w:smallCaps/>
          <w:sz w:val="22"/>
          <w:szCs w:val="22"/>
          <w:u w:val="single"/>
        </w:rPr>
        <w:t>#123Equity Pledge Campaign</w:t>
      </w:r>
      <w:r w:rsidRPr="00B91CD5">
        <w:rPr>
          <w:rFonts w:ascii="ArialMT" w:hAnsi="ArialMT"/>
          <w:sz w:val="22"/>
          <w:szCs w:val="22"/>
        </w:rPr>
        <w:t xml:space="preserve"> </w:t>
      </w:r>
    </w:p>
    <w:p w14:paraId="3995E836" w14:textId="77777777" w:rsidR="00834993" w:rsidRPr="009A0631" w:rsidRDefault="00834993" w:rsidP="00834993">
      <w:pPr>
        <w:pStyle w:val="ListParagraph"/>
        <w:jc w:val="both"/>
        <w:rPr>
          <w:color w:val="000000" w:themeColor="text1"/>
        </w:rPr>
      </w:pPr>
    </w:p>
    <w:p w14:paraId="46FA3D0D" w14:textId="481CC4F0" w:rsidR="00834993" w:rsidRPr="009A0631" w:rsidRDefault="00834993" w:rsidP="00834993">
      <w:pPr>
        <w:jc w:val="both"/>
        <w:rPr>
          <w:rFonts w:ascii="ArialMT" w:hAnsi="ArialMT"/>
          <w:color w:val="000000" w:themeColor="text1"/>
          <w:sz w:val="22"/>
          <w:szCs w:val="22"/>
        </w:rPr>
      </w:pPr>
      <w:r w:rsidRPr="009A0631">
        <w:rPr>
          <w:rFonts w:ascii="ArialMT" w:hAnsi="ArialMT"/>
          <w:color w:val="000000" w:themeColor="text1"/>
          <w:sz w:val="22"/>
          <w:szCs w:val="22"/>
        </w:rPr>
        <w:t xml:space="preserve">BMC also </w:t>
      </w:r>
      <w:r w:rsidRPr="00B91CD5">
        <w:rPr>
          <w:rFonts w:ascii="ArialMT" w:hAnsi="ArialMT"/>
          <w:color w:val="000000" w:themeColor="text1"/>
          <w:sz w:val="22"/>
          <w:szCs w:val="22"/>
        </w:rPr>
        <w:t>participate</w:t>
      </w:r>
      <w:r w:rsidRPr="009A0631">
        <w:rPr>
          <w:rFonts w:ascii="ArialMT" w:hAnsi="ArialMT"/>
          <w:color w:val="000000" w:themeColor="text1"/>
          <w:sz w:val="22"/>
          <w:szCs w:val="22"/>
        </w:rPr>
        <w:t>s</w:t>
      </w:r>
      <w:r w:rsidRPr="00B91CD5">
        <w:rPr>
          <w:rFonts w:ascii="ArialMT" w:hAnsi="ArialMT"/>
          <w:color w:val="000000" w:themeColor="text1"/>
          <w:sz w:val="22"/>
          <w:szCs w:val="22"/>
        </w:rPr>
        <w:t xml:space="preserve"> in the American Hospital Association’s #123Equity Pledge Campaign.</w:t>
      </w:r>
      <w:r w:rsidRPr="009A0631">
        <w:rPr>
          <w:rFonts w:ascii="ArialMT" w:hAnsi="ArialMT"/>
          <w:color w:val="000000" w:themeColor="text1"/>
          <w:sz w:val="22"/>
          <w:szCs w:val="22"/>
        </w:rPr>
        <w:t xml:space="preserve"> Launched in 2015, t</w:t>
      </w:r>
      <w:r w:rsidRPr="00B91CD5">
        <w:rPr>
          <w:rFonts w:ascii="ArialMT" w:hAnsi="ArialMT"/>
          <w:color w:val="000000" w:themeColor="text1"/>
          <w:sz w:val="22"/>
          <w:szCs w:val="22"/>
        </w:rPr>
        <w:t xml:space="preserve">his Campaign </w:t>
      </w:r>
      <w:r w:rsidRPr="009A0631">
        <w:rPr>
          <w:rFonts w:ascii="ArialMT" w:hAnsi="ArialMT"/>
          <w:color w:val="000000" w:themeColor="text1"/>
          <w:sz w:val="22"/>
          <w:szCs w:val="22"/>
        </w:rPr>
        <w:t>builds on the efforts of the National Call to Action to Eliminate Health Care Disparities</w:t>
      </w:r>
      <w:r w:rsidR="00A05D16">
        <w:rPr>
          <w:rFonts w:ascii="ArialMT" w:hAnsi="ArialMT"/>
          <w:color w:val="000000" w:themeColor="text1"/>
          <w:sz w:val="22"/>
          <w:szCs w:val="22"/>
        </w:rPr>
        <w:t xml:space="preserve"> (</w:t>
      </w:r>
      <w:r w:rsidRPr="009A0631">
        <w:rPr>
          <w:rFonts w:ascii="ArialMT" w:hAnsi="ArialMT"/>
          <w:color w:val="000000" w:themeColor="text1"/>
          <w:sz w:val="22"/>
          <w:szCs w:val="22"/>
        </w:rPr>
        <w:t>a joint effort of the American Hospital Association, American College of Healthcare Executives, Association of American Medical Colleges, Catholic Health Association of the United States and America’s Essential Hospitals</w:t>
      </w:r>
      <w:r w:rsidR="00A05D16">
        <w:rPr>
          <w:rFonts w:ascii="ArialMT" w:hAnsi="ArialMT"/>
          <w:color w:val="000000" w:themeColor="text1"/>
          <w:sz w:val="22"/>
          <w:szCs w:val="22"/>
        </w:rPr>
        <w:t xml:space="preserve">) </w:t>
      </w:r>
      <w:r w:rsidR="00F33C2A">
        <w:rPr>
          <w:rFonts w:ascii="ArialMT" w:hAnsi="ArialMT"/>
          <w:color w:val="000000" w:themeColor="text1"/>
          <w:sz w:val="22"/>
          <w:szCs w:val="22"/>
        </w:rPr>
        <w:t xml:space="preserve">and </w:t>
      </w:r>
      <w:r w:rsidRPr="009A0631">
        <w:rPr>
          <w:rFonts w:ascii="ArialMT" w:hAnsi="ArialMT"/>
          <w:color w:val="000000" w:themeColor="text1"/>
          <w:sz w:val="22"/>
          <w:szCs w:val="22"/>
        </w:rPr>
        <w:t>asks hospital and health system leaders to begin taking action to accelerate progress on the following areas:</w:t>
      </w:r>
      <w:r w:rsidRPr="00B91CD5">
        <w:rPr>
          <w:rFonts w:ascii="ArialMT" w:hAnsi="ArialMT"/>
          <w:color w:val="000000" w:themeColor="text1"/>
          <w:sz w:val="22"/>
          <w:szCs w:val="22"/>
        </w:rPr>
        <w:t xml:space="preserve"> (1) </w:t>
      </w:r>
      <w:r w:rsidR="00F33C2A">
        <w:rPr>
          <w:rFonts w:ascii="ArialMT" w:hAnsi="ArialMT"/>
          <w:color w:val="000000" w:themeColor="text1"/>
          <w:sz w:val="22"/>
          <w:szCs w:val="22"/>
        </w:rPr>
        <w:t>i</w:t>
      </w:r>
      <w:r w:rsidRPr="00B91CD5">
        <w:rPr>
          <w:rFonts w:ascii="ArialMT" w:hAnsi="ArialMT"/>
          <w:color w:val="000000" w:themeColor="text1"/>
          <w:sz w:val="22"/>
          <w:szCs w:val="22"/>
        </w:rPr>
        <w:t xml:space="preserve">ncreasing the collection and use of race, ethnicity, language preference and other socio-demographic data; (2) </w:t>
      </w:r>
      <w:r w:rsidR="00F33C2A">
        <w:rPr>
          <w:rFonts w:ascii="ArialMT" w:hAnsi="ArialMT"/>
          <w:color w:val="000000" w:themeColor="text1"/>
          <w:sz w:val="22"/>
          <w:szCs w:val="22"/>
        </w:rPr>
        <w:t>i</w:t>
      </w:r>
      <w:r w:rsidRPr="00B91CD5">
        <w:rPr>
          <w:rFonts w:ascii="ArialMT" w:hAnsi="ArialMT"/>
          <w:color w:val="000000" w:themeColor="text1"/>
          <w:sz w:val="22"/>
          <w:szCs w:val="22"/>
        </w:rPr>
        <w:t xml:space="preserve">ncreasing cultural competency training; (3) </w:t>
      </w:r>
      <w:r w:rsidR="00F33C2A">
        <w:rPr>
          <w:rFonts w:ascii="ArialMT" w:hAnsi="ArialMT"/>
          <w:color w:val="000000" w:themeColor="text1"/>
          <w:sz w:val="22"/>
          <w:szCs w:val="22"/>
        </w:rPr>
        <w:t>i</w:t>
      </w:r>
      <w:r w:rsidRPr="00B91CD5">
        <w:rPr>
          <w:rFonts w:ascii="ArialMT" w:hAnsi="ArialMT"/>
          <w:color w:val="000000" w:themeColor="text1"/>
          <w:sz w:val="22"/>
          <w:szCs w:val="22"/>
        </w:rPr>
        <w:t xml:space="preserve">ncreasing diversity in leadership and governance; and (4) </w:t>
      </w:r>
      <w:r w:rsidR="00F33C2A">
        <w:rPr>
          <w:rFonts w:ascii="ArialMT" w:hAnsi="ArialMT"/>
          <w:color w:val="000000" w:themeColor="text1"/>
          <w:sz w:val="22"/>
          <w:szCs w:val="22"/>
        </w:rPr>
        <w:t>i</w:t>
      </w:r>
      <w:r w:rsidRPr="00B91CD5">
        <w:rPr>
          <w:rFonts w:ascii="ArialMT" w:hAnsi="ArialMT"/>
          <w:color w:val="000000" w:themeColor="text1"/>
          <w:sz w:val="22"/>
          <w:szCs w:val="22"/>
        </w:rPr>
        <w:t xml:space="preserve">mproving and strengthening community partnerships. </w:t>
      </w:r>
      <w:r w:rsidRPr="009A0631">
        <w:rPr>
          <w:rFonts w:ascii="ArialMT" w:hAnsi="ArialMT"/>
          <w:color w:val="000000" w:themeColor="text1"/>
          <w:sz w:val="22"/>
          <w:szCs w:val="22"/>
        </w:rPr>
        <w:t>Examples of</w:t>
      </w:r>
      <w:r w:rsidRPr="00B91CD5">
        <w:rPr>
          <w:rFonts w:ascii="ArialMT" w:hAnsi="ArialMT"/>
          <w:color w:val="000000" w:themeColor="text1"/>
          <w:sz w:val="22"/>
          <w:szCs w:val="22"/>
        </w:rPr>
        <w:t xml:space="preserve"> ways in which </w:t>
      </w:r>
      <w:r w:rsidRPr="009A0631">
        <w:rPr>
          <w:rFonts w:ascii="ArialMT" w:hAnsi="ArialMT"/>
          <w:color w:val="000000" w:themeColor="text1"/>
          <w:sz w:val="22"/>
          <w:szCs w:val="22"/>
        </w:rPr>
        <w:t>BMC</w:t>
      </w:r>
      <w:r w:rsidRPr="00B91CD5">
        <w:rPr>
          <w:rFonts w:ascii="ArialMT" w:hAnsi="ArialMT"/>
          <w:color w:val="000000" w:themeColor="text1"/>
          <w:sz w:val="22"/>
          <w:szCs w:val="22"/>
        </w:rPr>
        <w:t xml:space="preserve"> has accelerated progress in these areas are addressed below in </w:t>
      </w:r>
      <w:r w:rsidRPr="009A0631">
        <w:rPr>
          <w:rFonts w:ascii="ArialMT" w:hAnsi="ArialMT"/>
          <w:color w:val="000000" w:themeColor="text1"/>
          <w:sz w:val="22"/>
          <w:szCs w:val="22"/>
        </w:rPr>
        <w:t>the discussion related to</w:t>
      </w:r>
      <w:r w:rsidRPr="00B91CD5">
        <w:rPr>
          <w:rFonts w:ascii="ArialMT" w:hAnsi="ArialMT"/>
          <w:color w:val="000000" w:themeColor="text1"/>
          <w:sz w:val="22"/>
          <w:szCs w:val="22"/>
        </w:rPr>
        <w:t xml:space="preserve"> culturally appropriate care and language acces</w:t>
      </w:r>
      <w:r w:rsidRPr="009A0631">
        <w:rPr>
          <w:rFonts w:ascii="ArialMT" w:hAnsi="ArialMT"/>
          <w:color w:val="000000" w:themeColor="text1"/>
          <w:sz w:val="22"/>
          <w:szCs w:val="22"/>
        </w:rPr>
        <w:t>s</w:t>
      </w:r>
      <w:r w:rsidRPr="00B91CD5">
        <w:rPr>
          <w:rFonts w:ascii="ArialMT" w:hAnsi="ArialMT"/>
          <w:color w:val="000000" w:themeColor="text1"/>
          <w:sz w:val="22"/>
          <w:szCs w:val="22"/>
        </w:rPr>
        <w:t xml:space="preserve">. </w:t>
      </w:r>
    </w:p>
    <w:p w14:paraId="090508F9" w14:textId="77777777" w:rsidR="00834993" w:rsidRPr="009A0631" w:rsidRDefault="00834993" w:rsidP="00834993">
      <w:pPr>
        <w:rPr>
          <w:rFonts w:ascii="Arial" w:hAnsi="Arial" w:cs="Arial"/>
          <w:color w:val="000000" w:themeColor="text1"/>
          <w:sz w:val="22"/>
          <w:szCs w:val="22"/>
        </w:rPr>
      </w:pPr>
    </w:p>
    <w:p w14:paraId="2135E57E" w14:textId="77777777" w:rsidR="00834993" w:rsidRPr="009A0631" w:rsidRDefault="00834993" w:rsidP="00834993">
      <w:pPr>
        <w:pStyle w:val="ListParagraph"/>
        <w:numPr>
          <w:ilvl w:val="0"/>
          <w:numId w:val="26"/>
        </w:numPr>
        <w:ind w:left="360"/>
        <w:rPr>
          <w:rFonts w:ascii="Arial" w:hAnsi="Arial" w:cs="Arial"/>
          <w:smallCaps/>
          <w:color w:val="000000" w:themeColor="text1"/>
          <w:sz w:val="22"/>
          <w:szCs w:val="22"/>
          <w:u w:val="single"/>
        </w:rPr>
      </w:pPr>
      <w:r w:rsidRPr="009A0631">
        <w:rPr>
          <w:rFonts w:ascii="Arial" w:hAnsi="Arial" w:cs="Arial"/>
          <w:smallCaps/>
          <w:color w:val="000000" w:themeColor="text1"/>
          <w:sz w:val="22"/>
          <w:szCs w:val="22"/>
          <w:u w:val="single"/>
        </w:rPr>
        <w:t>Culturally Appropriate Care and Language Access</w:t>
      </w:r>
    </w:p>
    <w:p w14:paraId="2BB1CC9F" w14:textId="77777777" w:rsidR="00834993" w:rsidRPr="009A0631" w:rsidRDefault="00834993" w:rsidP="00834993">
      <w:pPr>
        <w:rPr>
          <w:rFonts w:ascii="Arial" w:hAnsi="Arial" w:cs="Arial"/>
          <w:color w:val="000000" w:themeColor="text1"/>
          <w:sz w:val="22"/>
          <w:szCs w:val="22"/>
        </w:rPr>
      </w:pPr>
    </w:p>
    <w:p w14:paraId="5F03ABED" w14:textId="77777777" w:rsidR="00834993" w:rsidRPr="004F2F15" w:rsidRDefault="00834993" w:rsidP="00834993">
      <w:pPr>
        <w:jc w:val="both"/>
        <w:rPr>
          <w:rFonts w:ascii="Arial" w:hAnsi="Arial" w:cs="Arial"/>
          <w:color w:val="000000" w:themeColor="text1"/>
          <w:sz w:val="22"/>
          <w:szCs w:val="22"/>
        </w:rPr>
      </w:pPr>
      <w:r w:rsidRPr="009A0631">
        <w:rPr>
          <w:rFonts w:ascii="Arial" w:hAnsi="Arial" w:cs="Arial"/>
          <w:color w:val="000000" w:themeColor="text1"/>
          <w:sz w:val="22"/>
          <w:szCs w:val="22"/>
        </w:rPr>
        <w:t>The further ensure equal access to Hospital services</w:t>
      </w:r>
      <w:r w:rsidRPr="004F2F15">
        <w:rPr>
          <w:rFonts w:ascii="Arial" w:hAnsi="Arial" w:cs="Arial"/>
          <w:color w:val="000000" w:themeColor="text1"/>
          <w:sz w:val="22"/>
          <w:szCs w:val="22"/>
        </w:rPr>
        <w:t xml:space="preserve">, BMC has adopted the United States Department of Health and Human Services Office of Minority Health’s Culturally and Linguistically Appropriate Services (“CLAS”) standards. Specifically, BMC </w:t>
      </w:r>
      <w:r w:rsidRPr="004F2F15">
        <w:rPr>
          <w:rFonts w:ascii="Arial" w:hAnsi="Arial" w:cs="Arial"/>
          <w:sz w:val="22"/>
          <w:szCs w:val="22"/>
        </w:rPr>
        <w:t>has supported the adoption of the CLAS standards in the following ways, as divided into the six categories provided in DPH’s guide to CLAS, “</w:t>
      </w:r>
      <w:r w:rsidRPr="004F2F15">
        <w:rPr>
          <w:rFonts w:ascii="Arial" w:hAnsi="Arial" w:cs="Arial"/>
          <w:i/>
          <w:iCs/>
          <w:sz w:val="22"/>
          <w:szCs w:val="22"/>
        </w:rPr>
        <w:t>Making CLAS Happen: Six Areas for Action”</w:t>
      </w:r>
      <w:r w:rsidRPr="004F2F15">
        <w:rPr>
          <w:rFonts w:ascii="Arial" w:hAnsi="Arial" w:cs="Arial"/>
          <w:sz w:val="22"/>
          <w:szCs w:val="22"/>
        </w:rPr>
        <w:t>:</w:t>
      </w:r>
    </w:p>
    <w:p w14:paraId="2AE79DD5" w14:textId="77777777" w:rsidR="00834993" w:rsidRDefault="00834993" w:rsidP="00834993">
      <w:pPr>
        <w:rPr>
          <w:rFonts w:ascii="Arial" w:hAnsi="Arial" w:cs="Arial"/>
          <w:sz w:val="22"/>
          <w:szCs w:val="22"/>
        </w:rPr>
      </w:pPr>
    </w:p>
    <w:p w14:paraId="129EBC17" w14:textId="77777777" w:rsidR="00834993" w:rsidRPr="00880472" w:rsidRDefault="00834993" w:rsidP="00834993">
      <w:pPr>
        <w:pStyle w:val="ListParagraph"/>
        <w:numPr>
          <w:ilvl w:val="0"/>
          <w:numId w:val="29"/>
        </w:numPr>
        <w:jc w:val="both"/>
        <w:rPr>
          <w:rStyle w:val="normaltextrun"/>
          <w:rFonts w:ascii="Arial" w:hAnsi="Arial" w:cs="Arial"/>
          <w:sz w:val="22"/>
          <w:szCs w:val="22"/>
        </w:rPr>
      </w:pPr>
      <w:r>
        <w:rPr>
          <w:rStyle w:val="normaltextrun"/>
          <w:rFonts w:ascii="Arial" w:hAnsi="Arial" w:cs="Arial"/>
          <w:b/>
          <w:bCs/>
          <w:sz w:val="22"/>
          <w:szCs w:val="22"/>
        </w:rPr>
        <w:t>Foster Cultural Competence</w:t>
      </w:r>
      <w:r w:rsidRPr="004D0B30">
        <w:rPr>
          <w:rStyle w:val="normaltextrun"/>
          <w:rFonts w:ascii="Arial" w:hAnsi="Arial" w:cs="Arial"/>
          <w:b/>
          <w:bCs/>
          <w:sz w:val="22"/>
          <w:szCs w:val="22"/>
        </w:rPr>
        <w:t>:</w:t>
      </w:r>
      <w:r>
        <w:rPr>
          <w:rStyle w:val="normaltextrun"/>
          <w:rFonts w:ascii="Arial" w:hAnsi="Arial" w:cs="Arial"/>
          <w:b/>
          <w:bCs/>
          <w:sz w:val="22"/>
          <w:szCs w:val="22"/>
        </w:rPr>
        <w:t xml:space="preserve"> </w:t>
      </w:r>
      <w:r w:rsidRPr="00F9478B">
        <w:rPr>
          <w:rStyle w:val="normaltextrun"/>
          <w:rFonts w:ascii="Arial" w:hAnsi="Arial" w:cs="Arial"/>
          <w:sz w:val="22"/>
          <w:szCs w:val="22"/>
        </w:rPr>
        <w:t xml:space="preserve">The Hospital requires staff to complete various CLAS training programs, </w:t>
      </w:r>
      <w:r>
        <w:rPr>
          <w:rStyle w:val="normaltextrun"/>
          <w:rFonts w:ascii="Arial" w:hAnsi="Arial" w:cs="Arial"/>
          <w:sz w:val="22"/>
          <w:szCs w:val="22"/>
        </w:rPr>
        <w:t>the objectives of which are to ensure effective use of interpreter services and CLAS standards.</w:t>
      </w:r>
      <w:r>
        <w:rPr>
          <w:rStyle w:val="normaltextrun"/>
          <w:rFonts w:ascii="Arial" w:hAnsi="Arial" w:cs="Arial"/>
          <w:b/>
          <w:bCs/>
          <w:sz w:val="22"/>
          <w:szCs w:val="22"/>
        </w:rPr>
        <w:t xml:space="preserve"> </w:t>
      </w:r>
      <w:r w:rsidRPr="00880472">
        <w:rPr>
          <w:rFonts w:ascii="Arial" w:hAnsi="Arial" w:cs="Arial"/>
          <w:sz w:val="22"/>
          <w:szCs w:val="22"/>
        </w:rPr>
        <w:t>Additionally, in FY21, BMC’s Interpreter Services Department</w:t>
      </w:r>
      <w:r>
        <w:rPr>
          <w:rFonts w:ascii="Arial" w:hAnsi="Arial" w:cs="Arial"/>
          <w:sz w:val="22"/>
          <w:szCs w:val="22"/>
        </w:rPr>
        <w:t xml:space="preserve"> (”ISD”)</w:t>
      </w:r>
      <w:r w:rsidRPr="00880472">
        <w:rPr>
          <w:rFonts w:ascii="Arial" w:hAnsi="Arial" w:cs="Arial"/>
          <w:sz w:val="22"/>
          <w:szCs w:val="22"/>
        </w:rPr>
        <w:t xml:space="preserve">, along with Pediatrics, created a tool called "The 10 and 10". This tool provides 10 tips on working with interpreters and 10 tips on working with multicultural patients. Providers at BMC use this tool to train staff on the use of interpreters </w:t>
      </w:r>
      <w:r>
        <w:rPr>
          <w:rFonts w:ascii="Arial" w:hAnsi="Arial" w:cs="Arial"/>
          <w:sz w:val="22"/>
          <w:szCs w:val="22"/>
        </w:rPr>
        <w:t>and</w:t>
      </w:r>
      <w:r w:rsidRPr="00880472">
        <w:rPr>
          <w:rFonts w:ascii="Arial" w:hAnsi="Arial" w:cs="Arial"/>
          <w:sz w:val="22"/>
          <w:szCs w:val="22"/>
        </w:rPr>
        <w:t xml:space="preserve"> hel</w:t>
      </w:r>
      <w:r>
        <w:rPr>
          <w:rFonts w:ascii="Arial" w:hAnsi="Arial" w:cs="Arial"/>
          <w:sz w:val="22"/>
          <w:szCs w:val="22"/>
        </w:rPr>
        <w:t>p</w:t>
      </w:r>
      <w:r w:rsidRPr="00880472">
        <w:rPr>
          <w:rFonts w:ascii="Arial" w:hAnsi="Arial" w:cs="Arial"/>
          <w:sz w:val="22"/>
          <w:szCs w:val="22"/>
        </w:rPr>
        <w:t xml:space="preserve"> them have a better understanding and respect of patient diversity. </w:t>
      </w:r>
      <w:r>
        <w:rPr>
          <w:rFonts w:ascii="Arial" w:hAnsi="Arial" w:cs="Arial"/>
          <w:sz w:val="22"/>
          <w:szCs w:val="22"/>
        </w:rPr>
        <w:t xml:space="preserve">BMC will </w:t>
      </w:r>
      <w:r w:rsidRPr="00880472">
        <w:rPr>
          <w:rFonts w:ascii="Arial" w:hAnsi="Arial" w:cs="Arial"/>
          <w:sz w:val="22"/>
          <w:szCs w:val="22"/>
        </w:rPr>
        <w:t xml:space="preserve">continue working </w:t>
      </w:r>
      <w:r>
        <w:rPr>
          <w:rFonts w:ascii="Arial" w:hAnsi="Arial" w:cs="Arial"/>
          <w:sz w:val="22"/>
          <w:szCs w:val="22"/>
        </w:rPr>
        <w:t>to</w:t>
      </w:r>
      <w:r w:rsidRPr="00880472">
        <w:rPr>
          <w:rFonts w:ascii="Arial" w:hAnsi="Arial" w:cs="Arial"/>
          <w:sz w:val="22"/>
          <w:szCs w:val="22"/>
        </w:rPr>
        <w:t xml:space="preserve"> expand this tool </w:t>
      </w:r>
      <w:r>
        <w:rPr>
          <w:rFonts w:ascii="Arial" w:hAnsi="Arial" w:cs="Arial"/>
          <w:sz w:val="22"/>
          <w:szCs w:val="22"/>
        </w:rPr>
        <w:t>f</w:t>
      </w:r>
      <w:r w:rsidRPr="00880472">
        <w:rPr>
          <w:rFonts w:ascii="Arial" w:hAnsi="Arial" w:cs="Arial"/>
          <w:sz w:val="22"/>
          <w:szCs w:val="22"/>
        </w:rPr>
        <w:t xml:space="preserve">or FY22 </w:t>
      </w:r>
      <w:r>
        <w:rPr>
          <w:rFonts w:ascii="Arial" w:hAnsi="Arial" w:cs="Arial"/>
          <w:sz w:val="22"/>
          <w:szCs w:val="22"/>
        </w:rPr>
        <w:t>and beyond</w:t>
      </w:r>
      <w:r w:rsidRPr="00880472">
        <w:rPr>
          <w:rFonts w:ascii="Arial" w:hAnsi="Arial" w:cs="Arial"/>
          <w:sz w:val="22"/>
          <w:szCs w:val="22"/>
        </w:rPr>
        <w:t>.</w:t>
      </w:r>
    </w:p>
    <w:p w14:paraId="6EA26B4F" w14:textId="77777777" w:rsidR="00834993" w:rsidRDefault="00834993" w:rsidP="00834993">
      <w:pPr>
        <w:pStyle w:val="ListParagraph"/>
        <w:jc w:val="both"/>
        <w:rPr>
          <w:rStyle w:val="normaltextrun"/>
          <w:rFonts w:ascii="Arial" w:hAnsi="Arial" w:cs="Arial"/>
          <w:sz w:val="22"/>
          <w:szCs w:val="22"/>
        </w:rPr>
      </w:pPr>
    </w:p>
    <w:p w14:paraId="67FBB54D" w14:textId="6282A1AC" w:rsidR="00834993" w:rsidRPr="00F61ED2" w:rsidRDefault="00834993" w:rsidP="00F61ED2">
      <w:pPr>
        <w:pStyle w:val="NormalWeb"/>
        <w:numPr>
          <w:ilvl w:val="0"/>
          <w:numId w:val="29"/>
        </w:numPr>
        <w:spacing w:before="0" w:beforeAutospacing="0" w:after="0" w:afterAutospacing="0"/>
        <w:jc w:val="both"/>
        <w:rPr>
          <w:rFonts w:ascii="Arial" w:hAnsi="Arial" w:cs="Arial"/>
          <w:b/>
          <w:bCs/>
          <w:sz w:val="22"/>
          <w:szCs w:val="22"/>
        </w:rPr>
      </w:pPr>
      <w:r w:rsidRPr="004F2F15">
        <w:rPr>
          <w:rFonts w:ascii="Arial" w:hAnsi="Arial" w:cs="Arial"/>
          <w:b/>
          <w:bCs/>
          <w:sz w:val="22"/>
          <w:szCs w:val="22"/>
        </w:rPr>
        <w:t>Build Community Partnerships:</w:t>
      </w:r>
      <w:r>
        <w:rPr>
          <w:rFonts w:ascii="Arial" w:hAnsi="Arial" w:cs="Arial"/>
          <w:b/>
          <w:bCs/>
          <w:sz w:val="22"/>
          <w:szCs w:val="22"/>
        </w:rPr>
        <w:t xml:space="preserve"> </w:t>
      </w:r>
      <w:r w:rsidRPr="00C91E0F">
        <w:rPr>
          <w:rFonts w:ascii="Arial" w:hAnsi="Arial" w:cs="Arial"/>
          <w:sz w:val="22"/>
          <w:szCs w:val="22"/>
        </w:rPr>
        <w:t>BMC</w:t>
      </w:r>
      <w:r>
        <w:rPr>
          <w:rFonts w:ascii="Arial" w:hAnsi="Arial" w:cs="Arial"/>
          <w:sz w:val="22"/>
          <w:szCs w:val="22"/>
        </w:rPr>
        <w:t xml:space="preserve"> is deeply rooted in the Boston community and </w:t>
      </w:r>
      <w:r w:rsidR="00F61ED2">
        <w:rPr>
          <w:rFonts w:ascii="Arial" w:hAnsi="Arial" w:cs="Arial"/>
          <w:sz w:val="22"/>
          <w:szCs w:val="22"/>
        </w:rPr>
        <w:t xml:space="preserve">is committed to </w:t>
      </w:r>
      <w:r>
        <w:rPr>
          <w:rFonts w:ascii="Arial" w:hAnsi="Arial" w:cs="Arial"/>
          <w:sz w:val="22"/>
          <w:szCs w:val="22"/>
        </w:rPr>
        <w:t>collaborat</w:t>
      </w:r>
      <w:r w:rsidR="00F61ED2">
        <w:rPr>
          <w:rFonts w:ascii="Arial" w:hAnsi="Arial" w:cs="Arial"/>
          <w:sz w:val="22"/>
          <w:szCs w:val="22"/>
        </w:rPr>
        <w:t>ing</w:t>
      </w:r>
      <w:r>
        <w:rPr>
          <w:rFonts w:ascii="Arial" w:hAnsi="Arial" w:cs="Arial"/>
          <w:sz w:val="22"/>
          <w:szCs w:val="22"/>
        </w:rPr>
        <w:t xml:space="preserve"> with community providers and organizations to improve the health and well-being of the vulnerable patient populations it serves. In addition to partnering with various CHCs </w:t>
      </w:r>
      <w:r w:rsidRPr="00701262">
        <w:rPr>
          <w:rFonts w:ascii="Arial" w:hAnsi="Arial" w:cs="Arial"/>
          <w:sz w:val="22"/>
          <w:szCs w:val="22"/>
        </w:rPr>
        <w:t>to meet patients’ health care needs in the communities where they live</w:t>
      </w:r>
      <w:r>
        <w:rPr>
          <w:rFonts w:ascii="Arial" w:hAnsi="Arial" w:cs="Arial"/>
          <w:sz w:val="22"/>
          <w:szCs w:val="22"/>
        </w:rPr>
        <w:t xml:space="preserve">, BMC also </w:t>
      </w:r>
      <w:r w:rsidR="00F61ED2" w:rsidRPr="00F61ED2">
        <w:rPr>
          <w:rFonts w:ascii="Arial" w:hAnsi="Arial" w:cs="Arial"/>
          <w:sz w:val="22"/>
          <w:szCs w:val="22"/>
        </w:rPr>
        <w:t>has long-term relationships with many diverse community-based service organizations</w:t>
      </w:r>
      <w:r w:rsidR="00F61ED2">
        <w:rPr>
          <w:rFonts w:ascii="Arial" w:hAnsi="Arial" w:cs="Arial"/>
          <w:sz w:val="22"/>
          <w:szCs w:val="22"/>
        </w:rPr>
        <w:t xml:space="preserve"> and offers a number of </w:t>
      </w:r>
      <w:r w:rsidR="0044496B">
        <w:rPr>
          <w:rFonts w:ascii="Arial" w:hAnsi="Arial" w:cs="Arial"/>
          <w:sz w:val="22"/>
          <w:szCs w:val="22"/>
        </w:rPr>
        <w:t xml:space="preserve">hospital-based </w:t>
      </w:r>
      <w:r w:rsidR="00F61ED2">
        <w:rPr>
          <w:rFonts w:ascii="Arial" w:hAnsi="Arial" w:cs="Arial"/>
          <w:sz w:val="22"/>
          <w:szCs w:val="22"/>
        </w:rPr>
        <w:t>programs and initiatives aimed at addressing</w:t>
      </w:r>
      <w:r w:rsidR="00F61ED2">
        <w:rPr>
          <w:rFonts w:ascii="Arial" w:hAnsi="Arial" w:cs="Arial"/>
          <w:b/>
          <w:bCs/>
          <w:sz w:val="22"/>
          <w:szCs w:val="22"/>
        </w:rPr>
        <w:t xml:space="preserve"> </w:t>
      </w:r>
      <w:r w:rsidRPr="00F61ED2">
        <w:rPr>
          <w:rFonts w:ascii="Arial" w:hAnsi="Arial" w:cs="Arial"/>
          <w:sz w:val="22"/>
          <w:szCs w:val="22"/>
        </w:rPr>
        <w:t xml:space="preserve">health needs outside of the traditional medical model. Examples include, but are not limited to, investments in housing, food-related programs, programs related to careers in health care and education for youth, the Violence Intervention Advocacy Program, Elders Living at Home Program, Project TRUST, and StreetCred. </w:t>
      </w:r>
    </w:p>
    <w:p w14:paraId="3E6731B3" w14:textId="77777777" w:rsidR="00834993" w:rsidRPr="00AE431D" w:rsidRDefault="00834993" w:rsidP="00834993">
      <w:pPr>
        <w:pStyle w:val="ListParagraph"/>
        <w:rPr>
          <w:rFonts w:ascii="Arial" w:hAnsi="Arial" w:cs="Arial"/>
          <w:sz w:val="22"/>
          <w:szCs w:val="22"/>
        </w:rPr>
      </w:pPr>
    </w:p>
    <w:p w14:paraId="17EA7AFE" w14:textId="5D37F35B" w:rsidR="00834993" w:rsidRDefault="00834993" w:rsidP="00834993">
      <w:pPr>
        <w:pStyle w:val="NormalWeb"/>
        <w:spacing w:before="0" w:beforeAutospacing="0" w:after="0" w:afterAutospacing="0"/>
        <w:ind w:left="720"/>
        <w:jc w:val="both"/>
        <w:rPr>
          <w:rFonts w:ascii="Arial" w:hAnsi="Arial" w:cs="Arial"/>
          <w:sz w:val="22"/>
          <w:szCs w:val="22"/>
        </w:rPr>
      </w:pPr>
      <w:r>
        <w:rPr>
          <w:rFonts w:ascii="Arial" w:hAnsi="Arial" w:cs="Arial"/>
          <w:sz w:val="22"/>
          <w:szCs w:val="22"/>
        </w:rPr>
        <w:t>Moreover</w:t>
      </w:r>
      <w:r w:rsidRPr="00AE431D">
        <w:rPr>
          <w:rFonts w:ascii="Arial" w:hAnsi="Arial" w:cs="Arial"/>
          <w:sz w:val="22"/>
          <w:szCs w:val="22"/>
        </w:rPr>
        <w:t xml:space="preserve">, the </w:t>
      </w:r>
      <w:r>
        <w:rPr>
          <w:rFonts w:ascii="Arial" w:hAnsi="Arial" w:cs="Arial"/>
          <w:sz w:val="22"/>
          <w:szCs w:val="22"/>
        </w:rPr>
        <w:t>Applicant</w:t>
      </w:r>
      <w:r w:rsidRPr="00AE431D">
        <w:rPr>
          <w:rFonts w:ascii="Arial" w:hAnsi="Arial" w:cs="Arial"/>
          <w:sz w:val="22"/>
          <w:szCs w:val="22"/>
        </w:rPr>
        <w:t xml:space="preserve"> highlights </w:t>
      </w:r>
      <w:r>
        <w:rPr>
          <w:rFonts w:ascii="Arial" w:hAnsi="Arial" w:cs="Arial"/>
          <w:sz w:val="22"/>
          <w:szCs w:val="22"/>
        </w:rPr>
        <w:t>the Hospital’s</w:t>
      </w:r>
      <w:r w:rsidRPr="00AE431D">
        <w:rPr>
          <w:rFonts w:ascii="Arial" w:hAnsi="Arial" w:cs="Arial"/>
          <w:sz w:val="22"/>
          <w:szCs w:val="22"/>
        </w:rPr>
        <w:t xml:space="preserve"> </w:t>
      </w:r>
      <w:r>
        <w:rPr>
          <w:rFonts w:ascii="Arial" w:hAnsi="Arial" w:cs="Arial"/>
          <w:sz w:val="22"/>
          <w:szCs w:val="22"/>
        </w:rPr>
        <w:t>Patient and Family Advisory Council (“PFAC”), its Community Advisory Board (“CAB”), and its membership in the Boston</w:t>
      </w:r>
      <w:r w:rsidRPr="004B5F97">
        <w:rPr>
          <w:rFonts w:ascii="Arial" w:hAnsi="Arial" w:cs="Arial"/>
          <w:sz w:val="22"/>
          <w:szCs w:val="22"/>
        </w:rPr>
        <w:t xml:space="preserve"> </w:t>
      </w:r>
      <w:r>
        <w:rPr>
          <w:rFonts w:ascii="Arial" w:hAnsi="Arial" w:cs="Arial"/>
          <w:sz w:val="22"/>
          <w:szCs w:val="22"/>
        </w:rPr>
        <w:t xml:space="preserve">CHNA-CHIP Collaborative. As described in further detail in Factor F1.d, the Hospital’s PFAC includes patients, families, and staff that are representative of </w:t>
      </w:r>
      <w:r w:rsidRPr="00EA5B24">
        <w:rPr>
          <w:rFonts w:ascii="Arial" w:hAnsi="Arial" w:cs="Arial"/>
          <w:sz w:val="22"/>
          <w:szCs w:val="22"/>
        </w:rPr>
        <w:t>the community served by BMC</w:t>
      </w:r>
      <w:r>
        <w:rPr>
          <w:rFonts w:ascii="Arial" w:hAnsi="Arial" w:cs="Arial"/>
          <w:sz w:val="22"/>
          <w:szCs w:val="22"/>
        </w:rPr>
        <w:t xml:space="preserve">, and </w:t>
      </w:r>
      <w:r w:rsidRPr="00EA5B24">
        <w:rPr>
          <w:rFonts w:ascii="Arial" w:hAnsi="Arial" w:cs="Arial"/>
          <w:sz w:val="22"/>
          <w:szCs w:val="22"/>
        </w:rPr>
        <w:t xml:space="preserve">aims to improve operations across </w:t>
      </w:r>
      <w:r>
        <w:rPr>
          <w:rFonts w:ascii="Arial" w:hAnsi="Arial" w:cs="Arial"/>
          <w:sz w:val="22"/>
          <w:szCs w:val="22"/>
        </w:rPr>
        <w:t>the System</w:t>
      </w:r>
      <w:r w:rsidRPr="00EA5B24">
        <w:rPr>
          <w:rFonts w:ascii="Arial" w:hAnsi="Arial" w:cs="Arial"/>
          <w:sz w:val="22"/>
          <w:szCs w:val="22"/>
        </w:rPr>
        <w:t xml:space="preserve"> and achieve its mission for patient-centered and equitable care</w:t>
      </w:r>
      <w:r>
        <w:rPr>
          <w:rFonts w:ascii="Arial" w:hAnsi="Arial" w:cs="Arial"/>
          <w:sz w:val="22"/>
          <w:szCs w:val="22"/>
        </w:rPr>
        <w:t xml:space="preserve"> by </w:t>
      </w:r>
      <w:r w:rsidRPr="00EA5B24">
        <w:rPr>
          <w:rFonts w:ascii="Arial" w:hAnsi="Arial" w:cs="Arial"/>
          <w:sz w:val="22"/>
          <w:szCs w:val="22"/>
        </w:rPr>
        <w:t>inform decision-making and the development of programs, services, and strategic projects at the Hospital</w:t>
      </w:r>
      <w:r>
        <w:rPr>
          <w:rFonts w:ascii="Arial" w:hAnsi="Arial" w:cs="Arial"/>
          <w:sz w:val="22"/>
          <w:szCs w:val="22"/>
        </w:rPr>
        <w:t>. Additionally, the CAB is comprised of diverse members that are representative of various sectors (</w:t>
      </w:r>
      <w:r w:rsidRPr="00804FED">
        <w:rPr>
          <w:rFonts w:ascii="Arial" w:hAnsi="Arial" w:cs="Arial"/>
          <w:sz w:val="22"/>
          <w:szCs w:val="22"/>
        </w:rPr>
        <w:t>i.e., local public health departments, municipalities, education, housing, social services, regional planning and transportation agencies, the private sector, community health centers, and community-based organizations</w:t>
      </w:r>
      <w:r>
        <w:rPr>
          <w:rFonts w:ascii="Arial" w:hAnsi="Arial" w:cs="Arial"/>
          <w:sz w:val="22"/>
          <w:szCs w:val="22"/>
        </w:rPr>
        <w:t xml:space="preserve">) who </w:t>
      </w:r>
      <w:r w:rsidRPr="00804FED">
        <w:rPr>
          <w:rFonts w:ascii="Arial" w:hAnsi="Arial" w:cs="Arial"/>
          <w:sz w:val="22"/>
          <w:szCs w:val="22"/>
        </w:rPr>
        <w:t>strategically advise the Hospital on how best to use investments to catalyze change and leverage other city, state, federal and other philanthropic investments</w:t>
      </w:r>
      <w:r>
        <w:rPr>
          <w:rFonts w:ascii="Arial" w:hAnsi="Arial" w:cs="Arial"/>
          <w:sz w:val="22"/>
          <w:szCs w:val="22"/>
        </w:rPr>
        <w:t>. With regard to the Boston</w:t>
      </w:r>
      <w:r w:rsidRPr="004B5F97">
        <w:rPr>
          <w:rFonts w:ascii="Arial" w:hAnsi="Arial" w:cs="Arial"/>
          <w:sz w:val="22"/>
          <w:szCs w:val="22"/>
        </w:rPr>
        <w:t xml:space="preserve"> </w:t>
      </w:r>
      <w:r>
        <w:rPr>
          <w:rFonts w:ascii="Arial" w:hAnsi="Arial" w:cs="Arial"/>
          <w:sz w:val="22"/>
          <w:szCs w:val="22"/>
        </w:rPr>
        <w:t xml:space="preserve">CHNA-CHIP Collaborative, the Applicant notes that the group, comprised of various </w:t>
      </w:r>
      <w:r w:rsidRPr="00D925F6">
        <w:rPr>
          <w:rFonts w:ascii="Arial" w:hAnsi="Arial" w:cs="Arial"/>
          <w:sz w:val="22"/>
          <w:szCs w:val="22"/>
        </w:rPr>
        <w:t>Boston health centers, community-based organizations, hospitals, community residents</w:t>
      </w:r>
      <w:r>
        <w:rPr>
          <w:rFonts w:ascii="Arial" w:hAnsi="Arial" w:cs="Arial"/>
          <w:sz w:val="22"/>
          <w:szCs w:val="22"/>
        </w:rPr>
        <w:t xml:space="preserve">, and the Boston Public Health Commission, seeks to achieve </w:t>
      </w:r>
      <w:r w:rsidRPr="00EA1D35">
        <w:rPr>
          <w:rFonts w:ascii="Arial" w:hAnsi="Arial" w:cs="Arial"/>
          <w:sz w:val="22"/>
          <w:szCs w:val="22"/>
        </w:rPr>
        <w:t>sustainable positive change in the health of Boston by collaborating with communities, sharing knowledge, aligning resources, and addressing root causes of health inequities.</w:t>
      </w:r>
    </w:p>
    <w:p w14:paraId="197D2962" w14:textId="77777777" w:rsidR="00834993" w:rsidRDefault="00834993" w:rsidP="00834993">
      <w:pPr>
        <w:pStyle w:val="NormalWeb"/>
        <w:spacing w:before="0" w:beforeAutospacing="0" w:after="0" w:afterAutospacing="0"/>
        <w:ind w:left="720"/>
        <w:jc w:val="both"/>
        <w:rPr>
          <w:rFonts w:ascii="Arial" w:hAnsi="Arial" w:cs="Arial"/>
          <w:sz w:val="22"/>
          <w:szCs w:val="22"/>
        </w:rPr>
      </w:pPr>
    </w:p>
    <w:p w14:paraId="71A95689" w14:textId="58FD337A" w:rsidR="00834993" w:rsidRDefault="00834993" w:rsidP="00834993">
      <w:pPr>
        <w:pStyle w:val="NormalWeb"/>
        <w:spacing w:before="0" w:beforeAutospacing="0" w:after="0" w:afterAutospacing="0"/>
        <w:ind w:left="720"/>
        <w:jc w:val="both"/>
        <w:rPr>
          <w:rFonts w:ascii="Arial" w:hAnsi="Arial" w:cs="Arial"/>
          <w:sz w:val="22"/>
          <w:szCs w:val="22"/>
        </w:rPr>
      </w:pPr>
      <w:r>
        <w:rPr>
          <w:rFonts w:ascii="Arial" w:hAnsi="Arial" w:cs="Arial"/>
          <w:sz w:val="22"/>
          <w:szCs w:val="22"/>
        </w:rPr>
        <w:t xml:space="preserve">Finally, the Applicant notes that it is one of BMC’s Health Equity Accelerator (discussed further </w:t>
      </w:r>
      <w:r w:rsidR="001726BA">
        <w:rPr>
          <w:rFonts w:ascii="Arial" w:hAnsi="Arial" w:cs="Arial"/>
          <w:sz w:val="22"/>
          <w:szCs w:val="22"/>
        </w:rPr>
        <w:t xml:space="preserve">at Factor </w:t>
      </w:r>
      <w:r w:rsidR="00E65BEE">
        <w:rPr>
          <w:rFonts w:ascii="Arial" w:hAnsi="Arial" w:cs="Arial"/>
          <w:sz w:val="22"/>
          <w:szCs w:val="22"/>
        </w:rPr>
        <w:t xml:space="preserve">F1.b.iv </w:t>
      </w:r>
      <w:r>
        <w:rPr>
          <w:rFonts w:ascii="Arial" w:hAnsi="Arial" w:cs="Arial"/>
          <w:sz w:val="22"/>
          <w:szCs w:val="22"/>
        </w:rPr>
        <w:t>below) priorities to build on the Hospital’s existing community partnerships and initiatives and continue to invest in eliminating barriers and create paths for wealth</w:t>
      </w:r>
      <w:r w:rsidR="00F33C2A">
        <w:rPr>
          <w:rFonts w:ascii="Arial" w:hAnsi="Arial" w:cs="Arial"/>
          <w:sz w:val="22"/>
          <w:szCs w:val="22"/>
        </w:rPr>
        <w:t>-</w:t>
      </w:r>
      <w:r>
        <w:rPr>
          <w:rFonts w:ascii="Arial" w:hAnsi="Arial" w:cs="Arial"/>
          <w:sz w:val="22"/>
          <w:szCs w:val="22"/>
        </w:rPr>
        <w:t xml:space="preserve">building in the communities it serves. </w:t>
      </w:r>
      <w:r w:rsidR="00F33C2A">
        <w:rPr>
          <w:rFonts w:ascii="Arial" w:hAnsi="Arial" w:cs="Arial"/>
          <w:sz w:val="22"/>
          <w:szCs w:val="22"/>
        </w:rPr>
        <w:t>This priority recognizes t</w:t>
      </w:r>
      <w:r w:rsidR="00F33C2A" w:rsidRPr="00F33C2A">
        <w:rPr>
          <w:rFonts w:ascii="Arial" w:hAnsi="Arial" w:cs="Arial"/>
          <w:sz w:val="22"/>
          <w:szCs w:val="22"/>
        </w:rPr>
        <w:t>he fact that one of the root causes of health inequity is barriers to economic mobility</w:t>
      </w:r>
      <w:r w:rsidR="00F33C2A">
        <w:rPr>
          <w:rFonts w:ascii="Arial" w:hAnsi="Arial" w:cs="Arial"/>
          <w:sz w:val="22"/>
          <w:szCs w:val="22"/>
        </w:rPr>
        <w:t>.</w:t>
      </w:r>
      <w:r w:rsidR="00F33C2A" w:rsidRPr="00F33C2A">
        <w:rPr>
          <w:rFonts w:ascii="Arial" w:hAnsi="Arial" w:cs="Arial"/>
          <w:sz w:val="22"/>
          <w:szCs w:val="22"/>
        </w:rPr>
        <w:t xml:space="preserve"> </w:t>
      </w:r>
      <w:r>
        <w:rPr>
          <w:rFonts w:ascii="Arial" w:hAnsi="Arial" w:cs="Arial"/>
          <w:sz w:val="22"/>
          <w:szCs w:val="22"/>
        </w:rPr>
        <w:t xml:space="preserve">The largest effort of this kind at BMC is the Boston Opportunity System (“BOS”) Collaborative, a partnership across multiple local organizations to create jobs and affordable housing. The BOS Collaborative functions as a deep place-based initiative of health equity work for the System and is integrated with other </w:t>
      </w:r>
      <w:proofErr w:type="spellStart"/>
      <w:r>
        <w:rPr>
          <w:rFonts w:ascii="Arial" w:hAnsi="Arial" w:cs="Arial"/>
          <w:sz w:val="22"/>
          <w:szCs w:val="22"/>
        </w:rPr>
        <w:t>SDoH</w:t>
      </w:r>
      <w:proofErr w:type="spellEnd"/>
      <w:r>
        <w:rPr>
          <w:rFonts w:ascii="Arial" w:hAnsi="Arial" w:cs="Arial"/>
          <w:sz w:val="22"/>
          <w:szCs w:val="22"/>
        </w:rPr>
        <w:t xml:space="preserve"> and workforce initiatives. BMC, as the backbone organization of the BOS Collaborative, will continue to work </w:t>
      </w:r>
      <w:r w:rsidR="00F33C2A">
        <w:rPr>
          <w:rFonts w:ascii="Arial" w:hAnsi="Arial" w:cs="Arial"/>
          <w:sz w:val="22"/>
          <w:szCs w:val="22"/>
        </w:rPr>
        <w:t xml:space="preserve">in the future </w:t>
      </w:r>
      <w:r>
        <w:rPr>
          <w:rFonts w:ascii="Arial" w:hAnsi="Arial" w:cs="Arial"/>
          <w:sz w:val="22"/>
          <w:szCs w:val="22"/>
        </w:rPr>
        <w:t>with funding partners, community-based organizations, the City of Boston, and fellow anchor institutions to generate a powerful portfolio of work across pillars of housing-based initiatives, anchor institutions’ investments, and economic mobility pathways targeting Boston’s most disinvested neighborhoods.</w:t>
      </w:r>
    </w:p>
    <w:p w14:paraId="0869BFFB" w14:textId="77777777" w:rsidR="00834993" w:rsidRPr="00EA1D35" w:rsidRDefault="00834993" w:rsidP="00834993">
      <w:pPr>
        <w:pStyle w:val="NormalWeb"/>
        <w:spacing w:before="0" w:beforeAutospacing="0" w:after="0" w:afterAutospacing="0"/>
        <w:rPr>
          <w:rFonts w:ascii="Arial" w:hAnsi="Arial" w:cs="Arial"/>
          <w:sz w:val="22"/>
          <w:szCs w:val="22"/>
        </w:rPr>
      </w:pPr>
    </w:p>
    <w:p w14:paraId="5BF6BD8C" w14:textId="7C6BD5B5" w:rsidR="00834993" w:rsidRDefault="00834993" w:rsidP="00834993">
      <w:pPr>
        <w:pStyle w:val="ListParagraph"/>
        <w:numPr>
          <w:ilvl w:val="0"/>
          <w:numId w:val="29"/>
        </w:numPr>
        <w:jc w:val="both"/>
        <w:rPr>
          <w:rFonts w:ascii="Arial" w:hAnsi="Arial" w:cs="Arial"/>
          <w:sz w:val="22"/>
          <w:szCs w:val="22"/>
        </w:rPr>
      </w:pPr>
      <w:r w:rsidRPr="004F2F15">
        <w:rPr>
          <w:rFonts w:ascii="Arial" w:hAnsi="Arial" w:cs="Arial"/>
          <w:b/>
          <w:bCs/>
          <w:sz w:val="22"/>
          <w:szCs w:val="22"/>
        </w:rPr>
        <w:t>Collect and Share Diversity Data</w:t>
      </w:r>
      <w:r>
        <w:rPr>
          <w:rFonts w:ascii="Arial" w:hAnsi="Arial" w:cs="Arial"/>
          <w:b/>
          <w:bCs/>
          <w:sz w:val="22"/>
          <w:szCs w:val="22"/>
        </w:rPr>
        <w:t xml:space="preserve">: </w:t>
      </w:r>
      <w:r w:rsidRPr="00025D5B">
        <w:rPr>
          <w:rFonts w:ascii="Arial" w:hAnsi="Arial" w:cs="Arial"/>
          <w:sz w:val="22"/>
          <w:szCs w:val="22"/>
        </w:rPr>
        <w:t>BMC</w:t>
      </w:r>
      <w:r>
        <w:rPr>
          <w:rFonts w:ascii="Arial" w:hAnsi="Arial" w:cs="Arial"/>
          <w:sz w:val="22"/>
          <w:szCs w:val="22"/>
        </w:rPr>
        <w:t>, like all of the Applicant’s provider locations,</w:t>
      </w:r>
      <w:r w:rsidRPr="00025D5B">
        <w:rPr>
          <w:rFonts w:ascii="Arial" w:hAnsi="Arial" w:cs="Arial"/>
          <w:sz w:val="22"/>
          <w:szCs w:val="22"/>
        </w:rPr>
        <w:t xml:space="preserve"> utilizes Epic as its E</w:t>
      </w:r>
      <w:r>
        <w:rPr>
          <w:rFonts w:ascii="Arial" w:hAnsi="Arial" w:cs="Arial"/>
          <w:sz w:val="22"/>
          <w:szCs w:val="22"/>
        </w:rPr>
        <w:t xml:space="preserve">lectronic </w:t>
      </w:r>
      <w:r w:rsidRPr="00025D5B">
        <w:rPr>
          <w:rFonts w:ascii="Arial" w:hAnsi="Arial" w:cs="Arial"/>
          <w:sz w:val="22"/>
          <w:szCs w:val="22"/>
        </w:rPr>
        <w:t>H</w:t>
      </w:r>
      <w:r>
        <w:rPr>
          <w:rFonts w:ascii="Arial" w:hAnsi="Arial" w:cs="Arial"/>
          <w:sz w:val="22"/>
          <w:szCs w:val="22"/>
        </w:rPr>
        <w:t xml:space="preserve">ealth </w:t>
      </w:r>
      <w:r w:rsidRPr="00025D5B">
        <w:rPr>
          <w:rFonts w:ascii="Arial" w:hAnsi="Arial" w:cs="Arial"/>
          <w:sz w:val="22"/>
          <w:szCs w:val="22"/>
        </w:rPr>
        <w:t>R</w:t>
      </w:r>
      <w:r>
        <w:rPr>
          <w:rFonts w:ascii="Arial" w:hAnsi="Arial" w:cs="Arial"/>
          <w:sz w:val="22"/>
          <w:szCs w:val="22"/>
        </w:rPr>
        <w:t>ecord (“EHR”)</w:t>
      </w:r>
      <w:r w:rsidRPr="00025D5B">
        <w:rPr>
          <w:rFonts w:ascii="Arial" w:hAnsi="Arial" w:cs="Arial"/>
          <w:sz w:val="22"/>
          <w:szCs w:val="22"/>
        </w:rPr>
        <w:t>.</w:t>
      </w:r>
      <w:r>
        <w:rPr>
          <w:rFonts w:ascii="Arial" w:hAnsi="Arial" w:cs="Arial"/>
          <w:sz w:val="22"/>
          <w:szCs w:val="22"/>
        </w:rPr>
        <w:t xml:space="preserve"> Through Epic, </w:t>
      </w:r>
      <w:r w:rsidRPr="00FB1593">
        <w:rPr>
          <w:rFonts w:ascii="Arial" w:hAnsi="Arial" w:cs="Arial"/>
          <w:sz w:val="22"/>
          <w:szCs w:val="22"/>
        </w:rPr>
        <w:t xml:space="preserve">the Hospital is able to collect detailed patient demographic data, including but not limited to gender, age, race/ethnicity, geographic origin, and language. </w:t>
      </w:r>
      <w:r>
        <w:rPr>
          <w:rFonts w:ascii="Arial" w:hAnsi="Arial" w:cs="Arial"/>
          <w:sz w:val="22"/>
          <w:szCs w:val="22"/>
        </w:rPr>
        <w:t xml:space="preserve">All patients, including those utilizing the Hospital’s inpatient services, are asked about their demographic data at the time of registration and such data </w:t>
      </w:r>
      <w:r w:rsidR="002D7F7F">
        <w:rPr>
          <w:rFonts w:ascii="Arial" w:hAnsi="Arial" w:cs="Arial"/>
          <w:sz w:val="22"/>
          <w:szCs w:val="22"/>
        </w:rPr>
        <w:t xml:space="preserve">are </w:t>
      </w:r>
      <w:r>
        <w:rPr>
          <w:rFonts w:ascii="Arial" w:hAnsi="Arial" w:cs="Arial"/>
          <w:sz w:val="22"/>
          <w:szCs w:val="22"/>
        </w:rPr>
        <w:t xml:space="preserve">inputted into the patient’s EHR, which is made centrally available across BMC’s various locations to ensure </w:t>
      </w:r>
      <w:r w:rsidRPr="00CB5CC2">
        <w:rPr>
          <w:rFonts w:ascii="Arial" w:hAnsi="Arial" w:cs="Arial"/>
          <w:sz w:val="22"/>
          <w:szCs w:val="22"/>
        </w:rPr>
        <w:t>coordination of care, appropriate care transitions, and the provision of high-quality care</w:t>
      </w:r>
      <w:r>
        <w:rPr>
          <w:rFonts w:ascii="Arial" w:hAnsi="Arial" w:cs="Arial"/>
          <w:sz w:val="22"/>
          <w:szCs w:val="22"/>
        </w:rPr>
        <w:t xml:space="preserve">. </w:t>
      </w:r>
      <w:r w:rsidRPr="00253CB9">
        <w:rPr>
          <w:rFonts w:ascii="Arial" w:hAnsi="Arial" w:cs="Arial"/>
          <w:sz w:val="22"/>
          <w:szCs w:val="22"/>
        </w:rPr>
        <w:t xml:space="preserve">Additionally, the Hospital tracks utilization of language and interpreter services, including, but not limited to, top languages engaged, utilization of telephonic and remote services, American Sign Language (“ASL”) services performed, and details around any reported service issues. </w:t>
      </w:r>
      <w:r>
        <w:rPr>
          <w:rFonts w:ascii="Arial" w:hAnsi="Arial" w:cs="Arial"/>
          <w:sz w:val="22"/>
          <w:szCs w:val="22"/>
        </w:rPr>
        <w:t>Th</w:t>
      </w:r>
      <w:r w:rsidR="00AF28BB">
        <w:rPr>
          <w:rFonts w:ascii="Arial" w:hAnsi="Arial" w:cs="Arial"/>
          <w:sz w:val="22"/>
          <w:szCs w:val="22"/>
        </w:rPr>
        <w:t>is</w:t>
      </w:r>
      <w:r>
        <w:rPr>
          <w:rFonts w:ascii="Arial" w:hAnsi="Arial" w:cs="Arial"/>
          <w:sz w:val="22"/>
          <w:szCs w:val="22"/>
        </w:rPr>
        <w:t xml:space="preserve"> </w:t>
      </w:r>
      <w:r w:rsidR="00AF28BB">
        <w:rPr>
          <w:rFonts w:ascii="Arial" w:hAnsi="Arial" w:cs="Arial"/>
          <w:sz w:val="22"/>
          <w:szCs w:val="22"/>
        </w:rPr>
        <w:t xml:space="preserve">information is </w:t>
      </w:r>
      <w:r>
        <w:rPr>
          <w:rFonts w:ascii="Arial" w:hAnsi="Arial" w:cs="Arial"/>
          <w:sz w:val="22"/>
          <w:szCs w:val="22"/>
        </w:rPr>
        <w:t xml:space="preserve">reported on an annual basis to </w:t>
      </w:r>
      <w:r w:rsidRPr="00253CB9">
        <w:rPr>
          <w:rFonts w:ascii="Arial" w:hAnsi="Arial" w:cs="Arial"/>
          <w:sz w:val="22"/>
          <w:szCs w:val="22"/>
        </w:rPr>
        <w:t>DPH’s Office of Health Equity</w:t>
      </w:r>
      <w:r>
        <w:rPr>
          <w:rFonts w:ascii="Arial" w:hAnsi="Arial" w:cs="Arial"/>
          <w:sz w:val="22"/>
          <w:szCs w:val="22"/>
        </w:rPr>
        <w:t xml:space="preserve"> and, along with the </w:t>
      </w:r>
      <w:r w:rsidRPr="00253CB9">
        <w:rPr>
          <w:rFonts w:ascii="Arial" w:hAnsi="Arial" w:cs="Arial"/>
          <w:sz w:val="22"/>
          <w:szCs w:val="22"/>
        </w:rPr>
        <w:t>patient demographic data</w:t>
      </w:r>
      <w:r>
        <w:rPr>
          <w:rFonts w:ascii="Arial" w:hAnsi="Arial" w:cs="Arial"/>
          <w:sz w:val="22"/>
          <w:szCs w:val="22"/>
        </w:rPr>
        <w:t xml:space="preserve">, </w:t>
      </w:r>
      <w:r w:rsidRPr="00253CB9">
        <w:rPr>
          <w:rFonts w:ascii="Arial" w:hAnsi="Arial" w:cs="Arial"/>
          <w:sz w:val="22"/>
          <w:szCs w:val="22"/>
        </w:rPr>
        <w:t xml:space="preserve">is </w:t>
      </w:r>
      <w:r>
        <w:rPr>
          <w:rFonts w:ascii="Arial" w:hAnsi="Arial" w:cs="Arial"/>
          <w:sz w:val="22"/>
          <w:szCs w:val="22"/>
        </w:rPr>
        <w:t xml:space="preserve">also used to inform service and program </w:t>
      </w:r>
      <w:r w:rsidRPr="00253CB9">
        <w:rPr>
          <w:rFonts w:ascii="Arial" w:hAnsi="Arial" w:cs="Arial"/>
          <w:sz w:val="22"/>
          <w:szCs w:val="22"/>
        </w:rPr>
        <w:t>offerings and promote health equity and culturally competent care</w:t>
      </w:r>
      <w:r>
        <w:rPr>
          <w:rFonts w:ascii="Arial" w:hAnsi="Arial" w:cs="Arial"/>
          <w:sz w:val="22"/>
          <w:szCs w:val="22"/>
        </w:rPr>
        <w:t xml:space="preserve"> at the Hospital and in the community.</w:t>
      </w:r>
    </w:p>
    <w:p w14:paraId="23D29AFF" w14:textId="77777777" w:rsidR="00834993" w:rsidRDefault="00834993" w:rsidP="00834993">
      <w:pPr>
        <w:jc w:val="both"/>
        <w:rPr>
          <w:rFonts w:ascii="Arial" w:hAnsi="Arial" w:cs="Arial"/>
          <w:sz w:val="22"/>
          <w:szCs w:val="22"/>
        </w:rPr>
      </w:pPr>
    </w:p>
    <w:p w14:paraId="6190FB22" w14:textId="6571CA81" w:rsidR="00834993" w:rsidRPr="004B5F97" w:rsidRDefault="00834993" w:rsidP="00834993">
      <w:pPr>
        <w:ind w:left="720"/>
        <w:jc w:val="both"/>
        <w:rPr>
          <w:rFonts w:ascii="Arial" w:hAnsi="Arial" w:cs="Arial"/>
          <w:sz w:val="22"/>
          <w:szCs w:val="22"/>
        </w:rPr>
      </w:pPr>
      <w:r>
        <w:rPr>
          <w:rFonts w:ascii="Arial" w:hAnsi="Arial" w:cs="Arial"/>
          <w:sz w:val="22"/>
          <w:szCs w:val="22"/>
        </w:rPr>
        <w:t xml:space="preserve">As noted above, the Hospital also </w:t>
      </w:r>
      <w:r w:rsidR="005801FF">
        <w:rPr>
          <w:rFonts w:ascii="Arial" w:hAnsi="Arial" w:cs="Arial"/>
          <w:sz w:val="22"/>
          <w:szCs w:val="22"/>
        </w:rPr>
        <w:t xml:space="preserve">is </w:t>
      </w:r>
      <w:r>
        <w:rPr>
          <w:rFonts w:ascii="Arial" w:hAnsi="Arial" w:cs="Arial"/>
          <w:sz w:val="22"/>
          <w:szCs w:val="22"/>
        </w:rPr>
        <w:t xml:space="preserve">a member of the Boston CHNA-CHIP Collaborative. As a member, the Hospital works with the other Collaborative members to conduct a joint, participatory community health needs assessment (“CHNA”) for Boston every three (3) years discussing the social, economic, and health needs and assets in the community, and develop a collaborative community health improvement plan (“CHIP”) to address the issues identified through the CHNA as top priority. All of these processes involve the collection and sharing of diversity data to meaningfully contribute to a healthy Boston with strong communities, connected residents and organizations, coordinated initiatives, and equitable </w:t>
      </w:r>
      <w:r w:rsidRPr="004B5F97">
        <w:rPr>
          <w:rFonts w:ascii="Arial" w:hAnsi="Arial" w:cs="Arial"/>
          <w:sz w:val="22"/>
          <w:szCs w:val="22"/>
        </w:rPr>
        <w:t xml:space="preserve">opportunities for </w:t>
      </w:r>
      <w:r w:rsidRPr="009050AC">
        <w:rPr>
          <w:rFonts w:ascii="Arial" w:hAnsi="Arial" w:cs="Arial"/>
          <w:sz w:val="22"/>
          <w:szCs w:val="22"/>
        </w:rPr>
        <w:t>every individual</w:t>
      </w:r>
      <w:r w:rsidRPr="004B5F97">
        <w:rPr>
          <w:rFonts w:ascii="Arial" w:hAnsi="Arial" w:cs="Arial"/>
          <w:sz w:val="22"/>
          <w:szCs w:val="22"/>
        </w:rPr>
        <w:t xml:space="preserve"> to </w:t>
      </w:r>
      <w:r w:rsidRPr="009050AC">
        <w:rPr>
          <w:rFonts w:ascii="Arial" w:hAnsi="Arial" w:cs="Arial"/>
          <w:sz w:val="22"/>
          <w:szCs w:val="22"/>
        </w:rPr>
        <w:t>live a healthy life</w:t>
      </w:r>
      <w:r w:rsidRPr="004B5F97">
        <w:rPr>
          <w:rFonts w:ascii="Arial" w:hAnsi="Arial" w:cs="Arial"/>
          <w:sz w:val="22"/>
          <w:szCs w:val="22"/>
        </w:rPr>
        <w:t>.</w:t>
      </w:r>
    </w:p>
    <w:p w14:paraId="11FF20AB" w14:textId="77777777" w:rsidR="00834993" w:rsidRPr="004B5F97" w:rsidRDefault="00834993" w:rsidP="00834993">
      <w:pPr>
        <w:jc w:val="both"/>
        <w:rPr>
          <w:rFonts w:ascii="Arial" w:hAnsi="Arial" w:cs="Arial"/>
          <w:sz w:val="22"/>
          <w:szCs w:val="22"/>
        </w:rPr>
      </w:pPr>
    </w:p>
    <w:p w14:paraId="03950762" w14:textId="626D200C" w:rsidR="00834993" w:rsidRPr="004B5F97" w:rsidRDefault="00834993" w:rsidP="00834993">
      <w:pPr>
        <w:ind w:left="720"/>
        <w:jc w:val="both"/>
        <w:rPr>
          <w:rFonts w:ascii="Arial" w:hAnsi="Arial" w:cs="Arial"/>
          <w:sz w:val="22"/>
          <w:szCs w:val="22"/>
        </w:rPr>
      </w:pPr>
      <w:r w:rsidRPr="004B5F97">
        <w:rPr>
          <w:rFonts w:ascii="Arial" w:hAnsi="Arial" w:cs="Arial"/>
          <w:sz w:val="22"/>
          <w:szCs w:val="22"/>
        </w:rPr>
        <w:t>Finally, as discussed in further detail below, as BMC cared for COVID-19 patients throughout 2020 and into 2021, BMC researchers led a first-of-its-kind study that investigated the differential impact of COVID-19 on racial groups within the Hispanic community. This study highlighted not only that Hispanic groups as a whole have worse outcomes than non-Hispanic white individuals, but also that Hispanic Black individuals had the highest rates of comorbidities, admittance to the ICU, ventilation, and death due to COVID-19. Analysis of the national data underscored that these disparities were not rooted in biology, but rather, reflect the systemic impacts of racism and inequity. In response to such data, BMC took urgent action to address the blatant racial inequities in new ways, including introducing new services (including home visits, telehealth, contact tracing, and other public health tools) and providing education on and access to vaccination for communities of color. Significantly, such data collection and responsive efforts served as a model for BMC’s new Health Equity Accelerator, which is discussed in detail below</w:t>
      </w:r>
      <w:r w:rsidR="00E65BEE">
        <w:rPr>
          <w:rFonts w:ascii="Arial" w:hAnsi="Arial" w:cs="Arial"/>
          <w:sz w:val="22"/>
          <w:szCs w:val="22"/>
        </w:rPr>
        <w:t xml:space="preserve"> at Factor F1.b.iv</w:t>
      </w:r>
      <w:r w:rsidRPr="004B5F97">
        <w:rPr>
          <w:rFonts w:ascii="Arial" w:hAnsi="Arial" w:cs="Arial"/>
          <w:sz w:val="22"/>
          <w:szCs w:val="22"/>
        </w:rPr>
        <w:t>.</w:t>
      </w:r>
    </w:p>
    <w:p w14:paraId="0748E41E" w14:textId="77777777" w:rsidR="00834993" w:rsidRPr="006E6A21" w:rsidRDefault="00834993" w:rsidP="00834993">
      <w:pPr>
        <w:rPr>
          <w:rFonts w:ascii="Arial" w:hAnsi="Arial" w:cs="Arial"/>
          <w:b/>
          <w:bCs/>
          <w:sz w:val="22"/>
          <w:szCs w:val="22"/>
        </w:rPr>
      </w:pPr>
    </w:p>
    <w:p w14:paraId="31ABEEE3" w14:textId="77777777" w:rsidR="006F56BA" w:rsidRPr="006F56BA" w:rsidRDefault="00834993" w:rsidP="006F56BA">
      <w:pPr>
        <w:pStyle w:val="ListParagraph"/>
        <w:numPr>
          <w:ilvl w:val="0"/>
          <w:numId w:val="29"/>
        </w:numPr>
        <w:jc w:val="both"/>
        <w:rPr>
          <w:rFonts w:ascii="Arial" w:hAnsi="Arial" w:cs="Arial"/>
          <w:sz w:val="22"/>
          <w:szCs w:val="22"/>
        </w:rPr>
      </w:pPr>
      <w:r w:rsidRPr="0042439E">
        <w:rPr>
          <w:rFonts w:ascii="Arial" w:hAnsi="Arial" w:cs="Arial"/>
          <w:b/>
          <w:bCs/>
          <w:sz w:val="22"/>
          <w:szCs w:val="22"/>
        </w:rPr>
        <w:t xml:space="preserve">Benchmark: Plan and Evaluate: </w:t>
      </w:r>
      <w:r w:rsidR="006F56BA" w:rsidRPr="006F56BA">
        <w:rPr>
          <w:rFonts w:ascii="Arial" w:hAnsi="Arial" w:cs="Arial"/>
          <w:color w:val="000000"/>
          <w:sz w:val="22"/>
          <w:szCs w:val="22"/>
        </w:rPr>
        <w:t>BMC’s ISD, part of the Support Services Department, is responsible for facilitating effective communication between staff and patients at the Hospital. Specific details around interpreter services policies and procedures are provided below and explain the ways in which the ISD ensures language access for BMC’s culturally and linguistically diverse patient panel. With regard to reviewing and assessing such services, the Applicant notes that the ISD collaborates with other departments and committees at the Hospital to evaluate and continually improve the provision of quality language services. Specifically, interpreter services are evaluated via statistical information received from phone/video vendors and the Hospital’s internal dispatching system, internal provider surveys, quality improvement studies, feedback provided via email, and data from the Hospital’s RL Incident Reporting System. BMC uses this information to hold itself and its vendors accountable for services provided, respond to complaints and brainstorm best steps forward to avoid similar issues in the future, analyze and update workflows as necessary, determine if new languages need to be added or if interpreters of certain languages need to be stationed in specific departments depending on volume and patient populations serviced, etc. The Hospital also works with the Department’s Office of Health Equity each year to complete its Annual Report, evaluate interpretation and language access programs available at BMC, and ensure that such services and programs are meeting the needs of its patient population. </w:t>
      </w:r>
    </w:p>
    <w:p w14:paraId="6C68D850" w14:textId="77777777" w:rsidR="006F56BA" w:rsidRPr="006F56BA" w:rsidRDefault="006F56BA" w:rsidP="006F56BA">
      <w:pPr>
        <w:pStyle w:val="ListParagraph"/>
        <w:jc w:val="both"/>
        <w:rPr>
          <w:rFonts w:ascii="Arial" w:hAnsi="Arial" w:cs="Arial"/>
          <w:sz w:val="22"/>
          <w:szCs w:val="22"/>
        </w:rPr>
      </w:pPr>
    </w:p>
    <w:p w14:paraId="6B579EC1" w14:textId="2BF83729" w:rsidR="006F56BA" w:rsidRPr="006F56BA" w:rsidRDefault="006F56BA" w:rsidP="006F56BA">
      <w:pPr>
        <w:pStyle w:val="ListParagraph"/>
        <w:jc w:val="both"/>
        <w:rPr>
          <w:rFonts w:ascii="Arial" w:hAnsi="Arial" w:cs="Arial"/>
          <w:sz w:val="22"/>
          <w:szCs w:val="22"/>
        </w:rPr>
      </w:pPr>
      <w:r w:rsidRPr="006F56BA">
        <w:rPr>
          <w:rFonts w:ascii="Arial" w:hAnsi="Arial" w:cs="Arial"/>
          <w:color w:val="000000"/>
          <w:sz w:val="22"/>
          <w:szCs w:val="22"/>
        </w:rPr>
        <w:t>Additionally, the Applicant notes that BMC’s mission of providing “exceptional care without exception” for its diverse patient population extends beyond language access. For instance, in accordance with such mission, BMC has deployed the Health Equity Accelerator. While additional detail around the Health Equity Accelerator is provided at Factor F1.b.iv, the Applicant highlights here that at its core the Accelerator is a tool for evaluating health injustice and transforming health care to deliver health justice and well-being among groups of different races and ethnicities; i.e., it is a tool for looking at how health care is delivered to people of different races, ethnicities, and cultures and planning ways to improve. </w:t>
      </w:r>
    </w:p>
    <w:p w14:paraId="646F8792" w14:textId="77777777" w:rsidR="006F56BA" w:rsidRPr="006F56BA" w:rsidRDefault="006F56BA" w:rsidP="00834993">
      <w:pPr>
        <w:ind w:left="360"/>
        <w:rPr>
          <w:rFonts w:ascii="Arial" w:hAnsi="Arial" w:cs="Arial"/>
          <w:b/>
          <w:bCs/>
          <w:sz w:val="22"/>
          <w:szCs w:val="22"/>
        </w:rPr>
      </w:pPr>
    </w:p>
    <w:p w14:paraId="686FD705" w14:textId="02688245" w:rsidR="00834993" w:rsidRPr="00003E70" w:rsidRDefault="00834993" w:rsidP="00834993">
      <w:pPr>
        <w:pStyle w:val="ListParagraph"/>
        <w:numPr>
          <w:ilvl w:val="0"/>
          <w:numId w:val="29"/>
        </w:numPr>
        <w:jc w:val="both"/>
        <w:rPr>
          <w:rFonts w:ascii="Arial" w:hAnsi="Arial" w:cs="Arial"/>
          <w:sz w:val="22"/>
          <w:szCs w:val="22"/>
        </w:rPr>
      </w:pPr>
      <w:r w:rsidRPr="00003E70">
        <w:rPr>
          <w:rFonts w:ascii="Arial" w:hAnsi="Arial" w:cs="Arial"/>
          <w:b/>
          <w:bCs/>
          <w:sz w:val="22"/>
          <w:szCs w:val="22"/>
        </w:rPr>
        <w:t xml:space="preserve">Reflect and Respect Diversity:  </w:t>
      </w:r>
      <w:r w:rsidRPr="00003E70">
        <w:rPr>
          <w:rFonts w:ascii="ArialMT" w:hAnsi="ArialMT"/>
          <w:sz w:val="22"/>
          <w:szCs w:val="22"/>
        </w:rPr>
        <w:t>At BMC, “being our best” means ensuring the Hospital is a place where every member of the community feels secure and welcome, that the contributions of all individuals are respected</w:t>
      </w:r>
      <w:r w:rsidRPr="00A11000">
        <w:rPr>
          <w:rFonts w:ascii="ArialMT" w:hAnsi="ArialMT"/>
          <w:sz w:val="22"/>
          <w:szCs w:val="22"/>
        </w:rPr>
        <w:t xml:space="preserve"> and celebrated, and that all voices are heard. The variety of perspectives, backgrounds, talents, and experiences that exist at BMC make the Hospital </w:t>
      </w:r>
      <w:r w:rsidRPr="00003E70">
        <w:rPr>
          <w:rFonts w:ascii="ArialMT" w:hAnsi="ArialMT"/>
          <w:sz w:val="22"/>
          <w:szCs w:val="22"/>
        </w:rPr>
        <w:t xml:space="preserve">uniquely capable of providing exceptional care without exception. </w:t>
      </w:r>
      <w:r w:rsidRPr="00003E70">
        <w:rPr>
          <w:rFonts w:ascii="Arial" w:hAnsi="Arial" w:cs="Arial"/>
          <w:sz w:val="22"/>
          <w:szCs w:val="22"/>
        </w:rPr>
        <w:t>Based on data from 2021, BMC’s staff reflected diversity in the following ways:</w:t>
      </w:r>
    </w:p>
    <w:p w14:paraId="2598D4F4" w14:textId="77777777" w:rsidR="00834993" w:rsidRPr="00003E70" w:rsidRDefault="00834993" w:rsidP="00834993">
      <w:pPr>
        <w:pStyle w:val="ListParagraph"/>
        <w:numPr>
          <w:ilvl w:val="0"/>
          <w:numId w:val="27"/>
        </w:numPr>
        <w:jc w:val="both"/>
        <w:rPr>
          <w:rFonts w:ascii="Arial" w:hAnsi="Arial" w:cs="Arial"/>
          <w:sz w:val="22"/>
          <w:szCs w:val="22"/>
        </w:rPr>
      </w:pPr>
      <w:r w:rsidRPr="00003E70">
        <w:rPr>
          <w:rFonts w:ascii="Arial" w:hAnsi="Arial" w:cs="Arial"/>
          <w:sz w:val="22"/>
          <w:szCs w:val="22"/>
        </w:rPr>
        <w:t>75% self-identified as female and 25% as male;</w:t>
      </w:r>
    </w:p>
    <w:p w14:paraId="732E4AF6" w14:textId="77777777" w:rsidR="00834993" w:rsidRPr="00003E70" w:rsidRDefault="00834993" w:rsidP="00834993">
      <w:pPr>
        <w:pStyle w:val="ListParagraph"/>
        <w:numPr>
          <w:ilvl w:val="0"/>
          <w:numId w:val="27"/>
        </w:numPr>
        <w:jc w:val="both"/>
        <w:rPr>
          <w:rFonts w:ascii="Arial" w:hAnsi="Arial" w:cs="Arial"/>
          <w:sz w:val="22"/>
          <w:szCs w:val="22"/>
        </w:rPr>
      </w:pPr>
      <w:r w:rsidRPr="00003E70">
        <w:rPr>
          <w:rFonts w:ascii="Arial" w:hAnsi="Arial" w:cs="Arial"/>
          <w:sz w:val="22"/>
          <w:szCs w:val="22"/>
        </w:rPr>
        <w:t>48% self-identified as White, 28% as Black/African American, 11% as Asian, 10% as Hispanic/Latino, and 3% as two or more races;</w:t>
      </w:r>
    </w:p>
    <w:p w14:paraId="51FEB3A8" w14:textId="77777777" w:rsidR="00834993" w:rsidRPr="00003E70" w:rsidRDefault="00834993" w:rsidP="00834993">
      <w:pPr>
        <w:pStyle w:val="ListParagraph"/>
        <w:numPr>
          <w:ilvl w:val="0"/>
          <w:numId w:val="27"/>
        </w:numPr>
        <w:jc w:val="both"/>
        <w:rPr>
          <w:rFonts w:ascii="Arial" w:hAnsi="Arial" w:cs="Arial"/>
          <w:sz w:val="22"/>
          <w:szCs w:val="22"/>
        </w:rPr>
      </w:pPr>
      <w:r w:rsidRPr="00003E70">
        <w:rPr>
          <w:rFonts w:ascii="Arial" w:hAnsi="Arial" w:cs="Arial"/>
          <w:sz w:val="22"/>
          <w:szCs w:val="22"/>
        </w:rPr>
        <w:t>7% of employees were 18-24, 35% were 25-34, 22% were 35-44, 17% were 45-54, 15% were 55-64, and 4% were 65-74;</w:t>
      </w:r>
      <w:r>
        <w:rPr>
          <w:rFonts w:ascii="Arial" w:hAnsi="Arial" w:cs="Arial"/>
          <w:sz w:val="22"/>
          <w:szCs w:val="22"/>
        </w:rPr>
        <w:t xml:space="preserve"> and </w:t>
      </w:r>
    </w:p>
    <w:p w14:paraId="333F0A46" w14:textId="77777777" w:rsidR="00834993" w:rsidRPr="00003E70" w:rsidRDefault="00834993" w:rsidP="00834993">
      <w:pPr>
        <w:pStyle w:val="ListParagraph"/>
        <w:numPr>
          <w:ilvl w:val="0"/>
          <w:numId w:val="27"/>
        </w:numPr>
        <w:jc w:val="both"/>
        <w:rPr>
          <w:rFonts w:ascii="Arial" w:hAnsi="Arial" w:cs="Arial"/>
          <w:sz w:val="22"/>
          <w:szCs w:val="22"/>
        </w:rPr>
      </w:pPr>
      <w:r>
        <w:rPr>
          <w:rFonts w:ascii="Arial" w:hAnsi="Arial" w:cs="Arial"/>
          <w:sz w:val="22"/>
          <w:szCs w:val="22"/>
        </w:rPr>
        <w:t>Data from the 2021 Press Ganey Survey diversity questions indicated that the Hospital exhibits organizational strength in the following areas: the organization values employees from different backgrounds, the organization demonstrates a commitment to workforce diversity, coworkers value individuals with different backgrounds, and management treats all employees equally regardless of their background.</w:t>
      </w:r>
    </w:p>
    <w:p w14:paraId="1479FBE5" w14:textId="77777777" w:rsidR="00834993" w:rsidRPr="002144AC" w:rsidRDefault="00834993" w:rsidP="00834993">
      <w:pPr>
        <w:jc w:val="both"/>
        <w:rPr>
          <w:rFonts w:ascii="Arial" w:hAnsi="Arial" w:cs="Arial"/>
          <w:sz w:val="22"/>
          <w:szCs w:val="22"/>
        </w:rPr>
      </w:pPr>
    </w:p>
    <w:p w14:paraId="26C13937" w14:textId="04ACB6CD" w:rsidR="00834993" w:rsidRDefault="00834993" w:rsidP="00834993">
      <w:pPr>
        <w:ind w:left="720"/>
        <w:jc w:val="both"/>
        <w:rPr>
          <w:rFonts w:ascii="Arial" w:hAnsi="Arial" w:cs="Arial"/>
          <w:sz w:val="22"/>
          <w:szCs w:val="22"/>
        </w:rPr>
      </w:pPr>
      <w:r w:rsidRPr="002144AC">
        <w:rPr>
          <w:rFonts w:ascii="Arial" w:hAnsi="Arial" w:cs="Arial"/>
          <w:sz w:val="22"/>
          <w:szCs w:val="22"/>
        </w:rPr>
        <w:t xml:space="preserve">BMC’s “Culture Code” is one example of how the Hospital is taking targeted actions and measures to ensure that every employee views diversity, equity, and inclusion as part of the organizational DNA and, therefore, operates thoughtfully, considerately, and intentionally. </w:t>
      </w:r>
      <w:r>
        <w:rPr>
          <w:rFonts w:ascii="Arial" w:hAnsi="Arial" w:cs="Arial"/>
          <w:sz w:val="22"/>
          <w:szCs w:val="22"/>
        </w:rPr>
        <w:t xml:space="preserve">The Culture Code brings to life BMC’s core value of “Many Faces Create Our Greatness” by distilling large and seemingly abstract diversity, equity, and inclusion concepts into five (5) elements: (1) </w:t>
      </w:r>
      <w:r w:rsidRPr="002144AC">
        <w:rPr>
          <w:rFonts w:ascii="Arial" w:hAnsi="Arial" w:cs="Arial"/>
          <w:sz w:val="22"/>
          <w:szCs w:val="22"/>
        </w:rPr>
        <w:t>See The Other Person (S.T.O.P.);</w:t>
      </w:r>
      <w:r>
        <w:rPr>
          <w:rFonts w:ascii="Arial" w:hAnsi="Arial" w:cs="Arial"/>
          <w:sz w:val="22"/>
          <w:szCs w:val="22"/>
        </w:rPr>
        <w:t xml:space="preserve"> (2) </w:t>
      </w:r>
      <w:r w:rsidRPr="002144AC">
        <w:rPr>
          <w:rFonts w:ascii="Arial" w:hAnsi="Arial" w:cs="Arial"/>
          <w:sz w:val="22"/>
          <w:szCs w:val="22"/>
        </w:rPr>
        <w:t>Find your superpower and appreciate the superpowers of others;</w:t>
      </w:r>
      <w:r>
        <w:rPr>
          <w:rFonts w:ascii="Arial" w:hAnsi="Arial" w:cs="Arial"/>
          <w:sz w:val="22"/>
          <w:szCs w:val="22"/>
        </w:rPr>
        <w:t xml:space="preserve"> (3) </w:t>
      </w:r>
      <w:r w:rsidRPr="002144AC">
        <w:rPr>
          <w:rFonts w:ascii="Arial" w:hAnsi="Arial" w:cs="Arial"/>
          <w:sz w:val="22"/>
          <w:szCs w:val="22"/>
        </w:rPr>
        <w:t xml:space="preserve">Missteps happen, so can growth; </w:t>
      </w:r>
      <w:r>
        <w:rPr>
          <w:rFonts w:ascii="Arial" w:hAnsi="Arial" w:cs="Arial"/>
          <w:sz w:val="22"/>
          <w:szCs w:val="22"/>
        </w:rPr>
        <w:t xml:space="preserve">(4) </w:t>
      </w:r>
      <w:r w:rsidRPr="002144AC">
        <w:rPr>
          <w:rFonts w:ascii="Arial" w:hAnsi="Arial" w:cs="Arial"/>
          <w:sz w:val="22"/>
          <w:szCs w:val="22"/>
        </w:rPr>
        <w:t xml:space="preserve">Make </w:t>
      </w:r>
      <w:r w:rsidR="00F33C2A">
        <w:rPr>
          <w:rFonts w:ascii="Arial" w:hAnsi="Arial" w:cs="Arial"/>
          <w:sz w:val="22"/>
          <w:szCs w:val="22"/>
        </w:rPr>
        <w:t>it</w:t>
      </w:r>
      <w:r w:rsidR="00F33C2A" w:rsidRPr="002144AC">
        <w:rPr>
          <w:rFonts w:ascii="Arial" w:hAnsi="Arial" w:cs="Arial"/>
          <w:sz w:val="22"/>
          <w:szCs w:val="22"/>
        </w:rPr>
        <w:t xml:space="preserve"> </w:t>
      </w:r>
      <w:r w:rsidRPr="002144AC">
        <w:rPr>
          <w:rFonts w:ascii="Arial" w:hAnsi="Arial" w:cs="Arial"/>
          <w:sz w:val="22"/>
          <w:szCs w:val="22"/>
        </w:rPr>
        <w:t xml:space="preserve">a 5-star hello; and </w:t>
      </w:r>
      <w:r>
        <w:rPr>
          <w:rFonts w:ascii="Arial" w:hAnsi="Arial" w:cs="Arial"/>
          <w:sz w:val="22"/>
          <w:szCs w:val="22"/>
        </w:rPr>
        <w:t xml:space="preserve">(5) </w:t>
      </w:r>
      <w:r w:rsidRPr="002144AC">
        <w:rPr>
          <w:rFonts w:ascii="Arial" w:hAnsi="Arial" w:cs="Arial"/>
          <w:sz w:val="22"/>
          <w:szCs w:val="22"/>
        </w:rPr>
        <w:t>We stand together.</w:t>
      </w:r>
      <w:r>
        <w:rPr>
          <w:rFonts w:ascii="Arial" w:hAnsi="Arial" w:cs="Arial"/>
          <w:sz w:val="22"/>
          <w:szCs w:val="22"/>
        </w:rPr>
        <w:t xml:space="preserve"> Other initiatives include, but are not limited to, the following: </w:t>
      </w:r>
      <w:r w:rsidRPr="009B649D">
        <w:rPr>
          <w:rFonts w:ascii="Arial" w:hAnsi="Arial" w:cs="Arial"/>
          <w:sz w:val="22"/>
          <w:szCs w:val="22"/>
        </w:rPr>
        <w:t>The Glossary for Culture Transformation</w:t>
      </w:r>
      <w:r>
        <w:rPr>
          <w:rFonts w:ascii="Arial" w:hAnsi="Arial" w:cs="Arial"/>
          <w:sz w:val="22"/>
          <w:szCs w:val="22"/>
        </w:rPr>
        <w:t xml:space="preserve">; Transgender Taskforce; Pathways: A Leadership Acceleration Program; Graduate Medical Education Diversity &amp; Inclusion Council; and the Pharmacy Department All-In Initiative. </w:t>
      </w:r>
      <w:r>
        <w:rPr>
          <w:rFonts w:ascii="Arial" w:hAnsi="Arial" w:cs="Arial"/>
          <w:sz w:val="22"/>
          <w:szCs w:val="22"/>
        </w:rPr>
        <w:tab/>
      </w:r>
    </w:p>
    <w:p w14:paraId="5DBCAF39" w14:textId="77777777" w:rsidR="00834993" w:rsidRPr="002144AC" w:rsidRDefault="00834993" w:rsidP="00834993">
      <w:pPr>
        <w:jc w:val="both"/>
        <w:rPr>
          <w:rFonts w:ascii="Arial" w:hAnsi="Arial" w:cs="Arial"/>
          <w:sz w:val="22"/>
          <w:szCs w:val="22"/>
        </w:rPr>
      </w:pPr>
    </w:p>
    <w:p w14:paraId="2A9AF90C" w14:textId="1105F471" w:rsidR="00834993" w:rsidRPr="002C67F1" w:rsidRDefault="00834993" w:rsidP="00834993">
      <w:pPr>
        <w:pStyle w:val="ListParagraph"/>
        <w:numPr>
          <w:ilvl w:val="0"/>
          <w:numId w:val="29"/>
        </w:numPr>
        <w:jc w:val="both"/>
        <w:rPr>
          <w:rFonts w:ascii="Arial" w:eastAsiaTheme="minorHAnsi" w:hAnsi="Arial" w:cs="Arial"/>
          <w:sz w:val="22"/>
          <w:szCs w:val="22"/>
        </w:rPr>
      </w:pPr>
      <w:r w:rsidRPr="004F2F15">
        <w:rPr>
          <w:rFonts w:ascii="Arial" w:hAnsi="Arial" w:cs="Arial"/>
          <w:b/>
          <w:bCs/>
          <w:sz w:val="22"/>
          <w:szCs w:val="22"/>
        </w:rPr>
        <w:t>Ensure Language Access</w:t>
      </w:r>
      <w:r>
        <w:rPr>
          <w:rFonts w:ascii="Arial" w:hAnsi="Arial" w:cs="Arial"/>
          <w:b/>
          <w:bCs/>
          <w:sz w:val="22"/>
          <w:szCs w:val="22"/>
        </w:rPr>
        <w:t xml:space="preserve">: </w:t>
      </w:r>
      <w:r w:rsidRPr="005A5D29">
        <w:rPr>
          <w:rFonts w:ascii="Arial" w:hAnsi="Arial" w:cs="Arial"/>
          <w:sz w:val="22"/>
          <w:szCs w:val="22"/>
        </w:rPr>
        <w:t xml:space="preserve">BMC is committed to reducing linguistic barriers for </w:t>
      </w:r>
      <w:r>
        <w:rPr>
          <w:rFonts w:ascii="Arial" w:hAnsi="Arial" w:cs="Arial"/>
          <w:sz w:val="22"/>
          <w:szCs w:val="22"/>
        </w:rPr>
        <w:t>l</w:t>
      </w:r>
      <w:r w:rsidRPr="005A5D29">
        <w:rPr>
          <w:rFonts w:ascii="Arial" w:hAnsi="Arial" w:cs="Arial"/>
          <w:sz w:val="22"/>
          <w:szCs w:val="22"/>
        </w:rPr>
        <w:t xml:space="preserve">imited-English </w:t>
      </w:r>
      <w:r>
        <w:rPr>
          <w:rFonts w:ascii="Arial" w:hAnsi="Arial" w:cs="Arial"/>
          <w:sz w:val="22"/>
          <w:szCs w:val="22"/>
        </w:rPr>
        <w:t>p</w:t>
      </w:r>
      <w:r w:rsidRPr="005A5D29">
        <w:rPr>
          <w:rFonts w:ascii="Arial" w:hAnsi="Arial" w:cs="Arial"/>
          <w:sz w:val="22"/>
          <w:szCs w:val="22"/>
        </w:rPr>
        <w:t xml:space="preserve">roficiency (“LEP”) and </w:t>
      </w:r>
      <w:r>
        <w:rPr>
          <w:rFonts w:ascii="Arial" w:hAnsi="Arial" w:cs="Arial"/>
          <w:sz w:val="22"/>
          <w:szCs w:val="22"/>
        </w:rPr>
        <w:t>d</w:t>
      </w:r>
      <w:r w:rsidRPr="005A5D29">
        <w:rPr>
          <w:rFonts w:ascii="Arial" w:hAnsi="Arial" w:cs="Arial"/>
          <w:sz w:val="22"/>
          <w:szCs w:val="22"/>
        </w:rPr>
        <w:t xml:space="preserve">eaf and </w:t>
      </w:r>
      <w:r>
        <w:rPr>
          <w:rFonts w:ascii="Arial" w:hAnsi="Arial" w:cs="Arial"/>
          <w:sz w:val="22"/>
          <w:szCs w:val="22"/>
        </w:rPr>
        <w:t>h</w:t>
      </w:r>
      <w:r w:rsidRPr="005A5D29">
        <w:rPr>
          <w:rFonts w:ascii="Arial" w:hAnsi="Arial" w:cs="Arial"/>
          <w:sz w:val="22"/>
          <w:szCs w:val="22"/>
        </w:rPr>
        <w:t xml:space="preserve">ard of </w:t>
      </w:r>
      <w:r>
        <w:rPr>
          <w:rFonts w:ascii="Arial" w:hAnsi="Arial" w:cs="Arial"/>
          <w:sz w:val="22"/>
          <w:szCs w:val="22"/>
        </w:rPr>
        <w:t>h</w:t>
      </w:r>
      <w:r w:rsidRPr="005A5D29">
        <w:rPr>
          <w:rFonts w:ascii="Arial" w:hAnsi="Arial" w:cs="Arial"/>
          <w:sz w:val="22"/>
          <w:szCs w:val="22"/>
        </w:rPr>
        <w:t>earing (“DHH”) patients seeking care at BMC.</w:t>
      </w:r>
      <w:r>
        <w:rPr>
          <w:rFonts w:ascii="Arial" w:hAnsi="Arial" w:cs="Arial"/>
          <w:sz w:val="22"/>
          <w:szCs w:val="22"/>
        </w:rPr>
        <w:t xml:space="preserve"> </w:t>
      </w:r>
      <w:r w:rsidR="00F33C2A">
        <w:rPr>
          <w:rFonts w:ascii="Arial" w:hAnsi="Arial" w:cs="Arial"/>
          <w:sz w:val="22"/>
          <w:szCs w:val="22"/>
        </w:rPr>
        <w:t>B</w:t>
      </w:r>
      <w:r>
        <w:rPr>
          <w:rFonts w:ascii="Arial" w:hAnsi="Arial" w:cs="Arial"/>
          <w:sz w:val="22"/>
          <w:szCs w:val="22"/>
        </w:rPr>
        <w:t xml:space="preserve">eing that greater than one-quarter of BMC’s patients do not speak English as a primary language, and as part of its dedication to serving everyone, the Hospital offers all medical care and services in 263+ languages – sixteen (16) of which are available via in-person interpretation and 250+ of which can be facilitated otherwise – through its ISD program. </w:t>
      </w:r>
      <w:r w:rsidRPr="002C67F1">
        <w:rPr>
          <w:rFonts w:ascii="Arial" w:eastAsiaTheme="minorHAnsi" w:hAnsi="Arial" w:cs="Arial"/>
          <w:sz w:val="22"/>
          <w:szCs w:val="22"/>
        </w:rPr>
        <w:t xml:space="preserve">One of the oldest and most extensive interpreter services programs in the United States, BMC’s ISD </w:t>
      </w:r>
      <w:r>
        <w:rPr>
          <w:rFonts w:ascii="Arial" w:hAnsi="Arial" w:cs="Arial"/>
          <w:sz w:val="22"/>
          <w:szCs w:val="22"/>
        </w:rPr>
        <w:t>includes</w:t>
      </w:r>
      <w:r w:rsidRPr="002C67F1">
        <w:rPr>
          <w:rFonts w:ascii="Arial" w:eastAsiaTheme="minorHAnsi" w:hAnsi="Arial" w:cs="Arial"/>
          <w:sz w:val="22"/>
          <w:szCs w:val="22"/>
        </w:rPr>
        <w:t xml:space="preserve"> a team of approximately sixty (60) professional medical interpreters or language facilitators to help patients </w:t>
      </w:r>
      <w:r>
        <w:rPr>
          <w:rFonts w:ascii="Arial" w:hAnsi="Arial" w:cs="Arial"/>
          <w:sz w:val="22"/>
          <w:szCs w:val="22"/>
        </w:rPr>
        <w:t>receive the care they need</w:t>
      </w:r>
      <w:r w:rsidRPr="002C67F1">
        <w:rPr>
          <w:rFonts w:ascii="Arial" w:eastAsiaTheme="minorHAnsi" w:hAnsi="Arial" w:cs="Arial"/>
          <w:sz w:val="22"/>
          <w:szCs w:val="22"/>
        </w:rPr>
        <w:t>.</w:t>
      </w:r>
    </w:p>
    <w:p w14:paraId="165104F3" w14:textId="77777777" w:rsidR="00834993" w:rsidRDefault="00834993" w:rsidP="00834993">
      <w:pPr>
        <w:pStyle w:val="ListParagraph"/>
        <w:jc w:val="both"/>
        <w:rPr>
          <w:rFonts w:ascii="Arial" w:hAnsi="Arial" w:cs="Arial"/>
          <w:sz w:val="22"/>
          <w:szCs w:val="22"/>
        </w:rPr>
      </w:pPr>
    </w:p>
    <w:p w14:paraId="3D378B9C" w14:textId="77777777" w:rsidR="00834993" w:rsidRPr="002C67F1" w:rsidRDefault="00834993" w:rsidP="00834993">
      <w:pPr>
        <w:ind w:left="720"/>
        <w:jc w:val="both"/>
        <w:rPr>
          <w:rFonts w:ascii="Arial" w:hAnsi="Arial" w:cs="Arial"/>
          <w:sz w:val="22"/>
          <w:szCs w:val="22"/>
        </w:rPr>
      </w:pPr>
      <w:r>
        <w:rPr>
          <w:rFonts w:ascii="Arial" w:hAnsi="Arial" w:cs="Arial"/>
          <w:sz w:val="22"/>
          <w:szCs w:val="22"/>
        </w:rPr>
        <w:t>T</w:t>
      </w:r>
      <w:r w:rsidRPr="002C67F1">
        <w:rPr>
          <w:rFonts w:ascii="Arial" w:hAnsi="Arial" w:cs="Arial"/>
          <w:sz w:val="22"/>
          <w:szCs w:val="22"/>
        </w:rPr>
        <w:t>o facilitate effective communication between BMC staff members, patients, and family members</w:t>
      </w:r>
      <w:r>
        <w:rPr>
          <w:rFonts w:ascii="Arial" w:hAnsi="Arial" w:cs="Arial"/>
          <w:sz w:val="22"/>
          <w:szCs w:val="22"/>
        </w:rPr>
        <w:t xml:space="preserve">, </w:t>
      </w:r>
      <w:r w:rsidRPr="002C67F1">
        <w:rPr>
          <w:rFonts w:ascii="Arial" w:hAnsi="Arial" w:cs="Arial"/>
          <w:sz w:val="22"/>
          <w:szCs w:val="22"/>
        </w:rPr>
        <w:t xml:space="preserve">the Hospital has </w:t>
      </w:r>
      <w:r>
        <w:rPr>
          <w:rFonts w:ascii="Arial" w:hAnsi="Arial" w:cs="Arial"/>
          <w:sz w:val="22"/>
          <w:szCs w:val="22"/>
        </w:rPr>
        <w:t xml:space="preserve">certain interpreter services </w:t>
      </w:r>
      <w:r w:rsidRPr="002C67F1">
        <w:rPr>
          <w:rFonts w:ascii="Arial" w:hAnsi="Arial" w:cs="Arial"/>
          <w:sz w:val="22"/>
          <w:szCs w:val="22"/>
        </w:rPr>
        <w:t>policies and procedures in place. As outlined in these policies and procedures, BMC’s ISD provides, at no cost to patients, professional medical interpreters (ISD staff and contracted freelance interpreters) who possess the necessary language and interpreting skills to competently interpret between providers and LEP and DHH patients at BMC. The role of the interpreter is to provide accurate and impartial interpretation to enable the provider and patient to effectively communicate, removing any language barrier and ensuring equal access to quality care. This includes providing necessary equipment to the visually, speech and hearing impaired. ISD provides these services 24 hours per day and 7 days per week including holidays. If additional resources are needed, authorized bilingual staff, as well as professional telephonic and video interpreters, can also be utilized when available.</w:t>
      </w:r>
    </w:p>
    <w:p w14:paraId="16F3B565" w14:textId="77777777" w:rsidR="00834993" w:rsidRDefault="00834993" w:rsidP="00834993">
      <w:pPr>
        <w:jc w:val="both"/>
        <w:rPr>
          <w:rFonts w:ascii="Arial" w:hAnsi="Arial" w:cs="Arial"/>
          <w:sz w:val="22"/>
          <w:szCs w:val="22"/>
        </w:rPr>
      </w:pPr>
    </w:p>
    <w:p w14:paraId="1E828F61" w14:textId="77777777" w:rsidR="00834993" w:rsidRDefault="00834993" w:rsidP="00834993">
      <w:pPr>
        <w:ind w:left="720"/>
        <w:jc w:val="both"/>
        <w:rPr>
          <w:rFonts w:ascii="Arial" w:hAnsi="Arial" w:cs="Arial"/>
          <w:sz w:val="22"/>
          <w:szCs w:val="22"/>
        </w:rPr>
      </w:pPr>
      <w:r>
        <w:rPr>
          <w:rFonts w:ascii="Arial" w:hAnsi="Arial" w:cs="Arial"/>
          <w:sz w:val="22"/>
          <w:szCs w:val="22"/>
        </w:rPr>
        <w:t xml:space="preserve">Process-wise, registration staff at BMC identify a patient’s preferred language </w:t>
      </w:r>
      <w:r w:rsidRPr="00B8411F">
        <w:rPr>
          <w:rFonts w:ascii="Arial" w:hAnsi="Arial" w:cs="Arial"/>
          <w:sz w:val="22"/>
          <w:szCs w:val="22"/>
        </w:rPr>
        <w:t>spoken</w:t>
      </w:r>
      <w:r>
        <w:rPr>
          <w:rFonts w:ascii="Arial" w:hAnsi="Arial" w:cs="Arial"/>
          <w:sz w:val="22"/>
          <w:szCs w:val="22"/>
        </w:rPr>
        <w:t xml:space="preserve"> </w:t>
      </w:r>
      <w:r w:rsidRPr="00B8411F">
        <w:rPr>
          <w:rFonts w:ascii="Arial" w:hAnsi="Arial" w:cs="Arial"/>
          <w:sz w:val="22"/>
          <w:szCs w:val="22"/>
        </w:rPr>
        <w:t>information when discussing</w:t>
      </w:r>
      <w:r>
        <w:rPr>
          <w:rFonts w:ascii="Arial" w:hAnsi="Arial" w:cs="Arial"/>
          <w:sz w:val="22"/>
          <w:szCs w:val="22"/>
        </w:rPr>
        <w:t xml:space="preserve"> </w:t>
      </w:r>
      <w:r w:rsidRPr="00B8411F">
        <w:rPr>
          <w:rFonts w:ascii="Arial" w:hAnsi="Arial" w:cs="Arial"/>
          <w:sz w:val="22"/>
          <w:szCs w:val="22"/>
        </w:rPr>
        <w:t>health care issues and preferred language when reading health care related materials and documents</w:t>
      </w:r>
      <w:r>
        <w:rPr>
          <w:rFonts w:ascii="Arial" w:hAnsi="Arial" w:cs="Arial"/>
          <w:sz w:val="22"/>
          <w:szCs w:val="22"/>
        </w:rPr>
        <w:t>, and the L</w:t>
      </w:r>
      <w:r w:rsidRPr="00B8411F">
        <w:rPr>
          <w:rFonts w:ascii="Arial" w:hAnsi="Arial" w:cs="Arial"/>
          <w:sz w:val="22"/>
          <w:szCs w:val="22"/>
        </w:rPr>
        <w:t>icensed Independent Practitioner and admitting nurse or patient access representative review the preferred spoken and written language during the admission assessment process</w:t>
      </w:r>
      <w:r>
        <w:rPr>
          <w:rFonts w:ascii="Arial" w:hAnsi="Arial" w:cs="Arial"/>
          <w:sz w:val="22"/>
          <w:szCs w:val="22"/>
        </w:rPr>
        <w:t xml:space="preserve">. </w:t>
      </w:r>
      <w:r w:rsidRPr="00083CCD">
        <w:rPr>
          <w:rFonts w:ascii="Arial" w:hAnsi="Arial" w:cs="Arial"/>
          <w:sz w:val="22"/>
          <w:szCs w:val="22"/>
        </w:rPr>
        <w:t>If a patient accepts the services of an interpreter, the following procedures are followed</w:t>
      </w:r>
      <w:r>
        <w:rPr>
          <w:rFonts w:ascii="Arial" w:hAnsi="Arial" w:cs="Arial"/>
          <w:sz w:val="22"/>
          <w:szCs w:val="22"/>
        </w:rPr>
        <w:t>:</w:t>
      </w:r>
    </w:p>
    <w:p w14:paraId="11C32BBF" w14:textId="77777777" w:rsidR="00834993" w:rsidRPr="00505664" w:rsidRDefault="00834993" w:rsidP="00834993">
      <w:pPr>
        <w:pStyle w:val="ListParagraph"/>
        <w:numPr>
          <w:ilvl w:val="0"/>
          <w:numId w:val="27"/>
        </w:numPr>
        <w:jc w:val="both"/>
        <w:rPr>
          <w:rFonts w:ascii="Arial" w:hAnsi="Arial" w:cs="Arial"/>
          <w:sz w:val="22"/>
          <w:szCs w:val="22"/>
        </w:rPr>
      </w:pPr>
      <w:r w:rsidRPr="00505664">
        <w:rPr>
          <w:rFonts w:ascii="Arial" w:hAnsi="Arial" w:cs="Arial"/>
          <w:sz w:val="22"/>
          <w:szCs w:val="22"/>
        </w:rPr>
        <w:t>Requesting a spoken language face</w:t>
      </w:r>
      <w:r>
        <w:rPr>
          <w:rFonts w:ascii="Arial" w:hAnsi="Arial" w:cs="Arial"/>
          <w:sz w:val="22"/>
          <w:szCs w:val="22"/>
        </w:rPr>
        <w:t>-</w:t>
      </w:r>
      <w:r w:rsidRPr="00505664">
        <w:rPr>
          <w:rFonts w:ascii="Arial" w:hAnsi="Arial" w:cs="Arial"/>
          <w:sz w:val="22"/>
          <w:szCs w:val="22"/>
        </w:rPr>
        <w:t>to</w:t>
      </w:r>
      <w:r>
        <w:rPr>
          <w:rFonts w:ascii="Arial" w:hAnsi="Arial" w:cs="Arial"/>
          <w:sz w:val="22"/>
          <w:szCs w:val="22"/>
        </w:rPr>
        <w:t>-</w:t>
      </w:r>
      <w:r w:rsidRPr="00505664">
        <w:rPr>
          <w:rFonts w:ascii="Arial" w:hAnsi="Arial" w:cs="Arial"/>
          <w:sz w:val="22"/>
          <w:szCs w:val="22"/>
        </w:rPr>
        <w:t>face interpreter: All spoken languages face</w:t>
      </w:r>
      <w:r>
        <w:rPr>
          <w:rFonts w:ascii="Arial" w:hAnsi="Arial" w:cs="Arial"/>
          <w:sz w:val="22"/>
          <w:szCs w:val="22"/>
        </w:rPr>
        <w:t>-</w:t>
      </w:r>
      <w:r w:rsidRPr="00505664">
        <w:rPr>
          <w:rFonts w:ascii="Arial" w:hAnsi="Arial" w:cs="Arial"/>
          <w:sz w:val="22"/>
          <w:szCs w:val="22"/>
        </w:rPr>
        <w:t>to</w:t>
      </w:r>
      <w:r>
        <w:rPr>
          <w:rFonts w:ascii="Arial" w:hAnsi="Arial" w:cs="Arial"/>
          <w:sz w:val="22"/>
          <w:szCs w:val="22"/>
        </w:rPr>
        <w:t>-</w:t>
      </w:r>
      <w:r w:rsidRPr="00505664">
        <w:rPr>
          <w:rFonts w:ascii="Arial" w:hAnsi="Arial" w:cs="Arial"/>
          <w:sz w:val="22"/>
          <w:szCs w:val="22"/>
        </w:rPr>
        <w:t xml:space="preserve">face interpreter requests are submitted through BMC’s </w:t>
      </w:r>
      <w:r>
        <w:rPr>
          <w:rFonts w:ascii="Arial" w:hAnsi="Arial" w:cs="Arial"/>
          <w:sz w:val="22"/>
          <w:szCs w:val="22"/>
        </w:rPr>
        <w:t xml:space="preserve">online system, </w:t>
      </w:r>
      <w:r w:rsidRPr="00505664">
        <w:rPr>
          <w:rFonts w:ascii="Arial" w:hAnsi="Arial" w:cs="Arial"/>
          <w:sz w:val="22"/>
          <w:szCs w:val="22"/>
        </w:rPr>
        <w:t>ID-QUEUE</w:t>
      </w:r>
      <w:r>
        <w:rPr>
          <w:rFonts w:ascii="Arial" w:hAnsi="Arial" w:cs="Arial"/>
          <w:sz w:val="22"/>
          <w:szCs w:val="22"/>
        </w:rPr>
        <w:t>.</w:t>
      </w:r>
    </w:p>
    <w:p w14:paraId="0771F803" w14:textId="77777777" w:rsidR="00834993" w:rsidRPr="00505664" w:rsidRDefault="00834993" w:rsidP="00834993">
      <w:pPr>
        <w:pStyle w:val="ListParagraph"/>
        <w:numPr>
          <w:ilvl w:val="0"/>
          <w:numId w:val="27"/>
        </w:numPr>
        <w:jc w:val="both"/>
        <w:rPr>
          <w:rFonts w:ascii="Arial" w:hAnsi="Arial" w:cs="Arial"/>
          <w:sz w:val="22"/>
          <w:szCs w:val="22"/>
        </w:rPr>
      </w:pPr>
      <w:r w:rsidRPr="00505664">
        <w:rPr>
          <w:rFonts w:ascii="Arial" w:hAnsi="Arial" w:cs="Arial"/>
          <w:sz w:val="22"/>
          <w:szCs w:val="22"/>
        </w:rPr>
        <w:t>Telephone interpretation: Telephone interpretation is available at all times in all inpatient and outpatient areas. All callers may place the call to the vendor (Pacific Interpreters or Language Line Services) directly using the dual handset phones. If additional phones are needed at any location, a request can be made with the ITS helpdesk by calling or by submitting an online ticket</w:t>
      </w:r>
      <w:r>
        <w:rPr>
          <w:rFonts w:ascii="Arial" w:hAnsi="Arial" w:cs="Arial"/>
          <w:sz w:val="22"/>
          <w:szCs w:val="22"/>
        </w:rPr>
        <w:t>.</w:t>
      </w:r>
    </w:p>
    <w:p w14:paraId="3A44325A" w14:textId="77777777" w:rsidR="00834993" w:rsidRDefault="00834993" w:rsidP="00834993">
      <w:pPr>
        <w:pStyle w:val="ListParagraph"/>
        <w:numPr>
          <w:ilvl w:val="0"/>
          <w:numId w:val="27"/>
        </w:numPr>
        <w:jc w:val="both"/>
        <w:rPr>
          <w:rFonts w:ascii="Arial" w:hAnsi="Arial" w:cs="Arial"/>
          <w:sz w:val="22"/>
          <w:szCs w:val="22"/>
        </w:rPr>
      </w:pPr>
      <w:r w:rsidRPr="00505664">
        <w:rPr>
          <w:rFonts w:ascii="Arial" w:hAnsi="Arial" w:cs="Arial"/>
          <w:sz w:val="22"/>
          <w:szCs w:val="22"/>
        </w:rPr>
        <w:t>Requesting an ASL Interpreter, Tactile interpreter (services for deaf and blind patient), or Certified Deaf Interpreter: During normal business hours, these interpreters can be reached by calling the ISD. After regular business hours or on weekends or holidays, Operator Services can assist in paging the ISD supervisor who will coordinate with the respective department.</w:t>
      </w:r>
      <w:r>
        <w:rPr>
          <w:rFonts w:ascii="Arial" w:hAnsi="Arial" w:cs="Arial"/>
          <w:sz w:val="22"/>
          <w:szCs w:val="22"/>
        </w:rPr>
        <w:t xml:space="preserve"> </w:t>
      </w:r>
      <w:r w:rsidRPr="00505664">
        <w:rPr>
          <w:rFonts w:ascii="Arial" w:hAnsi="Arial" w:cs="Arial"/>
          <w:sz w:val="22"/>
          <w:szCs w:val="22"/>
        </w:rPr>
        <w:t>If no ASL interpreter is available, the on-call supervisor will recommend the usage of the Video Interpreting Unit when appropriate.</w:t>
      </w:r>
      <w:r>
        <w:rPr>
          <w:rFonts w:ascii="Arial" w:hAnsi="Arial" w:cs="Arial"/>
          <w:sz w:val="22"/>
          <w:szCs w:val="22"/>
        </w:rPr>
        <w:t xml:space="preserve"> One-hundred (</w:t>
      </w:r>
      <w:r w:rsidRPr="00E45A9C">
        <w:rPr>
          <w:rFonts w:ascii="Arial" w:hAnsi="Arial" w:cs="Arial"/>
          <w:sz w:val="22"/>
          <w:szCs w:val="22"/>
        </w:rPr>
        <w:t>100) Video Interpreting Units, for communicating in ASL, are available in the ED and various other departments throughout BMC</w:t>
      </w:r>
      <w:r>
        <w:rPr>
          <w:rFonts w:ascii="Arial" w:hAnsi="Arial" w:cs="Arial"/>
          <w:sz w:val="22"/>
          <w:szCs w:val="22"/>
        </w:rPr>
        <w:t>.</w:t>
      </w:r>
    </w:p>
    <w:p w14:paraId="654C876D" w14:textId="77777777" w:rsidR="00834993" w:rsidRDefault="00834993" w:rsidP="00834993">
      <w:pPr>
        <w:pStyle w:val="ListParagraph"/>
        <w:numPr>
          <w:ilvl w:val="0"/>
          <w:numId w:val="27"/>
        </w:numPr>
        <w:jc w:val="both"/>
        <w:rPr>
          <w:rFonts w:ascii="Arial" w:hAnsi="Arial" w:cs="Arial"/>
          <w:sz w:val="22"/>
          <w:szCs w:val="22"/>
        </w:rPr>
      </w:pPr>
      <w:r>
        <w:rPr>
          <w:rFonts w:ascii="Arial" w:hAnsi="Arial" w:cs="Arial"/>
          <w:sz w:val="22"/>
          <w:szCs w:val="22"/>
        </w:rPr>
        <w:t xml:space="preserve">To obtain equipment for DHH patients: </w:t>
      </w:r>
      <w:r w:rsidRPr="00505664">
        <w:rPr>
          <w:rFonts w:ascii="Arial" w:hAnsi="Arial" w:cs="Arial"/>
          <w:sz w:val="22"/>
          <w:szCs w:val="22"/>
        </w:rPr>
        <w:t xml:space="preserve">During normal business hours, </w:t>
      </w:r>
      <w:r>
        <w:rPr>
          <w:rFonts w:ascii="Arial" w:hAnsi="Arial" w:cs="Arial"/>
          <w:sz w:val="22"/>
          <w:szCs w:val="22"/>
        </w:rPr>
        <w:t>equipment can be accessed by calling the ISD. After</w:t>
      </w:r>
      <w:r w:rsidRPr="00E45A9C">
        <w:rPr>
          <w:rFonts w:ascii="Arial" w:hAnsi="Arial" w:cs="Arial"/>
          <w:sz w:val="22"/>
          <w:szCs w:val="22"/>
        </w:rPr>
        <w:t xml:space="preserve"> regular business hours or on weekends or holidays, </w:t>
      </w:r>
      <w:r w:rsidRPr="00505664">
        <w:rPr>
          <w:rFonts w:ascii="Arial" w:hAnsi="Arial" w:cs="Arial"/>
          <w:sz w:val="22"/>
          <w:szCs w:val="22"/>
        </w:rPr>
        <w:t>Operator Services can assist in paging the ISD supervisor who will coordinate with the respective department</w:t>
      </w:r>
      <w:r>
        <w:rPr>
          <w:rFonts w:ascii="Arial" w:hAnsi="Arial" w:cs="Arial"/>
          <w:sz w:val="22"/>
          <w:szCs w:val="22"/>
        </w:rPr>
        <w:t xml:space="preserve">. Telecommunications devices for the deaf include </w:t>
      </w:r>
      <w:r w:rsidRPr="00E45A9C">
        <w:rPr>
          <w:rFonts w:ascii="Arial" w:hAnsi="Arial" w:cs="Arial"/>
          <w:sz w:val="22"/>
          <w:szCs w:val="22"/>
        </w:rPr>
        <w:t>TTY/TDD, mobile phone for text messaging and email, and amplified telephones.</w:t>
      </w:r>
    </w:p>
    <w:p w14:paraId="43F44D8B" w14:textId="77777777" w:rsidR="00834993" w:rsidRDefault="00834993" w:rsidP="00834993">
      <w:pPr>
        <w:pStyle w:val="ListParagraph"/>
        <w:numPr>
          <w:ilvl w:val="0"/>
          <w:numId w:val="27"/>
        </w:numPr>
        <w:jc w:val="both"/>
        <w:rPr>
          <w:rFonts w:eastAsiaTheme="minorHAnsi"/>
          <w:i/>
          <w:iCs/>
          <w:sz w:val="22"/>
          <w:szCs w:val="22"/>
        </w:rPr>
      </w:pPr>
      <w:r>
        <w:rPr>
          <w:rFonts w:ascii="Arial" w:hAnsi="Arial" w:cs="Arial"/>
          <w:sz w:val="22"/>
          <w:szCs w:val="22"/>
        </w:rPr>
        <w:t xml:space="preserve">Resources for visually impaired: </w:t>
      </w:r>
      <w:r w:rsidRPr="00A051FE">
        <w:rPr>
          <w:rFonts w:ascii="Arial" w:hAnsi="Arial" w:cs="Arial"/>
          <w:sz w:val="22"/>
          <w:szCs w:val="22"/>
        </w:rPr>
        <w:t>Telephones with Braille Keys are available in all patient areas. A Braille translation of the Patient’s Rights and Responsibilities is available through the ISD and can be requested during regular business hours by calling the ISD or after regular business hours or on weekends or holidays by calling the Operator Services</w:t>
      </w:r>
      <w:r w:rsidRPr="00A051FE">
        <w:rPr>
          <w:rFonts w:ascii="Arial" w:eastAsiaTheme="minorHAnsi" w:hAnsi="Arial" w:cs="Arial"/>
          <w:i/>
          <w:iCs/>
          <w:sz w:val="22"/>
          <w:szCs w:val="22"/>
        </w:rPr>
        <w:t>.</w:t>
      </w:r>
    </w:p>
    <w:p w14:paraId="0E4FAB62" w14:textId="77777777" w:rsidR="00834993" w:rsidRDefault="00834993" w:rsidP="00834993">
      <w:pPr>
        <w:autoSpaceDE w:val="0"/>
        <w:autoSpaceDN w:val="0"/>
        <w:adjustRightInd w:val="0"/>
        <w:rPr>
          <w:rFonts w:eastAsiaTheme="minorHAnsi"/>
          <w:i/>
          <w:iCs/>
          <w:sz w:val="22"/>
          <w:szCs w:val="22"/>
        </w:rPr>
      </w:pPr>
    </w:p>
    <w:p w14:paraId="52AB7DFF" w14:textId="35EE6893" w:rsidR="00834993" w:rsidRPr="001726BA" w:rsidRDefault="00834993" w:rsidP="001726BA">
      <w:pPr>
        <w:ind w:left="720"/>
        <w:jc w:val="both"/>
      </w:pPr>
      <w:r w:rsidRPr="009A0631">
        <w:rPr>
          <w:rFonts w:ascii="ArialMT" w:hAnsi="ArialMT"/>
          <w:sz w:val="22"/>
          <w:szCs w:val="22"/>
        </w:rPr>
        <w:t xml:space="preserve">Similar to what occurs today at </w:t>
      </w:r>
      <w:r>
        <w:rPr>
          <w:rFonts w:ascii="ArialMT" w:hAnsi="ArialMT"/>
          <w:sz w:val="22"/>
          <w:szCs w:val="22"/>
        </w:rPr>
        <w:t>BMC</w:t>
      </w:r>
      <w:r w:rsidRPr="009A0631">
        <w:rPr>
          <w:rFonts w:ascii="ArialMT" w:hAnsi="ArialMT"/>
          <w:sz w:val="22"/>
          <w:szCs w:val="22"/>
        </w:rPr>
        <w:t xml:space="preserve">, upon implementation of the Proposed Project, interpreter and translation services will be arranged for all </w:t>
      </w:r>
      <w:r>
        <w:rPr>
          <w:rFonts w:ascii="ArialMT" w:hAnsi="ArialMT"/>
          <w:sz w:val="22"/>
          <w:szCs w:val="22"/>
        </w:rPr>
        <w:t>in</w:t>
      </w:r>
      <w:r w:rsidRPr="009A0631">
        <w:rPr>
          <w:rFonts w:ascii="ArialMT" w:hAnsi="ArialMT"/>
          <w:sz w:val="22"/>
          <w:szCs w:val="22"/>
        </w:rPr>
        <w:t>patient</w:t>
      </w:r>
      <w:r>
        <w:rPr>
          <w:rFonts w:ascii="ArialMT" w:hAnsi="ArialMT"/>
          <w:sz w:val="22"/>
          <w:szCs w:val="22"/>
        </w:rPr>
        <w:t xml:space="preserve"> and surgical patients</w:t>
      </w:r>
      <w:r w:rsidRPr="009A0631">
        <w:rPr>
          <w:rFonts w:ascii="ArialMT" w:hAnsi="ArialMT"/>
          <w:sz w:val="22"/>
          <w:szCs w:val="22"/>
        </w:rPr>
        <w:t xml:space="preserve"> in need in accordance with these policies. </w:t>
      </w:r>
    </w:p>
    <w:p w14:paraId="59187C00" w14:textId="77777777" w:rsidR="00834993" w:rsidRDefault="00834993" w:rsidP="00E24D42">
      <w:pPr>
        <w:pStyle w:val="NormalWeb"/>
        <w:spacing w:before="0" w:beforeAutospacing="0" w:after="0" w:afterAutospacing="0"/>
        <w:jc w:val="both"/>
        <w:rPr>
          <w:rFonts w:ascii="Arial" w:hAnsi="Arial" w:cs="Arial"/>
          <w:sz w:val="22"/>
          <w:szCs w:val="22"/>
          <w:u w:val="single"/>
        </w:rPr>
      </w:pPr>
    </w:p>
    <w:p w14:paraId="3E5FCBF9" w14:textId="257FB01A" w:rsidR="001726BA" w:rsidRDefault="001726BA" w:rsidP="009A7F8F">
      <w:pPr>
        <w:ind w:left="1080" w:hanging="1080"/>
        <w:jc w:val="both"/>
        <w:rPr>
          <w:rStyle w:val="normaltextrun"/>
          <w:rFonts w:ascii="Arial" w:hAnsi="Arial" w:cs="Arial"/>
          <w:b/>
          <w:bCs/>
          <w:sz w:val="22"/>
          <w:szCs w:val="22"/>
        </w:rPr>
      </w:pPr>
      <w:r>
        <w:rPr>
          <w:rStyle w:val="normaltextrun"/>
          <w:rFonts w:ascii="Arial" w:hAnsi="Arial" w:cs="Arial"/>
          <w:b/>
          <w:bCs/>
          <w:sz w:val="22"/>
          <w:szCs w:val="22"/>
        </w:rPr>
        <w:t>F1.b.iv</w:t>
      </w:r>
      <w:r>
        <w:rPr>
          <w:rStyle w:val="normaltextrun"/>
          <w:rFonts w:ascii="Arial" w:hAnsi="Arial" w:cs="Arial"/>
          <w:b/>
          <w:bCs/>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2B33AE77" w14:textId="78B8D688" w:rsidR="007F185F" w:rsidRDefault="007F185F" w:rsidP="00D864F2">
      <w:pPr>
        <w:tabs>
          <w:tab w:val="left" w:pos="720"/>
        </w:tabs>
        <w:jc w:val="both"/>
        <w:rPr>
          <w:rStyle w:val="normaltextrun"/>
          <w:rFonts w:ascii="Arial" w:hAnsi="Arial" w:cs="Arial"/>
          <w:sz w:val="22"/>
          <w:szCs w:val="22"/>
        </w:rPr>
      </w:pPr>
    </w:p>
    <w:p w14:paraId="44547955" w14:textId="26FBCBC6" w:rsidR="0036536C" w:rsidRDefault="007F185F" w:rsidP="0042439E">
      <w:pPr>
        <w:tabs>
          <w:tab w:val="left" w:pos="720"/>
        </w:tabs>
        <w:jc w:val="both"/>
        <w:rPr>
          <w:rStyle w:val="normaltextrun"/>
          <w:rFonts w:ascii="Arial" w:hAnsi="Arial" w:cs="Arial"/>
          <w:sz w:val="22"/>
          <w:szCs w:val="22"/>
        </w:rPr>
      </w:pPr>
      <w:r>
        <w:rPr>
          <w:rStyle w:val="normaltextrun"/>
          <w:rFonts w:ascii="Arial" w:hAnsi="Arial" w:cs="Arial"/>
          <w:sz w:val="22"/>
          <w:szCs w:val="22"/>
        </w:rPr>
        <w:t xml:space="preserve">BMC is deeply committed to its mission of providing “exceptional care without exception” for its diverse patient population. </w:t>
      </w:r>
      <w:r w:rsidR="009B60D0">
        <w:rPr>
          <w:rStyle w:val="normaltextrun"/>
          <w:rFonts w:ascii="Arial" w:hAnsi="Arial" w:cs="Arial"/>
          <w:sz w:val="22"/>
          <w:szCs w:val="22"/>
        </w:rPr>
        <w:t>T</w:t>
      </w:r>
      <w:r w:rsidR="0036536C">
        <w:rPr>
          <w:rStyle w:val="normaltextrun"/>
          <w:rFonts w:ascii="Arial" w:hAnsi="Arial" w:cs="Arial"/>
          <w:sz w:val="22"/>
          <w:szCs w:val="22"/>
        </w:rPr>
        <w:t>o this end, the</w:t>
      </w:r>
      <w:r w:rsidR="009B60D0">
        <w:rPr>
          <w:rStyle w:val="normaltextrun"/>
          <w:rFonts w:ascii="Arial" w:hAnsi="Arial" w:cs="Arial"/>
          <w:sz w:val="22"/>
          <w:szCs w:val="22"/>
        </w:rPr>
        <w:t xml:space="preserve"> Proposed Project is an example of how BMC seeks to carry out this pursuit by providing patients with timely access to care</w:t>
      </w:r>
      <w:r w:rsidR="0036536C">
        <w:rPr>
          <w:rStyle w:val="normaltextrun"/>
          <w:rFonts w:ascii="Arial" w:hAnsi="Arial" w:cs="Arial"/>
          <w:sz w:val="22"/>
          <w:szCs w:val="22"/>
        </w:rPr>
        <w:t xml:space="preserve">, thereby improving clinical </w:t>
      </w:r>
      <w:r w:rsidR="009B60D0">
        <w:rPr>
          <w:rStyle w:val="normaltextrun"/>
          <w:rFonts w:ascii="Arial" w:hAnsi="Arial" w:cs="Arial"/>
          <w:sz w:val="22"/>
          <w:szCs w:val="22"/>
        </w:rPr>
        <w:t>outcomes and ensur</w:t>
      </w:r>
      <w:r w:rsidR="0036536C">
        <w:rPr>
          <w:rStyle w:val="normaltextrun"/>
          <w:rFonts w:ascii="Arial" w:hAnsi="Arial" w:cs="Arial"/>
          <w:sz w:val="22"/>
          <w:szCs w:val="22"/>
        </w:rPr>
        <w:t>ing</w:t>
      </w:r>
      <w:r w:rsidR="009B60D0">
        <w:rPr>
          <w:rStyle w:val="normaltextrun"/>
          <w:rFonts w:ascii="Arial" w:hAnsi="Arial" w:cs="Arial"/>
          <w:sz w:val="22"/>
          <w:szCs w:val="22"/>
        </w:rPr>
        <w:t xml:space="preserve"> whole-person </w:t>
      </w:r>
      <w:r w:rsidR="00591F4A">
        <w:rPr>
          <w:rStyle w:val="normaltextrun"/>
          <w:rFonts w:ascii="Arial" w:hAnsi="Arial" w:cs="Arial"/>
          <w:sz w:val="22"/>
          <w:szCs w:val="22"/>
        </w:rPr>
        <w:t>treatment.</w:t>
      </w:r>
      <w:r w:rsidR="009B60D0">
        <w:rPr>
          <w:rStyle w:val="normaltextrun"/>
          <w:rFonts w:ascii="Arial" w:hAnsi="Arial" w:cs="Arial"/>
          <w:sz w:val="22"/>
          <w:szCs w:val="22"/>
        </w:rPr>
        <w:t xml:space="preserve"> Part of providing holistic care is addressing both the physical needs of a patient, as well </w:t>
      </w:r>
      <w:r w:rsidR="00227C20">
        <w:rPr>
          <w:rStyle w:val="normaltextrun"/>
          <w:rFonts w:ascii="Arial" w:hAnsi="Arial" w:cs="Arial"/>
          <w:sz w:val="22"/>
          <w:szCs w:val="22"/>
        </w:rPr>
        <w:t>understanding</w:t>
      </w:r>
      <w:r w:rsidR="009B60D0">
        <w:rPr>
          <w:rStyle w:val="normaltextrun"/>
          <w:rFonts w:ascii="Arial" w:hAnsi="Arial" w:cs="Arial"/>
          <w:sz w:val="22"/>
          <w:szCs w:val="22"/>
        </w:rPr>
        <w:t xml:space="preserve"> </w:t>
      </w:r>
      <w:r w:rsidR="00227C20">
        <w:rPr>
          <w:rStyle w:val="normaltextrun"/>
          <w:rFonts w:ascii="Arial" w:hAnsi="Arial" w:cs="Arial"/>
          <w:sz w:val="22"/>
          <w:szCs w:val="22"/>
        </w:rPr>
        <w:t>any</w:t>
      </w:r>
      <w:r w:rsidR="009B60D0">
        <w:rPr>
          <w:rStyle w:val="normaltextrun"/>
          <w:rFonts w:ascii="Arial" w:hAnsi="Arial" w:cs="Arial"/>
          <w:sz w:val="22"/>
          <w:szCs w:val="22"/>
        </w:rPr>
        <w:t xml:space="preserve"> social drivers that </w:t>
      </w:r>
      <w:r w:rsidR="00227C20">
        <w:rPr>
          <w:rStyle w:val="normaltextrun"/>
          <w:rFonts w:ascii="Arial" w:hAnsi="Arial" w:cs="Arial"/>
          <w:sz w:val="22"/>
          <w:szCs w:val="22"/>
        </w:rPr>
        <w:t>may i</w:t>
      </w:r>
      <w:r w:rsidR="009B60D0">
        <w:rPr>
          <w:rStyle w:val="normaltextrun"/>
          <w:rFonts w:ascii="Arial" w:hAnsi="Arial" w:cs="Arial"/>
          <w:sz w:val="22"/>
          <w:szCs w:val="22"/>
        </w:rPr>
        <w:t xml:space="preserve">mpact </w:t>
      </w:r>
      <w:r w:rsidR="00227C20">
        <w:rPr>
          <w:rStyle w:val="normaltextrun"/>
          <w:rFonts w:ascii="Arial" w:hAnsi="Arial" w:cs="Arial"/>
          <w:sz w:val="22"/>
          <w:szCs w:val="22"/>
        </w:rPr>
        <w:t xml:space="preserve">their </w:t>
      </w:r>
      <w:r w:rsidR="009B60D0">
        <w:rPr>
          <w:rStyle w:val="normaltextrun"/>
          <w:rFonts w:ascii="Arial" w:hAnsi="Arial" w:cs="Arial"/>
          <w:sz w:val="22"/>
          <w:szCs w:val="22"/>
        </w:rPr>
        <w:t>health</w:t>
      </w:r>
      <w:r w:rsidR="0036536C">
        <w:rPr>
          <w:rStyle w:val="normaltextrun"/>
          <w:rFonts w:ascii="Arial" w:hAnsi="Arial" w:cs="Arial"/>
          <w:sz w:val="22"/>
          <w:szCs w:val="22"/>
        </w:rPr>
        <w:t xml:space="preserve">, as well as health disparities that may cause gaps in </w:t>
      </w:r>
      <w:r w:rsidR="00591F4A">
        <w:rPr>
          <w:rStyle w:val="normaltextrun"/>
          <w:rFonts w:ascii="Arial" w:hAnsi="Arial" w:cs="Arial"/>
          <w:sz w:val="22"/>
          <w:szCs w:val="22"/>
        </w:rPr>
        <w:t xml:space="preserve">their </w:t>
      </w:r>
      <w:r w:rsidR="0036536C">
        <w:rPr>
          <w:rStyle w:val="normaltextrun"/>
          <w:rFonts w:ascii="Arial" w:hAnsi="Arial" w:cs="Arial"/>
          <w:sz w:val="22"/>
          <w:szCs w:val="22"/>
        </w:rPr>
        <w:t>care</w:t>
      </w:r>
      <w:r w:rsidR="00227C20">
        <w:rPr>
          <w:rStyle w:val="normaltextrun"/>
          <w:rFonts w:ascii="Arial" w:hAnsi="Arial" w:cs="Arial"/>
          <w:sz w:val="22"/>
          <w:szCs w:val="22"/>
        </w:rPr>
        <w:t xml:space="preserve">. </w:t>
      </w:r>
    </w:p>
    <w:p w14:paraId="53018709" w14:textId="77777777" w:rsidR="0036536C" w:rsidRDefault="0036536C" w:rsidP="0036536C">
      <w:pPr>
        <w:tabs>
          <w:tab w:val="left" w:pos="720"/>
        </w:tabs>
        <w:ind w:left="630"/>
        <w:jc w:val="both"/>
        <w:rPr>
          <w:rStyle w:val="normaltextrun"/>
          <w:rFonts w:ascii="Arial" w:hAnsi="Arial" w:cs="Arial"/>
          <w:sz w:val="22"/>
          <w:szCs w:val="22"/>
        </w:rPr>
      </w:pPr>
    </w:p>
    <w:p w14:paraId="185E3DFD" w14:textId="09FA943B" w:rsidR="00E4511A" w:rsidRDefault="00E4511A" w:rsidP="0042439E">
      <w:pPr>
        <w:tabs>
          <w:tab w:val="left" w:pos="720"/>
        </w:tabs>
        <w:jc w:val="both"/>
        <w:rPr>
          <w:rStyle w:val="normaltextrun"/>
          <w:rFonts w:ascii="Arial" w:hAnsi="Arial" w:cs="Arial"/>
          <w:sz w:val="22"/>
          <w:szCs w:val="22"/>
        </w:rPr>
      </w:pPr>
      <w:r w:rsidRPr="00E4511A">
        <w:rPr>
          <w:rStyle w:val="normaltextrun"/>
          <w:rFonts w:ascii="Arial" w:hAnsi="Arial" w:cs="Arial"/>
          <w:sz w:val="22"/>
          <w:szCs w:val="22"/>
        </w:rPr>
        <w:t xml:space="preserve">In 2021, BMC launched its Health Equity Accelerator with </w:t>
      </w:r>
      <w:r>
        <w:rPr>
          <w:rStyle w:val="normaltextrun"/>
          <w:rFonts w:ascii="Arial" w:hAnsi="Arial" w:cs="Arial"/>
          <w:sz w:val="22"/>
          <w:szCs w:val="22"/>
        </w:rPr>
        <w:t>“</w:t>
      </w:r>
      <w:r w:rsidRPr="00E4511A">
        <w:rPr>
          <w:rStyle w:val="normaltextrun"/>
          <w:rFonts w:ascii="Arial" w:hAnsi="Arial" w:cs="Arial"/>
          <w:sz w:val="22"/>
          <w:szCs w:val="22"/>
        </w:rPr>
        <w:t xml:space="preserve">the vision of transforming health care to deliver health justice and well-being. BMC is reimagining a new approach to accelerate its journey toward health equity and address core issues associated with traditional methodologies. Those involved in the accelerator have found that, to understand and address drivers of racial inequities, </w:t>
      </w:r>
      <w:r w:rsidR="00591F4A">
        <w:rPr>
          <w:rStyle w:val="normaltextrun"/>
          <w:rFonts w:ascii="Arial" w:hAnsi="Arial" w:cs="Arial"/>
          <w:sz w:val="22"/>
          <w:szCs w:val="22"/>
        </w:rPr>
        <w:t>[one must]</w:t>
      </w:r>
      <w:r w:rsidRPr="00E4511A">
        <w:rPr>
          <w:rStyle w:val="normaltextrun"/>
          <w:rFonts w:ascii="Arial" w:hAnsi="Arial" w:cs="Arial"/>
          <w:sz w:val="22"/>
          <w:szCs w:val="22"/>
        </w:rPr>
        <w:t xml:space="preserve"> challenge conventional wisdom in multiple ways: (1) revisit conclusions derived from standard statistical analyses; (2) adopt a mindset that if you do not find an inequity, you need to look harder; (3) seek novel insights through primary research with the appropriate mix of patients; and (4) engage with community members to achieve both insights and impact. The BMC accelerator addresses these fundamental issues through focused and multidisciplinary teams that are resourced to be dynamic, to break through convention, and to do things differently.</w:t>
      </w:r>
      <w:r>
        <w:rPr>
          <w:rStyle w:val="normaltextrun"/>
          <w:rFonts w:ascii="Arial" w:hAnsi="Arial" w:cs="Arial"/>
          <w:sz w:val="22"/>
          <w:szCs w:val="22"/>
        </w:rPr>
        <w:t>”</w:t>
      </w:r>
      <w:r w:rsidR="00FB167B">
        <w:rPr>
          <w:rStyle w:val="normaltextrun"/>
          <w:rFonts w:ascii="ZWAdobeF" w:hAnsi="ZWAdobeF" w:cs="ZWAdobeF"/>
          <w:sz w:val="2"/>
          <w:szCs w:val="2"/>
        </w:rPr>
        <w:t>84F</w:t>
      </w:r>
      <w:r w:rsidR="00591F4A">
        <w:rPr>
          <w:rStyle w:val="FootnoteReference"/>
          <w:rFonts w:ascii="Arial" w:hAnsi="Arial" w:cs="Arial"/>
          <w:sz w:val="22"/>
          <w:szCs w:val="22"/>
        </w:rPr>
        <w:footnoteReference w:id="85"/>
      </w:r>
    </w:p>
    <w:p w14:paraId="0C522876" w14:textId="46E6F535" w:rsidR="00591F4A" w:rsidRDefault="00591F4A" w:rsidP="0036536C">
      <w:pPr>
        <w:tabs>
          <w:tab w:val="left" w:pos="720"/>
        </w:tabs>
        <w:ind w:left="630"/>
        <w:jc w:val="both"/>
        <w:rPr>
          <w:rStyle w:val="normaltextrun"/>
          <w:rFonts w:ascii="Arial" w:hAnsi="Arial" w:cs="Arial"/>
          <w:sz w:val="22"/>
          <w:szCs w:val="22"/>
        </w:rPr>
      </w:pPr>
    </w:p>
    <w:p w14:paraId="1A6E042C" w14:textId="6D15623B" w:rsidR="0099492C" w:rsidRPr="004C2ED8" w:rsidRDefault="00591F4A" w:rsidP="004C2ED8">
      <w:pPr>
        <w:tabs>
          <w:tab w:val="left" w:pos="720"/>
        </w:tabs>
        <w:jc w:val="both"/>
        <w:rPr>
          <w:rStyle w:val="normaltextrun"/>
          <w:rFonts w:ascii="Arial" w:hAnsi="Arial" w:cs="Arial"/>
          <w:sz w:val="22"/>
          <w:szCs w:val="22"/>
        </w:rPr>
      </w:pPr>
      <w:r>
        <w:rPr>
          <w:rStyle w:val="normaltextrun"/>
          <w:rFonts w:ascii="Arial" w:hAnsi="Arial" w:cs="Arial"/>
          <w:sz w:val="22"/>
          <w:szCs w:val="22"/>
        </w:rPr>
        <w:t xml:space="preserve">Through the </w:t>
      </w:r>
      <w:r w:rsidR="004C2ED8">
        <w:rPr>
          <w:rStyle w:val="normaltextrun"/>
          <w:rFonts w:ascii="Arial" w:hAnsi="Arial" w:cs="Arial"/>
          <w:sz w:val="22"/>
          <w:szCs w:val="22"/>
        </w:rPr>
        <w:t xml:space="preserve">Health Equity </w:t>
      </w:r>
      <w:r>
        <w:rPr>
          <w:rStyle w:val="normaltextrun"/>
          <w:rFonts w:ascii="Arial" w:hAnsi="Arial" w:cs="Arial"/>
          <w:sz w:val="22"/>
          <w:szCs w:val="22"/>
        </w:rPr>
        <w:t>Accelerator</w:t>
      </w:r>
      <w:r w:rsidR="004C2ED8">
        <w:rPr>
          <w:rStyle w:val="normaltextrun"/>
          <w:rFonts w:ascii="Arial" w:hAnsi="Arial" w:cs="Arial"/>
          <w:sz w:val="22"/>
          <w:szCs w:val="22"/>
        </w:rPr>
        <w:t>,</w:t>
      </w:r>
      <w:r>
        <w:rPr>
          <w:rStyle w:val="normaltextrun"/>
          <w:rFonts w:ascii="Arial" w:hAnsi="Arial" w:cs="Arial"/>
          <w:sz w:val="22"/>
          <w:szCs w:val="22"/>
        </w:rPr>
        <w:t xml:space="preserve"> care teams are </w:t>
      </w:r>
      <w:r w:rsidR="00912EE8">
        <w:rPr>
          <w:rStyle w:val="normaltextrun"/>
          <w:rFonts w:ascii="Arial" w:hAnsi="Arial" w:cs="Arial"/>
          <w:sz w:val="22"/>
          <w:szCs w:val="22"/>
        </w:rPr>
        <w:t xml:space="preserve">seeking to understand how a health system perpetuates health inequities – by looking internally to determine where inequities are present in </w:t>
      </w:r>
      <w:r w:rsidR="004C2ED8">
        <w:rPr>
          <w:rStyle w:val="normaltextrun"/>
          <w:rFonts w:ascii="Arial" w:hAnsi="Arial" w:cs="Arial"/>
          <w:sz w:val="22"/>
          <w:szCs w:val="22"/>
        </w:rPr>
        <w:t>the</w:t>
      </w:r>
      <w:r w:rsidR="00912EE8">
        <w:rPr>
          <w:rStyle w:val="normaltextrun"/>
          <w:rFonts w:ascii="Arial" w:hAnsi="Arial" w:cs="Arial"/>
          <w:sz w:val="22"/>
          <w:szCs w:val="22"/>
        </w:rPr>
        <w:t xml:space="preserve"> patient population, understand the associated drivers, and take accountability.</w:t>
      </w:r>
      <w:r w:rsidR="00FB167B">
        <w:rPr>
          <w:rStyle w:val="normaltextrun"/>
          <w:rFonts w:ascii="ZWAdobeF" w:hAnsi="ZWAdobeF" w:cs="ZWAdobeF"/>
          <w:sz w:val="2"/>
          <w:szCs w:val="2"/>
        </w:rPr>
        <w:t>85F</w:t>
      </w:r>
      <w:r w:rsidR="00912EE8">
        <w:rPr>
          <w:rStyle w:val="FootnoteReference"/>
          <w:rFonts w:ascii="Arial" w:hAnsi="Arial" w:cs="Arial"/>
          <w:sz w:val="22"/>
          <w:szCs w:val="22"/>
        </w:rPr>
        <w:footnoteReference w:id="86"/>
      </w:r>
      <w:r w:rsidR="00E64F7A">
        <w:rPr>
          <w:rStyle w:val="normaltextrun"/>
          <w:rFonts w:ascii="Arial" w:hAnsi="Arial" w:cs="Arial"/>
          <w:sz w:val="22"/>
          <w:szCs w:val="22"/>
        </w:rPr>
        <w:t xml:space="preserve"> All patients will benefit from this work – as the </w:t>
      </w:r>
      <w:r w:rsidR="004C2ED8">
        <w:rPr>
          <w:rStyle w:val="normaltextrun"/>
          <w:rFonts w:ascii="Arial" w:hAnsi="Arial" w:cs="Arial"/>
          <w:sz w:val="22"/>
          <w:szCs w:val="22"/>
        </w:rPr>
        <w:t>Hospital</w:t>
      </w:r>
      <w:r w:rsidR="00E64F7A">
        <w:rPr>
          <w:rStyle w:val="normaltextrun"/>
          <w:rFonts w:ascii="Arial" w:hAnsi="Arial" w:cs="Arial"/>
          <w:sz w:val="22"/>
          <w:szCs w:val="22"/>
        </w:rPr>
        <w:t xml:space="preserve"> seeks to ensure that all patients receive</w:t>
      </w:r>
      <w:r w:rsidR="007A2242">
        <w:rPr>
          <w:rStyle w:val="normaltextrun"/>
          <w:rFonts w:ascii="Arial" w:hAnsi="Arial" w:cs="Arial"/>
          <w:sz w:val="22"/>
          <w:szCs w:val="22"/>
        </w:rPr>
        <w:t xml:space="preserve"> </w:t>
      </w:r>
      <w:r w:rsidR="00E64F7A">
        <w:rPr>
          <w:rStyle w:val="normaltextrun"/>
          <w:rFonts w:ascii="Arial" w:hAnsi="Arial" w:cs="Arial"/>
          <w:sz w:val="22"/>
          <w:szCs w:val="22"/>
        </w:rPr>
        <w:t xml:space="preserve">the care and services that they need in the appropriate setting </w:t>
      </w:r>
      <w:r w:rsidR="007A2242">
        <w:rPr>
          <w:rStyle w:val="normaltextrun"/>
          <w:rFonts w:ascii="Arial" w:hAnsi="Arial" w:cs="Arial"/>
          <w:sz w:val="22"/>
          <w:szCs w:val="22"/>
        </w:rPr>
        <w:t>and by a diverse staff.</w:t>
      </w:r>
    </w:p>
    <w:p w14:paraId="3CEC9F1F" w14:textId="77777777" w:rsidR="0099492C" w:rsidRDefault="0099492C" w:rsidP="00FF59D4">
      <w:pPr>
        <w:jc w:val="both"/>
        <w:rPr>
          <w:rStyle w:val="normaltextrun"/>
          <w:rFonts w:ascii="Arial" w:hAnsi="Arial" w:cs="Arial"/>
          <w:b/>
          <w:bCs/>
          <w:sz w:val="22"/>
          <w:szCs w:val="22"/>
        </w:rPr>
      </w:pPr>
    </w:p>
    <w:p w14:paraId="05245344" w14:textId="4A741873" w:rsidR="00CB6000" w:rsidRDefault="00CB6000" w:rsidP="009A7F8F">
      <w:pPr>
        <w:ind w:left="1080" w:hanging="1080"/>
        <w:jc w:val="both"/>
      </w:pPr>
      <w:r>
        <w:rPr>
          <w:rStyle w:val="normaltextrun"/>
          <w:rFonts w:ascii="Arial" w:hAnsi="Arial" w:cs="Arial"/>
          <w:b/>
          <w:bCs/>
          <w:sz w:val="22"/>
          <w:szCs w:val="22"/>
        </w:rPr>
        <w:t xml:space="preserve">F1.c </w:t>
      </w:r>
      <w:r>
        <w:rPr>
          <w:rStyle w:val="tabchar"/>
          <w:rFonts w:ascii="Calibri" w:hAnsi="Calibri" w:cs="Calibri"/>
          <w:sz w:val="22"/>
          <w:szCs w:val="22"/>
        </w:rPr>
        <w:tab/>
      </w:r>
      <w:r>
        <w:rPr>
          <w:rStyle w:val="normaltextrun"/>
          <w:rFonts w:ascii="Arial" w:hAnsi="Arial" w:cs="Arial"/>
          <w:b/>
          <w:bCs/>
          <w:sz w:val="22"/>
          <w:szCs w:val="22"/>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Pr>
          <w:rStyle w:val="eop"/>
          <w:rFonts w:ascii="Arial" w:hAnsi="Arial" w:cs="Arial"/>
          <w:sz w:val="22"/>
          <w:szCs w:val="22"/>
        </w:rPr>
        <w:t> </w:t>
      </w:r>
    </w:p>
    <w:p w14:paraId="2D37A66B" w14:textId="0D620645" w:rsidR="00CB6000" w:rsidRDefault="00CB6000" w:rsidP="002F24B7">
      <w:pPr>
        <w:pStyle w:val="NormalWeb"/>
        <w:spacing w:before="0" w:beforeAutospacing="0" w:after="0" w:afterAutospacing="0"/>
        <w:jc w:val="both"/>
        <w:rPr>
          <w:rFonts w:ascii="Arial" w:hAnsi="Arial" w:cs="Arial"/>
          <w:sz w:val="22"/>
          <w:szCs w:val="22"/>
          <w:u w:val="single"/>
        </w:rPr>
      </w:pPr>
    </w:p>
    <w:p w14:paraId="2364F198" w14:textId="079C39EA" w:rsidR="00033F49" w:rsidRDefault="00033F49" w:rsidP="00033F49">
      <w:pPr>
        <w:jc w:val="both"/>
        <w:rPr>
          <w:rFonts w:ascii="Arial" w:hAnsi="Arial" w:cs="Arial"/>
          <w:sz w:val="22"/>
          <w:szCs w:val="22"/>
        </w:rPr>
      </w:pPr>
      <w:r>
        <w:rPr>
          <w:rFonts w:ascii="Arial" w:hAnsi="Arial" w:cs="Arial"/>
          <w:sz w:val="22"/>
          <w:szCs w:val="22"/>
        </w:rPr>
        <w:t xml:space="preserve">To ensure continuity and coordination of care for the Applicant’s patient panel, BMC staff will continue existing population health management processes following implementation of the Proposed Project. These include, but are not limited to, discharge and readmissions programming, Complex Care Management (“CCM”) programming, and screening protocols. Details regarding these programs and processes are provided below. </w:t>
      </w:r>
    </w:p>
    <w:p w14:paraId="0F667BBC" w14:textId="77777777" w:rsidR="00BA09D4" w:rsidRDefault="00BA09D4" w:rsidP="00033F49">
      <w:pPr>
        <w:jc w:val="both"/>
        <w:rPr>
          <w:rFonts w:ascii="Arial" w:hAnsi="Arial" w:cs="Arial"/>
          <w:sz w:val="22"/>
          <w:szCs w:val="22"/>
        </w:rPr>
      </w:pPr>
    </w:p>
    <w:p w14:paraId="7295237D" w14:textId="77777777" w:rsidR="00033F49" w:rsidRPr="00666CCB" w:rsidRDefault="00033F49" w:rsidP="00033F49">
      <w:pPr>
        <w:pStyle w:val="ListParagraph"/>
        <w:numPr>
          <w:ilvl w:val="0"/>
          <w:numId w:val="32"/>
        </w:numPr>
        <w:ind w:left="360"/>
        <w:jc w:val="both"/>
        <w:rPr>
          <w:rFonts w:ascii="Arial" w:hAnsi="Arial" w:cs="Arial"/>
          <w:smallCaps/>
          <w:sz w:val="22"/>
          <w:szCs w:val="22"/>
          <w:u w:val="single"/>
        </w:rPr>
      </w:pPr>
      <w:r w:rsidRPr="00666CCB">
        <w:rPr>
          <w:rFonts w:ascii="Arial" w:hAnsi="Arial" w:cs="Arial"/>
          <w:smallCaps/>
          <w:sz w:val="22"/>
          <w:szCs w:val="22"/>
          <w:u w:val="single"/>
        </w:rPr>
        <w:t>Discharge and Readmissions Programming</w:t>
      </w:r>
    </w:p>
    <w:p w14:paraId="5E7F795B" w14:textId="77777777" w:rsidR="00033F49" w:rsidRDefault="00033F49" w:rsidP="00033F49">
      <w:pPr>
        <w:jc w:val="both"/>
        <w:rPr>
          <w:rFonts w:ascii="Arial" w:hAnsi="Arial" w:cs="Arial"/>
          <w:sz w:val="22"/>
          <w:szCs w:val="22"/>
        </w:rPr>
      </w:pPr>
    </w:p>
    <w:p w14:paraId="5B5F7724" w14:textId="77777777" w:rsidR="00033F49" w:rsidRDefault="00033F49" w:rsidP="00033F49">
      <w:pPr>
        <w:jc w:val="both"/>
        <w:rPr>
          <w:rFonts w:ascii="Arial" w:hAnsi="Arial" w:cs="Arial"/>
          <w:sz w:val="22"/>
          <w:szCs w:val="22"/>
        </w:rPr>
      </w:pPr>
      <w:r>
        <w:rPr>
          <w:rFonts w:ascii="Arial" w:hAnsi="Arial" w:cs="Arial"/>
          <w:sz w:val="22"/>
          <w:szCs w:val="22"/>
        </w:rPr>
        <w:t>BMC offers various discharge interventions to help link patients to needed services, prevent unnecessary readmissions, and improve health outcomes. Care management team members at BMC coordinate care and provide discharge planning for patients in the Hospital and community. BMC’s nurses, social workers, and other health care professionals work as a team to implement a safe discharge plan and provide patients and families with a range of services, including but not limited to: advocating for the needs of patients and families in the community, providing access to community resources, helping patients and families cope with the emotional impact of illness, negotiating with insurance and managed care companies, assisting in explanation of Durable Power of Attorney for health care and living wills, procuring health care equipment, and coordinating home care services and/or care at skilled nursing and rehabilitation facilities, outpatient clinics, and other locations. All such services are offered with the goal of reducing hospitalization and ED visits and ensuring the right amount of care and services in the appropriate setting, particularly for BMC’s vulnerable patients, by guiding them as they follow their individualized discharge plan.</w:t>
      </w:r>
    </w:p>
    <w:p w14:paraId="786A8D2C" w14:textId="77777777" w:rsidR="00033F49" w:rsidRDefault="00033F49" w:rsidP="00033F49">
      <w:pPr>
        <w:jc w:val="both"/>
        <w:rPr>
          <w:rFonts w:ascii="Arial" w:hAnsi="Arial" w:cs="Arial"/>
          <w:sz w:val="22"/>
          <w:szCs w:val="22"/>
        </w:rPr>
      </w:pPr>
    </w:p>
    <w:p w14:paraId="2AB6BCCF" w14:textId="77777777" w:rsidR="00033F49" w:rsidRDefault="00033F49" w:rsidP="00033F49">
      <w:pPr>
        <w:jc w:val="both"/>
        <w:rPr>
          <w:rFonts w:ascii="Arial" w:hAnsi="Arial" w:cs="Arial"/>
          <w:sz w:val="22"/>
          <w:szCs w:val="22"/>
        </w:rPr>
      </w:pPr>
      <w:r>
        <w:rPr>
          <w:rFonts w:ascii="Arial" w:hAnsi="Arial" w:cs="Arial"/>
          <w:sz w:val="22"/>
          <w:szCs w:val="22"/>
        </w:rPr>
        <w:t xml:space="preserve">Recognizing that discharge and readmissions work is particularly challenging in a safety net environment, the Hospital is dedicated to the following targeted </w:t>
      </w:r>
      <w:r w:rsidRPr="004B5502">
        <w:rPr>
          <w:rFonts w:ascii="Arial" w:hAnsi="Arial" w:cs="Arial"/>
          <w:sz w:val="22"/>
          <w:szCs w:val="22"/>
        </w:rPr>
        <w:t xml:space="preserve">priority discharge interventions for FY22 </w:t>
      </w:r>
      <w:r>
        <w:rPr>
          <w:rFonts w:ascii="Arial" w:hAnsi="Arial" w:cs="Arial"/>
          <w:sz w:val="22"/>
          <w:szCs w:val="22"/>
        </w:rPr>
        <w:t>and beyond</w:t>
      </w:r>
      <w:r w:rsidRPr="004B5502">
        <w:rPr>
          <w:rFonts w:ascii="Arial" w:hAnsi="Arial" w:cs="Arial"/>
          <w:sz w:val="22"/>
          <w:szCs w:val="22"/>
        </w:rPr>
        <w:t>:</w:t>
      </w:r>
    </w:p>
    <w:p w14:paraId="3F76135C" w14:textId="77777777" w:rsidR="00033F49" w:rsidRDefault="00033F49" w:rsidP="00033F49">
      <w:pPr>
        <w:jc w:val="both"/>
        <w:rPr>
          <w:rFonts w:ascii="Arial" w:hAnsi="Arial" w:cs="Arial"/>
          <w:sz w:val="22"/>
          <w:szCs w:val="22"/>
        </w:rPr>
      </w:pPr>
    </w:p>
    <w:p w14:paraId="2FD1992C" w14:textId="77777777" w:rsidR="00033F49" w:rsidRPr="004B5502" w:rsidRDefault="00033F49" w:rsidP="00033F49">
      <w:pPr>
        <w:pStyle w:val="ListParagraph"/>
        <w:numPr>
          <w:ilvl w:val="0"/>
          <w:numId w:val="33"/>
        </w:numPr>
        <w:jc w:val="both"/>
        <w:rPr>
          <w:rFonts w:ascii="Arial" w:eastAsiaTheme="minorHAnsi" w:hAnsi="Arial" w:cs="Arial"/>
          <w:sz w:val="22"/>
          <w:szCs w:val="22"/>
        </w:rPr>
      </w:pPr>
      <w:r w:rsidRPr="004B5502">
        <w:rPr>
          <w:rFonts w:ascii="Arial" w:hAnsi="Arial" w:cs="Arial"/>
          <w:b/>
          <w:bCs/>
          <w:sz w:val="22"/>
          <w:szCs w:val="22"/>
        </w:rPr>
        <w:t xml:space="preserve">Post-Discharge Services Bundle: </w:t>
      </w:r>
      <w:r w:rsidRPr="004B5502">
        <w:rPr>
          <w:rFonts w:ascii="Arial" w:hAnsi="Arial" w:cs="Arial"/>
          <w:sz w:val="22"/>
          <w:szCs w:val="22"/>
        </w:rPr>
        <w:t xml:space="preserve">Recognizing that patients with 7–14-day post hospital discharge follow-up have lower readmission rates, this intervention focuses on providing post hospital discharge follow-up appointments and follow-up phone calls for all patients regardless of risk for readmission and primary care site. Specifically, BMC staff proactively schedule follow-up appointments 48 hours prior to discharge; for any patient with a BMC </w:t>
      </w:r>
      <w:r>
        <w:rPr>
          <w:rFonts w:ascii="Arial" w:hAnsi="Arial" w:cs="Arial"/>
          <w:sz w:val="22"/>
          <w:szCs w:val="22"/>
        </w:rPr>
        <w:t>primary care physician</w:t>
      </w:r>
      <w:r w:rsidRPr="004B5502">
        <w:rPr>
          <w:rFonts w:ascii="Arial" w:hAnsi="Arial" w:cs="Arial"/>
          <w:sz w:val="22"/>
          <w:szCs w:val="22"/>
        </w:rPr>
        <w:t xml:space="preserve"> who is discharged without follow-up, the Central Discharge Team attempts to contact the patient and negotiate follow-up. Pertinent to the Proposed Project, the Central Discharge Team has partnered with inpatient and ambulatory staff to strategize the workflow and expand the intervention to cover all inpatients and those patients discharged from the ED. With follow-up appointment scheduling rates continuing to improve, the Hospital plans to further enhance this intervention by partnering with external </w:t>
      </w:r>
      <w:r>
        <w:rPr>
          <w:rFonts w:ascii="Arial" w:hAnsi="Arial" w:cs="Arial"/>
          <w:sz w:val="22"/>
          <w:szCs w:val="22"/>
        </w:rPr>
        <w:t>primary care physician</w:t>
      </w:r>
      <w:r w:rsidRPr="004B5502">
        <w:rPr>
          <w:rFonts w:ascii="Arial" w:hAnsi="Arial" w:cs="Arial"/>
          <w:sz w:val="22"/>
          <w:szCs w:val="22"/>
        </w:rPr>
        <w:t xml:space="preserve"> sites and ambulatory clinic leaders to explore direct scheduling and improve appointment compliance. </w:t>
      </w:r>
    </w:p>
    <w:p w14:paraId="16EE0447" w14:textId="77777777" w:rsidR="00033F49" w:rsidRPr="004B5502" w:rsidRDefault="00033F49" w:rsidP="00033F49">
      <w:pPr>
        <w:pStyle w:val="ListParagraph"/>
        <w:jc w:val="both"/>
        <w:rPr>
          <w:rFonts w:ascii="Arial" w:eastAsiaTheme="minorHAnsi" w:hAnsi="Arial" w:cs="Arial"/>
          <w:sz w:val="22"/>
          <w:szCs w:val="22"/>
        </w:rPr>
      </w:pPr>
    </w:p>
    <w:p w14:paraId="4426E2B9" w14:textId="3AD63FEB" w:rsidR="00033F49" w:rsidRDefault="00033F49" w:rsidP="00033F49">
      <w:pPr>
        <w:pStyle w:val="ListParagraph"/>
        <w:numPr>
          <w:ilvl w:val="0"/>
          <w:numId w:val="33"/>
        </w:numPr>
        <w:jc w:val="both"/>
        <w:rPr>
          <w:rFonts w:ascii="Arial" w:eastAsiaTheme="minorHAnsi" w:hAnsi="Arial" w:cs="Arial"/>
          <w:sz w:val="22"/>
          <w:szCs w:val="22"/>
        </w:rPr>
      </w:pPr>
      <w:r>
        <w:rPr>
          <w:rFonts w:ascii="Arial" w:hAnsi="Arial" w:cs="Arial"/>
          <w:b/>
          <w:bCs/>
          <w:sz w:val="22"/>
          <w:szCs w:val="22"/>
        </w:rPr>
        <w:t xml:space="preserve">General Internal Medicine (“GIM”) </w:t>
      </w:r>
      <w:r w:rsidRPr="004B5502">
        <w:rPr>
          <w:rFonts w:ascii="Arial" w:hAnsi="Arial" w:cs="Arial"/>
          <w:b/>
          <w:bCs/>
          <w:sz w:val="22"/>
          <w:szCs w:val="22"/>
        </w:rPr>
        <w:t>Post-</w:t>
      </w:r>
      <w:r w:rsidRPr="004B5502">
        <w:rPr>
          <w:rFonts w:ascii="Arial" w:eastAsiaTheme="minorHAnsi" w:hAnsi="Arial" w:cs="Arial"/>
          <w:b/>
          <w:bCs/>
          <w:sz w:val="22"/>
          <w:szCs w:val="22"/>
        </w:rPr>
        <w:t>Discharge Clinic:</w:t>
      </w:r>
      <w:r>
        <w:rPr>
          <w:rFonts w:ascii="Arial" w:eastAsiaTheme="minorHAnsi" w:hAnsi="Arial" w:cs="Arial"/>
          <w:sz w:val="22"/>
          <w:szCs w:val="22"/>
        </w:rPr>
        <w:t xml:space="preserve"> The GIM Post-Discharge Clinic is led by a multi-disciplinary team, including dedicated nurses coordinating pre- or post-visit care, a dedicated pharmacy liaison completing medication-fill history for patients scheduled into the clinic, staff performing no-show outreach and rescheduling, and doctors completing in-person and telehealth visits. The criteria to be seen within the GIM Post-Discharge Clinic</w:t>
      </w:r>
      <w:r w:rsidR="00511EA2">
        <w:rPr>
          <w:rFonts w:ascii="Arial" w:eastAsiaTheme="minorHAnsi" w:hAnsi="Arial" w:cs="Arial"/>
          <w:sz w:val="22"/>
          <w:szCs w:val="22"/>
        </w:rPr>
        <w:t xml:space="preserve"> are</w:t>
      </w:r>
      <w:r>
        <w:rPr>
          <w:rFonts w:ascii="Arial" w:eastAsiaTheme="minorHAnsi" w:hAnsi="Arial" w:cs="Arial"/>
          <w:sz w:val="22"/>
          <w:szCs w:val="22"/>
        </w:rPr>
        <w:t xml:space="preserve"> as follows: patient discharged within 14 days to home with services or community; moderate or above readmission risk; and either no </w:t>
      </w:r>
      <w:r>
        <w:rPr>
          <w:rFonts w:ascii="Arial" w:hAnsi="Arial" w:cs="Arial"/>
          <w:sz w:val="22"/>
          <w:szCs w:val="22"/>
        </w:rPr>
        <w:t>primary care physician</w:t>
      </w:r>
      <w:r w:rsidRPr="004B5502">
        <w:rPr>
          <w:rFonts w:ascii="Arial" w:hAnsi="Arial" w:cs="Arial"/>
          <w:sz w:val="22"/>
          <w:szCs w:val="22"/>
        </w:rPr>
        <w:t xml:space="preserve"> </w:t>
      </w:r>
      <w:r>
        <w:rPr>
          <w:rFonts w:ascii="Arial" w:eastAsiaTheme="minorHAnsi" w:hAnsi="Arial" w:cs="Arial"/>
          <w:sz w:val="22"/>
          <w:szCs w:val="22"/>
        </w:rPr>
        <w:t xml:space="preserve">and wishes to be seen or is currently seen by a GIM </w:t>
      </w:r>
      <w:r>
        <w:rPr>
          <w:rFonts w:ascii="Arial" w:hAnsi="Arial" w:cs="Arial"/>
          <w:sz w:val="22"/>
          <w:szCs w:val="22"/>
        </w:rPr>
        <w:t>primary care physician</w:t>
      </w:r>
      <w:r>
        <w:rPr>
          <w:rFonts w:ascii="Arial" w:eastAsiaTheme="minorHAnsi" w:hAnsi="Arial" w:cs="Arial"/>
          <w:sz w:val="22"/>
          <w:szCs w:val="22"/>
        </w:rPr>
        <w:t xml:space="preserve">. </w:t>
      </w:r>
      <w:r w:rsidRPr="0050401B">
        <w:rPr>
          <w:rFonts w:ascii="Arial" w:eastAsiaTheme="minorHAnsi" w:hAnsi="Arial" w:cs="Arial"/>
          <w:sz w:val="22"/>
          <w:szCs w:val="22"/>
        </w:rPr>
        <w:t>Patients seen by the GIM Post-Discharge Clinic have exhibited lower risk-adjusted readmission rates than patients without GIM follow up, and BMC has further enhanced compliance among patients using telehealth; this is now primarily a telemedicine model (80% telemedicine and 20% in person).</w:t>
      </w:r>
      <w:r>
        <w:rPr>
          <w:rFonts w:ascii="Arial" w:eastAsiaTheme="minorHAnsi" w:hAnsi="Arial" w:cs="Arial"/>
          <w:sz w:val="22"/>
          <w:szCs w:val="22"/>
        </w:rPr>
        <w:t xml:space="preserve"> Following implementation of the Proposed Project, patients utilizing BMC’s expanded inpatient services who are moderate to high readmission risk will have access to the clinic.</w:t>
      </w:r>
    </w:p>
    <w:p w14:paraId="22D49F43" w14:textId="77777777" w:rsidR="00033F49" w:rsidRPr="00DF0B7F" w:rsidRDefault="00033F49" w:rsidP="00033F49">
      <w:pPr>
        <w:pStyle w:val="ListParagraph"/>
        <w:rPr>
          <w:rFonts w:ascii="Arial" w:eastAsiaTheme="minorHAnsi" w:hAnsi="Arial" w:cs="Arial"/>
          <w:sz w:val="22"/>
          <w:szCs w:val="22"/>
        </w:rPr>
      </w:pPr>
    </w:p>
    <w:p w14:paraId="51EE8ED4" w14:textId="77777777" w:rsidR="00033F49" w:rsidRDefault="00033F49" w:rsidP="00033F49">
      <w:pPr>
        <w:pStyle w:val="ListParagraph"/>
        <w:numPr>
          <w:ilvl w:val="0"/>
          <w:numId w:val="33"/>
        </w:numPr>
        <w:jc w:val="both"/>
        <w:rPr>
          <w:rFonts w:ascii="Arial" w:eastAsiaTheme="minorHAnsi" w:hAnsi="Arial" w:cs="Arial"/>
          <w:sz w:val="22"/>
          <w:szCs w:val="22"/>
        </w:rPr>
      </w:pPr>
      <w:r w:rsidRPr="00DF0B7F">
        <w:rPr>
          <w:rFonts w:ascii="Arial" w:eastAsiaTheme="minorHAnsi" w:hAnsi="Arial" w:cs="Arial"/>
          <w:b/>
          <w:bCs/>
          <w:sz w:val="22"/>
          <w:szCs w:val="22"/>
        </w:rPr>
        <w:t>Monthly Review Process for Medicare Readmissions:</w:t>
      </w:r>
      <w:r>
        <w:rPr>
          <w:rFonts w:ascii="Arial" w:eastAsiaTheme="minorHAnsi" w:hAnsi="Arial" w:cs="Arial"/>
          <w:sz w:val="22"/>
          <w:szCs w:val="22"/>
        </w:rPr>
        <w:t xml:space="preserve"> This proposed new standardized Medicare readmissions review process will facilitate identifying drivers and themes of admissions. Specifically, a multi-disciplinary team spanning the spectrum of care at the Hospital, including the Central Discharge Team, pharmacy staff, and inpatient, outpatient and ED staff, will work together to utilize a newly revised tool to review patients discharged, audit medication and follow-up appointment adherence, and identify potential drivers of readmission.</w:t>
      </w:r>
    </w:p>
    <w:p w14:paraId="47EA2B6A" w14:textId="77777777" w:rsidR="00033F49" w:rsidRPr="000F6A50" w:rsidRDefault="00033F49" w:rsidP="00033F49">
      <w:pPr>
        <w:pStyle w:val="ListParagraph"/>
        <w:rPr>
          <w:rFonts w:ascii="Arial" w:eastAsiaTheme="minorHAnsi" w:hAnsi="Arial" w:cs="Arial"/>
          <w:sz w:val="22"/>
          <w:szCs w:val="22"/>
        </w:rPr>
      </w:pPr>
    </w:p>
    <w:p w14:paraId="7D905786" w14:textId="77777777" w:rsidR="00033F49" w:rsidRDefault="00033F49" w:rsidP="00033F49">
      <w:pPr>
        <w:pStyle w:val="ListParagraph"/>
        <w:numPr>
          <w:ilvl w:val="0"/>
          <w:numId w:val="33"/>
        </w:numPr>
        <w:jc w:val="both"/>
        <w:rPr>
          <w:rFonts w:ascii="Arial" w:eastAsiaTheme="minorHAnsi" w:hAnsi="Arial" w:cs="Arial"/>
          <w:sz w:val="22"/>
          <w:szCs w:val="22"/>
        </w:rPr>
      </w:pPr>
      <w:r w:rsidRPr="001C5436">
        <w:rPr>
          <w:rFonts w:ascii="Arial" w:eastAsiaTheme="minorHAnsi" w:hAnsi="Arial" w:cs="Arial"/>
          <w:b/>
          <w:bCs/>
          <w:sz w:val="22"/>
          <w:szCs w:val="22"/>
        </w:rPr>
        <w:t xml:space="preserve">Hospital Admission Reduction Program (“HARP”): </w:t>
      </w:r>
      <w:r w:rsidRPr="001C5436">
        <w:rPr>
          <w:rFonts w:ascii="Arial" w:eastAsiaTheme="minorHAnsi" w:hAnsi="Arial" w:cs="Arial"/>
          <w:sz w:val="22"/>
          <w:szCs w:val="22"/>
        </w:rPr>
        <w:t>This is a 30–60-day transitional care management program for patients with Medicare that spans the inpatient and outpatient settings. It is targeted at moderate to high utilizer patients who are 65+ and are covered by Medicare FFS or the Medicare Shared Savings Program. The goal of HARP is to reduce 30-day readmissions and support BMC’s patients after hospital discharge. Launched in May 2022, the program identifies patients while they are admitted to BMC and follows them post-discharge into the community with a goal of proactively reaching out to patients during a vulnerable period to reduce readmissions by catching clinical decompensation in the immediate post-discharge period. Through HARP, the Hospital seeks to reduce readmissions by 20-25% in this cohort, leading to an improvement in the Hospital’s overall readmissions rate. Following implementation of the Proposed Project, patients utilizing BMC’s expanded inpatient services who are moderate to high utilizer</w:t>
      </w:r>
      <w:r>
        <w:rPr>
          <w:rFonts w:ascii="Arial" w:eastAsiaTheme="minorHAnsi" w:hAnsi="Arial" w:cs="Arial"/>
          <w:sz w:val="22"/>
          <w:szCs w:val="22"/>
        </w:rPr>
        <w:t>s</w:t>
      </w:r>
      <w:r w:rsidRPr="001C5436">
        <w:rPr>
          <w:rFonts w:ascii="Arial" w:hAnsi="Arial" w:cs="Arial"/>
          <w:sz w:val="22"/>
          <w:szCs w:val="22"/>
        </w:rPr>
        <w:t>, 65</w:t>
      </w:r>
      <w:r>
        <w:rPr>
          <w:rFonts w:ascii="Arial" w:hAnsi="Arial" w:cs="Arial"/>
          <w:sz w:val="22"/>
          <w:szCs w:val="22"/>
        </w:rPr>
        <w:t>+, and</w:t>
      </w:r>
      <w:r w:rsidRPr="001C5436">
        <w:rPr>
          <w:rFonts w:ascii="Arial" w:hAnsi="Arial" w:cs="Arial"/>
          <w:sz w:val="22"/>
          <w:szCs w:val="22"/>
        </w:rPr>
        <w:t xml:space="preserve"> </w:t>
      </w:r>
      <w:r w:rsidRPr="001C5436">
        <w:rPr>
          <w:rFonts w:ascii="Arial" w:eastAsiaTheme="minorHAnsi" w:hAnsi="Arial" w:cs="Arial"/>
          <w:sz w:val="22"/>
          <w:szCs w:val="22"/>
        </w:rPr>
        <w:t xml:space="preserve">covered by Medicare will </w:t>
      </w:r>
      <w:r>
        <w:rPr>
          <w:rFonts w:ascii="Arial" w:eastAsiaTheme="minorHAnsi" w:hAnsi="Arial" w:cs="Arial"/>
          <w:sz w:val="22"/>
          <w:szCs w:val="22"/>
        </w:rPr>
        <w:t>have access to HARP.</w:t>
      </w:r>
    </w:p>
    <w:p w14:paraId="257A9D9A" w14:textId="77777777" w:rsidR="00033F49" w:rsidRPr="00114875" w:rsidRDefault="00033F49" w:rsidP="00033F49">
      <w:pPr>
        <w:pStyle w:val="ListParagraph"/>
        <w:rPr>
          <w:rFonts w:ascii="Arial" w:eastAsiaTheme="minorHAnsi" w:hAnsi="Arial" w:cs="Arial"/>
          <w:sz w:val="22"/>
          <w:szCs w:val="22"/>
        </w:rPr>
      </w:pPr>
    </w:p>
    <w:p w14:paraId="5F8671DE" w14:textId="4AB506BF" w:rsidR="00033F49" w:rsidRPr="00B30B72" w:rsidRDefault="00033F49" w:rsidP="00033F49">
      <w:pPr>
        <w:pStyle w:val="ListParagraph"/>
        <w:numPr>
          <w:ilvl w:val="0"/>
          <w:numId w:val="33"/>
        </w:numPr>
        <w:jc w:val="both"/>
        <w:rPr>
          <w:rFonts w:ascii="Arial" w:eastAsiaTheme="minorHAnsi" w:hAnsi="Arial" w:cs="Arial"/>
          <w:sz w:val="22"/>
          <w:szCs w:val="22"/>
        </w:rPr>
      </w:pPr>
      <w:r w:rsidRPr="00114875">
        <w:rPr>
          <w:rFonts w:ascii="Arial" w:eastAsiaTheme="minorHAnsi" w:hAnsi="Arial" w:cs="Arial"/>
          <w:b/>
          <w:bCs/>
          <w:sz w:val="22"/>
          <w:szCs w:val="22"/>
        </w:rPr>
        <w:t>Disease Specific Programs:</w:t>
      </w:r>
      <w:r>
        <w:rPr>
          <w:rFonts w:ascii="Arial" w:eastAsiaTheme="minorHAnsi" w:hAnsi="Arial" w:cs="Arial"/>
          <w:sz w:val="22"/>
          <w:szCs w:val="22"/>
        </w:rPr>
        <w:t xml:space="preserve"> For certain diseases, the Hospital has implemented specific discharge programs. Currently, there are specific programs available for Chronic Obstructive Pulmonary Disease (“COPD”) and heart failure patients. The Hospital will continue to work to identify other disease groups that may benefit from specific, targeted discharge programs and implement such programs accordingly.</w:t>
      </w:r>
    </w:p>
    <w:p w14:paraId="43CB3394" w14:textId="77777777" w:rsidR="00033F49" w:rsidRPr="00666CCB" w:rsidRDefault="00033F49" w:rsidP="00033F49">
      <w:pPr>
        <w:pStyle w:val="ListParagraph"/>
        <w:numPr>
          <w:ilvl w:val="0"/>
          <w:numId w:val="32"/>
        </w:numPr>
        <w:ind w:left="360"/>
        <w:jc w:val="both"/>
        <w:rPr>
          <w:rFonts w:ascii="Arial" w:hAnsi="Arial" w:cs="Arial"/>
          <w:smallCaps/>
          <w:sz w:val="22"/>
          <w:szCs w:val="22"/>
          <w:u w:val="single"/>
        </w:rPr>
      </w:pPr>
      <w:r w:rsidRPr="00666CCB">
        <w:rPr>
          <w:rFonts w:ascii="Arial" w:hAnsi="Arial" w:cs="Arial"/>
          <w:smallCaps/>
          <w:sz w:val="22"/>
          <w:szCs w:val="22"/>
          <w:u w:val="single"/>
        </w:rPr>
        <w:t>CCM Program</w:t>
      </w:r>
      <w:r>
        <w:rPr>
          <w:rFonts w:ascii="Arial" w:hAnsi="Arial" w:cs="Arial"/>
          <w:smallCaps/>
          <w:sz w:val="22"/>
          <w:szCs w:val="22"/>
          <w:u w:val="single"/>
        </w:rPr>
        <w:t>ming</w:t>
      </w:r>
    </w:p>
    <w:p w14:paraId="65869E1D" w14:textId="77777777" w:rsidR="00033F49" w:rsidRDefault="00033F49" w:rsidP="00033F49">
      <w:pPr>
        <w:jc w:val="both"/>
        <w:rPr>
          <w:rFonts w:ascii="Arial" w:hAnsi="Arial" w:cs="Arial"/>
          <w:sz w:val="22"/>
          <w:szCs w:val="22"/>
        </w:rPr>
      </w:pPr>
    </w:p>
    <w:p w14:paraId="786CA735" w14:textId="77777777" w:rsidR="00033F49" w:rsidRDefault="00033F49" w:rsidP="00033F49">
      <w:pPr>
        <w:jc w:val="both"/>
        <w:rPr>
          <w:rFonts w:ascii="Arial" w:hAnsi="Arial" w:cs="Arial"/>
          <w:sz w:val="22"/>
          <w:szCs w:val="22"/>
        </w:rPr>
      </w:pPr>
      <w:r>
        <w:rPr>
          <w:rFonts w:ascii="Arial" w:hAnsi="Arial" w:cs="Arial"/>
          <w:sz w:val="22"/>
          <w:szCs w:val="22"/>
        </w:rPr>
        <w:t>The Hospital also offers a CCM program for its ACO patients. A</w:t>
      </w:r>
      <w:r w:rsidRPr="006E2444">
        <w:rPr>
          <w:rFonts w:ascii="Arial" w:hAnsi="Arial" w:cs="Arial"/>
          <w:sz w:val="22"/>
          <w:szCs w:val="22"/>
        </w:rPr>
        <w:t>dministered by the Population Health Services division</w:t>
      </w:r>
      <w:r>
        <w:rPr>
          <w:rFonts w:ascii="Arial" w:hAnsi="Arial" w:cs="Arial"/>
          <w:sz w:val="22"/>
          <w:szCs w:val="22"/>
        </w:rPr>
        <w:t xml:space="preserve">, the CCM program at BMC is a community-facing program that provides intensive care management services for patients presenting with complex medical, mental health, and social needs (i.e., patients presenting with chronic medical conditions, behavioral health/SUD, or barriers related to </w:t>
      </w:r>
      <w:proofErr w:type="spellStart"/>
      <w:r>
        <w:rPr>
          <w:rFonts w:ascii="Arial" w:hAnsi="Arial" w:cs="Arial"/>
          <w:sz w:val="22"/>
          <w:szCs w:val="22"/>
        </w:rPr>
        <w:t>SDoH</w:t>
      </w:r>
      <w:proofErr w:type="spellEnd"/>
      <w:r>
        <w:rPr>
          <w:rFonts w:ascii="Arial" w:hAnsi="Arial" w:cs="Arial"/>
          <w:sz w:val="22"/>
          <w:szCs w:val="22"/>
        </w:rPr>
        <w:t>). The primary goal of the CCM program is to e</w:t>
      </w:r>
      <w:r w:rsidRPr="00937083">
        <w:rPr>
          <w:rFonts w:ascii="Arial" w:hAnsi="Arial" w:cs="Arial"/>
          <w:sz w:val="22"/>
          <w:szCs w:val="22"/>
        </w:rPr>
        <w:t>stablish patients with ambulatory care</w:t>
      </w:r>
      <w:r>
        <w:rPr>
          <w:rFonts w:ascii="Arial" w:hAnsi="Arial" w:cs="Arial"/>
          <w:sz w:val="22"/>
          <w:szCs w:val="22"/>
        </w:rPr>
        <w:t xml:space="preserve"> </w:t>
      </w:r>
      <w:r w:rsidRPr="00937083">
        <w:rPr>
          <w:rFonts w:ascii="Arial" w:hAnsi="Arial" w:cs="Arial"/>
          <w:sz w:val="22"/>
          <w:szCs w:val="22"/>
        </w:rPr>
        <w:t>and community</w:t>
      </w:r>
      <w:r>
        <w:rPr>
          <w:rFonts w:ascii="Arial" w:hAnsi="Arial" w:cs="Arial"/>
          <w:sz w:val="22"/>
          <w:szCs w:val="22"/>
        </w:rPr>
        <w:t>-</w:t>
      </w:r>
      <w:r w:rsidRPr="00937083">
        <w:rPr>
          <w:rFonts w:ascii="Arial" w:hAnsi="Arial" w:cs="Arial"/>
          <w:sz w:val="22"/>
          <w:szCs w:val="22"/>
        </w:rPr>
        <w:t>based supports to achieve patient-identified goals, improve health related outcomes, and reduce avoidable hospital utilization</w:t>
      </w:r>
      <w:r>
        <w:rPr>
          <w:rFonts w:ascii="Arial" w:hAnsi="Arial" w:cs="Arial"/>
          <w:sz w:val="22"/>
          <w:szCs w:val="22"/>
        </w:rPr>
        <w:t xml:space="preserve">. </w:t>
      </w:r>
      <w:r w:rsidRPr="00937083">
        <w:rPr>
          <w:rFonts w:ascii="Arial" w:hAnsi="Arial" w:cs="Arial"/>
          <w:sz w:val="22"/>
          <w:szCs w:val="22"/>
        </w:rPr>
        <w:t>Through collaboration</w:t>
      </w:r>
      <w:r>
        <w:rPr>
          <w:rFonts w:ascii="Arial" w:hAnsi="Arial" w:cs="Arial"/>
          <w:sz w:val="22"/>
          <w:szCs w:val="22"/>
        </w:rPr>
        <w:t>, the CCM program</w:t>
      </w:r>
      <w:r w:rsidRPr="00937083">
        <w:rPr>
          <w:rFonts w:ascii="Arial" w:hAnsi="Arial" w:cs="Arial"/>
          <w:sz w:val="22"/>
          <w:szCs w:val="22"/>
        </w:rPr>
        <w:t xml:space="preserve"> coordinate</w:t>
      </w:r>
      <w:r>
        <w:rPr>
          <w:rFonts w:ascii="Arial" w:hAnsi="Arial" w:cs="Arial"/>
          <w:sz w:val="22"/>
          <w:szCs w:val="22"/>
        </w:rPr>
        <w:t>s</w:t>
      </w:r>
      <w:r w:rsidRPr="00937083">
        <w:rPr>
          <w:rFonts w:ascii="Arial" w:hAnsi="Arial" w:cs="Arial"/>
          <w:sz w:val="22"/>
          <w:szCs w:val="22"/>
        </w:rPr>
        <w:t xml:space="preserve"> care, address</w:t>
      </w:r>
      <w:r>
        <w:rPr>
          <w:rFonts w:ascii="Arial" w:hAnsi="Arial" w:cs="Arial"/>
          <w:sz w:val="22"/>
          <w:szCs w:val="22"/>
        </w:rPr>
        <w:t>es</w:t>
      </w:r>
      <w:r w:rsidRPr="00937083">
        <w:rPr>
          <w:rFonts w:ascii="Arial" w:hAnsi="Arial" w:cs="Arial"/>
          <w:sz w:val="22"/>
          <w:szCs w:val="22"/>
        </w:rPr>
        <w:t xml:space="preserve"> social barriers, and engage</w:t>
      </w:r>
      <w:r>
        <w:rPr>
          <w:rFonts w:ascii="Arial" w:hAnsi="Arial" w:cs="Arial"/>
          <w:sz w:val="22"/>
          <w:szCs w:val="22"/>
        </w:rPr>
        <w:t>s</w:t>
      </w:r>
      <w:r w:rsidRPr="00937083">
        <w:rPr>
          <w:rFonts w:ascii="Arial" w:hAnsi="Arial" w:cs="Arial"/>
          <w:sz w:val="22"/>
          <w:szCs w:val="22"/>
        </w:rPr>
        <w:t xml:space="preserve"> patients as active participants in their care</w:t>
      </w:r>
      <w:r>
        <w:rPr>
          <w:rFonts w:ascii="Arial" w:hAnsi="Arial" w:cs="Arial"/>
          <w:sz w:val="22"/>
          <w:szCs w:val="22"/>
        </w:rPr>
        <w:t>, striving to</w:t>
      </w:r>
      <w:r w:rsidRPr="00937083">
        <w:rPr>
          <w:rFonts w:ascii="Arial" w:hAnsi="Arial" w:cs="Arial"/>
          <w:sz w:val="22"/>
          <w:szCs w:val="22"/>
        </w:rPr>
        <w:t xml:space="preserve"> create a responsive healing environment with dignity and respect for the individuals and communities </w:t>
      </w:r>
      <w:r>
        <w:rPr>
          <w:rFonts w:ascii="Arial" w:hAnsi="Arial" w:cs="Arial"/>
          <w:sz w:val="22"/>
          <w:szCs w:val="22"/>
        </w:rPr>
        <w:t>BMC</w:t>
      </w:r>
      <w:r w:rsidRPr="00937083">
        <w:rPr>
          <w:rFonts w:ascii="Arial" w:hAnsi="Arial" w:cs="Arial"/>
          <w:sz w:val="22"/>
          <w:szCs w:val="22"/>
        </w:rPr>
        <w:t xml:space="preserve"> serve</w:t>
      </w:r>
      <w:r>
        <w:rPr>
          <w:rFonts w:ascii="Arial" w:hAnsi="Arial" w:cs="Arial"/>
          <w:sz w:val="22"/>
          <w:szCs w:val="22"/>
        </w:rPr>
        <w:t>s.</w:t>
      </w:r>
    </w:p>
    <w:p w14:paraId="7B5792F0" w14:textId="77777777" w:rsidR="00937083" w:rsidRPr="00937083" w:rsidRDefault="00EA5893" w:rsidP="00033F49">
      <w:pPr>
        <w:jc w:val="both"/>
        <w:rPr>
          <w:rFonts w:ascii="Arial" w:hAnsi="Arial" w:cs="Arial"/>
          <w:sz w:val="22"/>
          <w:szCs w:val="22"/>
        </w:rPr>
      </w:pPr>
    </w:p>
    <w:p w14:paraId="69ACF699" w14:textId="77777777" w:rsidR="00033F49" w:rsidRPr="00312475" w:rsidRDefault="00033F49" w:rsidP="00033F49">
      <w:pPr>
        <w:jc w:val="both"/>
        <w:rPr>
          <w:rFonts w:ascii="Arial" w:hAnsi="Arial" w:cs="Arial"/>
          <w:sz w:val="22"/>
          <w:szCs w:val="22"/>
        </w:rPr>
      </w:pPr>
      <w:r>
        <w:rPr>
          <w:rFonts w:ascii="Arial" w:hAnsi="Arial" w:cs="Arial"/>
          <w:sz w:val="22"/>
          <w:szCs w:val="22"/>
        </w:rPr>
        <w:t xml:space="preserve">The </w:t>
      </w:r>
      <w:r w:rsidRPr="000A1778">
        <w:rPr>
          <w:rFonts w:ascii="Arial" w:hAnsi="Arial" w:cs="Arial"/>
          <w:sz w:val="22"/>
          <w:szCs w:val="22"/>
        </w:rPr>
        <w:t>CCM</w:t>
      </w:r>
      <w:r>
        <w:rPr>
          <w:rFonts w:ascii="Arial" w:hAnsi="Arial" w:cs="Arial"/>
          <w:sz w:val="22"/>
          <w:szCs w:val="22"/>
        </w:rPr>
        <w:t xml:space="preserve"> program’s</w:t>
      </w:r>
      <w:r w:rsidRPr="000A1778">
        <w:rPr>
          <w:rFonts w:ascii="Arial" w:hAnsi="Arial" w:cs="Arial"/>
          <w:sz w:val="22"/>
          <w:szCs w:val="22"/>
        </w:rPr>
        <w:t xml:space="preserve"> core team are </w:t>
      </w:r>
      <w:r w:rsidRPr="000A1778">
        <w:rPr>
          <w:rFonts w:ascii="Arial" w:eastAsiaTheme="minorHAnsi" w:hAnsi="Arial" w:cs="Arial"/>
          <w:sz w:val="22"/>
          <w:szCs w:val="22"/>
        </w:rPr>
        <w:t xml:space="preserve">multi-disciplinary </w:t>
      </w:r>
      <w:r w:rsidRPr="000A1778">
        <w:rPr>
          <w:rFonts w:ascii="Arial" w:hAnsi="Arial" w:cs="Arial"/>
          <w:sz w:val="22"/>
          <w:szCs w:val="22"/>
        </w:rPr>
        <w:t xml:space="preserve">and based in practice and community settings, with customized supports for people with behavioral health conditions and housing needs. Specifically, </w:t>
      </w:r>
      <w:r w:rsidRPr="00312475">
        <w:rPr>
          <w:rFonts w:ascii="Arial" w:hAnsi="Arial" w:cs="Arial"/>
          <w:sz w:val="22"/>
          <w:szCs w:val="22"/>
        </w:rPr>
        <w:t xml:space="preserve">CCM staff are </w:t>
      </w:r>
      <w:r w:rsidRPr="000A1778">
        <w:rPr>
          <w:rFonts w:ascii="Arial" w:hAnsi="Arial" w:cs="Arial"/>
          <w:sz w:val="22"/>
          <w:szCs w:val="22"/>
        </w:rPr>
        <w:t>nurses</w:t>
      </w:r>
      <w:r w:rsidRPr="00312475">
        <w:rPr>
          <w:rFonts w:ascii="Arial" w:hAnsi="Arial" w:cs="Arial"/>
          <w:sz w:val="22"/>
          <w:szCs w:val="22"/>
        </w:rPr>
        <w:t xml:space="preserve">, </w:t>
      </w:r>
      <w:r w:rsidRPr="000A1778">
        <w:rPr>
          <w:rFonts w:ascii="Arial" w:hAnsi="Arial" w:cs="Arial"/>
          <w:sz w:val="22"/>
          <w:szCs w:val="22"/>
        </w:rPr>
        <w:t>c</w:t>
      </w:r>
      <w:r w:rsidRPr="00312475">
        <w:rPr>
          <w:rFonts w:ascii="Arial" w:hAnsi="Arial" w:cs="Arial"/>
          <w:sz w:val="22"/>
          <w:szCs w:val="22"/>
        </w:rPr>
        <w:t xml:space="preserve">ommunity </w:t>
      </w:r>
      <w:r w:rsidRPr="000A1778">
        <w:rPr>
          <w:rFonts w:ascii="Arial" w:hAnsi="Arial" w:cs="Arial"/>
          <w:sz w:val="22"/>
          <w:szCs w:val="22"/>
        </w:rPr>
        <w:t>w</w:t>
      </w:r>
      <w:r w:rsidRPr="00312475">
        <w:rPr>
          <w:rFonts w:ascii="Arial" w:hAnsi="Arial" w:cs="Arial"/>
          <w:sz w:val="22"/>
          <w:szCs w:val="22"/>
        </w:rPr>
        <w:t xml:space="preserve">ellness </w:t>
      </w:r>
      <w:r w:rsidRPr="000A1778">
        <w:rPr>
          <w:rFonts w:ascii="Arial" w:hAnsi="Arial" w:cs="Arial"/>
          <w:sz w:val="22"/>
          <w:szCs w:val="22"/>
        </w:rPr>
        <w:t>a</w:t>
      </w:r>
      <w:r w:rsidRPr="00312475">
        <w:rPr>
          <w:rFonts w:ascii="Arial" w:hAnsi="Arial" w:cs="Arial"/>
          <w:sz w:val="22"/>
          <w:szCs w:val="22"/>
        </w:rPr>
        <w:t xml:space="preserve">dvocates, </w:t>
      </w:r>
      <w:r w:rsidRPr="000A1778">
        <w:rPr>
          <w:rFonts w:ascii="Arial" w:hAnsi="Arial" w:cs="Arial"/>
          <w:sz w:val="22"/>
          <w:szCs w:val="22"/>
        </w:rPr>
        <w:t>p</w:t>
      </w:r>
      <w:r w:rsidRPr="00312475">
        <w:rPr>
          <w:rFonts w:ascii="Arial" w:hAnsi="Arial" w:cs="Arial"/>
          <w:sz w:val="22"/>
          <w:szCs w:val="22"/>
        </w:rPr>
        <w:t xml:space="preserve">harmacists, </w:t>
      </w:r>
      <w:r w:rsidRPr="000A1778">
        <w:rPr>
          <w:rFonts w:ascii="Arial" w:hAnsi="Arial" w:cs="Arial"/>
          <w:sz w:val="22"/>
          <w:szCs w:val="22"/>
        </w:rPr>
        <w:t>h</w:t>
      </w:r>
      <w:r w:rsidRPr="00312475">
        <w:rPr>
          <w:rFonts w:ascii="Arial" w:hAnsi="Arial" w:cs="Arial"/>
          <w:sz w:val="22"/>
          <w:szCs w:val="22"/>
        </w:rPr>
        <w:t xml:space="preserve">ousing </w:t>
      </w:r>
      <w:r w:rsidRPr="000A1778">
        <w:rPr>
          <w:rFonts w:ascii="Arial" w:hAnsi="Arial" w:cs="Arial"/>
          <w:sz w:val="22"/>
          <w:szCs w:val="22"/>
        </w:rPr>
        <w:t>s</w:t>
      </w:r>
      <w:r w:rsidRPr="00312475">
        <w:rPr>
          <w:rFonts w:ascii="Arial" w:hAnsi="Arial" w:cs="Arial"/>
          <w:sz w:val="22"/>
          <w:szCs w:val="22"/>
        </w:rPr>
        <w:t>pecialists</w:t>
      </w:r>
      <w:r w:rsidRPr="000A1778">
        <w:rPr>
          <w:rFonts w:ascii="Arial" w:hAnsi="Arial" w:cs="Arial"/>
          <w:sz w:val="22"/>
          <w:szCs w:val="22"/>
        </w:rPr>
        <w:t>, and</w:t>
      </w:r>
      <w:r w:rsidRPr="00312475">
        <w:rPr>
          <w:rFonts w:ascii="Arial" w:hAnsi="Arial" w:cs="Arial"/>
          <w:sz w:val="22"/>
          <w:szCs w:val="22"/>
        </w:rPr>
        <w:t xml:space="preserve"> </w:t>
      </w:r>
      <w:r w:rsidRPr="000A1778">
        <w:rPr>
          <w:rFonts w:ascii="Arial" w:hAnsi="Arial" w:cs="Arial"/>
          <w:sz w:val="22"/>
          <w:szCs w:val="22"/>
        </w:rPr>
        <w:t>s</w:t>
      </w:r>
      <w:r w:rsidRPr="00312475">
        <w:rPr>
          <w:rFonts w:ascii="Arial" w:hAnsi="Arial" w:cs="Arial"/>
          <w:sz w:val="22"/>
          <w:szCs w:val="22"/>
        </w:rPr>
        <w:t xml:space="preserve">ocial </w:t>
      </w:r>
      <w:r w:rsidRPr="000A1778">
        <w:rPr>
          <w:rFonts w:ascii="Arial" w:hAnsi="Arial" w:cs="Arial"/>
          <w:sz w:val="22"/>
          <w:szCs w:val="22"/>
        </w:rPr>
        <w:t>w</w:t>
      </w:r>
      <w:r w:rsidRPr="00312475">
        <w:rPr>
          <w:rFonts w:ascii="Arial" w:hAnsi="Arial" w:cs="Arial"/>
          <w:sz w:val="22"/>
          <w:szCs w:val="22"/>
        </w:rPr>
        <w:t>orkers</w:t>
      </w:r>
      <w:r w:rsidRPr="000A1778">
        <w:rPr>
          <w:rFonts w:ascii="Arial" w:hAnsi="Arial" w:cs="Arial"/>
          <w:sz w:val="22"/>
          <w:szCs w:val="22"/>
        </w:rPr>
        <w:t xml:space="preserve"> who are based in the clinical setting, integrated with primary and inpatient care, and collaborate with other providers, home health, community agencies and others to support patients with their goals. </w:t>
      </w:r>
      <w:r>
        <w:rPr>
          <w:rFonts w:ascii="Arial" w:hAnsi="Arial" w:cs="Arial"/>
          <w:sz w:val="22"/>
          <w:szCs w:val="22"/>
        </w:rPr>
        <w:t>Success in the program depends heavily on relationships with local teams and resources; community-based supports include shelter and housing supports, local site care management, community partners, social service organizations, in-home services, specialty care, and domestic violence resources.</w:t>
      </w:r>
    </w:p>
    <w:p w14:paraId="2B7D3DB3" w14:textId="77777777" w:rsidR="00033F49" w:rsidRDefault="00033F49" w:rsidP="00033F49">
      <w:pPr>
        <w:jc w:val="both"/>
        <w:rPr>
          <w:rFonts w:ascii="Arial" w:hAnsi="Arial" w:cs="Arial"/>
          <w:sz w:val="22"/>
          <w:szCs w:val="22"/>
        </w:rPr>
      </w:pPr>
    </w:p>
    <w:p w14:paraId="7EB4C800" w14:textId="77777777" w:rsidR="00033F49" w:rsidRDefault="00033F49" w:rsidP="00033F49">
      <w:pPr>
        <w:jc w:val="both"/>
        <w:rPr>
          <w:rFonts w:ascii="Arial" w:hAnsi="Arial" w:cs="Arial"/>
          <w:sz w:val="22"/>
          <w:szCs w:val="22"/>
        </w:rPr>
      </w:pPr>
      <w:r>
        <w:rPr>
          <w:rFonts w:ascii="Arial" w:hAnsi="Arial" w:cs="Arial"/>
          <w:sz w:val="22"/>
          <w:szCs w:val="22"/>
        </w:rPr>
        <w:t>CCM addresses the diverse set of needs that BMC’s high-risk patients face across the spectrum of care, as follows:</w:t>
      </w:r>
    </w:p>
    <w:p w14:paraId="7869AF3E" w14:textId="77777777" w:rsidR="00033F49" w:rsidRPr="00D063AB" w:rsidRDefault="00033F49" w:rsidP="00033F49">
      <w:pPr>
        <w:numPr>
          <w:ilvl w:val="0"/>
          <w:numId w:val="31"/>
        </w:numPr>
        <w:jc w:val="both"/>
        <w:rPr>
          <w:rFonts w:ascii="Arial" w:hAnsi="Arial" w:cs="Arial"/>
          <w:sz w:val="22"/>
          <w:szCs w:val="22"/>
        </w:rPr>
      </w:pPr>
      <w:r>
        <w:rPr>
          <w:rFonts w:ascii="Arial" w:hAnsi="Arial" w:cs="Arial"/>
          <w:sz w:val="22"/>
          <w:szCs w:val="22"/>
        </w:rPr>
        <w:t>Longitudinal Care, including: c</w:t>
      </w:r>
      <w:r w:rsidRPr="00D063AB">
        <w:rPr>
          <w:rFonts w:ascii="Arial" w:hAnsi="Arial" w:cs="Arial"/>
          <w:sz w:val="22"/>
          <w:szCs w:val="22"/>
        </w:rPr>
        <w:t>atalogue and address psychosocial and clinical needs</w:t>
      </w:r>
      <w:r>
        <w:rPr>
          <w:rFonts w:ascii="Arial" w:hAnsi="Arial" w:cs="Arial"/>
          <w:sz w:val="22"/>
          <w:szCs w:val="22"/>
        </w:rPr>
        <w:t>;</w:t>
      </w:r>
      <w:r w:rsidRPr="00D063AB">
        <w:rPr>
          <w:rFonts w:ascii="Arial" w:eastAsiaTheme="minorEastAsia" w:hAnsi="Arial" w:cs="Arial"/>
          <w:color w:val="000000"/>
          <w:kern w:val="24"/>
          <w:sz w:val="36"/>
          <w:szCs w:val="36"/>
        </w:rPr>
        <w:t xml:space="preserve"> </w:t>
      </w:r>
      <w:r>
        <w:rPr>
          <w:rFonts w:ascii="Arial" w:hAnsi="Arial" w:cs="Arial"/>
          <w:sz w:val="22"/>
          <w:szCs w:val="22"/>
        </w:rPr>
        <w:t>f</w:t>
      </w:r>
      <w:r w:rsidRPr="00D063AB">
        <w:rPr>
          <w:rFonts w:ascii="Arial" w:hAnsi="Arial" w:cs="Arial"/>
          <w:sz w:val="22"/>
          <w:szCs w:val="22"/>
        </w:rPr>
        <w:t>ocus on primary care/specialty service engagement</w:t>
      </w:r>
      <w:r>
        <w:rPr>
          <w:rFonts w:ascii="Arial" w:hAnsi="Arial" w:cs="Arial"/>
          <w:sz w:val="22"/>
          <w:szCs w:val="22"/>
        </w:rPr>
        <w:t>; and p</w:t>
      </w:r>
      <w:r w:rsidRPr="00D063AB">
        <w:rPr>
          <w:rFonts w:ascii="Arial" w:hAnsi="Arial" w:cs="Arial"/>
          <w:sz w:val="22"/>
          <w:szCs w:val="22"/>
        </w:rPr>
        <w:t>romote self-efficacy and chronic disease self</w:t>
      </w:r>
      <w:r>
        <w:rPr>
          <w:rFonts w:ascii="Arial" w:hAnsi="Arial" w:cs="Arial"/>
          <w:sz w:val="22"/>
          <w:szCs w:val="22"/>
        </w:rPr>
        <w:t>-</w:t>
      </w:r>
      <w:r w:rsidRPr="00D063AB">
        <w:rPr>
          <w:rFonts w:ascii="Arial" w:hAnsi="Arial" w:cs="Arial"/>
          <w:sz w:val="22"/>
          <w:szCs w:val="22"/>
        </w:rPr>
        <w:t>management</w:t>
      </w:r>
      <w:r>
        <w:rPr>
          <w:rFonts w:ascii="Arial" w:hAnsi="Arial" w:cs="Arial"/>
          <w:sz w:val="22"/>
          <w:szCs w:val="22"/>
        </w:rPr>
        <w:t xml:space="preserve">; </w:t>
      </w:r>
    </w:p>
    <w:p w14:paraId="0974D87C" w14:textId="77777777" w:rsidR="00033F49" w:rsidRPr="00D063AB" w:rsidRDefault="00033F49" w:rsidP="00033F49">
      <w:pPr>
        <w:numPr>
          <w:ilvl w:val="0"/>
          <w:numId w:val="31"/>
        </w:numPr>
        <w:jc w:val="both"/>
        <w:rPr>
          <w:rFonts w:ascii="Arial" w:hAnsi="Arial" w:cs="Arial"/>
          <w:sz w:val="22"/>
          <w:szCs w:val="22"/>
        </w:rPr>
      </w:pPr>
      <w:r>
        <w:rPr>
          <w:rFonts w:ascii="Arial" w:hAnsi="Arial" w:cs="Arial"/>
          <w:sz w:val="22"/>
          <w:szCs w:val="22"/>
        </w:rPr>
        <w:t xml:space="preserve">Transitional Care, including: </w:t>
      </w:r>
      <w:r w:rsidRPr="00D063AB">
        <w:rPr>
          <w:rFonts w:ascii="Arial" w:hAnsi="Arial" w:cs="Arial"/>
          <w:sz w:val="22"/>
          <w:szCs w:val="22"/>
        </w:rPr>
        <w:t xml:space="preserve">update and address any changes to care plan after discharge; interventions to lower readmission risk; and alert and obtain input from </w:t>
      </w:r>
      <w:r>
        <w:rPr>
          <w:rFonts w:ascii="Arial" w:hAnsi="Arial" w:cs="Arial"/>
          <w:sz w:val="22"/>
          <w:szCs w:val="22"/>
        </w:rPr>
        <w:t>primary care physician</w:t>
      </w:r>
      <w:r w:rsidRPr="00D063AB">
        <w:rPr>
          <w:rFonts w:ascii="Arial" w:hAnsi="Arial" w:cs="Arial"/>
          <w:sz w:val="22"/>
          <w:szCs w:val="22"/>
        </w:rPr>
        <w:t xml:space="preserve"> and key providers around </w:t>
      </w:r>
      <w:r>
        <w:rPr>
          <w:rFonts w:ascii="Arial" w:hAnsi="Arial" w:cs="Arial"/>
          <w:sz w:val="22"/>
          <w:szCs w:val="22"/>
        </w:rPr>
        <w:t xml:space="preserve">transition of care; and </w:t>
      </w:r>
    </w:p>
    <w:p w14:paraId="62A1C35E" w14:textId="77777777" w:rsidR="00D063AB" w:rsidRPr="00D063AB" w:rsidRDefault="00033F49" w:rsidP="00033F49">
      <w:pPr>
        <w:numPr>
          <w:ilvl w:val="0"/>
          <w:numId w:val="31"/>
        </w:numPr>
        <w:jc w:val="both"/>
        <w:rPr>
          <w:rFonts w:ascii="Arial" w:hAnsi="Arial" w:cs="Arial"/>
          <w:sz w:val="22"/>
          <w:szCs w:val="22"/>
        </w:rPr>
      </w:pPr>
      <w:r>
        <w:rPr>
          <w:rFonts w:ascii="Arial" w:hAnsi="Arial" w:cs="Arial"/>
          <w:sz w:val="22"/>
          <w:szCs w:val="22"/>
        </w:rPr>
        <w:t>Urgent Access, including e</w:t>
      </w:r>
      <w:r w:rsidRPr="00D063AB">
        <w:rPr>
          <w:rFonts w:ascii="Arial" w:hAnsi="Arial" w:cs="Arial"/>
          <w:sz w:val="22"/>
          <w:szCs w:val="22"/>
        </w:rPr>
        <w:t>xpedited nursing evaluation/contact</w:t>
      </w:r>
      <w:r>
        <w:rPr>
          <w:rFonts w:ascii="Arial" w:hAnsi="Arial" w:cs="Arial"/>
          <w:sz w:val="22"/>
          <w:szCs w:val="22"/>
        </w:rPr>
        <w:t xml:space="preserve">; </w:t>
      </w:r>
      <w:r w:rsidRPr="00D063AB">
        <w:rPr>
          <w:rFonts w:ascii="Arial" w:hAnsi="Arial" w:cs="Arial"/>
          <w:sz w:val="22"/>
          <w:szCs w:val="22"/>
        </w:rPr>
        <w:t xml:space="preserve">engagement of </w:t>
      </w:r>
      <w:r>
        <w:rPr>
          <w:rFonts w:ascii="Arial" w:hAnsi="Arial" w:cs="Arial"/>
          <w:sz w:val="22"/>
          <w:szCs w:val="22"/>
        </w:rPr>
        <w:t>primary care physician</w:t>
      </w:r>
      <w:r w:rsidRPr="00D063AB">
        <w:rPr>
          <w:rFonts w:ascii="Arial" w:hAnsi="Arial" w:cs="Arial"/>
          <w:sz w:val="22"/>
          <w:szCs w:val="22"/>
        </w:rPr>
        <w:t>/key providers for urgent questions; and protocols for deployment of urgent behavioral health/</w:t>
      </w:r>
      <w:proofErr w:type="spellStart"/>
      <w:r w:rsidRPr="00D063AB">
        <w:rPr>
          <w:rFonts w:ascii="Arial" w:hAnsi="Arial" w:cs="Arial"/>
          <w:sz w:val="22"/>
          <w:szCs w:val="22"/>
        </w:rPr>
        <w:t>SDoH</w:t>
      </w:r>
      <w:proofErr w:type="spellEnd"/>
      <w:r w:rsidRPr="00D063AB">
        <w:rPr>
          <w:rFonts w:ascii="Arial" w:hAnsi="Arial" w:cs="Arial"/>
          <w:sz w:val="22"/>
          <w:szCs w:val="22"/>
        </w:rPr>
        <w:t xml:space="preserve"> resources</w:t>
      </w:r>
      <w:r>
        <w:rPr>
          <w:rFonts w:ascii="Arial" w:hAnsi="Arial" w:cs="Arial"/>
          <w:sz w:val="22"/>
          <w:szCs w:val="22"/>
        </w:rPr>
        <w:t>.</w:t>
      </w:r>
    </w:p>
    <w:p w14:paraId="72D0E16F" w14:textId="77777777" w:rsidR="00D063AB" w:rsidRPr="00D063AB" w:rsidRDefault="00EA5893" w:rsidP="00033F49">
      <w:pPr>
        <w:jc w:val="both"/>
        <w:rPr>
          <w:rFonts w:ascii="Arial" w:hAnsi="Arial" w:cs="Arial"/>
          <w:sz w:val="22"/>
          <w:szCs w:val="22"/>
        </w:rPr>
      </w:pPr>
    </w:p>
    <w:p w14:paraId="52655BEE" w14:textId="485EEAC5" w:rsidR="00F935DA" w:rsidRPr="00F935DA" w:rsidRDefault="003E058E" w:rsidP="00033F49">
      <w:pPr>
        <w:jc w:val="both"/>
        <w:rPr>
          <w:rFonts w:ascii="Arial" w:hAnsi="Arial" w:cs="Arial"/>
          <w:sz w:val="22"/>
          <w:szCs w:val="22"/>
        </w:rPr>
      </w:pPr>
      <w:r w:rsidRPr="00F935DA">
        <w:rPr>
          <w:rFonts w:ascii="Arial" w:hAnsi="Arial" w:cs="Arial"/>
          <w:sz w:val="22"/>
          <w:szCs w:val="22"/>
        </w:rPr>
        <w:t xml:space="preserve">Through close partnership with groups, strong analytics, and close clinical oversight, impact data show </w:t>
      </w:r>
      <w:r w:rsidR="00033F49">
        <w:rPr>
          <w:rFonts w:ascii="Arial" w:hAnsi="Arial" w:cs="Arial"/>
          <w:sz w:val="22"/>
          <w:szCs w:val="22"/>
        </w:rPr>
        <w:t>that the CCM</w:t>
      </w:r>
      <w:r w:rsidRPr="00F935DA">
        <w:rPr>
          <w:rFonts w:ascii="Arial" w:hAnsi="Arial" w:cs="Arial"/>
          <w:sz w:val="22"/>
          <w:szCs w:val="22"/>
        </w:rPr>
        <w:t xml:space="preserve"> program </w:t>
      </w:r>
      <w:r w:rsidRPr="005B2D5D">
        <w:rPr>
          <w:rFonts w:ascii="Arial" w:hAnsi="Arial" w:cs="Arial"/>
          <w:sz w:val="22"/>
          <w:szCs w:val="22"/>
        </w:rPr>
        <w:t xml:space="preserve">helps patients manage their health </w:t>
      </w:r>
      <w:r w:rsidR="00033F49" w:rsidRPr="006329A6">
        <w:rPr>
          <w:rFonts w:ascii="Arial" w:hAnsi="Arial" w:cs="Arial"/>
          <w:sz w:val="22"/>
          <w:szCs w:val="22"/>
        </w:rPr>
        <w:t xml:space="preserve">and </w:t>
      </w:r>
      <w:r w:rsidRPr="00F935DA">
        <w:rPr>
          <w:rFonts w:ascii="Arial" w:hAnsi="Arial" w:cs="Arial"/>
          <w:sz w:val="22"/>
          <w:szCs w:val="22"/>
        </w:rPr>
        <w:t xml:space="preserve">reduces </w:t>
      </w:r>
      <w:r w:rsidR="00033F49">
        <w:rPr>
          <w:rFonts w:ascii="Arial" w:hAnsi="Arial" w:cs="Arial"/>
          <w:sz w:val="22"/>
          <w:szCs w:val="22"/>
        </w:rPr>
        <w:t xml:space="preserve">unnecessary inpatient </w:t>
      </w:r>
      <w:r w:rsidRPr="00F935DA">
        <w:rPr>
          <w:rFonts w:ascii="Arial" w:hAnsi="Arial" w:cs="Arial"/>
          <w:sz w:val="22"/>
          <w:szCs w:val="22"/>
        </w:rPr>
        <w:t>utilization for enrolled members</w:t>
      </w:r>
      <w:r w:rsidR="00033F49">
        <w:rPr>
          <w:rFonts w:ascii="Arial" w:hAnsi="Arial" w:cs="Arial"/>
          <w:sz w:val="22"/>
          <w:szCs w:val="22"/>
        </w:rPr>
        <w:t>. Following implementation of the Proposed Project, the Applicant will continue to offer this CCM programming to patients, thereby ensuring continued provision of high-quality care management beyond the Hospital’s walls.</w:t>
      </w:r>
    </w:p>
    <w:p w14:paraId="15849600" w14:textId="77777777" w:rsidR="00033F49" w:rsidRDefault="00033F49" w:rsidP="00033F49">
      <w:pPr>
        <w:jc w:val="both"/>
        <w:rPr>
          <w:rFonts w:ascii="Arial" w:hAnsi="Arial" w:cs="Arial"/>
          <w:sz w:val="22"/>
          <w:szCs w:val="22"/>
        </w:rPr>
      </w:pPr>
    </w:p>
    <w:p w14:paraId="1A7B3DFE" w14:textId="77777777" w:rsidR="00033F49" w:rsidRPr="00666CCB" w:rsidRDefault="00033F49" w:rsidP="00033F49">
      <w:pPr>
        <w:pStyle w:val="ListParagraph"/>
        <w:numPr>
          <w:ilvl w:val="0"/>
          <w:numId w:val="32"/>
        </w:numPr>
        <w:ind w:left="360"/>
        <w:jc w:val="both"/>
        <w:rPr>
          <w:rFonts w:ascii="Arial" w:hAnsi="Arial" w:cs="Arial"/>
          <w:smallCaps/>
          <w:sz w:val="22"/>
          <w:szCs w:val="22"/>
          <w:u w:val="single"/>
        </w:rPr>
      </w:pPr>
      <w:r>
        <w:rPr>
          <w:rFonts w:ascii="Arial" w:hAnsi="Arial" w:cs="Arial"/>
          <w:smallCaps/>
          <w:sz w:val="22"/>
          <w:szCs w:val="22"/>
          <w:u w:val="single"/>
        </w:rPr>
        <w:t>Screening Protocols</w:t>
      </w:r>
    </w:p>
    <w:p w14:paraId="0505F166" w14:textId="77777777" w:rsidR="00033F49" w:rsidRDefault="00033F49" w:rsidP="00033F49">
      <w:pPr>
        <w:jc w:val="both"/>
        <w:rPr>
          <w:rFonts w:ascii="Arial" w:hAnsi="Arial" w:cs="Arial"/>
          <w:sz w:val="22"/>
          <w:szCs w:val="22"/>
        </w:rPr>
      </w:pPr>
    </w:p>
    <w:p w14:paraId="500A8B67" w14:textId="3E7D9654" w:rsidR="00033F49" w:rsidRDefault="00033F49" w:rsidP="00033F49">
      <w:pPr>
        <w:jc w:val="both"/>
        <w:rPr>
          <w:rFonts w:ascii="Arial" w:hAnsi="Arial" w:cs="Arial"/>
          <w:sz w:val="22"/>
          <w:szCs w:val="22"/>
        </w:rPr>
      </w:pPr>
      <w:r>
        <w:rPr>
          <w:rFonts w:ascii="Arial" w:hAnsi="Arial" w:cs="Arial"/>
          <w:sz w:val="22"/>
          <w:szCs w:val="22"/>
        </w:rPr>
        <w:t xml:space="preserve">Finally, the Applicant highlights BMC’s </w:t>
      </w:r>
      <w:proofErr w:type="spellStart"/>
      <w:r>
        <w:rPr>
          <w:rFonts w:ascii="Arial" w:hAnsi="Arial" w:cs="Arial"/>
          <w:sz w:val="22"/>
          <w:szCs w:val="22"/>
        </w:rPr>
        <w:t>SDoH</w:t>
      </w:r>
      <w:proofErr w:type="spellEnd"/>
      <w:r>
        <w:rPr>
          <w:rFonts w:ascii="Arial" w:hAnsi="Arial" w:cs="Arial"/>
          <w:sz w:val="22"/>
          <w:szCs w:val="22"/>
        </w:rPr>
        <w:t xml:space="preserve"> screening protocols. </w:t>
      </w:r>
      <w:r w:rsidRPr="00F62435">
        <w:rPr>
          <w:rFonts w:ascii="Arial" w:hAnsi="Arial" w:cs="Arial"/>
          <w:sz w:val="22"/>
          <w:szCs w:val="22"/>
        </w:rPr>
        <w:t xml:space="preserve">In 2018, </w:t>
      </w:r>
      <w:r w:rsidRPr="00FC3521">
        <w:rPr>
          <w:rFonts w:ascii="Arial" w:hAnsi="Arial" w:cs="Arial"/>
          <w:sz w:val="22"/>
          <w:szCs w:val="22"/>
        </w:rPr>
        <w:t>BMC</w:t>
      </w:r>
      <w:r w:rsidRPr="00F62435">
        <w:rPr>
          <w:rFonts w:ascii="Arial" w:hAnsi="Arial" w:cs="Arial"/>
          <w:sz w:val="22"/>
          <w:szCs w:val="22"/>
        </w:rPr>
        <w:t xml:space="preserve"> implemented</w:t>
      </w:r>
      <w:r w:rsidRPr="00FC3521">
        <w:rPr>
          <w:rFonts w:ascii="Arial" w:hAnsi="Arial" w:cs="Arial"/>
          <w:sz w:val="22"/>
          <w:szCs w:val="22"/>
        </w:rPr>
        <w:t xml:space="preserve"> THRIVE,</w:t>
      </w:r>
      <w:r w:rsidRPr="00F62435">
        <w:rPr>
          <w:rFonts w:ascii="Arial" w:hAnsi="Arial" w:cs="Arial"/>
          <w:sz w:val="22"/>
          <w:szCs w:val="22"/>
        </w:rPr>
        <w:t xml:space="preserve"> an </w:t>
      </w:r>
      <w:r w:rsidRPr="00FC3521">
        <w:rPr>
          <w:rFonts w:ascii="Arial" w:hAnsi="Arial" w:cs="Arial"/>
          <w:sz w:val="22"/>
          <w:szCs w:val="22"/>
        </w:rPr>
        <w:t>EHR</w:t>
      </w:r>
      <w:r w:rsidRPr="00F62435">
        <w:rPr>
          <w:rFonts w:ascii="Arial" w:hAnsi="Arial" w:cs="Arial"/>
          <w:sz w:val="22"/>
          <w:szCs w:val="22"/>
        </w:rPr>
        <w:t xml:space="preserve">-based </w:t>
      </w:r>
      <w:proofErr w:type="spellStart"/>
      <w:r w:rsidRPr="00F62435">
        <w:rPr>
          <w:rFonts w:ascii="Arial" w:hAnsi="Arial" w:cs="Arial"/>
          <w:sz w:val="22"/>
          <w:szCs w:val="22"/>
        </w:rPr>
        <w:t>SD</w:t>
      </w:r>
      <w:r w:rsidRPr="00FC3521">
        <w:rPr>
          <w:rFonts w:ascii="Arial" w:hAnsi="Arial" w:cs="Arial"/>
          <w:sz w:val="22"/>
          <w:szCs w:val="22"/>
        </w:rPr>
        <w:t>o</w:t>
      </w:r>
      <w:r w:rsidRPr="00F62435">
        <w:rPr>
          <w:rFonts w:ascii="Arial" w:hAnsi="Arial" w:cs="Arial"/>
          <w:sz w:val="22"/>
          <w:szCs w:val="22"/>
        </w:rPr>
        <w:t>H</w:t>
      </w:r>
      <w:proofErr w:type="spellEnd"/>
      <w:r w:rsidRPr="00F62435">
        <w:rPr>
          <w:rFonts w:ascii="Arial" w:hAnsi="Arial" w:cs="Arial"/>
          <w:sz w:val="22"/>
          <w:szCs w:val="22"/>
        </w:rPr>
        <w:t xml:space="preserve"> screening and referral program, which </w:t>
      </w:r>
      <w:r w:rsidRPr="00FC3521">
        <w:rPr>
          <w:rFonts w:ascii="Arial" w:hAnsi="Arial" w:cs="Arial"/>
          <w:sz w:val="22"/>
          <w:szCs w:val="22"/>
        </w:rPr>
        <w:t xml:space="preserve">strives to understand social needs impacting patients’ health, improve patient care by communicating social needs to care teams, provide patients with information on </w:t>
      </w:r>
      <w:r w:rsidR="005D667F">
        <w:rPr>
          <w:rFonts w:ascii="Arial" w:hAnsi="Arial" w:cs="Arial"/>
          <w:sz w:val="22"/>
          <w:szCs w:val="22"/>
        </w:rPr>
        <w:t xml:space="preserve">hospital-based and </w:t>
      </w:r>
      <w:r w:rsidRPr="00FC3521">
        <w:rPr>
          <w:rFonts w:ascii="Arial" w:hAnsi="Arial" w:cs="Arial"/>
          <w:sz w:val="22"/>
          <w:szCs w:val="22"/>
        </w:rPr>
        <w:t>community resources that can mitigate their social needs</w:t>
      </w:r>
      <w:r w:rsidRPr="003163C2">
        <w:rPr>
          <w:rFonts w:ascii="Arial" w:hAnsi="Arial" w:cs="Arial"/>
          <w:sz w:val="22"/>
          <w:szCs w:val="22"/>
        </w:rPr>
        <w:t>,</w:t>
      </w:r>
      <w:r w:rsidRPr="00FC3521">
        <w:rPr>
          <w:rFonts w:ascii="Arial" w:hAnsi="Arial" w:cs="Arial"/>
          <w:sz w:val="22"/>
          <w:szCs w:val="22"/>
        </w:rPr>
        <w:t xml:space="preserve"> and partner with community</w:t>
      </w:r>
      <w:r w:rsidR="00974668">
        <w:rPr>
          <w:rFonts w:ascii="Arial" w:hAnsi="Arial" w:cs="Arial"/>
          <w:sz w:val="22"/>
          <w:szCs w:val="22"/>
        </w:rPr>
        <w:t>-based organizations</w:t>
      </w:r>
      <w:r w:rsidRPr="00FC3521">
        <w:rPr>
          <w:rFonts w:ascii="Arial" w:hAnsi="Arial" w:cs="Arial"/>
          <w:sz w:val="22"/>
          <w:szCs w:val="22"/>
        </w:rPr>
        <w:t xml:space="preserve"> to eliminate systemic barriers that prevent patients from thriving.</w:t>
      </w:r>
      <w:r>
        <w:rPr>
          <w:rFonts w:ascii="Arial" w:hAnsi="Arial" w:cs="Arial"/>
          <w:sz w:val="22"/>
          <w:szCs w:val="22"/>
        </w:rPr>
        <w:t xml:space="preserve"> In order to achieve these goals, the THRIVE screening protocol involves the following operational components: </w:t>
      </w:r>
      <w:r w:rsidRPr="00FC3521">
        <w:rPr>
          <w:rFonts w:ascii="Arial" w:hAnsi="Arial" w:cs="Arial"/>
          <w:sz w:val="22"/>
          <w:szCs w:val="22"/>
        </w:rPr>
        <w:t xml:space="preserve">screen for </w:t>
      </w:r>
      <w:proofErr w:type="spellStart"/>
      <w:r w:rsidRPr="00FC3521">
        <w:rPr>
          <w:rFonts w:ascii="Arial" w:hAnsi="Arial" w:cs="Arial"/>
          <w:sz w:val="22"/>
          <w:szCs w:val="22"/>
        </w:rPr>
        <w:t>SD</w:t>
      </w:r>
      <w:r>
        <w:rPr>
          <w:rFonts w:ascii="Arial" w:hAnsi="Arial" w:cs="Arial"/>
          <w:sz w:val="22"/>
          <w:szCs w:val="22"/>
        </w:rPr>
        <w:t>o</w:t>
      </w:r>
      <w:r w:rsidRPr="00FC3521">
        <w:rPr>
          <w:rFonts w:ascii="Arial" w:hAnsi="Arial" w:cs="Arial"/>
          <w:sz w:val="22"/>
          <w:szCs w:val="22"/>
        </w:rPr>
        <w:t>H</w:t>
      </w:r>
      <w:proofErr w:type="spellEnd"/>
      <w:r w:rsidRPr="00FC3521">
        <w:rPr>
          <w:rFonts w:ascii="Arial" w:hAnsi="Arial" w:cs="Arial"/>
          <w:sz w:val="22"/>
          <w:szCs w:val="22"/>
        </w:rPr>
        <w:t>, capture responses as standard ICD-10 visit diagnosis codes in the EHR, and provide patients with resource referral guides to help address unmet social needs for which they desire help</w:t>
      </w:r>
      <w:r>
        <w:rPr>
          <w:rFonts w:ascii="Arial" w:hAnsi="Arial" w:cs="Arial"/>
          <w:sz w:val="22"/>
          <w:szCs w:val="22"/>
        </w:rPr>
        <w:t xml:space="preserve">. The following </w:t>
      </w:r>
      <w:r w:rsidRPr="00F62435">
        <w:rPr>
          <w:rFonts w:ascii="Arial" w:hAnsi="Arial" w:cs="Arial"/>
          <w:sz w:val="22"/>
          <w:szCs w:val="22"/>
        </w:rPr>
        <w:t xml:space="preserve">eight </w:t>
      </w:r>
      <w:r w:rsidRPr="00FC3521">
        <w:rPr>
          <w:rFonts w:ascii="Arial" w:hAnsi="Arial" w:cs="Arial"/>
          <w:sz w:val="22"/>
          <w:szCs w:val="22"/>
        </w:rPr>
        <w:t xml:space="preserve">(8) </w:t>
      </w:r>
      <w:r w:rsidRPr="00F62435">
        <w:rPr>
          <w:rFonts w:ascii="Arial" w:hAnsi="Arial" w:cs="Arial"/>
          <w:sz w:val="22"/>
          <w:szCs w:val="22"/>
        </w:rPr>
        <w:t xml:space="preserve">domains of potentially unmet </w:t>
      </w:r>
      <w:proofErr w:type="spellStart"/>
      <w:r w:rsidRPr="00F62435">
        <w:rPr>
          <w:rFonts w:ascii="Arial" w:hAnsi="Arial" w:cs="Arial"/>
          <w:sz w:val="22"/>
          <w:szCs w:val="22"/>
        </w:rPr>
        <w:t>SD</w:t>
      </w:r>
      <w:r w:rsidRPr="00FC3521">
        <w:rPr>
          <w:rFonts w:ascii="Arial" w:hAnsi="Arial" w:cs="Arial"/>
          <w:sz w:val="22"/>
          <w:szCs w:val="22"/>
        </w:rPr>
        <w:t>o</w:t>
      </w:r>
      <w:r w:rsidRPr="00F62435">
        <w:rPr>
          <w:rFonts w:ascii="Arial" w:hAnsi="Arial" w:cs="Arial"/>
          <w:sz w:val="22"/>
          <w:szCs w:val="22"/>
        </w:rPr>
        <w:t>H</w:t>
      </w:r>
      <w:proofErr w:type="spellEnd"/>
      <w:r w:rsidRPr="00F62435">
        <w:rPr>
          <w:rFonts w:ascii="Arial" w:hAnsi="Arial" w:cs="Arial"/>
          <w:sz w:val="22"/>
          <w:szCs w:val="22"/>
        </w:rPr>
        <w:t xml:space="preserve"> needs</w:t>
      </w:r>
      <w:r>
        <w:rPr>
          <w:rFonts w:ascii="Arial" w:hAnsi="Arial" w:cs="Arial"/>
          <w:sz w:val="22"/>
          <w:szCs w:val="22"/>
        </w:rPr>
        <w:t xml:space="preserve"> are currently included in the THRIVE screener</w:t>
      </w:r>
      <w:r w:rsidRPr="00F62435">
        <w:rPr>
          <w:rFonts w:ascii="Arial" w:hAnsi="Arial" w:cs="Arial"/>
          <w:sz w:val="22"/>
          <w:szCs w:val="22"/>
        </w:rPr>
        <w:t>: housing and food insecurity, inability to afford medications, utilities or transportation, need for employment or education, and difficulty taking care of children or other family members.</w:t>
      </w:r>
      <w:r>
        <w:rPr>
          <w:rFonts w:ascii="Arial" w:hAnsi="Arial" w:cs="Arial"/>
          <w:sz w:val="22"/>
          <w:szCs w:val="22"/>
        </w:rPr>
        <w:t xml:space="preserve"> </w:t>
      </w:r>
      <w:r w:rsidRPr="000515DE">
        <w:rPr>
          <w:rFonts w:ascii="Arial" w:hAnsi="Arial" w:cs="Arial"/>
          <w:sz w:val="22"/>
          <w:szCs w:val="22"/>
        </w:rPr>
        <w:t>When a patient requests assistance with an unmet need, referral guides are automatically printed with information about resources available to them both at BMC and in the community</w:t>
      </w:r>
      <w:r>
        <w:rPr>
          <w:rFonts w:ascii="Arial" w:hAnsi="Arial" w:cs="Arial"/>
          <w:sz w:val="22"/>
          <w:szCs w:val="22"/>
        </w:rPr>
        <w:t>, and the EHR</w:t>
      </w:r>
      <w:r w:rsidRPr="000515DE">
        <w:rPr>
          <w:rFonts w:ascii="Arial" w:hAnsi="Arial" w:cs="Arial"/>
          <w:sz w:val="22"/>
          <w:szCs w:val="22"/>
        </w:rPr>
        <w:t xml:space="preserve"> also prompts the provider to address any issues raised by the patient in the screener during the visit.</w:t>
      </w:r>
      <w:r>
        <w:rPr>
          <w:rFonts w:ascii="Arial" w:hAnsi="Arial" w:cs="Arial"/>
          <w:sz w:val="22"/>
          <w:szCs w:val="22"/>
        </w:rPr>
        <w:t xml:space="preserve"> The Hospital is working to further improve THRIVE to ensure a closed loop; THRIVE 2.0 will go a step further and allow the Hospital to track the status of a patient referral and follow-up to ensure requested assistance is obtained.</w:t>
      </w:r>
    </w:p>
    <w:p w14:paraId="54D797A7" w14:textId="77777777" w:rsidR="00B334F6" w:rsidRDefault="00B334F6" w:rsidP="002F24B7">
      <w:pPr>
        <w:pStyle w:val="NormalWeb"/>
        <w:spacing w:before="0" w:beforeAutospacing="0" w:after="0" w:afterAutospacing="0"/>
        <w:jc w:val="both"/>
        <w:rPr>
          <w:rFonts w:ascii="Arial" w:hAnsi="Arial" w:cs="Arial"/>
          <w:sz w:val="22"/>
          <w:szCs w:val="22"/>
          <w:u w:val="single"/>
        </w:rPr>
      </w:pPr>
    </w:p>
    <w:p w14:paraId="480DBD76" w14:textId="356D6EDD" w:rsidR="002F24B7" w:rsidRDefault="002F24B7" w:rsidP="009A7F8F">
      <w:pPr>
        <w:ind w:left="1080" w:hanging="1080"/>
        <w:jc w:val="both"/>
        <w:rPr>
          <w:rStyle w:val="eop"/>
          <w:rFonts w:ascii="Arial" w:hAnsi="Arial" w:cs="Arial"/>
          <w:sz w:val="22"/>
          <w:szCs w:val="22"/>
        </w:rPr>
      </w:pPr>
      <w:r w:rsidRPr="0013000E">
        <w:rPr>
          <w:rStyle w:val="normaltextrun"/>
          <w:rFonts w:ascii="Arial" w:hAnsi="Arial" w:cs="Arial"/>
          <w:b/>
          <w:bCs/>
          <w:sz w:val="22"/>
          <w:szCs w:val="22"/>
        </w:rPr>
        <w:t xml:space="preserve">F1.d </w:t>
      </w:r>
      <w:r w:rsidRPr="0013000E">
        <w:rPr>
          <w:rStyle w:val="tabchar"/>
          <w:rFonts w:ascii="Calibri" w:hAnsi="Calibri" w:cs="Calibri"/>
          <w:sz w:val="22"/>
          <w:szCs w:val="22"/>
        </w:rPr>
        <w:tab/>
      </w:r>
      <w:r w:rsidRPr="0013000E">
        <w:rPr>
          <w:rStyle w:val="normaltextrun"/>
          <w:rFonts w:ascii="Arial" w:hAnsi="Arial" w:cs="Arial"/>
          <w:b/>
          <w:bCs/>
          <w:sz w:val="22"/>
          <w:szCs w:val="22"/>
        </w:rPr>
        <w:t>Provide evidence of consultation, both prior to and after the Filing Date, with all Government Agencies with relevant licensure, certification, or other regulatory oversight of the Applicant or the Proposed Project. </w:t>
      </w:r>
      <w:r w:rsidRPr="0013000E">
        <w:rPr>
          <w:rStyle w:val="eop"/>
          <w:rFonts w:ascii="Arial" w:hAnsi="Arial" w:cs="Arial"/>
          <w:sz w:val="22"/>
          <w:szCs w:val="22"/>
        </w:rPr>
        <w:t> </w:t>
      </w:r>
    </w:p>
    <w:p w14:paraId="4242EB0D" w14:textId="61D0E391" w:rsidR="002F24B7" w:rsidRDefault="002F24B7" w:rsidP="002F24B7">
      <w:pPr>
        <w:ind w:left="1440" w:hanging="1440"/>
        <w:jc w:val="both"/>
        <w:rPr>
          <w:rStyle w:val="eop"/>
          <w:rFonts w:ascii="Arial" w:hAnsi="Arial" w:cs="Arial"/>
          <w:sz w:val="22"/>
          <w:szCs w:val="22"/>
        </w:rPr>
      </w:pPr>
    </w:p>
    <w:p w14:paraId="4AD74730" w14:textId="68B439F3" w:rsidR="00357F71" w:rsidRDefault="00357F71" w:rsidP="00357F71">
      <w:pPr>
        <w:autoSpaceDE w:val="0"/>
        <w:autoSpaceDN w:val="0"/>
        <w:adjustRightInd w:val="0"/>
        <w:jc w:val="both"/>
        <w:rPr>
          <w:rFonts w:ascii="Arial" w:hAnsi="Arial" w:cs="Arial"/>
          <w:sz w:val="22"/>
          <w:szCs w:val="22"/>
        </w:rPr>
      </w:pPr>
      <w:r w:rsidRPr="00976588">
        <w:rPr>
          <w:rFonts w:ascii="Arial" w:hAnsi="Arial" w:cs="Arial"/>
          <w:sz w:val="22"/>
          <w:szCs w:val="22"/>
        </w:rPr>
        <w:t xml:space="preserve">In planning </w:t>
      </w:r>
      <w:r>
        <w:rPr>
          <w:rFonts w:ascii="Arial" w:hAnsi="Arial" w:cs="Arial"/>
          <w:sz w:val="22"/>
          <w:szCs w:val="22"/>
        </w:rPr>
        <w:t xml:space="preserve">and </w:t>
      </w:r>
      <w:r w:rsidRPr="00746E47">
        <w:rPr>
          <w:rFonts w:ascii="Arial" w:hAnsi="Arial" w:cs="Arial"/>
          <w:sz w:val="22"/>
          <w:szCs w:val="22"/>
        </w:rPr>
        <w:t>designing the Proposed Project, the Applicant sought input from a variety of stakeholders</w:t>
      </w:r>
      <w:r>
        <w:rPr>
          <w:rFonts w:ascii="Arial" w:hAnsi="Arial" w:cs="Arial"/>
          <w:sz w:val="22"/>
          <w:szCs w:val="22"/>
        </w:rPr>
        <w:t xml:space="preserve">, including but not limited to, Hospital leadership, clinical staff, patients and families, and community members </w:t>
      </w:r>
      <w:r w:rsidRPr="00EA5B24">
        <w:rPr>
          <w:rFonts w:ascii="Arial" w:hAnsi="Arial" w:cs="Arial"/>
          <w:sz w:val="22"/>
          <w:szCs w:val="22"/>
        </w:rPr>
        <w:t>that may be impacted by or have an interest in the Proposed Project</w:t>
      </w:r>
      <w:r w:rsidRPr="00746E47">
        <w:rPr>
          <w:rFonts w:ascii="Arial" w:hAnsi="Arial" w:cs="Arial"/>
          <w:sz w:val="22"/>
          <w:szCs w:val="22"/>
        </w:rPr>
        <w:t>.</w:t>
      </w:r>
      <w:r>
        <w:rPr>
          <w:rFonts w:ascii="Arial" w:hAnsi="Arial" w:cs="Arial"/>
          <w:sz w:val="22"/>
          <w:szCs w:val="22"/>
        </w:rPr>
        <w:t xml:space="preserve"> Details regarding these e</w:t>
      </w:r>
      <w:r w:rsidRPr="00746E47">
        <w:rPr>
          <w:rFonts w:ascii="Arial" w:hAnsi="Arial" w:cs="Arial"/>
          <w:sz w:val="22"/>
          <w:szCs w:val="22"/>
        </w:rPr>
        <w:t xml:space="preserve">ngagement efforts </w:t>
      </w:r>
      <w:r>
        <w:rPr>
          <w:rFonts w:ascii="Arial" w:hAnsi="Arial" w:cs="Arial"/>
          <w:sz w:val="22"/>
          <w:szCs w:val="22"/>
        </w:rPr>
        <w:t>are described</w:t>
      </w:r>
      <w:r w:rsidRPr="00746E47">
        <w:rPr>
          <w:rFonts w:ascii="Arial" w:hAnsi="Arial" w:cs="Arial"/>
          <w:sz w:val="22"/>
          <w:szCs w:val="22"/>
        </w:rPr>
        <w:t xml:space="preserve"> in</w:t>
      </w:r>
      <w:r>
        <w:rPr>
          <w:rFonts w:ascii="Arial" w:hAnsi="Arial" w:cs="Arial"/>
          <w:sz w:val="22"/>
          <w:szCs w:val="22"/>
        </w:rPr>
        <w:t xml:space="preserve"> </w:t>
      </w:r>
      <w:r w:rsidRPr="00746E47">
        <w:rPr>
          <w:rFonts w:ascii="Arial" w:hAnsi="Arial" w:cs="Arial"/>
          <w:sz w:val="22"/>
          <w:szCs w:val="22"/>
        </w:rPr>
        <w:t>Factor F1.e.i below</w:t>
      </w:r>
      <w:r>
        <w:rPr>
          <w:rFonts w:ascii="Arial" w:hAnsi="Arial" w:cs="Arial"/>
          <w:sz w:val="22"/>
          <w:szCs w:val="22"/>
        </w:rPr>
        <w:t>. In addition to these efforts, t</w:t>
      </w:r>
      <w:r w:rsidRPr="00746E47">
        <w:rPr>
          <w:rFonts w:ascii="Arial" w:hAnsi="Arial" w:cs="Arial"/>
          <w:sz w:val="22"/>
          <w:szCs w:val="22"/>
        </w:rPr>
        <w:t xml:space="preserve">he Applicant </w:t>
      </w:r>
      <w:r>
        <w:rPr>
          <w:rFonts w:ascii="Arial" w:hAnsi="Arial" w:cs="Arial"/>
          <w:sz w:val="22"/>
          <w:szCs w:val="22"/>
        </w:rPr>
        <w:t xml:space="preserve">also </w:t>
      </w:r>
      <w:r w:rsidRPr="00746E47">
        <w:rPr>
          <w:rFonts w:ascii="Arial" w:hAnsi="Arial" w:cs="Arial"/>
          <w:sz w:val="22"/>
          <w:szCs w:val="22"/>
        </w:rPr>
        <w:t>conducted a formal consultative process with individuals at various regulatory agencies with relevant licensure, certification, and other regulatory oversight of the Applicant and the Proposed Project. Specifically, the following agencies and individuals are some of those consulted regarding the Proposed Project:</w:t>
      </w:r>
    </w:p>
    <w:p w14:paraId="3FD2D826" w14:textId="77777777" w:rsidR="00357F71" w:rsidRPr="00D57193" w:rsidRDefault="00357F71" w:rsidP="00357F71">
      <w:pPr>
        <w:pStyle w:val="ListParagraph"/>
        <w:numPr>
          <w:ilvl w:val="0"/>
          <w:numId w:val="23"/>
        </w:numPr>
        <w:jc w:val="both"/>
        <w:rPr>
          <w:rFonts w:ascii="Arial" w:hAnsi="Arial" w:cs="Arial"/>
          <w:sz w:val="22"/>
          <w:szCs w:val="22"/>
        </w:rPr>
      </w:pPr>
      <w:r w:rsidRPr="00D57193">
        <w:rPr>
          <w:rFonts w:ascii="Arial" w:hAnsi="Arial" w:cs="Arial"/>
          <w:sz w:val="22"/>
          <w:szCs w:val="22"/>
        </w:rPr>
        <w:t>Massachusetts Executive Office of Health and Human Services</w:t>
      </w:r>
    </w:p>
    <w:p w14:paraId="16BB103C"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D57193">
        <w:rPr>
          <w:rFonts w:ascii="Arial" w:hAnsi="Arial" w:cs="Arial"/>
          <w:sz w:val="22"/>
          <w:szCs w:val="22"/>
        </w:rPr>
        <w:t>DPH</w:t>
      </w:r>
      <w:r>
        <w:rPr>
          <w:rFonts w:ascii="Arial" w:hAnsi="Arial" w:cs="Arial"/>
          <w:sz w:val="22"/>
          <w:szCs w:val="22"/>
        </w:rPr>
        <w:t xml:space="preserve">, including, but not limited to: </w:t>
      </w:r>
      <w:r w:rsidRPr="00D57193">
        <w:rPr>
          <w:rFonts w:ascii="Arial" w:hAnsi="Arial" w:cs="Arial"/>
          <w:sz w:val="22"/>
          <w:szCs w:val="22"/>
        </w:rPr>
        <w:t xml:space="preserve">Lara Szent-Gyorgyi, </w:t>
      </w:r>
      <w:r>
        <w:rPr>
          <w:rFonts w:ascii="Arial" w:hAnsi="Arial" w:cs="Arial"/>
          <w:sz w:val="22"/>
          <w:szCs w:val="22"/>
        </w:rPr>
        <w:t>F</w:t>
      </w:r>
      <w:r w:rsidRPr="00D57193">
        <w:rPr>
          <w:rFonts w:ascii="Arial" w:hAnsi="Arial" w:cs="Arial"/>
          <w:sz w:val="22"/>
          <w:szCs w:val="22"/>
        </w:rPr>
        <w:t xml:space="preserve">ormer Director, DoN Program; Elizabeth Kelly, Interim Director, DoN Program; </w:t>
      </w:r>
      <w:r w:rsidRPr="006D2464">
        <w:rPr>
          <w:rFonts w:ascii="Arial" w:hAnsi="Arial" w:cs="Arial"/>
          <w:sz w:val="22"/>
          <w:szCs w:val="22"/>
        </w:rPr>
        <w:t xml:space="preserve">Lynn Conover, </w:t>
      </w:r>
      <w:r w:rsidRPr="00F43FCE">
        <w:rPr>
          <w:rFonts w:ascii="Arial" w:hAnsi="Arial" w:cs="Arial"/>
          <w:sz w:val="22"/>
          <w:szCs w:val="22"/>
        </w:rPr>
        <w:t>Analyst, DoN Program, Rebecca Rodman, Esq., General Counsel; Jennica Allen, Manager of Community Engagement Practices, Division of Community Health Planning and Engagement; Elizabeth Maffei, Program Manager, Division of Community Health Planning and Engagement; and Daniel Gent</w:t>
      </w:r>
      <w:r w:rsidRPr="00FD21F4">
        <w:rPr>
          <w:rFonts w:ascii="Arial" w:hAnsi="Arial" w:cs="Arial"/>
          <w:sz w:val="22"/>
          <w:szCs w:val="22"/>
        </w:rPr>
        <w:t>, Project Engineer &amp; Plan Review Manager, Division of Health Care Facility Licensure and Certification</w:t>
      </w:r>
    </w:p>
    <w:p w14:paraId="216A8CE4"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FD21F4">
        <w:rPr>
          <w:rFonts w:ascii="Arial" w:hAnsi="Arial" w:cs="Arial"/>
          <w:sz w:val="22"/>
          <w:szCs w:val="22"/>
        </w:rPr>
        <w:t xml:space="preserve">Massachusetts Office of Attorney General </w:t>
      </w:r>
    </w:p>
    <w:p w14:paraId="0FABB80F"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FD21F4">
        <w:rPr>
          <w:rFonts w:ascii="Arial" w:hAnsi="Arial" w:cs="Arial"/>
          <w:sz w:val="22"/>
          <w:szCs w:val="22"/>
        </w:rPr>
        <w:t>HPC</w:t>
      </w:r>
    </w:p>
    <w:p w14:paraId="49C0D7E3"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FD21F4">
        <w:rPr>
          <w:rFonts w:ascii="Arial" w:hAnsi="Arial" w:cs="Arial"/>
          <w:sz w:val="22"/>
          <w:szCs w:val="22"/>
        </w:rPr>
        <w:t>Center for Health Information and Analysis</w:t>
      </w:r>
    </w:p>
    <w:p w14:paraId="06270166"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FD21F4">
        <w:rPr>
          <w:rFonts w:ascii="Arial" w:hAnsi="Arial" w:cs="Arial"/>
          <w:sz w:val="22"/>
          <w:szCs w:val="22"/>
        </w:rPr>
        <w:t>The Centers for Medicare &amp; Medicaid Services</w:t>
      </w:r>
    </w:p>
    <w:p w14:paraId="216D690B" w14:textId="77777777" w:rsidR="00357F71" w:rsidRPr="00FD21F4" w:rsidRDefault="00357F71" w:rsidP="00357F71">
      <w:pPr>
        <w:pStyle w:val="ListParagraph"/>
        <w:numPr>
          <w:ilvl w:val="0"/>
          <w:numId w:val="23"/>
        </w:numPr>
        <w:autoSpaceDE w:val="0"/>
        <w:autoSpaceDN w:val="0"/>
        <w:adjustRightInd w:val="0"/>
        <w:jc w:val="both"/>
        <w:rPr>
          <w:rFonts w:ascii="Arial" w:hAnsi="Arial" w:cs="Arial"/>
          <w:sz w:val="22"/>
          <w:szCs w:val="22"/>
        </w:rPr>
      </w:pPr>
      <w:r w:rsidRPr="00FD21F4">
        <w:rPr>
          <w:rFonts w:ascii="Arial" w:hAnsi="Arial" w:cs="Arial"/>
          <w:sz w:val="22"/>
          <w:szCs w:val="22"/>
        </w:rPr>
        <w:t>MassHealth</w:t>
      </w:r>
    </w:p>
    <w:p w14:paraId="7D638D4E" w14:textId="59AEE8AA" w:rsidR="00357F71" w:rsidRPr="00D57193" w:rsidRDefault="00357F71" w:rsidP="00357F71">
      <w:pPr>
        <w:pStyle w:val="ListParagraph"/>
        <w:numPr>
          <w:ilvl w:val="0"/>
          <w:numId w:val="23"/>
        </w:numPr>
        <w:autoSpaceDE w:val="0"/>
        <w:autoSpaceDN w:val="0"/>
        <w:adjustRightInd w:val="0"/>
        <w:jc w:val="both"/>
        <w:rPr>
          <w:rFonts w:ascii="Arial" w:hAnsi="Arial" w:cs="Arial"/>
          <w:sz w:val="22"/>
          <w:szCs w:val="22"/>
        </w:rPr>
      </w:pPr>
      <w:r>
        <w:rPr>
          <w:rFonts w:ascii="Arial" w:hAnsi="Arial" w:cs="Arial"/>
          <w:sz w:val="22"/>
          <w:szCs w:val="22"/>
        </w:rPr>
        <w:t>Regulatory agencies consulted as</w:t>
      </w:r>
      <w:r w:rsidRPr="00804FED">
        <w:rPr>
          <w:rFonts w:ascii="Arial" w:hAnsi="Arial" w:cs="Arial"/>
          <w:sz w:val="22"/>
          <w:szCs w:val="22"/>
        </w:rPr>
        <w:t xml:space="preserve"> part of the City of Boston’s required Article 80 review processes for the Hospital’s</w:t>
      </w:r>
      <w:r>
        <w:rPr>
          <w:rFonts w:ascii="Arial" w:hAnsi="Arial" w:cs="Arial"/>
          <w:sz w:val="22"/>
          <w:szCs w:val="22"/>
        </w:rPr>
        <w:t xml:space="preserve"> Institutional Master Plan (“IMP”) (further details provided </w:t>
      </w:r>
      <w:r w:rsidRPr="00746E47">
        <w:rPr>
          <w:rFonts w:ascii="Arial" w:hAnsi="Arial" w:cs="Arial"/>
          <w:sz w:val="22"/>
          <w:szCs w:val="22"/>
        </w:rPr>
        <w:t>in</w:t>
      </w:r>
      <w:r>
        <w:rPr>
          <w:rFonts w:ascii="Arial" w:hAnsi="Arial" w:cs="Arial"/>
          <w:sz w:val="22"/>
          <w:szCs w:val="22"/>
        </w:rPr>
        <w:t xml:space="preserve"> </w:t>
      </w:r>
      <w:r w:rsidRPr="00746E47">
        <w:rPr>
          <w:rFonts w:ascii="Arial" w:hAnsi="Arial" w:cs="Arial"/>
          <w:sz w:val="22"/>
          <w:szCs w:val="22"/>
        </w:rPr>
        <w:t>Factor F1.e.i below</w:t>
      </w:r>
      <w:r>
        <w:rPr>
          <w:rFonts w:ascii="Arial" w:hAnsi="Arial" w:cs="Arial"/>
          <w:sz w:val="22"/>
          <w:szCs w:val="22"/>
        </w:rPr>
        <w:t>)</w:t>
      </w:r>
    </w:p>
    <w:p w14:paraId="143613A9" w14:textId="77777777" w:rsidR="000D1F21" w:rsidRDefault="000D1F21" w:rsidP="00357F71">
      <w:pPr>
        <w:jc w:val="both"/>
        <w:rPr>
          <w:rStyle w:val="eop"/>
          <w:rFonts w:ascii="Arial" w:hAnsi="Arial" w:cs="Arial"/>
          <w:sz w:val="22"/>
          <w:szCs w:val="22"/>
        </w:rPr>
      </w:pPr>
    </w:p>
    <w:p w14:paraId="439322BB" w14:textId="333C3C63" w:rsidR="002F24B7" w:rsidRPr="00EA5B24" w:rsidRDefault="002F24B7" w:rsidP="009A7F8F">
      <w:pPr>
        <w:ind w:left="1080" w:hanging="1080"/>
        <w:jc w:val="both"/>
        <w:rPr>
          <w:rFonts w:ascii="Arial" w:hAnsi="Arial" w:cs="Arial"/>
          <w:sz w:val="22"/>
          <w:szCs w:val="22"/>
        </w:rPr>
      </w:pPr>
      <w:r>
        <w:rPr>
          <w:rStyle w:val="normaltextrun"/>
          <w:rFonts w:ascii="Arial" w:hAnsi="Arial" w:cs="Arial"/>
          <w:b/>
          <w:bCs/>
          <w:sz w:val="22"/>
          <w:szCs w:val="22"/>
        </w:rPr>
        <w:t>F1.e.i</w:t>
      </w:r>
      <w:r>
        <w:rPr>
          <w:rStyle w:val="tabchar"/>
          <w:rFonts w:ascii="Calibri" w:hAnsi="Calibri" w:cs="Calibri"/>
          <w:sz w:val="22"/>
          <w:szCs w:val="22"/>
        </w:rPr>
        <w:tab/>
      </w:r>
      <w:r>
        <w:rPr>
          <w:rStyle w:val="normaltextrun"/>
          <w:rFonts w:ascii="Arial" w:hAnsi="Arial" w:cs="Arial"/>
          <w:b/>
          <w:bCs/>
          <w:sz w:val="22"/>
          <w:szCs w:val="22"/>
        </w:rPr>
        <w:t xml:space="preserve">Process for Determining Need/Evidence of Community Engagement: For assistance in responding to this portion of the Application, Applicant is encouraged to review </w:t>
      </w:r>
      <w:r>
        <w:rPr>
          <w:rStyle w:val="normaltextrun"/>
          <w:rFonts w:ascii="Arial" w:hAnsi="Arial" w:cs="Arial"/>
          <w:b/>
          <w:bCs/>
          <w:i/>
          <w:iCs/>
          <w:sz w:val="22"/>
          <w:szCs w:val="22"/>
        </w:rPr>
        <w:t xml:space="preserve">Community </w:t>
      </w:r>
      <w:r w:rsidRPr="00EA5B24">
        <w:rPr>
          <w:rStyle w:val="normaltextrun"/>
          <w:rFonts w:ascii="Arial" w:hAnsi="Arial" w:cs="Arial"/>
          <w:b/>
          <w:bCs/>
          <w:i/>
          <w:iCs/>
          <w:sz w:val="22"/>
          <w:szCs w:val="22"/>
        </w:rPr>
        <w:t xml:space="preserve">Engagement Standards for Community Health Planning Guideline. </w:t>
      </w:r>
      <w:r w:rsidRPr="00EA5B24">
        <w:rPr>
          <w:rStyle w:val="normaltextrun"/>
          <w:rFonts w:ascii="Arial" w:hAnsi="Arial" w:cs="Arial"/>
          <w:b/>
          <w:bCs/>
          <w:sz w:val="22"/>
          <w:szCs w:val="22"/>
        </w:rPr>
        <w:t>With respect to the existing Patient Panel, please describe the process through which Applicant determined the need for the Proposed Project. </w:t>
      </w:r>
      <w:r w:rsidRPr="00EA5B24">
        <w:rPr>
          <w:rStyle w:val="eop"/>
          <w:rFonts w:ascii="Arial" w:hAnsi="Arial" w:cs="Arial"/>
          <w:sz w:val="22"/>
          <w:szCs w:val="22"/>
        </w:rPr>
        <w:t> </w:t>
      </w:r>
    </w:p>
    <w:p w14:paraId="18EFE36D" w14:textId="77777777" w:rsidR="00EA5B24" w:rsidRPr="00EA5B24" w:rsidRDefault="00EA5B24" w:rsidP="00EA5B24">
      <w:pPr>
        <w:jc w:val="both"/>
        <w:rPr>
          <w:rFonts w:ascii="Arial" w:hAnsi="Arial" w:cs="Arial"/>
          <w:sz w:val="22"/>
          <w:szCs w:val="22"/>
        </w:rPr>
      </w:pPr>
    </w:p>
    <w:p w14:paraId="44D42FBF" w14:textId="24EB5DD0" w:rsidR="00EA5B24" w:rsidRPr="00EA5B24" w:rsidRDefault="00EA5B24" w:rsidP="00EA5B24">
      <w:pPr>
        <w:jc w:val="both"/>
        <w:rPr>
          <w:rFonts w:ascii="Arial" w:hAnsi="Arial" w:cs="Arial"/>
          <w:sz w:val="22"/>
          <w:szCs w:val="22"/>
        </w:rPr>
      </w:pPr>
      <w:r w:rsidRPr="00EA5B24">
        <w:rPr>
          <w:rFonts w:ascii="Arial" w:hAnsi="Arial" w:cs="Arial"/>
          <w:sz w:val="22"/>
          <w:szCs w:val="22"/>
        </w:rPr>
        <w:t>As outlined throughout this narrative, the Applicant has historically undertaken a measured approach to campus growth and development, working continuously to right-size BMC’s campus to match the ever-evolving health</w:t>
      </w:r>
      <w:r w:rsidR="00CF77C3">
        <w:rPr>
          <w:rFonts w:ascii="Arial" w:hAnsi="Arial" w:cs="Arial"/>
          <w:sz w:val="22"/>
          <w:szCs w:val="22"/>
        </w:rPr>
        <w:t xml:space="preserve"> </w:t>
      </w:r>
      <w:r w:rsidRPr="00EA5B24">
        <w:rPr>
          <w:rFonts w:ascii="Arial" w:hAnsi="Arial" w:cs="Arial"/>
          <w:sz w:val="22"/>
          <w:szCs w:val="22"/>
        </w:rPr>
        <w:t>care landscape and ensure the Hospital’s sustainability as an academic medical center providing exceptional care to its patient panel. Such an approach was foundational in the design and completion of BMC’s previously approved DoN</w:t>
      </w:r>
      <w:r w:rsidR="00F33C2A">
        <w:rPr>
          <w:rFonts w:ascii="Arial" w:hAnsi="Arial" w:cs="Arial"/>
          <w:sz w:val="22"/>
          <w:szCs w:val="22"/>
        </w:rPr>
        <w:t>,</w:t>
      </w:r>
      <w:r w:rsidRPr="00EA5B24">
        <w:rPr>
          <w:rFonts w:ascii="Arial" w:hAnsi="Arial" w:cs="Arial"/>
          <w:sz w:val="22"/>
          <w:szCs w:val="22"/>
        </w:rPr>
        <w:t xml:space="preserve"> which focused on consolidating the Hospital’s two clinical campuses to create a new clinical core at its Menino Campus</w:t>
      </w:r>
      <w:r w:rsidR="00F33C2A">
        <w:rPr>
          <w:rFonts w:ascii="Arial" w:hAnsi="Arial" w:cs="Arial"/>
          <w:sz w:val="22"/>
          <w:szCs w:val="22"/>
        </w:rPr>
        <w:t>.</w:t>
      </w:r>
      <w:r w:rsidR="007D5E56">
        <w:rPr>
          <w:rFonts w:ascii="Arial" w:hAnsi="Arial" w:cs="Arial"/>
          <w:sz w:val="22"/>
          <w:szCs w:val="22"/>
        </w:rPr>
        <w:t xml:space="preserve"> </w:t>
      </w:r>
      <w:r w:rsidR="00F33C2A">
        <w:rPr>
          <w:rFonts w:ascii="Arial" w:hAnsi="Arial" w:cs="Arial"/>
          <w:sz w:val="22"/>
          <w:szCs w:val="22"/>
        </w:rPr>
        <w:t>T</w:t>
      </w:r>
      <w:r w:rsidRPr="00EA5B24">
        <w:rPr>
          <w:rFonts w:ascii="Arial" w:hAnsi="Arial" w:cs="Arial"/>
          <w:sz w:val="22"/>
          <w:szCs w:val="22"/>
        </w:rPr>
        <w:t>oday</w:t>
      </w:r>
      <w:r w:rsidR="00F33C2A">
        <w:rPr>
          <w:rFonts w:ascii="Arial" w:hAnsi="Arial" w:cs="Arial"/>
          <w:sz w:val="22"/>
          <w:szCs w:val="22"/>
        </w:rPr>
        <w:t>,</w:t>
      </w:r>
      <w:r w:rsidRPr="00EA5B24">
        <w:rPr>
          <w:rFonts w:ascii="Arial" w:hAnsi="Arial" w:cs="Arial"/>
          <w:sz w:val="22"/>
          <w:szCs w:val="22"/>
        </w:rPr>
        <w:t xml:space="preserve"> the Applicant remains committed to a dedicated approach of responding to clinical trends and patient needs through careful resource and site planning.</w:t>
      </w:r>
    </w:p>
    <w:p w14:paraId="1B387F57" w14:textId="77777777" w:rsidR="00EA5B24" w:rsidRPr="00EA5B24" w:rsidRDefault="00EA5B24" w:rsidP="00EA5B24">
      <w:pPr>
        <w:jc w:val="both"/>
        <w:rPr>
          <w:rFonts w:ascii="Arial" w:hAnsi="Arial" w:cs="Arial"/>
          <w:color w:val="FF0000"/>
          <w:sz w:val="22"/>
          <w:szCs w:val="22"/>
        </w:rPr>
      </w:pPr>
    </w:p>
    <w:p w14:paraId="6179F4FC" w14:textId="5E941B62" w:rsidR="00EA5B24" w:rsidRPr="00EA5B24" w:rsidRDefault="00EA5B24" w:rsidP="00EA5B24">
      <w:pPr>
        <w:jc w:val="both"/>
        <w:rPr>
          <w:rFonts w:ascii="Arial" w:hAnsi="Arial" w:cs="Arial"/>
          <w:sz w:val="22"/>
          <w:szCs w:val="22"/>
        </w:rPr>
      </w:pPr>
      <w:r w:rsidRPr="00EA5B24">
        <w:rPr>
          <w:rFonts w:ascii="Arial" w:hAnsi="Arial" w:cs="Arial"/>
          <w:sz w:val="22"/>
          <w:szCs w:val="22"/>
        </w:rPr>
        <w:t>Following its campus consolidation efforts, BMC has experienced patient volume growth, as well as several other changes in the health</w:t>
      </w:r>
      <w:r w:rsidR="00CF77C3">
        <w:rPr>
          <w:rFonts w:ascii="Arial" w:hAnsi="Arial" w:cs="Arial"/>
          <w:sz w:val="22"/>
          <w:szCs w:val="22"/>
        </w:rPr>
        <w:t xml:space="preserve"> </w:t>
      </w:r>
      <w:r w:rsidRPr="00EA5B24">
        <w:rPr>
          <w:rFonts w:ascii="Arial" w:hAnsi="Arial" w:cs="Arial"/>
          <w:sz w:val="22"/>
          <w:szCs w:val="22"/>
        </w:rPr>
        <w:t>care environment, that together have had a direct impact on the space the Hospital requires to deliver the services needed by its patients. BMC’s inpatient admissions</w:t>
      </w:r>
      <w:r w:rsidR="00EA024C">
        <w:rPr>
          <w:rFonts w:ascii="Arial" w:hAnsi="Arial" w:cs="Arial"/>
          <w:sz w:val="22"/>
          <w:szCs w:val="22"/>
        </w:rPr>
        <w:t xml:space="preserve">, </w:t>
      </w:r>
      <w:r w:rsidRPr="00EA5B24">
        <w:rPr>
          <w:rFonts w:ascii="Arial" w:hAnsi="Arial" w:cs="Arial"/>
          <w:sz w:val="22"/>
          <w:szCs w:val="22"/>
        </w:rPr>
        <w:t>visits</w:t>
      </w:r>
      <w:r w:rsidR="00EA024C">
        <w:rPr>
          <w:rFonts w:ascii="Arial" w:hAnsi="Arial" w:cs="Arial"/>
          <w:sz w:val="22"/>
          <w:szCs w:val="22"/>
        </w:rPr>
        <w:t>, and utilization rates</w:t>
      </w:r>
      <w:r w:rsidRPr="00EA5B24">
        <w:rPr>
          <w:rFonts w:ascii="Arial" w:hAnsi="Arial" w:cs="Arial"/>
          <w:sz w:val="22"/>
          <w:szCs w:val="22"/>
        </w:rPr>
        <w:t xml:space="preserve"> reflect these current health</w:t>
      </w:r>
      <w:r w:rsidR="00CF77C3">
        <w:rPr>
          <w:rFonts w:ascii="Arial" w:hAnsi="Arial" w:cs="Arial"/>
          <w:sz w:val="22"/>
          <w:szCs w:val="22"/>
        </w:rPr>
        <w:t xml:space="preserve"> </w:t>
      </w:r>
      <w:r w:rsidRPr="00EA5B24">
        <w:rPr>
          <w:rFonts w:ascii="Arial" w:hAnsi="Arial" w:cs="Arial"/>
          <w:sz w:val="22"/>
          <w:szCs w:val="22"/>
        </w:rPr>
        <w:t>care trends and demonstrate that BMC’s patient population requires more services. As a result, BMC initiated a robust multi-year strategic planning process to determine how to most effectively meet the needs of its patients for increased access to high-quality services while upholding its commitment to measured campus growth and sustainability and its primary urban design objective of maintaining a cohesive medical campus thoughtfully integrated into the surrounding urban fabric and neighborhoods. This planning process was iterative and included ongoing interactions among BMC leadership, including senior administration, the Applicant’s and the Hospital’s Boards of Directors and Trustees, and clinical leaders, as well as regulatory agencies and local stakeholders to develop, evaluate, and refine various project options.</w:t>
      </w:r>
      <w:r w:rsidRPr="00EA5B24">
        <w:rPr>
          <w:rFonts w:ascii="Arial" w:hAnsi="Arial" w:cs="Arial"/>
          <w:color w:val="FF0000"/>
          <w:sz w:val="22"/>
          <w:szCs w:val="22"/>
        </w:rPr>
        <w:t xml:space="preserve"> </w:t>
      </w:r>
      <w:r w:rsidRPr="00EA5B24">
        <w:rPr>
          <w:rFonts w:ascii="Arial" w:hAnsi="Arial" w:cs="Arial"/>
          <w:sz w:val="22"/>
          <w:szCs w:val="22"/>
        </w:rPr>
        <w:t xml:space="preserve">After careful evaluation, the Proposed Project was found to be the best option, as it was determined to be the most cost-effective approach to meeting patient needs and improving overall efficiencies in the delivery of care while supporting the Applicant’s strategic, operational, and clinical goals when compared with alternatives. </w:t>
      </w:r>
    </w:p>
    <w:p w14:paraId="1EB85339" w14:textId="77777777" w:rsidR="00EA5B24" w:rsidRPr="00EA5B24" w:rsidRDefault="00EA5B24" w:rsidP="00EA5B24">
      <w:pPr>
        <w:jc w:val="both"/>
        <w:rPr>
          <w:rFonts w:ascii="Arial" w:hAnsi="Arial" w:cs="Arial"/>
          <w:color w:val="FF0000"/>
          <w:sz w:val="22"/>
          <w:szCs w:val="22"/>
        </w:rPr>
      </w:pPr>
    </w:p>
    <w:p w14:paraId="205D65DC" w14:textId="1ED194FE" w:rsidR="00EA5B24" w:rsidRPr="00EA5B24" w:rsidRDefault="00EA5B24" w:rsidP="00EA5B24">
      <w:pPr>
        <w:jc w:val="both"/>
        <w:rPr>
          <w:rFonts w:ascii="Arial" w:hAnsi="Arial" w:cs="Arial"/>
          <w:sz w:val="22"/>
          <w:szCs w:val="22"/>
        </w:rPr>
      </w:pPr>
      <w:r w:rsidRPr="00EA5B24">
        <w:rPr>
          <w:rFonts w:ascii="Arial" w:hAnsi="Arial" w:cs="Arial"/>
          <w:sz w:val="22"/>
          <w:szCs w:val="22"/>
        </w:rPr>
        <w:t>In addition to engagement that occurred during the planning process, to ensure appropriate community engagement once the Proposed Project’s overall design was determined, the Applicant also sought to inform and solicit feedback from community members, patients, family members, and staff that may be impacted by or have an interest in the Proposed Project. Specifically, the Applicant’s engagement efforts focused on soliciting feedback on the need for the</w:t>
      </w:r>
      <w:r w:rsidRPr="00EA5B24">
        <w:rPr>
          <w:rFonts w:ascii="Arial" w:hAnsi="Arial" w:cs="Arial"/>
          <w:color w:val="FF0000"/>
          <w:sz w:val="22"/>
          <w:szCs w:val="22"/>
        </w:rPr>
        <w:t xml:space="preserve"> </w:t>
      </w:r>
      <w:r w:rsidRPr="00EA5B24">
        <w:rPr>
          <w:rFonts w:ascii="Arial" w:hAnsi="Arial" w:cs="Arial"/>
          <w:sz w:val="22"/>
          <w:szCs w:val="22"/>
        </w:rPr>
        <w:t xml:space="preserve">Proposed Project as well as the design details, layout, and community-related benefits in order to maximize the Hospital’s ability to meet its patient panel demand, provide superior patient satisfaction, promote high-quality outcomes, and support the Greater Boston community </w:t>
      </w:r>
      <w:r w:rsidR="008F6443">
        <w:rPr>
          <w:rFonts w:ascii="Arial" w:hAnsi="Arial" w:cs="Arial"/>
          <w:sz w:val="22"/>
          <w:szCs w:val="22"/>
        </w:rPr>
        <w:t xml:space="preserve">of which </w:t>
      </w:r>
      <w:r w:rsidRPr="00EA5B24">
        <w:rPr>
          <w:rFonts w:ascii="Arial" w:hAnsi="Arial" w:cs="Arial"/>
          <w:sz w:val="22"/>
          <w:szCs w:val="22"/>
        </w:rPr>
        <w:t xml:space="preserve">BMC is part. </w:t>
      </w:r>
    </w:p>
    <w:p w14:paraId="3A196C95" w14:textId="77777777" w:rsidR="00EA5B24" w:rsidRPr="00EA5B24" w:rsidRDefault="00EA5B24" w:rsidP="00EA5B24">
      <w:pPr>
        <w:jc w:val="both"/>
        <w:rPr>
          <w:rFonts w:ascii="Arial" w:hAnsi="Arial" w:cs="Arial"/>
          <w:sz w:val="22"/>
          <w:szCs w:val="22"/>
        </w:rPr>
      </w:pPr>
    </w:p>
    <w:p w14:paraId="66C82E7B" w14:textId="504C85CA" w:rsidR="002F24B7" w:rsidRDefault="00EA5B24" w:rsidP="00EA5B24">
      <w:pPr>
        <w:ind w:left="1440" w:hanging="1440"/>
        <w:rPr>
          <w:rFonts w:ascii="Arial" w:hAnsi="Arial" w:cs="Arial"/>
          <w:sz w:val="22"/>
          <w:szCs w:val="22"/>
        </w:rPr>
      </w:pPr>
      <w:r w:rsidRPr="00EA5B24">
        <w:rPr>
          <w:rFonts w:ascii="Arial" w:hAnsi="Arial" w:cs="Arial"/>
          <w:sz w:val="22"/>
          <w:szCs w:val="22"/>
        </w:rPr>
        <w:t>Engagement efforts are described in detail below</w:t>
      </w:r>
      <w:r>
        <w:rPr>
          <w:rFonts w:ascii="Arial" w:hAnsi="Arial" w:cs="Arial"/>
          <w:sz w:val="22"/>
          <w:szCs w:val="22"/>
        </w:rPr>
        <w:t>.</w:t>
      </w:r>
    </w:p>
    <w:p w14:paraId="22B570C0" w14:textId="25B32B7A" w:rsidR="00EA5B24" w:rsidRDefault="00EA5B24" w:rsidP="00EA5B24">
      <w:pPr>
        <w:ind w:left="1440" w:hanging="1440"/>
        <w:rPr>
          <w:rFonts w:ascii="Arial" w:hAnsi="Arial" w:cs="Arial"/>
          <w:sz w:val="22"/>
          <w:szCs w:val="22"/>
        </w:rPr>
      </w:pPr>
    </w:p>
    <w:p w14:paraId="468C4A16" w14:textId="4C381AB7" w:rsidR="00EA5B24" w:rsidRPr="00EA5B24" w:rsidRDefault="00EA5B24" w:rsidP="00EA5B24">
      <w:pPr>
        <w:pStyle w:val="ListParagraph"/>
        <w:numPr>
          <w:ilvl w:val="0"/>
          <w:numId w:val="18"/>
        </w:numPr>
        <w:ind w:left="360"/>
        <w:rPr>
          <w:rFonts w:ascii="Arial" w:hAnsi="Arial" w:cs="Arial"/>
          <w:smallCaps/>
          <w:sz w:val="22"/>
          <w:szCs w:val="22"/>
          <w:u w:val="single"/>
        </w:rPr>
      </w:pPr>
      <w:r w:rsidRPr="00EA5B24">
        <w:rPr>
          <w:rFonts w:ascii="Arial" w:hAnsi="Arial" w:cs="Arial"/>
          <w:smallCaps/>
          <w:sz w:val="22"/>
          <w:szCs w:val="22"/>
          <w:u w:val="single"/>
        </w:rPr>
        <w:t>Regulatory Agency Meetings</w:t>
      </w:r>
    </w:p>
    <w:p w14:paraId="1F65C3DC" w14:textId="3C8BFA73" w:rsidR="00EA5B24" w:rsidRPr="00804FED" w:rsidRDefault="00EA5B24" w:rsidP="00804FED">
      <w:pPr>
        <w:rPr>
          <w:rFonts w:ascii="Arial" w:hAnsi="Arial" w:cs="Arial"/>
          <w:sz w:val="22"/>
          <w:szCs w:val="22"/>
        </w:rPr>
      </w:pPr>
    </w:p>
    <w:p w14:paraId="54C8DD23" w14:textId="7A0048E1" w:rsidR="00804FED" w:rsidRPr="00804FED" w:rsidRDefault="00804FED" w:rsidP="00804FED">
      <w:pPr>
        <w:jc w:val="both"/>
        <w:rPr>
          <w:rFonts w:ascii="Arial" w:hAnsi="Arial" w:cs="Arial"/>
          <w:sz w:val="22"/>
          <w:szCs w:val="22"/>
        </w:rPr>
      </w:pPr>
      <w:r w:rsidRPr="00804FED">
        <w:rPr>
          <w:rFonts w:ascii="Arial" w:hAnsi="Arial" w:cs="Arial"/>
          <w:sz w:val="22"/>
          <w:szCs w:val="22"/>
        </w:rPr>
        <w:t xml:space="preserve">Recognizing that a broad range of input is valuable in the planning of a project, as a first step in the engagement process, the Applicant presented at a number of regulatory agency meetings, many of which were open to the public. These regulatory agency meetings were held as part of the City of Boston’s required Article 80 review processes for the Hospital’s IMP. Accordingly, while these meetings provided the opportunity for engagement around the Proposed Project, they also covered a larger scale of work, certain components of which are outside the scope of this DoN Application. </w:t>
      </w:r>
    </w:p>
    <w:p w14:paraId="38D86AFF" w14:textId="77777777" w:rsidR="00804FED" w:rsidRPr="00804FED" w:rsidRDefault="00804FED" w:rsidP="00804FED">
      <w:pPr>
        <w:jc w:val="both"/>
        <w:rPr>
          <w:rFonts w:ascii="Arial" w:hAnsi="Arial" w:cs="Arial"/>
          <w:sz w:val="22"/>
          <w:szCs w:val="22"/>
        </w:rPr>
      </w:pPr>
    </w:p>
    <w:p w14:paraId="618D85F6" w14:textId="77777777" w:rsidR="00804FED" w:rsidRPr="00804FED" w:rsidRDefault="00804FED" w:rsidP="00804FED">
      <w:pPr>
        <w:jc w:val="both"/>
        <w:rPr>
          <w:rFonts w:ascii="Arial" w:hAnsi="Arial" w:cs="Arial"/>
          <w:sz w:val="22"/>
          <w:szCs w:val="22"/>
        </w:rPr>
      </w:pPr>
      <w:r w:rsidRPr="00804FED">
        <w:rPr>
          <w:rFonts w:ascii="Arial" w:hAnsi="Arial" w:cs="Arial"/>
          <w:sz w:val="22"/>
          <w:szCs w:val="22"/>
        </w:rPr>
        <w:t>As an overview, the Applicant met with members of the Boston Planning and Development Agency (“BPDA”) throughout the planning process, including the BPDA Task Force designated for the BMC IMP, and also held meetings with the Boston Civic Design Commission (“BCDC”), the Boston Transportation Department, representatives of the South End Landmarks District Commission, and the Boston Zoning Commission. Specifically, these meetings included, but were not limited to, the following:</w:t>
      </w:r>
    </w:p>
    <w:p w14:paraId="0D591998" w14:textId="77777777" w:rsidR="00804FED" w:rsidRPr="00804FED" w:rsidRDefault="00804FED" w:rsidP="00804FED">
      <w:pPr>
        <w:pStyle w:val="ListParagraph"/>
        <w:widowControl w:val="0"/>
        <w:numPr>
          <w:ilvl w:val="0"/>
          <w:numId w:val="22"/>
        </w:numPr>
        <w:autoSpaceDE w:val="0"/>
        <w:autoSpaceDN w:val="0"/>
        <w:contextualSpacing w:val="0"/>
        <w:jc w:val="both"/>
        <w:rPr>
          <w:rFonts w:ascii="Arial" w:hAnsi="Arial" w:cs="Arial"/>
          <w:sz w:val="22"/>
          <w:szCs w:val="22"/>
        </w:rPr>
      </w:pPr>
      <w:r w:rsidRPr="00804FED">
        <w:rPr>
          <w:rFonts w:ascii="Arial" w:hAnsi="Arial" w:cs="Arial"/>
          <w:sz w:val="22"/>
          <w:szCs w:val="22"/>
        </w:rPr>
        <w:t>BPDA Task Force Meeting #1 – November 18, 2019</w:t>
      </w:r>
    </w:p>
    <w:p w14:paraId="2E378CEC"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 xml:space="preserve">BPDA City Agency Scoping Session – December 6, 2019  </w:t>
      </w:r>
    </w:p>
    <w:p w14:paraId="2426161F"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 xml:space="preserve">BPDA Task Force Meeting #2 and Public Meeting – December 11, 2019  </w:t>
      </w:r>
    </w:p>
    <w:p w14:paraId="642B7BAD"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 xml:space="preserve">BCDC Presentation – January 14, 2020 </w:t>
      </w:r>
    </w:p>
    <w:p w14:paraId="73348292"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Boston Transportation Department Presentation – February 20, 2020</w:t>
      </w:r>
    </w:p>
    <w:p w14:paraId="40821C5E"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South End Landmarks District Commission Staff Meeting – February 27, 2020</w:t>
      </w:r>
    </w:p>
    <w:p w14:paraId="5A870967"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 xml:space="preserve">BCDC Presentation – September 7, 2021 </w:t>
      </w:r>
    </w:p>
    <w:p w14:paraId="0980AAA9" w14:textId="77777777" w:rsidR="00804FED" w:rsidRPr="00804FED" w:rsidRDefault="00804FED" w:rsidP="00804FED">
      <w:pPr>
        <w:pStyle w:val="BodyText"/>
        <w:numPr>
          <w:ilvl w:val="0"/>
          <w:numId w:val="22"/>
        </w:numPr>
        <w:jc w:val="both"/>
      </w:pPr>
      <w:r w:rsidRPr="00804FED">
        <w:t>BPDA Meeting – January 29, 2021</w:t>
      </w:r>
    </w:p>
    <w:p w14:paraId="281FBAA3" w14:textId="77777777" w:rsidR="00804FED" w:rsidRPr="00804FED" w:rsidRDefault="00804FED" w:rsidP="00804FED">
      <w:pPr>
        <w:pStyle w:val="BodyText"/>
        <w:numPr>
          <w:ilvl w:val="0"/>
          <w:numId w:val="22"/>
        </w:numPr>
        <w:jc w:val="both"/>
      </w:pPr>
      <w:r w:rsidRPr="00804FED">
        <w:t>BPDA Task Force Meeting #3 and Public Meeting – May 12, 2021</w:t>
      </w:r>
    </w:p>
    <w:p w14:paraId="6447BD41" w14:textId="77777777" w:rsidR="00804FED" w:rsidRPr="00804FED" w:rsidRDefault="00804FED" w:rsidP="00804FED">
      <w:pPr>
        <w:pStyle w:val="ListParagraph"/>
        <w:numPr>
          <w:ilvl w:val="0"/>
          <w:numId w:val="22"/>
        </w:numPr>
        <w:contextualSpacing w:val="0"/>
        <w:rPr>
          <w:rFonts w:ascii="Arial" w:hAnsi="Arial" w:cs="Arial"/>
          <w:sz w:val="22"/>
          <w:szCs w:val="22"/>
        </w:rPr>
      </w:pPr>
      <w:r w:rsidRPr="00804FED">
        <w:rPr>
          <w:rFonts w:ascii="Arial" w:hAnsi="Arial" w:cs="Arial"/>
          <w:sz w:val="22"/>
          <w:szCs w:val="22"/>
        </w:rPr>
        <w:t>BPDA City Agency Scoping Session – May 13, 2021</w:t>
      </w:r>
    </w:p>
    <w:p w14:paraId="2F344FBD" w14:textId="77777777" w:rsidR="00804FED" w:rsidRPr="00804FED" w:rsidRDefault="00804FED" w:rsidP="00804FED">
      <w:pPr>
        <w:pStyle w:val="BodyText"/>
        <w:numPr>
          <w:ilvl w:val="0"/>
          <w:numId w:val="22"/>
        </w:numPr>
        <w:jc w:val="both"/>
      </w:pPr>
      <w:r w:rsidRPr="00804FED">
        <w:t xml:space="preserve">Boston Zoning Commission Public Hearing – October 13, 2021  </w:t>
      </w:r>
    </w:p>
    <w:p w14:paraId="04E3D96F" w14:textId="77777777" w:rsidR="00804FED" w:rsidRPr="00804FED" w:rsidRDefault="00804FED" w:rsidP="00804FED">
      <w:pPr>
        <w:jc w:val="both"/>
        <w:rPr>
          <w:rFonts w:ascii="Arial" w:hAnsi="Arial" w:cs="Arial"/>
          <w:color w:val="000000" w:themeColor="text1"/>
          <w:sz w:val="22"/>
          <w:szCs w:val="22"/>
        </w:rPr>
      </w:pPr>
    </w:p>
    <w:p w14:paraId="34192DA6" w14:textId="77777777" w:rsidR="00804FED" w:rsidRPr="00804FED" w:rsidRDefault="00804FED" w:rsidP="00804FED">
      <w:pPr>
        <w:jc w:val="both"/>
        <w:rPr>
          <w:rFonts w:ascii="Arial" w:hAnsi="Arial" w:cs="Arial"/>
          <w:color w:val="000000" w:themeColor="text1"/>
          <w:sz w:val="22"/>
          <w:szCs w:val="22"/>
        </w:rPr>
      </w:pPr>
      <w:r w:rsidRPr="00804FED">
        <w:rPr>
          <w:rFonts w:ascii="Arial" w:hAnsi="Arial" w:cs="Arial"/>
          <w:color w:val="000000" w:themeColor="text1"/>
          <w:sz w:val="22"/>
          <w:szCs w:val="22"/>
        </w:rPr>
        <w:t xml:space="preserve">The Applicant remained committed to an open and inclusive process during the course of these strategic planning meetings and continuously sought input and responded to questions from community representatives and the public regarding the Proposed Project’s need, goals and objectives, components, and high-level design. Such input was carefully assessed and thoughtfully incorporated into revised plans for the Proposed Project. Key revisions incorporated from community stakeholder feedback received during these meetings included eliminating certain projects, changing the proposed use of select buildings/sites, and potentially acquiring other sites to support patient and community needs. Significantly, the resulting refined Proposed Project plan maintains an important focus on using facility resources in a way that rationalizes square footage and allows BMC to keep working towards reducing space and energy inefficiencies, eliminating overhead costs, and right-sizing its campus while continuing to better serve its patients and community. </w:t>
      </w:r>
    </w:p>
    <w:p w14:paraId="6113EF1C" w14:textId="77777777" w:rsidR="00804FED" w:rsidRPr="00804FED" w:rsidRDefault="00804FED" w:rsidP="00804FED">
      <w:pPr>
        <w:rPr>
          <w:rFonts w:ascii="Arial" w:hAnsi="Arial" w:cs="Arial"/>
          <w:sz w:val="22"/>
          <w:szCs w:val="22"/>
        </w:rPr>
      </w:pPr>
    </w:p>
    <w:p w14:paraId="403AEEFE" w14:textId="043BE243" w:rsidR="00EA5B24" w:rsidRPr="00EA5B24" w:rsidRDefault="00EA5B24" w:rsidP="00EA5B24">
      <w:pPr>
        <w:pStyle w:val="ListParagraph"/>
        <w:numPr>
          <w:ilvl w:val="0"/>
          <w:numId w:val="18"/>
        </w:numPr>
        <w:ind w:left="360"/>
        <w:rPr>
          <w:rFonts w:ascii="Arial" w:hAnsi="Arial" w:cs="Arial"/>
          <w:smallCaps/>
          <w:sz w:val="22"/>
          <w:szCs w:val="22"/>
        </w:rPr>
      </w:pPr>
      <w:r w:rsidRPr="00EA5B24">
        <w:rPr>
          <w:rFonts w:ascii="Arial" w:hAnsi="Arial" w:cs="Arial"/>
          <w:smallCaps/>
          <w:sz w:val="22"/>
          <w:szCs w:val="22"/>
          <w:u w:val="single"/>
        </w:rPr>
        <w:t>Engagement of the Hospital’s CAB</w:t>
      </w:r>
    </w:p>
    <w:p w14:paraId="2AA8246E" w14:textId="6A7D2E0F" w:rsidR="00EA5B24" w:rsidRPr="00804FED" w:rsidRDefault="00EA5B24" w:rsidP="00804FED">
      <w:pPr>
        <w:rPr>
          <w:rFonts w:ascii="Arial" w:hAnsi="Arial" w:cs="Arial"/>
          <w:sz w:val="22"/>
          <w:szCs w:val="22"/>
        </w:rPr>
      </w:pPr>
    </w:p>
    <w:p w14:paraId="0C7F76E3" w14:textId="77777777" w:rsidR="00804FED" w:rsidRPr="00804FED" w:rsidRDefault="00804FED" w:rsidP="00804FED">
      <w:pPr>
        <w:jc w:val="both"/>
        <w:rPr>
          <w:rFonts w:ascii="Arial" w:hAnsi="Arial" w:cs="Arial"/>
          <w:sz w:val="22"/>
          <w:szCs w:val="22"/>
        </w:rPr>
      </w:pPr>
      <w:r w:rsidRPr="00804FED">
        <w:rPr>
          <w:rFonts w:ascii="Arial" w:hAnsi="Arial" w:cs="Arial"/>
          <w:sz w:val="22"/>
          <w:szCs w:val="22"/>
        </w:rPr>
        <w:t xml:space="preserve">Following completion of the above-described IMP processes and in contemplation of preparing its DoN Application for the Proposed Project, the Applicant sought to engage community members, patients, families, and staff around the Proposed Project need, design details, components and layout, and community-related benefits. The BMC CAB was the first group that the Applicant engaged in this course. </w:t>
      </w:r>
    </w:p>
    <w:p w14:paraId="110093EC" w14:textId="77777777" w:rsidR="00804FED" w:rsidRPr="00804FED" w:rsidRDefault="00804FED" w:rsidP="00804FED">
      <w:pPr>
        <w:jc w:val="both"/>
        <w:rPr>
          <w:rFonts w:ascii="Arial" w:hAnsi="Arial" w:cs="Arial"/>
          <w:sz w:val="22"/>
          <w:szCs w:val="22"/>
        </w:rPr>
      </w:pPr>
    </w:p>
    <w:p w14:paraId="5E3773B7" w14:textId="7A46F3FD" w:rsidR="00804FED" w:rsidRPr="00804FED" w:rsidRDefault="00804FED" w:rsidP="00804FED">
      <w:pPr>
        <w:jc w:val="both"/>
        <w:rPr>
          <w:rFonts w:ascii="Arial" w:hAnsi="Arial" w:cs="Arial"/>
          <w:sz w:val="22"/>
          <w:szCs w:val="22"/>
        </w:rPr>
      </w:pPr>
      <w:r w:rsidRPr="00804FED">
        <w:rPr>
          <w:rFonts w:ascii="Arial" w:hAnsi="Arial" w:cs="Arial"/>
          <w:sz w:val="22"/>
          <w:szCs w:val="22"/>
        </w:rPr>
        <w:t xml:space="preserve">The BMC CAB was established to strategically advise the Hospital on how best to use investments to catalyze change and leverage other city, state, federal and other philanthropic investments. In the context of DoN, the Hospital’s CAB provides oversight and advises on community engagement as well as the Community Health Initiative (“CHI”) processes and priorities. Specifically, the CAB, which is comprised of </w:t>
      </w:r>
      <w:r w:rsidR="00C53BFC">
        <w:rPr>
          <w:rFonts w:ascii="Arial" w:hAnsi="Arial" w:cs="Arial"/>
          <w:sz w:val="22"/>
          <w:szCs w:val="22"/>
        </w:rPr>
        <w:t>eleven (11)</w:t>
      </w:r>
      <w:r w:rsidR="00C53BFC" w:rsidRPr="00804FED">
        <w:rPr>
          <w:rFonts w:ascii="Arial" w:hAnsi="Arial" w:cs="Arial"/>
          <w:sz w:val="22"/>
          <w:szCs w:val="22"/>
        </w:rPr>
        <w:t xml:space="preserve"> </w:t>
      </w:r>
      <w:r w:rsidRPr="00804FED">
        <w:rPr>
          <w:rFonts w:ascii="Arial" w:hAnsi="Arial" w:cs="Arial"/>
          <w:sz w:val="22"/>
          <w:szCs w:val="22"/>
        </w:rPr>
        <w:t>diverse members who meet the required constituencies designated by the Department for a DoN CHI (i.e., represent local public health departments, municipalities, education, housing, social services, regional planning and transportation agencies, the private sector, community health centers, and community-based organizations), is tasked with the following general responsibilities:</w:t>
      </w:r>
    </w:p>
    <w:p w14:paraId="105F090D" w14:textId="77777777" w:rsidR="00804FED" w:rsidRPr="00804FED" w:rsidRDefault="00804FED" w:rsidP="00804FED">
      <w:pPr>
        <w:pStyle w:val="ListParagraph"/>
        <w:widowControl w:val="0"/>
        <w:numPr>
          <w:ilvl w:val="0"/>
          <w:numId w:val="21"/>
        </w:numPr>
        <w:autoSpaceDE w:val="0"/>
        <w:autoSpaceDN w:val="0"/>
        <w:contextualSpacing w:val="0"/>
        <w:jc w:val="both"/>
        <w:rPr>
          <w:rFonts w:ascii="Arial" w:hAnsi="Arial" w:cs="Arial"/>
          <w:sz w:val="22"/>
          <w:szCs w:val="22"/>
        </w:rPr>
      </w:pPr>
      <w:r w:rsidRPr="00804FED">
        <w:rPr>
          <w:rFonts w:ascii="Arial" w:hAnsi="Arial" w:cs="Arial"/>
          <w:sz w:val="22"/>
          <w:szCs w:val="22"/>
        </w:rPr>
        <w:t>Ensuring appropriate engagement with residents and community partners from targeted communities around the DoN and the related CHI;</w:t>
      </w:r>
    </w:p>
    <w:p w14:paraId="28EAFBD6" w14:textId="088C15DB" w:rsidR="00804FED" w:rsidRPr="00804FED" w:rsidRDefault="00804FED" w:rsidP="00804FED">
      <w:pPr>
        <w:pStyle w:val="ListParagraph"/>
        <w:widowControl w:val="0"/>
        <w:numPr>
          <w:ilvl w:val="0"/>
          <w:numId w:val="21"/>
        </w:numPr>
        <w:autoSpaceDE w:val="0"/>
        <w:autoSpaceDN w:val="0"/>
        <w:contextualSpacing w:val="0"/>
        <w:jc w:val="both"/>
        <w:rPr>
          <w:rFonts w:ascii="Arial" w:hAnsi="Arial" w:cs="Arial"/>
          <w:sz w:val="22"/>
          <w:szCs w:val="22"/>
        </w:rPr>
      </w:pPr>
      <w:r w:rsidRPr="00804FED">
        <w:rPr>
          <w:rFonts w:ascii="Arial" w:hAnsi="Arial" w:cs="Arial"/>
          <w:sz w:val="22"/>
          <w:szCs w:val="22"/>
        </w:rPr>
        <w:t>Determining the health priorities and strategies for CHI funding based upon the needs identified in the local CHNA processes, ensuring that all health priorities and strategies are aligned with the Department’s Health Priorities, and reporting selection of health priorities and strategies to DPH;</w:t>
      </w:r>
    </w:p>
    <w:p w14:paraId="59CBF87D" w14:textId="77777777" w:rsidR="00804FED" w:rsidRPr="00804FED" w:rsidRDefault="00804FED" w:rsidP="00804FED">
      <w:pPr>
        <w:pStyle w:val="ListParagraph"/>
        <w:widowControl w:val="0"/>
        <w:numPr>
          <w:ilvl w:val="0"/>
          <w:numId w:val="21"/>
        </w:numPr>
        <w:autoSpaceDE w:val="0"/>
        <w:autoSpaceDN w:val="0"/>
        <w:contextualSpacing w:val="0"/>
        <w:jc w:val="both"/>
        <w:rPr>
          <w:rFonts w:ascii="Arial" w:hAnsi="Arial" w:cs="Arial"/>
          <w:sz w:val="22"/>
          <w:szCs w:val="22"/>
        </w:rPr>
      </w:pPr>
      <w:r w:rsidRPr="00804FED">
        <w:rPr>
          <w:rFonts w:ascii="Arial" w:hAnsi="Arial" w:cs="Arial"/>
          <w:sz w:val="22"/>
          <w:szCs w:val="22"/>
        </w:rPr>
        <w:t>Reviewing and providing input to the Hospital on its overall community health needs agenda; and</w:t>
      </w:r>
    </w:p>
    <w:p w14:paraId="0108B2A6" w14:textId="77777777" w:rsidR="00804FED" w:rsidRPr="00804FED" w:rsidRDefault="00804FED" w:rsidP="00804FED">
      <w:pPr>
        <w:pStyle w:val="ListParagraph"/>
        <w:widowControl w:val="0"/>
        <w:numPr>
          <w:ilvl w:val="0"/>
          <w:numId w:val="21"/>
        </w:numPr>
        <w:autoSpaceDE w:val="0"/>
        <w:autoSpaceDN w:val="0"/>
        <w:contextualSpacing w:val="0"/>
        <w:jc w:val="both"/>
        <w:rPr>
          <w:rFonts w:ascii="Arial" w:hAnsi="Arial" w:cs="Arial"/>
          <w:sz w:val="22"/>
          <w:szCs w:val="22"/>
        </w:rPr>
      </w:pPr>
      <w:r w:rsidRPr="00804FED">
        <w:rPr>
          <w:rFonts w:ascii="Arial" w:hAnsi="Arial" w:cs="Arial"/>
          <w:sz w:val="22"/>
          <w:szCs w:val="22"/>
        </w:rPr>
        <w:t>Providing oversight of the evaluation of CHI-funded projects and reporting to the Department on the DoN CHI.</w:t>
      </w:r>
    </w:p>
    <w:p w14:paraId="45BA389C" w14:textId="77777777" w:rsidR="00804FED" w:rsidRPr="00804FED" w:rsidRDefault="00804FED" w:rsidP="00804FED">
      <w:pPr>
        <w:jc w:val="both"/>
        <w:rPr>
          <w:rFonts w:ascii="Arial" w:hAnsi="Arial" w:cs="Arial"/>
          <w:sz w:val="22"/>
          <w:szCs w:val="22"/>
          <w:highlight w:val="yellow"/>
        </w:rPr>
      </w:pPr>
    </w:p>
    <w:p w14:paraId="141A9C41" w14:textId="64D5211B" w:rsidR="00804FED" w:rsidRPr="006E3C97" w:rsidRDefault="00E06CAD" w:rsidP="00804FED">
      <w:pPr>
        <w:jc w:val="both"/>
        <w:rPr>
          <w:rFonts w:ascii="Arial" w:hAnsi="Arial" w:cs="Arial"/>
          <w:sz w:val="22"/>
          <w:szCs w:val="22"/>
        </w:rPr>
      </w:pPr>
      <w:r>
        <w:rPr>
          <w:rFonts w:ascii="Arial" w:hAnsi="Arial" w:cs="Arial"/>
          <w:sz w:val="22"/>
          <w:szCs w:val="22"/>
        </w:rPr>
        <w:t xml:space="preserve">The CHNA/CHIP Self-Assessment Form included at </w:t>
      </w:r>
      <w:r w:rsidR="00804FED" w:rsidRPr="00E06CAD">
        <w:rPr>
          <w:rFonts w:ascii="Arial" w:hAnsi="Arial" w:cs="Arial"/>
          <w:sz w:val="22"/>
          <w:szCs w:val="22"/>
        </w:rPr>
        <w:t>Appendix</w:t>
      </w:r>
      <w:r w:rsidRPr="00E06CAD">
        <w:rPr>
          <w:rFonts w:ascii="Arial" w:hAnsi="Arial" w:cs="Arial"/>
          <w:sz w:val="22"/>
          <w:szCs w:val="22"/>
        </w:rPr>
        <w:t xml:space="preserve"> 5B</w:t>
      </w:r>
      <w:r w:rsidR="00804FED" w:rsidRPr="00E06CAD">
        <w:rPr>
          <w:rFonts w:ascii="Arial" w:hAnsi="Arial" w:cs="Arial"/>
          <w:sz w:val="22"/>
          <w:szCs w:val="22"/>
        </w:rPr>
        <w:t xml:space="preserve"> includes </w:t>
      </w:r>
      <w:r w:rsidR="00804FED" w:rsidRPr="006E3C97">
        <w:rPr>
          <w:rFonts w:ascii="Arial" w:hAnsi="Arial" w:cs="Arial"/>
          <w:sz w:val="22"/>
          <w:szCs w:val="22"/>
        </w:rPr>
        <w:t xml:space="preserve">a full membership list of the CAB. </w:t>
      </w:r>
    </w:p>
    <w:p w14:paraId="13DADC29" w14:textId="77777777" w:rsidR="00804FED" w:rsidRPr="00B5341C" w:rsidRDefault="00804FED" w:rsidP="00804FED">
      <w:pPr>
        <w:jc w:val="both"/>
        <w:rPr>
          <w:rFonts w:ascii="Arial" w:hAnsi="Arial" w:cs="Arial"/>
          <w:sz w:val="22"/>
          <w:szCs w:val="22"/>
        </w:rPr>
      </w:pPr>
    </w:p>
    <w:p w14:paraId="59043EE7" w14:textId="7CDD1597" w:rsidR="00804FED" w:rsidRPr="00683C06" w:rsidRDefault="00804FED" w:rsidP="00804FED">
      <w:pPr>
        <w:jc w:val="both"/>
        <w:rPr>
          <w:rFonts w:ascii="Arial" w:hAnsi="Arial" w:cs="Arial"/>
          <w:sz w:val="22"/>
          <w:szCs w:val="22"/>
        </w:rPr>
      </w:pPr>
      <w:r w:rsidRPr="009D0B4B">
        <w:rPr>
          <w:rFonts w:ascii="Arial" w:hAnsi="Arial" w:cs="Arial"/>
          <w:sz w:val="22"/>
          <w:szCs w:val="22"/>
        </w:rPr>
        <w:t xml:space="preserve">Based on these responsibilities, leadership determined it was appropriate to engage the CAB with respect to Proposed Project. Accordingly, on </w:t>
      </w:r>
      <w:r w:rsidR="000F24EE" w:rsidRPr="009D0B4B">
        <w:rPr>
          <w:rFonts w:ascii="Arial" w:hAnsi="Arial" w:cs="Arial"/>
          <w:sz w:val="22"/>
          <w:szCs w:val="22"/>
        </w:rPr>
        <w:t>December 6, 2021</w:t>
      </w:r>
      <w:r w:rsidRPr="009D0B4B">
        <w:rPr>
          <w:rFonts w:ascii="Arial" w:hAnsi="Arial" w:cs="Arial"/>
          <w:sz w:val="22"/>
          <w:szCs w:val="22"/>
        </w:rPr>
        <w:t xml:space="preserve">, </w:t>
      </w:r>
      <w:r w:rsidR="000F24EE" w:rsidRPr="009D0B4B">
        <w:rPr>
          <w:rFonts w:ascii="Arial" w:hAnsi="Arial" w:cs="Arial"/>
          <w:sz w:val="22"/>
          <w:szCs w:val="22"/>
        </w:rPr>
        <w:t xml:space="preserve">Megan Sandel, </w:t>
      </w:r>
      <w:r w:rsidR="00320ED3">
        <w:rPr>
          <w:rFonts w:ascii="Arial" w:hAnsi="Arial" w:cs="Arial"/>
          <w:sz w:val="22"/>
          <w:szCs w:val="22"/>
        </w:rPr>
        <w:t>MD MPH</w:t>
      </w:r>
      <w:r w:rsidR="0098188A">
        <w:rPr>
          <w:rFonts w:ascii="Arial" w:hAnsi="Arial" w:cs="Arial"/>
          <w:sz w:val="22"/>
          <w:szCs w:val="22"/>
        </w:rPr>
        <w:t xml:space="preserve">, </w:t>
      </w:r>
      <w:r w:rsidR="0098188A" w:rsidRPr="0098188A">
        <w:rPr>
          <w:rFonts w:ascii="Arial" w:hAnsi="Arial" w:cs="Arial"/>
          <w:sz w:val="22"/>
          <w:szCs w:val="22"/>
        </w:rPr>
        <w:t>Co-Director of BMC’s GROW Clinic and Co-Chair of the Hospital’s DoN CHI CAB</w:t>
      </w:r>
      <w:r w:rsidR="000F24EE" w:rsidRPr="009D0B4B">
        <w:rPr>
          <w:rFonts w:ascii="Arial" w:hAnsi="Arial" w:cs="Arial"/>
          <w:sz w:val="22"/>
          <w:szCs w:val="22"/>
        </w:rPr>
        <w:t xml:space="preserve">, met with the CAB </w:t>
      </w:r>
      <w:r w:rsidR="0098188A">
        <w:rPr>
          <w:rFonts w:ascii="Arial" w:hAnsi="Arial" w:cs="Arial"/>
          <w:sz w:val="22"/>
          <w:szCs w:val="22"/>
        </w:rPr>
        <w:t xml:space="preserve">members </w:t>
      </w:r>
      <w:r w:rsidR="000F24EE" w:rsidRPr="009D0B4B">
        <w:rPr>
          <w:rFonts w:ascii="Arial" w:hAnsi="Arial" w:cs="Arial"/>
          <w:sz w:val="22"/>
          <w:szCs w:val="22"/>
        </w:rPr>
        <w:t xml:space="preserve">to present </w:t>
      </w:r>
      <w:r w:rsidR="009D0B4B" w:rsidRPr="009D0B4B">
        <w:rPr>
          <w:rFonts w:ascii="Arial" w:hAnsi="Arial" w:cs="Arial"/>
          <w:sz w:val="22"/>
          <w:szCs w:val="22"/>
        </w:rPr>
        <w:t>an overview of the Proposed Project</w:t>
      </w:r>
      <w:r w:rsidR="009D0B4B">
        <w:rPr>
          <w:rFonts w:ascii="Arial" w:hAnsi="Arial" w:cs="Arial"/>
          <w:sz w:val="22"/>
          <w:szCs w:val="22"/>
        </w:rPr>
        <w:t xml:space="preserve"> and related CHI processes. Follow-up correspondence also </w:t>
      </w:r>
      <w:r w:rsidR="008F6443">
        <w:rPr>
          <w:rFonts w:ascii="Arial" w:hAnsi="Arial" w:cs="Arial"/>
          <w:sz w:val="22"/>
          <w:szCs w:val="22"/>
        </w:rPr>
        <w:t xml:space="preserve">was </w:t>
      </w:r>
      <w:r w:rsidR="00683C06">
        <w:rPr>
          <w:rFonts w:ascii="Arial" w:hAnsi="Arial" w:cs="Arial"/>
          <w:sz w:val="22"/>
          <w:szCs w:val="22"/>
        </w:rPr>
        <w:t>sent</w:t>
      </w:r>
      <w:r w:rsidR="009D0B4B">
        <w:rPr>
          <w:rFonts w:ascii="Arial" w:hAnsi="Arial" w:cs="Arial"/>
          <w:sz w:val="22"/>
          <w:szCs w:val="22"/>
        </w:rPr>
        <w:t xml:space="preserve"> to CAB members between December </w:t>
      </w:r>
      <w:r w:rsidR="009D0B4B" w:rsidRPr="00683C06">
        <w:rPr>
          <w:rFonts w:ascii="Arial" w:hAnsi="Arial" w:cs="Arial"/>
          <w:sz w:val="22"/>
          <w:szCs w:val="22"/>
        </w:rPr>
        <w:t xml:space="preserve">2021 and July 2022 to provide </w:t>
      </w:r>
      <w:r w:rsidR="00683C06">
        <w:rPr>
          <w:rFonts w:ascii="Arial" w:hAnsi="Arial" w:cs="Arial"/>
          <w:sz w:val="22"/>
          <w:szCs w:val="22"/>
        </w:rPr>
        <w:t>updates on timeline</w:t>
      </w:r>
      <w:r w:rsidR="008F6443">
        <w:rPr>
          <w:rFonts w:ascii="Arial" w:hAnsi="Arial" w:cs="Arial"/>
          <w:sz w:val="22"/>
          <w:szCs w:val="22"/>
        </w:rPr>
        <w:t>. These communications also provided updates on</w:t>
      </w:r>
      <w:r w:rsidR="00683C06">
        <w:rPr>
          <w:rFonts w:ascii="Arial" w:hAnsi="Arial" w:cs="Arial"/>
          <w:sz w:val="22"/>
          <w:szCs w:val="22"/>
        </w:rPr>
        <w:t xml:space="preserve"> the Proposed Project design and need, highlighting the need to </w:t>
      </w:r>
      <w:r w:rsidR="00683C06" w:rsidRPr="00C27873">
        <w:rPr>
          <w:rFonts w:ascii="Arial" w:hAnsi="Arial" w:cs="Arial"/>
          <w:sz w:val="22"/>
          <w:szCs w:val="22"/>
        </w:rPr>
        <w:t>implement strategic space modifications</w:t>
      </w:r>
      <w:r w:rsidR="00576AD8">
        <w:rPr>
          <w:rFonts w:ascii="Arial" w:hAnsi="Arial" w:cs="Arial"/>
          <w:sz w:val="22"/>
          <w:szCs w:val="22"/>
        </w:rPr>
        <w:t xml:space="preserve"> </w:t>
      </w:r>
      <w:r w:rsidR="00576AD8">
        <w:rPr>
          <w:rFonts w:ascii="Arial" w:hAnsi="Arial" w:cs="Arial"/>
          <w:color w:val="000000" w:themeColor="text1"/>
          <w:sz w:val="22"/>
          <w:szCs w:val="22"/>
        </w:rPr>
        <w:t xml:space="preserve">to </w:t>
      </w:r>
      <w:r w:rsidR="00576AD8">
        <w:rPr>
          <w:rFonts w:ascii="Arial" w:hAnsi="Arial" w:cs="Arial"/>
          <w:sz w:val="22"/>
          <w:szCs w:val="22"/>
        </w:rPr>
        <w:t xml:space="preserve">accommodate increases in inpatient volume, positively impact ED throughput and operation, continue centralization of services and ideal adjacencies, increase patient satisfaction and health outcomes, and ensure timely access to New England’s largest safety net hospital. </w:t>
      </w:r>
      <w:r w:rsidR="00683C06" w:rsidRPr="00683C06">
        <w:rPr>
          <w:rFonts w:ascii="Arial" w:hAnsi="Arial" w:cs="Arial"/>
          <w:sz w:val="22"/>
          <w:szCs w:val="22"/>
        </w:rPr>
        <w:t>To-date, overall feedback from CAB members was positive with no concerns voiced.</w:t>
      </w:r>
    </w:p>
    <w:p w14:paraId="5F5CF713" w14:textId="77777777" w:rsidR="00804FED" w:rsidRPr="00683C06" w:rsidRDefault="00804FED" w:rsidP="00804FED">
      <w:pPr>
        <w:rPr>
          <w:rFonts w:ascii="Arial" w:hAnsi="Arial" w:cs="Arial"/>
          <w:sz w:val="22"/>
          <w:szCs w:val="22"/>
        </w:rPr>
      </w:pPr>
    </w:p>
    <w:p w14:paraId="1C1AFF32" w14:textId="77777777" w:rsidR="00EA5B24" w:rsidRPr="00683C06" w:rsidRDefault="00EA5B24" w:rsidP="00EA5B24">
      <w:pPr>
        <w:pStyle w:val="ListParagraph"/>
        <w:numPr>
          <w:ilvl w:val="0"/>
          <w:numId w:val="18"/>
        </w:numPr>
        <w:ind w:left="360"/>
        <w:rPr>
          <w:rFonts w:ascii="Arial" w:hAnsi="Arial" w:cs="Arial"/>
          <w:smallCaps/>
          <w:sz w:val="22"/>
          <w:szCs w:val="22"/>
          <w:u w:val="single"/>
        </w:rPr>
      </w:pPr>
      <w:r w:rsidRPr="00683C06">
        <w:rPr>
          <w:rFonts w:ascii="Arial" w:hAnsi="Arial" w:cs="Arial"/>
          <w:smallCaps/>
          <w:sz w:val="22"/>
          <w:szCs w:val="22"/>
          <w:u w:val="single"/>
        </w:rPr>
        <w:t>Community Meetings</w:t>
      </w:r>
    </w:p>
    <w:p w14:paraId="52BCEEA4" w14:textId="161AC39C" w:rsidR="00EA5B24" w:rsidRPr="00EA5B24" w:rsidRDefault="00EA5B24" w:rsidP="00EA5B24">
      <w:pPr>
        <w:rPr>
          <w:rFonts w:ascii="Arial" w:hAnsi="Arial" w:cs="Arial"/>
          <w:sz w:val="22"/>
          <w:szCs w:val="22"/>
          <w:u w:val="single"/>
        </w:rPr>
      </w:pPr>
    </w:p>
    <w:p w14:paraId="311CDC86" w14:textId="38D67174" w:rsidR="00EA5B24" w:rsidRPr="00EA5B24" w:rsidRDefault="00804FED" w:rsidP="00EA5B24">
      <w:pPr>
        <w:jc w:val="both"/>
        <w:rPr>
          <w:rFonts w:ascii="Arial" w:hAnsi="Arial" w:cs="Arial"/>
          <w:sz w:val="22"/>
          <w:szCs w:val="22"/>
        </w:rPr>
      </w:pPr>
      <w:r>
        <w:rPr>
          <w:rFonts w:ascii="Arial" w:hAnsi="Arial" w:cs="Arial"/>
          <w:sz w:val="22"/>
          <w:szCs w:val="22"/>
        </w:rPr>
        <w:t>T</w:t>
      </w:r>
      <w:r w:rsidR="00EA5B24" w:rsidRPr="00804FED">
        <w:rPr>
          <w:rFonts w:ascii="Arial" w:hAnsi="Arial" w:cs="Arial"/>
          <w:sz w:val="22"/>
          <w:szCs w:val="22"/>
        </w:rPr>
        <w:t>he Applicant also sought to engage patients, staff, community members, and local neighborhood</w:t>
      </w:r>
      <w:r w:rsidR="00EA5B24" w:rsidRPr="00EA5B24">
        <w:rPr>
          <w:rFonts w:ascii="Arial" w:hAnsi="Arial" w:cs="Arial"/>
          <w:sz w:val="22"/>
          <w:szCs w:val="22"/>
        </w:rPr>
        <w:t xml:space="preserve"> stakeholders around the Proposed Project. Accordingly, the Applicant hosted two community meetings – one on January 11, 2022 and the other on January 12, 2022. The meetings were publicized via flyers translated into the top </w:t>
      </w:r>
      <w:r w:rsidR="009847EF">
        <w:rPr>
          <w:rFonts w:ascii="Arial" w:hAnsi="Arial" w:cs="Arial"/>
          <w:sz w:val="22"/>
          <w:szCs w:val="22"/>
        </w:rPr>
        <w:t>three (</w:t>
      </w:r>
      <w:r w:rsidR="00EA5B24" w:rsidRPr="00EA5B24">
        <w:rPr>
          <w:rFonts w:ascii="Arial" w:hAnsi="Arial" w:cs="Arial"/>
          <w:sz w:val="22"/>
          <w:szCs w:val="22"/>
        </w:rPr>
        <w:t>3</w:t>
      </w:r>
      <w:r w:rsidR="009847EF">
        <w:rPr>
          <w:rFonts w:ascii="Arial" w:hAnsi="Arial" w:cs="Arial"/>
          <w:sz w:val="22"/>
          <w:szCs w:val="22"/>
        </w:rPr>
        <w:t>)</w:t>
      </w:r>
      <w:r w:rsidR="00EA5B24" w:rsidRPr="00EA5B24">
        <w:rPr>
          <w:rFonts w:ascii="Arial" w:hAnsi="Arial" w:cs="Arial"/>
          <w:sz w:val="22"/>
          <w:szCs w:val="22"/>
        </w:rPr>
        <w:t xml:space="preserve"> primary languages within BMC’s service area (English, Spanish, and Haitian Creole) and </w:t>
      </w:r>
      <w:r w:rsidR="009847EF">
        <w:rPr>
          <w:rFonts w:ascii="Arial" w:hAnsi="Arial" w:cs="Arial"/>
          <w:sz w:val="22"/>
          <w:szCs w:val="22"/>
        </w:rPr>
        <w:t xml:space="preserve">sent out through the Equity Partnership Network </w:t>
      </w:r>
      <w:proofErr w:type="spellStart"/>
      <w:r w:rsidR="009847EF">
        <w:rPr>
          <w:rFonts w:ascii="Arial" w:hAnsi="Arial" w:cs="Arial"/>
          <w:sz w:val="22"/>
          <w:szCs w:val="22"/>
        </w:rPr>
        <w:t>ListServe</w:t>
      </w:r>
      <w:proofErr w:type="spellEnd"/>
      <w:r w:rsidR="00EA5B24" w:rsidRPr="00EA5B24">
        <w:rPr>
          <w:rFonts w:ascii="Arial" w:hAnsi="Arial" w:cs="Arial"/>
          <w:sz w:val="22"/>
          <w:szCs w:val="22"/>
        </w:rPr>
        <w:t xml:space="preserve">, as well as through </w:t>
      </w:r>
      <w:r w:rsidR="009847EF">
        <w:rPr>
          <w:rFonts w:ascii="Arial" w:hAnsi="Arial" w:cs="Arial"/>
          <w:sz w:val="22"/>
          <w:szCs w:val="22"/>
        </w:rPr>
        <w:t xml:space="preserve">CAB member and </w:t>
      </w:r>
      <w:r w:rsidR="00EA5B24" w:rsidRPr="00EA5B24">
        <w:rPr>
          <w:rFonts w:ascii="Arial" w:hAnsi="Arial" w:cs="Arial"/>
          <w:sz w:val="22"/>
          <w:szCs w:val="22"/>
        </w:rPr>
        <w:t>staff outreach to local resident and community members.</w:t>
      </w:r>
      <w:r w:rsidR="00FB167B">
        <w:rPr>
          <w:rFonts w:ascii="ZWAdobeF" w:hAnsi="ZWAdobeF" w:cs="ZWAdobeF"/>
          <w:sz w:val="2"/>
          <w:szCs w:val="2"/>
        </w:rPr>
        <w:t>86F</w:t>
      </w:r>
      <w:r w:rsidR="00963E14">
        <w:rPr>
          <w:rStyle w:val="FootnoteReference"/>
          <w:rFonts w:ascii="Arial" w:hAnsi="Arial" w:cs="Arial"/>
          <w:sz w:val="22"/>
          <w:szCs w:val="22"/>
        </w:rPr>
        <w:footnoteReference w:id="87"/>
      </w:r>
      <w:r w:rsidR="00EA5B24" w:rsidRPr="00EA5B24">
        <w:rPr>
          <w:rFonts w:ascii="Arial" w:hAnsi="Arial" w:cs="Arial"/>
          <w:sz w:val="22"/>
          <w:szCs w:val="22"/>
        </w:rPr>
        <w:t xml:space="preserve"> Moreover, the meetings were held over Zoom at different times of the day – one in the afternoon and one in the evening after normal business hours – to accommodate different schedules and promote increased participation.</w:t>
      </w:r>
      <w:r w:rsidR="00FB167B">
        <w:rPr>
          <w:rFonts w:ascii="ZWAdobeF" w:hAnsi="ZWAdobeF" w:cs="ZWAdobeF"/>
          <w:sz w:val="2"/>
          <w:szCs w:val="2"/>
        </w:rPr>
        <w:t>87F</w:t>
      </w:r>
      <w:r w:rsidR="00EA5B24" w:rsidRPr="00EA5B24">
        <w:rPr>
          <w:rStyle w:val="FootnoteReference"/>
          <w:rFonts w:ascii="Arial" w:hAnsi="Arial" w:cs="Arial"/>
          <w:sz w:val="22"/>
          <w:szCs w:val="22"/>
        </w:rPr>
        <w:footnoteReference w:id="88"/>
      </w:r>
    </w:p>
    <w:p w14:paraId="3B44D81F" w14:textId="77777777" w:rsidR="00EA5B24" w:rsidRPr="00EA5B24" w:rsidRDefault="00EA5B24" w:rsidP="00EA5B24">
      <w:pPr>
        <w:jc w:val="both"/>
        <w:rPr>
          <w:rFonts w:ascii="Arial" w:hAnsi="Arial" w:cs="Arial"/>
          <w:sz w:val="22"/>
          <w:szCs w:val="22"/>
        </w:rPr>
      </w:pPr>
    </w:p>
    <w:p w14:paraId="10BB9D88" w14:textId="1B6D4DFE" w:rsidR="00D864F2" w:rsidRPr="00EA5B24" w:rsidRDefault="00EA5B24" w:rsidP="00EA5B24">
      <w:pPr>
        <w:jc w:val="both"/>
        <w:rPr>
          <w:rFonts w:ascii="Arial" w:hAnsi="Arial" w:cs="Arial"/>
          <w:color w:val="000000" w:themeColor="text1"/>
          <w:sz w:val="22"/>
          <w:szCs w:val="22"/>
        </w:rPr>
      </w:pPr>
      <w:r w:rsidRPr="00EA5B24">
        <w:rPr>
          <w:rFonts w:ascii="Arial" w:hAnsi="Arial" w:cs="Arial"/>
          <w:sz w:val="22"/>
          <w:szCs w:val="22"/>
        </w:rPr>
        <w:t xml:space="preserve">Largely attributable to the surge in COVID-19 cases due to the Omicron variant, meeting attendance was lower than anticipated. Nonetheless, a total of </w:t>
      </w:r>
      <w:r w:rsidR="003139BB">
        <w:rPr>
          <w:rFonts w:ascii="Arial" w:hAnsi="Arial" w:cs="Arial"/>
          <w:sz w:val="22"/>
          <w:szCs w:val="22"/>
        </w:rPr>
        <w:t>six</w:t>
      </w:r>
      <w:r w:rsidR="001E154F">
        <w:rPr>
          <w:rFonts w:ascii="Arial" w:hAnsi="Arial" w:cs="Arial"/>
          <w:sz w:val="22"/>
          <w:szCs w:val="22"/>
        </w:rPr>
        <w:t xml:space="preserve"> (</w:t>
      </w:r>
      <w:r w:rsidR="003139BB" w:rsidRPr="00CF312D">
        <w:rPr>
          <w:rFonts w:ascii="Arial" w:hAnsi="Arial" w:cs="Arial"/>
          <w:sz w:val="22"/>
          <w:szCs w:val="22"/>
        </w:rPr>
        <w:t>6</w:t>
      </w:r>
      <w:r w:rsidR="001E154F" w:rsidRPr="00CF312D">
        <w:rPr>
          <w:rFonts w:ascii="Arial" w:hAnsi="Arial" w:cs="Arial"/>
          <w:sz w:val="22"/>
          <w:szCs w:val="22"/>
        </w:rPr>
        <w:t>)</w:t>
      </w:r>
      <w:r w:rsidRPr="00EA5B24">
        <w:rPr>
          <w:rFonts w:ascii="Arial" w:hAnsi="Arial" w:cs="Arial"/>
          <w:sz w:val="22"/>
          <w:szCs w:val="22"/>
        </w:rPr>
        <w:t xml:space="preserve"> community members from various backgrounds representing several of BMC’s service area cities and towns, as well as numerous staff members, participated in the meetings and provided the Applicant</w:t>
      </w:r>
      <w:r w:rsidR="00271386">
        <w:rPr>
          <w:rFonts w:ascii="Arial" w:hAnsi="Arial" w:cs="Arial"/>
          <w:sz w:val="22"/>
          <w:szCs w:val="22"/>
        </w:rPr>
        <w:t xml:space="preserve"> with</w:t>
      </w:r>
      <w:r w:rsidRPr="00EA5B24">
        <w:rPr>
          <w:rFonts w:ascii="Arial" w:hAnsi="Arial" w:cs="Arial"/>
          <w:sz w:val="22"/>
          <w:szCs w:val="22"/>
        </w:rPr>
        <w:t xml:space="preserve"> the opportunity to engage and solicit feedback regarding the Proposed Project from local stakeholders. During the meetings, Bob Biggio, BMC’s Senior Vice President of Facilities and Support Services, and Brendan Whelan, BMC’s Senior Director of Design and Construction, provided an overview of the DoN process as well as a description of the Proposed Project design and need, and Megan Sandel, </w:t>
      </w:r>
      <w:r w:rsidR="00F21322">
        <w:rPr>
          <w:rFonts w:ascii="Arial" w:hAnsi="Arial" w:cs="Arial"/>
          <w:sz w:val="22"/>
          <w:szCs w:val="22"/>
        </w:rPr>
        <w:t>MD MPH</w:t>
      </w:r>
      <w:r w:rsidR="0098188A">
        <w:rPr>
          <w:rFonts w:ascii="Arial" w:hAnsi="Arial" w:cs="Arial"/>
          <w:sz w:val="22"/>
          <w:szCs w:val="22"/>
        </w:rPr>
        <w:t xml:space="preserve">, </w:t>
      </w:r>
      <w:r w:rsidR="0098188A" w:rsidRPr="0098188A">
        <w:rPr>
          <w:rFonts w:ascii="Arial" w:hAnsi="Arial" w:cs="Arial"/>
          <w:sz w:val="22"/>
          <w:szCs w:val="22"/>
        </w:rPr>
        <w:t>Co-Director of BMC’s GROW Clinic and Co-Chair of the Hospital’s DoN CHI CAB</w:t>
      </w:r>
      <w:r w:rsidRPr="00EA5B24">
        <w:rPr>
          <w:rFonts w:ascii="Arial" w:hAnsi="Arial" w:cs="Arial"/>
          <w:sz w:val="22"/>
          <w:szCs w:val="22"/>
        </w:rPr>
        <w:t xml:space="preserve">, and Petrina Martin Cherry, </w:t>
      </w:r>
      <w:r w:rsidR="00501C6A">
        <w:rPr>
          <w:rFonts w:ascii="Arial" w:hAnsi="Arial" w:cs="Arial"/>
          <w:sz w:val="22"/>
          <w:szCs w:val="22"/>
        </w:rPr>
        <w:t xml:space="preserve">MBA, </w:t>
      </w:r>
      <w:r w:rsidRPr="00EA5B24">
        <w:rPr>
          <w:rFonts w:ascii="Arial" w:hAnsi="Arial" w:cs="Arial"/>
          <w:sz w:val="22"/>
          <w:szCs w:val="22"/>
        </w:rPr>
        <w:t xml:space="preserve">BMC’s Vice President of Community Engagement and External Affairs, presented on the community </w:t>
      </w:r>
      <w:r w:rsidRPr="00EA5B24">
        <w:rPr>
          <w:rFonts w:ascii="Arial" w:hAnsi="Arial" w:cs="Arial"/>
          <w:color w:val="000000" w:themeColor="text1"/>
          <w:sz w:val="22"/>
          <w:szCs w:val="22"/>
        </w:rPr>
        <w:t>benefit associated with the Proposed Project. The community members and local stakeholders that attended the meetings expressed support for the Proposed Project, in particular noting the need for additional inpatient capacity and emphasizing the importance of the associated community benefits. Overall, feedback was very positive and attendees encouraged the Hospital to move forward with its Proposed Project.</w:t>
      </w:r>
    </w:p>
    <w:p w14:paraId="78E62B6D" w14:textId="77777777" w:rsidR="00EA5B24" w:rsidRPr="00EA5B24" w:rsidRDefault="00EA5B24" w:rsidP="00EA5B24">
      <w:pPr>
        <w:rPr>
          <w:rFonts w:ascii="Arial" w:hAnsi="Arial" w:cs="Arial"/>
          <w:sz w:val="22"/>
          <w:szCs w:val="22"/>
          <w:u w:val="single"/>
        </w:rPr>
      </w:pPr>
    </w:p>
    <w:p w14:paraId="628103E2" w14:textId="5D979AD0" w:rsidR="00EA5B24" w:rsidRPr="00EA5B24" w:rsidRDefault="00EA5B24" w:rsidP="00EA5B24">
      <w:pPr>
        <w:pStyle w:val="ListParagraph"/>
        <w:numPr>
          <w:ilvl w:val="0"/>
          <w:numId w:val="18"/>
        </w:numPr>
        <w:ind w:left="360"/>
        <w:rPr>
          <w:rFonts w:ascii="Arial" w:hAnsi="Arial" w:cs="Arial"/>
          <w:smallCaps/>
          <w:sz w:val="22"/>
          <w:szCs w:val="22"/>
          <w:u w:val="single"/>
        </w:rPr>
      </w:pPr>
      <w:r w:rsidRPr="00EA5B24">
        <w:rPr>
          <w:rFonts w:ascii="Arial" w:hAnsi="Arial" w:cs="Arial"/>
          <w:smallCaps/>
          <w:sz w:val="22"/>
          <w:szCs w:val="22"/>
          <w:u w:val="single"/>
        </w:rPr>
        <w:t>Engagement of the Hospital’s PFAC</w:t>
      </w:r>
    </w:p>
    <w:p w14:paraId="1E5D1703" w14:textId="77777777" w:rsidR="00EA5B24" w:rsidRPr="00EA5B24" w:rsidRDefault="00EA5B24" w:rsidP="00EA5B24">
      <w:pPr>
        <w:pStyle w:val="ListParagraph"/>
        <w:ind w:left="360"/>
        <w:rPr>
          <w:rFonts w:ascii="Arial" w:hAnsi="Arial" w:cs="Arial"/>
          <w:sz w:val="22"/>
          <w:szCs w:val="22"/>
        </w:rPr>
      </w:pPr>
    </w:p>
    <w:p w14:paraId="33500C7C" w14:textId="6EAA45F3" w:rsidR="00EA5B24" w:rsidRPr="00EA5B24" w:rsidRDefault="00EA5B24" w:rsidP="00EA5B24">
      <w:pPr>
        <w:jc w:val="both"/>
        <w:rPr>
          <w:rFonts w:ascii="Arial" w:hAnsi="Arial" w:cs="Arial"/>
          <w:sz w:val="22"/>
          <w:szCs w:val="22"/>
        </w:rPr>
      </w:pPr>
      <w:r w:rsidRPr="00EA5B24">
        <w:rPr>
          <w:rFonts w:ascii="Arial" w:hAnsi="Arial" w:cs="Arial"/>
          <w:sz w:val="22"/>
          <w:szCs w:val="22"/>
        </w:rPr>
        <w:t xml:space="preserve">Finally, the Applicant engaged the Hospital’s PFAC around the Proposed Project. Sponsored by the Hospital’s Patient Experience Department, BMC’s PFAC aims to improve operations across BMC Health System and achieve its mission for patient-centered and equitable care. In compliance with DPH’s Hospital Licensure Regulations, BMC’s PFAC is co-chaired by a staff member and a patient/family member, and at least 50% of PFAC members are current or former patients and/or family members and are representative of the community served by BMC. Specifically, BMC’s PFAC is currently comprised of </w:t>
      </w:r>
      <w:r w:rsidR="004C2ED8">
        <w:rPr>
          <w:rFonts w:ascii="Arial" w:hAnsi="Arial" w:cs="Arial"/>
          <w:sz w:val="22"/>
          <w:szCs w:val="22"/>
        </w:rPr>
        <w:t>six (</w:t>
      </w:r>
      <w:r w:rsidRPr="00EA5B24">
        <w:rPr>
          <w:rFonts w:ascii="Arial" w:hAnsi="Arial" w:cs="Arial"/>
          <w:sz w:val="22"/>
          <w:szCs w:val="22"/>
        </w:rPr>
        <w:t>6</w:t>
      </w:r>
      <w:r w:rsidR="004C2ED8">
        <w:rPr>
          <w:rFonts w:ascii="Arial" w:hAnsi="Arial" w:cs="Arial"/>
          <w:sz w:val="22"/>
          <w:szCs w:val="22"/>
        </w:rPr>
        <w:t>)</w:t>
      </w:r>
      <w:r w:rsidRPr="00EA5B24">
        <w:rPr>
          <w:rFonts w:ascii="Arial" w:hAnsi="Arial" w:cs="Arial"/>
          <w:sz w:val="22"/>
          <w:szCs w:val="22"/>
        </w:rPr>
        <w:t xml:space="preserve"> staff members and </w:t>
      </w:r>
      <w:r w:rsidR="004C2ED8">
        <w:rPr>
          <w:rFonts w:ascii="Arial" w:hAnsi="Arial" w:cs="Arial"/>
          <w:sz w:val="22"/>
          <w:szCs w:val="22"/>
        </w:rPr>
        <w:t>six (</w:t>
      </w:r>
      <w:r w:rsidRPr="00EA5B24">
        <w:rPr>
          <w:rFonts w:ascii="Arial" w:hAnsi="Arial" w:cs="Arial"/>
          <w:sz w:val="22"/>
          <w:szCs w:val="22"/>
        </w:rPr>
        <w:t>6</w:t>
      </w:r>
      <w:r w:rsidR="004C2ED8">
        <w:rPr>
          <w:rFonts w:ascii="Arial" w:hAnsi="Arial" w:cs="Arial"/>
          <w:sz w:val="22"/>
          <w:szCs w:val="22"/>
        </w:rPr>
        <w:t>)</w:t>
      </w:r>
      <w:r w:rsidRPr="00EA5B24">
        <w:rPr>
          <w:rFonts w:ascii="Arial" w:hAnsi="Arial" w:cs="Arial"/>
          <w:sz w:val="22"/>
          <w:szCs w:val="22"/>
        </w:rPr>
        <w:t xml:space="preserve"> patient/family members. Moreover, BMC’s PFAC leaders are committed to continuously recruiting new members with the goal of creating diverse and collaborative partnerships with BMC patients, families, and caregivers that are representative of BMC’s diverse patient population, as well as with staff from different areas across BMC.</w:t>
      </w:r>
    </w:p>
    <w:p w14:paraId="20FBB1B6" w14:textId="77777777" w:rsidR="00EA5B24" w:rsidRPr="00EA5B24" w:rsidRDefault="00EA5B24" w:rsidP="00EA5B24">
      <w:pPr>
        <w:jc w:val="both"/>
        <w:rPr>
          <w:rFonts w:ascii="Arial" w:hAnsi="Arial" w:cs="Arial"/>
          <w:sz w:val="22"/>
          <w:szCs w:val="22"/>
        </w:rPr>
      </w:pPr>
    </w:p>
    <w:p w14:paraId="72DD6396" w14:textId="77777777" w:rsidR="00EA5B24" w:rsidRPr="00EA5B24" w:rsidRDefault="00EA5B24" w:rsidP="00EA5B24">
      <w:pPr>
        <w:spacing w:after="120"/>
        <w:jc w:val="both"/>
        <w:rPr>
          <w:rFonts w:ascii="Arial" w:hAnsi="Arial" w:cs="Arial"/>
          <w:sz w:val="22"/>
          <w:szCs w:val="22"/>
        </w:rPr>
      </w:pPr>
      <w:r w:rsidRPr="00EA5B24">
        <w:rPr>
          <w:rFonts w:ascii="Arial" w:hAnsi="Arial" w:cs="Arial"/>
          <w:sz w:val="22"/>
          <w:szCs w:val="22"/>
        </w:rPr>
        <w:t xml:space="preserve">In terms of function, BMC’s PFAC is dedicated to creating open and trusting partnerships and empowering its members to help achieve meaningful change and create accountability for BMC Health System. As a strong and transparent group, the PFAC follows and strives to fulfill BMC’s three cornerstone values: </w:t>
      </w:r>
    </w:p>
    <w:p w14:paraId="324274D8" w14:textId="77777777" w:rsidR="00EA5B24" w:rsidRPr="00EA5B24" w:rsidRDefault="00EA5B24" w:rsidP="00EA5B24">
      <w:pPr>
        <w:pStyle w:val="ListParagraph"/>
        <w:widowControl w:val="0"/>
        <w:numPr>
          <w:ilvl w:val="0"/>
          <w:numId w:val="20"/>
        </w:numPr>
        <w:autoSpaceDE w:val="0"/>
        <w:autoSpaceDN w:val="0"/>
        <w:contextualSpacing w:val="0"/>
        <w:jc w:val="both"/>
        <w:rPr>
          <w:rFonts w:ascii="Arial" w:hAnsi="Arial" w:cs="Arial"/>
          <w:sz w:val="22"/>
          <w:szCs w:val="22"/>
        </w:rPr>
      </w:pPr>
      <w:r w:rsidRPr="00EA5B24">
        <w:rPr>
          <w:rFonts w:ascii="Arial" w:hAnsi="Arial" w:cs="Arial"/>
          <w:sz w:val="22"/>
          <w:szCs w:val="22"/>
        </w:rPr>
        <w:t>Build on Respect, Powered by Empathy – BMC’s PFAC cares about the Hospital’s patients, employees, and community, and is committed to doing right by them each and every day.</w:t>
      </w:r>
    </w:p>
    <w:p w14:paraId="3A8945FB" w14:textId="77777777" w:rsidR="00EA5B24" w:rsidRPr="00EA5B24" w:rsidRDefault="00EA5B24" w:rsidP="00EA5B24">
      <w:pPr>
        <w:pStyle w:val="ListParagraph"/>
        <w:widowControl w:val="0"/>
        <w:numPr>
          <w:ilvl w:val="0"/>
          <w:numId w:val="20"/>
        </w:numPr>
        <w:autoSpaceDE w:val="0"/>
        <w:autoSpaceDN w:val="0"/>
        <w:contextualSpacing w:val="0"/>
        <w:jc w:val="both"/>
        <w:rPr>
          <w:rFonts w:ascii="Arial" w:hAnsi="Arial" w:cs="Arial"/>
          <w:sz w:val="22"/>
          <w:szCs w:val="22"/>
        </w:rPr>
      </w:pPr>
      <w:r w:rsidRPr="00EA5B24">
        <w:rPr>
          <w:rFonts w:ascii="Arial" w:hAnsi="Arial" w:cs="Arial"/>
          <w:sz w:val="22"/>
          <w:szCs w:val="22"/>
        </w:rPr>
        <w:t>Move Mountains – Impossibility doesn’t live here. Instead, BMC’s PFAC is motivated by what can be and it will move mountains to make it happen.</w:t>
      </w:r>
    </w:p>
    <w:p w14:paraId="3F4E7AE9" w14:textId="77777777" w:rsidR="00EA5B24" w:rsidRPr="00EA5B24" w:rsidRDefault="00EA5B24" w:rsidP="00EA5B24">
      <w:pPr>
        <w:pStyle w:val="ListParagraph"/>
        <w:widowControl w:val="0"/>
        <w:numPr>
          <w:ilvl w:val="0"/>
          <w:numId w:val="20"/>
        </w:numPr>
        <w:autoSpaceDE w:val="0"/>
        <w:autoSpaceDN w:val="0"/>
        <w:spacing w:after="120"/>
        <w:contextualSpacing w:val="0"/>
        <w:jc w:val="both"/>
        <w:rPr>
          <w:rFonts w:ascii="Arial" w:hAnsi="Arial" w:cs="Arial"/>
          <w:sz w:val="22"/>
          <w:szCs w:val="22"/>
        </w:rPr>
      </w:pPr>
      <w:r w:rsidRPr="00EA5B24">
        <w:rPr>
          <w:rFonts w:ascii="Arial" w:hAnsi="Arial" w:cs="Arial"/>
          <w:sz w:val="22"/>
          <w:szCs w:val="22"/>
        </w:rPr>
        <w:t>Many Faces Create Our Greatness – Diversity is BMC’s heart and soul and when it comes to inclusion, BMC’s PFAC is all in.</w:t>
      </w:r>
    </w:p>
    <w:p w14:paraId="40CE167C" w14:textId="77777777" w:rsidR="00EA5B24" w:rsidRPr="00EA5B24" w:rsidRDefault="00EA5B24" w:rsidP="00EA5B24">
      <w:pPr>
        <w:jc w:val="both"/>
        <w:rPr>
          <w:rFonts w:ascii="Arial" w:hAnsi="Arial" w:cs="Arial"/>
          <w:sz w:val="22"/>
          <w:szCs w:val="22"/>
        </w:rPr>
      </w:pPr>
      <w:r w:rsidRPr="00EA5B24">
        <w:rPr>
          <w:rFonts w:ascii="Arial" w:hAnsi="Arial" w:cs="Arial"/>
          <w:sz w:val="22"/>
          <w:szCs w:val="22"/>
        </w:rPr>
        <w:t>In furtherance of its values and goals, the PFAC has regular meetings to discuss wide-ranging work across BMC. Input from the PFAC provides Hospital leadership with a better understanding of patient, family and staff experiences, perspectives, and insight, and PFAC recommendations inform decision-making and the development of programs, services, and strategic projects at the Hospital.</w:t>
      </w:r>
    </w:p>
    <w:p w14:paraId="3D4164B8" w14:textId="77777777" w:rsidR="00EA5B24" w:rsidRPr="00EA5B24" w:rsidRDefault="00EA5B24" w:rsidP="00EA5B24">
      <w:pPr>
        <w:jc w:val="both"/>
        <w:rPr>
          <w:rFonts w:ascii="Arial" w:hAnsi="Arial" w:cs="Arial"/>
          <w:sz w:val="22"/>
          <w:szCs w:val="22"/>
        </w:rPr>
      </w:pPr>
    </w:p>
    <w:p w14:paraId="10C1C03D" w14:textId="15CB544C" w:rsidR="00EA5B24" w:rsidRPr="00EA5B24" w:rsidRDefault="00EA5B24" w:rsidP="00EA5B24">
      <w:pPr>
        <w:jc w:val="both"/>
        <w:rPr>
          <w:rFonts w:ascii="Arial" w:hAnsi="Arial" w:cs="Arial"/>
          <w:sz w:val="22"/>
          <w:szCs w:val="22"/>
        </w:rPr>
      </w:pPr>
      <w:bookmarkStart w:id="15" w:name="_Hlk95129800"/>
      <w:r w:rsidRPr="00EA5B24">
        <w:rPr>
          <w:rFonts w:ascii="Arial" w:hAnsi="Arial" w:cs="Arial"/>
          <w:sz w:val="22"/>
          <w:szCs w:val="22"/>
        </w:rPr>
        <w:t>On January 20, 2022, Brendan Whelan, Senior Director of Design and Construction, met with the PFAC to present an overview of the Proposed Project.</w:t>
      </w:r>
      <w:r w:rsidR="00FB167B">
        <w:rPr>
          <w:rFonts w:ascii="ZWAdobeF" w:hAnsi="ZWAdobeF" w:cs="ZWAdobeF"/>
          <w:sz w:val="2"/>
          <w:szCs w:val="2"/>
        </w:rPr>
        <w:t>88F</w:t>
      </w:r>
      <w:r w:rsidRPr="00EA5B24">
        <w:rPr>
          <w:rStyle w:val="FootnoteReference"/>
          <w:rFonts w:ascii="Arial" w:hAnsi="Arial" w:cs="Arial"/>
          <w:sz w:val="22"/>
          <w:szCs w:val="22"/>
        </w:rPr>
        <w:footnoteReference w:id="89"/>
      </w:r>
      <w:r w:rsidRPr="00EA5B24">
        <w:rPr>
          <w:rFonts w:ascii="Arial" w:hAnsi="Arial" w:cs="Arial"/>
          <w:sz w:val="22"/>
          <w:szCs w:val="22"/>
        </w:rPr>
        <w:t xml:space="preserve"> The presentation included a summary of the DoN process as well as a description of the Proposed Project components, the patient panel need the Proposed Project is designed to address, and the associated public health value and community benefit. In total, 13 individuals attended the meeting, including 9 PFAC members (3 staff members and 6 patient/family members) and 4 guests. Following the presentation, PFAC members were given the opportunity to comment on the Proposed Project and ask questions of clinical and administrative leaders in attendance. There was a substantial dialogue amongst attendees and PFAC members asked important questions about the Proposed Project. Specifically, there was discussion around the Proposed Project design and how it will meet patient needs. In its support of the Proposed Project, PFAC members asked questions around accessibility, modernization, patient infrastructure needs, and signage. Hospital representatives expressed their belief that the Proposed Project will allow BMC to continue its dedicated approach to careful resource planning and measured campus development to sensitively maintain the integrity of the urban fabric and the surrounding neighborhoods while continuing to meet the growing patient panel need and the Hospital’s mission to offer high quality patient care and sustain ever changing health</w:t>
      </w:r>
      <w:r w:rsidR="00CF77C3">
        <w:rPr>
          <w:rFonts w:ascii="Arial" w:hAnsi="Arial" w:cs="Arial"/>
          <w:sz w:val="22"/>
          <w:szCs w:val="22"/>
        </w:rPr>
        <w:t xml:space="preserve"> </w:t>
      </w:r>
      <w:r w:rsidRPr="00EA5B24">
        <w:rPr>
          <w:rFonts w:ascii="Arial" w:hAnsi="Arial" w:cs="Arial"/>
          <w:sz w:val="22"/>
          <w:szCs w:val="22"/>
        </w:rPr>
        <w:t>care trends. Leadership also offered to keep PFAC members updated on the status of the Proposed Project.</w:t>
      </w:r>
      <w:bookmarkEnd w:id="15"/>
    </w:p>
    <w:p w14:paraId="2F6443BC" w14:textId="77777777" w:rsidR="00EA5B24" w:rsidRPr="00EA5B24" w:rsidRDefault="00EA5B24" w:rsidP="00EA5B24">
      <w:pPr>
        <w:rPr>
          <w:rFonts w:ascii="Arial" w:hAnsi="Arial" w:cs="Arial"/>
          <w:sz w:val="22"/>
          <w:szCs w:val="22"/>
        </w:rPr>
      </w:pPr>
    </w:p>
    <w:p w14:paraId="7419272C" w14:textId="77777777" w:rsidR="002F24B7" w:rsidRPr="00B5341C" w:rsidRDefault="002F24B7" w:rsidP="009A7F8F">
      <w:pPr>
        <w:ind w:left="1080" w:hanging="1080"/>
        <w:jc w:val="both"/>
        <w:rPr>
          <w:rFonts w:ascii="Arial" w:hAnsi="Arial" w:cs="Arial"/>
          <w:sz w:val="22"/>
          <w:szCs w:val="22"/>
        </w:rPr>
      </w:pPr>
      <w:r w:rsidRPr="00B5341C">
        <w:rPr>
          <w:rStyle w:val="normaltextrun"/>
          <w:rFonts w:ascii="Arial" w:hAnsi="Arial" w:cs="Arial"/>
          <w:b/>
          <w:bCs/>
          <w:sz w:val="22"/>
          <w:szCs w:val="22"/>
        </w:rPr>
        <w:t>F1.e.ii  </w:t>
      </w:r>
      <w:r w:rsidRPr="00B5341C">
        <w:rPr>
          <w:rStyle w:val="tabchar"/>
          <w:rFonts w:ascii="Arial" w:hAnsi="Arial" w:cs="Arial"/>
          <w:sz w:val="22"/>
          <w:szCs w:val="22"/>
        </w:rPr>
        <w:tab/>
      </w:r>
      <w:r w:rsidRPr="00B5341C">
        <w:rPr>
          <w:rStyle w:val="normaltextrun"/>
          <w:rFonts w:ascii="Arial" w:hAnsi="Arial" w:cs="Arial"/>
          <w:b/>
          <w:bCs/>
          <w:sz w:val="22"/>
          <w:szCs w:val="22"/>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r w:rsidRPr="00B5341C">
        <w:rPr>
          <w:rStyle w:val="eop"/>
          <w:rFonts w:ascii="Arial" w:hAnsi="Arial" w:cs="Arial"/>
          <w:sz w:val="22"/>
          <w:szCs w:val="22"/>
        </w:rPr>
        <w:t> </w:t>
      </w:r>
    </w:p>
    <w:p w14:paraId="126139AD" w14:textId="02A199DF" w:rsidR="00B5341C" w:rsidRPr="00B5341C" w:rsidRDefault="00B5341C" w:rsidP="00E24D42">
      <w:pPr>
        <w:pStyle w:val="NormalWeb"/>
        <w:spacing w:before="0" w:beforeAutospacing="0" w:after="0" w:afterAutospacing="0"/>
        <w:jc w:val="both"/>
        <w:rPr>
          <w:rFonts w:ascii="Arial" w:hAnsi="Arial" w:cs="Arial"/>
          <w:sz w:val="22"/>
          <w:szCs w:val="22"/>
          <w:u w:val="single"/>
        </w:rPr>
      </w:pPr>
    </w:p>
    <w:p w14:paraId="11055CD5" w14:textId="41542109" w:rsidR="00B5341C" w:rsidRPr="00B5341C" w:rsidRDefault="00B5341C" w:rsidP="00B5341C">
      <w:pPr>
        <w:pStyle w:val="NormalWeb"/>
        <w:spacing w:before="0" w:beforeAutospacing="0" w:after="0" w:afterAutospacing="0"/>
        <w:jc w:val="both"/>
        <w:rPr>
          <w:rFonts w:ascii="Arial" w:hAnsi="Arial" w:cs="Arial"/>
          <w:sz w:val="22"/>
          <w:szCs w:val="22"/>
        </w:rPr>
      </w:pPr>
      <w:r w:rsidRPr="00B5341C">
        <w:rPr>
          <w:rFonts w:ascii="Arial" w:hAnsi="Arial" w:cs="Arial"/>
          <w:sz w:val="22"/>
          <w:szCs w:val="22"/>
        </w:rPr>
        <w:t>To ensure sound community engagement throughout the development of the Proposed Project, the Applicant and BMC took the actions detailed in Factor F1.e.i. For materials related to these activities, please refer to Appendix</w:t>
      </w:r>
      <w:r w:rsidR="007D6B1F">
        <w:rPr>
          <w:rFonts w:ascii="Arial" w:hAnsi="Arial" w:cs="Arial"/>
          <w:sz w:val="22"/>
          <w:szCs w:val="22"/>
        </w:rPr>
        <w:t xml:space="preserve"> </w:t>
      </w:r>
      <w:r w:rsidR="006A4D51">
        <w:rPr>
          <w:rFonts w:ascii="Arial" w:hAnsi="Arial" w:cs="Arial"/>
          <w:sz w:val="22"/>
          <w:szCs w:val="22"/>
        </w:rPr>
        <w:t>3B</w:t>
      </w:r>
      <w:r w:rsidRPr="00B5341C">
        <w:rPr>
          <w:rFonts w:ascii="Arial" w:hAnsi="Arial" w:cs="Arial"/>
          <w:sz w:val="22"/>
          <w:szCs w:val="22"/>
        </w:rPr>
        <w:t xml:space="preserve">, which includes copies of meeting agendas, minutes, presentations, etc. In addition, for transparency and to ensure appropriate awareness within the community regarding the Proposed Project, the Applicant published a legal notice associated with the Proposed Project in the </w:t>
      </w:r>
      <w:r w:rsidRPr="00B5341C">
        <w:rPr>
          <w:rFonts w:ascii="Arial" w:hAnsi="Arial" w:cs="Arial"/>
          <w:i/>
          <w:iCs/>
          <w:sz w:val="22"/>
          <w:szCs w:val="22"/>
        </w:rPr>
        <w:t>Boston Herald</w:t>
      </w:r>
      <w:r w:rsidRPr="00B5341C">
        <w:rPr>
          <w:rFonts w:ascii="Arial" w:hAnsi="Arial" w:cs="Arial"/>
          <w:sz w:val="22"/>
          <w:szCs w:val="22"/>
        </w:rPr>
        <w:t xml:space="preserve"> on July 26, 2022 and also posted a copy of such legal notice prominently on the BMC website. Please refer to </w:t>
      </w:r>
      <w:r w:rsidRPr="00EF2009">
        <w:rPr>
          <w:rFonts w:ascii="Arial" w:hAnsi="Arial" w:cs="Arial"/>
          <w:sz w:val="22"/>
          <w:szCs w:val="22"/>
        </w:rPr>
        <w:t xml:space="preserve">Appendix </w:t>
      </w:r>
      <w:r w:rsidR="00EF2009" w:rsidRPr="00EF2009">
        <w:rPr>
          <w:rFonts w:ascii="Arial" w:hAnsi="Arial" w:cs="Arial"/>
          <w:sz w:val="22"/>
          <w:szCs w:val="22"/>
        </w:rPr>
        <w:t>8</w:t>
      </w:r>
      <w:r w:rsidRPr="00EF2009">
        <w:rPr>
          <w:rFonts w:ascii="Arial" w:hAnsi="Arial" w:cs="Arial"/>
          <w:sz w:val="22"/>
          <w:szCs w:val="22"/>
        </w:rPr>
        <w:t xml:space="preserve"> for copies </w:t>
      </w:r>
      <w:r w:rsidRPr="00B5341C">
        <w:rPr>
          <w:rFonts w:ascii="Arial" w:hAnsi="Arial" w:cs="Arial"/>
          <w:sz w:val="22"/>
          <w:szCs w:val="22"/>
        </w:rPr>
        <w:t xml:space="preserve">of the legal notices. </w:t>
      </w:r>
    </w:p>
    <w:p w14:paraId="0D5C3C8D" w14:textId="77777777" w:rsidR="009A7F8F" w:rsidRDefault="009A7F8F" w:rsidP="00E24D42">
      <w:pPr>
        <w:pStyle w:val="NormalWeb"/>
        <w:spacing w:before="0" w:beforeAutospacing="0" w:after="0" w:afterAutospacing="0"/>
        <w:jc w:val="both"/>
        <w:rPr>
          <w:rFonts w:ascii="Arial" w:hAnsi="Arial" w:cs="Arial"/>
          <w:sz w:val="22"/>
          <w:szCs w:val="22"/>
        </w:rPr>
      </w:pPr>
    </w:p>
    <w:p w14:paraId="61D68FC8" w14:textId="77777777" w:rsidR="009A7F8F" w:rsidRDefault="009A7F8F" w:rsidP="009A7F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Factor 2: Health Priorities </w:t>
      </w:r>
      <w:r>
        <w:rPr>
          <w:rStyle w:val="eop"/>
          <w:rFonts w:ascii="Arial" w:hAnsi="Arial" w:cs="Arial"/>
          <w:sz w:val="22"/>
          <w:szCs w:val="22"/>
        </w:rPr>
        <w:t> </w:t>
      </w:r>
    </w:p>
    <w:p w14:paraId="7F56DE38" w14:textId="77777777" w:rsidR="009A7F8F" w:rsidRDefault="009A7F8F" w:rsidP="009A7F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2980022" w14:textId="299F8C62" w:rsidR="009A7F8F"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 xml:space="preserve">F2.a </w:t>
      </w:r>
      <w:r>
        <w:rPr>
          <w:rStyle w:val="tabchar"/>
          <w:rFonts w:ascii="Calibri" w:hAnsi="Calibri" w:cs="Calibri"/>
          <w:sz w:val="22"/>
          <w:szCs w:val="22"/>
        </w:rPr>
        <w:tab/>
      </w:r>
      <w:r>
        <w:rPr>
          <w:rStyle w:val="normaltextrun"/>
          <w:rFonts w:ascii="Arial" w:hAnsi="Arial" w:cs="Arial"/>
          <w:b/>
          <w:bCs/>
          <w:sz w:val="22"/>
          <w:szCs w:val="22"/>
          <w:u w:val="single"/>
        </w:rPr>
        <w:t>Cost Containment</w:t>
      </w:r>
      <w:r>
        <w:rPr>
          <w:rStyle w:val="normaltextrun"/>
          <w:rFonts w:ascii="Arial" w:hAnsi="Arial" w:cs="Arial"/>
          <w:b/>
          <w:bCs/>
          <w:sz w:val="22"/>
          <w:szCs w:val="22"/>
        </w:rPr>
        <w:t>: </w:t>
      </w:r>
      <w:r>
        <w:rPr>
          <w:rStyle w:val="eop"/>
          <w:rFonts w:ascii="Arial" w:hAnsi="Arial" w:cs="Arial"/>
          <w:sz w:val="22"/>
          <w:szCs w:val="22"/>
        </w:rPr>
        <w:t> </w:t>
      </w:r>
    </w:p>
    <w:p w14:paraId="5C49E082" w14:textId="77777777" w:rsidR="009A7F8F" w:rsidRDefault="009A7F8F" w:rsidP="009A7F8F">
      <w:pPr>
        <w:pStyle w:val="paragraph"/>
        <w:spacing w:before="0" w:beforeAutospacing="0" w:after="0" w:afterAutospacing="0"/>
        <w:ind w:left="1080"/>
        <w:jc w:val="both"/>
        <w:textAlignment w:val="baseline"/>
        <w:rPr>
          <w:rStyle w:val="eop"/>
          <w:rFonts w:ascii="Arial" w:hAnsi="Arial" w:cs="Arial"/>
          <w:sz w:val="22"/>
          <w:szCs w:val="22"/>
        </w:rPr>
      </w:pPr>
      <w:r>
        <w:rPr>
          <w:rStyle w:val="normaltextrun"/>
          <w:rFonts w:ascii="Arial" w:hAnsi="Arial" w:cs="Arial"/>
          <w:b/>
          <w:bCs/>
          <w:sz w:val="22"/>
          <w:szCs w:val="22"/>
        </w:rPr>
        <w:t>Using objective data, please describe, for each new or expanded service, how the Proposed Project will meaningfully contribute to the Commonwealth's goals for cost containment. </w:t>
      </w:r>
      <w:r>
        <w:rPr>
          <w:rStyle w:val="eop"/>
          <w:rFonts w:ascii="Arial" w:hAnsi="Arial" w:cs="Arial"/>
          <w:sz w:val="22"/>
          <w:szCs w:val="22"/>
        </w:rPr>
        <w:t> </w:t>
      </w:r>
    </w:p>
    <w:p w14:paraId="194B9E1F" w14:textId="77777777" w:rsidR="00044462" w:rsidRDefault="00044462" w:rsidP="009A7F8F">
      <w:pPr>
        <w:pStyle w:val="paragraph"/>
        <w:spacing w:before="0" w:beforeAutospacing="0" w:after="0" w:afterAutospacing="0"/>
        <w:ind w:left="1080"/>
        <w:jc w:val="both"/>
        <w:textAlignment w:val="baseline"/>
        <w:rPr>
          <w:rStyle w:val="eop"/>
          <w:rFonts w:ascii="Arial" w:hAnsi="Arial" w:cs="Arial"/>
          <w:sz w:val="22"/>
          <w:szCs w:val="22"/>
        </w:rPr>
      </w:pPr>
    </w:p>
    <w:p w14:paraId="032440FE" w14:textId="346DA354" w:rsidR="00044462" w:rsidRPr="00044462" w:rsidRDefault="00044462" w:rsidP="00357F71">
      <w:pPr>
        <w:jc w:val="both"/>
        <w:rPr>
          <w:rFonts w:ascii="Arial" w:eastAsiaTheme="minorHAnsi" w:hAnsi="Arial" w:cs="Arial"/>
          <w:sz w:val="22"/>
          <w:szCs w:val="22"/>
        </w:rPr>
      </w:pPr>
      <w:r w:rsidRPr="00044462">
        <w:rPr>
          <w:rFonts w:ascii="Arial" w:eastAsiaTheme="minorHAnsi" w:hAnsi="Arial" w:cs="Arial"/>
          <w:sz w:val="22"/>
          <w:szCs w:val="22"/>
        </w:rPr>
        <w:t xml:space="preserve">The Commonwealth’s goals for cost containment are focused on creating high-quality, low-cost care alternatives. To this end, the Health Policy Commission </w:t>
      </w:r>
      <w:r w:rsidR="00D923DA">
        <w:rPr>
          <w:rFonts w:ascii="Arial" w:eastAsiaTheme="minorHAnsi" w:hAnsi="Arial" w:cs="Arial"/>
          <w:sz w:val="22"/>
          <w:szCs w:val="22"/>
        </w:rPr>
        <w:t xml:space="preserve">(“HPC”) </w:t>
      </w:r>
      <w:r w:rsidRPr="00044462">
        <w:rPr>
          <w:rFonts w:ascii="Arial" w:eastAsiaTheme="minorHAnsi" w:hAnsi="Arial" w:cs="Arial"/>
          <w:sz w:val="22"/>
          <w:szCs w:val="22"/>
        </w:rPr>
        <w:t>seeks to control health care spending while improving access and quality of care. The provision of timely care in an appropriate setting has proven to reduce mortality and morbidity for chronic conditions, which translates to better patient clinical outcomes and reduced costs.</w:t>
      </w:r>
      <w:r w:rsidR="00FB167B">
        <w:rPr>
          <w:rFonts w:ascii="ZWAdobeF" w:eastAsiaTheme="minorHAnsi" w:hAnsi="ZWAdobeF" w:cs="ZWAdobeF"/>
          <w:sz w:val="2"/>
          <w:szCs w:val="2"/>
        </w:rPr>
        <w:t>89F</w:t>
      </w:r>
      <w:r w:rsidRPr="00044462">
        <w:rPr>
          <w:rFonts w:ascii="Arial" w:eastAsiaTheme="minorHAnsi" w:hAnsi="Arial" w:cs="Arial"/>
          <w:sz w:val="22"/>
          <w:szCs w:val="22"/>
          <w:vertAlign w:val="superscript"/>
        </w:rPr>
        <w:footnoteReference w:id="90"/>
      </w:r>
    </w:p>
    <w:p w14:paraId="20DE0360" w14:textId="77777777" w:rsidR="00044462" w:rsidRPr="00044462" w:rsidRDefault="00044462" w:rsidP="00357F71">
      <w:pPr>
        <w:jc w:val="both"/>
        <w:rPr>
          <w:rFonts w:ascii="Arial" w:eastAsiaTheme="minorHAnsi" w:hAnsi="Arial" w:cs="Arial"/>
          <w:sz w:val="22"/>
          <w:szCs w:val="22"/>
        </w:rPr>
      </w:pPr>
    </w:p>
    <w:p w14:paraId="00344F13" w14:textId="474454E0" w:rsidR="00044462" w:rsidRPr="00044462" w:rsidRDefault="00044462" w:rsidP="00357F71">
      <w:pPr>
        <w:jc w:val="both"/>
        <w:rPr>
          <w:rFonts w:ascii="Arial" w:eastAsiaTheme="minorHAnsi" w:hAnsi="Arial" w:cs="Arial"/>
          <w:sz w:val="22"/>
          <w:szCs w:val="22"/>
        </w:rPr>
      </w:pPr>
      <w:r w:rsidRPr="00044462">
        <w:rPr>
          <w:rFonts w:ascii="Arial" w:eastAsiaTheme="minorHAnsi" w:hAnsi="Arial" w:cs="Arial"/>
          <w:sz w:val="22"/>
          <w:szCs w:val="22"/>
        </w:rPr>
        <w:t xml:space="preserve">The Proposed Project will meet the noted goals in multiple ways. First, the creation of inpatient </w:t>
      </w:r>
      <w:r w:rsidR="00501C6A">
        <w:rPr>
          <w:rFonts w:ascii="Arial" w:eastAsiaTheme="minorHAnsi" w:hAnsi="Arial" w:cs="Arial"/>
          <w:sz w:val="22"/>
          <w:szCs w:val="22"/>
        </w:rPr>
        <w:t xml:space="preserve">bed </w:t>
      </w:r>
      <w:r w:rsidRPr="00044462">
        <w:rPr>
          <w:rFonts w:ascii="Arial" w:eastAsiaTheme="minorHAnsi" w:hAnsi="Arial" w:cs="Arial"/>
          <w:sz w:val="22"/>
          <w:szCs w:val="22"/>
        </w:rPr>
        <w:t xml:space="preserve">and surgical capacity will allow for more timely access to care, providing treatment in an appropriate setting. Through the implementation of inpatient </w:t>
      </w:r>
      <w:r w:rsidR="00501C6A">
        <w:rPr>
          <w:rFonts w:ascii="Arial" w:eastAsiaTheme="minorHAnsi" w:hAnsi="Arial" w:cs="Arial"/>
          <w:sz w:val="22"/>
          <w:szCs w:val="22"/>
        </w:rPr>
        <w:t xml:space="preserve">bed </w:t>
      </w:r>
      <w:r w:rsidRPr="00044462">
        <w:rPr>
          <w:rFonts w:ascii="Arial" w:eastAsiaTheme="minorHAnsi" w:hAnsi="Arial" w:cs="Arial"/>
          <w:sz w:val="22"/>
          <w:szCs w:val="22"/>
        </w:rPr>
        <w:t xml:space="preserve">and surgical resources, ED boarding will be reduced, and operational efficiencies will be created throughout the </w:t>
      </w:r>
      <w:r w:rsidR="00501C6A">
        <w:rPr>
          <w:rFonts w:ascii="Arial" w:eastAsiaTheme="minorHAnsi" w:hAnsi="Arial" w:cs="Arial"/>
          <w:sz w:val="22"/>
          <w:szCs w:val="22"/>
        </w:rPr>
        <w:t>Hospital</w:t>
      </w:r>
      <w:r w:rsidRPr="00044462">
        <w:rPr>
          <w:rFonts w:ascii="Arial" w:eastAsiaTheme="minorHAnsi" w:hAnsi="Arial" w:cs="Arial"/>
          <w:sz w:val="22"/>
          <w:szCs w:val="22"/>
        </w:rPr>
        <w:t xml:space="preserve">. A reduction of ED boarding leads to a lower length of stay, a reduction in the number of patients who leave without being seen or against medical advice, and overall, more timely definitive treatment, positively impacting clinical quality measures, while reducing costs. Second, the Proposed Project will allow for better patient flow, reducing constraints on overly taxed resources, such as ED providers and staff, and ensuring patients receive care in the appropriate therapeutic setting. Providing timely care in the proper setting reduces costs and increases patient and provider satisfaction, ultimately leading to improved quality metrics and reductions in the overall cost of care. Third, and finally, the infrastructure renovations and upgrades that are part of the Proposed Project are an efficient way to maintain the </w:t>
      </w:r>
      <w:r w:rsidR="00501C6A">
        <w:rPr>
          <w:rFonts w:ascii="Arial" w:eastAsiaTheme="minorHAnsi" w:hAnsi="Arial" w:cs="Arial"/>
          <w:sz w:val="22"/>
          <w:szCs w:val="22"/>
        </w:rPr>
        <w:t>H</w:t>
      </w:r>
      <w:r w:rsidRPr="00044462">
        <w:rPr>
          <w:rFonts w:ascii="Arial" w:eastAsiaTheme="minorHAnsi" w:hAnsi="Arial" w:cs="Arial"/>
          <w:sz w:val="22"/>
          <w:szCs w:val="22"/>
        </w:rPr>
        <w:t>ospital’s physical plant and ensure that care may be provided in a cost</w:t>
      </w:r>
      <w:r>
        <w:rPr>
          <w:rFonts w:ascii="Arial" w:eastAsiaTheme="minorHAnsi" w:hAnsi="Arial" w:cs="Arial"/>
          <w:sz w:val="22"/>
          <w:szCs w:val="22"/>
        </w:rPr>
        <w:t>-</w:t>
      </w:r>
      <w:r w:rsidRPr="00044462">
        <w:rPr>
          <w:rFonts w:ascii="Arial" w:eastAsiaTheme="minorHAnsi" w:hAnsi="Arial" w:cs="Arial"/>
          <w:sz w:val="22"/>
          <w:szCs w:val="22"/>
        </w:rPr>
        <w:t xml:space="preserve">effective setting. For these reasons, the Applicant asserts that the Proposed Project meets Massachusetts’ goals for cost containment. </w:t>
      </w:r>
    </w:p>
    <w:p w14:paraId="1936B1FF" w14:textId="3C68E53B" w:rsidR="009A7F8F" w:rsidRDefault="009A7F8F" w:rsidP="009A7F8F">
      <w:pPr>
        <w:pStyle w:val="paragraph"/>
        <w:spacing w:before="0" w:beforeAutospacing="0" w:after="0" w:afterAutospacing="0"/>
        <w:jc w:val="both"/>
        <w:textAlignment w:val="baseline"/>
        <w:rPr>
          <w:rFonts w:ascii="Segoe UI" w:hAnsi="Segoe UI" w:cs="Segoe UI"/>
          <w:sz w:val="18"/>
          <w:szCs w:val="18"/>
        </w:rPr>
      </w:pPr>
    </w:p>
    <w:p w14:paraId="62574426" w14:textId="52613065" w:rsidR="009A7F8F"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 xml:space="preserve">F2.b </w:t>
      </w:r>
      <w:r>
        <w:rPr>
          <w:rStyle w:val="tabchar"/>
          <w:rFonts w:ascii="Calibri" w:hAnsi="Calibri" w:cs="Calibri"/>
          <w:sz w:val="22"/>
          <w:szCs w:val="22"/>
        </w:rPr>
        <w:tab/>
      </w:r>
      <w:r>
        <w:rPr>
          <w:rStyle w:val="normaltextrun"/>
          <w:rFonts w:ascii="Arial" w:hAnsi="Arial" w:cs="Arial"/>
          <w:b/>
          <w:bCs/>
          <w:sz w:val="22"/>
          <w:szCs w:val="22"/>
          <w:u w:val="single"/>
        </w:rPr>
        <w:t>Public Health Outcomes</w:t>
      </w:r>
      <w:r>
        <w:rPr>
          <w:rStyle w:val="normaltextrun"/>
          <w:rFonts w:ascii="Arial" w:hAnsi="Arial" w:cs="Arial"/>
          <w:b/>
          <w:bCs/>
          <w:sz w:val="22"/>
          <w:szCs w:val="22"/>
        </w:rPr>
        <w:t>: </w:t>
      </w:r>
      <w:r>
        <w:rPr>
          <w:rStyle w:val="eop"/>
          <w:rFonts w:ascii="Arial" w:hAnsi="Arial" w:cs="Arial"/>
          <w:sz w:val="22"/>
          <w:szCs w:val="22"/>
        </w:rPr>
        <w:t> </w:t>
      </w:r>
    </w:p>
    <w:p w14:paraId="48DE4EB4" w14:textId="16743D6F" w:rsidR="009A7F8F"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Describe, as relevant, for each new or expanded service, how the Proposed Project will improve public health outcomes</w:t>
      </w:r>
      <w:r w:rsidR="00501C6A">
        <w:rPr>
          <w:rStyle w:val="normaltextrun"/>
          <w:rFonts w:ascii="Arial" w:hAnsi="Arial" w:cs="Arial"/>
          <w:b/>
          <w:bCs/>
          <w:sz w:val="22"/>
          <w:szCs w:val="22"/>
        </w:rPr>
        <w:t>.</w:t>
      </w:r>
      <w:r>
        <w:rPr>
          <w:rStyle w:val="normaltextrun"/>
          <w:rFonts w:ascii="Arial" w:hAnsi="Arial" w:cs="Arial"/>
          <w:b/>
          <w:bCs/>
          <w:sz w:val="22"/>
          <w:szCs w:val="22"/>
        </w:rPr>
        <w:t> </w:t>
      </w:r>
      <w:r>
        <w:rPr>
          <w:rStyle w:val="eop"/>
          <w:rFonts w:ascii="Arial" w:hAnsi="Arial" w:cs="Arial"/>
          <w:sz w:val="22"/>
          <w:szCs w:val="22"/>
        </w:rPr>
        <w:t> </w:t>
      </w:r>
    </w:p>
    <w:p w14:paraId="137E349F" w14:textId="123E1E1E" w:rsidR="009A7F8F"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30446DE4" w14:textId="4E9B54E6" w:rsidR="0062458E" w:rsidRDefault="00D276EC" w:rsidP="009A7F8F">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As more fully detailed throughout Factor 1, the Proposed Project will improve public health outcomes by</w:t>
      </w:r>
      <w:r w:rsidRPr="003D03A9">
        <w:rPr>
          <w:rFonts w:ascii="Arial" w:hAnsi="Arial" w:cs="Arial"/>
          <w:sz w:val="22"/>
          <w:szCs w:val="22"/>
        </w:rPr>
        <w:t xml:space="preserve"> </w:t>
      </w:r>
      <w:r>
        <w:rPr>
          <w:rFonts w:ascii="Arial" w:hAnsi="Arial" w:cs="Arial"/>
          <w:sz w:val="22"/>
          <w:szCs w:val="22"/>
        </w:rPr>
        <w:t>improving</w:t>
      </w:r>
      <w:r w:rsidRPr="003D03A9">
        <w:rPr>
          <w:rFonts w:ascii="Arial" w:hAnsi="Arial" w:cs="Arial"/>
          <w:sz w:val="22"/>
          <w:szCs w:val="22"/>
        </w:rPr>
        <w:t xml:space="preserve"> </w:t>
      </w:r>
      <w:r>
        <w:rPr>
          <w:rFonts w:ascii="Arial" w:hAnsi="Arial" w:cs="Arial"/>
          <w:sz w:val="22"/>
          <w:szCs w:val="22"/>
        </w:rPr>
        <w:t>access to</w:t>
      </w:r>
      <w:r w:rsidRPr="003D03A9">
        <w:rPr>
          <w:rFonts w:ascii="Arial" w:hAnsi="Arial" w:cs="Arial"/>
          <w:sz w:val="22"/>
          <w:szCs w:val="22"/>
        </w:rPr>
        <w:t xml:space="preserve"> inpatient services at BMC. Specifically, the Applicant anticipates that additional inpatient capacity will </w:t>
      </w:r>
      <w:r>
        <w:rPr>
          <w:rFonts w:ascii="Arial" w:hAnsi="Arial" w:cs="Arial"/>
          <w:sz w:val="22"/>
          <w:szCs w:val="22"/>
        </w:rPr>
        <w:t xml:space="preserve">expand capacity </w:t>
      </w:r>
      <w:r w:rsidRPr="003D03A9">
        <w:rPr>
          <w:rFonts w:ascii="Arial" w:hAnsi="Arial" w:cs="Arial"/>
          <w:sz w:val="22"/>
          <w:szCs w:val="22"/>
        </w:rPr>
        <w:t>to medical/surgical, ICU, and inpatient surgical services, and that such improved access will in turn positively impact patient flow and Hospital throughput across BMC and particularly in its ORs and ED.</w:t>
      </w:r>
      <w:r>
        <w:rPr>
          <w:rFonts w:ascii="Arial" w:hAnsi="Arial" w:cs="Arial"/>
          <w:sz w:val="22"/>
          <w:szCs w:val="22"/>
        </w:rPr>
        <w:t xml:space="preserve"> This </w:t>
      </w:r>
      <w:r w:rsidR="0062458E">
        <w:rPr>
          <w:rFonts w:ascii="Arial" w:hAnsi="Arial" w:cs="Arial"/>
          <w:sz w:val="22"/>
          <w:szCs w:val="22"/>
        </w:rPr>
        <w:t xml:space="preserve">will help to ensure </w:t>
      </w:r>
      <w:r w:rsidR="0062458E" w:rsidRPr="00EA5B24">
        <w:rPr>
          <w:rFonts w:ascii="Arial" w:hAnsi="Arial" w:cs="Arial"/>
          <w:sz w:val="22"/>
          <w:szCs w:val="22"/>
        </w:rPr>
        <w:t xml:space="preserve">the Hospital’s sustainability as an academic </w:t>
      </w:r>
      <w:r w:rsidR="0062458E">
        <w:rPr>
          <w:rFonts w:ascii="Arial" w:hAnsi="Arial" w:cs="Arial"/>
          <w:sz w:val="22"/>
          <w:szCs w:val="22"/>
        </w:rPr>
        <w:t>safety net hospital</w:t>
      </w:r>
      <w:r w:rsidR="0062458E" w:rsidRPr="00EA5B24">
        <w:rPr>
          <w:rFonts w:ascii="Arial" w:hAnsi="Arial" w:cs="Arial"/>
          <w:sz w:val="22"/>
          <w:szCs w:val="22"/>
        </w:rPr>
        <w:t xml:space="preserve"> providing exceptional care to its patient panel</w:t>
      </w:r>
      <w:r w:rsidR="0062458E">
        <w:rPr>
          <w:rStyle w:val="eop"/>
          <w:rFonts w:ascii="Arial" w:hAnsi="Arial" w:cs="Arial"/>
          <w:sz w:val="22"/>
          <w:szCs w:val="22"/>
        </w:rPr>
        <w:t xml:space="preserve"> and </w:t>
      </w:r>
      <w:r>
        <w:rPr>
          <w:rFonts w:ascii="Arial" w:hAnsi="Arial" w:cs="Arial"/>
          <w:sz w:val="22"/>
          <w:szCs w:val="22"/>
        </w:rPr>
        <w:t>will lead to improved public health outcomes for Greater Boston’s vulnerable and underserved populations</w:t>
      </w:r>
      <w:r w:rsidR="0062458E">
        <w:rPr>
          <w:rFonts w:ascii="Arial" w:hAnsi="Arial" w:cs="Arial"/>
          <w:sz w:val="22"/>
          <w:szCs w:val="22"/>
        </w:rPr>
        <w:t xml:space="preserve"> into the future</w:t>
      </w:r>
      <w:r>
        <w:rPr>
          <w:rFonts w:ascii="Arial" w:hAnsi="Arial" w:cs="Arial"/>
          <w:sz w:val="22"/>
          <w:szCs w:val="22"/>
        </w:rPr>
        <w:t>.</w:t>
      </w:r>
      <w:r w:rsidR="0062458E">
        <w:rPr>
          <w:rFonts w:ascii="Arial" w:hAnsi="Arial" w:cs="Arial"/>
          <w:sz w:val="22"/>
          <w:szCs w:val="22"/>
        </w:rPr>
        <w:t xml:space="preserve"> </w:t>
      </w:r>
    </w:p>
    <w:p w14:paraId="1988636B" w14:textId="77777777" w:rsidR="00D276EC" w:rsidRDefault="00D276EC" w:rsidP="009A7F8F">
      <w:pPr>
        <w:pStyle w:val="paragraph"/>
        <w:spacing w:before="0" w:beforeAutospacing="0" w:after="0" w:afterAutospacing="0"/>
        <w:jc w:val="both"/>
        <w:textAlignment w:val="baseline"/>
        <w:rPr>
          <w:rFonts w:ascii="Segoe UI" w:hAnsi="Segoe UI" w:cs="Segoe UI"/>
          <w:sz w:val="18"/>
          <w:szCs w:val="18"/>
        </w:rPr>
      </w:pPr>
    </w:p>
    <w:p w14:paraId="6BB57A72" w14:textId="758A7658" w:rsidR="009A7F8F" w:rsidRDefault="009A7F8F" w:rsidP="009A7F8F">
      <w:pPr>
        <w:pStyle w:val="paragraph"/>
        <w:spacing w:before="0" w:beforeAutospacing="0" w:after="0" w:afterAutospacing="0"/>
        <w:ind w:left="1080" w:hanging="1080"/>
        <w:jc w:val="both"/>
        <w:textAlignment w:val="baseline"/>
        <w:rPr>
          <w:rFonts w:ascii="Segoe UI" w:hAnsi="Segoe UI" w:cs="Segoe UI"/>
          <w:sz w:val="18"/>
          <w:szCs w:val="18"/>
        </w:rPr>
      </w:pPr>
      <w:r>
        <w:rPr>
          <w:rStyle w:val="normaltextrun"/>
          <w:rFonts w:ascii="Arial" w:hAnsi="Arial" w:cs="Arial"/>
          <w:b/>
          <w:bCs/>
          <w:sz w:val="22"/>
          <w:szCs w:val="22"/>
        </w:rPr>
        <w:t xml:space="preserve">F2.c </w:t>
      </w:r>
      <w:r>
        <w:rPr>
          <w:rStyle w:val="tabchar"/>
          <w:rFonts w:ascii="Calibri" w:hAnsi="Calibri" w:cs="Calibri"/>
          <w:sz w:val="22"/>
          <w:szCs w:val="22"/>
        </w:rPr>
        <w:tab/>
      </w:r>
      <w:r>
        <w:rPr>
          <w:rStyle w:val="normaltextrun"/>
          <w:rFonts w:ascii="Arial" w:hAnsi="Arial" w:cs="Arial"/>
          <w:b/>
          <w:bCs/>
          <w:sz w:val="22"/>
          <w:szCs w:val="22"/>
          <w:u w:val="single"/>
        </w:rPr>
        <w:t>Delivery System Transformation</w:t>
      </w:r>
      <w:r>
        <w:rPr>
          <w:rStyle w:val="normaltextrun"/>
          <w:rFonts w:ascii="Arial" w:hAnsi="Arial" w:cs="Arial"/>
          <w:b/>
          <w:bCs/>
          <w:sz w:val="22"/>
          <w:szCs w:val="22"/>
        </w:rPr>
        <w:t>: </w:t>
      </w:r>
      <w:r>
        <w:rPr>
          <w:rStyle w:val="eop"/>
          <w:rFonts w:ascii="Arial" w:hAnsi="Arial" w:cs="Arial"/>
          <w:sz w:val="22"/>
          <w:szCs w:val="22"/>
        </w:rPr>
        <w:t> </w:t>
      </w:r>
    </w:p>
    <w:p w14:paraId="2C275A95" w14:textId="77777777" w:rsidR="009A7F8F"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r>
        <w:rPr>
          <w:rStyle w:val="eop"/>
          <w:rFonts w:ascii="Arial" w:hAnsi="Arial" w:cs="Arial"/>
          <w:sz w:val="22"/>
          <w:szCs w:val="22"/>
        </w:rPr>
        <w:t> </w:t>
      </w:r>
    </w:p>
    <w:p w14:paraId="7CCAC0A5" w14:textId="666B0C16" w:rsidR="009A7F8F" w:rsidRPr="003E37C6"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67AFC2E0" w14:textId="06380B52" w:rsidR="002A44B1" w:rsidRPr="003E37C6" w:rsidRDefault="00AE44A4" w:rsidP="00426732">
      <w:pPr>
        <w:pStyle w:val="paragraph"/>
        <w:spacing w:before="0" w:beforeAutospacing="0" w:after="0" w:afterAutospacing="0"/>
        <w:jc w:val="both"/>
        <w:textAlignment w:val="baseline"/>
        <w:rPr>
          <w:rStyle w:val="eop"/>
          <w:rFonts w:ascii="Arial" w:hAnsi="Arial" w:cs="Arial"/>
          <w:sz w:val="22"/>
          <w:szCs w:val="22"/>
        </w:rPr>
      </w:pPr>
      <w:r w:rsidRPr="003E37C6">
        <w:rPr>
          <w:rStyle w:val="eop"/>
          <w:rFonts w:ascii="Arial" w:hAnsi="Arial" w:cs="Arial"/>
          <w:sz w:val="22"/>
          <w:szCs w:val="22"/>
        </w:rPr>
        <w:t>BMC</w:t>
      </w:r>
      <w:r w:rsidR="002A44B1" w:rsidRPr="003E37C6">
        <w:rPr>
          <w:rStyle w:val="eop"/>
          <w:rFonts w:ascii="Arial" w:hAnsi="Arial" w:cs="Arial"/>
          <w:sz w:val="22"/>
          <w:szCs w:val="22"/>
        </w:rPr>
        <w:t>’s goal is not only to treat disease, but also to understand and address its root causes. Research has shown that health is shaped by more than just quality health care</w:t>
      </w:r>
      <w:r w:rsidR="00A07CA0" w:rsidRPr="003E37C6">
        <w:rPr>
          <w:rStyle w:val="eop"/>
          <w:rFonts w:ascii="Arial" w:hAnsi="Arial" w:cs="Arial"/>
          <w:sz w:val="22"/>
          <w:szCs w:val="22"/>
        </w:rPr>
        <w:t>; s</w:t>
      </w:r>
      <w:r w:rsidR="002A44B1" w:rsidRPr="003E37C6">
        <w:rPr>
          <w:rStyle w:val="eop"/>
          <w:rFonts w:ascii="Arial" w:hAnsi="Arial" w:cs="Arial"/>
          <w:sz w:val="22"/>
          <w:szCs w:val="22"/>
        </w:rPr>
        <w:t xml:space="preserve">ocial and environmental factors known collectively as </w:t>
      </w:r>
      <w:proofErr w:type="spellStart"/>
      <w:r w:rsidR="002A44B1" w:rsidRPr="003E37C6">
        <w:rPr>
          <w:rStyle w:val="eop"/>
          <w:rFonts w:ascii="Arial" w:hAnsi="Arial" w:cs="Arial"/>
          <w:sz w:val="22"/>
          <w:szCs w:val="22"/>
        </w:rPr>
        <w:t>SDoHs</w:t>
      </w:r>
      <w:proofErr w:type="spellEnd"/>
      <w:r w:rsidR="002A44B1" w:rsidRPr="003E37C6">
        <w:rPr>
          <w:rStyle w:val="eop"/>
          <w:rFonts w:ascii="Arial" w:hAnsi="Arial" w:cs="Arial"/>
          <w:sz w:val="22"/>
          <w:szCs w:val="22"/>
        </w:rPr>
        <w:t xml:space="preserve"> </w:t>
      </w:r>
      <w:r w:rsidR="008C46BB" w:rsidRPr="003E37C6">
        <w:rPr>
          <w:rStyle w:val="eop"/>
          <w:rFonts w:ascii="Arial" w:hAnsi="Arial" w:cs="Arial"/>
          <w:sz w:val="22"/>
          <w:szCs w:val="22"/>
        </w:rPr>
        <w:t xml:space="preserve">(e.g., lack of employment, income, stable housing or food, limited education, etc.) </w:t>
      </w:r>
      <w:r w:rsidR="00A07CA0" w:rsidRPr="003E37C6">
        <w:rPr>
          <w:rStyle w:val="eop"/>
          <w:rFonts w:ascii="Arial" w:hAnsi="Arial" w:cs="Arial"/>
          <w:sz w:val="22"/>
          <w:szCs w:val="22"/>
        </w:rPr>
        <w:t xml:space="preserve">also have an </w:t>
      </w:r>
      <w:r w:rsidR="002A44B1" w:rsidRPr="003E37C6">
        <w:rPr>
          <w:rStyle w:val="eop"/>
          <w:rFonts w:ascii="Arial" w:hAnsi="Arial" w:cs="Arial"/>
          <w:sz w:val="22"/>
          <w:szCs w:val="22"/>
        </w:rPr>
        <w:t>imp</w:t>
      </w:r>
      <w:r w:rsidR="00A07CA0" w:rsidRPr="003E37C6">
        <w:rPr>
          <w:rStyle w:val="eop"/>
          <w:rFonts w:ascii="Arial" w:hAnsi="Arial" w:cs="Arial"/>
          <w:sz w:val="22"/>
          <w:szCs w:val="22"/>
        </w:rPr>
        <w:t>act, contributing to chronic disease and mental health issues and creating barriers to accessing health care. In recognition of this</w:t>
      </w:r>
      <w:r w:rsidR="002A44B1" w:rsidRPr="003E37C6">
        <w:rPr>
          <w:rStyle w:val="eop"/>
          <w:rFonts w:ascii="Arial" w:hAnsi="Arial" w:cs="Arial"/>
          <w:sz w:val="22"/>
          <w:szCs w:val="22"/>
        </w:rPr>
        <w:t>,</w:t>
      </w:r>
      <w:r w:rsidRPr="003E37C6">
        <w:rPr>
          <w:rStyle w:val="eop"/>
          <w:rFonts w:ascii="Arial" w:hAnsi="Arial" w:cs="Arial"/>
          <w:sz w:val="22"/>
          <w:szCs w:val="22"/>
        </w:rPr>
        <w:t xml:space="preserve"> </w:t>
      </w:r>
      <w:r w:rsidR="00A07CA0" w:rsidRPr="003E37C6">
        <w:rPr>
          <w:rStyle w:val="eop"/>
          <w:rFonts w:ascii="Arial" w:hAnsi="Arial" w:cs="Arial"/>
          <w:sz w:val="22"/>
          <w:szCs w:val="22"/>
        </w:rPr>
        <w:t xml:space="preserve">BMC </w:t>
      </w:r>
      <w:r w:rsidRPr="003E37C6">
        <w:rPr>
          <w:rStyle w:val="eop"/>
          <w:rFonts w:ascii="Arial" w:hAnsi="Arial" w:cs="Arial"/>
          <w:sz w:val="22"/>
          <w:szCs w:val="22"/>
        </w:rPr>
        <w:t xml:space="preserve">has numerous </w:t>
      </w:r>
      <w:r w:rsidR="00F84152" w:rsidRPr="003E37C6">
        <w:rPr>
          <w:rStyle w:val="eop"/>
          <w:rFonts w:ascii="Arial" w:hAnsi="Arial" w:cs="Arial"/>
          <w:sz w:val="22"/>
          <w:szCs w:val="22"/>
        </w:rPr>
        <w:t xml:space="preserve">processes and </w:t>
      </w:r>
      <w:r w:rsidRPr="003E37C6">
        <w:rPr>
          <w:rStyle w:val="eop"/>
          <w:rFonts w:ascii="Arial" w:hAnsi="Arial" w:cs="Arial"/>
          <w:sz w:val="22"/>
          <w:szCs w:val="22"/>
        </w:rPr>
        <w:t xml:space="preserve">programs in place to ensure linkages to </w:t>
      </w:r>
      <w:r w:rsidR="009D56FE" w:rsidRPr="003E37C6">
        <w:rPr>
          <w:rStyle w:val="eop"/>
          <w:rFonts w:ascii="Arial" w:hAnsi="Arial" w:cs="Arial"/>
          <w:sz w:val="22"/>
          <w:szCs w:val="22"/>
        </w:rPr>
        <w:t xml:space="preserve">services beyond the traditional medical model to remediate gaps created by </w:t>
      </w:r>
      <w:proofErr w:type="spellStart"/>
      <w:r w:rsidR="009D56FE" w:rsidRPr="003E37C6">
        <w:rPr>
          <w:rStyle w:val="eop"/>
          <w:rFonts w:ascii="Arial" w:hAnsi="Arial" w:cs="Arial"/>
          <w:sz w:val="22"/>
          <w:szCs w:val="22"/>
        </w:rPr>
        <w:t>SDoHs</w:t>
      </w:r>
      <w:proofErr w:type="spellEnd"/>
      <w:r w:rsidR="00A07CA0" w:rsidRPr="003E37C6">
        <w:rPr>
          <w:rStyle w:val="eop"/>
          <w:rFonts w:ascii="Arial" w:hAnsi="Arial" w:cs="Arial"/>
          <w:sz w:val="22"/>
          <w:szCs w:val="22"/>
        </w:rPr>
        <w:t xml:space="preserve">, </w:t>
      </w:r>
      <w:r w:rsidR="009D56FE" w:rsidRPr="003E37C6">
        <w:rPr>
          <w:rStyle w:val="eop"/>
          <w:rFonts w:ascii="Arial" w:hAnsi="Arial" w:cs="Arial"/>
          <w:sz w:val="22"/>
          <w:szCs w:val="22"/>
        </w:rPr>
        <w:t xml:space="preserve">meet the unmet basic needs of the many diverse, vulnerable </w:t>
      </w:r>
      <w:r w:rsidR="00A07CA0" w:rsidRPr="003E37C6">
        <w:rPr>
          <w:rStyle w:val="eop"/>
          <w:rFonts w:ascii="Arial" w:hAnsi="Arial" w:cs="Arial"/>
          <w:sz w:val="22"/>
          <w:szCs w:val="22"/>
        </w:rPr>
        <w:t xml:space="preserve">individuals </w:t>
      </w:r>
      <w:r w:rsidR="00256CB0" w:rsidRPr="003E37C6">
        <w:rPr>
          <w:rStyle w:val="eop"/>
          <w:rFonts w:ascii="Arial" w:hAnsi="Arial" w:cs="Arial"/>
          <w:sz w:val="22"/>
          <w:szCs w:val="22"/>
        </w:rPr>
        <w:t>it services</w:t>
      </w:r>
      <w:r w:rsidR="00A07CA0" w:rsidRPr="003E37C6">
        <w:rPr>
          <w:rStyle w:val="eop"/>
          <w:rFonts w:ascii="Arial" w:hAnsi="Arial" w:cs="Arial"/>
          <w:sz w:val="22"/>
          <w:szCs w:val="22"/>
        </w:rPr>
        <w:t>, and improve health outcomes for its patients</w:t>
      </w:r>
      <w:r w:rsidRPr="003E37C6">
        <w:rPr>
          <w:rStyle w:val="eop"/>
          <w:rFonts w:ascii="Arial" w:hAnsi="Arial" w:cs="Arial"/>
          <w:sz w:val="22"/>
          <w:szCs w:val="22"/>
        </w:rPr>
        <w:t xml:space="preserve">. </w:t>
      </w:r>
    </w:p>
    <w:p w14:paraId="28657100" w14:textId="77777777" w:rsidR="002A44B1" w:rsidRPr="003E37C6" w:rsidRDefault="002A44B1" w:rsidP="00426732">
      <w:pPr>
        <w:pStyle w:val="paragraph"/>
        <w:spacing w:before="0" w:beforeAutospacing="0" w:after="0" w:afterAutospacing="0"/>
        <w:jc w:val="both"/>
        <w:textAlignment w:val="baseline"/>
        <w:rPr>
          <w:rStyle w:val="eop"/>
          <w:rFonts w:ascii="Arial" w:hAnsi="Arial" w:cs="Arial"/>
          <w:sz w:val="22"/>
          <w:szCs w:val="22"/>
        </w:rPr>
      </w:pPr>
    </w:p>
    <w:p w14:paraId="586EB750" w14:textId="565695F9" w:rsidR="005D667F" w:rsidRDefault="00D742DF" w:rsidP="00426732">
      <w:pPr>
        <w:pStyle w:val="paragraph"/>
        <w:spacing w:before="0" w:beforeAutospacing="0" w:after="0" w:afterAutospacing="0"/>
        <w:jc w:val="both"/>
        <w:textAlignment w:val="baseline"/>
        <w:rPr>
          <w:rStyle w:val="eop"/>
          <w:rFonts w:ascii="Arial" w:hAnsi="Arial" w:cs="Arial"/>
          <w:sz w:val="22"/>
          <w:szCs w:val="22"/>
        </w:rPr>
      </w:pPr>
      <w:r w:rsidRPr="003E37C6">
        <w:rPr>
          <w:rStyle w:val="eop"/>
          <w:rFonts w:ascii="Arial" w:hAnsi="Arial" w:cs="Arial"/>
          <w:sz w:val="22"/>
          <w:szCs w:val="22"/>
        </w:rPr>
        <w:t>As discussed in Factor 1.c, BMC has</w:t>
      </w:r>
      <w:r w:rsidR="004A0CF7" w:rsidRPr="003E37C6">
        <w:rPr>
          <w:rStyle w:val="eop"/>
          <w:rFonts w:ascii="Arial" w:hAnsi="Arial" w:cs="Arial"/>
          <w:sz w:val="22"/>
          <w:szCs w:val="22"/>
        </w:rPr>
        <w:t xml:space="preserve"> integrated</w:t>
      </w:r>
      <w:r w:rsidRPr="003E37C6">
        <w:rPr>
          <w:rStyle w:val="eop"/>
          <w:rFonts w:ascii="Arial" w:hAnsi="Arial" w:cs="Arial"/>
          <w:sz w:val="22"/>
          <w:szCs w:val="22"/>
        </w:rPr>
        <w:t xml:space="preserve"> robust </w:t>
      </w:r>
      <w:proofErr w:type="spellStart"/>
      <w:r w:rsidRPr="003E37C6">
        <w:rPr>
          <w:rStyle w:val="eop"/>
          <w:rFonts w:ascii="Arial" w:hAnsi="Arial" w:cs="Arial"/>
          <w:sz w:val="22"/>
          <w:szCs w:val="22"/>
        </w:rPr>
        <w:t>SDoH</w:t>
      </w:r>
      <w:proofErr w:type="spellEnd"/>
      <w:r w:rsidRPr="003E37C6">
        <w:rPr>
          <w:rStyle w:val="eop"/>
          <w:rFonts w:ascii="Arial" w:hAnsi="Arial" w:cs="Arial"/>
          <w:sz w:val="22"/>
          <w:szCs w:val="22"/>
        </w:rPr>
        <w:t xml:space="preserve"> programming into its clinical models</w:t>
      </w:r>
      <w:r w:rsidR="004A0CF7" w:rsidRPr="003E37C6">
        <w:rPr>
          <w:rStyle w:val="eop"/>
          <w:rFonts w:ascii="Arial" w:hAnsi="Arial" w:cs="Arial"/>
          <w:sz w:val="22"/>
          <w:szCs w:val="22"/>
        </w:rPr>
        <w:t xml:space="preserve">. Efforts around </w:t>
      </w:r>
      <w:proofErr w:type="spellStart"/>
      <w:r w:rsidR="004A0CF7" w:rsidRPr="003E37C6">
        <w:rPr>
          <w:rStyle w:val="eop"/>
          <w:rFonts w:ascii="Arial" w:hAnsi="Arial" w:cs="Arial"/>
          <w:sz w:val="22"/>
          <w:szCs w:val="22"/>
        </w:rPr>
        <w:t>SDoH</w:t>
      </w:r>
      <w:proofErr w:type="spellEnd"/>
      <w:r w:rsidR="004A0CF7" w:rsidRPr="003E37C6">
        <w:rPr>
          <w:rStyle w:val="eop"/>
          <w:rFonts w:ascii="Arial" w:hAnsi="Arial" w:cs="Arial"/>
          <w:sz w:val="22"/>
          <w:szCs w:val="22"/>
        </w:rPr>
        <w:t xml:space="preserve"> screening at the Hospital are aimed at understanding the social needs impacting patients’ health, improving patient care by communicating social needs to care teams, </w:t>
      </w:r>
      <w:r w:rsidR="008C46BB" w:rsidRPr="003E37C6">
        <w:rPr>
          <w:rStyle w:val="eop"/>
          <w:rFonts w:ascii="Arial" w:hAnsi="Arial" w:cs="Arial"/>
          <w:sz w:val="22"/>
          <w:szCs w:val="22"/>
        </w:rPr>
        <w:t xml:space="preserve">partnering with community-based organizations to eliminate systemic barriers that prevent patients from thriving, and </w:t>
      </w:r>
      <w:r w:rsidR="004A0CF7" w:rsidRPr="003E37C6">
        <w:rPr>
          <w:rStyle w:val="eop"/>
          <w:rFonts w:ascii="Arial" w:hAnsi="Arial" w:cs="Arial"/>
          <w:sz w:val="22"/>
          <w:szCs w:val="22"/>
        </w:rPr>
        <w:t xml:space="preserve">providing patients with information on </w:t>
      </w:r>
      <w:r w:rsidR="005D667F" w:rsidRPr="003E37C6">
        <w:rPr>
          <w:rStyle w:val="eop"/>
          <w:rFonts w:ascii="Arial" w:hAnsi="Arial" w:cs="Arial"/>
          <w:sz w:val="22"/>
          <w:szCs w:val="22"/>
        </w:rPr>
        <w:t xml:space="preserve">hospital-based and </w:t>
      </w:r>
      <w:r w:rsidR="004A0CF7" w:rsidRPr="003E37C6">
        <w:rPr>
          <w:rStyle w:val="eop"/>
          <w:rFonts w:ascii="Arial" w:hAnsi="Arial" w:cs="Arial"/>
          <w:sz w:val="22"/>
          <w:szCs w:val="22"/>
        </w:rPr>
        <w:t>community resources that can mitigate their social needs.</w:t>
      </w:r>
      <w:r w:rsidR="008C46BB" w:rsidRPr="003E37C6">
        <w:rPr>
          <w:rStyle w:val="eop"/>
          <w:rFonts w:ascii="Arial" w:hAnsi="Arial" w:cs="Arial"/>
          <w:sz w:val="22"/>
          <w:szCs w:val="22"/>
        </w:rPr>
        <w:t xml:space="preserve"> Examples of hospital-based and community p</w:t>
      </w:r>
      <w:r w:rsidR="002A44B1" w:rsidRPr="003E37C6">
        <w:rPr>
          <w:rStyle w:val="eop"/>
          <w:rFonts w:ascii="Arial" w:hAnsi="Arial" w:cs="Arial"/>
          <w:sz w:val="22"/>
          <w:szCs w:val="22"/>
        </w:rPr>
        <w:t>rograms and resources</w:t>
      </w:r>
      <w:r w:rsidR="008C46BB" w:rsidRPr="003E37C6">
        <w:rPr>
          <w:rStyle w:val="eop"/>
          <w:rFonts w:ascii="Arial" w:hAnsi="Arial" w:cs="Arial"/>
          <w:sz w:val="22"/>
          <w:szCs w:val="22"/>
        </w:rPr>
        <w:t xml:space="preserve"> that BMC connects its patients and families to</w:t>
      </w:r>
      <w:r w:rsidR="00633DAD" w:rsidRPr="003E37C6">
        <w:rPr>
          <w:rStyle w:val="eop"/>
          <w:rFonts w:ascii="Arial" w:hAnsi="Arial" w:cs="Arial"/>
          <w:sz w:val="22"/>
          <w:szCs w:val="22"/>
        </w:rPr>
        <w:t xml:space="preserve"> include investments in housing, food-related programs, programs related to education, job training, and employment, programs and services that support financial wellness (e.g., programs that help people apply for health coverage, access no- or low-cost medications, obtain food and groceries, pay their utility bills, file tax returns and secure refunds, </w:t>
      </w:r>
      <w:r w:rsidR="003E37C6" w:rsidRPr="003E37C6">
        <w:rPr>
          <w:rStyle w:val="eop"/>
          <w:rFonts w:ascii="Arial" w:hAnsi="Arial" w:cs="Arial"/>
          <w:sz w:val="22"/>
          <w:szCs w:val="22"/>
        </w:rPr>
        <w:t>etc.</w:t>
      </w:r>
      <w:r w:rsidR="00633DAD" w:rsidRPr="003E37C6">
        <w:rPr>
          <w:rStyle w:val="eop"/>
          <w:rFonts w:ascii="Arial" w:hAnsi="Arial" w:cs="Arial"/>
          <w:sz w:val="22"/>
          <w:szCs w:val="22"/>
        </w:rPr>
        <w:t>)</w:t>
      </w:r>
      <w:r w:rsidR="003E37C6" w:rsidRPr="003E37C6">
        <w:rPr>
          <w:rStyle w:val="eop"/>
          <w:rFonts w:ascii="Arial" w:hAnsi="Arial" w:cs="Arial"/>
          <w:sz w:val="22"/>
          <w:szCs w:val="22"/>
        </w:rPr>
        <w:t xml:space="preserve">, programs related to violence and building safer communities, and more. </w:t>
      </w:r>
    </w:p>
    <w:p w14:paraId="688EA0A3" w14:textId="77777777" w:rsidR="00AE44A4" w:rsidRPr="003E37C6" w:rsidRDefault="00AE44A4" w:rsidP="009A7F8F">
      <w:pPr>
        <w:pStyle w:val="paragraph"/>
        <w:spacing w:before="0" w:beforeAutospacing="0" w:after="0" w:afterAutospacing="0"/>
        <w:jc w:val="both"/>
        <w:textAlignment w:val="baseline"/>
        <w:rPr>
          <w:rFonts w:ascii="Arial" w:hAnsi="Arial" w:cs="Arial"/>
          <w:sz w:val="18"/>
          <w:szCs w:val="18"/>
        </w:rPr>
      </w:pPr>
    </w:p>
    <w:p w14:paraId="094D74D4" w14:textId="77777777" w:rsidR="009A7F8F" w:rsidRDefault="009A7F8F" w:rsidP="009A7F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Factor 5: Relative Merit </w:t>
      </w:r>
      <w:r>
        <w:rPr>
          <w:rStyle w:val="eop"/>
          <w:rFonts w:ascii="Arial" w:hAnsi="Arial" w:cs="Arial"/>
          <w:sz w:val="22"/>
          <w:szCs w:val="22"/>
        </w:rPr>
        <w:t> </w:t>
      </w:r>
    </w:p>
    <w:p w14:paraId="64CB9ABD"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71FC2A43" w14:textId="77777777" w:rsidR="003D03A9" w:rsidRPr="003D03A9" w:rsidRDefault="003D03A9" w:rsidP="003D03A9">
      <w:pPr>
        <w:ind w:left="1080" w:hanging="1080"/>
        <w:jc w:val="both"/>
        <w:textAlignment w:val="baseline"/>
        <w:rPr>
          <w:rFonts w:ascii="Segoe UI" w:hAnsi="Segoe UI" w:cs="Segoe UI"/>
          <w:sz w:val="18"/>
          <w:szCs w:val="18"/>
        </w:rPr>
      </w:pPr>
      <w:r w:rsidRPr="003D03A9">
        <w:rPr>
          <w:rFonts w:ascii="Arial" w:hAnsi="Arial" w:cs="Arial"/>
          <w:b/>
          <w:bCs/>
          <w:sz w:val="22"/>
          <w:szCs w:val="22"/>
        </w:rPr>
        <w:t xml:space="preserve">F5.a.i </w:t>
      </w:r>
      <w:r w:rsidRPr="003D03A9">
        <w:rPr>
          <w:rFonts w:ascii="Calibri" w:hAnsi="Calibri" w:cs="Calibri"/>
          <w:sz w:val="22"/>
          <w:szCs w:val="22"/>
        </w:rPr>
        <w:tab/>
      </w:r>
      <w:r w:rsidRPr="003D03A9">
        <w:rPr>
          <w:rFonts w:ascii="Arial" w:hAnsi="Arial" w:cs="Arial"/>
          <w:b/>
          <w:bCs/>
          <w:sz w:val="22"/>
          <w:szCs w:val="22"/>
        </w:rPr>
        <w:t>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Pr="003D03A9">
        <w:rPr>
          <w:rFonts w:ascii="Arial" w:hAnsi="Arial" w:cs="Arial"/>
          <w:sz w:val="22"/>
          <w:szCs w:val="22"/>
        </w:rPr>
        <w:t> </w:t>
      </w:r>
    </w:p>
    <w:p w14:paraId="71EE31DD"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59FBF048" w14:textId="06B240C6" w:rsidR="003D03A9" w:rsidRPr="003D03A9" w:rsidRDefault="003D03A9" w:rsidP="003D03A9">
      <w:pPr>
        <w:jc w:val="both"/>
        <w:textAlignment w:val="baseline"/>
        <w:rPr>
          <w:rFonts w:ascii="Arial" w:hAnsi="Arial" w:cs="Arial"/>
          <w:sz w:val="22"/>
          <w:szCs w:val="22"/>
        </w:rPr>
      </w:pPr>
      <w:r w:rsidRPr="003D03A9">
        <w:rPr>
          <w:rFonts w:ascii="Arial" w:hAnsi="Arial" w:cs="Arial"/>
          <w:b/>
          <w:bCs/>
          <w:sz w:val="22"/>
          <w:szCs w:val="22"/>
        </w:rPr>
        <w:t>Proposal:</w:t>
      </w:r>
      <w:r w:rsidRPr="003D03A9">
        <w:rPr>
          <w:rFonts w:ascii="Arial" w:hAnsi="Arial" w:cs="Arial"/>
          <w:sz w:val="22"/>
          <w:szCs w:val="22"/>
        </w:rPr>
        <w:t xml:space="preserve"> The Proposed Project involves the following: (A) construction and renovation to BMC’s existing </w:t>
      </w:r>
      <w:proofErr w:type="spellStart"/>
      <w:r w:rsidRPr="003D03A9">
        <w:rPr>
          <w:rFonts w:ascii="Arial" w:hAnsi="Arial" w:cs="Arial"/>
          <w:sz w:val="22"/>
          <w:szCs w:val="22"/>
        </w:rPr>
        <w:t>Yawkey</w:t>
      </w:r>
      <w:proofErr w:type="spellEnd"/>
      <w:r w:rsidRPr="003D03A9">
        <w:rPr>
          <w:rFonts w:ascii="Arial" w:hAnsi="Arial" w:cs="Arial"/>
          <w:sz w:val="22"/>
          <w:szCs w:val="22"/>
        </w:rPr>
        <w:t xml:space="preserve"> Building to accommodate the addition of sixty (60) additional medical/surgical beds and ten (10) additional intensive care unit beds; (B) renovation </w:t>
      </w:r>
      <w:r w:rsidR="00501C6A">
        <w:rPr>
          <w:rFonts w:ascii="Arial" w:hAnsi="Arial" w:cs="Arial"/>
          <w:sz w:val="22"/>
          <w:szCs w:val="22"/>
        </w:rPr>
        <w:t>of</w:t>
      </w:r>
      <w:r w:rsidR="00501C6A" w:rsidRPr="003D03A9">
        <w:rPr>
          <w:rFonts w:ascii="Arial" w:hAnsi="Arial" w:cs="Arial"/>
          <w:sz w:val="22"/>
          <w:szCs w:val="22"/>
        </w:rPr>
        <w:t xml:space="preserve"> </w:t>
      </w:r>
      <w:r w:rsidRPr="003D03A9">
        <w:rPr>
          <w:rFonts w:ascii="Arial" w:hAnsi="Arial" w:cs="Arial"/>
          <w:sz w:val="22"/>
          <w:szCs w:val="22"/>
        </w:rPr>
        <w:t xml:space="preserve">BMC’s existing Menino Building to accommodate the addition of five (5) new inpatient </w:t>
      </w:r>
      <w:r w:rsidR="0058553D">
        <w:rPr>
          <w:rFonts w:ascii="Arial" w:hAnsi="Arial" w:cs="Arial"/>
          <w:sz w:val="22"/>
          <w:szCs w:val="22"/>
        </w:rPr>
        <w:t>ORs</w:t>
      </w:r>
      <w:r w:rsidRPr="003D03A9">
        <w:rPr>
          <w:rFonts w:ascii="Arial" w:hAnsi="Arial" w:cs="Arial"/>
          <w:sz w:val="22"/>
          <w:szCs w:val="22"/>
        </w:rPr>
        <w:t xml:space="preserve">, as well as additional pre- and post-operative and </w:t>
      </w:r>
      <w:r w:rsidR="009D216A">
        <w:rPr>
          <w:rFonts w:ascii="Arial" w:hAnsi="Arial" w:cs="Arial"/>
          <w:sz w:val="22"/>
          <w:szCs w:val="22"/>
        </w:rPr>
        <w:t>PACU</w:t>
      </w:r>
      <w:r w:rsidRPr="003D03A9">
        <w:rPr>
          <w:rFonts w:ascii="Arial" w:hAnsi="Arial" w:cs="Arial"/>
          <w:sz w:val="22"/>
          <w:szCs w:val="22"/>
        </w:rPr>
        <w:t xml:space="preserve"> space; and (C) other construction and renovation projects at BMC’s main campus to accommodate the proposed inpatient expansion projects, support campus infrastructure reorganization efforts, and improve existing services, facilities, and patient experience and wayfinding.</w:t>
      </w:r>
    </w:p>
    <w:p w14:paraId="313DE3E2"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2E5C13E5" w14:textId="541E9424" w:rsidR="003D03A9" w:rsidRPr="003D03A9" w:rsidRDefault="003D03A9" w:rsidP="003D03A9">
      <w:pPr>
        <w:ind w:left="720"/>
        <w:jc w:val="both"/>
        <w:textAlignment w:val="baseline"/>
        <w:rPr>
          <w:rFonts w:ascii="Arial" w:hAnsi="Arial" w:cs="Arial"/>
          <w:sz w:val="22"/>
          <w:szCs w:val="22"/>
        </w:rPr>
      </w:pPr>
      <w:r w:rsidRPr="003D03A9">
        <w:rPr>
          <w:rFonts w:ascii="Arial" w:hAnsi="Arial" w:cs="Arial"/>
          <w:b/>
          <w:bCs/>
          <w:sz w:val="22"/>
          <w:szCs w:val="22"/>
        </w:rPr>
        <w:t>Quality:</w:t>
      </w:r>
      <w:r w:rsidRPr="003D03A9">
        <w:rPr>
          <w:rFonts w:ascii="Arial" w:hAnsi="Arial" w:cs="Arial"/>
          <w:sz w:val="22"/>
          <w:szCs w:val="22"/>
        </w:rPr>
        <w:t xml:space="preserve"> The Proposed Project will improve quality of care by expanding capacity of inpatient services at BMC. </w:t>
      </w:r>
      <w:r w:rsidR="008F6443">
        <w:rPr>
          <w:rFonts w:ascii="Arial" w:hAnsi="Arial" w:cs="Arial"/>
          <w:sz w:val="22"/>
          <w:szCs w:val="22"/>
        </w:rPr>
        <w:t>T</w:t>
      </w:r>
      <w:r w:rsidRPr="003D03A9">
        <w:rPr>
          <w:rFonts w:ascii="Arial" w:hAnsi="Arial" w:cs="Arial"/>
          <w:sz w:val="22"/>
          <w:szCs w:val="22"/>
        </w:rPr>
        <w:t xml:space="preserve">he Applicant anticipates that additional inpatient capacity will provide the Applicant’s patient panel with improved access to medical/surgical, ICU, and inpatient surgical services, and that such improved access will in turn positively impact patient flow and Hospital throughput across BMC and particularly in its ORs and ED. Overall, these improvements will result in enhancements in health outcomes and quality of life for BMC’s vulnerable patient panel, with specific examples detailed in Factor F1.b.ii. Moreover, in addition to supporting the inpatient expansion projects and, therefore, the improved quality outcomes detailed above, the other proposed construction and renovation projects at BMC’s main campus also </w:t>
      </w:r>
      <w:r w:rsidR="00534DC1">
        <w:rPr>
          <w:rFonts w:ascii="Arial" w:hAnsi="Arial" w:cs="Arial"/>
          <w:sz w:val="22"/>
          <w:szCs w:val="22"/>
        </w:rPr>
        <w:t xml:space="preserve">will </w:t>
      </w:r>
      <w:r w:rsidRPr="003D03A9">
        <w:rPr>
          <w:rFonts w:ascii="Arial" w:hAnsi="Arial" w:cs="Arial"/>
          <w:sz w:val="22"/>
          <w:szCs w:val="22"/>
        </w:rPr>
        <w:t>result in improved quality by supporting campus reorganization and other efforts aimed at improving existing services, facilities, and patient experience and wayfinding at the Hospital.</w:t>
      </w:r>
    </w:p>
    <w:p w14:paraId="1D73F3E9" w14:textId="77777777" w:rsidR="003D03A9" w:rsidRPr="003D03A9" w:rsidRDefault="003D03A9" w:rsidP="003D03A9">
      <w:pPr>
        <w:jc w:val="both"/>
        <w:textAlignment w:val="baseline"/>
        <w:rPr>
          <w:rFonts w:ascii="Arial" w:hAnsi="Arial" w:cs="Arial"/>
          <w:sz w:val="22"/>
          <w:szCs w:val="22"/>
        </w:rPr>
      </w:pPr>
    </w:p>
    <w:p w14:paraId="04610292" w14:textId="77777777" w:rsidR="003D03A9" w:rsidRPr="003D03A9" w:rsidRDefault="003D03A9" w:rsidP="003D03A9">
      <w:pPr>
        <w:ind w:left="720"/>
        <w:jc w:val="both"/>
        <w:textAlignment w:val="baseline"/>
        <w:rPr>
          <w:rFonts w:ascii="ArialMT" w:hAnsi="ArialMT"/>
          <w:color w:val="FF0000"/>
          <w:sz w:val="22"/>
          <w:szCs w:val="22"/>
        </w:rPr>
      </w:pPr>
      <w:r w:rsidRPr="003D03A9">
        <w:rPr>
          <w:rFonts w:ascii="Arial" w:hAnsi="Arial" w:cs="Arial"/>
          <w:b/>
          <w:bCs/>
          <w:sz w:val="22"/>
          <w:szCs w:val="22"/>
        </w:rPr>
        <w:t>Efficiency:</w:t>
      </w:r>
      <w:r w:rsidRPr="003D03A9">
        <w:rPr>
          <w:rFonts w:ascii="Arial" w:hAnsi="Arial" w:cs="Arial"/>
          <w:sz w:val="22"/>
          <w:szCs w:val="22"/>
        </w:rPr>
        <w:t> </w:t>
      </w:r>
      <w:r w:rsidRPr="003D03A9">
        <w:rPr>
          <w:rFonts w:ascii="ArialMT" w:hAnsi="ArialMT"/>
          <w:sz w:val="22"/>
          <w:szCs w:val="22"/>
        </w:rPr>
        <w:t xml:space="preserve">As detailed throughout this narrative, the Proposed Project is designed to create additional inpatient capacity, which will help alleviate access and throughput concerns across the Hospital, ensure that patients receive care in the most appropriate setting, and, thereby, provide efficiencies in care and costs. Moreover, the Applicant anticipates that the other proposed construction and renovation projects will drive efficiency in patient care by supporting </w:t>
      </w:r>
      <w:r w:rsidRPr="003D03A9">
        <w:rPr>
          <w:rFonts w:ascii="Arial" w:hAnsi="Arial" w:cs="Arial"/>
          <w:sz w:val="22"/>
          <w:szCs w:val="22"/>
        </w:rPr>
        <w:t>centralization of services, ideal complementary use adjacencies, and various campus improvements.</w:t>
      </w:r>
      <w:r w:rsidRPr="003D03A9">
        <w:rPr>
          <w:rFonts w:ascii="ArialMT" w:hAnsi="ArialMT"/>
          <w:sz w:val="22"/>
          <w:szCs w:val="22"/>
        </w:rPr>
        <w:t xml:space="preserve"> </w:t>
      </w:r>
    </w:p>
    <w:p w14:paraId="18AC551C" w14:textId="77777777" w:rsidR="003D03A9" w:rsidRPr="003D03A9" w:rsidRDefault="003D03A9" w:rsidP="003D03A9">
      <w:pPr>
        <w:jc w:val="both"/>
        <w:textAlignment w:val="baseline"/>
        <w:rPr>
          <w:rFonts w:ascii="Segoe UI" w:hAnsi="Segoe UI" w:cs="Segoe UI"/>
          <w:sz w:val="18"/>
          <w:szCs w:val="18"/>
        </w:rPr>
      </w:pPr>
    </w:p>
    <w:p w14:paraId="2649E43F" w14:textId="7156E6BC" w:rsidR="003D03A9" w:rsidRPr="003D03A9" w:rsidRDefault="003D03A9" w:rsidP="003D03A9">
      <w:pPr>
        <w:ind w:left="720"/>
        <w:jc w:val="both"/>
        <w:textAlignment w:val="baseline"/>
        <w:rPr>
          <w:rFonts w:ascii="Arial" w:hAnsi="Arial" w:cs="Arial"/>
          <w:color w:val="000000" w:themeColor="text1"/>
          <w:sz w:val="22"/>
          <w:szCs w:val="22"/>
        </w:rPr>
      </w:pPr>
      <w:r w:rsidRPr="003D03A9">
        <w:rPr>
          <w:rFonts w:ascii="Arial" w:hAnsi="Arial" w:cs="Arial"/>
          <w:b/>
          <w:bCs/>
          <w:sz w:val="22"/>
          <w:szCs w:val="22"/>
        </w:rPr>
        <w:t>Capital Expense:</w:t>
      </w:r>
      <w:r w:rsidRPr="003D03A9">
        <w:rPr>
          <w:rFonts w:ascii="Arial" w:hAnsi="Arial" w:cs="Arial"/>
          <w:sz w:val="22"/>
          <w:szCs w:val="22"/>
        </w:rPr>
        <w:t xml:space="preserve"> </w:t>
      </w:r>
      <w:r w:rsidRPr="003D03A9">
        <w:rPr>
          <w:rFonts w:ascii="ArialMT" w:hAnsi="ArialMT"/>
          <w:sz w:val="22"/>
          <w:szCs w:val="22"/>
        </w:rPr>
        <w:t xml:space="preserve">There are capital expenses </w:t>
      </w:r>
      <w:r w:rsidRPr="003D03A9">
        <w:rPr>
          <w:rFonts w:ascii="Arial" w:hAnsi="Arial" w:cs="Arial"/>
          <w:sz w:val="22"/>
          <w:szCs w:val="22"/>
        </w:rPr>
        <w:t>associated with the implementation of the Proposed Project. The total capital expenditure for the Proposed Project is $</w:t>
      </w:r>
      <w:r w:rsidRPr="003D03A9">
        <w:rPr>
          <w:rFonts w:ascii="Arial" w:hAnsi="Arial" w:cs="Arial"/>
          <w:sz w:val="22"/>
          <w:szCs w:val="22"/>
          <w:shd w:val="clear" w:color="auto" w:fill="FFFFFF"/>
        </w:rPr>
        <w:t>121,239,760</w:t>
      </w:r>
      <w:r w:rsidRPr="003D03A9">
        <w:rPr>
          <w:rFonts w:ascii="Arial" w:hAnsi="Arial" w:cs="Arial"/>
          <w:sz w:val="22"/>
          <w:szCs w:val="22"/>
        </w:rPr>
        <w:t xml:space="preserve">. However, as detailed further below, the Proposed Project represents the most cost-effective approach to addressing the needs of the Applicant’s </w:t>
      </w:r>
      <w:r w:rsidR="009D216A">
        <w:rPr>
          <w:rFonts w:ascii="Arial" w:hAnsi="Arial" w:cs="Arial"/>
          <w:sz w:val="22"/>
          <w:szCs w:val="22"/>
        </w:rPr>
        <w:t>under-resourced</w:t>
      </w:r>
      <w:r w:rsidR="009D216A" w:rsidRPr="003D03A9">
        <w:rPr>
          <w:rFonts w:ascii="Arial" w:hAnsi="Arial" w:cs="Arial"/>
          <w:sz w:val="22"/>
          <w:szCs w:val="22"/>
        </w:rPr>
        <w:t xml:space="preserve"> </w:t>
      </w:r>
      <w:r w:rsidRPr="003D03A9">
        <w:rPr>
          <w:rFonts w:ascii="Arial" w:hAnsi="Arial" w:cs="Arial"/>
          <w:sz w:val="22"/>
          <w:szCs w:val="22"/>
        </w:rPr>
        <w:t>patient</w:t>
      </w:r>
      <w:r w:rsidRPr="003D03A9">
        <w:rPr>
          <w:rFonts w:ascii="ArialMT" w:hAnsi="ArialMT"/>
          <w:sz w:val="22"/>
          <w:szCs w:val="22"/>
        </w:rPr>
        <w:t xml:space="preserve"> panel and ensuring </w:t>
      </w:r>
      <w:r w:rsidRPr="003D03A9">
        <w:rPr>
          <w:rFonts w:ascii="Arial" w:hAnsi="Arial" w:cs="Arial"/>
          <w:color w:val="000000" w:themeColor="text1"/>
          <w:sz w:val="22"/>
          <w:szCs w:val="22"/>
        </w:rPr>
        <w:t>the Hospital’s long-term ability to provide high-quality care and fulfill its role as New England’s largest safety net hospital in an evolving health</w:t>
      </w:r>
      <w:r w:rsidR="00CF77C3">
        <w:rPr>
          <w:rFonts w:ascii="Arial" w:hAnsi="Arial" w:cs="Arial"/>
          <w:color w:val="000000" w:themeColor="text1"/>
          <w:sz w:val="22"/>
          <w:szCs w:val="22"/>
        </w:rPr>
        <w:t xml:space="preserve"> </w:t>
      </w:r>
      <w:r w:rsidRPr="003D03A9">
        <w:rPr>
          <w:rFonts w:ascii="Arial" w:hAnsi="Arial" w:cs="Arial"/>
          <w:color w:val="000000" w:themeColor="text1"/>
          <w:sz w:val="22"/>
          <w:szCs w:val="22"/>
        </w:rPr>
        <w:t xml:space="preserve">care environment. To this point, the Applicant notes that the Proposed Project design is the result of a </w:t>
      </w:r>
      <w:r w:rsidRPr="003D03A9">
        <w:rPr>
          <w:rFonts w:ascii="Arial" w:hAnsi="Arial" w:cs="Arial"/>
          <w:sz w:val="22"/>
          <w:szCs w:val="22"/>
        </w:rPr>
        <w:t xml:space="preserve">robust multi-year </w:t>
      </w:r>
      <w:r w:rsidRPr="003D03A9">
        <w:rPr>
          <w:rFonts w:ascii="Arial" w:hAnsi="Arial" w:cs="Arial"/>
          <w:color w:val="000000" w:themeColor="text1"/>
          <w:sz w:val="22"/>
          <w:szCs w:val="22"/>
        </w:rPr>
        <w:t xml:space="preserve">IMP and was also informed by input from </w:t>
      </w:r>
      <w:r w:rsidRPr="003D03A9">
        <w:rPr>
          <w:rFonts w:ascii="Arial" w:hAnsi="Arial" w:cs="Arial"/>
          <w:sz w:val="22"/>
          <w:szCs w:val="22"/>
        </w:rPr>
        <w:t xml:space="preserve">community members, patients, family members, and staff that may be impacted by or have an interest in the Proposed Project. Consistent with the Applicant’s commitment to providing exceptional care without exception and BMC’s distinct measured approach to campus growth, this design maximizes use of BMC’s existing </w:t>
      </w:r>
      <w:r w:rsidRPr="003D03A9">
        <w:rPr>
          <w:rFonts w:ascii="Arial" w:hAnsi="Arial" w:cs="Arial"/>
          <w:color w:val="000000" w:themeColor="text1"/>
          <w:sz w:val="22"/>
          <w:szCs w:val="22"/>
          <w:shd w:val="clear" w:color="auto" w:fill="FFFFFF"/>
        </w:rPr>
        <w:t>square footage with strategic renovations and additions</w:t>
      </w:r>
      <w:r w:rsidR="009D216A">
        <w:rPr>
          <w:rFonts w:ascii="Arial" w:hAnsi="Arial" w:cs="Arial"/>
          <w:color w:val="000000" w:themeColor="text1"/>
          <w:sz w:val="22"/>
          <w:szCs w:val="22"/>
          <w:shd w:val="clear" w:color="auto" w:fill="FFFFFF"/>
        </w:rPr>
        <w:t>,</w:t>
      </w:r>
      <w:r w:rsidRPr="003D03A9">
        <w:rPr>
          <w:rFonts w:ascii="Arial" w:hAnsi="Arial" w:cs="Arial"/>
          <w:sz w:val="22"/>
          <w:szCs w:val="22"/>
        </w:rPr>
        <w:t xml:space="preserve"> rather than building new</w:t>
      </w:r>
      <w:r w:rsidR="009D216A">
        <w:rPr>
          <w:rFonts w:ascii="Arial" w:hAnsi="Arial" w:cs="Arial"/>
          <w:sz w:val="22"/>
          <w:szCs w:val="22"/>
        </w:rPr>
        <w:t>,</w:t>
      </w:r>
      <w:r w:rsidRPr="003D03A9">
        <w:rPr>
          <w:rFonts w:ascii="Arial" w:hAnsi="Arial" w:cs="Arial"/>
          <w:sz w:val="22"/>
          <w:szCs w:val="22"/>
        </w:rPr>
        <w:t xml:space="preserve"> to address demand constraints and allow the Hospital </w:t>
      </w:r>
      <w:r w:rsidRPr="003D03A9">
        <w:rPr>
          <w:rFonts w:ascii="Arial" w:hAnsi="Arial" w:cs="Arial"/>
          <w:color w:val="000000" w:themeColor="text1"/>
          <w:sz w:val="22"/>
          <w:szCs w:val="22"/>
        </w:rPr>
        <w:t>to both meet current patient panel needs and better serve its patient panel into the future.</w:t>
      </w:r>
    </w:p>
    <w:p w14:paraId="7BC60CE4" w14:textId="77777777" w:rsidR="003D03A9" w:rsidRPr="003D03A9" w:rsidRDefault="003D03A9" w:rsidP="003D03A9">
      <w:pPr>
        <w:jc w:val="both"/>
        <w:textAlignment w:val="baseline"/>
        <w:rPr>
          <w:rFonts w:ascii="Arial" w:hAnsi="Arial" w:cs="Arial"/>
          <w:color w:val="000000" w:themeColor="text1"/>
          <w:sz w:val="22"/>
          <w:szCs w:val="22"/>
        </w:rPr>
      </w:pPr>
    </w:p>
    <w:p w14:paraId="77E97605" w14:textId="7522669F" w:rsidR="003D03A9" w:rsidRPr="003D03A9" w:rsidRDefault="003D03A9" w:rsidP="003D03A9">
      <w:pPr>
        <w:ind w:left="720"/>
        <w:jc w:val="both"/>
        <w:textAlignment w:val="baseline"/>
        <w:rPr>
          <w:rFonts w:ascii="Arial" w:hAnsi="Arial" w:cs="Arial"/>
          <w:sz w:val="22"/>
          <w:szCs w:val="22"/>
        </w:rPr>
      </w:pPr>
      <w:r w:rsidRPr="003D03A9">
        <w:rPr>
          <w:rFonts w:ascii="Arial" w:hAnsi="Arial" w:cs="Arial"/>
          <w:b/>
          <w:bCs/>
          <w:sz w:val="22"/>
          <w:szCs w:val="22"/>
        </w:rPr>
        <w:t>Operating Costs:</w:t>
      </w:r>
      <w:r w:rsidRPr="003D03A9">
        <w:rPr>
          <w:rFonts w:ascii="Arial" w:hAnsi="Arial" w:cs="Arial"/>
          <w:sz w:val="22"/>
          <w:szCs w:val="22"/>
        </w:rPr>
        <w:t> </w:t>
      </w:r>
      <w:r w:rsidRPr="003D03A9">
        <w:rPr>
          <w:rFonts w:ascii="ArialMT" w:hAnsi="ArialMT"/>
          <w:sz w:val="22"/>
          <w:szCs w:val="22"/>
        </w:rPr>
        <w:t xml:space="preserve">There are operating costs associated with the Proposed Project. The </w:t>
      </w:r>
      <w:r w:rsidR="000A704C" w:rsidRPr="00380B2C">
        <w:rPr>
          <w:rFonts w:ascii="ArialMT" w:hAnsi="ArialMT"/>
          <w:sz w:val="22"/>
          <w:szCs w:val="22"/>
        </w:rPr>
        <w:t>average</w:t>
      </w:r>
      <w:r w:rsidRPr="003D03A9">
        <w:rPr>
          <w:rFonts w:ascii="ArialMT" w:hAnsi="ArialMT"/>
          <w:sz w:val="22"/>
          <w:szCs w:val="22"/>
        </w:rPr>
        <w:t xml:space="preserve"> incremental operating costs of the Proposed Project are anticipated to be </w:t>
      </w:r>
      <w:r w:rsidR="002C2BA9">
        <w:rPr>
          <w:rFonts w:ascii="ArialMT" w:hAnsi="ArialMT"/>
          <w:sz w:val="22"/>
          <w:szCs w:val="22"/>
        </w:rPr>
        <w:t xml:space="preserve">approximately </w:t>
      </w:r>
      <w:r w:rsidR="000A704C" w:rsidRPr="003D03A9">
        <w:rPr>
          <w:rFonts w:ascii="ArialMT" w:hAnsi="ArialMT"/>
          <w:sz w:val="22"/>
          <w:szCs w:val="22"/>
        </w:rPr>
        <w:t>$</w:t>
      </w:r>
      <w:r w:rsidR="000A704C">
        <w:rPr>
          <w:rFonts w:ascii="ArialMT" w:hAnsi="ArialMT"/>
          <w:sz w:val="22"/>
          <w:szCs w:val="22"/>
        </w:rPr>
        <w:t>76,000,000</w:t>
      </w:r>
      <w:r w:rsidR="000A704C" w:rsidRPr="003D03A9">
        <w:rPr>
          <w:rFonts w:ascii="ArialMT" w:hAnsi="ArialMT"/>
          <w:sz w:val="22"/>
          <w:szCs w:val="22"/>
        </w:rPr>
        <w:t xml:space="preserve">. </w:t>
      </w:r>
    </w:p>
    <w:p w14:paraId="52618CEF"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0368950E"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b/>
          <w:bCs/>
          <w:sz w:val="22"/>
          <w:szCs w:val="22"/>
        </w:rPr>
        <w:t>List alternative options for the Proposed Project</w:t>
      </w:r>
      <w:r w:rsidRPr="003D03A9">
        <w:rPr>
          <w:rFonts w:ascii="Arial" w:hAnsi="Arial" w:cs="Arial"/>
          <w:sz w:val="22"/>
          <w:szCs w:val="22"/>
        </w:rPr>
        <w:t> </w:t>
      </w:r>
    </w:p>
    <w:p w14:paraId="5E2AE099"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2DF7355C" w14:textId="77777777" w:rsidR="003D03A9" w:rsidRPr="003D03A9" w:rsidRDefault="003D03A9" w:rsidP="003D03A9">
      <w:pPr>
        <w:ind w:left="720"/>
        <w:jc w:val="both"/>
        <w:textAlignment w:val="baseline"/>
        <w:rPr>
          <w:rFonts w:ascii="ArialMT" w:hAnsi="ArialMT"/>
          <w:sz w:val="22"/>
          <w:szCs w:val="22"/>
        </w:rPr>
      </w:pPr>
      <w:r w:rsidRPr="003D03A9">
        <w:rPr>
          <w:rFonts w:ascii="Arial" w:hAnsi="Arial" w:cs="Arial"/>
          <w:b/>
          <w:bCs/>
          <w:sz w:val="22"/>
          <w:szCs w:val="22"/>
        </w:rPr>
        <w:t>Alternative Proposal #1:</w:t>
      </w:r>
      <w:r w:rsidRPr="003D03A9">
        <w:rPr>
          <w:rFonts w:ascii="Arial" w:hAnsi="Arial" w:cs="Arial"/>
          <w:sz w:val="22"/>
          <w:szCs w:val="22"/>
        </w:rPr>
        <w:t> </w:t>
      </w:r>
      <w:r w:rsidRPr="003D03A9">
        <w:rPr>
          <w:rFonts w:ascii="ArialMT" w:hAnsi="ArialMT"/>
          <w:sz w:val="22"/>
          <w:szCs w:val="22"/>
        </w:rPr>
        <w:t>The first alternative to the Proposed Project is to forego implementation of the Proposed Project and continue to operate BMC’s main campus without any changes to existing inpatient capacity or the Hospital’s existing facilities and services.</w:t>
      </w:r>
    </w:p>
    <w:p w14:paraId="7FC6D3D9" w14:textId="77777777" w:rsidR="003D03A9" w:rsidRPr="003D03A9" w:rsidRDefault="003D03A9" w:rsidP="003D03A9">
      <w:pPr>
        <w:jc w:val="both"/>
        <w:textAlignment w:val="baseline"/>
        <w:rPr>
          <w:rFonts w:ascii="Segoe UI" w:hAnsi="Segoe UI" w:cs="Segoe UI"/>
          <w:sz w:val="18"/>
          <w:szCs w:val="18"/>
        </w:rPr>
      </w:pPr>
    </w:p>
    <w:p w14:paraId="09BA2C56" w14:textId="77777777" w:rsidR="003D03A9" w:rsidRPr="003D03A9" w:rsidRDefault="003D03A9" w:rsidP="003D03A9">
      <w:pPr>
        <w:ind w:left="1440"/>
        <w:jc w:val="both"/>
        <w:textAlignment w:val="baseline"/>
        <w:rPr>
          <w:rFonts w:ascii="Arial" w:hAnsi="Arial" w:cs="Arial"/>
          <w:sz w:val="22"/>
          <w:szCs w:val="22"/>
        </w:rPr>
      </w:pPr>
      <w:r w:rsidRPr="003D03A9">
        <w:rPr>
          <w:rFonts w:ascii="Arial" w:hAnsi="Arial" w:cs="Arial"/>
          <w:b/>
          <w:bCs/>
          <w:sz w:val="22"/>
          <w:szCs w:val="22"/>
        </w:rPr>
        <w:t>Alternative Quality:</w:t>
      </w:r>
      <w:r w:rsidRPr="003D03A9">
        <w:rPr>
          <w:rFonts w:ascii="Arial" w:hAnsi="Arial" w:cs="Arial"/>
          <w:sz w:val="22"/>
          <w:szCs w:val="22"/>
        </w:rPr>
        <w:t> This alternative does not allow the Applicant to address the patient panel’s need for additional inpatient services at BMC. Without the Proposed Project, inpatient utilization rates will continue to rise to unsustainable levels as patient volumes and acuity levels continue to increase, Hospital throughput will continue to be negatively impacted, and patients will continue to face increased wait times and delays in diagnosis and treatment. All of these factors will have a negative impact on patient’s health outcomes and quality of life.</w:t>
      </w:r>
    </w:p>
    <w:p w14:paraId="4643A680" w14:textId="77777777" w:rsidR="003D03A9" w:rsidRPr="003D03A9" w:rsidRDefault="003D03A9" w:rsidP="003D03A9">
      <w:pPr>
        <w:ind w:left="1440"/>
        <w:jc w:val="both"/>
        <w:textAlignment w:val="baseline"/>
        <w:rPr>
          <w:rFonts w:ascii="Segoe UI" w:hAnsi="Segoe UI" w:cs="Segoe UI"/>
          <w:color w:val="000000" w:themeColor="text1"/>
          <w:sz w:val="18"/>
          <w:szCs w:val="18"/>
        </w:rPr>
      </w:pPr>
    </w:p>
    <w:p w14:paraId="2C574C60" w14:textId="77777777" w:rsidR="003D03A9" w:rsidRPr="003D03A9" w:rsidRDefault="003D03A9" w:rsidP="003D03A9">
      <w:pPr>
        <w:ind w:left="1440"/>
        <w:jc w:val="both"/>
        <w:textAlignment w:val="baseline"/>
        <w:rPr>
          <w:color w:val="000000" w:themeColor="text1"/>
        </w:rPr>
      </w:pPr>
      <w:r w:rsidRPr="003D03A9">
        <w:rPr>
          <w:rFonts w:ascii="Arial" w:hAnsi="Arial" w:cs="Arial"/>
          <w:b/>
          <w:bCs/>
          <w:color w:val="000000" w:themeColor="text1"/>
          <w:sz w:val="22"/>
          <w:szCs w:val="22"/>
        </w:rPr>
        <w:t>Alternative Efficiency:</w:t>
      </w:r>
      <w:r w:rsidRPr="003D03A9">
        <w:rPr>
          <w:rFonts w:ascii="Arial" w:hAnsi="Arial" w:cs="Arial"/>
          <w:color w:val="000000" w:themeColor="text1"/>
          <w:sz w:val="22"/>
          <w:szCs w:val="22"/>
        </w:rPr>
        <w:t> </w:t>
      </w:r>
      <w:r w:rsidRPr="003D03A9">
        <w:rPr>
          <w:rFonts w:ascii="ArialMT" w:hAnsi="ArialMT"/>
          <w:color w:val="000000" w:themeColor="text1"/>
          <w:sz w:val="22"/>
          <w:szCs w:val="22"/>
        </w:rPr>
        <w:t xml:space="preserve">This alternative would be inefficient as it would not provide additional access to necessary inpatient services at BMC. </w:t>
      </w:r>
      <w:r w:rsidRPr="003D03A9">
        <w:rPr>
          <w:rFonts w:ascii="Arial" w:hAnsi="Arial" w:cs="Arial"/>
          <w:color w:val="000000" w:themeColor="text1"/>
          <w:sz w:val="22"/>
          <w:szCs w:val="22"/>
        </w:rPr>
        <w:t>Without additional inpatient capacity, throughput challenges at BMC will persist and the area’s most vulnerable patients will continue to face long wait times as well as delays in diagnosis and treatment.</w:t>
      </w:r>
    </w:p>
    <w:p w14:paraId="2C19CA7B" w14:textId="77777777" w:rsidR="003D03A9" w:rsidRPr="003D03A9" w:rsidRDefault="003D03A9" w:rsidP="003D03A9">
      <w:pPr>
        <w:ind w:left="1440"/>
        <w:jc w:val="both"/>
        <w:textAlignment w:val="baseline"/>
        <w:rPr>
          <w:rFonts w:ascii="Segoe UI" w:hAnsi="Segoe UI" w:cs="Segoe UI"/>
          <w:sz w:val="18"/>
          <w:szCs w:val="18"/>
        </w:rPr>
      </w:pPr>
    </w:p>
    <w:p w14:paraId="74798EB9" w14:textId="0121E1B9" w:rsidR="003D03A9" w:rsidRPr="003D03A9" w:rsidRDefault="003D03A9" w:rsidP="003D03A9">
      <w:pPr>
        <w:ind w:left="1440"/>
        <w:jc w:val="both"/>
        <w:textAlignment w:val="baseline"/>
        <w:rPr>
          <w:rFonts w:ascii="Arial" w:hAnsi="Arial" w:cs="Arial"/>
          <w:sz w:val="22"/>
          <w:szCs w:val="22"/>
        </w:rPr>
      </w:pPr>
      <w:r w:rsidRPr="003D03A9">
        <w:rPr>
          <w:rFonts w:ascii="Arial" w:hAnsi="Arial" w:cs="Arial"/>
          <w:b/>
          <w:bCs/>
          <w:sz w:val="22"/>
          <w:szCs w:val="22"/>
        </w:rPr>
        <w:t>Alternative Capital Expense:</w:t>
      </w:r>
      <w:r w:rsidRPr="003D03A9">
        <w:rPr>
          <w:rFonts w:ascii="Arial" w:hAnsi="Arial" w:cs="Arial"/>
          <w:sz w:val="22"/>
          <w:szCs w:val="22"/>
        </w:rPr>
        <w:t> </w:t>
      </w:r>
      <w:r w:rsidRPr="003D03A9">
        <w:rPr>
          <w:rFonts w:ascii="ArialMT" w:hAnsi="ArialMT"/>
          <w:sz w:val="22"/>
          <w:szCs w:val="22"/>
        </w:rPr>
        <w:t>This alternative would not be associated with any capital expenses. However, it would not address the need for additional inpatient capacity at BMC, and, therefore, quality outcomes</w:t>
      </w:r>
      <w:r w:rsidR="00463FE6">
        <w:rPr>
          <w:rFonts w:ascii="ArialMT" w:hAnsi="ArialMT"/>
          <w:sz w:val="22"/>
          <w:szCs w:val="22"/>
        </w:rPr>
        <w:t>,</w:t>
      </w:r>
      <w:r w:rsidR="006C402A">
        <w:rPr>
          <w:rFonts w:ascii="ArialMT" w:hAnsi="ArialMT"/>
          <w:sz w:val="22"/>
          <w:szCs w:val="22"/>
        </w:rPr>
        <w:t xml:space="preserve"> </w:t>
      </w:r>
      <w:r w:rsidRPr="003D03A9">
        <w:rPr>
          <w:rFonts w:ascii="ArialMT" w:hAnsi="ArialMT"/>
          <w:sz w:val="22"/>
          <w:szCs w:val="22"/>
        </w:rPr>
        <w:t xml:space="preserve">operational </w:t>
      </w:r>
      <w:r w:rsidR="00463FE6">
        <w:rPr>
          <w:rFonts w:ascii="ArialMT" w:hAnsi="ArialMT"/>
          <w:sz w:val="22"/>
          <w:szCs w:val="22"/>
        </w:rPr>
        <w:t>efficiencies, and</w:t>
      </w:r>
      <w:r w:rsidR="00463FE6" w:rsidRPr="003D03A9">
        <w:rPr>
          <w:rFonts w:ascii="ArialMT" w:hAnsi="ArialMT"/>
          <w:sz w:val="22"/>
          <w:szCs w:val="22"/>
        </w:rPr>
        <w:t xml:space="preserve"> </w:t>
      </w:r>
      <w:r w:rsidRPr="003D03A9">
        <w:rPr>
          <w:rFonts w:ascii="ArialMT" w:hAnsi="ArialMT"/>
          <w:sz w:val="22"/>
          <w:szCs w:val="22"/>
        </w:rPr>
        <w:t xml:space="preserve">cost </w:t>
      </w:r>
      <w:r w:rsidR="00463FE6">
        <w:rPr>
          <w:rFonts w:ascii="ArialMT" w:hAnsi="ArialMT"/>
          <w:sz w:val="22"/>
          <w:szCs w:val="22"/>
        </w:rPr>
        <w:t>containment measures</w:t>
      </w:r>
      <w:r w:rsidR="00463FE6" w:rsidRPr="003D03A9">
        <w:rPr>
          <w:rFonts w:ascii="ArialMT" w:hAnsi="ArialMT"/>
          <w:sz w:val="22"/>
          <w:szCs w:val="22"/>
        </w:rPr>
        <w:t xml:space="preserve"> </w:t>
      </w:r>
      <w:r w:rsidRPr="003D03A9">
        <w:rPr>
          <w:rFonts w:ascii="ArialMT" w:hAnsi="ArialMT"/>
          <w:sz w:val="22"/>
          <w:szCs w:val="22"/>
        </w:rPr>
        <w:t xml:space="preserve">anticipated to be </w:t>
      </w:r>
      <w:r w:rsidR="00DE2836">
        <w:rPr>
          <w:rFonts w:ascii="ArialMT" w:hAnsi="ArialMT"/>
          <w:sz w:val="22"/>
          <w:szCs w:val="22"/>
        </w:rPr>
        <w:t>achieved</w:t>
      </w:r>
      <w:r w:rsidR="00DE2836" w:rsidRPr="003D03A9">
        <w:rPr>
          <w:rFonts w:ascii="ArialMT" w:hAnsi="ArialMT"/>
          <w:sz w:val="22"/>
          <w:szCs w:val="22"/>
        </w:rPr>
        <w:t xml:space="preserve"> </w:t>
      </w:r>
      <w:r w:rsidRPr="003D03A9">
        <w:rPr>
          <w:rFonts w:ascii="ArialMT" w:hAnsi="ArialMT"/>
          <w:sz w:val="22"/>
          <w:szCs w:val="22"/>
        </w:rPr>
        <w:t xml:space="preserve">through the Proposed Project would not be realized. </w:t>
      </w:r>
    </w:p>
    <w:p w14:paraId="76653854" w14:textId="77777777" w:rsidR="003D03A9" w:rsidRPr="003D03A9" w:rsidRDefault="003D03A9" w:rsidP="003D03A9">
      <w:pPr>
        <w:ind w:left="1440"/>
        <w:jc w:val="both"/>
        <w:textAlignment w:val="baseline"/>
        <w:rPr>
          <w:rFonts w:ascii="Segoe UI" w:hAnsi="Segoe UI" w:cs="Segoe UI"/>
          <w:sz w:val="18"/>
          <w:szCs w:val="18"/>
        </w:rPr>
      </w:pPr>
    </w:p>
    <w:p w14:paraId="242EE8BA" w14:textId="3F07EB13" w:rsidR="003D03A9" w:rsidRPr="003D03A9" w:rsidRDefault="003D03A9" w:rsidP="003D03A9">
      <w:pPr>
        <w:ind w:left="1440"/>
        <w:jc w:val="both"/>
        <w:textAlignment w:val="baseline"/>
        <w:rPr>
          <w:rFonts w:ascii="Segoe UI" w:hAnsi="Segoe UI" w:cs="Segoe UI"/>
          <w:sz w:val="18"/>
          <w:szCs w:val="18"/>
        </w:rPr>
      </w:pPr>
      <w:r w:rsidRPr="003D03A9">
        <w:rPr>
          <w:rFonts w:ascii="Arial" w:hAnsi="Arial" w:cs="Arial"/>
          <w:b/>
          <w:bCs/>
          <w:sz w:val="22"/>
          <w:szCs w:val="22"/>
        </w:rPr>
        <w:t>Alternative Operating Costs:</w:t>
      </w:r>
      <w:r w:rsidRPr="003D03A9">
        <w:rPr>
          <w:rFonts w:ascii="Arial" w:hAnsi="Arial" w:cs="Arial"/>
          <w:sz w:val="22"/>
          <w:szCs w:val="22"/>
        </w:rPr>
        <w:t> </w:t>
      </w:r>
      <w:r w:rsidRPr="003D03A9">
        <w:rPr>
          <w:rFonts w:ascii="ArialMT" w:hAnsi="ArialMT"/>
          <w:sz w:val="22"/>
          <w:szCs w:val="22"/>
        </w:rPr>
        <w:t>Although this alternative would not be associated with any operating costs, it would not address the need for additional inpatient capacity at BMC. Therefore, quality outcomes</w:t>
      </w:r>
      <w:r w:rsidR="00463FE6">
        <w:rPr>
          <w:rFonts w:ascii="ArialMT" w:hAnsi="ArialMT"/>
          <w:sz w:val="22"/>
          <w:szCs w:val="22"/>
        </w:rPr>
        <w:t xml:space="preserve">, </w:t>
      </w:r>
      <w:r w:rsidRPr="003D03A9">
        <w:rPr>
          <w:rFonts w:ascii="ArialMT" w:hAnsi="ArialMT"/>
          <w:sz w:val="22"/>
          <w:szCs w:val="22"/>
        </w:rPr>
        <w:t xml:space="preserve">operational </w:t>
      </w:r>
      <w:r w:rsidR="00463FE6">
        <w:rPr>
          <w:rFonts w:ascii="ArialMT" w:hAnsi="ArialMT"/>
          <w:sz w:val="22"/>
          <w:szCs w:val="22"/>
        </w:rPr>
        <w:t xml:space="preserve">efficiencies, </w:t>
      </w:r>
      <w:r w:rsidRPr="003D03A9">
        <w:rPr>
          <w:rFonts w:ascii="ArialMT" w:hAnsi="ArialMT"/>
          <w:sz w:val="22"/>
          <w:szCs w:val="22"/>
        </w:rPr>
        <w:t xml:space="preserve">and cost </w:t>
      </w:r>
      <w:r w:rsidR="00463FE6">
        <w:rPr>
          <w:rFonts w:ascii="ArialMT" w:hAnsi="ArialMT"/>
          <w:sz w:val="22"/>
          <w:szCs w:val="22"/>
        </w:rPr>
        <w:t>containment</w:t>
      </w:r>
      <w:r w:rsidR="00463FE6" w:rsidRPr="003D03A9">
        <w:rPr>
          <w:rFonts w:ascii="ArialMT" w:hAnsi="ArialMT"/>
          <w:sz w:val="22"/>
          <w:szCs w:val="22"/>
        </w:rPr>
        <w:t xml:space="preserve"> </w:t>
      </w:r>
      <w:r w:rsidR="006C402A">
        <w:rPr>
          <w:rFonts w:ascii="ArialMT" w:hAnsi="ArialMT"/>
          <w:sz w:val="22"/>
          <w:szCs w:val="22"/>
        </w:rPr>
        <w:t xml:space="preserve">measures </w:t>
      </w:r>
      <w:r w:rsidRPr="003D03A9">
        <w:rPr>
          <w:rFonts w:ascii="ArialMT" w:hAnsi="ArialMT"/>
          <w:sz w:val="22"/>
          <w:szCs w:val="22"/>
        </w:rPr>
        <w:t xml:space="preserve">anticipated to be </w:t>
      </w:r>
      <w:r w:rsidR="00DE2836">
        <w:rPr>
          <w:rFonts w:ascii="ArialMT" w:hAnsi="ArialMT"/>
          <w:sz w:val="22"/>
          <w:szCs w:val="22"/>
        </w:rPr>
        <w:t>achieved</w:t>
      </w:r>
      <w:r w:rsidR="00DE2836" w:rsidRPr="003D03A9">
        <w:rPr>
          <w:rFonts w:ascii="ArialMT" w:hAnsi="ArialMT"/>
          <w:sz w:val="22"/>
          <w:szCs w:val="22"/>
        </w:rPr>
        <w:t xml:space="preserve"> </w:t>
      </w:r>
      <w:r w:rsidRPr="003D03A9">
        <w:rPr>
          <w:rFonts w:ascii="ArialMT" w:hAnsi="ArialMT"/>
          <w:sz w:val="22"/>
          <w:szCs w:val="22"/>
        </w:rPr>
        <w:t>through the Proposed Project would not be realized.</w:t>
      </w:r>
    </w:p>
    <w:p w14:paraId="36A2E4F0" w14:textId="77777777" w:rsidR="003D03A9" w:rsidRPr="003D03A9" w:rsidRDefault="003D03A9" w:rsidP="003D03A9">
      <w:pPr>
        <w:jc w:val="both"/>
        <w:rPr>
          <w:rFonts w:ascii="Arial" w:hAnsi="Arial" w:cs="Arial"/>
          <w:sz w:val="22"/>
          <w:szCs w:val="22"/>
        </w:rPr>
      </w:pPr>
    </w:p>
    <w:p w14:paraId="22359BF6" w14:textId="77777777" w:rsidR="003D03A9" w:rsidRPr="003D03A9" w:rsidRDefault="003D03A9" w:rsidP="003D03A9">
      <w:pPr>
        <w:ind w:left="720"/>
        <w:jc w:val="both"/>
        <w:textAlignment w:val="baseline"/>
        <w:rPr>
          <w:rFonts w:ascii="Segoe UI" w:hAnsi="Segoe UI" w:cs="Segoe UI"/>
          <w:sz w:val="18"/>
          <w:szCs w:val="18"/>
        </w:rPr>
      </w:pPr>
      <w:r w:rsidRPr="003D03A9">
        <w:rPr>
          <w:rFonts w:ascii="Arial" w:hAnsi="Arial" w:cs="Arial"/>
          <w:b/>
          <w:bCs/>
          <w:sz w:val="22"/>
          <w:szCs w:val="22"/>
        </w:rPr>
        <w:t>Alternative Proposal #2:</w:t>
      </w:r>
      <w:r w:rsidRPr="003D03A9">
        <w:rPr>
          <w:rFonts w:ascii="Arial" w:hAnsi="Arial" w:cs="Arial"/>
          <w:sz w:val="22"/>
          <w:szCs w:val="22"/>
        </w:rPr>
        <w:t> The second alternative to the Proposed Project is to achieve additional inpatient capacity through construction of a new inpatient building on BMC’s main campus.</w:t>
      </w:r>
    </w:p>
    <w:p w14:paraId="7DACFEDC" w14:textId="77777777" w:rsidR="003D03A9" w:rsidRPr="003D03A9" w:rsidRDefault="003D03A9" w:rsidP="003D03A9">
      <w:pPr>
        <w:jc w:val="both"/>
        <w:textAlignment w:val="baseline"/>
        <w:rPr>
          <w:rFonts w:ascii="Segoe UI" w:hAnsi="Segoe UI" w:cs="Segoe UI"/>
          <w:sz w:val="18"/>
          <w:szCs w:val="18"/>
        </w:rPr>
      </w:pPr>
      <w:r w:rsidRPr="003D03A9">
        <w:rPr>
          <w:rFonts w:ascii="Arial" w:hAnsi="Arial" w:cs="Arial"/>
          <w:sz w:val="22"/>
          <w:szCs w:val="22"/>
        </w:rPr>
        <w:t> </w:t>
      </w:r>
    </w:p>
    <w:p w14:paraId="70BA3D99" w14:textId="77777777" w:rsidR="003D03A9" w:rsidRPr="003D03A9" w:rsidRDefault="003D03A9" w:rsidP="003D03A9">
      <w:pPr>
        <w:ind w:left="1440"/>
        <w:jc w:val="both"/>
        <w:textAlignment w:val="baseline"/>
        <w:rPr>
          <w:rFonts w:ascii="Segoe UI" w:hAnsi="Segoe UI" w:cs="Segoe UI"/>
          <w:sz w:val="18"/>
          <w:szCs w:val="18"/>
        </w:rPr>
      </w:pPr>
      <w:r w:rsidRPr="003D03A9">
        <w:rPr>
          <w:rFonts w:ascii="Arial" w:hAnsi="Arial" w:cs="Arial"/>
          <w:b/>
          <w:bCs/>
          <w:sz w:val="22"/>
          <w:szCs w:val="22"/>
        </w:rPr>
        <w:t>Alternative Quality:</w:t>
      </w:r>
      <w:r w:rsidRPr="003D03A9">
        <w:rPr>
          <w:rFonts w:ascii="Arial" w:hAnsi="Arial" w:cs="Arial"/>
          <w:sz w:val="22"/>
          <w:szCs w:val="22"/>
        </w:rPr>
        <w:t> This alternative would improve quality of care by expanding capacity of inpatient services at BMC. However, it would be associated with a longer timeline to implementation than the Proposed Project. Therefore, quality outcomes would not be achieved as soon as through the Proposed Project. Moreover, this alternative is associated with higher risk as well as significantly higher costs, as detailed below.</w:t>
      </w:r>
    </w:p>
    <w:p w14:paraId="33DA0434" w14:textId="77777777" w:rsidR="003D03A9" w:rsidRPr="003D03A9" w:rsidRDefault="003D03A9" w:rsidP="003D03A9">
      <w:pPr>
        <w:ind w:left="1440"/>
        <w:jc w:val="both"/>
        <w:textAlignment w:val="baseline"/>
        <w:rPr>
          <w:rFonts w:ascii="Segoe UI" w:hAnsi="Segoe UI" w:cs="Segoe UI"/>
          <w:sz w:val="18"/>
          <w:szCs w:val="18"/>
        </w:rPr>
      </w:pPr>
    </w:p>
    <w:p w14:paraId="4DE00ED7" w14:textId="0FAA9468" w:rsidR="003D03A9" w:rsidRPr="003D03A9" w:rsidRDefault="003D03A9" w:rsidP="003D03A9">
      <w:pPr>
        <w:ind w:left="1440"/>
        <w:jc w:val="both"/>
        <w:textAlignment w:val="baseline"/>
        <w:rPr>
          <w:rFonts w:ascii="Arial" w:hAnsi="Arial" w:cs="Arial"/>
          <w:color w:val="000000" w:themeColor="text1"/>
          <w:sz w:val="22"/>
          <w:szCs w:val="22"/>
        </w:rPr>
      </w:pPr>
      <w:r w:rsidRPr="003D03A9">
        <w:rPr>
          <w:rFonts w:ascii="Arial" w:hAnsi="Arial" w:cs="Arial"/>
          <w:b/>
          <w:bCs/>
          <w:sz w:val="22"/>
          <w:szCs w:val="22"/>
        </w:rPr>
        <w:t>Alternative Efficiency:</w:t>
      </w:r>
      <w:r w:rsidRPr="003D03A9">
        <w:rPr>
          <w:rFonts w:ascii="Arial" w:hAnsi="Arial" w:cs="Arial"/>
          <w:sz w:val="22"/>
          <w:szCs w:val="22"/>
        </w:rPr>
        <w:t xml:space="preserve"> </w:t>
      </w:r>
      <w:r w:rsidRPr="003D03A9">
        <w:rPr>
          <w:rFonts w:ascii="ArialMT" w:hAnsi="ArialMT"/>
          <w:sz w:val="22"/>
          <w:szCs w:val="22"/>
        </w:rPr>
        <w:t>Like the Proposed Project, the Applicant anticipates that this alternative would result in improved efficiency by creating additional inpatient capacity and, thereby, helping to alleviate access and throughput concerns across the Hospital and ensure that patients receive care in the most appropriate setting.</w:t>
      </w:r>
      <w:r w:rsidRPr="003D03A9">
        <w:rPr>
          <w:rFonts w:ascii="Arial" w:hAnsi="Arial" w:cs="Arial"/>
          <w:sz w:val="22"/>
          <w:szCs w:val="22"/>
        </w:rPr>
        <w:t xml:space="preserve"> However, whereas the Proposed Project </w:t>
      </w:r>
      <w:r w:rsidRPr="003D03A9">
        <w:rPr>
          <w:rFonts w:ascii="Arial" w:hAnsi="Arial" w:cs="Arial"/>
          <w:color w:val="000000" w:themeColor="text1"/>
          <w:sz w:val="22"/>
          <w:szCs w:val="22"/>
        </w:rPr>
        <w:t xml:space="preserve">is designed to conservatively increase inpatient bed and </w:t>
      </w:r>
      <w:r w:rsidR="0058553D">
        <w:rPr>
          <w:rFonts w:ascii="Arial" w:hAnsi="Arial" w:cs="Arial"/>
          <w:color w:val="000000" w:themeColor="text1"/>
          <w:sz w:val="22"/>
          <w:szCs w:val="22"/>
        </w:rPr>
        <w:t>OR</w:t>
      </w:r>
      <w:r w:rsidRPr="003D03A9">
        <w:rPr>
          <w:rFonts w:ascii="Arial" w:hAnsi="Arial" w:cs="Arial"/>
          <w:color w:val="000000" w:themeColor="text1"/>
          <w:sz w:val="22"/>
          <w:szCs w:val="22"/>
        </w:rPr>
        <w:t xml:space="preserve"> capacity, this alternative would represent a more drastic approach with the addition of </w:t>
      </w:r>
      <w:r w:rsidR="00DE2836">
        <w:rPr>
          <w:rFonts w:ascii="Arial" w:hAnsi="Arial" w:cs="Arial"/>
          <w:color w:val="000000" w:themeColor="text1"/>
          <w:sz w:val="22"/>
          <w:szCs w:val="22"/>
        </w:rPr>
        <w:t>one-hundred (</w:t>
      </w:r>
      <w:r w:rsidRPr="003D03A9">
        <w:rPr>
          <w:rFonts w:ascii="Arial" w:hAnsi="Arial" w:cs="Arial"/>
          <w:color w:val="000000" w:themeColor="text1"/>
          <w:sz w:val="22"/>
          <w:szCs w:val="22"/>
        </w:rPr>
        <w:t>100</w:t>
      </w:r>
      <w:r w:rsidR="00DE2836">
        <w:rPr>
          <w:rFonts w:ascii="Arial" w:hAnsi="Arial" w:cs="Arial"/>
          <w:color w:val="000000" w:themeColor="text1"/>
          <w:sz w:val="22"/>
          <w:szCs w:val="22"/>
        </w:rPr>
        <w:t>)</w:t>
      </w:r>
      <w:r w:rsidRPr="003D03A9">
        <w:rPr>
          <w:rFonts w:ascii="Arial" w:hAnsi="Arial" w:cs="Arial"/>
          <w:color w:val="000000" w:themeColor="text1"/>
          <w:sz w:val="22"/>
          <w:szCs w:val="22"/>
        </w:rPr>
        <w:t xml:space="preserve"> inpatient beds and </w:t>
      </w:r>
      <w:r w:rsidR="00DE2836">
        <w:rPr>
          <w:rFonts w:ascii="Arial" w:hAnsi="Arial" w:cs="Arial"/>
          <w:color w:val="000000" w:themeColor="text1"/>
          <w:sz w:val="22"/>
          <w:szCs w:val="22"/>
        </w:rPr>
        <w:t>more than eight (</w:t>
      </w:r>
      <w:r w:rsidRPr="003D03A9">
        <w:rPr>
          <w:rFonts w:ascii="Arial" w:hAnsi="Arial" w:cs="Arial"/>
          <w:color w:val="000000" w:themeColor="text1"/>
          <w:sz w:val="22"/>
          <w:szCs w:val="22"/>
        </w:rPr>
        <w:t>8</w:t>
      </w:r>
      <w:r w:rsidR="00DE2836">
        <w:rPr>
          <w:rFonts w:ascii="Arial" w:hAnsi="Arial" w:cs="Arial"/>
          <w:color w:val="000000" w:themeColor="text1"/>
          <w:sz w:val="22"/>
          <w:szCs w:val="22"/>
        </w:rPr>
        <w:t>)</w:t>
      </w:r>
      <w:r w:rsidRPr="003D03A9">
        <w:rPr>
          <w:rFonts w:ascii="Arial" w:hAnsi="Arial" w:cs="Arial"/>
          <w:color w:val="000000" w:themeColor="text1"/>
          <w:sz w:val="22"/>
          <w:szCs w:val="22"/>
        </w:rPr>
        <w:t xml:space="preserve"> inpatient ORs. Accordingly, this alternative is associated with higher risk; </w:t>
      </w:r>
      <w:r w:rsidRPr="003D03A9">
        <w:rPr>
          <w:rFonts w:ascii="Arial" w:hAnsi="Arial" w:cs="Arial"/>
          <w:sz w:val="22"/>
          <w:szCs w:val="22"/>
        </w:rPr>
        <w:t>if there is not significant patient panel volume growth to support this drastic increase in inpatient services, the Applicant anticipates potential cost inefficiencies.</w:t>
      </w:r>
    </w:p>
    <w:p w14:paraId="27A620AE" w14:textId="77777777" w:rsidR="003D03A9" w:rsidRPr="003D03A9" w:rsidRDefault="003D03A9" w:rsidP="003D03A9">
      <w:pPr>
        <w:jc w:val="both"/>
        <w:textAlignment w:val="baseline"/>
        <w:rPr>
          <w:rFonts w:ascii="Segoe UI" w:hAnsi="Segoe UI" w:cs="Segoe UI"/>
          <w:sz w:val="18"/>
          <w:szCs w:val="18"/>
        </w:rPr>
      </w:pPr>
    </w:p>
    <w:p w14:paraId="2B406D22" w14:textId="6EF28850" w:rsidR="003D03A9" w:rsidRPr="003D03A9" w:rsidRDefault="003D03A9" w:rsidP="003D03A9">
      <w:pPr>
        <w:ind w:left="1440"/>
        <w:jc w:val="both"/>
        <w:textAlignment w:val="baseline"/>
        <w:rPr>
          <w:rFonts w:ascii="Segoe UI" w:hAnsi="Segoe UI" w:cs="Segoe UI"/>
          <w:sz w:val="18"/>
          <w:szCs w:val="18"/>
        </w:rPr>
      </w:pPr>
      <w:r w:rsidRPr="003D03A9">
        <w:rPr>
          <w:rFonts w:ascii="Arial" w:hAnsi="Arial" w:cs="Arial"/>
          <w:b/>
          <w:bCs/>
          <w:sz w:val="22"/>
          <w:szCs w:val="22"/>
        </w:rPr>
        <w:t>Alternative Capital Expense:</w:t>
      </w:r>
      <w:r w:rsidRPr="003D03A9">
        <w:rPr>
          <w:rFonts w:ascii="Arial" w:hAnsi="Arial" w:cs="Arial"/>
          <w:sz w:val="22"/>
          <w:szCs w:val="22"/>
        </w:rPr>
        <w:t> </w:t>
      </w:r>
      <w:r w:rsidRPr="003D03A9">
        <w:rPr>
          <w:rFonts w:ascii="ArialMT" w:hAnsi="ArialMT"/>
          <w:sz w:val="22"/>
          <w:szCs w:val="22"/>
        </w:rPr>
        <w:t xml:space="preserve">The capital expenses </w:t>
      </w:r>
      <w:r w:rsidRPr="003D03A9">
        <w:rPr>
          <w:rFonts w:ascii="Arial" w:hAnsi="Arial" w:cs="Arial"/>
          <w:sz w:val="22"/>
          <w:szCs w:val="22"/>
        </w:rPr>
        <w:t xml:space="preserve">associated with this alternative would be significantly higher than those associated with the Proposed Project. Specifically, the Applicant anticipates that this alternative would result in a total capital expenditure of greater than </w:t>
      </w:r>
      <w:r w:rsidRPr="000A2E6A">
        <w:rPr>
          <w:rFonts w:ascii="Arial" w:hAnsi="Arial" w:cs="Arial"/>
          <w:sz w:val="22"/>
          <w:szCs w:val="22"/>
        </w:rPr>
        <w:t>$</w:t>
      </w:r>
      <w:r w:rsidR="000A2E6A" w:rsidRPr="000A2E6A">
        <w:rPr>
          <w:rFonts w:ascii="Arial" w:hAnsi="Arial" w:cs="Arial"/>
          <w:sz w:val="22"/>
          <w:szCs w:val="22"/>
          <w:shd w:val="clear" w:color="auto" w:fill="FFFFFF"/>
        </w:rPr>
        <w:t>4</w:t>
      </w:r>
      <w:r w:rsidRPr="000A2E6A">
        <w:rPr>
          <w:rFonts w:ascii="Arial" w:hAnsi="Arial" w:cs="Arial"/>
          <w:sz w:val="22"/>
          <w:szCs w:val="22"/>
          <w:shd w:val="clear" w:color="auto" w:fill="FFFFFF"/>
        </w:rPr>
        <w:t>50,000,000</w:t>
      </w:r>
      <w:r w:rsidRPr="003D03A9">
        <w:rPr>
          <w:rFonts w:ascii="Arial" w:hAnsi="Arial" w:cs="Arial"/>
          <w:sz w:val="22"/>
          <w:szCs w:val="22"/>
        </w:rPr>
        <w:t>.</w:t>
      </w:r>
    </w:p>
    <w:p w14:paraId="61A7747C" w14:textId="77777777" w:rsidR="003D03A9" w:rsidRPr="003D03A9" w:rsidRDefault="003D03A9" w:rsidP="003D03A9">
      <w:pPr>
        <w:ind w:left="1440"/>
        <w:jc w:val="both"/>
        <w:textAlignment w:val="baseline"/>
        <w:rPr>
          <w:rFonts w:ascii="Segoe UI" w:hAnsi="Segoe UI" w:cs="Segoe UI"/>
          <w:sz w:val="18"/>
          <w:szCs w:val="18"/>
        </w:rPr>
      </w:pPr>
    </w:p>
    <w:p w14:paraId="4DC631F6" w14:textId="4453B83C" w:rsidR="0078772D" w:rsidRPr="0078772D" w:rsidRDefault="003D03A9" w:rsidP="00261186">
      <w:pPr>
        <w:pStyle w:val="paragraph"/>
        <w:spacing w:before="0" w:beforeAutospacing="0" w:after="0" w:afterAutospacing="0"/>
        <w:ind w:left="1440"/>
        <w:jc w:val="both"/>
        <w:textAlignment w:val="baseline"/>
        <w:rPr>
          <w:rFonts w:ascii="Segoe UI" w:hAnsi="Segoe UI" w:cs="Segoe UI"/>
          <w:sz w:val="18"/>
          <w:szCs w:val="18"/>
        </w:rPr>
      </w:pPr>
      <w:r w:rsidRPr="003D03A9">
        <w:rPr>
          <w:rFonts w:ascii="Arial" w:hAnsi="Arial" w:cs="Arial"/>
          <w:b/>
          <w:bCs/>
          <w:sz w:val="22"/>
          <w:szCs w:val="22"/>
        </w:rPr>
        <w:t>Alternative Operating Costs:</w:t>
      </w:r>
      <w:r w:rsidRPr="003D03A9">
        <w:rPr>
          <w:rFonts w:ascii="Arial" w:hAnsi="Arial" w:cs="Arial"/>
          <w:sz w:val="22"/>
          <w:szCs w:val="22"/>
        </w:rPr>
        <w:t>  </w:t>
      </w:r>
      <w:r w:rsidR="003B0C98">
        <w:rPr>
          <w:rFonts w:ascii="Arial" w:hAnsi="Arial" w:cs="Arial"/>
          <w:sz w:val="22"/>
          <w:szCs w:val="22"/>
        </w:rPr>
        <w:t>There would be operating costs associated with this alternative. However, c</w:t>
      </w:r>
      <w:r w:rsidR="00D767D6">
        <w:rPr>
          <w:rFonts w:ascii="Arial" w:hAnsi="Arial" w:cs="Arial"/>
          <w:sz w:val="22"/>
          <w:szCs w:val="22"/>
        </w:rPr>
        <w:t>apital costs associated with</w:t>
      </w:r>
      <w:r w:rsidR="003B0C98">
        <w:rPr>
          <w:rFonts w:ascii="Arial" w:hAnsi="Arial" w:cs="Arial"/>
          <w:sz w:val="22"/>
          <w:szCs w:val="22"/>
        </w:rPr>
        <w:t xml:space="preserve"> this alternative were significantly higher than the Proposed Project. Accordingly, the Applicant did not move forward with an operating cost analysis for this alternative or pursue the option any further.</w:t>
      </w:r>
      <w:r w:rsidR="00D767D6">
        <w:rPr>
          <w:rFonts w:ascii="Arial" w:hAnsi="Arial" w:cs="Arial"/>
          <w:sz w:val="22"/>
          <w:szCs w:val="22"/>
        </w:rPr>
        <w:t xml:space="preserve"> </w:t>
      </w:r>
    </w:p>
    <w:sectPr w:rsidR="0078772D" w:rsidRPr="0078772D" w:rsidSect="00B41593">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84E3" w14:textId="77777777" w:rsidR="00F87BC0" w:rsidRDefault="00F87BC0" w:rsidP="009F76F1">
      <w:r>
        <w:separator/>
      </w:r>
    </w:p>
  </w:endnote>
  <w:endnote w:type="continuationSeparator" w:id="0">
    <w:p w14:paraId="6FABC1A9" w14:textId="77777777" w:rsidR="00F87BC0" w:rsidRDefault="00F87BC0"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MT">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7A4F" w14:textId="77777777" w:rsidR="006D69A9" w:rsidRDefault="006D69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160296"/>
      <w:docPartObj>
        <w:docPartGallery w:val="Page Numbers (Bottom of Page)"/>
        <w:docPartUnique/>
      </w:docPartObj>
    </w:sdtPr>
    <w:sdtEndPr>
      <w:rPr>
        <w:noProof/>
      </w:rPr>
    </w:sdtEndPr>
    <w:sdtContent>
      <w:p w14:paraId="26DD45C7" w14:textId="3177C03C" w:rsidR="00147C82" w:rsidRDefault="00147C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E5BEC" w14:textId="77777777" w:rsidR="00B41593" w:rsidRDefault="00B41593" w:rsidP="00112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EndPr>
      <w:rPr>
        <w:rStyle w:val="PageNumber"/>
      </w:rPr>
    </w:sdtEndPr>
    <w:sdtContent>
      <w:p w14:paraId="4A3B4BC8" w14:textId="2646FC83" w:rsidR="0011254C" w:rsidRDefault="0011254C"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42910" w14:textId="77777777" w:rsidR="0011254C" w:rsidRDefault="0011254C" w:rsidP="00112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702" w14:textId="77777777" w:rsidR="0011254C" w:rsidRDefault="0011254C" w:rsidP="0011254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01749C6" w14:textId="5B32D3D8"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4254CC" w:rsidRPr="00514125">
              <w:rPr>
                <w:rFonts w:ascii="Arial" w:hAnsi="Arial" w:cs="Arial"/>
                <w:color w:val="050505"/>
                <w:w w:val="95"/>
                <w:sz w:val="18"/>
                <w:szCs w:val="18"/>
              </w:rPr>
              <w:t>BMC Health System, Inc.</w:t>
            </w:r>
            <w:r w:rsidRPr="00514125">
              <w:rPr>
                <w:rFonts w:ascii="Arial" w:hAnsi="Arial" w:cs="Arial"/>
                <w:color w:val="050505"/>
                <w:w w:val="95"/>
                <w:sz w:val="18"/>
                <w:szCs w:val="18"/>
              </w:rPr>
              <w:tab/>
            </w:r>
            <w:r w:rsidR="00514125" w:rsidRPr="00514125">
              <w:rPr>
                <w:rFonts w:ascii="Arial" w:hAnsi="Arial" w:cs="Arial"/>
                <w:color w:val="050505"/>
                <w:w w:val="95"/>
                <w:sz w:val="18"/>
                <w:szCs w:val="18"/>
              </w:rPr>
              <w:t>08/09/2022 8:20 am</w:t>
            </w:r>
            <w:r w:rsidRPr="00514125">
              <w:rPr>
                <w:rFonts w:ascii="Arial" w:hAnsi="Arial" w:cs="Arial"/>
                <w:color w:val="050505"/>
                <w:w w:val="95"/>
                <w:sz w:val="18"/>
                <w:szCs w:val="18"/>
              </w:rPr>
              <w:tab/>
            </w:r>
            <w:r w:rsidR="009B5A21" w:rsidRPr="009B5A21">
              <w:rPr>
                <w:rFonts w:ascii="Arial" w:hAnsi="Arial" w:cs="Arial"/>
                <w:color w:val="050505"/>
                <w:w w:val="95"/>
                <w:sz w:val="18"/>
                <w:szCs w:val="18"/>
              </w:rPr>
              <w:t>BMCHS-22080908-HE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51F1E9BB" w14:textId="77777777"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Application Form BMC Health System, Inc.</w:t>
            </w:r>
            <w:r w:rsidRPr="00514125">
              <w:rPr>
                <w:rFonts w:ascii="Arial" w:hAnsi="Arial" w:cs="Arial"/>
                <w:color w:val="050505"/>
                <w:w w:val="95"/>
                <w:sz w:val="18"/>
                <w:szCs w:val="18"/>
              </w:rPr>
              <w:tab/>
              <w:t>08/09/2022 8:20 am</w:t>
            </w:r>
            <w:r w:rsidRPr="00514125">
              <w:rPr>
                <w:rFonts w:ascii="Arial" w:hAnsi="Arial" w:cs="Arial"/>
                <w:color w:val="050505"/>
                <w:w w:val="95"/>
                <w:sz w:val="18"/>
                <w:szCs w:val="18"/>
              </w:rPr>
              <w:tab/>
            </w:r>
            <w:r w:rsidRPr="009B5A21">
              <w:rPr>
                <w:rFonts w:ascii="Arial" w:hAnsi="Arial" w:cs="Arial"/>
                <w:color w:val="050505"/>
                <w:w w:val="95"/>
                <w:sz w:val="18"/>
                <w:szCs w:val="18"/>
              </w:rPr>
              <w:t>BMCHS-22080908-HE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C856" w14:textId="77777777" w:rsidR="006D69A9" w:rsidRDefault="006D69A9" w:rsidP="0011254C">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01AC" w14:textId="097253CF" w:rsidR="0017749B" w:rsidRDefault="0017749B">
    <w:pPr>
      <w:pStyle w:val="Footer"/>
      <w:jc w:val="right"/>
    </w:pPr>
  </w:p>
  <w:p w14:paraId="61F5BD85" w14:textId="77777777" w:rsidR="0017749B" w:rsidRDefault="0017749B" w:rsidP="0011254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188590"/>
      <w:docPartObj>
        <w:docPartGallery w:val="Page Numbers (Bottom of Page)"/>
        <w:docPartUnique/>
      </w:docPartObj>
    </w:sdtPr>
    <w:sdtEndPr>
      <w:rPr>
        <w:noProof/>
      </w:rPr>
    </w:sdtEndPr>
    <w:sdtContent>
      <w:p w14:paraId="4A313756" w14:textId="14A62763" w:rsidR="006D69A9" w:rsidRDefault="006D69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77A3E5" w14:textId="77777777" w:rsidR="006D69A9" w:rsidRDefault="006D69A9" w:rsidP="0011254C">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5FB3" w14:textId="665C67C4" w:rsidR="00147C82" w:rsidRDefault="00147C82">
    <w:pPr>
      <w:pStyle w:val="Footer"/>
      <w:jc w:val="right"/>
    </w:pPr>
  </w:p>
  <w:p w14:paraId="6FF13B1A" w14:textId="77777777" w:rsidR="00147C82" w:rsidRDefault="00147C82" w:rsidP="001125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C6B6" w14:textId="77777777" w:rsidR="00F87BC0" w:rsidRDefault="00F87BC0" w:rsidP="009F76F1">
      <w:r>
        <w:separator/>
      </w:r>
    </w:p>
  </w:footnote>
  <w:footnote w:type="continuationSeparator" w:id="0">
    <w:p w14:paraId="3042D8F5" w14:textId="77777777" w:rsidR="00F87BC0" w:rsidRDefault="00F87BC0" w:rsidP="009F76F1">
      <w:r>
        <w:continuationSeparator/>
      </w:r>
    </w:p>
  </w:footnote>
  <w:footnote w:id="1">
    <w:p w14:paraId="4627B132" w14:textId="77777777" w:rsidR="00686618" w:rsidRPr="002800C1" w:rsidRDefault="009F76F1" w:rsidP="009F76F1">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686618" w:rsidRPr="002800C1">
        <w:rPr>
          <w:rFonts w:ascii="Arial" w:hAnsi="Arial" w:cs="Arial"/>
          <w:sz w:val="18"/>
          <w:szCs w:val="18"/>
        </w:rPr>
        <w:t xml:space="preserve">BMC Health System is currently comprised of the following four corporate affiliates: </w:t>
      </w:r>
    </w:p>
    <w:p w14:paraId="6801ACEA" w14:textId="23DA2E72" w:rsidR="00686618" w:rsidRPr="002800C1" w:rsidRDefault="00686618" w:rsidP="00686618">
      <w:pPr>
        <w:pStyle w:val="FootnoteText"/>
        <w:numPr>
          <w:ilvl w:val="0"/>
          <w:numId w:val="3"/>
        </w:numPr>
        <w:rPr>
          <w:rFonts w:ascii="Arial" w:hAnsi="Arial" w:cs="Arial"/>
          <w:sz w:val="18"/>
          <w:szCs w:val="18"/>
        </w:rPr>
      </w:pPr>
      <w:r w:rsidRPr="002800C1">
        <w:rPr>
          <w:rFonts w:ascii="Arial" w:hAnsi="Arial" w:cs="Arial"/>
          <w:sz w:val="18"/>
          <w:szCs w:val="18"/>
        </w:rPr>
        <w:t xml:space="preserve">Boston Medical Center Corporation; </w:t>
      </w:r>
    </w:p>
    <w:p w14:paraId="521C0F9D" w14:textId="37E14D70" w:rsidR="00686618" w:rsidRPr="002800C1" w:rsidRDefault="00686618" w:rsidP="009F76F1">
      <w:pPr>
        <w:pStyle w:val="FootnoteText"/>
        <w:numPr>
          <w:ilvl w:val="0"/>
          <w:numId w:val="3"/>
        </w:numPr>
        <w:rPr>
          <w:rFonts w:ascii="Arial" w:hAnsi="Arial" w:cs="Arial"/>
          <w:sz w:val="18"/>
          <w:szCs w:val="18"/>
        </w:rPr>
      </w:pPr>
      <w:r w:rsidRPr="002800C1">
        <w:rPr>
          <w:rFonts w:ascii="Arial" w:hAnsi="Arial" w:cs="Arial"/>
          <w:sz w:val="18"/>
          <w:szCs w:val="18"/>
        </w:rPr>
        <w:t>Boston Medical Center Health Plan, Inc., a no</w:t>
      </w:r>
      <w:r w:rsidR="007F0EC1" w:rsidRPr="002800C1">
        <w:rPr>
          <w:rFonts w:ascii="Arial" w:hAnsi="Arial" w:cs="Arial"/>
          <w:sz w:val="18"/>
          <w:szCs w:val="18"/>
        </w:rPr>
        <w:t>n</w:t>
      </w:r>
      <w:r w:rsidRPr="002800C1">
        <w:rPr>
          <w:rFonts w:ascii="Arial" w:hAnsi="Arial" w:cs="Arial"/>
          <w:sz w:val="18"/>
          <w:szCs w:val="18"/>
        </w:rPr>
        <w:t xml:space="preserve">-profit corporation established to administer the </w:t>
      </w:r>
      <w:r w:rsidR="00201D19">
        <w:rPr>
          <w:rFonts w:ascii="Arial" w:hAnsi="Arial" w:cs="Arial"/>
          <w:sz w:val="18"/>
          <w:szCs w:val="18"/>
        </w:rPr>
        <w:t>WellSense Health Plan</w:t>
      </w:r>
      <w:r w:rsidRPr="002800C1">
        <w:rPr>
          <w:rFonts w:ascii="Arial" w:hAnsi="Arial" w:cs="Arial"/>
          <w:sz w:val="18"/>
          <w:szCs w:val="18"/>
        </w:rPr>
        <w:t xml:space="preserve">, a managed care organization providing comprehensive health insurance coverage options through Medicaid, Qualified Health Plans, and Senior Care Options to Massachusetts and New Hampshire residents; </w:t>
      </w:r>
    </w:p>
    <w:p w14:paraId="2B68C745" w14:textId="77777777" w:rsidR="00686618" w:rsidRPr="002800C1" w:rsidRDefault="00686618" w:rsidP="009F76F1">
      <w:pPr>
        <w:pStyle w:val="FootnoteText"/>
        <w:numPr>
          <w:ilvl w:val="0"/>
          <w:numId w:val="3"/>
        </w:numPr>
        <w:rPr>
          <w:rFonts w:ascii="Arial" w:hAnsi="Arial" w:cs="Arial"/>
          <w:sz w:val="18"/>
          <w:szCs w:val="18"/>
        </w:rPr>
      </w:pPr>
      <w:r w:rsidRPr="002800C1">
        <w:rPr>
          <w:rFonts w:ascii="Arial" w:hAnsi="Arial" w:cs="Arial"/>
          <w:sz w:val="18"/>
          <w:szCs w:val="18"/>
        </w:rPr>
        <w:t xml:space="preserve">Cornerstone Health Solutions, LLC, a pharmacy management services business with expertise in the operation of advanced health system specialty pharmacy programs; and </w:t>
      </w:r>
    </w:p>
    <w:p w14:paraId="1E9A9101" w14:textId="2402506B" w:rsidR="00686618" w:rsidRPr="002800C1" w:rsidRDefault="00686618" w:rsidP="009F76F1">
      <w:pPr>
        <w:pStyle w:val="FootnoteText"/>
        <w:numPr>
          <w:ilvl w:val="0"/>
          <w:numId w:val="3"/>
        </w:numPr>
        <w:rPr>
          <w:rFonts w:ascii="Arial" w:hAnsi="Arial" w:cs="Arial"/>
          <w:sz w:val="18"/>
          <w:szCs w:val="18"/>
        </w:rPr>
      </w:pPr>
      <w:r w:rsidRPr="002800C1">
        <w:rPr>
          <w:rFonts w:ascii="Arial" w:hAnsi="Arial" w:cs="Arial"/>
          <w:sz w:val="18"/>
          <w:szCs w:val="18"/>
        </w:rPr>
        <w:t>BMC Insurance Co., Ltd. of Vermont, a no</w:t>
      </w:r>
      <w:r w:rsidR="007F0EC1" w:rsidRPr="002800C1">
        <w:rPr>
          <w:rFonts w:ascii="Arial" w:hAnsi="Arial" w:cs="Arial"/>
          <w:sz w:val="18"/>
          <w:szCs w:val="18"/>
        </w:rPr>
        <w:t>n-</w:t>
      </w:r>
      <w:r w:rsidRPr="002800C1">
        <w:rPr>
          <w:rFonts w:ascii="Arial" w:hAnsi="Arial" w:cs="Arial"/>
          <w:sz w:val="18"/>
          <w:szCs w:val="18"/>
        </w:rPr>
        <w:t xml:space="preserve">profit dormant captive insurance company originally formed to provide insurance coverage for property and certain liability exposures arising from acts of terrorism under the Terrorism Risk Insurance Act of 2002. </w:t>
      </w:r>
    </w:p>
    <w:p w14:paraId="3E123470" w14:textId="77B90BDE" w:rsidR="009F76F1" w:rsidRPr="002800C1" w:rsidRDefault="009F76F1" w:rsidP="009F76F1">
      <w:pPr>
        <w:pStyle w:val="FootnoteText"/>
        <w:rPr>
          <w:rFonts w:ascii="Arial" w:hAnsi="Arial" w:cs="Arial"/>
          <w:sz w:val="18"/>
          <w:szCs w:val="18"/>
        </w:rPr>
      </w:pPr>
      <w:r w:rsidRPr="002800C1">
        <w:rPr>
          <w:rFonts w:ascii="Arial" w:hAnsi="Arial" w:cs="Arial"/>
          <w:sz w:val="18"/>
          <w:szCs w:val="18"/>
        </w:rPr>
        <w:t>BMC Health System is the sole corporate member of each of the four entities</w:t>
      </w:r>
      <w:r w:rsidR="002249D5" w:rsidRPr="002800C1">
        <w:rPr>
          <w:rFonts w:ascii="Arial" w:hAnsi="Arial" w:cs="Arial"/>
          <w:sz w:val="18"/>
          <w:szCs w:val="18"/>
        </w:rPr>
        <w:t>.</w:t>
      </w:r>
    </w:p>
  </w:footnote>
  <w:footnote w:id="2">
    <w:p w14:paraId="59CA73B1" w14:textId="77777777" w:rsidR="009D6A08" w:rsidRPr="002800C1" w:rsidRDefault="009D6A08" w:rsidP="009D6A08">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BUMG is jointly owned and operated by Boston Medical Center Corporation and Boston University Medical School.</w:t>
      </w:r>
    </w:p>
  </w:footnote>
  <w:footnote w:id="3">
    <w:p w14:paraId="7EADF13A" w14:textId="070CFA7C" w:rsidR="00736070" w:rsidRPr="002800C1" w:rsidRDefault="007B24DE" w:rsidP="00736070">
      <w:pPr>
        <w:rPr>
          <w:rFonts w:ascii="Arial" w:hAnsi="Arial" w:cs="Arial"/>
          <w:color w:val="000000" w:themeColor="text1"/>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736070" w:rsidRPr="002800C1">
        <w:rPr>
          <w:rFonts w:ascii="Arial" w:hAnsi="Arial" w:cs="Arial"/>
          <w:color w:val="000000" w:themeColor="text1"/>
          <w:sz w:val="18"/>
          <w:szCs w:val="18"/>
        </w:rPr>
        <w:t xml:space="preserve">Please note that BMC’s </w:t>
      </w:r>
      <w:r w:rsidR="001B010E" w:rsidRPr="002800C1">
        <w:rPr>
          <w:rFonts w:ascii="Arial" w:hAnsi="Arial" w:cs="Arial"/>
          <w:color w:val="000000" w:themeColor="text1"/>
          <w:sz w:val="18"/>
          <w:szCs w:val="18"/>
        </w:rPr>
        <w:t>p</w:t>
      </w:r>
      <w:r w:rsidR="00736070" w:rsidRPr="002800C1">
        <w:rPr>
          <w:rFonts w:ascii="Arial" w:hAnsi="Arial" w:cs="Arial"/>
          <w:color w:val="000000" w:themeColor="text1"/>
          <w:sz w:val="18"/>
          <w:szCs w:val="18"/>
        </w:rPr>
        <w:t xml:space="preserve">atient </w:t>
      </w:r>
      <w:r w:rsidR="001B010E" w:rsidRPr="002800C1">
        <w:rPr>
          <w:rFonts w:ascii="Arial" w:hAnsi="Arial" w:cs="Arial"/>
          <w:color w:val="000000" w:themeColor="text1"/>
          <w:sz w:val="18"/>
          <w:szCs w:val="18"/>
        </w:rPr>
        <w:t>p</w:t>
      </w:r>
      <w:r w:rsidR="00736070" w:rsidRPr="002800C1">
        <w:rPr>
          <w:rFonts w:ascii="Arial" w:hAnsi="Arial" w:cs="Arial"/>
          <w:color w:val="000000" w:themeColor="text1"/>
          <w:sz w:val="18"/>
          <w:szCs w:val="18"/>
        </w:rPr>
        <w:t xml:space="preserve">anel does not include </w:t>
      </w:r>
      <w:r w:rsidR="00801BE1" w:rsidRPr="002800C1">
        <w:rPr>
          <w:rFonts w:ascii="Arial" w:hAnsi="Arial" w:cs="Arial"/>
          <w:color w:val="000000" w:themeColor="text1"/>
          <w:sz w:val="18"/>
          <w:szCs w:val="18"/>
        </w:rPr>
        <w:t>utilization of patient care services at the following locations</w:t>
      </w:r>
      <w:r w:rsidR="00736070" w:rsidRPr="002800C1">
        <w:rPr>
          <w:rFonts w:ascii="Arial" w:hAnsi="Arial" w:cs="Arial"/>
          <w:color w:val="000000" w:themeColor="text1"/>
          <w:sz w:val="18"/>
          <w:szCs w:val="18"/>
        </w:rPr>
        <w:t xml:space="preserve">: </w:t>
      </w:r>
    </w:p>
    <w:p w14:paraId="720C355A" w14:textId="77777777" w:rsidR="00736070" w:rsidRPr="002800C1" w:rsidRDefault="00736070" w:rsidP="00736070">
      <w:pPr>
        <w:pStyle w:val="ListParagraph"/>
        <w:numPr>
          <w:ilvl w:val="0"/>
          <w:numId w:val="24"/>
        </w:numPr>
        <w:rPr>
          <w:rFonts w:ascii="Arial" w:hAnsi="Arial" w:cs="Arial"/>
          <w:color w:val="000000" w:themeColor="text1"/>
          <w:sz w:val="18"/>
          <w:szCs w:val="18"/>
        </w:rPr>
      </w:pPr>
      <w:r w:rsidRPr="002800C1">
        <w:rPr>
          <w:rFonts w:ascii="Arial" w:hAnsi="Arial" w:cs="Arial"/>
          <w:color w:val="000000" w:themeColor="text1"/>
          <w:sz w:val="18"/>
          <w:szCs w:val="18"/>
        </w:rPr>
        <w:t xml:space="preserve">Codman Square Health Center (“CSHC”), including </w:t>
      </w:r>
      <w:r w:rsidRPr="002800C1">
        <w:rPr>
          <w:rFonts w:ascii="Arial" w:hAnsi="Arial" w:cs="Arial"/>
          <w:color w:val="000000" w:themeColor="text1"/>
          <w:sz w:val="18"/>
          <w:szCs w:val="18"/>
          <w:shd w:val="clear" w:color="auto" w:fill="FFFFFF"/>
        </w:rPr>
        <w:t>CSHC and TechBoston Academy School Health Center;</w:t>
      </w:r>
    </w:p>
    <w:p w14:paraId="5967C47D" w14:textId="390708CD" w:rsidR="00736070" w:rsidRPr="002800C1" w:rsidRDefault="00736070" w:rsidP="00736070">
      <w:pPr>
        <w:pStyle w:val="ListParagraph"/>
        <w:numPr>
          <w:ilvl w:val="0"/>
          <w:numId w:val="24"/>
        </w:numPr>
        <w:rPr>
          <w:rFonts w:ascii="Arial" w:hAnsi="Arial" w:cs="Arial"/>
          <w:color w:val="000000" w:themeColor="text1"/>
          <w:sz w:val="18"/>
          <w:szCs w:val="18"/>
        </w:rPr>
      </w:pPr>
      <w:r w:rsidRPr="002800C1">
        <w:rPr>
          <w:rFonts w:ascii="Arial" w:hAnsi="Arial" w:cs="Arial"/>
          <w:color w:val="000000" w:themeColor="text1"/>
          <w:sz w:val="18"/>
          <w:szCs w:val="18"/>
        </w:rPr>
        <w:t xml:space="preserve">East Boston Neighborhood Health Center (“EBNHC”), including EBNHC’s 20 Maverick Square, 79 Paris Street, and 10 Gove Street locations; EBHS School Based Health Center; Winthrop Community Health Center; and South End Community Health Center, including </w:t>
      </w:r>
      <w:r w:rsidR="009C3173" w:rsidRPr="002800C1">
        <w:rPr>
          <w:rFonts w:ascii="Arial" w:hAnsi="Arial" w:cs="Arial"/>
          <w:color w:val="000000" w:themeColor="text1"/>
          <w:sz w:val="18"/>
          <w:szCs w:val="18"/>
        </w:rPr>
        <w:t xml:space="preserve">its </w:t>
      </w:r>
      <w:r w:rsidRPr="002800C1">
        <w:rPr>
          <w:rFonts w:ascii="Arial" w:hAnsi="Arial" w:cs="Arial"/>
          <w:color w:val="000000" w:themeColor="text1"/>
          <w:sz w:val="18"/>
          <w:szCs w:val="18"/>
        </w:rPr>
        <w:t>1601 Washington Street and 400 Shawmut Ave locations;</w:t>
      </w:r>
    </w:p>
    <w:p w14:paraId="7CE9E6EB" w14:textId="77777777" w:rsidR="00736070" w:rsidRPr="002800C1" w:rsidRDefault="00736070" w:rsidP="00736070">
      <w:pPr>
        <w:pStyle w:val="ListParagraph"/>
        <w:numPr>
          <w:ilvl w:val="0"/>
          <w:numId w:val="24"/>
        </w:numPr>
        <w:rPr>
          <w:rFonts w:ascii="Arial" w:hAnsi="Arial" w:cs="Arial"/>
          <w:color w:val="000000" w:themeColor="text1"/>
          <w:sz w:val="18"/>
          <w:szCs w:val="18"/>
        </w:rPr>
      </w:pPr>
      <w:r w:rsidRPr="002800C1">
        <w:rPr>
          <w:rFonts w:ascii="Arial" w:hAnsi="Arial" w:cs="Arial"/>
          <w:color w:val="000000" w:themeColor="text1"/>
          <w:sz w:val="18"/>
          <w:szCs w:val="18"/>
        </w:rPr>
        <w:t>DotHouse Health;</w:t>
      </w:r>
    </w:p>
    <w:p w14:paraId="344CBAB6" w14:textId="77777777" w:rsidR="00736070" w:rsidRPr="002800C1" w:rsidRDefault="00736070" w:rsidP="00736070">
      <w:pPr>
        <w:pStyle w:val="ListParagraph"/>
        <w:numPr>
          <w:ilvl w:val="0"/>
          <w:numId w:val="24"/>
        </w:numPr>
        <w:rPr>
          <w:rFonts w:ascii="Arial" w:hAnsi="Arial" w:cs="Arial"/>
          <w:color w:val="000000" w:themeColor="text1"/>
          <w:sz w:val="18"/>
          <w:szCs w:val="18"/>
        </w:rPr>
      </w:pPr>
      <w:r w:rsidRPr="002800C1">
        <w:rPr>
          <w:rFonts w:ascii="Arial" w:hAnsi="Arial" w:cs="Arial"/>
          <w:color w:val="000000" w:themeColor="text1"/>
          <w:sz w:val="18"/>
          <w:szCs w:val="18"/>
        </w:rPr>
        <w:t xml:space="preserve">South Boston Community Health Center ("SBCHC"), including SBCHC’s </w:t>
      </w:r>
      <w:r w:rsidRPr="002800C1">
        <w:rPr>
          <w:rFonts w:ascii="Arial" w:hAnsi="Arial" w:cs="Arial"/>
          <w:color w:val="000000" w:themeColor="text1"/>
          <w:sz w:val="18"/>
          <w:szCs w:val="18"/>
          <w:shd w:val="clear" w:color="auto" w:fill="FFFFFF"/>
        </w:rPr>
        <w:t xml:space="preserve">386 West Broadway, 409 West Broadway, and 505 Congress Street locations; and </w:t>
      </w:r>
    </w:p>
    <w:p w14:paraId="70ADD2B6" w14:textId="3B1F5FE2" w:rsidR="00D24186" w:rsidRPr="002800C1" w:rsidRDefault="00736070" w:rsidP="00736070">
      <w:pPr>
        <w:pStyle w:val="ListParagraph"/>
        <w:numPr>
          <w:ilvl w:val="0"/>
          <w:numId w:val="24"/>
        </w:numPr>
        <w:rPr>
          <w:rFonts w:ascii="Arial" w:hAnsi="Arial" w:cs="Arial"/>
          <w:color w:val="000000" w:themeColor="text1"/>
          <w:sz w:val="18"/>
          <w:szCs w:val="18"/>
        </w:rPr>
      </w:pPr>
      <w:r w:rsidRPr="002800C1">
        <w:rPr>
          <w:rFonts w:ascii="Arial" w:hAnsi="Arial" w:cs="Arial"/>
          <w:color w:val="000000" w:themeColor="text1"/>
          <w:sz w:val="18"/>
          <w:szCs w:val="18"/>
          <w:shd w:val="clear" w:color="auto" w:fill="FFFFFF"/>
        </w:rPr>
        <w:t>Greater Roslindale Medical &amp; Dental.</w:t>
      </w:r>
    </w:p>
    <w:p w14:paraId="29DD236D" w14:textId="172372CF" w:rsidR="007B24DE" w:rsidRPr="0094066E" w:rsidRDefault="00736070" w:rsidP="00DA71A4">
      <w:pPr>
        <w:rPr>
          <w:rFonts w:ascii="Arial" w:hAnsi="Arial" w:cs="Arial"/>
          <w:sz w:val="18"/>
          <w:szCs w:val="18"/>
        </w:rPr>
      </w:pPr>
      <w:r w:rsidRPr="002800C1">
        <w:rPr>
          <w:rFonts w:ascii="Arial" w:hAnsi="Arial" w:cs="Arial"/>
          <w:color w:val="000000" w:themeColor="text1"/>
          <w:sz w:val="18"/>
          <w:szCs w:val="18"/>
        </w:rPr>
        <w:t>Although listed on BMC’s hospital license,</w:t>
      </w:r>
      <w:r w:rsidR="006742A3" w:rsidRPr="002800C1">
        <w:rPr>
          <w:rFonts w:ascii="Arial" w:hAnsi="Arial" w:cs="Arial"/>
          <w:color w:val="000000" w:themeColor="text1"/>
          <w:sz w:val="18"/>
          <w:szCs w:val="18"/>
        </w:rPr>
        <w:t xml:space="preserve"> these providers are freestanding </w:t>
      </w:r>
      <w:r w:rsidR="001B010E" w:rsidRPr="002800C1">
        <w:rPr>
          <w:rFonts w:ascii="Arial" w:hAnsi="Arial" w:cs="Arial"/>
          <w:color w:val="000000" w:themeColor="text1"/>
          <w:sz w:val="18"/>
          <w:szCs w:val="18"/>
        </w:rPr>
        <w:t>and utilize</w:t>
      </w:r>
      <w:r w:rsidR="006742A3" w:rsidRPr="002800C1">
        <w:rPr>
          <w:rFonts w:ascii="Arial" w:hAnsi="Arial" w:cs="Arial"/>
          <w:color w:val="000000" w:themeColor="text1"/>
          <w:sz w:val="18"/>
          <w:szCs w:val="18"/>
        </w:rPr>
        <w:t xml:space="preserve"> distinct data collection systems. </w:t>
      </w:r>
      <w:r w:rsidR="001B010E" w:rsidRPr="002800C1">
        <w:rPr>
          <w:rFonts w:ascii="Arial" w:hAnsi="Arial" w:cs="Arial"/>
          <w:color w:val="000000" w:themeColor="text1"/>
          <w:sz w:val="18"/>
          <w:szCs w:val="18"/>
        </w:rPr>
        <w:t xml:space="preserve">With regard to the </w:t>
      </w:r>
      <w:r w:rsidR="007609CA" w:rsidRPr="002800C1">
        <w:rPr>
          <w:rFonts w:ascii="Arial" w:hAnsi="Arial" w:cs="Arial"/>
          <w:color w:val="000000" w:themeColor="text1"/>
          <w:sz w:val="18"/>
          <w:szCs w:val="18"/>
        </w:rPr>
        <w:t>CHCs</w:t>
      </w:r>
      <w:r w:rsidRPr="002800C1">
        <w:rPr>
          <w:rFonts w:ascii="Arial" w:hAnsi="Arial" w:cs="Arial"/>
          <w:color w:val="000000" w:themeColor="text1"/>
          <w:sz w:val="18"/>
          <w:szCs w:val="18"/>
        </w:rPr>
        <w:t xml:space="preserve">, the Applicant notes these providers </w:t>
      </w:r>
      <w:r w:rsidR="001B010E" w:rsidRPr="002800C1">
        <w:rPr>
          <w:rFonts w:ascii="Arial" w:hAnsi="Arial" w:cs="Arial"/>
          <w:color w:val="000000" w:themeColor="text1"/>
          <w:sz w:val="18"/>
          <w:szCs w:val="18"/>
        </w:rPr>
        <w:t>are subject to</w:t>
      </w:r>
      <w:r w:rsidRPr="002800C1">
        <w:rPr>
          <w:rFonts w:ascii="Arial" w:hAnsi="Arial" w:cs="Arial"/>
          <w:color w:val="000000" w:themeColor="text1"/>
          <w:sz w:val="18"/>
          <w:szCs w:val="18"/>
        </w:rPr>
        <w:t xml:space="preserve"> federal standards which require them to </w:t>
      </w:r>
      <w:r w:rsidR="001B010E" w:rsidRPr="002800C1">
        <w:rPr>
          <w:rFonts w:ascii="Arial" w:hAnsi="Arial" w:cs="Arial"/>
          <w:color w:val="000000" w:themeColor="text1"/>
          <w:sz w:val="18"/>
          <w:szCs w:val="18"/>
        </w:rPr>
        <w:t>collect data on</w:t>
      </w:r>
      <w:r w:rsidRPr="002800C1">
        <w:rPr>
          <w:rFonts w:ascii="Arial" w:hAnsi="Arial" w:cs="Arial"/>
          <w:color w:val="000000" w:themeColor="text1"/>
          <w:sz w:val="18"/>
          <w:szCs w:val="18"/>
        </w:rPr>
        <w:t xml:space="preserve"> a calendar year </w:t>
      </w:r>
      <w:r w:rsidR="001B010E" w:rsidRPr="002800C1">
        <w:rPr>
          <w:rFonts w:ascii="Arial" w:hAnsi="Arial" w:cs="Arial"/>
          <w:color w:val="000000" w:themeColor="text1"/>
          <w:sz w:val="18"/>
          <w:szCs w:val="18"/>
        </w:rPr>
        <w:t>basis, and, therefore that</w:t>
      </w:r>
      <w:r w:rsidRPr="002800C1">
        <w:rPr>
          <w:rFonts w:ascii="Arial" w:hAnsi="Arial" w:cs="Arial"/>
          <w:color w:val="000000" w:themeColor="text1"/>
          <w:sz w:val="18"/>
          <w:szCs w:val="18"/>
        </w:rPr>
        <w:t xml:space="preserve"> the data </w:t>
      </w:r>
      <w:r w:rsidR="001B010E" w:rsidRPr="002800C1">
        <w:rPr>
          <w:rFonts w:ascii="Arial" w:hAnsi="Arial" w:cs="Arial"/>
          <w:color w:val="000000" w:themeColor="text1"/>
          <w:sz w:val="18"/>
          <w:szCs w:val="18"/>
        </w:rPr>
        <w:t xml:space="preserve">for each </w:t>
      </w:r>
      <w:r w:rsidRPr="002800C1">
        <w:rPr>
          <w:rFonts w:ascii="Arial" w:hAnsi="Arial" w:cs="Arial"/>
          <w:color w:val="000000" w:themeColor="text1"/>
          <w:sz w:val="18"/>
          <w:szCs w:val="18"/>
        </w:rPr>
        <w:t xml:space="preserve">cannot be amalgamated with the Hospital’s data which </w:t>
      </w:r>
      <w:r w:rsidR="00FA6B6B">
        <w:rPr>
          <w:rFonts w:ascii="Arial" w:hAnsi="Arial" w:cs="Arial"/>
          <w:color w:val="000000" w:themeColor="text1"/>
          <w:sz w:val="18"/>
          <w:szCs w:val="18"/>
        </w:rPr>
        <w:t>are</w:t>
      </w:r>
      <w:r w:rsidR="00FA6B6B" w:rsidRPr="002800C1">
        <w:rPr>
          <w:rFonts w:ascii="Arial" w:hAnsi="Arial" w:cs="Arial"/>
          <w:color w:val="000000" w:themeColor="text1"/>
          <w:sz w:val="18"/>
          <w:szCs w:val="18"/>
        </w:rPr>
        <w:t xml:space="preserve"> </w:t>
      </w:r>
      <w:r w:rsidRPr="002800C1">
        <w:rPr>
          <w:rFonts w:ascii="Arial" w:hAnsi="Arial" w:cs="Arial"/>
          <w:color w:val="000000" w:themeColor="text1"/>
          <w:sz w:val="18"/>
          <w:szCs w:val="18"/>
        </w:rPr>
        <w:t>collected on a FY basis.</w:t>
      </w:r>
      <w:r w:rsidR="00856B00" w:rsidRPr="002800C1">
        <w:rPr>
          <w:rFonts w:ascii="Arial" w:hAnsi="Arial" w:cs="Arial"/>
          <w:color w:val="000000" w:themeColor="text1"/>
          <w:sz w:val="18"/>
          <w:szCs w:val="18"/>
        </w:rPr>
        <w:t xml:space="preserve"> With regard to Greater Roslindale Medical &amp; Dental, the Applicant notes that the satellite </w:t>
      </w:r>
      <w:r w:rsidR="00BE37BA" w:rsidRPr="002800C1">
        <w:rPr>
          <w:rFonts w:ascii="Arial" w:hAnsi="Arial" w:cs="Arial"/>
          <w:color w:val="000000" w:themeColor="text1"/>
          <w:sz w:val="18"/>
          <w:szCs w:val="18"/>
        </w:rPr>
        <w:t>utilizes a</w:t>
      </w:r>
      <w:r w:rsidR="00DA71A4" w:rsidRPr="002800C1">
        <w:rPr>
          <w:rFonts w:ascii="Arial" w:hAnsi="Arial" w:cs="Arial"/>
          <w:color w:val="000000" w:themeColor="text1"/>
          <w:sz w:val="18"/>
          <w:szCs w:val="18"/>
        </w:rPr>
        <w:t xml:space="preserve">n </w:t>
      </w:r>
      <w:r w:rsidR="00BE37BA" w:rsidRPr="002800C1">
        <w:rPr>
          <w:rFonts w:ascii="Arial" w:hAnsi="Arial" w:cs="Arial"/>
          <w:color w:val="000000" w:themeColor="text1"/>
          <w:sz w:val="18"/>
          <w:szCs w:val="18"/>
        </w:rPr>
        <w:t>IT mechanism</w:t>
      </w:r>
      <w:r w:rsidR="00824CE4" w:rsidRPr="002800C1">
        <w:rPr>
          <w:rFonts w:ascii="Arial" w:hAnsi="Arial" w:cs="Arial"/>
          <w:color w:val="000000" w:themeColor="text1"/>
          <w:sz w:val="18"/>
          <w:szCs w:val="18"/>
        </w:rPr>
        <w:t xml:space="preserve"> </w:t>
      </w:r>
      <w:r w:rsidR="00DA71A4" w:rsidRPr="002800C1">
        <w:rPr>
          <w:rFonts w:ascii="Arial" w:hAnsi="Arial" w:cs="Arial"/>
          <w:color w:val="000000" w:themeColor="text1"/>
          <w:sz w:val="18"/>
          <w:szCs w:val="18"/>
        </w:rPr>
        <w:t xml:space="preserve">different </w:t>
      </w:r>
      <w:r w:rsidR="00824CE4" w:rsidRPr="002800C1">
        <w:rPr>
          <w:rFonts w:ascii="Arial" w:hAnsi="Arial" w:cs="Arial"/>
          <w:color w:val="000000" w:themeColor="text1"/>
          <w:sz w:val="18"/>
          <w:szCs w:val="18"/>
        </w:rPr>
        <w:t>from th</w:t>
      </w:r>
      <w:r w:rsidR="00DA71A4" w:rsidRPr="002800C1">
        <w:rPr>
          <w:rFonts w:ascii="Arial" w:hAnsi="Arial" w:cs="Arial"/>
          <w:color w:val="000000" w:themeColor="text1"/>
          <w:sz w:val="18"/>
          <w:szCs w:val="18"/>
        </w:rPr>
        <w:t>at of the</w:t>
      </w:r>
      <w:r w:rsidR="00824CE4" w:rsidRPr="002800C1">
        <w:rPr>
          <w:rFonts w:ascii="Arial" w:hAnsi="Arial" w:cs="Arial"/>
          <w:color w:val="000000" w:themeColor="text1"/>
          <w:sz w:val="18"/>
          <w:szCs w:val="18"/>
        </w:rPr>
        <w:t xml:space="preserve"> Hospital which makes it difficult to achieve amalgamation without duplication</w:t>
      </w:r>
      <w:r w:rsidR="00DA71A4" w:rsidRPr="002800C1">
        <w:rPr>
          <w:rFonts w:ascii="Arial" w:hAnsi="Arial" w:cs="Arial"/>
          <w:color w:val="000000" w:themeColor="text1"/>
          <w:sz w:val="18"/>
          <w:szCs w:val="18"/>
        </w:rPr>
        <w:t xml:space="preserve"> of patient counts</w:t>
      </w:r>
      <w:r w:rsidR="00824CE4" w:rsidRPr="002800C1">
        <w:rPr>
          <w:rFonts w:ascii="Arial" w:hAnsi="Arial" w:cs="Arial"/>
          <w:color w:val="000000" w:themeColor="text1"/>
          <w:sz w:val="18"/>
          <w:szCs w:val="18"/>
        </w:rPr>
        <w:t xml:space="preserve">. Given these data aggregation challenges, </w:t>
      </w:r>
      <w:r w:rsidR="00DA71A4" w:rsidRPr="002800C1">
        <w:rPr>
          <w:rFonts w:ascii="Arial" w:hAnsi="Arial" w:cs="Arial"/>
          <w:color w:val="000000" w:themeColor="text1"/>
          <w:sz w:val="18"/>
          <w:szCs w:val="18"/>
        </w:rPr>
        <w:t xml:space="preserve">patient panel </w:t>
      </w:r>
      <w:r w:rsidR="00824CE4" w:rsidRPr="002800C1">
        <w:rPr>
          <w:rFonts w:ascii="Arial" w:hAnsi="Arial" w:cs="Arial"/>
          <w:color w:val="000000" w:themeColor="text1"/>
          <w:sz w:val="18"/>
          <w:szCs w:val="18"/>
        </w:rPr>
        <w:t>data for each</w:t>
      </w:r>
      <w:r w:rsidR="00DA71A4" w:rsidRPr="002800C1">
        <w:rPr>
          <w:rFonts w:ascii="Arial" w:hAnsi="Arial" w:cs="Arial"/>
          <w:color w:val="000000" w:themeColor="text1"/>
          <w:sz w:val="18"/>
          <w:szCs w:val="18"/>
        </w:rPr>
        <w:t xml:space="preserve"> of the five (5) providers listed above</w:t>
      </w:r>
      <w:r w:rsidR="00824CE4" w:rsidRPr="002800C1">
        <w:rPr>
          <w:rFonts w:ascii="Arial" w:hAnsi="Arial" w:cs="Arial"/>
          <w:color w:val="000000" w:themeColor="text1"/>
          <w:sz w:val="18"/>
          <w:szCs w:val="18"/>
        </w:rPr>
        <w:t xml:space="preserve"> </w:t>
      </w:r>
      <w:r w:rsidR="00DA71A4" w:rsidRPr="002800C1">
        <w:rPr>
          <w:rFonts w:ascii="Arial" w:hAnsi="Arial" w:cs="Arial"/>
          <w:color w:val="000000" w:themeColor="text1"/>
          <w:sz w:val="18"/>
          <w:szCs w:val="18"/>
        </w:rPr>
        <w:t>are</w:t>
      </w:r>
      <w:r w:rsidR="00824CE4" w:rsidRPr="002800C1">
        <w:rPr>
          <w:rFonts w:ascii="Arial" w:hAnsi="Arial" w:cs="Arial"/>
          <w:color w:val="000000" w:themeColor="text1"/>
          <w:sz w:val="18"/>
          <w:szCs w:val="18"/>
        </w:rPr>
        <w:t xml:space="preserve"> </w:t>
      </w:r>
      <w:r w:rsidR="00DA71A4" w:rsidRPr="002800C1">
        <w:rPr>
          <w:rFonts w:ascii="Arial" w:hAnsi="Arial" w:cs="Arial"/>
          <w:color w:val="000000" w:themeColor="text1"/>
          <w:sz w:val="18"/>
          <w:szCs w:val="18"/>
        </w:rPr>
        <w:t>outlined</w:t>
      </w:r>
      <w:r w:rsidR="00824CE4" w:rsidRPr="002800C1">
        <w:rPr>
          <w:rFonts w:ascii="Arial" w:hAnsi="Arial" w:cs="Arial"/>
          <w:color w:val="000000" w:themeColor="text1"/>
          <w:sz w:val="18"/>
          <w:szCs w:val="18"/>
        </w:rPr>
        <w:t xml:space="preserve"> separately at Appendix</w:t>
      </w:r>
      <w:r w:rsidR="00824CE4" w:rsidRPr="002611B0">
        <w:rPr>
          <w:rFonts w:ascii="Arial" w:hAnsi="Arial" w:cs="Arial"/>
          <w:sz w:val="18"/>
          <w:szCs w:val="18"/>
        </w:rPr>
        <w:t xml:space="preserve"> </w:t>
      </w:r>
      <w:r w:rsidR="0092373F" w:rsidRPr="002611B0">
        <w:rPr>
          <w:rFonts w:ascii="Arial" w:hAnsi="Arial" w:cs="Arial"/>
          <w:sz w:val="18"/>
          <w:szCs w:val="18"/>
        </w:rPr>
        <w:t>3A</w:t>
      </w:r>
      <w:r w:rsidR="00824CE4" w:rsidRPr="002800C1">
        <w:rPr>
          <w:rFonts w:ascii="Arial" w:hAnsi="Arial" w:cs="Arial"/>
          <w:color w:val="000000" w:themeColor="text1"/>
          <w:sz w:val="18"/>
          <w:szCs w:val="18"/>
        </w:rPr>
        <w:t>.</w:t>
      </w:r>
      <w:r w:rsidR="00DA71A4" w:rsidRPr="002800C1">
        <w:rPr>
          <w:rFonts w:ascii="Arial" w:hAnsi="Arial" w:cs="Arial"/>
          <w:color w:val="000000" w:themeColor="text1"/>
          <w:sz w:val="18"/>
          <w:szCs w:val="18"/>
        </w:rPr>
        <w:t xml:space="preserve"> Notwithstanding these current data aggregation challenges</w:t>
      </w:r>
      <w:r w:rsidR="00801BE1" w:rsidRPr="002800C1">
        <w:rPr>
          <w:rFonts w:ascii="Arial" w:hAnsi="Arial" w:cs="Arial"/>
          <w:color w:val="000000" w:themeColor="text1"/>
          <w:sz w:val="18"/>
          <w:szCs w:val="18"/>
        </w:rPr>
        <w:t xml:space="preserve">, </w:t>
      </w:r>
      <w:r w:rsidR="00DA71A4" w:rsidRPr="002800C1">
        <w:rPr>
          <w:rFonts w:ascii="Arial" w:hAnsi="Arial" w:cs="Arial"/>
          <w:color w:val="000000" w:themeColor="text1"/>
          <w:sz w:val="18"/>
          <w:szCs w:val="18"/>
        </w:rPr>
        <w:t xml:space="preserve">the Applicant notes that systems and processes are in place to ensure </w:t>
      </w:r>
      <w:r w:rsidR="00801BE1" w:rsidRPr="002800C1">
        <w:rPr>
          <w:rFonts w:ascii="Arial" w:hAnsi="Arial" w:cs="Arial"/>
          <w:color w:val="000000" w:themeColor="text1"/>
          <w:sz w:val="18"/>
          <w:szCs w:val="18"/>
        </w:rPr>
        <w:t xml:space="preserve">coordination of care, </w:t>
      </w:r>
      <w:r w:rsidR="00801BE1" w:rsidRPr="0094066E">
        <w:rPr>
          <w:rFonts w:ascii="Arial" w:hAnsi="Arial" w:cs="Arial"/>
          <w:color w:val="000000" w:themeColor="text1"/>
          <w:sz w:val="18"/>
          <w:szCs w:val="18"/>
        </w:rPr>
        <w:t>appropriate care transitions, and information sharing across BMC’s various locations.</w:t>
      </w:r>
    </w:p>
  </w:footnote>
  <w:footnote w:id="4">
    <w:p w14:paraId="7DF7714C" w14:textId="1F5075A2" w:rsidR="0094066E" w:rsidRDefault="0094066E">
      <w:pPr>
        <w:pStyle w:val="FootnoteText"/>
      </w:pPr>
      <w:r w:rsidRPr="00322D37">
        <w:rPr>
          <w:rStyle w:val="FootnoteReference"/>
          <w:rFonts w:ascii="Arial" w:hAnsi="Arial" w:cs="Arial"/>
          <w:sz w:val="18"/>
          <w:szCs w:val="18"/>
        </w:rPr>
        <w:footnoteRef/>
      </w:r>
      <w:r w:rsidRPr="00322D37">
        <w:rPr>
          <w:rFonts w:ascii="Arial" w:hAnsi="Arial" w:cs="Arial"/>
          <w:sz w:val="18"/>
          <w:szCs w:val="18"/>
        </w:rPr>
        <w:t xml:space="preserve"> </w:t>
      </w:r>
      <w:bookmarkStart w:id="2" w:name="_Hlk110938152"/>
      <w:r w:rsidR="00D179D6">
        <w:rPr>
          <w:rFonts w:ascii="Arial" w:hAnsi="Arial" w:cs="Arial"/>
          <w:sz w:val="18"/>
          <w:szCs w:val="18"/>
        </w:rPr>
        <w:t>For instance</w:t>
      </w:r>
      <w:r w:rsidR="00652499">
        <w:rPr>
          <w:rFonts w:ascii="Arial" w:hAnsi="Arial" w:cs="Arial"/>
          <w:sz w:val="18"/>
          <w:szCs w:val="18"/>
        </w:rPr>
        <w:t>,</w:t>
      </w:r>
      <w:r w:rsidRPr="00322D37">
        <w:rPr>
          <w:rFonts w:ascii="Arial" w:hAnsi="Arial" w:cs="Arial"/>
          <w:sz w:val="18"/>
          <w:szCs w:val="18"/>
        </w:rPr>
        <w:t xml:space="preserve"> FY21 data show that of the approximately 207</w:t>
      </w:r>
      <w:r w:rsidR="003B5A2F">
        <w:rPr>
          <w:rFonts w:ascii="Arial" w:hAnsi="Arial" w:cs="Arial"/>
          <w:sz w:val="18"/>
          <w:szCs w:val="18"/>
        </w:rPr>
        <w:t>K</w:t>
      </w:r>
      <w:r w:rsidRPr="00322D37">
        <w:rPr>
          <w:rFonts w:ascii="Arial" w:hAnsi="Arial" w:cs="Arial"/>
          <w:sz w:val="18"/>
          <w:szCs w:val="18"/>
        </w:rPr>
        <w:t xml:space="preserve"> COVID-19 vaccinations BMC provided to its patients, 196</w:t>
      </w:r>
      <w:r w:rsidR="0045107F">
        <w:rPr>
          <w:rFonts w:ascii="Arial" w:hAnsi="Arial" w:cs="Arial"/>
          <w:sz w:val="18"/>
          <w:szCs w:val="18"/>
        </w:rPr>
        <w:t>K</w:t>
      </w:r>
      <w:r w:rsidRPr="00322D37">
        <w:rPr>
          <w:rFonts w:ascii="Arial" w:hAnsi="Arial" w:cs="Arial"/>
          <w:sz w:val="18"/>
          <w:szCs w:val="18"/>
        </w:rPr>
        <w:t xml:space="preserve"> were done on vaccine only visit</w:t>
      </w:r>
      <w:r w:rsidR="008A034B" w:rsidRPr="00322D37">
        <w:rPr>
          <w:rFonts w:ascii="Arial" w:hAnsi="Arial" w:cs="Arial"/>
          <w:sz w:val="18"/>
          <w:szCs w:val="18"/>
        </w:rPr>
        <w:t xml:space="preserve">s and the remaining </w:t>
      </w:r>
      <w:r w:rsidR="00A00C87" w:rsidRPr="00322D37">
        <w:rPr>
          <w:rFonts w:ascii="Arial" w:hAnsi="Arial" w:cs="Arial"/>
          <w:sz w:val="18"/>
          <w:szCs w:val="18"/>
        </w:rPr>
        <w:t>11</w:t>
      </w:r>
      <w:r w:rsidR="0045107F">
        <w:rPr>
          <w:rFonts w:ascii="Arial" w:hAnsi="Arial" w:cs="Arial"/>
          <w:sz w:val="18"/>
          <w:szCs w:val="18"/>
        </w:rPr>
        <w:t>K</w:t>
      </w:r>
      <w:r w:rsidR="00A00C87" w:rsidRPr="00322D37">
        <w:rPr>
          <w:rFonts w:ascii="Arial" w:hAnsi="Arial" w:cs="Arial"/>
          <w:sz w:val="18"/>
          <w:szCs w:val="18"/>
        </w:rPr>
        <w:t xml:space="preserve"> occurred on visits when patients had other services. A</w:t>
      </w:r>
      <w:r w:rsidR="005304D4" w:rsidRPr="00322D37">
        <w:rPr>
          <w:rFonts w:ascii="Arial" w:hAnsi="Arial" w:cs="Arial"/>
          <w:sz w:val="18"/>
          <w:szCs w:val="18"/>
        </w:rPr>
        <w:t>fter a</w:t>
      </w:r>
      <w:r w:rsidR="00A00C87" w:rsidRPr="00322D37">
        <w:rPr>
          <w:rFonts w:ascii="Arial" w:hAnsi="Arial" w:cs="Arial"/>
          <w:sz w:val="18"/>
          <w:szCs w:val="18"/>
        </w:rPr>
        <w:t>ccounting for th</w:t>
      </w:r>
      <w:r w:rsidR="007B562A">
        <w:rPr>
          <w:rFonts w:ascii="Arial" w:hAnsi="Arial" w:cs="Arial"/>
          <w:sz w:val="18"/>
          <w:szCs w:val="18"/>
        </w:rPr>
        <w:t>e</w:t>
      </w:r>
      <w:r w:rsidR="00A00C87" w:rsidRPr="00322D37">
        <w:rPr>
          <w:rFonts w:ascii="Arial" w:hAnsi="Arial" w:cs="Arial"/>
          <w:sz w:val="18"/>
          <w:szCs w:val="18"/>
        </w:rPr>
        <w:t>s</w:t>
      </w:r>
      <w:r w:rsidR="007B562A">
        <w:rPr>
          <w:rFonts w:ascii="Arial" w:hAnsi="Arial" w:cs="Arial"/>
          <w:sz w:val="18"/>
          <w:szCs w:val="18"/>
        </w:rPr>
        <w:t>e</w:t>
      </w:r>
      <w:r w:rsidR="00A00082" w:rsidRPr="00322D37">
        <w:rPr>
          <w:rFonts w:ascii="Arial" w:hAnsi="Arial" w:cs="Arial"/>
          <w:sz w:val="18"/>
          <w:szCs w:val="18"/>
        </w:rPr>
        <w:t xml:space="preserve"> data</w:t>
      </w:r>
      <w:r w:rsidR="00A00C87" w:rsidRPr="00322D37">
        <w:rPr>
          <w:rFonts w:ascii="Arial" w:hAnsi="Arial" w:cs="Arial"/>
          <w:sz w:val="18"/>
          <w:szCs w:val="18"/>
        </w:rPr>
        <w:t xml:space="preserve">, </w:t>
      </w:r>
      <w:r w:rsidR="007B562A">
        <w:rPr>
          <w:rFonts w:ascii="Arial" w:hAnsi="Arial" w:cs="Arial"/>
          <w:sz w:val="18"/>
          <w:szCs w:val="18"/>
        </w:rPr>
        <w:t>BMC</w:t>
      </w:r>
      <w:r w:rsidR="00A00082" w:rsidRPr="00322D37">
        <w:rPr>
          <w:rFonts w:ascii="Arial" w:hAnsi="Arial" w:cs="Arial"/>
          <w:sz w:val="18"/>
          <w:szCs w:val="18"/>
        </w:rPr>
        <w:t xml:space="preserve">’s patient panel </w:t>
      </w:r>
      <w:r w:rsidR="005304D4" w:rsidRPr="00322D37">
        <w:rPr>
          <w:rFonts w:ascii="Arial" w:hAnsi="Arial" w:cs="Arial"/>
          <w:sz w:val="18"/>
          <w:szCs w:val="18"/>
        </w:rPr>
        <w:t xml:space="preserve">visits </w:t>
      </w:r>
      <w:r w:rsidR="009C02B2" w:rsidRPr="00322D37">
        <w:rPr>
          <w:rFonts w:ascii="Arial" w:hAnsi="Arial" w:cs="Arial"/>
          <w:sz w:val="18"/>
          <w:szCs w:val="18"/>
        </w:rPr>
        <w:t>in FY21 still represent an incr</w:t>
      </w:r>
      <w:bookmarkEnd w:id="2"/>
      <w:r w:rsidR="007B562A">
        <w:rPr>
          <w:rFonts w:ascii="Arial" w:hAnsi="Arial" w:cs="Arial"/>
          <w:sz w:val="18"/>
          <w:szCs w:val="18"/>
        </w:rPr>
        <w:t>ease from FY19</w:t>
      </w:r>
      <w:r w:rsidR="009C02B2" w:rsidRPr="00322D37">
        <w:rPr>
          <w:rFonts w:ascii="Arial" w:hAnsi="Arial" w:cs="Arial"/>
          <w:sz w:val="18"/>
          <w:szCs w:val="18"/>
        </w:rPr>
        <w:t>.</w:t>
      </w:r>
    </w:p>
  </w:footnote>
  <w:footnote w:id="5">
    <w:p w14:paraId="6D3CCD4F" w14:textId="77777777" w:rsidR="00AF4E48" w:rsidRPr="002800C1" w:rsidRDefault="00AF4E48" w:rsidP="00AF4E48">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BMC's FY is from 10/1 – 9/30. FY22 data is provided YTD through 12/2021 and, therefore, is subject to change.</w:t>
      </w:r>
    </w:p>
  </w:footnote>
  <w:footnote w:id="6">
    <w:p w14:paraId="174533FD" w14:textId="7511B65A" w:rsidR="00C04089" w:rsidRPr="002800C1" w:rsidRDefault="00C04089" w:rsidP="00727C1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eastAsiaTheme="minorHAnsi" w:hAnsi="Arial" w:cs="Arial"/>
          <w:sz w:val="18"/>
          <w:szCs w:val="18"/>
        </w:rPr>
        <w:t>Race/ethnicity data is based on patient self-reporting. For patients that reported multiple races, the primary race (the race selected first) was utilized for purposes of this DoN data pull.</w:t>
      </w:r>
    </w:p>
  </w:footnote>
  <w:footnote w:id="7">
    <w:p w14:paraId="5734951B" w14:textId="3F936190" w:rsidR="0074124A" w:rsidRPr="002800C1" w:rsidRDefault="0074124A" w:rsidP="00EF2F8A">
      <w:pPr>
        <w:rPr>
          <w:rFonts w:ascii="Arial" w:hAnsi="Arial" w:cs="Arial"/>
          <w:sz w:val="18"/>
          <w:szCs w:val="18"/>
        </w:rPr>
      </w:pPr>
      <w:r w:rsidRPr="002800C1">
        <w:rPr>
          <w:rStyle w:val="FootnoteReference"/>
          <w:rFonts w:ascii="Arial" w:hAnsi="Arial" w:cs="Arial"/>
          <w:sz w:val="18"/>
          <w:szCs w:val="18"/>
        </w:rPr>
        <w:footnoteRef/>
      </w:r>
      <w:r w:rsidR="00EF2F8A" w:rsidRPr="002800C1">
        <w:rPr>
          <w:rFonts w:ascii="Arial" w:hAnsi="Arial" w:cs="Arial"/>
          <w:sz w:val="18"/>
          <w:szCs w:val="18"/>
        </w:rPr>
        <w:t xml:space="preserve"> “</w:t>
      </w:r>
      <w:r w:rsidR="00EF2F8A" w:rsidRPr="002800C1">
        <w:rPr>
          <w:rFonts w:ascii="Arial" w:eastAsiaTheme="minorHAnsi" w:hAnsi="Arial" w:cs="Arial"/>
          <w:sz w:val="18"/>
          <w:szCs w:val="18"/>
        </w:rPr>
        <w:t>Other” includes: Not Specified, Other, Declined - Not Available, and Unknown.</w:t>
      </w:r>
    </w:p>
  </w:footnote>
  <w:footnote w:id="8">
    <w:p w14:paraId="297CF6D5" w14:textId="102DA896" w:rsidR="00C04089" w:rsidRPr="002800C1" w:rsidRDefault="00C04089" w:rsidP="00727C1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Corresponding zip codes are: Dorchester (02121, 02122, 02124, 02125); Boston (02104, 02108 – 02118, 02123, 02127, 02128, 02133, 02163, 02196, 02199, 02201, 02205, 02206, 02210, 02212, 02215 – 02217, 02241); Roxbury (02119, 02120); Brockton (02301 – 02304); Mattapan (02126); Hyde Park (02136); Revere (02151); Quincy (02169 – 02171, 02269); Chelsea (02150); and Lynn (01901 – 01905).</w:t>
      </w:r>
    </w:p>
  </w:footnote>
  <w:footnote w:id="9">
    <w:p w14:paraId="4B0FDEA3" w14:textId="77777777" w:rsidR="00201D19" w:rsidRPr="00201D19" w:rsidRDefault="00E8351E" w:rsidP="00201D19">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83B64" w:rsidRPr="002800C1">
        <w:rPr>
          <w:rFonts w:ascii="Arial" w:hAnsi="Arial" w:cs="Arial"/>
          <w:sz w:val="18"/>
          <w:szCs w:val="18"/>
        </w:rPr>
        <w:t>“Commercial” i</w:t>
      </w:r>
      <w:r w:rsidRPr="002800C1">
        <w:rPr>
          <w:rFonts w:ascii="Arial" w:hAnsi="Arial" w:cs="Arial"/>
          <w:sz w:val="18"/>
          <w:szCs w:val="18"/>
        </w:rPr>
        <w:t xml:space="preserve">ncludes: Aetna, </w:t>
      </w:r>
      <w:r w:rsidRPr="002800C1">
        <w:rPr>
          <w:rFonts w:ascii="Arial" w:hAnsi="Arial" w:cs="Arial"/>
          <w:sz w:val="18"/>
          <w:szCs w:val="18"/>
        </w:rPr>
        <w:t xml:space="preserve">Allways Health Partners, Blue Cross Blue Shield, </w:t>
      </w:r>
      <w:bookmarkStart w:id="3" w:name="x__Hlk110502784"/>
      <w:r w:rsidR="00201D19" w:rsidRPr="00201D19">
        <w:rPr>
          <w:rFonts w:ascii="Arial" w:hAnsi="Arial" w:cs="Arial"/>
          <w:sz w:val="18"/>
          <w:szCs w:val="18"/>
        </w:rPr>
        <w:t>WellSense Health Plan</w:t>
      </w:r>
      <w:bookmarkEnd w:id="3"/>
    </w:p>
    <w:p w14:paraId="2A4C03BC" w14:textId="5CF78E59" w:rsidR="00E8351E" w:rsidRPr="002800C1" w:rsidRDefault="00201D19" w:rsidP="00E8351E">
      <w:pPr>
        <w:pStyle w:val="FootnoteText"/>
        <w:rPr>
          <w:rFonts w:ascii="Arial" w:hAnsi="Arial" w:cs="Arial"/>
          <w:sz w:val="18"/>
          <w:szCs w:val="18"/>
        </w:rPr>
      </w:pPr>
      <w:r>
        <w:rPr>
          <w:rFonts w:ascii="Arial" w:hAnsi="Arial" w:cs="Arial"/>
          <w:sz w:val="18"/>
          <w:szCs w:val="18"/>
        </w:rPr>
        <w:t xml:space="preserve">f/k/a </w:t>
      </w:r>
      <w:r w:rsidR="00E8351E" w:rsidRPr="002800C1">
        <w:rPr>
          <w:rFonts w:ascii="Arial" w:hAnsi="Arial" w:cs="Arial"/>
          <w:sz w:val="18"/>
          <w:szCs w:val="18"/>
        </w:rPr>
        <w:t>BMC HealthNet, Cigna, Fallon, Harvard Pilgrim Health Care, Tufts, United, and Other Commercial Plan.</w:t>
      </w:r>
    </w:p>
  </w:footnote>
  <w:footnote w:id="10">
    <w:p w14:paraId="4137FFEA" w14:textId="77777777" w:rsidR="00E8351E" w:rsidRPr="002800C1" w:rsidRDefault="00E8351E" w:rsidP="00E8351E">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footnote>
  <w:footnote w:id="11">
    <w:p w14:paraId="1C618BD4" w14:textId="47AB5C05" w:rsidR="00E8351E" w:rsidRPr="002800C1" w:rsidRDefault="00E8351E" w:rsidP="00E8351E">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83B64" w:rsidRPr="002800C1">
        <w:rPr>
          <w:rFonts w:ascii="Arial" w:hAnsi="Arial" w:cs="Arial"/>
          <w:sz w:val="18"/>
          <w:szCs w:val="18"/>
        </w:rPr>
        <w:t>“All Other”</w:t>
      </w:r>
      <w:r w:rsidRPr="002800C1">
        <w:rPr>
          <w:rFonts w:ascii="Arial" w:hAnsi="Arial" w:cs="Arial"/>
          <w:sz w:val="18"/>
          <w:szCs w:val="18"/>
        </w:rPr>
        <w:t xml:space="preserve">: Workers Comp, Motor Vehicle Accident, Government Other (e.g., Corrections, </w:t>
      </w:r>
      <w:r w:rsidRPr="002800C1">
        <w:rPr>
          <w:rFonts w:ascii="Arial" w:hAnsi="Arial" w:cs="Arial"/>
          <w:sz w:val="18"/>
          <w:szCs w:val="18"/>
        </w:rPr>
        <w:t>TriCare, VA), COVID-19 HRSA Uninsured Treatment Fund, International, Other Payer, and Not Specified.</w:t>
      </w:r>
    </w:p>
  </w:footnote>
  <w:footnote w:id="12">
    <w:p w14:paraId="62B80662" w14:textId="1522DAFB" w:rsidR="00882C41" w:rsidRPr="002800C1" w:rsidRDefault="00882C41" w:rsidP="00882C41">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A05BFA" w:rsidRPr="002800C1">
        <w:rPr>
          <w:rFonts w:ascii="Arial" w:hAnsi="Arial" w:cs="Arial"/>
          <w:sz w:val="18"/>
          <w:szCs w:val="18"/>
        </w:rPr>
        <w:t>I</w:t>
      </w:r>
      <w:r w:rsidRPr="002800C1">
        <w:rPr>
          <w:rFonts w:ascii="Arial" w:eastAsiaTheme="minorHAnsi" w:hAnsi="Arial" w:cs="Arial"/>
          <w:sz w:val="18"/>
          <w:szCs w:val="18"/>
        </w:rPr>
        <w:t>ncludes: "Male" and "Other/Unknown" for confidentiality due to regulations related to data with counts &lt;11.</w:t>
      </w:r>
    </w:p>
  </w:footnote>
  <w:footnote w:id="13">
    <w:p w14:paraId="566FB98B" w14:textId="77777777" w:rsidR="005E67A0" w:rsidRPr="002800C1" w:rsidRDefault="005E67A0" w:rsidP="005E67A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“0-64” includes: “0-17” and “18-64” for confidentiality due to regulations related to data with counts &lt;11.</w:t>
      </w:r>
    </w:p>
  </w:footnote>
  <w:footnote w:id="14">
    <w:p w14:paraId="172DF6AB" w14:textId="77777777" w:rsidR="00882C41" w:rsidRPr="002800C1" w:rsidRDefault="00882C41" w:rsidP="005E67A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“0-64” includes: “0-17” and “18-64” for confidentiality due to regulations related to data with counts &lt;11.</w:t>
      </w:r>
    </w:p>
  </w:footnote>
  <w:footnote w:id="15">
    <w:p w14:paraId="29456ED4" w14:textId="77777777" w:rsidR="00886459" w:rsidRPr="002800C1" w:rsidRDefault="00886459" w:rsidP="00886459">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eastAsiaTheme="minorHAnsi" w:hAnsi="Arial" w:cs="Arial"/>
          <w:sz w:val="18"/>
          <w:szCs w:val="18"/>
        </w:rPr>
        <w:t>Race/ethnicity data is based on patient self-reporting. For patients that reported multiple races, the primary race (the race selected first) was utilized for purposes of this DoN data pull.</w:t>
      </w:r>
    </w:p>
  </w:footnote>
  <w:footnote w:id="16">
    <w:p w14:paraId="5AA04C28" w14:textId="77777777" w:rsidR="005E67A0" w:rsidRPr="002800C1" w:rsidRDefault="005E67A0" w:rsidP="005E67A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“Other” includes: “Other” (</w:t>
      </w:r>
      <w:r w:rsidRPr="002800C1">
        <w:rPr>
          <w:rFonts w:ascii="Arial" w:eastAsiaTheme="minorHAnsi" w:hAnsi="Arial" w:cs="Arial"/>
          <w:sz w:val="18"/>
          <w:szCs w:val="18"/>
        </w:rPr>
        <w:t>Not Specified, Other, Declined - Not Available, and Unknown</w:t>
      </w:r>
      <w:r w:rsidRPr="002800C1">
        <w:rPr>
          <w:rFonts w:ascii="Arial" w:hAnsi="Arial" w:cs="Arial"/>
          <w:sz w:val="18"/>
          <w:szCs w:val="18"/>
        </w:rPr>
        <w:t>) and “Native Hawaiian/Pacific Islander” for confidentiality due to regulations related to data with counts &lt;11.</w:t>
      </w:r>
    </w:p>
  </w:footnote>
  <w:footnote w:id="17">
    <w:p w14:paraId="093FB54B" w14:textId="6A5D8159" w:rsidR="0061787F" w:rsidRPr="002800C1" w:rsidRDefault="0061787F" w:rsidP="00963E14">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“Other” includes: “Other” (</w:t>
      </w:r>
      <w:r w:rsidRPr="002800C1">
        <w:rPr>
          <w:rFonts w:ascii="Arial" w:eastAsiaTheme="minorHAnsi" w:hAnsi="Arial" w:cs="Arial"/>
          <w:sz w:val="18"/>
          <w:szCs w:val="18"/>
        </w:rPr>
        <w:t>Not Specified, Other, Declined - Not Available, and Unknown</w:t>
      </w:r>
      <w:r w:rsidRPr="002800C1">
        <w:rPr>
          <w:rFonts w:ascii="Arial" w:hAnsi="Arial" w:cs="Arial"/>
          <w:sz w:val="18"/>
          <w:szCs w:val="18"/>
        </w:rPr>
        <w:t>), “</w:t>
      </w:r>
      <w:r w:rsidRPr="002800C1">
        <w:rPr>
          <w:rFonts w:ascii="Arial" w:eastAsiaTheme="minorHAnsi" w:hAnsi="Arial" w:cs="Arial"/>
          <w:sz w:val="18"/>
          <w:szCs w:val="18"/>
        </w:rPr>
        <w:t>American Indian/Alaska Native”,</w:t>
      </w:r>
      <w:r w:rsidRPr="002800C1">
        <w:rPr>
          <w:rFonts w:ascii="Arial" w:hAnsi="Arial" w:cs="Arial"/>
          <w:sz w:val="18"/>
          <w:szCs w:val="18"/>
        </w:rPr>
        <w:t xml:space="preserve"> and “Native Hawaiian/Pacific Islander” for confidentiality due to regulations related to data with counts &lt;11</w:t>
      </w:r>
      <w:r w:rsidR="00547C3B" w:rsidRPr="002800C1">
        <w:rPr>
          <w:rFonts w:ascii="Arial" w:hAnsi="Arial" w:cs="Arial"/>
          <w:sz w:val="18"/>
          <w:szCs w:val="18"/>
        </w:rPr>
        <w:t>.</w:t>
      </w:r>
    </w:p>
  </w:footnote>
  <w:footnote w:id="18">
    <w:p w14:paraId="34A6DE52" w14:textId="44FA53E1" w:rsidR="00757DE1" w:rsidRPr="002800C1" w:rsidRDefault="00757DE1">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Corresponding zip codes are as follows: Dorchester (02121, 02122, 02124, 02125); Boston (02104, 02108</w:t>
      </w:r>
      <w:r w:rsidR="00DD3AA5" w:rsidRPr="002800C1">
        <w:rPr>
          <w:rFonts w:ascii="Arial" w:hAnsi="Arial" w:cs="Arial"/>
          <w:sz w:val="18"/>
          <w:szCs w:val="18"/>
        </w:rPr>
        <w:t xml:space="preserve"> – </w:t>
      </w:r>
      <w:r w:rsidRPr="002800C1">
        <w:rPr>
          <w:rFonts w:ascii="Arial" w:hAnsi="Arial" w:cs="Arial"/>
          <w:sz w:val="18"/>
          <w:szCs w:val="18"/>
        </w:rPr>
        <w:t xml:space="preserve">02118, 02123, 02127, 02128, 02133, 02163, 02196, 02199, 02201, 02205, 02206, 02210, 02212, 02215 </w:t>
      </w:r>
      <w:r w:rsidR="00DD3AA5" w:rsidRPr="002800C1">
        <w:rPr>
          <w:rFonts w:ascii="Arial" w:hAnsi="Arial" w:cs="Arial"/>
          <w:sz w:val="18"/>
          <w:szCs w:val="18"/>
        </w:rPr>
        <w:t xml:space="preserve">– </w:t>
      </w:r>
      <w:r w:rsidRPr="002800C1">
        <w:rPr>
          <w:rFonts w:ascii="Arial" w:hAnsi="Arial" w:cs="Arial"/>
          <w:sz w:val="18"/>
          <w:szCs w:val="18"/>
        </w:rPr>
        <w:t>0221</w:t>
      </w:r>
      <w:r w:rsidR="00DD3AA5" w:rsidRPr="002800C1">
        <w:rPr>
          <w:rFonts w:ascii="Arial" w:hAnsi="Arial" w:cs="Arial"/>
          <w:sz w:val="18"/>
          <w:szCs w:val="18"/>
        </w:rPr>
        <w:t>7</w:t>
      </w:r>
      <w:r w:rsidRPr="002800C1">
        <w:rPr>
          <w:rFonts w:ascii="Arial" w:hAnsi="Arial" w:cs="Arial"/>
          <w:sz w:val="18"/>
          <w:szCs w:val="18"/>
        </w:rPr>
        <w:t>, 02241); Roxbury (02119, 02120); Brockton (02301, 02302, 02303, 02304); Mattapan (02126); Quincy</w:t>
      </w:r>
      <w:r w:rsidR="005E4EBA" w:rsidRPr="002800C1">
        <w:rPr>
          <w:rFonts w:ascii="Arial" w:hAnsi="Arial" w:cs="Arial"/>
          <w:sz w:val="18"/>
          <w:szCs w:val="18"/>
        </w:rPr>
        <w:t xml:space="preserve"> (02169 – 02171, 02269</w:t>
      </w:r>
      <w:r w:rsidRPr="002800C1">
        <w:rPr>
          <w:rFonts w:ascii="Arial" w:hAnsi="Arial" w:cs="Arial"/>
          <w:sz w:val="18"/>
          <w:szCs w:val="18"/>
        </w:rPr>
        <w:t>); Hyde Park (02136); Revere (02151); Chelsea (02150); and Jamaica Plain (02130).</w:t>
      </w:r>
    </w:p>
  </w:footnote>
  <w:footnote w:id="19">
    <w:p w14:paraId="35FC6CA2" w14:textId="0837B2CC" w:rsidR="00DD3AA5" w:rsidRPr="002800C1" w:rsidRDefault="00DD3AA5">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Corresponding zip codes are as follows: Dorchester (02121, 02122, 02124, 02125); Boston (02104, 02108 – 02118, 02123, 02127, 02128, 02133, 02163, 02196, 02199, 02201, 02205, 02206, 02210, 02212, 02215 – 02217, 02241);</w:t>
      </w:r>
      <w:r w:rsidR="001020C4" w:rsidRPr="002800C1">
        <w:rPr>
          <w:rFonts w:ascii="Arial" w:hAnsi="Arial" w:cs="Arial"/>
          <w:sz w:val="18"/>
          <w:szCs w:val="18"/>
        </w:rPr>
        <w:t xml:space="preserve"> Roxbury (02119, 02120); Brockton (02301</w:t>
      </w:r>
      <w:r w:rsidR="005E4EBA" w:rsidRPr="002800C1">
        <w:rPr>
          <w:rFonts w:ascii="Arial" w:hAnsi="Arial" w:cs="Arial"/>
          <w:sz w:val="18"/>
          <w:szCs w:val="18"/>
        </w:rPr>
        <w:t xml:space="preserve"> – </w:t>
      </w:r>
      <w:r w:rsidR="001020C4" w:rsidRPr="002800C1">
        <w:rPr>
          <w:rFonts w:ascii="Arial" w:hAnsi="Arial" w:cs="Arial"/>
          <w:sz w:val="18"/>
          <w:szCs w:val="18"/>
        </w:rPr>
        <w:t>02304);</w:t>
      </w:r>
      <w:r w:rsidR="005E4EBA" w:rsidRPr="002800C1">
        <w:rPr>
          <w:rFonts w:ascii="Arial" w:hAnsi="Arial" w:cs="Arial"/>
          <w:sz w:val="18"/>
          <w:szCs w:val="18"/>
        </w:rPr>
        <w:t xml:space="preserve"> Quincy (02169 – 02171, 02269)</w:t>
      </w:r>
      <w:r w:rsidR="001020C4" w:rsidRPr="002800C1">
        <w:rPr>
          <w:rFonts w:ascii="Arial" w:hAnsi="Arial" w:cs="Arial"/>
          <w:sz w:val="18"/>
          <w:szCs w:val="18"/>
        </w:rPr>
        <w:t>; Mattapan (02126); Hyde Park (02136); Randolph (02368); and Jamaica Plain (02130) &amp; Chelsea (02150)</w:t>
      </w:r>
      <w:r w:rsidRPr="002800C1">
        <w:rPr>
          <w:rFonts w:ascii="Arial" w:hAnsi="Arial" w:cs="Arial"/>
          <w:sz w:val="18"/>
          <w:szCs w:val="18"/>
        </w:rPr>
        <w:t>.</w:t>
      </w:r>
    </w:p>
  </w:footnote>
  <w:footnote w:id="20">
    <w:p w14:paraId="46F22327" w14:textId="3B33465B" w:rsidR="00B86DBF" w:rsidRPr="002800C1" w:rsidRDefault="00B86DBF" w:rsidP="00BA11EB">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756E22" w:rsidRPr="002800C1">
        <w:rPr>
          <w:rFonts w:ascii="Arial" w:hAnsi="Arial" w:cs="Arial"/>
          <w:sz w:val="18"/>
          <w:szCs w:val="18"/>
        </w:rPr>
        <w:t>BMC's FY is from 10/1 – 9/30. FY22 data is provided YTD through 12/2021 and, therefore, is subject to change</w:t>
      </w:r>
      <w:r w:rsidRPr="002800C1">
        <w:rPr>
          <w:rFonts w:ascii="Arial" w:hAnsi="Arial" w:cs="Arial"/>
          <w:sz w:val="18"/>
          <w:szCs w:val="18"/>
        </w:rPr>
        <w:t>.</w:t>
      </w:r>
    </w:p>
  </w:footnote>
  <w:footnote w:id="21">
    <w:p w14:paraId="61424541" w14:textId="6F044F4E" w:rsidR="00B86DBF" w:rsidRPr="002800C1" w:rsidRDefault="00B86DBF" w:rsidP="00BA11EB">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8F2817" w:rsidRPr="002800C1">
        <w:rPr>
          <w:rFonts w:ascii="Arial" w:hAnsi="Arial" w:cs="Arial"/>
          <w:sz w:val="18"/>
          <w:szCs w:val="18"/>
        </w:rPr>
        <w:t>BMC's FY is from 10/1 – 9/30. FY22 data is provided YTD through 12/2021 and, therefore, is subject to change</w:t>
      </w:r>
      <w:r w:rsidRPr="002800C1">
        <w:rPr>
          <w:rFonts w:ascii="Arial" w:hAnsi="Arial" w:cs="Arial"/>
          <w:sz w:val="18"/>
          <w:szCs w:val="18"/>
        </w:rPr>
        <w:t>.</w:t>
      </w:r>
    </w:p>
  </w:footnote>
  <w:footnote w:id="22">
    <w:p w14:paraId="790CF964" w14:textId="77777777" w:rsidR="00201D19" w:rsidRPr="00201D19" w:rsidRDefault="00EC0D84" w:rsidP="00201D19">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“Commercial” includes: Aetna, </w:t>
      </w:r>
      <w:r w:rsidRPr="002800C1">
        <w:rPr>
          <w:rFonts w:ascii="Arial" w:hAnsi="Arial" w:cs="Arial"/>
          <w:sz w:val="18"/>
          <w:szCs w:val="18"/>
        </w:rPr>
        <w:t xml:space="preserve">Allways Health Partners, Blue Cross Blue Shield, </w:t>
      </w:r>
      <w:r w:rsidR="00201D19" w:rsidRPr="00201D19">
        <w:rPr>
          <w:rFonts w:ascii="Arial" w:hAnsi="Arial" w:cs="Arial"/>
          <w:sz w:val="18"/>
          <w:szCs w:val="18"/>
        </w:rPr>
        <w:t>WellSense Health Plan</w:t>
      </w:r>
    </w:p>
    <w:p w14:paraId="4DAA3F7C" w14:textId="01C87355" w:rsidR="00EC0D84" w:rsidRPr="002800C1" w:rsidRDefault="00201D19" w:rsidP="00201D19">
      <w:pPr>
        <w:pStyle w:val="FootnoteText"/>
        <w:rPr>
          <w:rFonts w:ascii="Arial" w:hAnsi="Arial" w:cs="Arial"/>
          <w:sz w:val="18"/>
          <w:szCs w:val="18"/>
        </w:rPr>
      </w:pPr>
      <w:r>
        <w:rPr>
          <w:rFonts w:ascii="Arial" w:hAnsi="Arial" w:cs="Arial"/>
          <w:sz w:val="18"/>
          <w:szCs w:val="18"/>
        </w:rPr>
        <w:t xml:space="preserve">f/k/a </w:t>
      </w:r>
      <w:r w:rsidRPr="002800C1">
        <w:rPr>
          <w:rFonts w:ascii="Arial" w:hAnsi="Arial" w:cs="Arial"/>
          <w:sz w:val="18"/>
          <w:szCs w:val="18"/>
        </w:rPr>
        <w:t>BMC HealthNet</w:t>
      </w:r>
      <w:r w:rsidR="00EC0D84" w:rsidRPr="002800C1">
        <w:rPr>
          <w:rFonts w:ascii="Arial" w:hAnsi="Arial" w:cs="Arial"/>
          <w:sz w:val="18"/>
          <w:szCs w:val="18"/>
        </w:rPr>
        <w:t>, Cigna, Fallon, Harvard Pilgrim Health Care, Tufts, United, and Other Commercial Plan.</w:t>
      </w:r>
    </w:p>
  </w:footnote>
  <w:footnote w:id="23">
    <w:p w14:paraId="17525197" w14:textId="77777777" w:rsidR="00EC0D84" w:rsidRPr="002800C1" w:rsidRDefault="00EC0D84" w:rsidP="00BA11EB">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footnote>
  <w:footnote w:id="24">
    <w:p w14:paraId="4C10C3A7" w14:textId="018842DB" w:rsidR="00EC0D84" w:rsidRPr="002800C1" w:rsidRDefault="00EC0D84" w:rsidP="00BA11EB">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8F2817" w:rsidRPr="002800C1">
        <w:rPr>
          <w:rFonts w:ascii="Arial" w:hAnsi="Arial" w:cs="Arial"/>
          <w:sz w:val="18"/>
          <w:szCs w:val="18"/>
        </w:rPr>
        <w:t xml:space="preserve">For the medical/surgical service line, </w:t>
      </w:r>
      <w:r w:rsidRPr="002800C1">
        <w:rPr>
          <w:rFonts w:ascii="Arial" w:hAnsi="Arial" w:cs="Arial"/>
          <w:sz w:val="18"/>
          <w:szCs w:val="18"/>
        </w:rPr>
        <w:t>“All Other”</w:t>
      </w:r>
      <w:r w:rsidR="008F2817" w:rsidRPr="002800C1">
        <w:rPr>
          <w:rFonts w:ascii="Arial" w:hAnsi="Arial" w:cs="Arial"/>
          <w:sz w:val="18"/>
          <w:szCs w:val="18"/>
        </w:rPr>
        <w:t xml:space="preserve"> includes</w:t>
      </w:r>
      <w:r w:rsidRPr="002800C1">
        <w:rPr>
          <w:rFonts w:ascii="Arial" w:hAnsi="Arial" w:cs="Arial"/>
          <w:sz w:val="18"/>
          <w:szCs w:val="18"/>
        </w:rPr>
        <w:t xml:space="preserve">: Workers Comp, Motor Vehicle Accident, Government Other (e.g., Corrections, </w:t>
      </w:r>
      <w:r w:rsidRPr="002800C1">
        <w:rPr>
          <w:rFonts w:ascii="Arial" w:hAnsi="Arial" w:cs="Arial"/>
          <w:sz w:val="18"/>
          <w:szCs w:val="18"/>
        </w:rPr>
        <w:t>TriCare, VA), COVID-19 HRSA Uninsured Treatment Fund, International, Other Payer, and Not Specified.</w:t>
      </w:r>
      <w:r w:rsidR="008F2817" w:rsidRPr="002800C1">
        <w:rPr>
          <w:rFonts w:ascii="Arial" w:hAnsi="Arial" w:cs="Arial"/>
          <w:sz w:val="18"/>
          <w:szCs w:val="18"/>
        </w:rPr>
        <w:t xml:space="preserve"> For the ICU service line, “All Other” includes: Workers Comp, Motor Vehicle Accident, Government Other (e.g., Corrections, TriCare, VA), COVID-19 HRSA Uninsured Treatment Fund, International, Other Payer, and Not Specified, as well as Free Care/HSN for confidentiality due to regulations related to data with counts &lt;11.</w:t>
      </w:r>
    </w:p>
  </w:footnote>
  <w:footnote w:id="25">
    <w:p w14:paraId="665A4A22" w14:textId="77777777" w:rsidR="00FF5260" w:rsidRPr="002800C1" w:rsidRDefault="00FF5260" w:rsidP="00FF526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BMC's FY is from 10/1 – 9/30. FY22 data is provided YTD through 12/2021 and, therefore, is subject to change.</w:t>
      </w:r>
    </w:p>
  </w:footnote>
  <w:footnote w:id="26">
    <w:p w14:paraId="2DC4CDC7" w14:textId="77777777" w:rsidR="002D3000" w:rsidRPr="002800C1" w:rsidRDefault="002D3000" w:rsidP="00DB7E66">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eastAsiaTheme="minorHAnsi" w:hAnsi="Arial" w:cs="Arial"/>
          <w:sz w:val="18"/>
          <w:szCs w:val="18"/>
        </w:rPr>
        <w:t>Race/ethnicity data is based on patient self-reporting. For patients that reported multiple races, the primary race (the race selected first) was utilized for purposes of this DoN data pull.</w:t>
      </w:r>
    </w:p>
  </w:footnote>
  <w:footnote w:id="27">
    <w:p w14:paraId="2A13FC47" w14:textId="0C228204" w:rsidR="00DB7E66" w:rsidRPr="002800C1" w:rsidRDefault="00DB7E66" w:rsidP="00DB7E66">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547C3B" w:rsidRPr="002800C1">
        <w:rPr>
          <w:rFonts w:ascii="Arial" w:hAnsi="Arial" w:cs="Arial"/>
          <w:sz w:val="18"/>
          <w:szCs w:val="18"/>
        </w:rPr>
        <w:t>“Other” includes: “Other” (</w:t>
      </w:r>
      <w:r w:rsidR="00547C3B" w:rsidRPr="002800C1">
        <w:rPr>
          <w:rFonts w:ascii="Arial" w:eastAsiaTheme="minorHAnsi" w:hAnsi="Arial" w:cs="Arial"/>
          <w:sz w:val="18"/>
          <w:szCs w:val="18"/>
        </w:rPr>
        <w:t>Not Specified, Other, Declined - Not Available, and Unknown</w:t>
      </w:r>
      <w:r w:rsidR="00547C3B" w:rsidRPr="002800C1">
        <w:rPr>
          <w:rFonts w:ascii="Arial" w:hAnsi="Arial" w:cs="Arial"/>
          <w:sz w:val="18"/>
          <w:szCs w:val="18"/>
        </w:rPr>
        <w:t>), “</w:t>
      </w:r>
      <w:r w:rsidR="00547C3B" w:rsidRPr="002800C1">
        <w:rPr>
          <w:rFonts w:ascii="Arial" w:eastAsiaTheme="minorHAnsi" w:hAnsi="Arial" w:cs="Arial"/>
          <w:sz w:val="18"/>
          <w:szCs w:val="18"/>
        </w:rPr>
        <w:t>American Indian/Alaska Native”,</w:t>
      </w:r>
      <w:r w:rsidR="00547C3B" w:rsidRPr="002800C1">
        <w:rPr>
          <w:rFonts w:ascii="Arial" w:hAnsi="Arial" w:cs="Arial"/>
          <w:sz w:val="18"/>
          <w:szCs w:val="18"/>
        </w:rPr>
        <w:t xml:space="preserve"> and “Native Hawaiian/Pacific Islander” for confidentiality due to regulations related to data with counts &lt;11.</w:t>
      </w:r>
    </w:p>
  </w:footnote>
  <w:footnote w:id="28">
    <w:p w14:paraId="7C0CA5A0" w14:textId="6D9D33B3" w:rsidR="002D3000" w:rsidRPr="002800C1" w:rsidRDefault="002D3000" w:rsidP="00DB7E66">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Corresponding zip codes are as follows: Dorchester (02121, 02122, 02124, 02125); Boston (02104, 02108 – 02118, 02123, 02127, 02128, 02133, 02163, 02196, 02199, 02201, 02205, 02206, 02210, 02212, 02215 – 02217, 02241); Roxbury (02119, 02120); Brockton (02301, 02302, 02303, 02304); Mattapan (02126); Quincy (02169 – 02171, 02269); Revere (02151); Hyde Park (02136); Chelsea (02150); and Lynn (01901 – 01905).</w:t>
      </w:r>
    </w:p>
  </w:footnote>
  <w:footnote w:id="29">
    <w:p w14:paraId="6B1BE5E7" w14:textId="77777777" w:rsidR="00201D19" w:rsidRPr="00201D19" w:rsidRDefault="00D4649D" w:rsidP="00201D19">
      <w:pPr>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“Commercial” includes: Aetna, </w:t>
      </w:r>
      <w:r w:rsidRPr="002800C1">
        <w:rPr>
          <w:rFonts w:ascii="Arial" w:hAnsi="Arial" w:cs="Arial"/>
          <w:sz w:val="18"/>
          <w:szCs w:val="18"/>
        </w:rPr>
        <w:t xml:space="preserve">Allways Health Partners, Blue Cross Blue Shield, </w:t>
      </w:r>
      <w:r w:rsidR="00201D19" w:rsidRPr="00201D19">
        <w:rPr>
          <w:rFonts w:ascii="Arial" w:hAnsi="Arial" w:cs="Arial"/>
          <w:sz w:val="18"/>
          <w:szCs w:val="18"/>
        </w:rPr>
        <w:t>WellSense Health Plan</w:t>
      </w:r>
    </w:p>
    <w:p w14:paraId="306CD121" w14:textId="284FB903" w:rsidR="00D4649D" w:rsidRPr="002800C1" w:rsidRDefault="00201D19" w:rsidP="00201D19">
      <w:pPr>
        <w:pStyle w:val="FootnoteText"/>
        <w:rPr>
          <w:rFonts w:ascii="Arial" w:hAnsi="Arial" w:cs="Arial"/>
          <w:sz w:val="18"/>
          <w:szCs w:val="18"/>
        </w:rPr>
      </w:pPr>
      <w:r>
        <w:rPr>
          <w:rFonts w:ascii="Arial" w:hAnsi="Arial" w:cs="Arial"/>
          <w:sz w:val="18"/>
          <w:szCs w:val="18"/>
        </w:rPr>
        <w:t xml:space="preserve">f/k/a </w:t>
      </w:r>
      <w:r w:rsidRPr="002800C1">
        <w:rPr>
          <w:rFonts w:ascii="Arial" w:hAnsi="Arial" w:cs="Arial"/>
          <w:sz w:val="18"/>
          <w:szCs w:val="18"/>
        </w:rPr>
        <w:t>BMC HealthNet</w:t>
      </w:r>
      <w:r w:rsidR="00D4649D" w:rsidRPr="002800C1">
        <w:rPr>
          <w:rFonts w:ascii="Arial" w:hAnsi="Arial" w:cs="Arial"/>
          <w:sz w:val="18"/>
          <w:szCs w:val="18"/>
        </w:rPr>
        <w:t>, Cigna, Fallon, Harvard Pilgrim Health Care, Tufts, United, and Other Commercial Plan.</w:t>
      </w:r>
    </w:p>
  </w:footnote>
  <w:footnote w:id="30">
    <w:p w14:paraId="599F9E14" w14:textId="77777777" w:rsidR="00D4649D" w:rsidRPr="002800C1" w:rsidRDefault="00D4649D" w:rsidP="00D4649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Please note that in some instances, the Applicant is not able to easily isolate whether a Commercial plan is HMO/POS or PPO/Indemnity. In these instances, in an effort to offer a complete payer mix for the patient panel, “Commercial – Other” has been provided an alternative category.</w:t>
      </w:r>
    </w:p>
  </w:footnote>
  <w:footnote w:id="31">
    <w:p w14:paraId="5B803CDB" w14:textId="7F438D08" w:rsidR="00D4649D" w:rsidRPr="002800C1" w:rsidRDefault="00D4649D" w:rsidP="00D4649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7B4E39" w:rsidRPr="002800C1">
        <w:rPr>
          <w:rFonts w:ascii="Arial" w:hAnsi="Arial" w:cs="Arial"/>
          <w:sz w:val="18"/>
          <w:szCs w:val="18"/>
        </w:rPr>
        <w:t xml:space="preserve">“All Other” includes: Workers Comp, Motor Vehicle Accident, Government Other (e.g., Corrections, </w:t>
      </w:r>
      <w:r w:rsidR="007B4E39" w:rsidRPr="002800C1">
        <w:rPr>
          <w:rFonts w:ascii="Arial" w:hAnsi="Arial" w:cs="Arial"/>
          <w:sz w:val="18"/>
          <w:szCs w:val="18"/>
        </w:rPr>
        <w:t>TriCare, VA), COVID-19 HRSA Uninsured Treatment Fund, International, Other Payer, and Not Specified, as well as Free Care/HSN for confidentiality due to regulations related to data with counts &lt;11.</w:t>
      </w:r>
    </w:p>
  </w:footnote>
  <w:footnote w:id="32">
    <w:p w14:paraId="5F13501A" w14:textId="23AB7D08" w:rsidR="001D7718" w:rsidRPr="00140D01" w:rsidRDefault="001D7718" w:rsidP="001D7718">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hyperlink r:id="rId1" w:history="1">
        <w:r w:rsidR="009067FF" w:rsidRPr="00FF16D2">
          <w:rPr>
            <w:rStyle w:val="Hyperlink"/>
            <w:rFonts w:ascii="Arial" w:hAnsi="Arial" w:cs="Arial"/>
            <w:smallCaps/>
            <w:color w:val="000000" w:themeColor="text1"/>
            <w:sz w:val="18"/>
            <w:szCs w:val="18"/>
            <w:u w:val="none"/>
          </w:rPr>
          <w:t xml:space="preserve">Commonwealth of Massachusetts Health Policy Commission, </w:t>
        </w:r>
        <w:r w:rsidR="009067FF" w:rsidRPr="00FF16D2">
          <w:rPr>
            <w:rStyle w:val="Hyperlink"/>
            <w:rFonts w:ascii="Arial" w:eastAsiaTheme="minorHAnsi" w:hAnsi="Arial" w:cs="Arial"/>
            <w:smallCaps/>
            <w:color w:val="000000" w:themeColor="text1"/>
            <w:sz w:val="18"/>
            <w:szCs w:val="18"/>
            <w:u w:val="none"/>
          </w:rPr>
          <w:t>Impact of COVID-19 on the Massachusetts Health Care System: Interim Report</w:t>
        </w:r>
      </w:hyperlink>
      <w:r w:rsidR="009067FF" w:rsidRPr="002800C1">
        <w:rPr>
          <w:rFonts w:ascii="Arial" w:eastAsiaTheme="minorHAnsi" w:hAnsi="Arial" w:cs="Arial"/>
          <w:smallCaps/>
          <w:sz w:val="18"/>
          <w:szCs w:val="18"/>
        </w:rPr>
        <w:t xml:space="preserve"> </w:t>
      </w:r>
      <w:r w:rsidR="009067FF" w:rsidRPr="002800C1">
        <w:rPr>
          <w:rFonts w:ascii="Arial" w:hAnsi="Arial" w:cs="Arial"/>
          <w:sz w:val="18"/>
          <w:szCs w:val="18"/>
        </w:rPr>
        <w:t xml:space="preserve">(Apr. 2021), </w:t>
      </w:r>
      <w:r w:rsidR="009067FF" w:rsidRPr="002800C1">
        <w:rPr>
          <w:rFonts w:ascii="Arial" w:hAnsi="Arial" w:cs="Arial"/>
          <w:i/>
          <w:iCs/>
          <w:sz w:val="18"/>
          <w:szCs w:val="18"/>
        </w:rPr>
        <w:t>available at</w:t>
      </w:r>
      <w:r w:rsidR="009067FF" w:rsidRPr="002800C1">
        <w:rPr>
          <w:rFonts w:ascii="Arial" w:hAnsi="Arial" w:cs="Arial"/>
          <w:sz w:val="18"/>
          <w:szCs w:val="18"/>
        </w:rPr>
        <w:t xml:space="preserve"> </w:t>
      </w:r>
      <w:hyperlink r:id="rId2" w:history="1">
        <w:r w:rsidR="00FF16D2" w:rsidRPr="00FF16D2">
          <w:rPr>
            <w:rStyle w:val="Hyperlink"/>
            <w:rFonts w:ascii="Arial" w:hAnsi="Arial" w:cs="Arial"/>
            <w:color w:val="000000" w:themeColor="text1"/>
            <w:sz w:val="18"/>
            <w:szCs w:val="18"/>
          </w:rPr>
          <w:t>https://www.mass.gov/doc/impact-of-covid-19-on-the-massachusetts-health-care-system-interim-report/download</w:t>
        </w:r>
      </w:hyperlink>
      <w:r w:rsidR="00FF16D2">
        <w:rPr>
          <w:rFonts w:ascii="Arial" w:hAnsi="Arial" w:cs="Arial"/>
          <w:sz w:val="18"/>
          <w:szCs w:val="18"/>
        </w:rPr>
        <w:t xml:space="preserve"> </w:t>
      </w:r>
      <w:r w:rsidR="009067FF" w:rsidRPr="00140D01">
        <w:rPr>
          <w:rFonts w:ascii="Arial" w:hAnsi="Arial" w:cs="Arial"/>
          <w:sz w:val="18"/>
          <w:szCs w:val="18"/>
        </w:rPr>
        <w:t>.</w:t>
      </w:r>
    </w:p>
  </w:footnote>
  <w:footnote w:id="33">
    <w:p w14:paraId="3520C4BF" w14:textId="66DB73C5" w:rsidR="00140D01" w:rsidRPr="00E54505" w:rsidRDefault="00140D01" w:rsidP="00113D3F">
      <w:pPr>
        <w:outlineLvl w:val="0"/>
        <w:rPr>
          <w:rFonts w:ascii="Arial" w:hAnsi="Arial" w:cs="Arial"/>
          <w:sz w:val="18"/>
          <w:szCs w:val="18"/>
        </w:rPr>
      </w:pPr>
      <w:r w:rsidRPr="00113D3F">
        <w:rPr>
          <w:rStyle w:val="FootnoteReference"/>
          <w:rFonts w:ascii="Arial" w:hAnsi="Arial" w:cs="Arial"/>
          <w:sz w:val="18"/>
          <w:szCs w:val="18"/>
        </w:rPr>
        <w:footnoteRef/>
      </w:r>
      <w:r w:rsidRPr="00113D3F">
        <w:rPr>
          <w:rFonts w:ascii="Arial" w:hAnsi="Arial" w:cs="Arial"/>
          <w:sz w:val="18"/>
          <w:szCs w:val="18"/>
        </w:rPr>
        <w:t xml:space="preserve"> </w:t>
      </w:r>
      <w:r w:rsidR="00113D3F">
        <w:rPr>
          <w:rFonts w:ascii="Arial" w:hAnsi="Arial" w:cs="Arial"/>
          <w:sz w:val="18"/>
          <w:szCs w:val="18"/>
        </w:rPr>
        <w:t xml:space="preserve">Ravaghi et al., </w:t>
      </w:r>
      <w:hyperlink r:id="rId3" w:history="1">
        <w:r w:rsidR="00113D3F" w:rsidRPr="00FF16D2">
          <w:rPr>
            <w:rStyle w:val="Hyperlink"/>
            <w:rFonts w:ascii="Arial" w:hAnsi="Arial" w:cs="Arial"/>
            <w:i/>
            <w:iCs/>
            <w:color w:val="000000" w:themeColor="text1"/>
            <w:sz w:val="18"/>
            <w:szCs w:val="18"/>
            <w:u w:val="none"/>
          </w:rPr>
          <w:t>Models and methods for determining the optimal number of beds in hospitals and regions: a systematic scoping review</w:t>
        </w:r>
      </w:hyperlink>
      <w:r w:rsidR="00113D3F">
        <w:rPr>
          <w:rFonts w:ascii="Arial" w:hAnsi="Arial" w:cs="Arial"/>
          <w:sz w:val="18"/>
          <w:szCs w:val="18"/>
        </w:rPr>
        <w:t xml:space="preserve">, 20 </w:t>
      </w:r>
      <w:r w:rsidR="00113D3F">
        <w:rPr>
          <w:rFonts w:ascii="Arial" w:hAnsi="Arial" w:cs="Arial"/>
          <w:smallCaps/>
          <w:sz w:val="18"/>
          <w:szCs w:val="18"/>
        </w:rPr>
        <w:t>BMC Health Services Research</w:t>
      </w:r>
      <w:r w:rsidR="00113D3F" w:rsidRPr="002800C1">
        <w:rPr>
          <w:rFonts w:ascii="Arial" w:hAnsi="Arial" w:cs="Arial"/>
          <w:smallCaps/>
          <w:sz w:val="18"/>
          <w:szCs w:val="18"/>
        </w:rPr>
        <w:t xml:space="preserve"> </w:t>
      </w:r>
      <w:r w:rsidR="00113D3F">
        <w:rPr>
          <w:rFonts w:ascii="Arial" w:hAnsi="Arial" w:cs="Arial"/>
          <w:smallCaps/>
          <w:sz w:val="18"/>
          <w:szCs w:val="18"/>
        </w:rPr>
        <w:t>186</w:t>
      </w:r>
      <w:r w:rsidR="00113D3F" w:rsidRPr="002800C1">
        <w:rPr>
          <w:rFonts w:ascii="Arial" w:hAnsi="Arial" w:cs="Arial"/>
          <w:sz w:val="18"/>
          <w:szCs w:val="18"/>
        </w:rPr>
        <w:t xml:space="preserve"> (202</w:t>
      </w:r>
      <w:r w:rsidR="00113D3F">
        <w:rPr>
          <w:rFonts w:ascii="Arial" w:hAnsi="Arial" w:cs="Arial"/>
          <w:sz w:val="18"/>
          <w:szCs w:val="18"/>
        </w:rPr>
        <w:t xml:space="preserve">0), </w:t>
      </w:r>
      <w:r w:rsidR="00113D3F" w:rsidRPr="0031748B">
        <w:rPr>
          <w:rFonts w:ascii="Arial" w:hAnsi="Arial" w:cs="Arial"/>
          <w:i/>
          <w:iCs/>
          <w:sz w:val="18"/>
          <w:szCs w:val="18"/>
        </w:rPr>
        <w:t>available at</w:t>
      </w:r>
      <w:r w:rsidR="00113D3F">
        <w:rPr>
          <w:rFonts w:ascii="Arial" w:hAnsi="Arial" w:cs="Arial"/>
          <w:sz w:val="18"/>
          <w:szCs w:val="18"/>
        </w:rPr>
        <w:t xml:space="preserve"> </w:t>
      </w:r>
      <w:hyperlink r:id="rId4" w:history="1">
        <w:r w:rsidR="00FF16D2" w:rsidRPr="00FF16D2">
          <w:rPr>
            <w:rStyle w:val="Hyperlink"/>
            <w:rFonts w:ascii="Arial" w:hAnsi="Arial" w:cs="Arial"/>
            <w:color w:val="000000" w:themeColor="text1"/>
            <w:sz w:val="18"/>
            <w:szCs w:val="18"/>
          </w:rPr>
          <w:t>https://bmchealthservres.biomedcentral.com/articles/10.1186/s12913-020-5023-z</w:t>
        </w:r>
      </w:hyperlink>
      <w:r w:rsidR="00FF16D2">
        <w:rPr>
          <w:rFonts w:ascii="Arial" w:hAnsi="Arial" w:cs="Arial"/>
          <w:sz w:val="18"/>
          <w:szCs w:val="18"/>
        </w:rPr>
        <w:t xml:space="preserve"> </w:t>
      </w:r>
      <w:r w:rsidR="00113D3F" w:rsidRPr="00E54505">
        <w:rPr>
          <w:rFonts w:ascii="Arial" w:hAnsi="Arial" w:cs="Arial"/>
          <w:sz w:val="18"/>
          <w:szCs w:val="18"/>
        </w:rPr>
        <w:t>.</w:t>
      </w:r>
    </w:p>
  </w:footnote>
  <w:footnote w:id="34">
    <w:p w14:paraId="74F05D85" w14:textId="09CE4761" w:rsidR="00E54505" w:rsidRPr="007C2E9B" w:rsidRDefault="00E54505">
      <w:pPr>
        <w:pStyle w:val="FootnoteText"/>
        <w:rPr>
          <w:rFonts w:ascii="Arial" w:hAnsi="Arial" w:cs="Arial"/>
          <w:sz w:val="18"/>
          <w:szCs w:val="18"/>
        </w:rPr>
      </w:pPr>
      <w:r w:rsidRPr="007C2E9B">
        <w:rPr>
          <w:rStyle w:val="FootnoteReference"/>
          <w:rFonts w:ascii="Arial" w:hAnsi="Arial" w:cs="Arial"/>
          <w:sz w:val="18"/>
          <w:szCs w:val="18"/>
        </w:rPr>
        <w:footnoteRef/>
      </w:r>
      <w:r w:rsidRPr="007C2E9B">
        <w:rPr>
          <w:rFonts w:ascii="Arial" w:hAnsi="Arial" w:cs="Arial"/>
          <w:sz w:val="18"/>
          <w:szCs w:val="18"/>
        </w:rPr>
        <w:t xml:space="preserve"> </w:t>
      </w:r>
      <w:r w:rsidR="007C2E9B" w:rsidRPr="007C2E9B">
        <w:rPr>
          <w:rFonts w:ascii="Arial" w:hAnsi="Arial" w:cs="Arial"/>
          <w:sz w:val="18"/>
          <w:szCs w:val="18"/>
        </w:rPr>
        <w:t xml:space="preserve">Tierney &amp; Conroy, </w:t>
      </w:r>
      <w:hyperlink r:id="rId5" w:anchor=":~:text=Issues%20pertaining%20to%20the%20utility,were%20around%2070-75%25" w:history="1">
        <w:r w:rsidR="007C2E9B" w:rsidRPr="00FF16D2">
          <w:rPr>
            <w:rStyle w:val="Hyperlink"/>
            <w:rFonts w:ascii="Arial" w:hAnsi="Arial" w:cs="Arial"/>
            <w:i/>
            <w:iCs/>
            <w:color w:val="000000" w:themeColor="text1"/>
            <w:sz w:val="18"/>
            <w:szCs w:val="18"/>
            <w:u w:val="none"/>
          </w:rPr>
          <w:t>Optimal occupancy in the ICU: a literature review</w:t>
        </w:r>
      </w:hyperlink>
      <w:r w:rsidR="007C2E9B" w:rsidRPr="00FF16D2">
        <w:rPr>
          <w:rFonts w:ascii="Arial" w:hAnsi="Arial" w:cs="Arial"/>
          <w:color w:val="000000" w:themeColor="text1"/>
          <w:sz w:val="18"/>
          <w:szCs w:val="18"/>
        </w:rPr>
        <w:t xml:space="preserve">, </w:t>
      </w:r>
      <w:r w:rsidR="007C2E9B" w:rsidRPr="007C2E9B">
        <w:rPr>
          <w:rFonts w:ascii="Arial" w:hAnsi="Arial" w:cs="Arial"/>
          <w:sz w:val="18"/>
          <w:szCs w:val="18"/>
        </w:rPr>
        <w:t xml:space="preserve">27 </w:t>
      </w:r>
      <w:r w:rsidR="007C2E9B" w:rsidRPr="007C2E9B">
        <w:rPr>
          <w:rFonts w:ascii="Arial" w:hAnsi="Arial" w:cs="Arial"/>
          <w:smallCaps/>
          <w:sz w:val="18"/>
          <w:szCs w:val="18"/>
        </w:rPr>
        <w:t>Aust. Crit. Care</w:t>
      </w:r>
      <w:r w:rsidR="007C2E9B" w:rsidRPr="007C2E9B">
        <w:rPr>
          <w:rFonts w:ascii="Arial" w:hAnsi="Arial" w:cs="Arial"/>
          <w:sz w:val="18"/>
          <w:szCs w:val="18"/>
        </w:rPr>
        <w:t xml:space="preserve"> 77 (2014), </w:t>
      </w:r>
      <w:r w:rsidR="007C2E9B" w:rsidRPr="007C2E9B">
        <w:rPr>
          <w:rFonts w:ascii="Arial" w:hAnsi="Arial" w:cs="Arial"/>
          <w:i/>
          <w:iCs/>
          <w:sz w:val="18"/>
          <w:szCs w:val="18"/>
        </w:rPr>
        <w:t>available at</w:t>
      </w:r>
      <w:r w:rsidR="007C2E9B" w:rsidRPr="007C2E9B">
        <w:rPr>
          <w:rFonts w:ascii="Arial" w:hAnsi="Arial" w:cs="Arial"/>
          <w:sz w:val="18"/>
          <w:szCs w:val="18"/>
        </w:rPr>
        <w:t xml:space="preserve"> </w:t>
      </w:r>
      <w:hyperlink r:id="rId6" w:anchor=":~:text=Issues%20pertaining%20to%20the%20utility,were%20around%2070-75%25" w:history="1">
        <w:r w:rsidR="00FF16D2" w:rsidRPr="00FF16D2">
          <w:rPr>
            <w:rStyle w:val="Hyperlink"/>
            <w:rFonts w:ascii="Arial" w:hAnsi="Arial" w:cs="Arial"/>
            <w:color w:val="000000" w:themeColor="text1"/>
            <w:sz w:val="18"/>
            <w:szCs w:val="18"/>
          </w:rPr>
          <w:t>https://pubmed.ncbi.nlm.nih.gov/24373914/#:~:text=Issues%20pertaining%20to%20the%20utility,were%20around%2070-75%25</w:t>
        </w:r>
      </w:hyperlink>
      <w:r w:rsidR="00FF16D2">
        <w:rPr>
          <w:rFonts w:ascii="Arial" w:hAnsi="Arial" w:cs="Arial"/>
          <w:sz w:val="18"/>
          <w:szCs w:val="18"/>
        </w:rPr>
        <w:t xml:space="preserve"> </w:t>
      </w:r>
      <w:r w:rsidR="007C2E9B" w:rsidRPr="007C2E9B">
        <w:rPr>
          <w:rFonts w:ascii="Arial" w:hAnsi="Arial" w:cs="Arial"/>
          <w:sz w:val="18"/>
          <w:szCs w:val="18"/>
        </w:rPr>
        <w:t>.</w:t>
      </w:r>
    </w:p>
  </w:footnote>
  <w:footnote w:id="35">
    <w:p w14:paraId="55320980" w14:textId="655B69CF" w:rsidR="00700417" w:rsidRPr="00632085" w:rsidRDefault="00700417">
      <w:pPr>
        <w:pStyle w:val="FootnoteText"/>
        <w:rPr>
          <w:rFonts w:ascii="Arial" w:hAnsi="Arial" w:cs="Arial"/>
          <w:sz w:val="18"/>
          <w:szCs w:val="18"/>
        </w:rPr>
      </w:pPr>
      <w:r w:rsidRPr="00632085">
        <w:rPr>
          <w:rStyle w:val="FootnoteReference"/>
          <w:rFonts w:ascii="Arial" w:hAnsi="Arial" w:cs="Arial"/>
          <w:sz w:val="18"/>
          <w:szCs w:val="18"/>
        </w:rPr>
        <w:footnoteRef/>
      </w:r>
      <w:r w:rsidRPr="00632085">
        <w:rPr>
          <w:rFonts w:ascii="Arial" w:hAnsi="Arial" w:cs="Arial"/>
          <w:sz w:val="18"/>
          <w:szCs w:val="18"/>
        </w:rPr>
        <w:t xml:space="preserve"> The Applicant notes that the discharge, case weight, CMI, and ALOS metrics </w:t>
      </w:r>
      <w:r w:rsidR="005E607D" w:rsidRPr="00632085">
        <w:rPr>
          <w:rFonts w:ascii="Arial" w:hAnsi="Arial" w:cs="Arial"/>
          <w:sz w:val="18"/>
          <w:szCs w:val="18"/>
        </w:rPr>
        <w:t xml:space="preserve">provided herein </w:t>
      </w:r>
      <w:r w:rsidRPr="00632085">
        <w:rPr>
          <w:rFonts w:ascii="Arial" w:hAnsi="Arial" w:cs="Arial"/>
          <w:sz w:val="18"/>
          <w:szCs w:val="18"/>
        </w:rPr>
        <w:t>are based on medica</w:t>
      </w:r>
      <w:r w:rsidR="00283EB0">
        <w:rPr>
          <w:rFonts w:ascii="Arial" w:hAnsi="Arial" w:cs="Arial"/>
          <w:sz w:val="18"/>
          <w:szCs w:val="18"/>
        </w:rPr>
        <w:t>l</w:t>
      </w:r>
      <w:r w:rsidRPr="00632085">
        <w:rPr>
          <w:rFonts w:ascii="Arial" w:hAnsi="Arial" w:cs="Arial"/>
          <w:sz w:val="18"/>
          <w:szCs w:val="18"/>
        </w:rPr>
        <w:t xml:space="preserve">/surgical discharges. However, </w:t>
      </w:r>
      <w:r w:rsidR="005E607D" w:rsidRPr="00632085">
        <w:rPr>
          <w:rFonts w:ascii="Arial" w:hAnsi="Arial" w:cs="Arial"/>
          <w:sz w:val="18"/>
          <w:szCs w:val="18"/>
        </w:rPr>
        <w:t xml:space="preserve">to provide the most accurate understanding of BMC’s occupancy rates, the occupancy data provided herein </w:t>
      </w:r>
      <w:r w:rsidR="00E13117">
        <w:rPr>
          <w:rFonts w:ascii="Arial" w:hAnsi="Arial" w:cs="Arial"/>
          <w:sz w:val="18"/>
          <w:szCs w:val="18"/>
        </w:rPr>
        <w:t>are</w:t>
      </w:r>
      <w:r w:rsidR="00E13117" w:rsidRPr="00632085">
        <w:rPr>
          <w:rFonts w:ascii="Arial" w:hAnsi="Arial" w:cs="Arial"/>
          <w:sz w:val="18"/>
          <w:szCs w:val="18"/>
        </w:rPr>
        <w:t xml:space="preserve"> </w:t>
      </w:r>
      <w:r w:rsidR="005E607D" w:rsidRPr="00632085">
        <w:rPr>
          <w:rFonts w:ascii="Arial" w:hAnsi="Arial" w:cs="Arial"/>
          <w:sz w:val="18"/>
          <w:szCs w:val="18"/>
        </w:rPr>
        <w:t xml:space="preserve">based on midnight census reporting, which also includes observation patients and bedded outpatients who occupy a medical/surgical bed but are not reflected as inpatient </w:t>
      </w:r>
      <w:r w:rsidR="003F61A6" w:rsidRPr="00632085">
        <w:rPr>
          <w:rFonts w:ascii="Arial" w:hAnsi="Arial" w:cs="Arial"/>
          <w:sz w:val="18"/>
          <w:szCs w:val="18"/>
        </w:rPr>
        <w:t xml:space="preserve">medical/surgical </w:t>
      </w:r>
      <w:r w:rsidR="005E607D" w:rsidRPr="00632085">
        <w:rPr>
          <w:rFonts w:ascii="Arial" w:hAnsi="Arial" w:cs="Arial"/>
          <w:sz w:val="18"/>
          <w:szCs w:val="18"/>
        </w:rPr>
        <w:t>discharges.</w:t>
      </w:r>
    </w:p>
  </w:footnote>
  <w:footnote w:id="36">
    <w:p w14:paraId="33440B04" w14:textId="46206A1C" w:rsidR="007C13EB" w:rsidRPr="007C13EB" w:rsidRDefault="007C13EB">
      <w:pPr>
        <w:pStyle w:val="FootnoteText"/>
        <w:rPr>
          <w:rFonts w:ascii="Arial" w:hAnsi="Arial" w:cs="Arial"/>
          <w:sz w:val="18"/>
          <w:szCs w:val="18"/>
        </w:rPr>
      </w:pPr>
      <w:r w:rsidRPr="00DE174F">
        <w:rPr>
          <w:rStyle w:val="FootnoteReference"/>
          <w:rFonts w:ascii="Arial" w:hAnsi="Arial" w:cs="Arial"/>
          <w:sz w:val="18"/>
          <w:szCs w:val="18"/>
        </w:rPr>
        <w:footnoteRef/>
      </w:r>
      <w:r w:rsidR="00DA1918" w:rsidRPr="00DE174F">
        <w:t xml:space="preserve"> </w:t>
      </w:r>
      <w:r w:rsidR="00DA1918" w:rsidRPr="00DE174F">
        <w:rPr>
          <w:rFonts w:ascii="Arial" w:hAnsi="Arial" w:cs="Arial"/>
          <w:sz w:val="18"/>
          <w:szCs w:val="18"/>
        </w:rPr>
        <w:t xml:space="preserve">The Applicant highlights that </w:t>
      </w:r>
      <w:bookmarkStart w:id="5" w:name="_Hlk110940950"/>
      <w:r w:rsidR="00DA1918" w:rsidRPr="00DE174F">
        <w:rPr>
          <w:rFonts w:ascii="Arial" w:hAnsi="Arial" w:cs="Arial"/>
          <w:sz w:val="18"/>
          <w:szCs w:val="18"/>
        </w:rPr>
        <w:t>BMC’s existing number of operating medical/surgical beds is higher than its existing number of licensed medical/surgical beds.</w:t>
      </w:r>
      <w:bookmarkEnd w:id="5"/>
      <w:r w:rsidR="00DA1918" w:rsidRPr="00DE174F">
        <w:rPr>
          <w:rFonts w:ascii="Arial" w:hAnsi="Arial" w:cs="Arial"/>
          <w:sz w:val="18"/>
          <w:szCs w:val="18"/>
        </w:rPr>
        <w:t xml:space="preserve"> While the Hospital is currently licensed for 265 medical/surgical beds, it also currently utilizes alternate space (e.g., Code Yellow beds and other acute inpatient care </w:t>
      </w:r>
      <w:r w:rsidR="000E0D3E" w:rsidRPr="00DE174F">
        <w:rPr>
          <w:rFonts w:ascii="Arial" w:hAnsi="Arial" w:cs="Arial"/>
          <w:sz w:val="18"/>
          <w:szCs w:val="18"/>
        </w:rPr>
        <w:t xml:space="preserve">COVID-19 </w:t>
      </w:r>
      <w:r w:rsidR="00DA1918" w:rsidRPr="00DE174F">
        <w:rPr>
          <w:rFonts w:ascii="Arial" w:hAnsi="Arial" w:cs="Arial"/>
          <w:sz w:val="18"/>
          <w:szCs w:val="18"/>
        </w:rPr>
        <w:t>surge spaces) to provide medical/surgical inpatient care to its patients pursuant to guidance from the Department. Given that patients receive medical/surgical care in these beds, the Applicant has included these beds and patients in its calculations to provide the most accurate understanding of BMC’s medical/surgical inpatient utilization rates</w:t>
      </w:r>
      <w:r w:rsidR="00DD363F" w:rsidRPr="00DE174F">
        <w:rPr>
          <w:rFonts w:ascii="Arial" w:hAnsi="Arial" w:cs="Arial"/>
          <w:sz w:val="18"/>
          <w:szCs w:val="18"/>
        </w:rPr>
        <w:t>.</w:t>
      </w:r>
      <w:r w:rsidR="005B63FA" w:rsidRPr="00DE174F">
        <w:rPr>
          <w:rFonts w:ascii="Arial" w:hAnsi="Arial" w:cs="Arial"/>
          <w:sz w:val="18"/>
          <w:szCs w:val="18"/>
        </w:rPr>
        <w:t xml:space="preserve"> Specifically, </w:t>
      </w:r>
      <w:r w:rsidR="00C42D62" w:rsidRPr="00DE174F">
        <w:rPr>
          <w:rFonts w:ascii="Arial" w:hAnsi="Arial" w:cs="Arial"/>
          <w:sz w:val="18"/>
          <w:szCs w:val="18"/>
        </w:rPr>
        <w:t xml:space="preserve">the calculations provided herein </w:t>
      </w:r>
      <w:r w:rsidR="00AC7C02" w:rsidRPr="00DE174F">
        <w:rPr>
          <w:rFonts w:ascii="Arial" w:hAnsi="Arial" w:cs="Arial"/>
          <w:sz w:val="18"/>
          <w:szCs w:val="18"/>
        </w:rPr>
        <w:t xml:space="preserve">are based on </w:t>
      </w:r>
      <w:r w:rsidR="00C42D62" w:rsidRPr="00DE174F">
        <w:rPr>
          <w:rFonts w:ascii="Arial" w:hAnsi="Arial" w:cs="Arial"/>
          <w:sz w:val="18"/>
          <w:szCs w:val="18"/>
        </w:rPr>
        <w:t xml:space="preserve">a total of 294 </w:t>
      </w:r>
      <w:r w:rsidR="0048382F" w:rsidRPr="00DE174F">
        <w:rPr>
          <w:rFonts w:ascii="Arial" w:hAnsi="Arial" w:cs="Arial"/>
          <w:sz w:val="18"/>
          <w:szCs w:val="18"/>
        </w:rPr>
        <w:t>operating medical/surgical beds in FY19, 323 in FY20, and 328 in FY21.</w:t>
      </w:r>
    </w:p>
  </w:footnote>
  <w:footnote w:id="37">
    <w:p w14:paraId="77E0849D" w14:textId="3FF65ED5" w:rsidR="00700417" w:rsidRPr="007C13EB" w:rsidRDefault="00700417">
      <w:pPr>
        <w:pStyle w:val="FootnoteText"/>
        <w:rPr>
          <w:rFonts w:ascii="Arial" w:hAnsi="Arial" w:cs="Arial"/>
          <w:sz w:val="18"/>
          <w:szCs w:val="18"/>
        </w:rPr>
      </w:pPr>
      <w:r w:rsidRPr="007C13EB">
        <w:rPr>
          <w:rStyle w:val="FootnoteReference"/>
          <w:rFonts w:ascii="Arial" w:hAnsi="Arial" w:cs="Arial"/>
          <w:sz w:val="18"/>
          <w:szCs w:val="18"/>
        </w:rPr>
        <w:footnoteRef/>
      </w:r>
      <w:r w:rsidRPr="007C13EB">
        <w:rPr>
          <w:rFonts w:ascii="Arial" w:hAnsi="Arial" w:cs="Arial"/>
          <w:sz w:val="18"/>
          <w:szCs w:val="18"/>
        </w:rPr>
        <w:t xml:space="preserve"> </w:t>
      </w:r>
      <w:r w:rsidR="0099148A" w:rsidRPr="00632085">
        <w:rPr>
          <w:rFonts w:ascii="Arial" w:hAnsi="Arial" w:cs="Arial"/>
          <w:sz w:val="18"/>
          <w:szCs w:val="18"/>
        </w:rPr>
        <w:t xml:space="preserve">The Applicant notes that the discharge, case weight, CMI, and ALOS metrics provided herein are based on </w:t>
      </w:r>
      <w:r w:rsidR="0099148A">
        <w:rPr>
          <w:rFonts w:ascii="Arial" w:hAnsi="Arial" w:cs="Arial"/>
          <w:sz w:val="18"/>
          <w:szCs w:val="18"/>
        </w:rPr>
        <w:t>ICU</w:t>
      </w:r>
      <w:r w:rsidR="0099148A" w:rsidRPr="00632085">
        <w:rPr>
          <w:rFonts w:ascii="Arial" w:hAnsi="Arial" w:cs="Arial"/>
          <w:sz w:val="18"/>
          <w:szCs w:val="18"/>
        </w:rPr>
        <w:t xml:space="preserve"> discharges. However, to provide the most accurate understanding of BMC’s occupancy rates, the occupancy data provided herein </w:t>
      </w:r>
      <w:r w:rsidR="00891A0B">
        <w:rPr>
          <w:rFonts w:ascii="Arial" w:hAnsi="Arial" w:cs="Arial"/>
          <w:sz w:val="18"/>
          <w:szCs w:val="18"/>
        </w:rPr>
        <w:t>are</w:t>
      </w:r>
      <w:r w:rsidR="00891A0B" w:rsidRPr="00632085">
        <w:rPr>
          <w:rFonts w:ascii="Arial" w:hAnsi="Arial" w:cs="Arial"/>
          <w:sz w:val="18"/>
          <w:szCs w:val="18"/>
        </w:rPr>
        <w:t xml:space="preserve"> </w:t>
      </w:r>
      <w:r w:rsidR="0099148A" w:rsidRPr="00632085">
        <w:rPr>
          <w:rFonts w:ascii="Arial" w:hAnsi="Arial" w:cs="Arial"/>
          <w:sz w:val="18"/>
          <w:szCs w:val="18"/>
        </w:rPr>
        <w:t xml:space="preserve">based on census </w:t>
      </w:r>
      <w:r w:rsidR="0099148A">
        <w:rPr>
          <w:rFonts w:ascii="Arial" w:hAnsi="Arial" w:cs="Arial"/>
          <w:sz w:val="18"/>
          <w:szCs w:val="18"/>
        </w:rPr>
        <w:t>days</w:t>
      </w:r>
      <w:r w:rsidR="00811228">
        <w:rPr>
          <w:rFonts w:ascii="Arial" w:hAnsi="Arial" w:cs="Arial"/>
          <w:sz w:val="18"/>
          <w:szCs w:val="18"/>
        </w:rPr>
        <w:t>, which is lower</w:t>
      </w:r>
      <w:r w:rsidR="00D1201E">
        <w:rPr>
          <w:rFonts w:ascii="Arial" w:hAnsi="Arial" w:cs="Arial"/>
          <w:sz w:val="18"/>
          <w:szCs w:val="18"/>
        </w:rPr>
        <w:t xml:space="preserve"> as it accounts for time that patients spend in different levels of care </w:t>
      </w:r>
      <w:r w:rsidR="0087534A">
        <w:rPr>
          <w:rFonts w:ascii="Arial" w:hAnsi="Arial" w:cs="Arial"/>
          <w:sz w:val="18"/>
          <w:szCs w:val="18"/>
        </w:rPr>
        <w:t xml:space="preserve">(e.g., medical/surgical, step-down, ICU, etc.). </w:t>
      </w:r>
    </w:p>
  </w:footnote>
  <w:footnote w:id="38">
    <w:p w14:paraId="47687F4E" w14:textId="1D28B7B6" w:rsidR="007C13EB" w:rsidRPr="007C13EB" w:rsidRDefault="007C13EB">
      <w:pPr>
        <w:pStyle w:val="FootnoteText"/>
        <w:rPr>
          <w:rFonts w:ascii="Arial" w:hAnsi="Arial" w:cs="Arial"/>
          <w:sz w:val="18"/>
          <w:szCs w:val="18"/>
        </w:rPr>
      </w:pPr>
      <w:r w:rsidRPr="003C7573">
        <w:rPr>
          <w:rStyle w:val="FootnoteReference"/>
          <w:rFonts w:ascii="Arial" w:hAnsi="Arial" w:cs="Arial"/>
          <w:sz w:val="18"/>
          <w:szCs w:val="18"/>
        </w:rPr>
        <w:footnoteRef/>
      </w:r>
      <w:r w:rsidRPr="003C7573">
        <w:rPr>
          <w:rFonts w:ascii="Arial" w:hAnsi="Arial" w:cs="Arial"/>
          <w:sz w:val="18"/>
          <w:szCs w:val="18"/>
        </w:rPr>
        <w:t xml:space="preserve"> </w:t>
      </w:r>
      <w:r w:rsidR="00545807" w:rsidRPr="003C7573">
        <w:rPr>
          <w:rFonts w:ascii="Arial" w:hAnsi="Arial" w:cs="Arial"/>
          <w:sz w:val="18"/>
          <w:szCs w:val="18"/>
        </w:rPr>
        <w:t xml:space="preserve">The Applicant highlights that BMC’s number of operating ICU beds </w:t>
      </w:r>
      <w:r w:rsidR="00155EA1" w:rsidRPr="003C7573">
        <w:rPr>
          <w:rFonts w:ascii="Arial" w:hAnsi="Arial" w:cs="Arial"/>
          <w:sz w:val="18"/>
          <w:szCs w:val="18"/>
        </w:rPr>
        <w:t>changed between FY19-FY21</w:t>
      </w:r>
      <w:r w:rsidR="00545807" w:rsidRPr="003C7573">
        <w:rPr>
          <w:rFonts w:ascii="Arial" w:hAnsi="Arial" w:cs="Arial"/>
          <w:sz w:val="18"/>
          <w:szCs w:val="18"/>
        </w:rPr>
        <w:t xml:space="preserve"> </w:t>
      </w:r>
      <w:r w:rsidR="00AC7247" w:rsidRPr="003C7573">
        <w:rPr>
          <w:rFonts w:ascii="Arial" w:hAnsi="Arial" w:cs="Arial"/>
          <w:sz w:val="18"/>
          <w:szCs w:val="18"/>
        </w:rPr>
        <w:t xml:space="preserve">and at times was </w:t>
      </w:r>
      <w:r w:rsidR="00545807" w:rsidRPr="003C7573">
        <w:rPr>
          <w:rFonts w:ascii="Arial" w:hAnsi="Arial" w:cs="Arial"/>
          <w:sz w:val="18"/>
          <w:szCs w:val="18"/>
        </w:rPr>
        <w:t xml:space="preserve">higher than its number of licensed </w:t>
      </w:r>
      <w:r w:rsidR="00AC7247" w:rsidRPr="003C7573">
        <w:rPr>
          <w:rFonts w:ascii="Arial" w:hAnsi="Arial" w:cs="Arial"/>
          <w:sz w:val="18"/>
          <w:szCs w:val="18"/>
        </w:rPr>
        <w:t>ICU</w:t>
      </w:r>
      <w:r w:rsidR="00545807" w:rsidRPr="003C7573">
        <w:rPr>
          <w:rFonts w:ascii="Arial" w:hAnsi="Arial" w:cs="Arial"/>
          <w:sz w:val="18"/>
          <w:szCs w:val="18"/>
        </w:rPr>
        <w:t xml:space="preserve"> beds</w:t>
      </w:r>
      <w:r w:rsidR="00993259" w:rsidRPr="003C7573">
        <w:rPr>
          <w:rFonts w:ascii="Arial" w:hAnsi="Arial" w:cs="Arial"/>
          <w:sz w:val="18"/>
          <w:szCs w:val="18"/>
        </w:rPr>
        <w:t>.</w:t>
      </w:r>
      <w:r w:rsidR="00545807" w:rsidRPr="003C7573">
        <w:rPr>
          <w:rFonts w:ascii="Arial" w:hAnsi="Arial" w:cs="Arial"/>
          <w:sz w:val="18"/>
          <w:szCs w:val="18"/>
        </w:rPr>
        <w:t xml:space="preserve"> </w:t>
      </w:r>
      <w:r w:rsidR="00993259" w:rsidRPr="003C7573">
        <w:rPr>
          <w:rFonts w:ascii="Arial" w:hAnsi="Arial" w:cs="Arial"/>
          <w:sz w:val="18"/>
          <w:szCs w:val="18"/>
        </w:rPr>
        <w:t>W</w:t>
      </w:r>
      <w:r w:rsidR="00683420" w:rsidRPr="003C7573">
        <w:rPr>
          <w:rFonts w:ascii="Arial" w:hAnsi="Arial" w:cs="Arial"/>
          <w:sz w:val="18"/>
          <w:szCs w:val="18"/>
        </w:rPr>
        <w:t xml:space="preserve">hile </w:t>
      </w:r>
      <w:r w:rsidR="00545807" w:rsidRPr="003C7573">
        <w:rPr>
          <w:rFonts w:ascii="Arial" w:hAnsi="Arial" w:cs="Arial"/>
          <w:sz w:val="18"/>
          <w:szCs w:val="18"/>
        </w:rPr>
        <w:t xml:space="preserve">the Hospital is currently licensed for </w:t>
      </w:r>
      <w:r w:rsidR="00683420" w:rsidRPr="003C7573">
        <w:rPr>
          <w:rFonts w:ascii="Arial" w:hAnsi="Arial" w:cs="Arial"/>
          <w:sz w:val="18"/>
          <w:szCs w:val="18"/>
        </w:rPr>
        <w:t>63</w:t>
      </w:r>
      <w:r w:rsidR="00545807" w:rsidRPr="003C7573">
        <w:rPr>
          <w:rFonts w:ascii="Arial" w:hAnsi="Arial" w:cs="Arial"/>
          <w:sz w:val="18"/>
          <w:szCs w:val="18"/>
        </w:rPr>
        <w:t xml:space="preserve"> </w:t>
      </w:r>
      <w:r w:rsidR="00683420" w:rsidRPr="003C7573">
        <w:rPr>
          <w:rFonts w:ascii="Arial" w:hAnsi="Arial" w:cs="Arial"/>
          <w:sz w:val="18"/>
          <w:szCs w:val="18"/>
        </w:rPr>
        <w:t>ICU</w:t>
      </w:r>
      <w:r w:rsidR="00545807" w:rsidRPr="003C7573">
        <w:rPr>
          <w:rFonts w:ascii="Arial" w:hAnsi="Arial" w:cs="Arial"/>
          <w:sz w:val="18"/>
          <w:szCs w:val="18"/>
        </w:rPr>
        <w:t xml:space="preserve"> beds, </w:t>
      </w:r>
      <w:r w:rsidR="005C37F8" w:rsidRPr="003C7573">
        <w:rPr>
          <w:rFonts w:ascii="Arial" w:hAnsi="Arial" w:cs="Arial"/>
          <w:sz w:val="18"/>
          <w:szCs w:val="18"/>
        </w:rPr>
        <w:t>in FY20 and FY21, it</w:t>
      </w:r>
      <w:r w:rsidR="00545807" w:rsidRPr="003C7573">
        <w:rPr>
          <w:rFonts w:ascii="Arial" w:hAnsi="Arial" w:cs="Arial"/>
          <w:sz w:val="18"/>
          <w:szCs w:val="18"/>
        </w:rPr>
        <w:t xml:space="preserve"> also utilize</w:t>
      </w:r>
      <w:r w:rsidR="005C37F8" w:rsidRPr="003C7573">
        <w:rPr>
          <w:rFonts w:ascii="Arial" w:hAnsi="Arial" w:cs="Arial"/>
          <w:sz w:val="18"/>
          <w:szCs w:val="18"/>
        </w:rPr>
        <w:t>d</w:t>
      </w:r>
      <w:r w:rsidR="00545807" w:rsidRPr="003C7573">
        <w:rPr>
          <w:rFonts w:ascii="Arial" w:hAnsi="Arial" w:cs="Arial"/>
          <w:sz w:val="18"/>
          <w:szCs w:val="18"/>
        </w:rPr>
        <w:t xml:space="preserve"> alternate space (e.g., acute inpatient care COVID-19 surge spaces) to provide </w:t>
      </w:r>
      <w:r w:rsidR="005C37F8" w:rsidRPr="003C7573">
        <w:rPr>
          <w:rFonts w:ascii="Arial" w:hAnsi="Arial" w:cs="Arial"/>
          <w:sz w:val="18"/>
          <w:szCs w:val="18"/>
        </w:rPr>
        <w:t>ICU</w:t>
      </w:r>
      <w:r w:rsidR="00545807" w:rsidRPr="003C7573">
        <w:rPr>
          <w:rFonts w:ascii="Arial" w:hAnsi="Arial" w:cs="Arial"/>
          <w:sz w:val="18"/>
          <w:szCs w:val="18"/>
        </w:rPr>
        <w:t xml:space="preserve"> care to its patients pursuant to guidance from the Department. Given that patients receive</w:t>
      </w:r>
      <w:r w:rsidR="005C37F8" w:rsidRPr="003C7573">
        <w:rPr>
          <w:rFonts w:ascii="Arial" w:hAnsi="Arial" w:cs="Arial"/>
          <w:sz w:val="18"/>
          <w:szCs w:val="18"/>
        </w:rPr>
        <w:t>d</w:t>
      </w:r>
      <w:r w:rsidR="00545807" w:rsidRPr="003C7573">
        <w:rPr>
          <w:rFonts w:ascii="Arial" w:hAnsi="Arial" w:cs="Arial"/>
          <w:sz w:val="18"/>
          <w:szCs w:val="18"/>
        </w:rPr>
        <w:t xml:space="preserve"> </w:t>
      </w:r>
      <w:r w:rsidR="005C37F8" w:rsidRPr="003C7573">
        <w:rPr>
          <w:rFonts w:ascii="Arial" w:hAnsi="Arial" w:cs="Arial"/>
          <w:sz w:val="18"/>
          <w:szCs w:val="18"/>
        </w:rPr>
        <w:t>ICU</w:t>
      </w:r>
      <w:r w:rsidR="00545807" w:rsidRPr="003C7573">
        <w:rPr>
          <w:rFonts w:ascii="Arial" w:hAnsi="Arial" w:cs="Arial"/>
          <w:sz w:val="18"/>
          <w:szCs w:val="18"/>
        </w:rPr>
        <w:t xml:space="preserve"> care in these beds, the Applicant has included these beds and patients in its calculations to provide the most accurate understanding of BMC’s </w:t>
      </w:r>
      <w:r w:rsidR="005C37F8" w:rsidRPr="003C7573">
        <w:rPr>
          <w:rFonts w:ascii="Arial" w:hAnsi="Arial" w:cs="Arial"/>
          <w:sz w:val="18"/>
          <w:szCs w:val="18"/>
        </w:rPr>
        <w:t>ICU</w:t>
      </w:r>
      <w:r w:rsidR="00545807" w:rsidRPr="003C7573">
        <w:rPr>
          <w:rFonts w:ascii="Arial" w:hAnsi="Arial" w:cs="Arial"/>
          <w:sz w:val="18"/>
          <w:szCs w:val="18"/>
        </w:rPr>
        <w:t xml:space="preserve"> utilization rates. Specifically, the calculations provided herein are based on a total of </w:t>
      </w:r>
      <w:r w:rsidR="00BB0386" w:rsidRPr="003C7573">
        <w:rPr>
          <w:rFonts w:ascii="Arial" w:hAnsi="Arial" w:cs="Arial"/>
          <w:sz w:val="18"/>
          <w:szCs w:val="18"/>
        </w:rPr>
        <w:t>63</w:t>
      </w:r>
      <w:r w:rsidR="00545807" w:rsidRPr="003C7573">
        <w:rPr>
          <w:rFonts w:ascii="Arial" w:hAnsi="Arial" w:cs="Arial"/>
          <w:sz w:val="18"/>
          <w:szCs w:val="18"/>
        </w:rPr>
        <w:t xml:space="preserve"> operating </w:t>
      </w:r>
      <w:r w:rsidR="00BB0386" w:rsidRPr="003C7573">
        <w:rPr>
          <w:rFonts w:ascii="Arial" w:hAnsi="Arial" w:cs="Arial"/>
          <w:sz w:val="18"/>
          <w:szCs w:val="18"/>
        </w:rPr>
        <w:t>ICU</w:t>
      </w:r>
      <w:r w:rsidR="00545807" w:rsidRPr="003C7573">
        <w:rPr>
          <w:rFonts w:ascii="Arial" w:hAnsi="Arial" w:cs="Arial"/>
          <w:sz w:val="18"/>
          <w:szCs w:val="18"/>
        </w:rPr>
        <w:t xml:space="preserve"> beds in FY19, </w:t>
      </w:r>
      <w:r w:rsidR="00BB0386" w:rsidRPr="003C7573">
        <w:rPr>
          <w:rFonts w:ascii="Arial" w:hAnsi="Arial" w:cs="Arial"/>
          <w:sz w:val="18"/>
          <w:szCs w:val="18"/>
        </w:rPr>
        <w:t>75</w:t>
      </w:r>
      <w:r w:rsidR="00545807" w:rsidRPr="003C7573">
        <w:rPr>
          <w:rFonts w:ascii="Arial" w:hAnsi="Arial" w:cs="Arial"/>
          <w:sz w:val="18"/>
          <w:szCs w:val="18"/>
        </w:rPr>
        <w:t xml:space="preserve"> </w:t>
      </w:r>
      <w:r w:rsidR="00C27015" w:rsidRPr="003C7573">
        <w:rPr>
          <w:rFonts w:ascii="Arial" w:hAnsi="Arial" w:cs="Arial"/>
          <w:sz w:val="18"/>
          <w:szCs w:val="18"/>
        </w:rPr>
        <w:t xml:space="preserve">operating ICU beds </w:t>
      </w:r>
      <w:r w:rsidR="00545807" w:rsidRPr="003C7573">
        <w:rPr>
          <w:rFonts w:ascii="Arial" w:hAnsi="Arial" w:cs="Arial"/>
          <w:sz w:val="18"/>
          <w:szCs w:val="18"/>
        </w:rPr>
        <w:t xml:space="preserve">in FY20, and </w:t>
      </w:r>
      <w:r w:rsidR="00E20A64" w:rsidRPr="003C7573">
        <w:rPr>
          <w:rFonts w:ascii="Arial" w:hAnsi="Arial" w:cs="Arial"/>
          <w:sz w:val="18"/>
          <w:szCs w:val="18"/>
        </w:rPr>
        <w:t xml:space="preserve">63 </w:t>
      </w:r>
      <w:r w:rsidR="00277E6E" w:rsidRPr="003C7573">
        <w:rPr>
          <w:rFonts w:ascii="Arial" w:hAnsi="Arial" w:cs="Arial"/>
          <w:sz w:val="18"/>
          <w:szCs w:val="18"/>
        </w:rPr>
        <w:t xml:space="preserve">ICU </w:t>
      </w:r>
      <w:r w:rsidR="00C27015" w:rsidRPr="003C7573">
        <w:rPr>
          <w:rFonts w:ascii="Arial" w:hAnsi="Arial" w:cs="Arial"/>
          <w:sz w:val="18"/>
          <w:szCs w:val="18"/>
        </w:rPr>
        <w:t xml:space="preserve">operating </w:t>
      </w:r>
      <w:r w:rsidR="00E20A64" w:rsidRPr="003C7573">
        <w:rPr>
          <w:rFonts w:ascii="Arial" w:hAnsi="Arial" w:cs="Arial"/>
          <w:sz w:val="18"/>
          <w:szCs w:val="18"/>
        </w:rPr>
        <w:t>beds +</w:t>
      </w:r>
      <w:r w:rsidR="00545807" w:rsidRPr="003C7573">
        <w:rPr>
          <w:rFonts w:ascii="Arial" w:hAnsi="Arial" w:cs="Arial"/>
          <w:sz w:val="18"/>
          <w:szCs w:val="18"/>
        </w:rPr>
        <w:t xml:space="preserve"> </w:t>
      </w:r>
      <w:r w:rsidR="00C27015" w:rsidRPr="003C7573">
        <w:rPr>
          <w:rFonts w:ascii="Arial" w:hAnsi="Arial" w:cs="Arial"/>
          <w:sz w:val="18"/>
          <w:szCs w:val="18"/>
        </w:rPr>
        <w:t xml:space="preserve">a limited </w:t>
      </w:r>
      <w:r w:rsidR="00277E6E" w:rsidRPr="003C7573">
        <w:rPr>
          <w:rFonts w:ascii="Arial" w:hAnsi="Arial" w:cs="Arial"/>
          <w:sz w:val="18"/>
          <w:szCs w:val="18"/>
        </w:rPr>
        <w:t xml:space="preserve">time operation of an additional 7 ICU beds </w:t>
      </w:r>
      <w:r w:rsidR="00545807" w:rsidRPr="003C7573">
        <w:rPr>
          <w:rFonts w:ascii="Arial" w:hAnsi="Arial" w:cs="Arial"/>
          <w:sz w:val="18"/>
          <w:szCs w:val="18"/>
        </w:rPr>
        <w:t>in FY21</w:t>
      </w:r>
      <w:r w:rsidR="00155EA1" w:rsidRPr="003C7573">
        <w:rPr>
          <w:rFonts w:ascii="Arial" w:hAnsi="Arial" w:cs="Arial"/>
          <w:sz w:val="18"/>
          <w:szCs w:val="18"/>
        </w:rPr>
        <w:t>.</w:t>
      </w:r>
      <w:r w:rsidR="004C4277" w:rsidRPr="003C7573">
        <w:rPr>
          <w:rFonts w:ascii="Arial" w:hAnsi="Arial" w:cs="Arial"/>
          <w:sz w:val="18"/>
          <w:szCs w:val="18"/>
        </w:rPr>
        <w:t xml:space="preserve"> With regard to FY21, the Applicant notes that BMC operated</w:t>
      </w:r>
      <w:r w:rsidR="002324EE" w:rsidRPr="003C7573">
        <w:rPr>
          <w:rFonts w:ascii="Arial" w:hAnsi="Arial" w:cs="Arial"/>
          <w:sz w:val="18"/>
          <w:szCs w:val="18"/>
        </w:rPr>
        <w:t xml:space="preserve"> its</w:t>
      </w:r>
      <w:r w:rsidR="004C4277" w:rsidRPr="003C7573">
        <w:rPr>
          <w:rFonts w:ascii="Arial" w:hAnsi="Arial" w:cs="Arial"/>
          <w:sz w:val="18"/>
          <w:szCs w:val="18"/>
        </w:rPr>
        <w:t xml:space="preserve"> 7 </w:t>
      </w:r>
      <w:r w:rsidR="002324EE" w:rsidRPr="003C7573">
        <w:rPr>
          <w:rFonts w:ascii="Arial" w:hAnsi="Arial" w:cs="Arial"/>
          <w:sz w:val="18"/>
          <w:szCs w:val="18"/>
        </w:rPr>
        <w:t xml:space="preserve">additional </w:t>
      </w:r>
      <w:r w:rsidR="004C4277" w:rsidRPr="003C7573">
        <w:rPr>
          <w:rFonts w:ascii="Arial" w:hAnsi="Arial" w:cs="Arial"/>
          <w:sz w:val="18"/>
          <w:szCs w:val="18"/>
        </w:rPr>
        <w:t xml:space="preserve">COVID-19 surge beds for approximately </w:t>
      </w:r>
      <w:r w:rsidR="00D355A7" w:rsidRPr="003C7573">
        <w:rPr>
          <w:rFonts w:ascii="Arial" w:hAnsi="Arial" w:cs="Arial"/>
          <w:sz w:val="18"/>
          <w:szCs w:val="18"/>
        </w:rPr>
        <w:t>45 days. Given limitations in the Department's Change in Service Form, the Applicant is not able to include these 7 beds in its reporting without inaccurately skewing the Hospital's existing ICU occupancy rate (i.e., the Change in Service Form does not allow the Applicant to account for the limited time period that the 7 additional beds were in operation and inaccurately drives the Hospital's existing ICU occupancy rate down to 76%).</w:t>
      </w:r>
      <w:r w:rsidR="00BA053F" w:rsidRPr="003C7573">
        <w:rPr>
          <w:rFonts w:ascii="Arial" w:hAnsi="Arial" w:cs="Arial"/>
          <w:sz w:val="18"/>
          <w:szCs w:val="18"/>
        </w:rPr>
        <w:t xml:space="preserve"> Accordingly, the Applicant has not included these 7 beds in its Change in Service Form reporting. However, </w:t>
      </w:r>
      <w:r w:rsidR="00F304F1" w:rsidRPr="003C7573">
        <w:rPr>
          <w:rFonts w:ascii="Arial" w:hAnsi="Arial" w:cs="Arial"/>
          <w:sz w:val="18"/>
          <w:szCs w:val="18"/>
        </w:rPr>
        <w:t>to provide the most accurate understanding of BMC’s ICU utilization rates, the Applicant has included these 7 beds in its calculations herein</w:t>
      </w:r>
      <w:r w:rsidR="007251D7" w:rsidRPr="003C7573">
        <w:rPr>
          <w:rFonts w:ascii="Arial" w:hAnsi="Arial" w:cs="Arial"/>
          <w:sz w:val="18"/>
          <w:szCs w:val="18"/>
        </w:rPr>
        <w:t>; Table 12 properly accounts for the operation of these 7 beds for approximately 45 days</w:t>
      </w:r>
      <w:r w:rsidR="0025469B" w:rsidRPr="003C7573">
        <w:rPr>
          <w:rFonts w:ascii="Arial" w:hAnsi="Arial" w:cs="Arial"/>
          <w:sz w:val="18"/>
          <w:szCs w:val="18"/>
        </w:rPr>
        <w:t xml:space="preserve"> in FY21 and</w:t>
      </w:r>
      <w:r w:rsidR="003C7573" w:rsidRPr="003C7573">
        <w:rPr>
          <w:rFonts w:ascii="Arial" w:hAnsi="Arial" w:cs="Arial"/>
          <w:sz w:val="18"/>
          <w:szCs w:val="18"/>
        </w:rPr>
        <w:t xml:space="preserve"> accurately</w:t>
      </w:r>
      <w:r w:rsidR="0025469B" w:rsidRPr="003C7573">
        <w:rPr>
          <w:rFonts w:ascii="Arial" w:hAnsi="Arial" w:cs="Arial"/>
          <w:sz w:val="18"/>
          <w:szCs w:val="18"/>
        </w:rPr>
        <w:t xml:space="preserve"> illustrates</w:t>
      </w:r>
      <w:r w:rsidR="007251D7" w:rsidRPr="003C7573">
        <w:rPr>
          <w:rFonts w:ascii="Arial" w:hAnsi="Arial" w:cs="Arial"/>
          <w:sz w:val="18"/>
          <w:szCs w:val="18"/>
        </w:rPr>
        <w:t xml:space="preserve"> the Hospital's ICU occupancy rate </w:t>
      </w:r>
      <w:r w:rsidR="003C7573" w:rsidRPr="003C7573">
        <w:rPr>
          <w:rFonts w:ascii="Arial" w:hAnsi="Arial" w:cs="Arial"/>
          <w:sz w:val="18"/>
          <w:szCs w:val="18"/>
        </w:rPr>
        <w:t xml:space="preserve">of </w:t>
      </w:r>
      <w:r w:rsidR="007251D7" w:rsidRPr="003C7573">
        <w:rPr>
          <w:rFonts w:ascii="Arial" w:hAnsi="Arial" w:cs="Arial"/>
          <w:sz w:val="18"/>
          <w:szCs w:val="18"/>
        </w:rPr>
        <w:t>83%</w:t>
      </w:r>
      <w:r w:rsidR="003C7573" w:rsidRPr="003C7573">
        <w:rPr>
          <w:rFonts w:ascii="Arial" w:hAnsi="Arial" w:cs="Arial"/>
          <w:sz w:val="18"/>
          <w:szCs w:val="18"/>
        </w:rPr>
        <w:t xml:space="preserve"> in FY21.</w:t>
      </w:r>
    </w:p>
  </w:footnote>
  <w:footnote w:id="39">
    <w:p w14:paraId="15E135E9" w14:textId="3E5E7A97" w:rsidR="007C13EB" w:rsidRPr="006B55A0" w:rsidRDefault="007C13EB">
      <w:pPr>
        <w:pStyle w:val="FootnoteText"/>
        <w:rPr>
          <w:rFonts w:ascii="Arial" w:hAnsi="Arial" w:cs="Arial"/>
          <w:sz w:val="18"/>
          <w:szCs w:val="18"/>
        </w:rPr>
      </w:pPr>
      <w:r w:rsidRPr="007C13EB">
        <w:rPr>
          <w:rStyle w:val="FootnoteReference"/>
          <w:rFonts w:ascii="Arial" w:hAnsi="Arial" w:cs="Arial"/>
          <w:sz w:val="18"/>
          <w:szCs w:val="18"/>
        </w:rPr>
        <w:footnoteRef/>
      </w:r>
      <w:r w:rsidRPr="007C13EB">
        <w:rPr>
          <w:rFonts w:ascii="Arial" w:hAnsi="Arial" w:cs="Arial"/>
          <w:sz w:val="18"/>
          <w:szCs w:val="18"/>
        </w:rPr>
        <w:t xml:space="preserve"> </w:t>
      </w:r>
      <w:r w:rsidR="00811228" w:rsidRPr="00632085">
        <w:rPr>
          <w:rFonts w:ascii="Arial" w:hAnsi="Arial" w:cs="Arial"/>
          <w:sz w:val="18"/>
          <w:szCs w:val="18"/>
        </w:rPr>
        <w:t>The Applicant notes that the discharge, case weight, CMI, and ALOS metrics provided herein are based on medica</w:t>
      </w:r>
      <w:r w:rsidR="00811228">
        <w:rPr>
          <w:rFonts w:ascii="Arial" w:hAnsi="Arial" w:cs="Arial"/>
          <w:sz w:val="18"/>
          <w:szCs w:val="18"/>
        </w:rPr>
        <w:t>l</w:t>
      </w:r>
      <w:r w:rsidR="00811228" w:rsidRPr="00632085">
        <w:rPr>
          <w:rFonts w:ascii="Arial" w:hAnsi="Arial" w:cs="Arial"/>
          <w:sz w:val="18"/>
          <w:szCs w:val="18"/>
        </w:rPr>
        <w:t xml:space="preserve">/surgical discharges. However, to provide the most accurate understanding of BMC’s occupancy rates, the occupancy data </w:t>
      </w:r>
      <w:r w:rsidR="00811228" w:rsidRPr="006B55A0">
        <w:rPr>
          <w:rFonts w:ascii="Arial" w:hAnsi="Arial" w:cs="Arial"/>
          <w:sz w:val="18"/>
          <w:szCs w:val="18"/>
        </w:rPr>
        <w:t xml:space="preserve">provided herein </w:t>
      </w:r>
      <w:r w:rsidR="0074565B">
        <w:rPr>
          <w:rFonts w:ascii="Arial" w:hAnsi="Arial" w:cs="Arial"/>
          <w:sz w:val="18"/>
          <w:szCs w:val="18"/>
        </w:rPr>
        <w:t>are</w:t>
      </w:r>
      <w:r w:rsidR="0074565B" w:rsidRPr="006B55A0">
        <w:rPr>
          <w:rFonts w:ascii="Arial" w:hAnsi="Arial" w:cs="Arial"/>
          <w:sz w:val="18"/>
          <w:szCs w:val="18"/>
        </w:rPr>
        <w:t xml:space="preserve"> </w:t>
      </w:r>
      <w:r w:rsidR="00811228" w:rsidRPr="006B55A0">
        <w:rPr>
          <w:rFonts w:ascii="Arial" w:hAnsi="Arial" w:cs="Arial"/>
          <w:sz w:val="18"/>
          <w:szCs w:val="18"/>
        </w:rPr>
        <w:t>based on midnight census reporting, which also includes observation patients and bedded outpatients who occupy a medical/surgical bed but are not reflected as inpatient medical/surgical discharges</w:t>
      </w:r>
      <w:r w:rsidR="00D1201E" w:rsidRPr="006B55A0">
        <w:rPr>
          <w:rFonts w:ascii="Arial" w:hAnsi="Arial" w:cs="Arial"/>
          <w:sz w:val="18"/>
          <w:szCs w:val="18"/>
        </w:rPr>
        <w:t>.</w:t>
      </w:r>
    </w:p>
  </w:footnote>
  <w:footnote w:id="40">
    <w:p w14:paraId="564D1EE5" w14:textId="0783B1CB" w:rsidR="007C13EB" w:rsidRPr="006B55A0" w:rsidRDefault="007C13EB">
      <w:pPr>
        <w:pStyle w:val="FootnoteText"/>
        <w:rPr>
          <w:rFonts w:ascii="Arial" w:hAnsi="Arial" w:cs="Arial"/>
          <w:sz w:val="18"/>
          <w:szCs w:val="18"/>
        </w:rPr>
      </w:pPr>
      <w:r w:rsidRPr="006B55A0">
        <w:rPr>
          <w:rStyle w:val="FootnoteReference"/>
          <w:rFonts w:ascii="Arial" w:hAnsi="Arial" w:cs="Arial"/>
          <w:sz w:val="18"/>
          <w:szCs w:val="18"/>
        </w:rPr>
        <w:footnoteRef/>
      </w:r>
      <w:r w:rsidR="006F09CF" w:rsidRPr="006B55A0">
        <w:rPr>
          <w:rFonts w:ascii="Arial" w:hAnsi="Arial" w:cs="Arial"/>
          <w:sz w:val="18"/>
          <w:szCs w:val="18"/>
        </w:rPr>
        <w:t xml:space="preserve"> </w:t>
      </w:r>
      <w:r w:rsidR="00345CD6" w:rsidRPr="006B55A0">
        <w:rPr>
          <w:rFonts w:ascii="Arial" w:hAnsi="Arial" w:cs="Arial"/>
          <w:sz w:val="18"/>
          <w:szCs w:val="18"/>
        </w:rPr>
        <w:t xml:space="preserve">As noted above, </w:t>
      </w:r>
      <w:r w:rsidR="00706044" w:rsidRPr="006B55A0">
        <w:rPr>
          <w:rFonts w:ascii="Arial" w:hAnsi="Arial" w:cs="Arial"/>
          <w:sz w:val="18"/>
          <w:szCs w:val="18"/>
        </w:rPr>
        <w:t xml:space="preserve">BMC’s existing number of operating medical/surgical beds is higher than its existing number of licensed medical/surgical beds. </w:t>
      </w:r>
      <w:r w:rsidR="00C056CE" w:rsidRPr="006B55A0">
        <w:rPr>
          <w:rFonts w:ascii="Arial" w:hAnsi="Arial" w:cs="Arial"/>
          <w:sz w:val="18"/>
          <w:szCs w:val="18"/>
        </w:rPr>
        <w:t>C</w:t>
      </w:r>
      <w:r w:rsidR="00706044" w:rsidRPr="006B55A0">
        <w:rPr>
          <w:rFonts w:ascii="Arial" w:hAnsi="Arial" w:cs="Arial"/>
          <w:sz w:val="18"/>
          <w:szCs w:val="18"/>
        </w:rPr>
        <w:t xml:space="preserve">ontrolling for </w:t>
      </w:r>
      <w:r w:rsidR="006B4765" w:rsidRPr="006B55A0">
        <w:rPr>
          <w:rFonts w:ascii="Arial" w:hAnsi="Arial" w:cs="Arial"/>
          <w:sz w:val="18"/>
          <w:szCs w:val="18"/>
        </w:rPr>
        <w:t>COVID-19</w:t>
      </w:r>
      <w:r w:rsidR="00C056CE" w:rsidRPr="006B55A0">
        <w:rPr>
          <w:rFonts w:ascii="Arial" w:hAnsi="Arial" w:cs="Arial"/>
          <w:sz w:val="18"/>
          <w:szCs w:val="18"/>
        </w:rPr>
        <w:t xml:space="preserve"> patient cases/utilization of </w:t>
      </w:r>
      <w:r w:rsidR="00706044" w:rsidRPr="006B55A0">
        <w:rPr>
          <w:rFonts w:ascii="Arial" w:hAnsi="Arial" w:cs="Arial"/>
          <w:sz w:val="18"/>
          <w:szCs w:val="18"/>
        </w:rPr>
        <w:t>COVID-19 surge spaces</w:t>
      </w:r>
      <w:r w:rsidR="000E0D3E" w:rsidRPr="006B55A0">
        <w:rPr>
          <w:rFonts w:ascii="Arial" w:hAnsi="Arial" w:cs="Arial"/>
          <w:sz w:val="18"/>
          <w:szCs w:val="18"/>
        </w:rPr>
        <w:t xml:space="preserve">, </w:t>
      </w:r>
      <w:r w:rsidR="00C056CE" w:rsidRPr="006B55A0">
        <w:rPr>
          <w:rFonts w:ascii="Arial" w:hAnsi="Arial" w:cs="Arial"/>
          <w:sz w:val="18"/>
          <w:szCs w:val="18"/>
        </w:rPr>
        <w:t xml:space="preserve">the </w:t>
      </w:r>
      <w:r w:rsidR="00E17226" w:rsidRPr="006B55A0">
        <w:rPr>
          <w:rFonts w:ascii="Arial" w:hAnsi="Arial" w:cs="Arial"/>
          <w:sz w:val="18"/>
          <w:szCs w:val="18"/>
        </w:rPr>
        <w:t xml:space="preserve">Non-COVID-19 ONLY </w:t>
      </w:r>
      <w:r w:rsidR="00327348" w:rsidRPr="006B55A0">
        <w:rPr>
          <w:rFonts w:ascii="Arial" w:hAnsi="Arial" w:cs="Arial"/>
          <w:sz w:val="18"/>
          <w:szCs w:val="18"/>
        </w:rPr>
        <w:t xml:space="preserve">medical/surgical </w:t>
      </w:r>
      <w:r w:rsidR="00E17226" w:rsidRPr="006B55A0">
        <w:rPr>
          <w:rFonts w:ascii="Arial" w:hAnsi="Arial" w:cs="Arial"/>
          <w:sz w:val="18"/>
          <w:szCs w:val="18"/>
        </w:rPr>
        <w:t>calculations provided herein</w:t>
      </w:r>
      <w:r w:rsidR="00195145" w:rsidRPr="006B55A0">
        <w:rPr>
          <w:rFonts w:ascii="Arial" w:hAnsi="Arial" w:cs="Arial"/>
          <w:sz w:val="18"/>
          <w:szCs w:val="18"/>
        </w:rPr>
        <w:t xml:space="preserve"> are based on the following number</w:t>
      </w:r>
      <w:r w:rsidR="002E081E" w:rsidRPr="006B55A0">
        <w:rPr>
          <w:rFonts w:ascii="Arial" w:hAnsi="Arial" w:cs="Arial"/>
          <w:sz w:val="18"/>
          <w:szCs w:val="18"/>
        </w:rPr>
        <w:t>s</w:t>
      </w:r>
      <w:r w:rsidR="00195145" w:rsidRPr="006B55A0">
        <w:rPr>
          <w:rFonts w:ascii="Arial" w:hAnsi="Arial" w:cs="Arial"/>
          <w:sz w:val="18"/>
          <w:szCs w:val="18"/>
        </w:rPr>
        <w:t xml:space="preserve"> of operating medical/surgical beds: 294 in FY19, 302 in FY20, and 306 in FY21.</w:t>
      </w:r>
    </w:p>
  </w:footnote>
  <w:footnote w:id="41">
    <w:p w14:paraId="48E174E6" w14:textId="12AA1399" w:rsidR="007C13EB" w:rsidRDefault="007C13EB">
      <w:pPr>
        <w:pStyle w:val="FootnoteText"/>
      </w:pPr>
      <w:r w:rsidRPr="006B55A0">
        <w:rPr>
          <w:rStyle w:val="FootnoteReference"/>
          <w:rFonts w:ascii="Arial" w:hAnsi="Arial" w:cs="Arial"/>
          <w:sz w:val="18"/>
          <w:szCs w:val="18"/>
        </w:rPr>
        <w:footnoteRef/>
      </w:r>
      <w:r w:rsidRPr="006B55A0">
        <w:rPr>
          <w:rFonts w:ascii="Arial" w:hAnsi="Arial" w:cs="Arial"/>
          <w:sz w:val="18"/>
          <w:szCs w:val="18"/>
        </w:rPr>
        <w:t xml:space="preserve"> </w:t>
      </w:r>
      <w:r w:rsidR="00D1201E" w:rsidRPr="006B55A0">
        <w:rPr>
          <w:rFonts w:ascii="Arial" w:hAnsi="Arial" w:cs="Arial"/>
          <w:sz w:val="18"/>
          <w:szCs w:val="18"/>
        </w:rPr>
        <w:t xml:space="preserve">The Applicant notes that the discharge, case weight, CMI, and ALOS metrics provided herein are based on ICU discharges. However, to provide the most accurate understanding of BMC’s </w:t>
      </w:r>
      <w:r w:rsidR="00D1201E" w:rsidRPr="00632085">
        <w:rPr>
          <w:rFonts w:ascii="Arial" w:hAnsi="Arial" w:cs="Arial"/>
          <w:sz w:val="18"/>
          <w:szCs w:val="18"/>
        </w:rPr>
        <w:t xml:space="preserve">occupancy rates, the occupancy data provided herein </w:t>
      </w:r>
      <w:r w:rsidR="003C6D04">
        <w:rPr>
          <w:rFonts w:ascii="Arial" w:hAnsi="Arial" w:cs="Arial"/>
          <w:sz w:val="18"/>
          <w:szCs w:val="18"/>
        </w:rPr>
        <w:t>are</w:t>
      </w:r>
      <w:r w:rsidR="003C6D04" w:rsidRPr="00632085">
        <w:rPr>
          <w:rFonts w:ascii="Arial" w:hAnsi="Arial" w:cs="Arial"/>
          <w:sz w:val="18"/>
          <w:szCs w:val="18"/>
        </w:rPr>
        <w:t xml:space="preserve"> </w:t>
      </w:r>
      <w:r w:rsidR="00D1201E" w:rsidRPr="00632085">
        <w:rPr>
          <w:rFonts w:ascii="Arial" w:hAnsi="Arial" w:cs="Arial"/>
          <w:sz w:val="18"/>
          <w:szCs w:val="18"/>
        </w:rPr>
        <w:t xml:space="preserve">based on census </w:t>
      </w:r>
      <w:r w:rsidR="00D1201E">
        <w:rPr>
          <w:rFonts w:ascii="Arial" w:hAnsi="Arial" w:cs="Arial"/>
          <w:sz w:val="18"/>
          <w:szCs w:val="18"/>
        </w:rPr>
        <w:t>days, which is lower as it accounts for time that patients spend in different levels of care (e.g., medical/surgical, step-down, ICU, etc.).</w:t>
      </w:r>
    </w:p>
  </w:footnote>
  <w:footnote w:id="42">
    <w:p w14:paraId="26277060" w14:textId="2E9302E5" w:rsidR="00824790" w:rsidRPr="002800C1" w:rsidRDefault="00B22580" w:rsidP="00903C27">
      <w:pPr>
        <w:rPr>
          <w:rFonts w:ascii="Arial" w:hAnsi="Arial" w:cs="Arial"/>
          <w:sz w:val="18"/>
          <w:szCs w:val="18"/>
        </w:rPr>
      </w:pPr>
      <w:r w:rsidRPr="002800C1">
        <w:rPr>
          <w:rStyle w:val="FootnoteReference"/>
          <w:rFonts w:ascii="Arial" w:hAnsi="Arial" w:cs="Arial"/>
          <w:sz w:val="18"/>
          <w:szCs w:val="18"/>
        </w:rPr>
        <w:footnoteRef/>
      </w:r>
      <w:r w:rsidR="00502E44" w:rsidRPr="002800C1">
        <w:rPr>
          <w:rFonts w:ascii="Arial" w:hAnsi="Arial" w:cs="Arial"/>
          <w:sz w:val="18"/>
          <w:szCs w:val="18"/>
        </w:rPr>
        <w:t xml:space="preserve"> Boyle et al., </w:t>
      </w:r>
      <w:hyperlink r:id="rId7" w:history="1">
        <w:r w:rsidR="00502E44" w:rsidRPr="0086348B">
          <w:rPr>
            <w:rStyle w:val="Hyperlink"/>
            <w:rFonts w:ascii="Arial" w:hAnsi="Arial" w:cs="Arial"/>
            <w:i/>
            <w:iCs/>
            <w:color w:val="000000" w:themeColor="text1"/>
            <w:sz w:val="18"/>
            <w:szCs w:val="18"/>
            <w:u w:val="none"/>
          </w:rPr>
          <w:t>Emergency Department Crowding: Time for Interventions and Policy Evaluations</w:t>
        </w:r>
      </w:hyperlink>
      <w:r w:rsidR="00502E44" w:rsidRPr="0086348B">
        <w:rPr>
          <w:rFonts w:ascii="Arial" w:hAnsi="Arial" w:cs="Arial"/>
          <w:color w:val="000000" w:themeColor="text1"/>
          <w:sz w:val="18"/>
          <w:szCs w:val="18"/>
        </w:rPr>
        <w:t xml:space="preserve">, </w:t>
      </w:r>
      <w:r w:rsidR="00502E44" w:rsidRPr="002800C1">
        <w:rPr>
          <w:rFonts w:ascii="Arial" w:hAnsi="Arial" w:cs="Arial"/>
          <w:smallCaps/>
          <w:sz w:val="18"/>
          <w:szCs w:val="18"/>
        </w:rPr>
        <w:t>Emerg. Med. Int. 838610</w:t>
      </w:r>
      <w:r w:rsidR="00502E44" w:rsidRPr="002800C1">
        <w:rPr>
          <w:rFonts w:ascii="Arial" w:hAnsi="Arial" w:cs="Arial"/>
          <w:sz w:val="18"/>
          <w:szCs w:val="18"/>
        </w:rPr>
        <w:t xml:space="preserve"> (2012), </w:t>
      </w:r>
      <w:r w:rsidR="00502E44" w:rsidRPr="002800C1">
        <w:rPr>
          <w:rFonts w:ascii="Arial" w:hAnsi="Arial" w:cs="Arial"/>
          <w:i/>
          <w:iCs/>
          <w:sz w:val="18"/>
          <w:szCs w:val="18"/>
        </w:rPr>
        <w:t xml:space="preserve">available at </w:t>
      </w:r>
      <w:hyperlink r:id="rId8" w:history="1">
        <w:r w:rsidR="0086348B" w:rsidRPr="0086348B">
          <w:rPr>
            <w:rStyle w:val="Hyperlink"/>
            <w:rFonts w:ascii="Arial" w:hAnsi="Arial" w:cs="Arial"/>
            <w:color w:val="000000" w:themeColor="text1"/>
            <w:sz w:val="18"/>
            <w:szCs w:val="18"/>
          </w:rPr>
          <w:t>https://www.hindawi.com/journals/emi/2012/838610/</w:t>
        </w:r>
      </w:hyperlink>
      <w:r w:rsidR="0086348B">
        <w:rPr>
          <w:rFonts w:ascii="Arial" w:hAnsi="Arial" w:cs="Arial"/>
          <w:sz w:val="18"/>
          <w:szCs w:val="18"/>
        </w:rPr>
        <w:t xml:space="preserve"> </w:t>
      </w:r>
      <w:r w:rsidR="00502E44" w:rsidRPr="002800C1">
        <w:rPr>
          <w:rFonts w:ascii="Arial" w:hAnsi="Arial" w:cs="Arial"/>
          <w:sz w:val="18"/>
          <w:szCs w:val="18"/>
        </w:rPr>
        <w:t xml:space="preserve">; Forero, et al., </w:t>
      </w:r>
      <w:hyperlink r:id="rId9" w:history="1">
        <w:r w:rsidR="00502E44" w:rsidRPr="0086348B">
          <w:rPr>
            <w:rStyle w:val="Hyperlink"/>
            <w:rFonts w:ascii="Arial" w:hAnsi="Arial" w:cs="Arial"/>
            <w:i/>
            <w:iCs/>
            <w:color w:val="000000" w:themeColor="text1"/>
            <w:sz w:val="18"/>
            <w:szCs w:val="18"/>
            <w:u w:val="none"/>
          </w:rPr>
          <w:t>Access block and emergency department overcrowding</w:t>
        </w:r>
        <w:r w:rsidR="00502E44" w:rsidRPr="0086348B">
          <w:rPr>
            <w:rStyle w:val="Hyperlink"/>
            <w:rFonts w:ascii="Arial" w:hAnsi="Arial" w:cs="Arial"/>
            <w:color w:val="000000" w:themeColor="text1"/>
            <w:sz w:val="18"/>
            <w:szCs w:val="18"/>
            <w:u w:val="none"/>
          </w:rPr>
          <w:t>,</w:t>
        </w:r>
      </w:hyperlink>
      <w:r w:rsidR="00502E44" w:rsidRPr="002800C1">
        <w:rPr>
          <w:rFonts w:ascii="Arial" w:hAnsi="Arial" w:cs="Arial"/>
          <w:sz w:val="18"/>
          <w:szCs w:val="18"/>
        </w:rPr>
        <w:t xml:space="preserve"> 15 </w:t>
      </w:r>
      <w:r w:rsidR="00502E44" w:rsidRPr="002800C1">
        <w:rPr>
          <w:rFonts w:ascii="Arial" w:hAnsi="Arial" w:cs="Arial"/>
          <w:smallCaps/>
          <w:sz w:val="18"/>
          <w:szCs w:val="18"/>
        </w:rPr>
        <w:t>Critical Care</w:t>
      </w:r>
      <w:r w:rsidR="00502E44" w:rsidRPr="002800C1">
        <w:rPr>
          <w:rFonts w:ascii="Arial" w:hAnsi="Arial" w:cs="Arial"/>
          <w:sz w:val="18"/>
          <w:szCs w:val="18"/>
        </w:rPr>
        <w:t xml:space="preserve"> 216 (2011), </w:t>
      </w:r>
      <w:r w:rsidR="00502E44" w:rsidRPr="002800C1">
        <w:rPr>
          <w:rFonts w:ascii="Arial" w:hAnsi="Arial" w:cs="Arial"/>
          <w:i/>
          <w:iCs/>
          <w:sz w:val="18"/>
          <w:szCs w:val="18"/>
        </w:rPr>
        <w:t>available at</w:t>
      </w:r>
      <w:r w:rsidR="00502E44" w:rsidRPr="002800C1">
        <w:rPr>
          <w:rFonts w:ascii="Arial" w:hAnsi="Arial" w:cs="Arial"/>
          <w:sz w:val="18"/>
          <w:szCs w:val="18"/>
        </w:rPr>
        <w:t xml:space="preserve"> </w:t>
      </w:r>
      <w:hyperlink r:id="rId10" w:history="1">
        <w:r w:rsidR="0086348B" w:rsidRPr="0086348B">
          <w:rPr>
            <w:rStyle w:val="Hyperlink"/>
            <w:rFonts w:ascii="Arial" w:hAnsi="Arial" w:cs="Arial"/>
            <w:color w:val="000000" w:themeColor="text1"/>
            <w:sz w:val="18"/>
            <w:szCs w:val="18"/>
          </w:rPr>
          <w:t>https://www.ncbi.nlm.nih.gov/pmc/articles/PMC3219412/</w:t>
        </w:r>
      </w:hyperlink>
      <w:r w:rsidR="0086348B">
        <w:rPr>
          <w:rFonts w:ascii="Arial" w:hAnsi="Arial" w:cs="Arial"/>
          <w:sz w:val="18"/>
          <w:szCs w:val="18"/>
        </w:rPr>
        <w:t xml:space="preserve"> </w:t>
      </w:r>
      <w:r w:rsidR="00502E44" w:rsidRPr="002800C1">
        <w:rPr>
          <w:rFonts w:ascii="Arial" w:hAnsi="Arial" w:cs="Arial"/>
          <w:sz w:val="18"/>
          <w:szCs w:val="18"/>
        </w:rPr>
        <w:t xml:space="preserve">; </w:t>
      </w:r>
      <w:r w:rsidR="00903C27" w:rsidRPr="002800C1">
        <w:rPr>
          <w:rFonts w:ascii="Arial" w:hAnsi="Arial" w:cs="Arial"/>
          <w:sz w:val="18"/>
          <w:szCs w:val="18"/>
        </w:rPr>
        <w:t xml:space="preserve">Hoot &amp; </w:t>
      </w:r>
      <w:r w:rsidR="00903C27" w:rsidRPr="002800C1">
        <w:rPr>
          <w:rFonts w:ascii="Arial" w:hAnsi="Arial" w:cs="Arial"/>
          <w:sz w:val="18"/>
          <w:szCs w:val="18"/>
        </w:rPr>
        <w:t xml:space="preserve">Aronsky, </w:t>
      </w:r>
      <w:hyperlink r:id="rId11" w:history="1">
        <w:r w:rsidR="00903C27" w:rsidRPr="00677275">
          <w:rPr>
            <w:rStyle w:val="Hyperlink"/>
            <w:rFonts w:ascii="Arial" w:hAnsi="Arial" w:cs="Arial"/>
            <w:i/>
            <w:iCs/>
            <w:color w:val="000000" w:themeColor="text1"/>
            <w:sz w:val="18"/>
            <w:szCs w:val="18"/>
            <w:u w:val="none"/>
          </w:rPr>
          <w:t>Systematic review of emergency department crowding: causes, effects, and solutions</w:t>
        </w:r>
      </w:hyperlink>
      <w:r w:rsidR="00903C27" w:rsidRPr="00677275">
        <w:rPr>
          <w:rFonts w:ascii="Arial" w:hAnsi="Arial" w:cs="Arial"/>
          <w:color w:val="000000" w:themeColor="text1"/>
          <w:sz w:val="18"/>
          <w:szCs w:val="18"/>
        </w:rPr>
        <w:t xml:space="preserve">, </w:t>
      </w:r>
      <w:r w:rsidR="00903C27" w:rsidRPr="002800C1">
        <w:rPr>
          <w:rFonts w:ascii="Arial" w:hAnsi="Arial" w:cs="Arial"/>
          <w:sz w:val="18"/>
          <w:szCs w:val="18"/>
        </w:rPr>
        <w:t xml:space="preserve">52 </w:t>
      </w:r>
      <w:r w:rsidR="00903C27" w:rsidRPr="002800C1">
        <w:rPr>
          <w:rFonts w:ascii="Arial" w:hAnsi="Arial" w:cs="Arial"/>
          <w:smallCaps/>
          <w:sz w:val="18"/>
          <w:szCs w:val="18"/>
        </w:rPr>
        <w:t xml:space="preserve">Ann Emerg. Med. </w:t>
      </w:r>
      <w:r w:rsidR="00903C27" w:rsidRPr="002800C1">
        <w:rPr>
          <w:rFonts w:ascii="Arial" w:hAnsi="Arial" w:cs="Arial"/>
          <w:sz w:val="18"/>
          <w:szCs w:val="18"/>
        </w:rPr>
        <w:t xml:space="preserve">126 (2008), </w:t>
      </w:r>
      <w:r w:rsidR="00903C27" w:rsidRPr="002800C1">
        <w:rPr>
          <w:rFonts w:ascii="Arial" w:hAnsi="Arial" w:cs="Arial"/>
          <w:i/>
          <w:iCs/>
          <w:sz w:val="18"/>
          <w:szCs w:val="18"/>
        </w:rPr>
        <w:t>available at</w:t>
      </w:r>
      <w:r w:rsidR="00903C27" w:rsidRPr="002800C1">
        <w:rPr>
          <w:rFonts w:ascii="Arial" w:hAnsi="Arial" w:cs="Arial"/>
          <w:sz w:val="18"/>
          <w:szCs w:val="18"/>
        </w:rPr>
        <w:t xml:space="preserve"> </w:t>
      </w:r>
      <w:hyperlink r:id="rId12" w:history="1">
        <w:r w:rsidR="0086348B" w:rsidRPr="0086348B">
          <w:rPr>
            <w:rStyle w:val="Hyperlink"/>
            <w:rFonts w:ascii="Arial" w:hAnsi="Arial" w:cs="Arial"/>
            <w:color w:val="000000" w:themeColor="text1"/>
            <w:sz w:val="18"/>
            <w:szCs w:val="18"/>
          </w:rPr>
          <w:t>https://www.ncbi.nlm.nih.gov/pmc/articles/PMC7340358/</w:t>
        </w:r>
      </w:hyperlink>
      <w:r w:rsidR="0086348B">
        <w:rPr>
          <w:rFonts w:ascii="Arial" w:hAnsi="Arial" w:cs="Arial"/>
          <w:sz w:val="18"/>
          <w:szCs w:val="18"/>
        </w:rPr>
        <w:t xml:space="preserve"> </w:t>
      </w:r>
      <w:r w:rsidR="00903C27" w:rsidRPr="002800C1">
        <w:rPr>
          <w:rFonts w:ascii="Arial" w:hAnsi="Arial" w:cs="Arial"/>
          <w:sz w:val="18"/>
          <w:szCs w:val="18"/>
        </w:rPr>
        <w:t xml:space="preserve">; </w:t>
      </w:r>
      <w:r w:rsidR="00502E44" w:rsidRPr="002800C1">
        <w:rPr>
          <w:rFonts w:ascii="Arial" w:hAnsi="Arial" w:cs="Arial"/>
          <w:sz w:val="18"/>
          <w:szCs w:val="18"/>
        </w:rPr>
        <w:t xml:space="preserve">D.M. Fatovich, </w:t>
      </w:r>
      <w:r w:rsidR="00502E44" w:rsidRPr="002800C1">
        <w:rPr>
          <w:rFonts w:ascii="Arial" w:hAnsi="Arial" w:cs="Arial"/>
          <w:i/>
          <w:iCs/>
          <w:sz w:val="18"/>
          <w:szCs w:val="18"/>
        </w:rPr>
        <w:t>Access block causes emergency department overcrowding and ambulance diversion in Perth, Western Australia</w:t>
      </w:r>
      <w:r w:rsidR="00502E44" w:rsidRPr="002800C1">
        <w:rPr>
          <w:rFonts w:ascii="Arial" w:hAnsi="Arial" w:cs="Arial"/>
          <w:sz w:val="18"/>
          <w:szCs w:val="18"/>
        </w:rPr>
        <w:t xml:space="preserve">, 22 </w:t>
      </w:r>
      <w:r w:rsidR="00502E44" w:rsidRPr="002800C1">
        <w:rPr>
          <w:rFonts w:ascii="Arial" w:hAnsi="Arial" w:cs="Arial"/>
          <w:smallCaps/>
          <w:sz w:val="18"/>
          <w:szCs w:val="18"/>
        </w:rPr>
        <w:t>Emerg. Med. J.</w:t>
      </w:r>
      <w:r w:rsidR="00502E44" w:rsidRPr="002800C1">
        <w:rPr>
          <w:rFonts w:ascii="Arial" w:hAnsi="Arial" w:cs="Arial"/>
          <w:sz w:val="18"/>
          <w:szCs w:val="18"/>
        </w:rPr>
        <w:t xml:space="preserve"> 351 (2005), </w:t>
      </w:r>
      <w:r w:rsidR="00502E44" w:rsidRPr="002800C1">
        <w:rPr>
          <w:rFonts w:ascii="Arial" w:hAnsi="Arial" w:cs="Arial"/>
          <w:i/>
          <w:iCs/>
          <w:sz w:val="18"/>
          <w:szCs w:val="18"/>
        </w:rPr>
        <w:t xml:space="preserve">available at </w:t>
      </w:r>
      <w:hyperlink r:id="rId13" w:history="1">
        <w:r w:rsidR="00677275" w:rsidRPr="00677275">
          <w:rPr>
            <w:rStyle w:val="Hyperlink"/>
            <w:rFonts w:ascii="Arial" w:hAnsi="Arial" w:cs="Arial"/>
            <w:color w:val="000000" w:themeColor="text1"/>
            <w:sz w:val="18"/>
            <w:szCs w:val="18"/>
          </w:rPr>
          <w:t>https://www.ncbi.nlm.nih.gov/pmc/articles/PMC1726785/pdf/v022p00351.pdf</w:t>
        </w:r>
      </w:hyperlink>
      <w:r w:rsidR="00677275">
        <w:rPr>
          <w:rFonts w:ascii="Arial" w:hAnsi="Arial" w:cs="Arial"/>
          <w:sz w:val="18"/>
          <w:szCs w:val="18"/>
        </w:rPr>
        <w:t xml:space="preserve"> </w:t>
      </w:r>
      <w:r w:rsidR="00502E44" w:rsidRPr="002800C1">
        <w:rPr>
          <w:rFonts w:ascii="Arial" w:hAnsi="Arial" w:cs="Arial"/>
          <w:sz w:val="18"/>
          <w:szCs w:val="18"/>
        </w:rPr>
        <w:t xml:space="preserve">; Forster et al., </w:t>
      </w:r>
      <w:hyperlink r:id="rId14" w:history="1">
        <w:r w:rsidR="00502E44" w:rsidRPr="006D2B5A">
          <w:rPr>
            <w:rStyle w:val="Hyperlink"/>
            <w:rFonts w:ascii="Arial" w:hAnsi="Arial" w:cs="Arial"/>
            <w:i/>
            <w:iCs/>
            <w:color w:val="000000" w:themeColor="text1"/>
            <w:sz w:val="18"/>
            <w:szCs w:val="18"/>
            <w:u w:val="none"/>
          </w:rPr>
          <w:t>The Effect of Hospital Occupancy on Emergency Department Length of Stay and Patient Disposition</w:t>
        </w:r>
      </w:hyperlink>
      <w:r w:rsidR="00502E44" w:rsidRPr="002800C1">
        <w:rPr>
          <w:rFonts w:ascii="Arial" w:hAnsi="Arial" w:cs="Arial"/>
          <w:sz w:val="18"/>
          <w:szCs w:val="18"/>
        </w:rPr>
        <w:t xml:space="preserve">, 10 </w:t>
      </w:r>
      <w:r w:rsidR="00502E44" w:rsidRPr="002800C1">
        <w:rPr>
          <w:rFonts w:ascii="Arial" w:hAnsi="Arial" w:cs="Arial"/>
          <w:smallCaps/>
          <w:sz w:val="18"/>
          <w:szCs w:val="18"/>
        </w:rPr>
        <w:t>Academic Emerg. Med.</w:t>
      </w:r>
      <w:r w:rsidR="00502E44" w:rsidRPr="002800C1">
        <w:rPr>
          <w:rFonts w:ascii="Arial" w:hAnsi="Arial" w:cs="Arial"/>
          <w:sz w:val="18"/>
          <w:szCs w:val="18"/>
        </w:rPr>
        <w:t xml:space="preserve"> 127 (2003), </w:t>
      </w:r>
      <w:r w:rsidR="00502E44" w:rsidRPr="002800C1">
        <w:rPr>
          <w:rFonts w:ascii="Arial" w:hAnsi="Arial" w:cs="Arial"/>
          <w:i/>
          <w:iCs/>
          <w:sz w:val="18"/>
          <w:szCs w:val="18"/>
        </w:rPr>
        <w:t xml:space="preserve">available at </w:t>
      </w:r>
      <w:hyperlink r:id="rId15" w:history="1">
        <w:r w:rsidR="006D2B5A" w:rsidRPr="006D2B5A">
          <w:rPr>
            <w:rStyle w:val="Hyperlink"/>
            <w:rFonts w:ascii="Arial" w:hAnsi="Arial" w:cs="Arial"/>
            <w:color w:val="000000" w:themeColor="text1"/>
            <w:sz w:val="18"/>
            <w:szCs w:val="18"/>
          </w:rPr>
          <w:t>https://onlinelibrary.wiley.com/doi/pdf/10.1197/aemj.10.2.127</w:t>
        </w:r>
      </w:hyperlink>
      <w:r w:rsidR="006D2B5A">
        <w:rPr>
          <w:rFonts w:ascii="Arial" w:hAnsi="Arial" w:cs="Arial"/>
          <w:sz w:val="18"/>
          <w:szCs w:val="18"/>
        </w:rPr>
        <w:t xml:space="preserve"> </w:t>
      </w:r>
      <w:r w:rsidR="00502E44" w:rsidRPr="002800C1">
        <w:rPr>
          <w:rFonts w:ascii="Arial" w:hAnsi="Arial" w:cs="Arial"/>
          <w:sz w:val="18"/>
          <w:szCs w:val="18"/>
        </w:rPr>
        <w:t>.</w:t>
      </w:r>
    </w:p>
  </w:footnote>
  <w:footnote w:id="43">
    <w:p w14:paraId="20F5BABE" w14:textId="6501BDCC" w:rsidR="00B22580" w:rsidRPr="002800C1" w:rsidRDefault="00B2258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502E44" w:rsidRPr="002800C1">
        <w:rPr>
          <w:rFonts w:ascii="Arial" w:hAnsi="Arial" w:cs="Arial"/>
          <w:sz w:val="18"/>
          <w:szCs w:val="18"/>
        </w:rPr>
        <w:t xml:space="preserve">Boyle, et al., </w:t>
      </w:r>
      <w:r w:rsidR="00502E44" w:rsidRPr="002800C1">
        <w:rPr>
          <w:rFonts w:ascii="Arial" w:hAnsi="Arial" w:cs="Arial"/>
          <w:i/>
          <w:iCs/>
          <w:sz w:val="18"/>
          <w:szCs w:val="18"/>
        </w:rPr>
        <w:t>supra</w:t>
      </w:r>
      <w:r w:rsidR="00502E44" w:rsidRPr="002800C1">
        <w:rPr>
          <w:rFonts w:ascii="Arial" w:hAnsi="Arial" w:cs="Arial"/>
          <w:sz w:val="18"/>
          <w:szCs w:val="18"/>
        </w:rPr>
        <w:t xml:space="preserve"> note </w:t>
      </w:r>
      <w:r w:rsidR="00820160" w:rsidRPr="002800C1">
        <w:rPr>
          <w:rFonts w:ascii="Arial" w:hAnsi="Arial" w:cs="Arial"/>
          <w:sz w:val="18"/>
          <w:szCs w:val="18"/>
        </w:rPr>
        <w:fldChar w:fldCharType="begin"/>
      </w:r>
      <w:r w:rsidR="00820160"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820160" w:rsidRPr="002800C1">
        <w:rPr>
          <w:rFonts w:ascii="Arial" w:hAnsi="Arial" w:cs="Arial"/>
          <w:sz w:val="18"/>
          <w:szCs w:val="18"/>
        </w:rPr>
      </w:r>
      <w:r w:rsidR="00820160" w:rsidRPr="002800C1">
        <w:rPr>
          <w:rFonts w:ascii="Arial" w:hAnsi="Arial" w:cs="Arial"/>
          <w:sz w:val="18"/>
          <w:szCs w:val="18"/>
        </w:rPr>
        <w:fldChar w:fldCharType="separate"/>
      </w:r>
      <w:r w:rsidR="00FB167B">
        <w:rPr>
          <w:rFonts w:ascii="Arial" w:hAnsi="Arial" w:cs="Arial"/>
          <w:sz w:val="18"/>
          <w:szCs w:val="18"/>
        </w:rPr>
        <w:t>42</w:t>
      </w:r>
      <w:r w:rsidR="00820160" w:rsidRPr="002800C1">
        <w:rPr>
          <w:rFonts w:ascii="Arial" w:hAnsi="Arial" w:cs="Arial"/>
          <w:sz w:val="18"/>
          <w:szCs w:val="18"/>
        </w:rPr>
        <w:fldChar w:fldCharType="end"/>
      </w:r>
      <w:r w:rsidR="00502E44" w:rsidRPr="002800C1">
        <w:rPr>
          <w:rFonts w:ascii="Arial" w:hAnsi="Arial" w:cs="Arial"/>
          <w:sz w:val="18"/>
          <w:szCs w:val="18"/>
        </w:rPr>
        <w:t xml:space="preserve">; Forero, et al., </w:t>
      </w:r>
      <w:r w:rsidR="00502E44" w:rsidRPr="002800C1">
        <w:rPr>
          <w:rFonts w:ascii="Arial" w:hAnsi="Arial" w:cs="Arial"/>
          <w:i/>
          <w:iCs/>
          <w:sz w:val="18"/>
          <w:szCs w:val="18"/>
        </w:rPr>
        <w:t>supra</w:t>
      </w:r>
      <w:r w:rsidR="00502E44" w:rsidRPr="002800C1">
        <w:rPr>
          <w:rFonts w:ascii="Arial" w:hAnsi="Arial" w:cs="Arial"/>
          <w:sz w:val="18"/>
          <w:szCs w:val="18"/>
        </w:rPr>
        <w:t xml:space="preserve"> note </w:t>
      </w:r>
      <w:r w:rsidR="00820160" w:rsidRPr="002800C1">
        <w:rPr>
          <w:rFonts w:ascii="Arial" w:hAnsi="Arial" w:cs="Arial"/>
          <w:sz w:val="18"/>
          <w:szCs w:val="18"/>
        </w:rPr>
        <w:fldChar w:fldCharType="begin"/>
      </w:r>
      <w:r w:rsidR="00820160"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820160" w:rsidRPr="002800C1">
        <w:rPr>
          <w:rFonts w:ascii="Arial" w:hAnsi="Arial" w:cs="Arial"/>
          <w:sz w:val="18"/>
          <w:szCs w:val="18"/>
        </w:rPr>
      </w:r>
      <w:r w:rsidR="00820160" w:rsidRPr="002800C1">
        <w:rPr>
          <w:rFonts w:ascii="Arial" w:hAnsi="Arial" w:cs="Arial"/>
          <w:sz w:val="18"/>
          <w:szCs w:val="18"/>
        </w:rPr>
        <w:fldChar w:fldCharType="separate"/>
      </w:r>
      <w:r w:rsidR="00FB167B">
        <w:rPr>
          <w:rFonts w:ascii="Arial" w:hAnsi="Arial" w:cs="Arial"/>
          <w:sz w:val="18"/>
          <w:szCs w:val="18"/>
        </w:rPr>
        <w:t>42</w:t>
      </w:r>
      <w:r w:rsidR="00820160" w:rsidRPr="002800C1">
        <w:rPr>
          <w:rFonts w:ascii="Arial" w:hAnsi="Arial" w:cs="Arial"/>
          <w:sz w:val="18"/>
          <w:szCs w:val="18"/>
        </w:rPr>
        <w:fldChar w:fldCharType="end"/>
      </w:r>
      <w:r w:rsidR="00502E44" w:rsidRPr="002800C1">
        <w:rPr>
          <w:rFonts w:ascii="Arial" w:hAnsi="Arial" w:cs="Arial"/>
          <w:sz w:val="18"/>
          <w:szCs w:val="18"/>
        </w:rPr>
        <w:t xml:space="preserve">; </w:t>
      </w:r>
      <w:r w:rsidR="00903C27" w:rsidRPr="002800C1">
        <w:rPr>
          <w:rFonts w:ascii="Arial" w:hAnsi="Arial" w:cs="Arial"/>
          <w:sz w:val="18"/>
          <w:szCs w:val="18"/>
        </w:rPr>
        <w:t xml:space="preserve">Hoot &amp; Aronsky, </w:t>
      </w:r>
      <w:r w:rsidR="00903C27" w:rsidRPr="002800C1">
        <w:rPr>
          <w:rFonts w:ascii="Arial" w:hAnsi="Arial" w:cs="Arial"/>
          <w:i/>
          <w:iCs/>
          <w:sz w:val="18"/>
          <w:szCs w:val="18"/>
        </w:rPr>
        <w:t>supra</w:t>
      </w:r>
      <w:r w:rsidR="00903C27" w:rsidRPr="002800C1">
        <w:rPr>
          <w:rFonts w:ascii="Arial" w:hAnsi="Arial" w:cs="Arial"/>
          <w:sz w:val="18"/>
          <w:szCs w:val="18"/>
        </w:rPr>
        <w:t xml:space="preserve"> note </w:t>
      </w:r>
      <w:r w:rsidR="00903C27" w:rsidRPr="002800C1">
        <w:rPr>
          <w:rFonts w:ascii="Arial" w:hAnsi="Arial" w:cs="Arial"/>
          <w:sz w:val="18"/>
          <w:szCs w:val="18"/>
        </w:rPr>
        <w:fldChar w:fldCharType="begin"/>
      </w:r>
      <w:r w:rsidR="00903C27"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903C27" w:rsidRPr="002800C1">
        <w:rPr>
          <w:rFonts w:ascii="Arial" w:hAnsi="Arial" w:cs="Arial"/>
          <w:sz w:val="18"/>
          <w:szCs w:val="18"/>
        </w:rPr>
      </w:r>
      <w:r w:rsidR="00903C27" w:rsidRPr="002800C1">
        <w:rPr>
          <w:rFonts w:ascii="Arial" w:hAnsi="Arial" w:cs="Arial"/>
          <w:sz w:val="18"/>
          <w:szCs w:val="18"/>
        </w:rPr>
        <w:fldChar w:fldCharType="separate"/>
      </w:r>
      <w:r w:rsidR="00FB167B">
        <w:rPr>
          <w:rFonts w:ascii="Arial" w:hAnsi="Arial" w:cs="Arial"/>
          <w:sz w:val="18"/>
          <w:szCs w:val="18"/>
        </w:rPr>
        <w:t>42</w:t>
      </w:r>
      <w:r w:rsidR="00903C27" w:rsidRPr="002800C1">
        <w:rPr>
          <w:rFonts w:ascii="Arial" w:hAnsi="Arial" w:cs="Arial"/>
          <w:sz w:val="18"/>
          <w:szCs w:val="18"/>
        </w:rPr>
        <w:fldChar w:fldCharType="end"/>
      </w:r>
      <w:r w:rsidR="00903C27" w:rsidRPr="002800C1">
        <w:rPr>
          <w:rFonts w:ascii="Arial" w:hAnsi="Arial" w:cs="Arial"/>
          <w:sz w:val="18"/>
          <w:szCs w:val="18"/>
        </w:rPr>
        <w:t xml:space="preserve">; </w:t>
      </w:r>
      <w:r w:rsidR="00820160" w:rsidRPr="002800C1">
        <w:rPr>
          <w:rFonts w:ascii="Arial" w:hAnsi="Arial" w:cs="Arial"/>
          <w:sz w:val="18"/>
          <w:szCs w:val="18"/>
        </w:rPr>
        <w:t xml:space="preserve">D.M. Fatovich, </w:t>
      </w:r>
      <w:r w:rsidR="00820160" w:rsidRPr="002800C1">
        <w:rPr>
          <w:rFonts w:ascii="Arial" w:hAnsi="Arial" w:cs="Arial"/>
          <w:i/>
          <w:iCs/>
          <w:sz w:val="18"/>
          <w:szCs w:val="18"/>
        </w:rPr>
        <w:t>supra</w:t>
      </w:r>
      <w:r w:rsidR="00820160" w:rsidRPr="002800C1">
        <w:rPr>
          <w:rFonts w:ascii="Arial" w:hAnsi="Arial" w:cs="Arial"/>
          <w:sz w:val="18"/>
          <w:szCs w:val="18"/>
        </w:rPr>
        <w:t xml:space="preserve"> note </w:t>
      </w:r>
      <w:r w:rsidR="00820160" w:rsidRPr="002800C1">
        <w:rPr>
          <w:rFonts w:ascii="Arial" w:hAnsi="Arial" w:cs="Arial"/>
          <w:sz w:val="18"/>
          <w:szCs w:val="18"/>
        </w:rPr>
        <w:fldChar w:fldCharType="begin"/>
      </w:r>
      <w:r w:rsidR="00820160"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820160" w:rsidRPr="002800C1">
        <w:rPr>
          <w:rFonts w:ascii="Arial" w:hAnsi="Arial" w:cs="Arial"/>
          <w:sz w:val="18"/>
          <w:szCs w:val="18"/>
        </w:rPr>
      </w:r>
      <w:r w:rsidR="00820160" w:rsidRPr="002800C1">
        <w:rPr>
          <w:rFonts w:ascii="Arial" w:hAnsi="Arial" w:cs="Arial"/>
          <w:sz w:val="18"/>
          <w:szCs w:val="18"/>
        </w:rPr>
        <w:fldChar w:fldCharType="separate"/>
      </w:r>
      <w:r w:rsidR="00FB167B">
        <w:rPr>
          <w:rFonts w:ascii="Arial" w:hAnsi="Arial" w:cs="Arial"/>
          <w:sz w:val="18"/>
          <w:szCs w:val="18"/>
        </w:rPr>
        <w:t>42</w:t>
      </w:r>
      <w:r w:rsidR="00820160" w:rsidRPr="002800C1">
        <w:rPr>
          <w:rFonts w:ascii="Arial" w:hAnsi="Arial" w:cs="Arial"/>
          <w:sz w:val="18"/>
          <w:szCs w:val="18"/>
        </w:rPr>
        <w:fldChar w:fldCharType="end"/>
      </w:r>
      <w:r w:rsidR="00820160" w:rsidRPr="002800C1">
        <w:rPr>
          <w:rFonts w:ascii="Arial" w:hAnsi="Arial" w:cs="Arial"/>
          <w:sz w:val="18"/>
          <w:szCs w:val="18"/>
        </w:rPr>
        <w:t xml:space="preserve">; Forster et al., </w:t>
      </w:r>
      <w:r w:rsidR="00820160" w:rsidRPr="002800C1">
        <w:rPr>
          <w:rFonts w:ascii="Arial" w:hAnsi="Arial" w:cs="Arial"/>
          <w:i/>
          <w:iCs/>
          <w:sz w:val="18"/>
          <w:szCs w:val="18"/>
        </w:rPr>
        <w:t>supra</w:t>
      </w:r>
      <w:r w:rsidR="00820160" w:rsidRPr="002800C1">
        <w:rPr>
          <w:rFonts w:ascii="Arial" w:hAnsi="Arial" w:cs="Arial"/>
          <w:sz w:val="18"/>
          <w:szCs w:val="18"/>
        </w:rPr>
        <w:t xml:space="preserve"> note </w:t>
      </w:r>
      <w:r w:rsidR="00820160" w:rsidRPr="002800C1">
        <w:rPr>
          <w:rFonts w:ascii="Arial" w:hAnsi="Arial" w:cs="Arial"/>
          <w:sz w:val="18"/>
          <w:szCs w:val="18"/>
        </w:rPr>
        <w:fldChar w:fldCharType="begin"/>
      </w:r>
      <w:r w:rsidR="00820160"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820160" w:rsidRPr="002800C1">
        <w:rPr>
          <w:rFonts w:ascii="Arial" w:hAnsi="Arial" w:cs="Arial"/>
          <w:sz w:val="18"/>
          <w:szCs w:val="18"/>
        </w:rPr>
      </w:r>
      <w:r w:rsidR="00820160" w:rsidRPr="002800C1">
        <w:rPr>
          <w:rFonts w:ascii="Arial" w:hAnsi="Arial" w:cs="Arial"/>
          <w:sz w:val="18"/>
          <w:szCs w:val="18"/>
        </w:rPr>
        <w:fldChar w:fldCharType="separate"/>
      </w:r>
      <w:r w:rsidR="00FB167B">
        <w:rPr>
          <w:rFonts w:ascii="Arial" w:hAnsi="Arial" w:cs="Arial"/>
          <w:sz w:val="18"/>
          <w:szCs w:val="18"/>
        </w:rPr>
        <w:t>42</w:t>
      </w:r>
      <w:r w:rsidR="00820160" w:rsidRPr="002800C1">
        <w:rPr>
          <w:rFonts w:ascii="Arial" w:hAnsi="Arial" w:cs="Arial"/>
          <w:sz w:val="18"/>
          <w:szCs w:val="18"/>
        </w:rPr>
        <w:fldChar w:fldCharType="end"/>
      </w:r>
      <w:r w:rsidR="00820160" w:rsidRPr="002800C1">
        <w:rPr>
          <w:rFonts w:ascii="Arial" w:hAnsi="Arial" w:cs="Arial"/>
          <w:sz w:val="18"/>
          <w:szCs w:val="18"/>
        </w:rPr>
        <w:t>.</w:t>
      </w:r>
    </w:p>
  </w:footnote>
  <w:footnote w:id="44">
    <w:p w14:paraId="6EFCF99D" w14:textId="10CEB8C2" w:rsidR="00431971" w:rsidRPr="002800C1" w:rsidRDefault="00431971" w:rsidP="00431971">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D44357" w:rsidRPr="002800C1">
        <w:rPr>
          <w:rFonts w:ascii="Arial" w:hAnsi="Arial" w:cs="Arial"/>
          <w:sz w:val="18"/>
          <w:szCs w:val="18"/>
        </w:rPr>
        <w:t xml:space="preserve">Morley et al., </w:t>
      </w:r>
      <w:hyperlink r:id="rId16" w:history="1">
        <w:r w:rsidR="00D44357" w:rsidRPr="00514B05">
          <w:rPr>
            <w:rStyle w:val="Hyperlink"/>
            <w:rFonts w:ascii="Arial" w:hAnsi="Arial" w:cs="Arial"/>
            <w:i/>
            <w:iCs/>
            <w:color w:val="000000" w:themeColor="text1"/>
            <w:sz w:val="18"/>
            <w:szCs w:val="18"/>
            <w:u w:val="none"/>
          </w:rPr>
          <w:t>Emergency Department Crowding: A Systematic Review of Causes, Consequences and Solutions</w:t>
        </w:r>
      </w:hyperlink>
      <w:r w:rsidR="00D44357" w:rsidRPr="00514B05">
        <w:rPr>
          <w:rFonts w:ascii="Arial" w:hAnsi="Arial" w:cs="Arial"/>
          <w:color w:val="000000" w:themeColor="text1"/>
          <w:sz w:val="18"/>
          <w:szCs w:val="18"/>
        </w:rPr>
        <w:t xml:space="preserve">, </w:t>
      </w:r>
      <w:r w:rsidR="00D44357" w:rsidRPr="002800C1">
        <w:rPr>
          <w:rFonts w:ascii="Arial" w:hAnsi="Arial" w:cs="Arial"/>
          <w:sz w:val="18"/>
          <w:szCs w:val="18"/>
        </w:rPr>
        <w:t xml:space="preserve">13 </w:t>
      </w:r>
      <w:r w:rsidR="00D44357" w:rsidRPr="002800C1">
        <w:rPr>
          <w:rFonts w:ascii="Arial" w:hAnsi="Arial" w:cs="Arial"/>
          <w:smallCaps/>
          <w:sz w:val="18"/>
          <w:szCs w:val="18"/>
        </w:rPr>
        <w:t>PloS One</w:t>
      </w:r>
      <w:r w:rsidR="00D44357" w:rsidRPr="002800C1">
        <w:rPr>
          <w:rFonts w:ascii="Arial" w:hAnsi="Arial" w:cs="Arial"/>
          <w:sz w:val="18"/>
          <w:szCs w:val="18"/>
        </w:rPr>
        <w:t xml:space="preserve"> 1 (2018), </w:t>
      </w:r>
      <w:r w:rsidR="00D44357" w:rsidRPr="002800C1">
        <w:rPr>
          <w:rFonts w:ascii="Arial" w:hAnsi="Arial" w:cs="Arial"/>
          <w:i/>
          <w:iCs/>
          <w:sz w:val="18"/>
          <w:szCs w:val="18"/>
        </w:rPr>
        <w:t xml:space="preserve">available at </w:t>
      </w:r>
      <w:hyperlink r:id="rId17" w:history="1">
        <w:r w:rsidR="00514B05" w:rsidRPr="00514B05">
          <w:rPr>
            <w:rStyle w:val="Hyperlink"/>
            <w:rFonts w:ascii="Arial" w:hAnsi="Arial" w:cs="Arial"/>
            <w:color w:val="000000" w:themeColor="text1"/>
            <w:sz w:val="18"/>
            <w:szCs w:val="18"/>
          </w:rPr>
          <w:t>https://www.ncbi.nlm.nih.gov/pmc/articles/PMC6117060/</w:t>
        </w:r>
      </w:hyperlink>
      <w:r w:rsidR="00514B05">
        <w:rPr>
          <w:rFonts w:ascii="Arial" w:hAnsi="Arial" w:cs="Arial"/>
          <w:sz w:val="18"/>
          <w:szCs w:val="18"/>
        </w:rPr>
        <w:t xml:space="preserve"> </w:t>
      </w:r>
      <w:r w:rsidR="00D44357" w:rsidRPr="002800C1">
        <w:rPr>
          <w:rFonts w:ascii="Arial" w:hAnsi="Arial" w:cs="Arial"/>
          <w:sz w:val="18"/>
          <w:szCs w:val="18"/>
        </w:rPr>
        <w:t>; Sonis, et al.,</w:t>
      </w:r>
      <w:r w:rsidR="00D44357" w:rsidRPr="002800C1">
        <w:rPr>
          <w:rFonts w:ascii="Arial" w:hAnsi="Arial" w:cs="Arial"/>
          <w:i/>
          <w:iCs/>
          <w:sz w:val="18"/>
          <w:szCs w:val="18"/>
        </w:rPr>
        <w:t xml:space="preserve"> </w:t>
      </w:r>
      <w:hyperlink r:id="rId18" w:history="1">
        <w:r w:rsidR="00D44357" w:rsidRPr="00560B22">
          <w:rPr>
            <w:rStyle w:val="Hyperlink"/>
            <w:rFonts w:ascii="Arial" w:hAnsi="Arial" w:cs="Arial"/>
            <w:i/>
            <w:iCs/>
            <w:color w:val="000000" w:themeColor="text1"/>
            <w:sz w:val="18"/>
            <w:szCs w:val="18"/>
            <w:u w:val="none"/>
          </w:rPr>
          <w:t>Emergency Department Patient Experience</w:t>
        </w:r>
      </w:hyperlink>
      <w:r w:rsidR="00D44357" w:rsidRPr="002800C1">
        <w:rPr>
          <w:rFonts w:ascii="Arial" w:hAnsi="Arial" w:cs="Arial"/>
          <w:sz w:val="18"/>
          <w:szCs w:val="18"/>
        </w:rPr>
        <w:t xml:space="preserve">, 5 </w:t>
      </w:r>
      <w:r w:rsidR="00D44357" w:rsidRPr="002800C1">
        <w:rPr>
          <w:rFonts w:ascii="Arial" w:hAnsi="Arial" w:cs="Arial"/>
          <w:smallCaps/>
          <w:sz w:val="18"/>
          <w:szCs w:val="18"/>
        </w:rPr>
        <w:t>J. Patient Experience</w:t>
      </w:r>
      <w:r w:rsidR="00D44357" w:rsidRPr="002800C1">
        <w:rPr>
          <w:rFonts w:ascii="Arial" w:hAnsi="Arial" w:cs="Arial"/>
          <w:sz w:val="18"/>
          <w:szCs w:val="18"/>
        </w:rPr>
        <w:t xml:space="preserve"> 101 (2018), </w:t>
      </w:r>
      <w:r w:rsidR="00D44357" w:rsidRPr="002800C1">
        <w:rPr>
          <w:rFonts w:ascii="Arial" w:hAnsi="Arial" w:cs="Arial"/>
          <w:i/>
          <w:iCs/>
          <w:sz w:val="18"/>
          <w:szCs w:val="18"/>
        </w:rPr>
        <w:t xml:space="preserve">available at </w:t>
      </w:r>
      <w:hyperlink r:id="rId19" w:history="1">
        <w:r w:rsidR="00514B05" w:rsidRPr="00560B22">
          <w:rPr>
            <w:rStyle w:val="Hyperlink"/>
            <w:rFonts w:ascii="Arial" w:hAnsi="Arial" w:cs="Arial"/>
            <w:color w:val="000000" w:themeColor="text1"/>
            <w:sz w:val="18"/>
            <w:szCs w:val="18"/>
          </w:rPr>
          <w:t>https://www.ncbi.nlm.nih.gov/pmc/articles/PMC6022944/</w:t>
        </w:r>
      </w:hyperlink>
      <w:r w:rsidR="00514B05">
        <w:rPr>
          <w:rFonts w:ascii="Arial" w:hAnsi="Arial" w:cs="Arial"/>
          <w:sz w:val="18"/>
          <w:szCs w:val="18"/>
        </w:rPr>
        <w:t xml:space="preserve"> </w:t>
      </w:r>
      <w:r w:rsidR="00D44357" w:rsidRPr="002800C1">
        <w:rPr>
          <w:rFonts w:ascii="Arial" w:hAnsi="Arial" w:cs="Arial"/>
          <w:sz w:val="18"/>
          <w:szCs w:val="18"/>
        </w:rPr>
        <w:t xml:space="preserve">; </w:t>
      </w:r>
      <w:r w:rsidR="00D44357" w:rsidRPr="002800C1">
        <w:rPr>
          <w:rFonts w:ascii="Arial" w:eastAsiaTheme="minorHAnsi" w:hAnsi="Arial" w:cs="Arial"/>
          <w:sz w:val="18"/>
          <w:szCs w:val="18"/>
        </w:rPr>
        <w:t xml:space="preserve">Bernstein, et al., </w:t>
      </w:r>
      <w:hyperlink r:id="rId20" w:history="1">
        <w:r w:rsidR="00D44357" w:rsidRPr="00560B22">
          <w:rPr>
            <w:rStyle w:val="Hyperlink"/>
            <w:rFonts w:ascii="Arial" w:eastAsiaTheme="minorHAnsi" w:hAnsi="Arial" w:cs="Arial"/>
            <w:i/>
            <w:iCs/>
            <w:color w:val="000000" w:themeColor="text1"/>
            <w:sz w:val="18"/>
            <w:szCs w:val="18"/>
            <w:u w:val="none"/>
          </w:rPr>
          <w:t>The Effect of Emergency Department Crowding on Clinically Oriented Outcomes</w:t>
        </w:r>
        <w:r w:rsidR="00D44357" w:rsidRPr="00560B22">
          <w:rPr>
            <w:rStyle w:val="Hyperlink"/>
            <w:rFonts w:ascii="Arial" w:eastAsiaTheme="minorHAnsi" w:hAnsi="Arial" w:cs="Arial"/>
            <w:color w:val="000000" w:themeColor="text1"/>
            <w:sz w:val="18"/>
            <w:szCs w:val="18"/>
            <w:u w:val="none"/>
          </w:rPr>
          <w:t>,</w:t>
        </w:r>
      </w:hyperlink>
      <w:r w:rsidR="00D44357" w:rsidRPr="002800C1">
        <w:rPr>
          <w:rFonts w:ascii="Arial" w:eastAsiaTheme="minorHAnsi" w:hAnsi="Arial" w:cs="Arial"/>
          <w:sz w:val="18"/>
          <w:szCs w:val="18"/>
        </w:rPr>
        <w:t xml:space="preserve"> 16 </w:t>
      </w:r>
      <w:r w:rsidR="00D44357" w:rsidRPr="002800C1">
        <w:rPr>
          <w:rFonts w:ascii="Arial" w:eastAsiaTheme="minorHAnsi" w:hAnsi="Arial" w:cs="Arial"/>
          <w:smallCaps/>
          <w:sz w:val="18"/>
          <w:szCs w:val="18"/>
        </w:rPr>
        <w:t xml:space="preserve">Academic </w:t>
      </w:r>
      <w:r w:rsidR="00D44357" w:rsidRPr="002800C1">
        <w:rPr>
          <w:rFonts w:ascii="Arial" w:hAnsi="Arial" w:cs="Arial"/>
          <w:smallCaps/>
          <w:sz w:val="18"/>
          <w:szCs w:val="18"/>
        </w:rPr>
        <w:t xml:space="preserve">Emerg. Med. 1 </w:t>
      </w:r>
      <w:r w:rsidR="00D44357" w:rsidRPr="002800C1">
        <w:rPr>
          <w:rFonts w:ascii="Arial" w:eastAsiaTheme="minorHAnsi" w:hAnsi="Arial" w:cs="Arial"/>
          <w:sz w:val="18"/>
          <w:szCs w:val="18"/>
        </w:rPr>
        <w:t xml:space="preserve">(2008), </w:t>
      </w:r>
      <w:r w:rsidR="00D44357" w:rsidRPr="002800C1">
        <w:rPr>
          <w:rFonts w:ascii="Arial" w:eastAsiaTheme="minorHAnsi" w:hAnsi="Arial" w:cs="Arial"/>
          <w:i/>
          <w:iCs/>
          <w:sz w:val="18"/>
          <w:szCs w:val="18"/>
        </w:rPr>
        <w:t>available at</w:t>
      </w:r>
      <w:r w:rsidR="00D44357" w:rsidRPr="002800C1">
        <w:rPr>
          <w:rFonts w:ascii="Arial" w:eastAsiaTheme="minorHAnsi" w:hAnsi="Arial" w:cs="Arial"/>
          <w:sz w:val="18"/>
          <w:szCs w:val="18"/>
        </w:rPr>
        <w:t xml:space="preserve"> </w:t>
      </w:r>
      <w:hyperlink r:id="rId21" w:history="1">
        <w:r w:rsidR="00560B22" w:rsidRPr="00560B22">
          <w:rPr>
            <w:rStyle w:val="Hyperlink"/>
            <w:rFonts w:ascii="Arial" w:hAnsi="Arial" w:cs="Arial"/>
            <w:color w:val="000000" w:themeColor="text1"/>
            <w:sz w:val="18"/>
            <w:szCs w:val="18"/>
          </w:rPr>
          <w:t>https://onlinelibrary.wiley.com/doi/full/10.1111/j.1553-2712.2008.00295.x</w:t>
        </w:r>
      </w:hyperlink>
      <w:r w:rsidR="00560B22">
        <w:rPr>
          <w:rFonts w:ascii="Arial" w:hAnsi="Arial" w:cs="Arial"/>
          <w:sz w:val="18"/>
          <w:szCs w:val="18"/>
        </w:rPr>
        <w:t xml:space="preserve"> </w:t>
      </w:r>
      <w:r w:rsidR="00D44357" w:rsidRPr="002800C1">
        <w:rPr>
          <w:rFonts w:ascii="Arial" w:hAnsi="Arial" w:cs="Arial"/>
          <w:sz w:val="18"/>
          <w:szCs w:val="18"/>
        </w:rPr>
        <w:t xml:space="preserve">; D.M. Fatovich, </w:t>
      </w:r>
      <w:hyperlink r:id="rId22" w:history="1">
        <w:r w:rsidR="00D44357" w:rsidRPr="00523A59">
          <w:rPr>
            <w:rStyle w:val="Hyperlink"/>
            <w:rFonts w:ascii="Arial" w:hAnsi="Arial" w:cs="Arial"/>
            <w:i/>
            <w:iCs/>
            <w:color w:val="000000" w:themeColor="text1"/>
            <w:sz w:val="18"/>
            <w:szCs w:val="18"/>
            <w:u w:val="none"/>
          </w:rPr>
          <w:t>Entry overload, emergency department overcrowding, and ambulance bypass</w:t>
        </w:r>
        <w:r w:rsidR="00D44357" w:rsidRPr="00523A59">
          <w:rPr>
            <w:rStyle w:val="Hyperlink"/>
            <w:rFonts w:ascii="Arial" w:hAnsi="Arial" w:cs="Arial"/>
            <w:color w:val="000000" w:themeColor="text1"/>
            <w:sz w:val="18"/>
            <w:szCs w:val="18"/>
            <w:u w:val="none"/>
          </w:rPr>
          <w:t>,</w:t>
        </w:r>
      </w:hyperlink>
      <w:r w:rsidR="00D44357" w:rsidRPr="002800C1">
        <w:rPr>
          <w:rFonts w:ascii="Arial" w:hAnsi="Arial" w:cs="Arial"/>
          <w:sz w:val="18"/>
          <w:szCs w:val="18"/>
        </w:rPr>
        <w:t xml:space="preserve"> 20 </w:t>
      </w:r>
      <w:r w:rsidR="00D44357" w:rsidRPr="002800C1">
        <w:rPr>
          <w:rFonts w:ascii="Arial" w:hAnsi="Arial" w:cs="Arial"/>
          <w:smallCaps/>
          <w:sz w:val="18"/>
          <w:szCs w:val="18"/>
        </w:rPr>
        <w:t>Emerg. Med. J.</w:t>
      </w:r>
      <w:r w:rsidR="00D44357" w:rsidRPr="002800C1">
        <w:rPr>
          <w:rFonts w:ascii="Arial" w:hAnsi="Arial" w:cs="Arial"/>
          <w:sz w:val="18"/>
          <w:szCs w:val="18"/>
        </w:rPr>
        <w:t xml:space="preserve"> 406 (2003), </w:t>
      </w:r>
      <w:r w:rsidR="00D44357" w:rsidRPr="002800C1">
        <w:rPr>
          <w:rFonts w:ascii="Arial" w:hAnsi="Arial" w:cs="Arial"/>
          <w:i/>
          <w:iCs/>
          <w:sz w:val="18"/>
          <w:szCs w:val="18"/>
        </w:rPr>
        <w:t xml:space="preserve">available at </w:t>
      </w:r>
      <w:hyperlink r:id="rId23" w:history="1">
        <w:r w:rsidR="00920A02" w:rsidRPr="00523A59">
          <w:rPr>
            <w:rStyle w:val="Hyperlink"/>
            <w:rFonts w:ascii="Arial" w:hAnsi="Arial" w:cs="Arial"/>
            <w:color w:val="000000" w:themeColor="text1"/>
            <w:sz w:val="18"/>
            <w:szCs w:val="18"/>
          </w:rPr>
          <w:t>http://emj.bmj.com/content/emermed/20/5/406.full.pdf</w:t>
        </w:r>
      </w:hyperlink>
      <w:r w:rsidR="00920A02">
        <w:rPr>
          <w:rFonts w:ascii="Arial" w:hAnsi="Arial" w:cs="Arial"/>
          <w:sz w:val="18"/>
          <w:szCs w:val="18"/>
        </w:rPr>
        <w:t xml:space="preserve"> </w:t>
      </w:r>
      <w:r w:rsidR="00D44357" w:rsidRPr="002800C1">
        <w:rPr>
          <w:rFonts w:ascii="Arial" w:hAnsi="Arial" w:cs="Arial"/>
          <w:sz w:val="18"/>
          <w:szCs w:val="18"/>
        </w:rPr>
        <w:t xml:space="preserve">; Jeffrey Davis, </w:t>
      </w:r>
      <w:hyperlink r:id="rId24" w:history="1">
        <w:r w:rsidR="00D44357" w:rsidRPr="004E2C16">
          <w:rPr>
            <w:rStyle w:val="Hyperlink"/>
            <w:rFonts w:ascii="Arial" w:hAnsi="Arial" w:cs="Arial"/>
            <w:i/>
            <w:iCs/>
            <w:color w:val="000000" w:themeColor="text1"/>
            <w:sz w:val="18"/>
            <w:szCs w:val="18"/>
            <w:u w:val="none"/>
          </w:rPr>
          <w:t>Emergency Department “Boarding” At Seemingly All-Time High Levels</w:t>
        </w:r>
      </w:hyperlink>
      <w:r w:rsidR="00D44357" w:rsidRPr="004E2C16">
        <w:rPr>
          <w:rFonts w:ascii="Arial" w:hAnsi="Arial" w:cs="Arial"/>
          <w:color w:val="000000" w:themeColor="text1"/>
          <w:sz w:val="18"/>
          <w:szCs w:val="18"/>
        </w:rPr>
        <w:t xml:space="preserve">, </w:t>
      </w:r>
      <w:r w:rsidR="00D44357" w:rsidRPr="002800C1">
        <w:rPr>
          <w:rFonts w:ascii="Arial" w:hAnsi="Arial" w:cs="Arial"/>
          <w:smallCaps/>
          <w:sz w:val="18"/>
          <w:szCs w:val="18"/>
        </w:rPr>
        <w:t>American College of Emerg. Physicians</w:t>
      </w:r>
      <w:r w:rsidR="00D44357" w:rsidRPr="002800C1">
        <w:rPr>
          <w:rFonts w:ascii="Arial" w:hAnsi="Arial" w:cs="Arial"/>
          <w:sz w:val="18"/>
          <w:szCs w:val="18"/>
        </w:rPr>
        <w:t xml:space="preserve">, </w:t>
      </w:r>
      <w:hyperlink r:id="rId25" w:history="1">
        <w:r w:rsidR="004E2C16" w:rsidRPr="004E2C16">
          <w:rPr>
            <w:rStyle w:val="Hyperlink"/>
            <w:rFonts w:ascii="Arial" w:hAnsi="Arial" w:cs="Arial"/>
            <w:color w:val="000000" w:themeColor="text1"/>
            <w:sz w:val="18"/>
            <w:szCs w:val="18"/>
          </w:rPr>
          <w:t>https://www.acep.org/federal-advocacy/federal-advocacy-overview/regs--eggs/regs--eggs-articles/regs--eggs---august-26-2021/</w:t>
        </w:r>
      </w:hyperlink>
      <w:r w:rsidR="004E2C16" w:rsidRPr="004E2C16">
        <w:rPr>
          <w:rFonts w:ascii="Arial" w:hAnsi="Arial" w:cs="Arial"/>
          <w:color w:val="000000" w:themeColor="text1"/>
          <w:sz w:val="18"/>
          <w:szCs w:val="18"/>
        </w:rPr>
        <w:t xml:space="preserve"> </w:t>
      </w:r>
      <w:r w:rsidR="00D44357" w:rsidRPr="004E2C16">
        <w:rPr>
          <w:rFonts w:ascii="Arial" w:hAnsi="Arial" w:cs="Arial"/>
          <w:color w:val="000000" w:themeColor="text1"/>
          <w:sz w:val="18"/>
          <w:szCs w:val="18"/>
        </w:rPr>
        <w:t xml:space="preserve"> </w:t>
      </w:r>
      <w:r w:rsidR="00D44357" w:rsidRPr="002800C1">
        <w:rPr>
          <w:rFonts w:ascii="Arial" w:hAnsi="Arial" w:cs="Arial"/>
          <w:sz w:val="18"/>
          <w:szCs w:val="18"/>
        </w:rPr>
        <w:t>(last visited Jul. 20, 2022).</w:t>
      </w:r>
    </w:p>
  </w:footnote>
  <w:footnote w:id="45">
    <w:p w14:paraId="24945AC4" w14:textId="06327AC8" w:rsidR="00AE6B58" w:rsidRPr="002800C1" w:rsidRDefault="00AE6B58" w:rsidP="00D44357">
      <w:pPr>
        <w:pStyle w:val="NormalWeb"/>
        <w:spacing w:before="0" w:beforeAutospacing="0" w:after="0" w:afterAutospacing="0"/>
        <w:rPr>
          <w:rFonts w:ascii="Arial" w:eastAsiaTheme="minorHAnsi" w:hAnsi="Arial" w:cs="Arial"/>
          <w:smallCaps/>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D44357" w:rsidRPr="002800C1">
        <w:rPr>
          <w:rFonts w:ascii="Arial" w:hAnsi="Arial" w:cs="Arial"/>
          <w:smallCaps/>
          <w:sz w:val="18"/>
          <w:szCs w:val="18"/>
        </w:rPr>
        <w:t xml:space="preserve"> Commonwealth of Massachusetts Health Policy Commission,</w:t>
      </w:r>
      <w:r w:rsidR="009067FF" w:rsidRPr="002800C1">
        <w:rPr>
          <w:rFonts w:ascii="Arial" w:hAnsi="Arial" w:cs="Arial"/>
          <w:sz w:val="18"/>
          <w:szCs w:val="18"/>
        </w:rPr>
        <w:t xml:space="preserve"> </w:t>
      </w:r>
      <w:r w:rsidR="009067FF" w:rsidRPr="002800C1">
        <w:rPr>
          <w:rFonts w:ascii="Arial" w:hAnsi="Arial" w:cs="Arial"/>
          <w:i/>
          <w:iCs/>
          <w:sz w:val="18"/>
          <w:szCs w:val="18"/>
        </w:rPr>
        <w:t>supra</w:t>
      </w:r>
      <w:r w:rsidR="009067FF" w:rsidRPr="002800C1">
        <w:rPr>
          <w:rFonts w:ascii="Arial" w:hAnsi="Arial" w:cs="Arial"/>
          <w:sz w:val="18"/>
          <w:szCs w:val="18"/>
        </w:rPr>
        <w:t xml:space="preserve"> note </w:t>
      </w:r>
      <w:r w:rsidR="0002371F" w:rsidRPr="002800C1">
        <w:rPr>
          <w:rFonts w:ascii="Arial" w:hAnsi="Arial" w:cs="Arial"/>
          <w:sz w:val="18"/>
          <w:szCs w:val="18"/>
        </w:rPr>
        <w:fldChar w:fldCharType="begin"/>
      </w:r>
      <w:r w:rsidR="0002371F" w:rsidRPr="002800C1">
        <w:rPr>
          <w:rFonts w:ascii="Arial" w:hAnsi="Arial" w:cs="Arial"/>
          <w:sz w:val="18"/>
          <w:szCs w:val="18"/>
        </w:rPr>
        <w:instrText xml:space="preserve"> NOTEREF _Ref109197354 \h </w:instrText>
      </w:r>
      <w:r w:rsidR="00C53BFC" w:rsidRPr="002800C1">
        <w:rPr>
          <w:rFonts w:ascii="Arial" w:hAnsi="Arial" w:cs="Arial"/>
          <w:sz w:val="18"/>
          <w:szCs w:val="18"/>
        </w:rPr>
        <w:instrText xml:space="preserve"> \* MERGEFORMAT </w:instrText>
      </w:r>
      <w:r w:rsidR="0002371F" w:rsidRPr="002800C1">
        <w:rPr>
          <w:rFonts w:ascii="Arial" w:hAnsi="Arial" w:cs="Arial"/>
          <w:sz w:val="18"/>
          <w:szCs w:val="18"/>
        </w:rPr>
      </w:r>
      <w:r w:rsidR="0002371F" w:rsidRPr="002800C1">
        <w:rPr>
          <w:rFonts w:ascii="Arial" w:hAnsi="Arial" w:cs="Arial"/>
          <w:sz w:val="18"/>
          <w:szCs w:val="18"/>
        </w:rPr>
        <w:fldChar w:fldCharType="separate"/>
      </w:r>
      <w:r w:rsidR="00FB167B">
        <w:rPr>
          <w:rFonts w:ascii="Arial" w:hAnsi="Arial" w:cs="Arial"/>
          <w:sz w:val="18"/>
          <w:szCs w:val="18"/>
        </w:rPr>
        <w:t>32</w:t>
      </w:r>
      <w:r w:rsidR="0002371F" w:rsidRPr="002800C1">
        <w:rPr>
          <w:rFonts w:ascii="Arial" w:hAnsi="Arial" w:cs="Arial"/>
          <w:sz w:val="18"/>
          <w:szCs w:val="18"/>
        </w:rPr>
        <w:fldChar w:fldCharType="end"/>
      </w:r>
      <w:r w:rsidR="0002371F" w:rsidRPr="002800C1">
        <w:rPr>
          <w:rFonts w:ascii="Arial" w:hAnsi="Arial" w:cs="Arial"/>
          <w:sz w:val="18"/>
          <w:szCs w:val="18"/>
        </w:rPr>
        <w:t>.</w:t>
      </w:r>
    </w:p>
  </w:footnote>
  <w:footnote w:id="46">
    <w:p w14:paraId="40A74291" w14:textId="67D7BFCC" w:rsidR="003276BA" w:rsidRPr="002800C1" w:rsidRDefault="003276BA" w:rsidP="00195F49">
      <w:pPr>
        <w:rPr>
          <w:rFonts w:ascii="Arial" w:hAnsi="Arial" w:cs="Arial"/>
          <w:color w:val="000000" w:themeColor="text1"/>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95F49" w:rsidRPr="002800C1">
        <w:rPr>
          <w:rFonts w:ascii="Arial" w:hAnsi="Arial" w:cs="Arial"/>
          <w:i/>
          <w:iCs/>
          <w:color w:val="000000" w:themeColor="text1"/>
          <w:sz w:val="18"/>
          <w:szCs w:val="18"/>
        </w:rPr>
        <w:t xml:space="preserve"> </w:t>
      </w:r>
      <w:hyperlink r:id="rId26" w:history="1">
        <w:r w:rsidR="00195F49" w:rsidRPr="00693CE9">
          <w:rPr>
            <w:rStyle w:val="Hyperlink"/>
            <w:rFonts w:ascii="Arial" w:hAnsi="Arial" w:cs="Arial"/>
            <w:i/>
            <w:iCs/>
            <w:color w:val="000000" w:themeColor="text1"/>
            <w:sz w:val="18"/>
            <w:szCs w:val="18"/>
            <w:u w:val="none"/>
          </w:rPr>
          <w:t>UMDI-DOT Vintage 2018</w:t>
        </w:r>
        <w:r w:rsidR="00AB4AA3" w:rsidRPr="00693CE9">
          <w:rPr>
            <w:rStyle w:val="Hyperlink"/>
            <w:rFonts w:ascii="Arial" w:hAnsi="Arial" w:cs="Arial"/>
            <w:i/>
            <w:iCs/>
            <w:color w:val="000000" w:themeColor="text1"/>
            <w:sz w:val="18"/>
            <w:szCs w:val="18"/>
            <w:u w:val="none"/>
          </w:rPr>
          <w:t xml:space="preserve"> – EXCEL Age/Sex Details</w:t>
        </w:r>
      </w:hyperlink>
      <w:r w:rsidR="00195F49" w:rsidRPr="002800C1">
        <w:rPr>
          <w:rFonts w:ascii="Arial" w:hAnsi="Arial" w:cs="Arial"/>
          <w:color w:val="000000" w:themeColor="text1"/>
          <w:sz w:val="18"/>
          <w:szCs w:val="18"/>
        </w:rPr>
        <w:t xml:space="preserve">, </w:t>
      </w:r>
      <w:r w:rsidR="00195F49" w:rsidRPr="002800C1">
        <w:rPr>
          <w:rFonts w:ascii="Arial" w:hAnsi="Arial" w:cs="Arial"/>
          <w:smallCaps/>
          <w:color w:val="000000" w:themeColor="text1"/>
          <w:sz w:val="18"/>
          <w:szCs w:val="18"/>
        </w:rPr>
        <w:t>Massachusetts Population Estimates Program, UMass Donahue Institute</w:t>
      </w:r>
      <w:r w:rsidR="00195F49" w:rsidRPr="002800C1">
        <w:rPr>
          <w:rFonts w:ascii="Arial" w:hAnsi="Arial" w:cs="Arial"/>
          <w:color w:val="000000" w:themeColor="text1"/>
          <w:sz w:val="18"/>
          <w:szCs w:val="18"/>
        </w:rPr>
        <w:t xml:space="preserve">, </w:t>
      </w:r>
      <w:hyperlink r:id="rId27" w:history="1">
        <w:r w:rsidR="00EE2067" w:rsidRPr="00EE2067">
          <w:rPr>
            <w:rStyle w:val="Hyperlink"/>
            <w:rFonts w:ascii="Arial" w:hAnsi="Arial" w:cs="Arial"/>
            <w:color w:val="000000" w:themeColor="text1"/>
            <w:sz w:val="18"/>
            <w:szCs w:val="18"/>
          </w:rPr>
          <w:t>http://pep.donahue-institute.org/publications/AgeSexDetails_UMDI-DOT_V2018.xlsx</w:t>
        </w:r>
      </w:hyperlink>
      <w:r w:rsidR="00EE2067">
        <w:rPr>
          <w:rFonts w:ascii="Arial" w:hAnsi="Arial" w:cs="Arial"/>
          <w:color w:val="000000" w:themeColor="text1"/>
          <w:sz w:val="18"/>
          <w:szCs w:val="18"/>
        </w:rPr>
        <w:t xml:space="preserve"> </w:t>
      </w:r>
      <w:r w:rsidR="00195F49" w:rsidRPr="002800C1">
        <w:rPr>
          <w:rFonts w:ascii="Arial" w:hAnsi="Arial" w:cs="Arial"/>
          <w:color w:val="000000" w:themeColor="text1"/>
          <w:sz w:val="18"/>
          <w:szCs w:val="18"/>
        </w:rPr>
        <w:t>.</w:t>
      </w:r>
    </w:p>
  </w:footnote>
  <w:footnote w:id="47">
    <w:p w14:paraId="1F1700C8" w14:textId="370DB8B3" w:rsidR="00F04EE0" w:rsidRPr="002800C1" w:rsidRDefault="00F04EE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383E02" w:rsidRPr="002800C1">
        <w:rPr>
          <w:rFonts w:ascii="Arial" w:hAnsi="Arial" w:cs="Arial"/>
          <w:i/>
          <w:iCs/>
          <w:sz w:val="18"/>
          <w:szCs w:val="18"/>
        </w:rPr>
        <w:t>Id.</w:t>
      </w:r>
    </w:p>
  </w:footnote>
  <w:footnote w:id="48">
    <w:p w14:paraId="7EB4873B" w14:textId="247384DE" w:rsidR="00DB7CB2" w:rsidRPr="002800C1" w:rsidRDefault="00DB7CB2">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383E02" w:rsidRPr="002800C1">
        <w:rPr>
          <w:rFonts w:ascii="Arial" w:hAnsi="Arial" w:cs="Arial"/>
          <w:i/>
          <w:iCs/>
          <w:sz w:val="18"/>
          <w:szCs w:val="18"/>
        </w:rPr>
        <w:t>Id.</w:t>
      </w:r>
    </w:p>
  </w:footnote>
  <w:footnote w:id="49">
    <w:p w14:paraId="7D07EAEF" w14:textId="26A71638" w:rsidR="00693CE9" w:rsidRPr="00B1013D" w:rsidRDefault="00693CE9">
      <w:pPr>
        <w:pStyle w:val="FootnoteText"/>
        <w:rPr>
          <w:rFonts w:ascii="Arial" w:hAnsi="Arial" w:cs="Arial"/>
          <w:sz w:val="18"/>
          <w:szCs w:val="18"/>
        </w:rPr>
      </w:pPr>
      <w:r w:rsidRPr="00F55FF2">
        <w:rPr>
          <w:rStyle w:val="FootnoteReference"/>
          <w:rFonts w:ascii="Arial" w:hAnsi="Arial" w:cs="Arial"/>
          <w:sz w:val="18"/>
          <w:szCs w:val="18"/>
        </w:rPr>
        <w:footnoteRef/>
      </w:r>
      <w:r w:rsidRPr="00F55FF2">
        <w:rPr>
          <w:rFonts w:ascii="Arial" w:hAnsi="Arial" w:cs="Arial"/>
          <w:sz w:val="18"/>
          <w:szCs w:val="18"/>
        </w:rPr>
        <w:t xml:space="preserve"> </w:t>
      </w:r>
      <w:r w:rsidRPr="00632085">
        <w:rPr>
          <w:rFonts w:ascii="Arial" w:hAnsi="Arial" w:cs="Arial"/>
          <w:sz w:val="18"/>
          <w:szCs w:val="18"/>
        </w:rPr>
        <w:t xml:space="preserve">The Applicant notes that the discharge, case weight, CMI, and ALOS </w:t>
      </w:r>
      <w:r>
        <w:rPr>
          <w:rFonts w:ascii="Arial" w:hAnsi="Arial" w:cs="Arial"/>
          <w:sz w:val="18"/>
          <w:szCs w:val="18"/>
        </w:rPr>
        <w:t>projections</w:t>
      </w:r>
      <w:r w:rsidRPr="00632085">
        <w:rPr>
          <w:rFonts w:ascii="Arial" w:hAnsi="Arial" w:cs="Arial"/>
          <w:sz w:val="18"/>
          <w:szCs w:val="18"/>
        </w:rPr>
        <w:t xml:space="preserve"> provided herein are based on </w:t>
      </w:r>
      <w:r>
        <w:rPr>
          <w:rFonts w:ascii="Arial" w:hAnsi="Arial" w:cs="Arial"/>
          <w:sz w:val="18"/>
          <w:szCs w:val="18"/>
        </w:rPr>
        <w:t xml:space="preserve">projected </w:t>
      </w:r>
      <w:r w:rsidRPr="00632085">
        <w:rPr>
          <w:rFonts w:ascii="Arial" w:hAnsi="Arial" w:cs="Arial"/>
          <w:sz w:val="18"/>
          <w:szCs w:val="18"/>
        </w:rPr>
        <w:t>medica</w:t>
      </w:r>
      <w:r>
        <w:rPr>
          <w:rFonts w:ascii="Arial" w:hAnsi="Arial" w:cs="Arial"/>
          <w:sz w:val="18"/>
          <w:szCs w:val="18"/>
        </w:rPr>
        <w:t>l</w:t>
      </w:r>
      <w:r w:rsidRPr="00632085">
        <w:rPr>
          <w:rFonts w:ascii="Arial" w:hAnsi="Arial" w:cs="Arial"/>
          <w:sz w:val="18"/>
          <w:szCs w:val="18"/>
        </w:rPr>
        <w:t xml:space="preserve">/surgical discharges. However, to provide the most accurate understanding of BMC’s occupancy rates, the occupancy </w:t>
      </w:r>
      <w:r>
        <w:rPr>
          <w:rFonts w:ascii="Arial" w:hAnsi="Arial" w:cs="Arial"/>
          <w:sz w:val="18"/>
          <w:szCs w:val="18"/>
        </w:rPr>
        <w:t>projections</w:t>
      </w:r>
      <w:r w:rsidRPr="00632085">
        <w:rPr>
          <w:rFonts w:ascii="Arial" w:hAnsi="Arial" w:cs="Arial"/>
          <w:sz w:val="18"/>
          <w:szCs w:val="18"/>
        </w:rPr>
        <w:t xml:space="preserve"> provided herein </w:t>
      </w:r>
      <w:r>
        <w:rPr>
          <w:rFonts w:ascii="Arial" w:hAnsi="Arial" w:cs="Arial"/>
          <w:sz w:val="18"/>
          <w:szCs w:val="18"/>
        </w:rPr>
        <w:t>are</w:t>
      </w:r>
      <w:r w:rsidRPr="00632085">
        <w:rPr>
          <w:rFonts w:ascii="Arial" w:hAnsi="Arial" w:cs="Arial"/>
          <w:sz w:val="18"/>
          <w:szCs w:val="18"/>
        </w:rPr>
        <w:t xml:space="preserve"> based on </w:t>
      </w:r>
      <w:r>
        <w:rPr>
          <w:rFonts w:ascii="Arial" w:hAnsi="Arial" w:cs="Arial"/>
          <w:sz w:val="18"/>
          <w:szCs w:val="18"/>
        </w:rPr>
        <w:t xml:space="preserve">projected </w:t>
      </w:r>
      <w:r w:rsidRPr="00632085">
        <w:rPr>
          <w:rFonts w:ascii="Arial" w:hAnsi="Arial" w:cs="Arial"/>
          <w:sz w:val="18"/>
          <w:szCs w:val="18"/>
        </w:rPr>
        <w:t xml:space="preserve">midnight census reporting, which also includes observation patients and bedded outpatients who occupy a medical/surgical bed but are not reflected as </w:t>
      </w:r>
      <w:r w:rsidRPr="00B1013D">
        <w:rPr>
          <w:rFonts w:ascii="Arial" w:hAnsi="Arial" w:cs="Arial"/>
          <w:sz w:val="18"/>
          <w:szCs w:val="18"/>
        </w:rPr>
        <w:t>inpatient medical/surgical discharges.</w:t>
      </w:r>
    </w:p>
  </w:footnote>
  <w:footnote w:id="50">
    <w:p w14:paraId="6F27CFCA" w14:textId="6B5F1BA0" w:rsidR="00693CE9" w:rsidRPr="00F55FF2" w:rsidRDefault="00693CE9">
      <w:pPr>
        <w:pStyle w:val="FootnoteText"/>
        <w:rPr>
          <w:rFonts w:ascii="Arial" w:hAnsi="Arial" w:cs="Arial"/>
          <w:sz w:val="18"/>
          <w:szCs w:val="18"/>
        </w:rPr>
      </w:pPr>
      <w:r w:rsidRPr="00B1013D">
        <w:rPr>
          <w:rStyle w:val="FootnoteReference"/>
          <w:rFonts w:ascii="Arial" w:hAnsi="Arial" w:cs="Arial"/>
          <w:sz w:val="18"/>
          <w:szCs w:val="18"/>
        </w:rPr>
        <w:footnoteRef/>
      </w:r>
      <w:r w:rsidRPr="00B1013D">
        <w:rPr>
          <w:rFonts w:ascii="Arial" w:hAnsi="Arial" w:cs="Arial"/>
          <w:sz w:val="18"/>
          <w:szCs w:val="18"/>
        </w:rPr>
        <w:t xml:space="preserve"> </w:t>
      </w:r>
      <w:r>
        <w:rPr>
          <w:rFonts w:ascii="Arial" w:hAnsi="Arial" w:cs="Arial"/>
          <w:sz w:val="18"/>
          <w:szCs w:val="18"/>
        </w:rPr>
        <w:t xml:space="preserve">Through </w:t>
      </w:r>
      <w:r w:rsidRPr="00B1013D">
        <w:rPr>
          <w:rFonts w:ascii="Arial" w:hAnsi="Arial" w:cs="Arial"/>
          <w:sz w:val="18"/>
          <w:szCs w:val="18"/>
        </w:rPr>
        <w:t xml:space="preserve">the Proposed Project, the Applicant seeks to increase BMC’s licensed medical/surgical capacity by 60 beds, for a total new licensed medical/surgical capacity of 325 beds. The Applicant anticipates that this addition of beds will help curtail some of the Hospital’s projected inpatient capacity constraints and will allow the Hospital to decrease utilization of some of its alternate spaces (e.g., Code Yellow beds). Additionally, the Applicant notes that the Hospital will vacate its COVID-19 surge spaces pursuant to the timeline outlined within the Department’s </w:t>
      </w:r>
      <w:r w:rsidRPr="00B1013D">
        <w:rPr>
          <w:rFonts w:ascii="Arial" w:hAnsi="Arial" w:cs="Arial"/>
          <w:i/>
          <w:iCs/>
          <w:sz w:val="18"/>
          <w:szCs w:val="18"/>
        </w:rPr>
        <w:t>Updated Guidance Regarding Implementation of Alternate Acute Inpatient Care Space</w:t>
      </w:r>
      <w:r w:rsidRPr="00B1013D">
        <w:rPr>
          <w:rFonts w:ascii="Arial" w:hAnsi="Arial" w:cs="Arial"/>
          <w:sz w:val="18"/>
          <w:szCs w:val="18"/>
        </w:rPr>
        <w:t>. Accordingly, the Applicant anticipates that BMC’s change in operating medical/surgical beds will be less than its change in licensed medical/surgical beds (i.e., less than 60 beds) and that its projected occupancy rate for its operating medical/surgical beds will be higher than the 87% provided herein. However, given the unpredictable nature of the COVID-19 pandemic, the fluid status of the Public Health Emergency, anticipated further extensions in the authorized use of alternate acute inpatient care space, and projected increases in BMC’s medical/surgical patient panel, the Hospital is uncertain at this time as to the exact number of alternate beds it will vacate and when. Given this uncertainty, the Applicant has provided the projections data in Table 15 to reflect the proposed addition of 60 licensed medical/surgical beds only.</w:t>
      </w:r>
    </w:p>
  </w:footnote>
  <w:footnote w:id="51">
    <w:p w14:paraId="442FFA65" w14:textId="3026180C" w:rsidR="00693CE9" w:rsidRDefault="00693CE9">
      <w:pPr>
        <w:pStyle w:val="FootnoteText"/>
      </w:pPr>
      <w:r w:rsidRPr="00F55FF2">
        <w:rPr>
          <w:rStyle w:val="FootnoteReference"/>
          <w:rFonts w:ascii="Arial" w:hAnsi="Arial" w:cs="Arial"/>
          <w:sz w:val="18"/>
          <w:szCs w:val="18"/>
        </w:rPr>
        <w:footnoteRef/>
      </w:r>
      <w:r>
        <w:t xml:space="preserve"> </w:t>
      </w:r>
      <w:r w:rsidRPr="00632085">
        <w:rPr>
          <w:rFonts w:ascii="Arial" w:hAnsi="Arial" w:cs="Arial"/>
          <w:sz w:val="18"/>
          <w:szCs w:val="18"/>
        </w:rPr>
        <w:t xml:space="preserve">The Applicant notes that the discharge, case weight, CMI, and ALOS </w:t>
      </w:r>
      <w:r>
        <w:rPr>
          <w:rFonts w:ascii="Arial" w:hAnsi="Arial" w:cs="Arial"/>
          <w:sz w:val="18"/>
          <w:szCs w:val="18"/>
        </w:rPr>
        <w:t>projections</w:t>
      </w:r>
      <w:r w:rsidRPr="00632085">
        <w:rPr>
          <w:rFonts w:ascii="Arial" w:hAnsi="Arial" w:cs="Arial"/>
          <w:sz w:val="18"/>
          <w:szCs w:val="18"/>
        </w:rPr>
        <w:t xml:space="preserve"> provided herein are based on </w:t>
      </w:r>
      <w:r>
        <w:rPr>
          <w:rFonts w:ascii="Arial" w:hAnsi="Arial" w:cs="Arial"/>
          <w:sz w:val="18"/>
          <w:szCs w:val="18"/>
        </w:rPr>
        <w:t>projected ICU</w:t>
      </w:r>
      <w:r w:rsidRPr="00632085">
        <w:rPr>
          <w:rFonts w:ascii="Arial" w:hAnsi="Arial" w:cs="Arial"/>
          <w:sz w:val="18"/>
          <w:szCs w:val="18"/>
        </w:rPr>
        <w:t xml:space="preserve"> discharges. However, to provide the most accurate understanding of BMC’s occupancy rates, the occupancy </w:t>
      </w:r>
      <w:r>
        <w:rPr>
          <w:rFonts w:ascii="Arial" w:hAnsi="Arial" w:cs="Arial"/>
          <w:sz w:val="18"/>
          <w:szCs w:val="18"/>
        </w:rPr>
        <w:t>projections</w:t>
      </w:r>
      <w:r w:rsidRPr="00632085">
        <w:rPr>
          <w:rFonts w:ascii="Arial" w:hAnsi="Arial" w:cs="Arial"/>
          <w:sz w:val="18"/>
          <w:szCs w:val="18"/>
        </w:rPr>
        <w:t xml:space="preserve"> provided herein </w:t>
      </w:r>
      <w:r>
        <w:rPr>
          <w:rFonts w:ascii="Arial" w:hAnsi="Arial" w:cs="Arial"/>
          <w:sz w:val="18"/>
          <w:szCs w:val="18"/>
        </w:rPr>
        <w:t>are</w:t>
      </w:r>
      <w:r w:rsidRPr="00632085">
        <w:rPr>
          <w:rFonts w:ascii="Arial" w:hAnsi="Arial" w:cs="Arial"/>
          <w:sz w:val="18"/>
          <w:szCs w:val="18"/>
        </w:rPr>
        <w:t xml:space="preserve"> based on </w:t>
      </w:r>
      <w:r>
        <w:rPr>
          <w:rFonts w:ascii="Arial" w:hAnsi="Arial" w:cs="Arial"/>
          <w:sz w:val="18"/>
          <w:szCs w:val="18"/>
        </w:rPr>
        <w:t xml:space="preserve">projected </w:t>
      </w:r>
      <w:r w:rsidRPr="00632085">
        <w:rPr>
          <w:rFonts w:ascii="Arial" w:hAnsi="Arial" w:cs="Arial"/>
          <w:sz w:val="18"/>
          <w:szCs w:val="18"/>
        </w:rPr>
        <w:t xml:space="preserve">census </w:t>
      </w:r>
      <w:r>
        <w:rPr>
          <w:rFonts w:ascii="Arial" w:hAnsi="Arial" w:cs="Arial"/>
          <w:sz w:val="18"/>
          <w:szCs w:val="18"/>
        </w:rPr>
        <w:t>days, which is lower as it accounts for time that patients are projected to spend in different levels of care (e.g., medical/surgical, step-down, ICU, etc.).</w:t>
      </w:r>
    </w:p>
  </w:footnote>
  <w:footnote w:id="52">
    <w:p w14:paraId="5CCCBCD7" w14:textId="60372E35" w:rsidR="00E30BC4" w:rsidRPr="002800C1" w:rsidRDefault="00E30BC4">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24062E" w:rsidRPr="002800C1">
        <w:rPr>
          <w:rFonts w:ascii="Arial" w:hAnsi="Arial" w:cs="Arial"/>
          <w:sz w:val="18"/>
          <w:szCs w:val="18"/>
        </w:rPr>
        <w:t>Service specialties included within Cardiothoracic service line are: General – Cardiac and Cardiology.</w:t>
      </w:r>
    </w:p>
  </w:footnote>
  <w:footnote w:id="53">
    <w:p w14:paraId="1BBE64C7" w14:textId="21A90C24" w:rsidR="00E30BC4" w:rsidRPr="002800C1" w:rsidRDefault="00E30BC4">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24062E" w:rsidRPr="002800C1">
        <w:rPr>
          <w:rFonts w:ascii="Arial" w:hAnsi="Arial" w:cs="Arial"/>
          <w:sz w:val="18"/>
          <w:szCs w:val="18"/>
        </w:rPr>
        <w:t>Service specialties included within General service line are: General – Bariatric, General – Breast, General – Cardiac, General – Gastrointestinal, General – Oncology, General – Pediatric, General – Trauma, and Pulmonary.</w:t>
      </w:r>
    </w:p>
  </w:footnote>
  <w:footnote w:id="54">
    <w:p w14:paraId="415DA5F2" w14:textId="12FFDF79" w:rsidR="0024062E" w:rsidRPr="002800C1" w:rsidRDefault="0024062E">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Service specialties included within Oral service line are: </w:t>
      </w:r>
      <w:r w:rsidR="00CE41F1" w:rsidRPr="002800C1">
        <w:rPr>
          <w:rFonts w:ascii="Arial" w:hAnsi="Arial" w:cs="Arial"/>
          <w:sz w:val="18"/>
          <w:szCs w:val="18"/>
        </w:rPr>
        <w:t>Oral and Maxillofacial Surgery and Otolaryngology.</w:t>
      </w:r>
    </w:p>
  </w:footnote>
  <w:footnote w:id="55">
    <w:p w14:paraId="3198BA15" w14:textId="7F20B403" w:rsidR="00B86453" w:rsidRPr="002800C1" w:rsidRDefault="00B86453">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944763">
        <w:rPr>
          <w:rFonts w:ascii="Arial" w:hAnsi="Arial" w:cs="Arial"/>
          <w:sz w:val="18"/>
          <w:szCs w:val="18"/>
        </w:rPr>
        <w:t>M</w:t>
      </w:r>
      <w:r w:rsidR="00944763" w:rsidRPr="00944763">
        <w:rPr>
          <w:rFonts w:ascii="Arial" w:hAnsi="Arial" w:cs="Arial"/>
          <w:sz w:val="18"/>
          <w:szCs w:val="18"/>
        </w:rPr>
        <w:t>ost industry sources indicate that a common benchmark utilization target is 80%, which is that used by the Hospital.</w:t>
      </w:r>
    </w:p>
  </w:footnote>
  <w:footnote w:id="56">
    <w:p w14:paraId="4A835354" w14:textId="098F0AC6" w:rsidR="00907510" w:rsidRPr="002800C1" w:rsidRDefault="00907510" w:rsidP="0090751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903C27" w:rsidRPr="002800C1">
        <w:rPr>
          <w:rFonts w:ascii="Arial" w:hAnsi="Arial" w:cs="Arial"/>
          <w:sz w:val="18"/>
          <w:szCs w:val="18"/>
        </w:rPr>
        <w:t xml:space="preserve">Hoot &amp; </w:t>
      </w:r>
      <w:r w:rsidR="00903C27" w:rsidRPr="002800C1">
        <w:rPr>
          <w:rFonts w:ascii="Arial" w:hAnsi="Arial" w:cs="Arial"/>
          <w:sz w:val="18"/>
          <w:szCs w:val="18"/>
        </w:rPr>
        <w:t xml:space="preserve">Aronsky, </w:t>
      </w:r>
      <w:r w:rsidR="00903C27" w:rsidRPr="002800C1">
        <w:rPr>
          <w:rFonts w:ascii="Arial" w:hAnsi="Arial" w:cs="Arial"/>
          <w:i/>
          <w:iCs/>
          <w:sz w:val="18"/>
          <w:szCs w:val="18"/>
        </w:rPr>
        <w:t>supra</w:t>
      </w:r>
      <w:r w:rsidR="00903C27" w:rsidRPr="002800C1">
        <w:rPr>
          <w:rFonts w:ascii="Arial" w:hAnsi="Arial" w:cs="Arial"/>
          <w:sz w:val="18"/>
          <w:szCs w:val="18"/>
        </w:rPr>
        <w:t xml:space="preserve"> note </w:t>
      </w:r>
      <w:r w:rsidR="00903C27" w:rsidRPr="002800C1">
        <w:rPr>
          <w:rFonts w:ascii="Arial" w:hAnsi="Arial" w:cs="Arial"/>
          <w:sz w:val="18"/>
          <w:szCs w:val="18"/>
        </w:rPr>
        <w:fldChar w:fldCharType="begin"/>
      </w:r>
      <w:r w:rsidR="00903C27" w:rsidRPr="002800C1">
        <w:rPr>
          <w:rFonts w:ascii="Arial" w:hAnsi="Arial" w:cs="Arial"/>
          <w:sz w:val="18"/>
          <w:szCs w:val="18"/>
        </w:rPr>
        <w:instrText xml:space="preserve"> NOTEREF _Ref109193648 \h </w:instrText>
      </w:r>
      <w:r w:rsidR="00C53BFC" w:rsidRPr="002800C1">
        <w:rPr>
          <w:rFonts w:ascii="Arial" w:hAnsi="Arial" w:cs="Arial"/>
          <w:sz w:val="18"/>
          <w:szCs w:val="18"/>
        </w:rPr>
        <w:instrText xml:space="preserve"> \* MERGEFORMAT </w:instrText>
      </w:r>
      <w:r w:rsidR="00903C27" w:rsidRPr="002800C1">
        <w:rPr>
          <w:rFonts w:ascii="Arial" w:hAnsi="Arial" w:cs="Arial"/>
          <w:sz w:val="18"/>
          <w:szCs w:val="18"/>
        </w:rPr>
      </w:r>
      <w:r w:rsidR="00903C27" w:rsidRPr="002800C1">
        <w:rPr>
          <w:rFonts w:ascii="Arial" w:hAnsi="Arial" w:cs="Arial"/>
          <w:sz w:val="18"/>
          <w:szCs w:val="18"/>
        </w:rPr>
        <w:fldChar w:fldCharType="separate"/>
      </w:r>
      <w:r w:rsidR="00FB167B">
        <w:rPr>
          <w:rFonts w:ascii="Arial" w:hAnsi="Arial" w:cs="Arial"/>
          <w:sz w:val="18"/>
          <w:szCs w:val="18"/>
        </w:rPr>
        <w:t>42</w:t>
      </w:r>
      <w:r w:rsidR="00903C27" w:rsidRPr="002800C1">
        <w:rPr>
          <w:rFonts w:ascii="Arial" w:hAnsi="Arial" w:cs="Arial"/>
          <w:sz w:val="18"/>
          <w:szCs w:val="18"/>
        </w:rPr>
        <w:fldChar w:fldCharType="end"/>
      </w:r>
      <w:r w:rsidR="007417CC" w:rsidRPr="002800C1">
        <w:rPr>
          <w:rFonts w:ascii="Arial" w:hAnsi="Arial" w:cs="Arial"/>
          <w:sz w:val="18"/>
          <w:szCs w:val="18"/>
        </w:rPr>
        <w:t xml:space="preserve">; </w:t>
      </w:r>
      <w:r w:rsidR="00CD00AC" w:rsidRPr="002800C1">
        <w:rPr>
          <w:rFonts w:ascii="Arial" w:eastAsiaTheme="minorHAnsi" w:hAnsi="Arial" w:cs="Arial"/>
          <w:sz w:val="18"/>
          <w:szCs w:val="18"/>
        </w:rPr>
        <w:t xml:space="preserve">Bernstein, et al., </w:t>
      </w:r>
      <w:r w:rsidR="00CD00AC" w:rsidRPr="002800C1">
        <w:rPr>
          <w:rFonts w:ascii="Arial" w:eastAsiaTheme="minorHAnsi" w:hAnsi="Arial" w:cs="Arial"/>
          <w:i/>
          <w:iCs/>
          <w:sz w:val="18"/>
          <w:szCs w:val="18"/>
        </w:rPr>
        <w:t>supra</w:t>
      </w:r>
      <w:r w:rsidR="00CD00AC" w:rsidRPr="002800C1">
        <w:rPr>
          <w:rFonts w:ascii="Arial" w:eastAsiaTheme="minorHAnsi" w:hAnsi="Arial" w:cs="Arial"/>
          <w:sz w:val="18"/>
          <w:szCs w:val="18"/>
        </w:rPr>
        <w:t xml:space="preserve"> note </w:t>
      </w:r>
      <w:r w:rsidR="00CD00AC" w:rsidRPr="002800C1">
        <w:rPr>
          <w:rFonts w:ascii="Arial" w:eastAsiaTheme="minorHAnsi" w:hAnsi="Arial" w:cs="Arial"/>
          <w:sz w:val="18"/>
          <w:szCs w:val="18"/>
        </w:rPr>
        <w:fldChar w:fldCharType="begin"/>
      </w:r>
      <w:r w:rsidR="00CD00AC" w:rsidRPr="002800C1">
        <w:rPr>
          <w:rFonts w:ascii="Arial" w:eastAsiaTheme="minorHAnsi" w:hAnsi="Arial" w:cs="Arial"/>
          <w:sz w:val="18"/>
          <w:szCs w:val="18"/>
        </w:rPr>
        <w:instrText xml:space="preserve"> NOTEREF _Ref109194990 \h </w:instrText>
      </w:r>
      <w:r w:rsidR="00C53BFC" w:rsidRPr="002800C1">
        <w:rPr>
          <w:rFonts w:ascii="Arial" w:eastAsiaTheme="minorHAnsi" w:hAnsi="Arial" w:cs="Arial"/>
          <w:sz w:val="18"/>
          <w:szCs w:val="18"/>
        </w:rPr>
        <w:instrText xml:space="preserve"> \* MERGEFORMAT </w:instrText>
      </w:r>
      <w:r w:rsidR="00CD00AC" w:rsidRPr="002800C1">
        <w:rPr>
          <w:rFonts w:ascii="Arial" w:eastAsiaTheme="minorHAnsi" w:hAnsi="Arial" w:cs="Arial"/>
          <w:sz w:val="18"/>
          <w:szCs w:val="18"/>
        </w:rPr>
      </w:r>
      <w:r w:rsidR="00CD00AC" w:rsidRPr="002800C1">
        <w:rPr>
          <w:rFonts w:ascii="Arial" w:eastAsiaTheme="minorHAnsi" w:hAnsi="Arial" w:cs="Arial"/>
          <w:sz w:val="18"/>
          <w:szCs w:val="18"/>
        </w:rPr>
        <w:fldChar w:fldCharType="separate"/>
      </w:r>
      <w:r w:rsidR="00FB167B">
        <w:rPr>
          <w:rFonts w:ascii="Arial" w:eastAsiaTheme="minorHAnsi" w:hAnsi="Arial" w:cs="Arial"/>
          <w:sz w:val="18"/>
          <w:szCs w:val="18"/>
        </w:rPr>
        <w:t>44</w:t>
      </w:r>
      <w:r w:rsidR="00CD00AC" w:rsidRPr="002800C1">
        <w:rPr>
          <w:rFonts w:ascii="Arial" w:eastAsiaTheme="minorHAnsi" w:hAnsi="Arial" w:cs="Arial"/>
          <w:sz w:val="18"/>
          <w:szCs w:val="18"/>
        </w:rPr>
        <w:fldChar w:fldCharType="end"/>
      </w:r>
      <w:r w:rsidR="007417CC" w:rsidRPr="002800C1">
        <w:rPr>
          <w:rFonts w:ascii="Arial" w:hAnsi="Arial" w:cs="Arial"/>
          <w:sz w:val="18"/>
          <w:szCs w:val="18"/>
        </w:rPr>
        <w:t xml:space="preserve">; </w:t>
      </w:r>
      <w:r w:rsidR="001A1B14" w:rsidRPr="002800C1">
        <w:rPr>
          <w:rFonts w:ascii="Arial" w:hAnsi="Arial" w:cs="Arial"/>
          <w:sz w:val="18"/>
          <w:szCs w:val="18"/>
        </w:rPr>
        <w:t xml:space="preserve">Olshaker. </w:t>
      </w:r>
      <w:hyperlink r:id="rId28" w:history="1">
        <w:r w:rsidR="001A1B14" w:rsidRPr="00DB7463">
          <w:rPr>
            <w:rStyle w:val="Hyperlink"/>
            <w:rFonts w:ascii="Arial" w:hAnsi="Arial" w:cs="Arial"/>
            <w:i/>
            <w:iCs/>
            <w:color w:val="000000" w:themeColor="text1"/>
            <w:sz w:val="18"/>
            <w:szCs w:val="18"/>
            <w:u w:val="none"/>
          </w:rPr>
          <w:t>Managing emergency department overcrowding</w:t>
        </w:r>
        <w:r w:rsidR="001A1B14" w:rsidRPr="00DB7463">
          <w:rPr>
            <w:rStyle w:val="Hyperlink"/>
            <w:rFonts w:ascii="Arial" w:hAnsi="Arial" w:cs="Arial"/>
            <w:color w:val="000000" w:themeColor="text1"/>
            <w:sz w:val="18"/>
            <w:szCs w:val="18"/>
            <w:u w:val="none"/>
          </w:rPr>
          <w:t>,</w:t>
        </w:r>
      </w:hyperlink>
      <w:r w:rsidR="001A1B14" w:rsidRPr="002800C1">
        <w:rPr>
          <w:rFonts w:ascii="Arial" w:hAnsi="Arial" w:cs="Arial"/>
          <w:sz w:val="18"/>
          <w:szCs w:val="18"/>
        </w:rPr>
        <w:t xml:space="preserve"> 27 </w:t>
      </w:r>
      <w:r w:rsidR="001A1B14" w:rsidRPr="002800C1">
        <w:rPr>
          <w:rFonts w:ascii="Arial" w:hAnsi="Arial" w:cs="Arial"/>
          <w:smallCaps/>
          <w:sz w:val="18"/>
          <w:szCs w:val="18"/>
        </w:rPr>
        <w:t>Emerg. Med. Clin. North America</w:t>
      </w:r>
      <w:r w:rsidR="001A1B14" w:rsidRPr="002800C1">
        <w:rPr>
          <w:rFonts w:ascii="Arial" w:hAnsi="Arial" w:cs="Arial"/>
          <w:sz w:val="18"/>
          <w:szCs w:val="18"/>
        </w:rPr>
        <w:t xml:space="preserve"> 593 (2009), </w:t>
      </w:r>
      <w:r w:rsidR="001A1B14" w:rsidRPr="002800C1">
        <w:rPr>
          <w:rFonts w:ascii="Arial" w:hAnsi="Arial" w:cs="Arial"/>
          <w:i/>
          <w:iCs/>
          <w:sz w:val="18"/>
          <w:szCs w:val="18"/>
        </w:rPr>
        <w:t>available at</w:t>
      </w:r>
      <w:r w:rsidR="001A1B14" w:rsidRPr="002800C1">
        <w:rPr>
          <w:rFonts w:ascii="Arial" w:hAnsi="Arial" w:cs="Arial"/>
          <w:sz w:val="18"/>
          <w:szCs w:val="18"/>
        </w:rPr>
        <w:t xml:space="preserve"> </w:t>
      </w:r>
      <w:hyperlink r:id="rId29" w:history="1">
        <w:r w:rsidR="00DB7463" w:rsidRPr="00DB7463">
          <w:rPr>
            <w:rStyle w:val="Hyperlink"/>
            <w:rFonts w:ascii="Arial" w:hAnsi="Arial" w:cs="Arial"/>
            <w:color w:val="000000" w:themeColor="text1"/>
            <w:sz w:val="18"/>
            <w:szCs w:val="18"/>
          </w:rPr>
          <w:t>https://www.sciencedirect.com/science/article/abs/pii/S0733862709000716?via%3Dihub</w:t>
        </w:r>
      </w:hyperlink>
      <w:r w:rsidR="00DB7463">
        <w:rPr>
          <w:rFonts w:ascii="Arial" w:hAnsi="Arial" w:cs="Arial"/>
          <w:sz w:val="18"/>
          <w:szCs w:val="18"/>
        </w:rPr>
        <w:t xml:space="preserve"> </w:t>
      </w:r>
      <w:r w:rsidR="007417CC" w:rsidRPr="002800C1">
        <w:rPr>
          <w:rFonts w:ascii="Arial" w:hAnsi="Arial" w:cs="Arial"/>
          <w:sz w:val="18"/>
          <w:szCs w:val="18"/>
        </w:rPr>
        <w:t>.</w:t>
      </w:r>
    </w:p>
  </w:footnote>
  <w:footnote w:id="57">
    <w:p w14:paraId="509564EF" w14:textId="0C610451" w:rsidR="00907510" w:rsidRPr="002800C1" w:rsidRDefault="00907510" w:rsidP="00907510">
      <w:pPr>
        <w:pStyle w:val="FootnoteText"/>
        <w:rPr>
          <w:rFonts w:ascii="Arial" w:hAnsi="Arial" w:cs="Arial"/>
          <w:sz w:val="18"/>
          <w:szCs w:val="18"/>
          <w:highlight w:val="yellow"/>
        </w:rPr>
      </w:pPr>
      <w:r w:rsidRPr="002800C1">
        <w:rPr>
          <w:rStyle w:val="FootnoteReference"/>
          <w:rFonts w:ascii="Arial" w:hAnsi="Arial" w:cs="Arial"/>
          <w:sz w:val="18"/>
          <w:szCs w:val="18"/>
        </w:rPr>
        <w:footnoteRef/>
      </w:r>
      <w:r w:rsidRPr="002800C1">
        <w:rPr>
          <w:rFonts w:ascii="Arial" w:hAnsi="Arial" w:cs="Arial"/>
          <w:sz w:val="18"/>
          <w:szCs w:val="18"/>
        </w:rPr>
        <w:t xml:space="preserve"> Schreyer </w:t>
      </w:r>
      <w:r w:rsidR="00ED6068" w:rsidRPr="002800C1">
        <w:rPr>
          <w:rFonts w:ascii="Arial" w:hAnsi="Arial" w:cs="Arial"/>
          <w:sz w:val="18"/>
          <w:szCs w:val="18"/>
        </w:rPr>
        <w:t>&amp;</w:t>
      </w:r>
      <w:r w:rsidRPr="002800C1">
        <w:rPr>
          <w:rFonts w:ascii="Arial" w:hAnsi="Arial" w:cs="Arial"/>
          <w:sz w:val="18"/>
          <w:szCs w:val="18"/>
        </w:rPr>
        <w:t xml:space="preserve"> Martin</w:t>
      </w:r>
      <w:r w:rsidR="00ED6068" w:rsidRPr="002800C1">
        <w:rPr>
          <w:rFonts w:ascii="Arial" w:hAnsi="Arial" w:cs="Arial"/>
          <w:sz w:val="18"/>
          <w:szCs w:val="18"/>
        </w:rPr>
        <w:t>,</w:t>
      </w:r>
      <w:r w:rsidRPr="002800C1">
        <w:rPr>
          <w:rFonts w:ascii="Arial" w:hAnsi="Arial" w:cs="Arial"/>
          <w:sz w:val="18"/>
          <w:szCs w:val="18"/>
        </w:rPr>
        <w:t xml:space="preserve"> </w:t>
      </w:r>
      <w:hyperlink r:id="rId30" w:history="1">
        <w:r w:rsidRPr="00346518">
          <w:rPr>
            <w:rStyle w:val="Hyperlink"/>
            <w:rFonts w:ascii="Arial" w:hAnsi="Arial" w:cs="Arial"/>
            <w:i/>
            <w:iCs/>
            <w:color w:val="000000" w:themeColor="text1"/>
            <w:sz w:val="18"/>
            <w:szCs w:val="18"/>
            <w:u w:val="none"/>
          </w:rPr>
          <w:t xml:space="preserve">The </w:t>
        </w:r>
        <w:r w:rsidR="00ED6068" w:rsidRPr="00346518">
          <w:rPr>
            <w:rStyle w:val="Hyperlink"/>
            <w:rFonts w:ascii="Arial" w:hAnsi="Arial" w:cs="Arial"/>
            <w:i/>
            <w:iCs/>
            <w:color w:val="000000" w:themeColor="text1"/>
            <w:sz w:val="18"/>
            <w:szCs w:val="18"/>
            <w:u w:val="none"/>
          </w:rPr>
          <w:t>E</w:t>
        </w:r>
        <w:r w:rsidRPr="00346518">
          <w:rPr>
            <w:rStyle w:val="Hyperlink"/>
            <w:rFonts w:ascii="Arial" w:hAnsi="Arial" w:cs="Arial"/>
            <w:i/>
            <w:iCs/>
            <w:color w:val="000000" w:themeColor="text1"/>
            <w:sz w:val="18"/>
            <w:szCs w:val="18"/>
            <w:u w:val="none"/>
          </w:rPr>
          <w:t xml:space="preserve">conomics of an </w:t>
        </w:r>
        <w:r w:rsidR="00ED6068" w:rsidRPr="00346518">
          <w:rPr>
            <w:rStyle w:val="Hyperlink"/>
            <w:rFonts w:ascii="Arial" w:hAnsi="Arial" w:cs="Arial"/>
            <w:i/>
            <w:iCs/>
            <w:color w:val="000000" w:themeColor="text1"/>
            <w:sz w:val="18"/>
            <w:szCs w:val="18"/>
            <w:u w:val="none"/>
          </w:rPr>
          <w:t>A</w:t>
        </w:r>
        <w:r w:rsidRPr="00346518">
          <w:rPr>
            <w:rStyle w:val="Hyperlink"/>
            <w:rFonts w:ascii="Arial" w:hAnsi="Arial" w:cs="Arial"/>
            <w:i/>
            <w:iCs/>
            <w:color w:val="000000" w:themeColor="text1"/>
            <w:sz w:val="18"/>
            <w:szCs w:val="18"/>
            <w:u w:val="none"/>
          </w:rPr>
          <w:t xml:space="preserve">dmissions </w:t>
        </w:r>
        <w:r w:rsidR="00ED6068" w:rsidRPr="00346518">
          <w:rPr>
            <w:rStyle w:val="Hyperlink"/>
            <w:rFonts w:ascii="Arial" w:hAnsi="Arial" w:cs="Arial"/>
            <w:i/>
            <w:iCs/>
            <w:color w:val="000000" w:themeColor="text1"/>
            <w:sz w:val="18"/>
            <w:szCs w:val="18"/>
            <w:u w:val="none"/>
          </w:rPr>
          <w:t>H</w:t>
        </w:r>
        <w:r w:rsidRPr="00346518">
          <w:rPr>
            <w:rStyle w:val="Hyperlink"/>
            <w:rFonts w:ascii="Arial" w:hAnsi="Arial" w:cs="Arial"/>
            <w:i/>
            <w:iCs/>
            <w:color w:val="000000" w:themeColor="text1"/>
            <w:sz w:val="18"/>
            <w:szCs w:val="18"/>
            <w:u w:val="none"/>
          </w:rPr>
          <w:t xml:space="preserve">olding </w:t>
        </w:r>
        <w:r w:rsidR="00ED6068" w:rsidRPr="00346518">
          <w:rPr>
            <w:rStyle w:val="Hyperlink"/>
            <w:rFonts w:ascii="Arial" w:hAnsi="Arial" w:cs="Arial"/>
            <w:i/>
            <w:iCs/>
            <w:color w:val="000000" w:themeColor="text1"/>
            <w:sz w:val="18"/>
            <w:szCs w:val="18"/>
            <w:u w:val="none"/>
          </w:rPr>
          <w:t>U</w:t>
        </w:r>
        <w:r w:rsidRPr="00346518">
          <w:rPr>
            <w:rStyle w:val="Hyperlink"/>
            <w:rFonts w:ascii="Arial" w:hAnsi="Arial" w:cs="Arial"/>
            <w:i/>
            <w:iCs/>
            <w:color w:val="000000" w:themeColor="text1"/>
            <w:sz w:val="18"/>
            <w:szCs w:val="18"/>
            <w:u w:val="none"/>
          </w:rPr>
          <w:t>nit</w:t>
        </w:r>
      </w:hyperlink>
      <w:r w:rsidR="00ED6068" w:rsidRPr="00346518">
        <w:rPr>
          <w:rFonts w:ascii="Arial" w:hAnsi="Arial" w:cs="Arial"/>
          <w:color w:val="000000" w:themeColor="text1"/>
          <w:sz w:val="18"/>
          <w:szCs w:val="18"/>
        </w:rPr>
        <w:t>,</w:t>
      </w:r>
      <w:r w:rsidRPr="00346518">
        <w:rPr>
          <w:rFonts w:ascii="Arial" w:hAnsi="Arial" w:cs="Arial"/>
          <w:color w:val="000000" w:themeColor="text1"/>
          <w:sz w:val="18"/>
          <w:szCs w:val="18"/>
        </w:rPr>
        <w:t xml:space="preserve"> </w:t>
      </w:r>
      <w:r w:rsidR="00ED6068" w:rsidRPr="002800C1">
        <w:rPr>
          <w:rFonts w:ascii="Arial" w:hAnsi="Arial" w:cs="Arial"/>
          <w:sz w:val="18"/>
          <w:szCs w:val="18"/>
        </w:rPr>
        <w:t xml:space="preserve">18 </w:t>
      </w:r>
      <w:r w:rsidRPr="002800C1">
        <w:rPr>
          <w:rFonts w:ascii="Arial" w:hAnsi="Arial" w:cs="Arial"/>
          <w:smallCaps/>
          <w:sz w:val="18"/>
          <w:szCs w:val="18"/>
        </w:rPr>
        <w:t>West J</w:t>
      </w:r>
      <w:r w:rsidR="00ED6068" w:rsidRPr="002800C1">
        <w:rPr>
          <w:rFonts w:ascii="Arial" w:hAnsi="Arial" w:cs="Arial"/>
          <w:smallCaps/>
          <w:sz w:val="18"/>
          <w:szCs w:val="18"/>
        </w:rPr>
        <w:t>.</w:t>
      </w:r>
      <w:r w:rsidRPr="002800C1">
        <w:rPr>
          <w:rFonts w:ascii="Arial" w:hAnsi="Arial" w:cs="Arial"/>
          <w:smallCaps/>
          <w:sz w:val="18"/>
          <w:szCs w:val="18"/>
        </w:rPr>
        <w:t xml:space="preserve"> Emerg</w:t>
      </w:r>
      <w:r w:rsidR="00ED6068" w:rsidRPr="002800C1">
        <w:rPr>
          <w:rFonts w:ascii="Arial" w:hAnsi="Arial" w:cs="Arial"/>
          <w:smallCaps/>
          <w:sz w:val="18"/>
          <w:szCs w:val="18"/>
        </w:rPr>
        <w:t xml:space="preserve">. </w:t>
      </w:r>
      <w:r w:rsidRPr="002800C1">
        <w:rPr>
          <w:rFonts w:ascii="Arial" w:hAnsi="Arial" w:cs="Arial"/>
          <w:smallCaps/>
          <w:sz w:val="18"/>
          <w:szCs w:val="18"/>
        </w:rPr>
        <w:t>Med.</w:t>
      </w:r>
      <w:r w:rsidRPr="002800C1">
        <w:rPr>
          <w:rFonts w:ascii="Arial" w:hAnsi="Arial" w:cs="Arial"/>
          <w:sz w:val="18"/>
          <w:szCs w:val="18"/>
        </w:rPr>
        <w:t xml:space="preserve"> </w:t>
      </w:r>
      <w:r w:rsidR="00ED6068" w:rsidRPr="002800C1">
        <w:rPr>
          <w:rFonts w:ascii="Arial" w:hAnsi="Arial" w:cs="Arial"/>
          <w:sz w:val="18"/>
          <w:szCs w:val="18"/>
        </w:rPr>
        <w:t>553 (</w:t>
      </w:r>
      <w:r w:rsidRPr="002800C1">
        <w:rPr>
          <w:rFonts w:ascii="Arial" w:hAnsi="Arial" w:cs="Arial"/>
          <w:sz w:val="18"/>
          <w:szCs w:val="18"/>
        </w:rPr>
        <w:t>2017</w:t>
      </w:r>
      <w:r w:rsidR="00ED6068" w:rsidRPr="002800C1">
        <w:rPr>
          <w:rFonts w:ascii="Arial" w:hAnsi="Arial" w:cs="Arial"/>
          <w:sz w:val="18"/>
          <w:szCs w:val="18"/>
        </w:rPr>
        <w:t xml:space="preserve">), </w:t>
      </w:r>
      <w:r w:rsidR="00ED6068" w:rsidRPr="002800C1">
        <w:rPr>
          <w:rFonts w:ascii="Arial" w:hAnsi="Arial" w:cs="Arial"/>
          <w:i/>
          <w:iCs/>
          <w:sz w:val="18"/>
          <w:szCs w:val="18"/>
        </w:rPr>
        <w:t>available at</w:t>
      </w:r>
      <w:r w:rsidR="00ED6068" w:rsidRPr="002800C1">
        <w:rPr>
          <w:rFonts w:ascii="Arial" w:hAnsi="Arial" w:cs="Arial"/>
          <w:sz w:val="18"/>
          <w:szCs w:val="18"/>
        </w:rPr>
        <w:t xml:space="preserve"> </w:t>
      </w:r>
      <w:hyperlink r:id="rId31" w:history="1">
        <w:r w:rsidR="00346518" w:rsidRPr="00346518">
          <w:rPr>
            <w:rStyle w:val="Hyperlink"/>
            <w:rFonts w:ascii="Arial" w:hAnsi="Arial" w:cs="Arial"/>
            <w:color w:val="000000" w:themeColor="text1"/>
            <w:sz w:val="18"/>
            <w:szCs w:val="18"/>
          </w:rPr>
          <w:t>https://www.ncbi.nlm.nih.gov/pmc/articles/PMC5468058/</w:t>
        </w:r>
      </w:hyperlink>
      <w:r w:rsidR="00346518">
        <w:rPr>
          <w:rFonts w:ascii="Arial" w:hAnsi="Arial" w:cs="Arial"/>
          <w:sz w:val="18"/>
          <w:szCs w:val="18"/>
        </w:rPr>
        <w:t xml:space="preserve"> </w:t>
      </w:r>
      <w:r w:rsidRPr="002800C1">
        <w:rPr>
          <w:rFonts w:ascii="Arial" w:hAnsi="Arial" w:cs="Arial"/>
          <w:sz w:val="18"/>
          <w:szCs w:val="18"/>
        </w:rPr>
        <w:t>.</w:t>
      </w:r>
    </w:p>
  </w:footnote>
  <w:footnote w:id="58">
    <w:p w14:paraId="0E4DFEAB" w14:textId="1822A5BA" w:rsidR="00907510" w:rsidRPr="002800C1" w:rsidRDefault="00907510" w:rsidP="00907510">
      <w:pPr>
        <w:pStyle w:val="FootnoteText"/>
        <w:rPr>
          <w:rFonts w:ascii="Arial" w:hAnsi="Arial" w:cs="Arial"/>
          <w:sz w:val="18"/>
          <w:szCs w:val="18"/>
          <w:highlight w:val="yellow"/>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hAnsi="Arial" w:cs="Arial"/>
          <w:sz w:val="18"/>
          <w:szCs w:val="18"/>
        </w:rPr>
        <w:t xml:space="preserve">Baloescu, </w:t>
      </w:r>
      <w:r w:rsidR="00ED6068" w:rsidRPr="002800C1">
        <w:rPr>
          <w:rFonts w:ascii="Arial" w:hAnsi="Arial" w:cs="Arial"/>
          <w:sz w:val="18"/>
          <w:szCs w:val="18"/>
        </w:rPr>
        <w:t xml:space="preserve">et al., </w:t>
      </w:r>
      <w:r w:rsidRPr="002800C1">
        <w:rPr>
          <w:rFonts w:ascii="Arial" w:hAnsi="Arial" w:cs="Arial"/>
          <w:i/>
          <w:iCs/>
          <w:sz w:val="18"/>
          <w:szCs w:val="18"/>
        </w:rPr>
        <w:t>The cost of waiting: Association of ED boarding with hospitalization costs</w:t>
      </w:r>
      <w:r w:rsidR="00ED6068" w:rsidRPr="002800C1">
        <w:rPr>
          <w:rFonts w:ascii="Arial" w:hAnsi="Arial" w:cs="Arial"/>
          <w:sz w:val="18"/>
          <w:szCs w:val="18"/>
        </w:rPr>
        <w:t>,</w:t>
      </w:r>
      <w:r w:rsidRPr="002800C1">
        <w:rPr>
          <w:rFonts w:ascii="Arial" w:hAnsi="Arial" w:cs="Arial"/>
          <w:sz w:val="18"/>
          <w:szCs w:val="18"/>
        </w:rPr>
        <w:t xml:space="preserve"> </w:t>
      </w:r>
      <w:r w:rsidR="00ED6068" w:rsidRPr="002800C1">
        <w:rPr>
          <w:rFonts w:ascii="Arial" w:hAnsi="Arial" w:cs="Arial"/>
          <w:sz w:val="18"/>
          <w:szCs w:val="18"/>
        </w:rPr>
        <w:t xml:space="preserve">40 </w:t>
      </w:r>
      <w:r w:rsidRPr="002800C1">
        <w:rPr>
          <w:rFonts w:ascii="Arial" w:hAnsi="Arial" w:cs="Arial"/>
          <w:smallCaps/>
          <w:sz w:val="18"/>
          <w:szCs w:val="18"/>
        </w:rPr>
        <w:t>American J</w:t>
      </w:r>
      <w:r w:rsidR="00ED6068" w:rsidRPr="002800C1">
        <w:rPr>
          <w:rFonts w:ascii="Arial" w:hAnsi="Arial" w:cs="Arial"/>
          <w:smallCaps/>
          <w:sz w:val="18"/>
          <w:szCs w:val="18"/>
        </w:rPr>
        <w:t>.</w:t>
      </w:r>
      <w:r w:rsidRPr="002800C1">
        <w:rPr>
          <w:rFonts w:ascii="Arial" w:hAnsi="Arial" w:cs="Arial"/>
          <w:smallCaps/>
          <w:sz w:val="18"/>
          <w:szCs w:val="18"/>
        </w:rPr>
        <w:t xml:space="preserve"> Emerg</w:t>
      </w:r>
      <w:r w:rsidR="00ED6068" w:rsidRPr="002800C1">
        <w:rPr>
          <w:rFonts w:ascii="Arial" w:hAnsi="Arial" w:cs="Arial"/>
          <w:smallCaps/>
          <w:sz w:val="18"/>
          <w:szCs w:val="18"/>
        </w:rPr>
        <w:t>.</w:t>
      </w:r>
      <w:r w:rsidRPr="002800C1">
        <w:rPr>
          <w:rFonts w:ascii="Arial" w:hAnsi="Arial" w:cs="Arial"/>
          <w:smallCaps/>
          <w:sz w:val="18"/>
          <w:szCs w:val="18"/>
        </w:rPr>
        <w:t xml:space="preserve"> Med</w:t>
      </w:r>
      <w:r w:rsidR="00ED6068" w:rsidRPr="002800C1">
        <w:rPr>
          <w:rFonts w:ascii="Arial" w:hAnsi="Arial" w:cs="Arial"/>
          <w:smallCaps/>
          <w:sz w:val="18"/>
          <w:szCs w:val="18"/>
        </w:rPr>
        <w:t>.</w:t>
      </w:r>
      <w:r w:rsidR="00ED6068" w:rsidRPr="002800C1">
        <w:rPr>
          <w:rFonts w:ascii="Arial" w:hAnsi="Arial" w:cs="Arial"/>
          <w:sz w:val="18"/>
          <w:szCs w:val="18"/>
        </w:rPr>
        <w:t xml:space="preserve"> 169</w:t>
      </w:r>
      <w:r w:rsidRPr="002800C1">
        <w:rPr>
          <w:rFonts w:ascii="Arial" w:hAnsi="Arial" w:cs="Arial"/>
          <w:sz w:val="18"/>
          <w:szCs w:val="18"/>
        </w:rPr>
        <w:t xml:space="preserve"> </w:t>
      </w:r>
      <w:r w:rsidR="00ED6068" w:rsidRPr="002800C1">
        <w:rPr>
          <w:rFonts w:ascii="Arial" w:hAnsi="Arial" w:cs="Arial"/>
          <w:sz w:val="18"/>
          <w:szCs w:val="18"/>
        </w:rPr>
        <w:t>(</w:t>
      </w:r>
      <w:r w:rsidRPr="002800C1">
        <w:rPr>
          <w:rFonts w:ascii="Arial" w:hAnsi="Arial" w:cs="Arial"/>
          <w:sz w:val="18"/>
          <w:szCs w:val="18"/>
        </w:rPr>
        <w:t>2021</w:t>
      </w:r>
      <w:r w:rsidR="00ED6068" w:rsidRPr="002800C1">
        <w:rPr>
          <w:rFonts w:ascii="Arial" w:hAnsi="Arial" w:cs="Arial"/>
          <w:sz w:val="18"/>
          <w:szCs w:val="18"/>
        </w:rPr>
        <w:t>)</w:t>
      </w:r>
      <w:r w:rsidRPr="002800C1">
        <w:rPr>
          <w:rFonts w:ascii="Arial" w:hAnsi="Arial" w:cs="Arial"/>
          <w:sz w:val="18"/>
          <w:szCs w:val="18"/>
        </w:rPr>
        <w:t>.</w:t>
      </w:r>
    </w:p>
  </w:footnote>
  <w:footnote w:id="59">
    <w:p w14:paraId="488700BF" w14:textId="0278C434" w:rsidR="002800C1" w:rsidRPr="002800C1" w:rsidRDefault="002800C1">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Van Winkle, et al., </w:t>
      </w:r>
      <w:hyperlink r:id="rId32" w:history="1">
        <w:r w:rsidRPr="00346518">
          <w:rPr>
            <w:rStyle w:val="Hyperlink"/>
            <w:rFonts w:ascii="Arial" w:hAnsi="Arial" w:cs="Arial"/>
            <w:i/>
            <w:iCs/>
            <w:color w:val="000000" w:themeColor="text1"/>
            <w:sz w:val="18"/>
            <w:szCs w:val="18"/>
            <w:u w:val="none"/>
          </w:rPr>
          <w:t>Operating Room Delays: Meaningful Use in Electronic Health Record</w:t>
        </w:r>
      </w:hyperlink>
      <w:r w:rsidRPr="002800C1">
        <w:rPr>
          <w:rFonts w:ascii="Arial" w:hAnsi="Arial" w:cs="Arial"/>
          <w:color w:val="333333"/>
          <w:sz w:val="18"/>
          <w:szCs w:val="18"/>
        </w:rPr>
        <w:t xml:space="preserve">, </w:t>
      </w:r>
      <w:r w:rsidRPr="002800C1">
        <w:rPr>
          <w:rFonts w:ascii="Arial" w:hAnsi="Arial" w:cs="Arial"/>
          <w:smallCaps/>
          <w:color w:val="333333"/>
          <w:sz w:val="18"/>
          <w:szCs w:val="18"/>
        </w:rPr>
        <w:t>Computers, Informatics, Nursing</w:t>
      </w:r>
      <w:r w:rsidRPr="002800C1">
        <w:rPr>
          <w:rFonts w:ascii="Arial" w:hAnsi="Arial" w:cs="Arial"/>
          <w:color w:val="333333"/>
          <w:sz w:val="18"/>
          <w:szCs w:val="18"/>
        </w:rPr>
        <w:t xml:space="preserve"> (2016), </w:t>
      </w:r>
      <w:r w:rsidRPr="002800C1">
        <w:rPr>
          <w:rFonts w:ascii="Arial" w:hAnsi="Arial" w:cs="Arial"/>
          <w:i/>
          <w:iCs/>
          <w:color w:val="333333"/>
          <w:sz w:val="18"/>
          <w:szCs w:val="18"/>
        </w:rPr>
        <w:t>available at</w:t>
      </w:r>
      <w:r w:rsidRPr="002800C1">
        <w:rPr>
          <w:rFonts w:ascii="Arial" w:hAnsi="Arial" w:cs="Arial"/>
          <w:color w:val="333333"/>
          <w:sz w:val="18"/>
          <w:szCs w:val="18"/>
        </w:rPr>
        <w:t xml:space="preserve"> </w:t>
      </w:r>
      <w:hyperlink r:id="rId33" w:history="1">
        <w:r w:rsidR="00346518" w:rsidRPr="00346518">
          <w:rPr>
            <w:rStyle w:val="Hyperlink"/>
            <w:rFonts w:ascii="Arial" w:hAnsi="Arial" w:cs="Arial"/>
            <w:color w:val="000000" w:themeColor="text1"/>
            <w:sz w:val="18"/>
            <w:szCs w:val="18"/>
          </w:rPr>
          <w:t>https://nursing.duke.edu/sites/default/files/vanwinkle_article.pdf</w:t>
        </w:r>
      </w:hyperlink>
      <w:r w:rsidR="00346518">
        <w:rPr>
          <w:rFonts w:ascii="Arial" w:hAnsi="Arial" w:cs="Arial"/>
          <w:color w:val="333333"/>
          <w:sz w:val="18"/>
          <w:szCs w:val="18"/>
        </w:rPr>
        <w:t xml:space="preserve"> </w:t>
      </w:r>
      <w:r>
        <w:rPr>
          <w:rFonts w:ascii="Arial" w:hAnsi="Arial" w:cs="Arial"/>
          <w:color w:val="333333"/>
          <w:sz w:val="18"/>
          <w:szCs w:val="18"/>
        </w:rPr>
        <w:t>.</w:t>
      </w:r>
    </w:p>
  </w:footnote>
  <w:footnote w:id="60">
    <w:p w14:paraId="612F916E" w14:textId="1A856F6B" w:rsidR="00907510" w:rsidRPr="002800C1" w:rsidRDefault="00907510" w:rsidP="0090751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hyperlink r:id="rId34" w:history="1">
        <w:r w:rsidR="001948F4" w:rsidRPr="00346518">
          <w:rPr>
            <w:rStyle w:val="Hyperlink"/>
            <w:rFonts w:ascii="Arial" w:hAnsi="Arial" w:cs="Arial"/>
            <w:i/>
            <w:iCs/>
            <w:color w:val="000000" w:themeColor="text1"/>
            <w:sz w:val="18"/>
            <w:szCs w:val="18"/>
            <w:u w:val="none"/>
          </w:rPr>
          <w:t>Social Determinants of Health</w:t>
        </w:r>
      </w:hyperlink>
      <w:r w:rsidR="001948F4" w:rsidRPr="002800C1">
        <w:rPr>
          <w:rFonts w:ascii="Arial" w:hAnsi="Arial" w:cs="Arial"/>
          <w:sz w:val="18"/>
          <w:szCs w:val="18"/>
        </w:rPr>
        <w:t xml:space="preserve">, </w:t>
      </w:r>
      <w:r w:rsidRPr="002800C1">
        <w:rPr>
          <w:rFonts w:ascii="Arial" w:hAnsi="Arial" w:cs="Arial"/>
          <w:smallCaps/>
          <w:sz w:val="18"/>
          <w:szCs w:val="18"/>
        </w:rPr>
        <w:t>American Hospital Association</w:t>
      </w:r>
      <w:r w:rsidR="001948F4" w:rsidRPr="002800C1">
        <w:rPr>
          <w:rFonts w:ascii="Arial" w:hAnsi="Arial" w:cs="Arial"/>
          <w:sz w:val="18"/>
          <w:szCs w:val="18"/>
        </w:rPr>
        <w:t>,https://www.aha.org/social-determinants-health/populationcommunity-health/community-partnerships</w:t>
      </w:r>
      <w:r w:rsidR="003C2B67" w:rsidRPr="002800C1">
        <w:rPr>
          <w:rStyle w:val="Hyperlink"/>
          <w:rFonts w:ascii="Arial" w:hAnsi="Arial" w:cs="Arial"/>
          <w:color w:val="000000" w:themeColor="text1"/>
          <w:sz w:val="18"/>
          <w:szCs w:val="18"/>
          <w:u w:val="none"/>
        </w:rPr>
        <w:t xml:space="preserve">; </w:t>
      </w:r>
      <w:r w:rsidR="003C2B67" w:rsidRPr="002800C1">
        <w:rPr>
          <w:rFonts w:ascii="Arial" w:hAnsi="Arial" w:cs="Arial"/>
          <w:sz w:val="18"/>
          <w:szCs w:val="18"/>
        </w:rPr>
        <w:t>LaPointe,</w:t>
      </w:r>
      <w:r w:rsidR="003C2B67" w:rsidRPr="002800C1">
        <w:rPr>
          <w:rFonts w:ascii="Arial" w:hAnsi="Arial" w:cs="Arial"/>
          <w:i/>
          <w:iCs/>
          <w:sz w:val="18"/>
          <w:szCs w:val="18"/>
        </w:rPr>
        <w:t xml:space="preserve"> </w:t>
      </w:r>
      <w:hyperlink r:id="rId35" w:history="1">
        <w:r w:rsidR="003C2B67" w:rsidRPr="00346518">
          <w:rPr>
            <w:rStyle w:val="Hyperlink"/>
            <w:rFonts w:ascii="Arial" w:hAnsi="Arial" w:cs="Arial"/>
            <w:i/>
            <w:iCs/>
            <w:color w:val="000000" w:themeColor="text1"/>
            <w:sz w:val="18"/>
            <w:szCs w:val="18"/>
            <w:u w:val="none"/>
          </w:rPr>
          <w:t>How Addressing Social Determinants of Health Cuts Healthcare Costs</w:t>
        </w:r>
      </w:hyperlink>
      <w:r w:rsidR="00DA0E7A" w:rsidRPr="00346518">
        <w:rPr>
          <w:rFonts w:ascii="Arial" w:hAnsi="Arial" w:cs="Arial"/>
          <w:color w:val="000000" w:themeColor="text1"/>
          <w:sz w:val="18"/>
          <w:szCs w:val="18"/>
        </w:rPr>
        <w:t>,</w:t>
      </w:r>
      <w:r w:rsidR="003C2B67" w:rsidRPr="00346518">
        <w:rPr>
          <w:rFonts w:ascii="Arial" w:hAnsi="Arial" w:cs="Arial"/>
          <w:color w:val="000000" w:themeColor="text1"/>
          <w:sz w:val="18"/>
          <w:szCs w:val="18"/>
        </w:rPr>
        <w:t xml:space="preserve"> </w:t>
      </w:r>
      <w:r w:rsidR="009B7266" w:rsidRPr="002800C1">
        <w:rPr>
          <w:rFonts w:ascii="Arial" w:hAnsi="Arial" w:cs="Arial"/>
          <w:smallCaps/>
          <w:sz w:val="18"/>
          <w:szCs w:val="18"/>
        </w:rPr>
        <w:t>Revcycle Intelligence: Value Based Care,</w:t>
      </w:r>
      <w:r w:rsidR="009B7266" w:rsidRPr="002800C1">
        <w:rPr>
          <w:rFonts w:ascii="Arial" w:hAnsi="Arial" w:cs="Arial"/>
          <w:sz w:val="18"/>
          <w:szCs w:val="18"/>
        </w:rPr>
        <w:t xml:space="preserve"> </w:t>
      </w:r>
      <w:hyperlink r:id="rId36" w:history="1">
        <w:r w:rsidR="00346518" w:rsidRPr="00346518">
          <w:rPr>
            <w:rStyle w:val="Hyperlink"/>
            <w:rFonts w:ascii="Arial" w:hAnsi="Arial" w:cs="Arial"/>
            <w:color w:val="000000" w:themeColor="text1"/>
            <w:sz w:val="18"/>
            <w:szCs w:val="18"/>
          </w:rPr>
          <w:t>https://revcycleintelligence.com/news/how-addressing-social-determinants-of-health-cuts-healthcare-costs</w:t>
        </w:r>
      </w:hyperlink>
      <w:r w:rsidR="00346518">
        <w:rPr>
          <w:rFonts w:ascii="Arial" w:hAnsi="Arial" w:cs="Arial"/>
          <w:sz w:val="18"/>
          <w:szCs w:val="18"/>
        </w:rPr>
        <w:t xml:space="preserve"> </w:t>
      </w:r>
      <w:r w:rsidR="009B7266" w:rsidRPr="002800C1">
        <w:rPr>
          <w:rFonts w:ascii="Arial" w:hAnsi="Arial" w:cs="Arial"/>
          <w:sz w:val="18"/>
          <w:szCs w:val="18"/>
        </w:rPr>
        <w:t xml:space="preserve"> (last visited Jul. 20, 2022).</w:t>
      </w:r>
    </w:p>
  </w:footnote>
  <w:footnote w:id="61">
    <w:p w14:paraId="6AC604EB" w14:textId="3A995128" w:rsidR="00907510" w:rsidRPr="002800C1" w:rsidRDefault="00907510" w:rsidP="00907510">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C76426" w:rsidRPr="002800C1">
        <w:rPr>
          <w:rFonts w:ascii="Arial" w:hAnsi="Arial" w:cs="Arial"/>
          <w:sz w:val="18"/>
          <w:szCs w:val="18"/>
        </w:rPr>
        <w:t xml:space="preserve">LaPointe, </w:t>
      </w:r>
      <w:r w:rsidR="00C76426" w:rsidRPr="002800C1">
        <w:rPr>
          <w:rFonts w:ascii="Arial" w:hAnsi="Arial" w:cs="Arial"/>
          <w:i/>
          <w:iCs/>
          <w:sz w:val="18"/>
          <w:szCs w:val="18"/>
        </w:rPr>
        <w:t>supra</w:t>
      </w:r>
      <w:r w:rsidR="00C76426"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_Ref109130348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60</w:t>
      </w:r>
      <w:r w:rsidR="002800C1">
        <w:rPr>
          <w:rFonts w:ascii="Arial" w:hAnsi="Arial" w:cs="Arial"/>
          <w:sz w:val="18"/>
          <w:szCs w:val="18"/>
        </w:rPr>
        <w:fldChar w:fldCharType="end"/>
      </w:r>
      <w:r w:rsidR="00C76426" w:rsidRPr="002800C1">
        <w:rPr>
          <w:rFonts w:ascii="Arial" w:hAnsi="Arial" w:cs="Arial"/>
          <w:sz w:val="18"/>
          <w:szCs w:val="18"/>
        </w:rPr>
        <w:t>.</w:t>
      </w:r>
    </w:p>
  </w:footnote>
  <w:footnote w:id="62">
    <w:p w14:paraId="27DC8AA3" w14:textId="1434721E" w:rsidR="00820AF4" w:rsidRPr="002800C1" w:rsidRDefault="00820AF4" w:rsidP="00DE58C3">
      <w:pPr>
        <w:pStyle w:val="Heading1"/>
        <w:spacing w:before="0" w:beforeAutospacing="0" w:after="0" w:afterAutospacing="0"/>
        <w:rPr>
          <w:rFonts w:ascii="Arial" w:hAnsi="Arial" w:cs="Arial"/>
          <w:b w:val="0"/>
          <w:bCs w:val="0"/>
          <w:color w:val="212121"/>
          <w:sz w:val="18"/>
          <w:szCs w:val="18"/>
        </w:rPr>
      </w:pPr>
      <w:r w:rsidRPr="002800C1">
        <w:rPr>
          <w:rStyle w:val="FootnoteReference"/>
          <w:rFonts w:ascii="Arial" w:hAnsi="Arial" w:cs="Arial"/>
          <w:b w:val="0"/>
          <w:bCs w:val="0"/>
          <w:sz w:val="18"/>
          <w:szCs w:val="18"/>
        </w:rPr>
        <w:footnoteRef/>
      </w:r>
      <w:r w:rsidRPr="002800C1">
        <w:rPr>
          <w:rFonts w:ascii="Arial" w:hAnsi="Arial" w:cs="Arial"/>
          <w:b w:val="0"/>
          <w:bCs w:val="0"/>
          <w:sz w:val="18"/>
          <w:szCs w:val="18"/>
        </w:rPr>
        <w:t xml:space="preserve"> </w:t>
      </w:r>
      <w:r w:rsidR="00C53BFC" w:rsidRPr="002800C1">
        <w:rPr>
          <w:rFonts w:ascii="Arial" w:hAnsi="Arial" w:cs="Arial"/>
          <w:b w:val="0"/>
          <w:bCs w:val="0"/>
          <w:sz w:val="18"/>
          <w:szCs w:val="18"/>
        </w:rPr>
        <w:t>Lasser, et al.,</w:t>
      </w:r>
      <w:r w:rsidR="00C53BFC" w:rsidRPr="002800C1">
        <w:rPr>
          <w:rFonts w:ascii="Arial" w:hAnsi="Arial" w:cs="Arial"/>
          <w:b w:val="0"/>
          <w:bCs w:val="0"/>
          <w:i/>
          <w:iCs/>
          <w:sz w:val="18"/>
          <w:szCs w:val="18"/>
        </w:rPr>
        <w:t xml:space="preserve"> </w:t>
      </w:r>
      <w:hyperlink r:id="rId37" w:history="1">
        <w:r w:rsidR="00C53BFC" w:rsidRPr="00124D50">
          <w:rPr>
            <w:rStyle w:val="Hyperlink"/>
            <w:rFonts w:ascii="Arial" w:hAnsi="Arial" w:cs="Arial"/>
            <w:b w:val="0"/>
            <w:bCs w:val="0"/>
            <w:i/>
            <w:iCs/>
            <w:color w:val="000000" w:themeColor="text1"/>
            <w:sz w:val="18"/>
            <w:szCs w:val="18"/>
            <w:u w:val="none"/>
          </w:rPr>
          <w:t>Massachusetts Health Reform’s Effect on Hospitals’ Racial Mix of Patients and on Patients’ Use of Safety-net Hospitals</w:t>
        </w:r>
      </w:hyperlink>
      <w:r w:rsidR="00C53BFC" w:rsidRPr="002800C1">
        <w:rPr>
          <w:rFonts w:ascii="Arial" w:hAnsi="Arial" w:cs="Arial"/>
          <w:b w:val="0"/>
          <w:bCs w:val="0"/>
          <w:i/>
          <w:iCs/>
          <w:color w:val="333333"/>
          <w:sz w:val="18"/>
          <w:szCs w:val="18"/>
        </w:rPr>
        <w:t>,</w:t>
      </w:r>
      <w:r w:rsidR="00C53BFC" w:rsidRPr="002800C1">
        <w:rPr>
          <w:rStyle w:val="Emphasis"/>
          <w:rFonts w:ascii="Arial" w:hAnsi="Arial" w:cs="Arial"/>
          <w:b w:val="0"/>
          <w:bCs w:val="0"/>
          <w:sz w:val="18"/>
          <w:szCs w:val="18"/>
        </w:rPr>
        <w:t xml:space="preserve"> 54 </w:t>
      </w:r>
      <w:r w:rsidR="00C53BFC" w:rsidRPr="002800C1">
        <w:rPr>
          <w:rStyle w:val="Emphasis"/>
          <w:rFonts w:ascii="Arial" w:hAnsi="Arial" w:cs="Arial"/>
          <w:b w:val="0"/>
          <w:bCs w:val="0"/>
          <w:i w:val="0"/>
          <w:iCs w:val="0"/>
          <w:smallCaps/>
          <w:color w:val="333333"/>
          <w:sz w:val="18"/>
          <w:szCs w:val="18"/>
        </w:rPr>
        <w:t>Medical Care</w:t>
      </w:r>
      <w:r w:rsidR="00C53BFC" w:rsidRPr="002800C1">
        <w:rPr>
          <w:rFonts w:ascii="Arial" w:hAnsi="Arial" w:cs="Arial"/>
          <w:b w:val="0"/>
          <w:bCs w:val="0"/>
          <w:color w:val="333333"/>
          <w:sz w:val="18"/>
          <w:szCs w:val="18"/>
        </w:rPr>
        <w:t xml:space="preserve"> 827 (2016), </w:t>
      </w:r>
      <w:r w:rsidR="00C53BFC" w:rsidRPr="002800C1">
        <w:rPr>
          <w:rFonts w:ascii="Arial" w:hAnsi="Arial" w:cs="Arial"/>
          <w:b w:val="0"/>
          <w:bCs w:val="0"/>
          <w:i/>
          <w:iCs/>
          <w:color w:val="333333"/>
          <w:sz w:val="18"/>
          <w:szCs w:val="18"/>
        </w:rPr>
        <w:t>available at</w:t>
      </w:r>
      <w:r w:rsidR="00C53BFC" w:rsidRPr="002800C1">
        <w:rPr>
          <w:rFonts w:ascii="Arial" w:hAnsi="Arial" w:cs="Arial"/>
          <w:b w:val="0"/>
          <w:bCs w:val="0"/>
          <w:color w:val="333333"/>
          <w:sz w:val="18"/>
          <w:szCs w:val="18"/>
        </w:rPr>
        <w:t xml:space="preserve"> </w:t>
      </w:r>
      <w:hyperlink r:id="rId38" w:history="1">
        <w:r w:rsidR="00796E44" w:rsidRPr="00796E44">
          <w:rPr>
            <w:rStyle w:val="Hyperlink"/>
            <w:rFonts w:ascii="Arial" w:hAnsi="Arial" w:cs="Arial"/>
            <w:b w:val="0"/>
            <w:bCs w:val="0"/>
            <w:color w:val="000000" w:themeColor="text1"/>
            <w:sz w:val="18"/>
            <w:szCs w:val="18"/>
          </w:rPr>
          <w:t>https://www.ncbi.nlm.nih.gov/pmc/articles/PMC4989238</w:t>
        </w:r>
      </w:hyperlink>
      <w:r w:rsidR="00796E44">
        <w:rPr>
          <w:rFonts w:ascii="Arial" w:hAnsi="Arial" w:cs="Arial"/>
          <w:b w:val="0"/>
          <w:bCs w:val="0"/>
          <w:color w:val="333333"/>
          <w:sz w:val="18"/>
          <w:szCs w:val="18"/>
        </w:rPr>
        <w:t xml:space="preserve"> </w:t>
      </w:r>
      <w:r w:rsidR="00C53BFC" w:rsidRPr="002800C1">
        <w:rPr>
          <w:rFonts w:ascii="Arial" w:hAnsi="Arial" w:cs="Arial"/>
          <w:b w:val="0"/>
          <w:bCs w:val="0"/>
          <w:color w:val="333333"/>
          <w:sz w:val="18"/>
          <w:szCs w:val="18"/>
        </w:rPr>
        <w:t>/;</w:t>
      </w:r>
      <w:r w:rsidR="00C53BFC" w:rsidRPr="002800C1">
        <w:rPr>
          <w:rFonts w:ascii="Arial" w:hAnsi="Arial" w:cs="Arial"/>
          <w:color w:val="333333"/>
          <w:sz w:val="18"/>
          <w:szCs w:val="18"/>
        </w:rPr>
        <w:t xml:space="preserve"> </w:t>
      </w:r>
      <w:r w:rsidR="00DE58C3" w:rsidRPr="002800C1">
        <w:rPr>
          <w:rFonts w:ascii="Arial" w:hAnsi="Arial" w:cs="Arial"/>
          <w:b w:val="0"/>
          <w:bCs w:val="0"/>
          <w:sz w:val="18"/>
          <w:szCs w:val="18"/>
        </w:rPr>
        <w:t xml:space="preserve">Ku, et al., </w:t>
      </w:r>
      <w:hyperlink r:id="rId39" w:history="1">
        <w:r w:rsidR="00DE58C3" w:rsidRPr="00015827">
          <w:rPr>
            <w:rStyle w:val="Hyperlink"/>
            <w:rFonts w:ascii="Arial" w:hAnsi="Arial" w:cs="Arial"/>
            <w:b w:val="0"/>
            <w:bCs w:val="0"/>
            <w:i/>
            <w:iCs/>
            <w:color w:val="000000" w:themeColor="text1"/>
            <w:sz w:val="18"/>
            <w:szCs w:val="18"/>
            <w:u w:val="none"/>
          </w:rPr>
          <w:t>Safety-Net Providers After Health Care Reform: Lessons From Massachusetts</w:t>
        </w:r>
      </w:hyperlink>
      <w:r w:rsidR="00DE58C3" w:rsidRPr="002800C1">
        <w:rPr>
          <w:rStyle w:val="Subtitle1"/>
          <w:rFonts w:ascii="Arial" w:hAnsi="Arial" w:cs="Arial"/>
          <w:b w:val="0"/>
          <w:bCs w:val="0"/>
          <w:color w:val="333333"/>
          <w:sz w:val="18"/>
          <w:szCs w:val="18"/>
        </w:rPr>
        <w:t xml:space="preserve">, 8 </w:t>
      </w:r>
      <w:r w:rsidR="00DE58C3" w:rsidRPr="002800C1">
        <w:rPr>
          <w:rStyle w:val="Subtitle1"/>
          <w:rFonts w:ascii="Arial" w:hAnsi="Arial" w:cs="Arial"/>
          <w:b w:val="0"/>
          <w:bCs w:val="0"/>
          <w:smallCaps/>
          <w:color w:val="333333"/>
          <w:sz w:val="18"/>
          <w:szCs w:val="18"/>
        </w:rPr>
        <w:t>Arch Intern. Med.</w:t>
      </w:r>
      <w:r w:rsidR="00DE58C3" w:rsidRPr="002800C1">
        <w:rPr>
          <w:rStyle w:val="Subtitle1"/>
          <w:rFonts w:ascii="Arial" w:hAnsi="Arial" w:cs="Arial"/>
          <w:b w:val="0"/>
          <w:bCs w:val="0"/>
          <w:color w:val="333333"/>
          <w:sz w:val="18"/>
          <w:szCs w:val="18"/>
        </w:rPr>
        <w:t xml:space="preserve"> 1379 (2011), </w:t>
      </w:r>
      <w:r w:rsidR="00DE58C3" w:rsidRPr="002800C1">
        <w:rPr>
          <w:rStyle w:val="Subtitle1"/>
          <w:rFonts w:ascii="Arial" w:hAnsi="Arial" w:cs="Arial"/>
          <w:b w:val="0"/>
          <w:bCs w:val="0"/>
          <w:i/>
          <w:iCs/>
          <w:color w:val="333333"/>
          <w:sz w:val="18"/>
          <w:szCs w:val="18"/>
        </w:rPr>
        <w:t>available at</w:t>
      </w:r>
      <w:r w:rsidR="00DE58C3" w:rsidRPr="002800C1">
        <w:rPr>
          <w:rStyle w:val="Subtitle1"/>
          <w:rFonts w:ascii="Arial" w:hAnsi="Arial" w:cs="Arial"/>
          <w:b w:val="0"/>
          <w:bCs w:val="0"/>
          <w:color w:val="333333"/>
          <w:sz w:val="18"/>
          <w:szCs w:val="18"/>
        </w:rPr>
        <w:t xml:space="preserve"> https://jamanetwork.com/journals/jamainternalmedicine/fullarticle/1105879; </w:t>
      </w:r>
      <w:r w:rsidR="00DE58C3" w:rsidRPr="002800C1">
        <w:rPr>
          <w:rFonts w:ascii="Arial" w:hAnsi="Arial" w:cs="Arial"/>
          <w:b w:val="0"/>
          <w:bCs w:val="0"/>
          <w:color w:val="212121"/>
          <w:sz w:val="18"/>
          <w:szCs w:val="18"/>
        </w:rPr>
        <w:t xml:space="preserve">Mohan, et al., </w:t>
      </w:r>
      <w:hyperlink r:id="rId40" w:history="1">
        <w:r w:rsidR="00DE58C3" w:rsidRPr="00015827">
          <w:rPr>
            <w:rStyle w:val="Hyperlink"/>
            <w:rFonts w:ascii="Arial" w:hAnsi="Arial" w:cs="Arial"/>
            <w:b w:val="0"/>
            <w:bCs w:val="0"/>
            <w:i/>
            <w:iCs/>
            <w:color w:val="000000" w:themeColor="text1"/>
            <w:sz w:val="18"/>
            <w:szCs w:val="18"/>
            <w:u w:val="none"/>
          </w:rPr>
          <w:t>The health of safety net hospitals following Massachusetts health care reform: changes in volume, revenue, costs, and operating margins from 2006 to 2009</w:t>
        </w:r>
      </w:hyperlink>
      <w:r w:rsidR="00DE58C3" w:rsidRPr="00015827">
        <w:rPr>
          <w:rFonts w:ascii="Arial" w:hAnsi="Arial" w:cs="Arial"/>
          <w:b w:val="0"/>
          <w:bCs w:val="0"/>
          <w:color w:val="000000" w:themeColor="text1"/>
          <w:sz w:val="18"/>
          <w:szCs w:val="18"/>
        </w:rPr>
        <w:t xml:space="preserve">, </w:t>
      </w:r>
      <w:r w:rsidR="00DE58C3" w:rsidRPr="002800C1">
        <w:rPr>
          <w:rFonts w:ascii="Arial" w:hAnsi="Arial" w:cs="Arial"/>
          <w:b w:val="0"/>
          <w:bCs w:val="0"/>
          <w:color w:val="212121"/>
          <w:sz w:val="18"/>
          <w:szCs w:val="18"/>
        </w:rPr>
        <w:t xml:space="preserve">43 </w:t>
      </w:r>
      <w:r w:rsidR="00DE58C3" w:rsidRPr="002800C1">
        <w:rPr>
          <w:rFonts w:ascii="Arial" w:hAnsi="Arial" w:cs="Arial"/>
          <w:b w:val="0"/>
          <w:bCs w:val="0"/>
          <w:smallCaps/>
          <w:color w:val="212121"/>
          <w:sz w:val="18"/>
          <w:szCs w:val="18"/>
        </w:rPr>
        <w:t>Int. J. Health Serv.</w:t>
      </w:r>
      <w:r w:rsidR="00DE58C3" w:rsidRPr="002800C1">
        <w:rPr>
          <w:rFonts w:ascii="Arial" w:hAnsi="Arial" w:cs="Arial"/>
          <w:b w:val="0"/>
          <w:bCs w:val="0"/>
          <w:color w:val="212121"/>
          <w:sz w:val="18"/>
          <w:szCs w:val="18"/>
        </w:rPr>
        <w:t xml:space="preserve"> 321 (2013), </w:t>
      </w:r>
      <w:r w:rsidR="00DE58C3" w:rsidRPr="002800C1">
        <w:rPr>
          <w:rFonts w:ascii="Arial" w:hAnsi="Arial" w:cs="Arial"/>
          <w:b w:val="0"/>
          <w:bCs w:val="0"/>
          <w:i/>
          <w:iCs/>
          <w:color w:val="212121"/>
          <w:sz w:val="18"/>
          <w:szCs w:val="18"/>
        </w:rPr>
        <w:t>available at</w:t>
      </w:r>
      <w:r w:rsidR="00DE58C3" w:rsidRPr="002800C1">
        <w:rPr>
          <w:rFonts w:ascii="Arial" w:hAnsi="Arial" w:cs="Arial"/>
          <w:b w:val="0"/>
          <w:bCs w:val="0"/>
          <w:color w:val="212121"/>
          <w:sz w:val="18"/>
          <w:szCs w:val="18"/>
        </w:rPr>
        <w:t xml:space="preserve"> </w:t>
      </w:r>
      <w:hyperlink r:id="rId41" w:history="1">
        <w:r w:rsidR="00015827" w:rsidRPr="00015827">
          <w:rPr>
            <w:rStyle w:val="Hyperlink"/>
            <w:rFonts w:ascii="Arial" w:hAnsi="Arial" w:cs="Arial"/>
            <w:b w:val="0"/>
            <w:bCs w:val="0"/>
            <w:color w:val="000000" w:themeColor="text1"/>
            <w:sz w:val="18"/>
            <w:szCs w:val="18"/>
          </w:rPr>
          <w:t>https://pubmed.ncbi.nlm.nih.gov/23821908/</w:t>
        </w:r>
      </w:hyperlink>
      <w:r w:rsidR="00015827">
        <w:rPr>
          <w:rFonts w:ascii="Arial" w:hAnsi="Arial" w:cs="Arial"/>
          <w:b w:val="0"/>
          <w:bCs w:val="0"/>
          <w:color w:val="212121"/>
          <w:sz w:val="18"/>
          <w:szCs w:val="18"/>
        </w:rPr>
        <w:t xml:space="preserve"> </w:t>
      </w:r>
      <w:r w:rsidR="00DE58C3" w:rsidRPr="002800C1">
        <w:rPr>
          <w:rFonts w:ascii="Arial" w:hAnsi="Arial" w:cs="Arial"/>
          <w:b w:val="0"/>
          <w:bCs w:val="0"/>
          <w:color w:val="212121"/>
          <w:sz w:val="18"/>
          <w:szCs w:val="18"/>
        </w:rPr>
        <w:t>.</w:t>
      </w:r>
    </w:p>
  </w:footnote>
  <w:footnote w:id="63">
    <w:p w14:paraId="5FE4AC9D" w14:textId="516A09CE" w:rsidR="00820AF4" w:rsidRPr="002800C1" w:rsidRDefault="00820AF4">
      <w:pPr>
        <w:pStyle w:val="FootnoteText"/>
        <w:rPr>
          <w:rFonts w:ascii="Arial" w:hAnsi="Arial" w:cs="Arial"/>
          <w:sz w:val="18"/>
          <w:szCs w:val="18"/>
        </w:rPr>
      </w:pPr>
      <w:r w:rsidRPr="002800C1">
        <w:rPr>
          <w:rStyle w:val="FootnoteReference"/>
          <w:rFonts w:ascii="Arial" w:hAnsi="Arial" w:cs="Arial"/>
          <w:sz w:val="18"/>
          <w:szCs w:val="18"/>
        </w:rPr>
        <w:footnoteRef/>
      </w:r>
      <w:r w:rsidR="00DE58C3" w:rsidRPr="002800C1">
        <w:rPr>
          <w:rFonts w:ascii="Arial" w:hAnsi="Arial" w:cs="Arial"/>
          <w:sz w:val="18"/>
          <w:szCs w:val="18"/>
        </w:rPr>
        <w:t xml:space="preserve"> </w:t>
      </w:r>
      <w:r w:rsidR="00C53BFC" w:rsidRPr="002800C1">
        <w:rPr>
          <w:rFonts w:ascii="Arial" w:hAnsi="Arial" w:cs="Arial"/>
          <w:sz w:val="18"/>
          <w:szCs w:val="18"/>
        </w:rPr>
        <w:t xml:space="preserve">Lasser, et al., </w:t>
      </w:r>
      <w:r w:rsidR="00C53BFC" w:rsidRPr="002800C1">
        <w:rPr>
          <w:rFonts w:ascii="Arial" w:hAnsi="Arial" w:cs="Arial"/>
          <w:i/>
          <w:iCs/>
          <w:sz w:val="18"/>
          <w:szCs w:val="18"/>
        </w:rPr>
        <w:t>supra</w:t>
      </w:r>
      <w:r w:rsidR="00C53BFC"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_Ref109198267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62</w:t>
      </w:r>
      <w:r w:rsidR="002800C1">
        <w:rPr>
          <w:rFonts w:ascii="Arial" w:hAnsi="Arial" w:cs="Arial"/>
          <w:sz w:val="18"/>
          <w:szCs w:val="18"/>
        </w:rPr>
        <w:fldChar w:fldCharType="end"/>
      </w:r>
      <w:r w:rsidR="00C53BFC" w:rsidRPr="002800C1">
        <w:rPr>
          <w:rFonts w:ascii="Arial" w:hAnsi="Arial" w:cs="Arial"/>
          <w:sz w:val="18"/>
          <w:szCs w:val="18"/>
        </w:rPr>
        <w:t xml:space="preserve">; </w:t>
      </w:r>
      <w:r w:rsidR="00DE58C3" w:rsidRPr="002800C1">
        <w:rPr>
          <w:rFonts w:ascii="Arial" w:hAnsi="Arial" w:cs="Arial"/>
          <w:sz w:val="18"/>
          <w:szCs w:val="18"/>
        </w:rPr>
        <w:t xml:space="preserve">Ku, et al., </w:t>
      </w:r>
      <w:r w:rsidR="00DE58C3" w:rsidRPr="002800C1">
        <w:rPr>
          <w:rFonts w:ascii="Arial" w:hAnsi="Arial" w:cs="Arial"/>
          <w:i/>
          <w:iCs/>
          <w:sz w:val="18"/>
          <w:szCs w:val="18"/>
        </w:rPr>
        <w:t>supra</w:t>
      </w:r>
      <w:r w:rsidR="00DE58C3"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_Ref109198267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62</w:t>
      </w:r>
      <w:r w:rsidR="002800C1">
        <w:rPr>
          <w:rFonts w:ascii="Arial" w:hAnsi="Arial" w:cs="Arial"/>
          <w:sz w:val="18"/>
          <w:szCs w:val="18"/>
        </w:rPr>
        <w:fldChar w:fldCharType="end"/>
      </w:r>
      <w:r w:rsidR="00DE58C3" w:rsidRPr="002800C1">
        <w:rPr>
          <w:rFonts w:ascii="Arial" w:hAnsi="Arial" w:cs="Arial"/>
          <w:sz w:val="18"/>
          <w:szCs w:val="18"/>
        </w:rPr>
        <w:t xml:space="preserve">; Mohan, et al., </w:t>
      </w:r>
      <w:r w:rsidR="00DE58C3" w:rsidRPr="002800C1">
        <w:rPr>
          <w:rFonts w:ascii="Arial" w:hAnsi="Arial" w:cs="Arial"/>
          <w:i/>
          <w:iCs/>
          <w:sz w:val="18"/>
          <w:szCs w:val="18"/>
        </w:rPr>
        <w:t>supra</w:t>
      </w:r>
      <w:r w:rsidR="00DE58C3"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_Ref109198267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62</w:t>
      </w:r>
      <w:r w:rsidR="002800C1">
        <w:rPr>
          <w:rFonts w:ascii="Arial" w:hAnsi="Arial" w:cs="Arial"/>
          <w:sz w:val="18"/>
          <w:szCs w:val="18"/>
        </w:rPr>
        <w:fldChar w:fldCharType="end"/>
      </w:r>
      <w:r w:rsidR="00DE58C3" w:rsidRPr="002800C1">
        <w:rPr>
          <w:rFonts w:ascii="Arial" w:hAnsi="Arial" w:cs="Arial"/>
          <w:sz w:val="18"/>
          <w:szCs w:val="18"/>
        </w:rPr>
        <w:t xml:space="preserve">. </w:t>
      </w:r>
    </w:p>
  </w:footnote>
  <w:footnote w:id="64">
    <w:p w14:paraId="1132C58C" w14:textId="5D30B5B2" w:rsidR="00820AF4" w:rsidRPr="002800C1" w:rsidRDefault="00820AF4" w:rsidP="00AB7379">
      <w:pPr>
        <w:rPr>
          <w:rFonts w:ascii="Arial" w:hAnsi="Arial" w:cs="Arial"/>
          <w:smallCaps/>
          <w:sz w:val="18"/>
          <w:szCs w:val="18"/>
        </w:rPr>
      </w:pPr>
      <w:r w:rsidRPr="002800C1">
        <w:rPr>
          <w:rStyle w:val="FootnoteReference"/>
          <w:rFonts w:ascii="Arial" w:hAnsi="Arial" w:cs="Arial"/>
          <w:sz w:val="18"/>
          <w:szCs w:val="18"/>
        </w:rPr>
        <w:footnoteRef/>
      </w:r>
      <w:r w:rsidR="00DE58C3" w:rsidRPr="002800C1">
        <w:rPr>
          <w:rFonts w:ascii="Arial" w:hAnsi="Arial" w:cs="Arial"/>
          <w:sz w:val="18"/>
          <w:szCs w:val="18"/>
        </w:rPr>
        <w:t xml:space="preserve"> </w:t>
      </w:r>
      <w:r w:rsidR="00C53BFC" w:rsidRPr="002800C1">
        <w:rPr>
          <w:rFonts w:ascii="Arial" w:hAnsi="Arial" w:cs="Arial"/>
          <w:sz w:val="18"/>
          <w:szCs w:val="18"/>
        </w:rPr>
        <w:t xml:space="preserve">Lasser, et al., </w:t>
      </w:r>
      <w:r w:rsidR="00C53BFC" w:rsidRPr="002800C1">
        <w:rPr>
          <w:rFonts w:ascii="Arial" w:hAnsi="Arial" w:cs="Arial"/>
          <w:i/>
          <w:iCs/>
          <w:sz w:val="18"/>
          <w:szCs w:val="18"/>
        </w:rPr>
        <w:t>supra</w:t>
      </w:r>
      <w:r w:rsidR="00C53BFC" w:rsidRPr="002800C1">
        <w:rPr>
          <w:rFonts w:ascii="Arial" w:hAnsi="Arial" w:cs="Arial"/>
          <w:sz w:val="18"/>
          <w:szCs w:val="18"/>
        </w:rPr>
        <w:t xml:space="preserve"> note</w:t>
      </w:r>
      <w:r w:rsidR="00B61A7C">
        <w:rPr>
          <w:rFonts w:ascii="Arial" w:hAnsi="Arial" w:cs="Arial"/>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00C53BFC" w:rsidRPr="002800C1">
        <w:rPr>
          <w:rFonts w:ascii="Arial" w:hAnsi="Arial" w:cs="Arial"/>
          <w:sz w:val="18"/>
          <w:szCs w:val="18"/>
        </w:rPr>
        <w:t xml:space="preserve">; </w:t>
      </w:r>
      <w:r w:rsidR="00DE58C3" w:rsidRPr="002800C1">
        <w:rPr>
          <w:rFonts w:ascii="Arial" w:hAnsi="Arial" w:cs="Arial"/>
          <w:sz w:val="18"/>
          <w:szCs w:val="18"/>
        </w:rPr>
        <w:t xml:space="preserve">Ku, </w:t>
      </w:r>
      <w:r w:rsidR="00DE58C3" w:rsidRPr="00015827">
        <w:rPr>
          <w:rFonts w:ascii="Arial" w:hAnsi="Arial" w:cs="Arial"/>
          <w:color w:val="000000" w:themeColor="text1"/>
          <w:sz w:val="18"/>
          <w:szCs w:val="18"/>
        </w:rPr>
        <w:t xml:space="preserve">et al., </w:t>
      </w:r>
      <w:r w:rsidR="00DE58C3" w:rsidRPr="00015827">
        <w:rPr>
          <w:rFonts w:ascii="Arial" w:hAnsi="Arial" w:cs="Arial"/>
          <w:i/>
          <w:iCs/>
          <w:color w:val="000000" w:themeColor="text1"/>
          <w:sz w:val="18"/>
          <w:szCs w:val="18"/>
        </w:rPr>
        <w:t>supra</w:t>
      </w:r>
      <w:r w:rsidR="00DE58C3" w:rsidRPr="00015827">
        <w:rPr>
          <w:rFonts w:ascii="Arial" w:hAnsi="Arial" w:cs="Arial"/>
          <w:color w:val="000000" w:themeColor="text1"/>
          <w:sz w:val="18"/>
          <w:szCs w:val="18"/>
        </w:rPr>
        <w:t xml:space="preserve"> note</w:t>
      </w:r>
      <w:r w:rsidR="00B61A7C" w:rsidRPr="00015827">
        <w:rPr>
          <w:rFonts w:ascii="Arial" w:hAnsi="Arial" w:cs="Arial"/>
          <w:color w:val="000000" w:themeColor="text1"/>
          <w:sz w:val="18"/>
          <w:szCs w:val="18"/>
        </w:rPr>
        <w:t xml:space="preserve"> </w:t>
      </w:r>
      <w:r w:rsidR="00B61A7C" w:rsidRPr="00015827">
        <w:rPr>
          <w:rFonts w:ascii="Arial" w:hAnsi="Arial" w:cs="Arial"/>
          <w:color w:val="000000" w:themeColor="text1"/>
          <w:sz w:val="18"/>
          <w:szCs w:val="18"/>
        </w:rPr>
        <w:fldChar w:fldCharType="begin"/>
      </w:r>
      <w:r w:rsidR="00B61A7C" w:rsidRPr="00015827">
        <w:rPr>
          <w:rFonts w:ascii="Arial" w:hAnsi="Arial" w:cs="Arial"/>
          <w:color w:val="000000" w:themeColor="text1"/>
          <w:sz w:val="18"/>
          <w:szCs w:val="18"/>
        </w:rPr>
        <w:instrText xml:space="preserve"> NOTEREF _Ref109198267 \h </w:instrText>
      </w:r>
      <w:r w:rsidR="00B61A7C" w:rsidRPr="00015827">
        <w:rPr>
          <w:rFonts w:ascii="Arial" w:hAnsi="Arial" w:cs="Arial"/>
          <w:color w:val="000000" w:themeColor="text1"/>
          <w:sz w:val="18"/>
          <w:szCs w:val="18"/>
        </w:rPr>
      </w:r>
      <w:r w:rsidR="00B61A7C" w:rsidRPr="00015827">
        <w:rPr>
          <w:rFonts w:ascii="Arial" w:hAnsi="Arial" w:cs="Arial"/>
          <w:color w:val="000000" w:themeColor="text1"/>
          <w:sz w:val="18"/>
          <w:szCs w:val="18"/>
        </w:rPr>
        <w:fldChar w:fldCharType="separate"/>
      </w:r>
      <w:r w:rsidR="00FB167B" w:rsidRPr="00015827">
        <w:rPr>
          <w:rFonts w:ascii="Arial" w:hAnsi="Arial" w:cs="Arial"/>
          <w:color w:val="000000" w:themeColor="text1"/>
          <w:sz w:val="18"/>
          <w:szCs w:val="18"/>
        </w:rPr>
        <w:t>62</w:t>
      </w:r>
      <w:r w:rsidR="00B61A7C" w:rsidRPr="00015827">
        <w:rPr>
          <w:rFonts w:ascii="Arial" w:hAnsi="Arial" w:cs="Arial"/>
          <w:color w:val="000000" w:themeColor="text1"/>
          <w:sz w:val="18"/>
          <w:szCs w:val="18"/>
        </w:rPr>
        <w:fldChar w:fldCharType="end"/>
      </w:r>
      <w:r w:rsidR="00DE58C3" w:rsidRPr="00015827">
        <w:rPr>
          <w:rFonts w:ascii="Arial" w:hAnsi="Arial" w:cs="Arial"/>
          <w:color w:val="000000" w:themeColor="text1"/>
          <w:sz w:val="18"/>
          <w:szCs w:val="18"/>
        </w:rPr>
        <w:t xml:space="preserve">; Mohan, et al., </w:t>
      </w:r>
      <w:r w:rsidR="00DE58C3" w:rsidRPr="00015827">
        <w:rPr>
          <w:rFonts w:ascii="Arial" w:hAnsi="Arial" w:cs="Arial"/>
          <w:i/>
          <w:iCs/>
          <w:color w:val="000000" w:themeColor="text1"/>
          <w:sz w:val="18"/>
          <w:szCs w:val="18"/>
        </w:rPr>
        <w:t>supra</w:t>
      </w:r>
      <w:r w:rsidR="00DE58C3" w:rsidRPr="00015827">
        <w:rPr>
          <w:rFonts w:ascii="Arial" w:hAnsi="Arial" w:cs="Arial"/>
          <w:color w:val="000000" w:themeColor="text1"/>
          <w:sz w:val="18"/>
          <w:szCs w:val="18"/>
        </w:rPr>
        <w:t xml:space="preserve"> note</w:t>
      </w:r>
      <w:r w:rsidR="00B61A7C" w:rsidRPr="00015827">
        <w:rPr>
          <w:rFonts w:ascii="Arial" w:hAnsi="Arial" w:cs="Arial"/>
          <w:color w:val="000000" w:themeColor="text1"/>
          <w:sz w:val="18"/>
          <w:szCs w:val="18"/>
        </w:rPr>
        <w:t xml:space="preserve"> </w:t>
      </w:r>
      <w:r w:rsidR="00B61A7C" w:rsidRPr="00015827">
        <w:rPr>
          <w:rFonts w:ascii="Arial" w:hAnsi="Arial" w:cs="Arial"/>
          <w:color w:val="000000" w:themeColor="text1"/>
          <w:sz w:val="18"/>
          <w:szCs w:val="18"/>
        </w:rPr>
        <w:fldChar w:fldCharType="begin"/>
      </w:r>
      <w:r w:rsidR="00B61A7C" w:rsidRPr="00015827">
        <w:rPr>
          <w:rFonts w:ascii="Arial" w:hAnsi="Arial" w:cs="Arial"/>
          <w:color w:val="000000" w:themeColor="text1"/>
          <w:sz w:val="18"/>
          <w:szCs w:val="18"/>
        </w:rPr>
        <w:instrText xml:space="preserve"> NOTEREF _Ref109198267 \h </w:instrText>
      </w:r>
      <w:r w:rsidR="00B61A7C" w:rsidRPr="00015827">
        <w:rPr>
          <w:rFonts w:ascii="Arial" w:hAnsi="Arial" w:cs="Arial"/>
          <w:color w:val="000000" w:themeColor="text1"/>
          <w:sz w:val="18"/>
          <w:szCs w:val="18"/>
        </w:rPr>
      </w:r>
      <w:r w:rsidR="00B61A7C" w:rsidRPr="00015827">
        <w:rPr>
          <w:rFonts w:ascii="Arial" w:hAnsi="Arial" w:cs="Arial"/>
          <w:color w:val="000000" w:themeColor="text1"/>
          <w:sz w:val="18"/>
          <w:szCs w:val="18"/>
        </w:rPr>
        <w:fldChar w:fldCharType="separate"/>
      </w:r>
      <w:r w:rsidR="00FB167B" w:rsidRPr="00015827">
        <w:rPr>
          <w:rFonts w:ascii="Arial" w:hAnsi="Arial" w:cs="Arial"/>
          <w:color w:val="000000" w:themeColor="text1"/>
          <w:sz w:val="18"/>
          <w:szCs w:val="18"/>
        </w:rPr>
        <w:t>62</w:t>
      </w:r>
      <w:r w:rsidR="00B61A7C" w:rsidRPr="00015827">
        <w:rPr>
          <w:rFonts w:ascii="Arial" w:hAnsi="Arial" w:cs="Arial"/>
          <w:color w:val="000000" w:themeColor="text1"/>
          <w:sz w:val="18"/>
          <w:szCs w:val="18"/>
        </w:rPr>
        <w:fldChar w:fldCharType="end"/>
      </w:r>
      <w:r w:rsidR="00B31830" w:rsidRPr="00015827">
        <w:rPr>
          <w:rFonts w:ascii="Arial" w:hAnsi="Arial" w:cs="Arial"/>
          <w:color w:val="000000" w:themeColor="text1"/>
          <w:sz w:val="18"/>
          <w:szCs w:val="18"/>
        </w:rPr>
        <w:t xml:space="preserve">; </w:t>
      </w:r>
      <w:r w:rsidR="00AB7379" w:rsidRPr="00015827">
        <w:rPr>
          <w:rFonts w:ascii="Arial" w:hAnsi="Arial" w:cs="Arial"/>
          <w:color w:val="000000" w:themeColor="text1"/>
          <w:sz w:val="18"/>
          <w:szCs w:val="18"/>
        </w:rPr>
        <w:t xml:space="preserve">Kim, et al., </w:t>
      </w:r>
      <w:hyperlink r:id="rId42" w:history="1">
        <w:r w:rsidR="00AB7379" w:rsidRPr="00015827">
          <w:rPr>
            <w:rStyle w:val="Hyperlink"/>
            <w:rFonts w:ascii="Arial" w:hAnsi="Arial" w:cs="Arial"/>
            <w:i/>
            <w:iCs/>
            <w:color w:val="000000" w:themeColor="text1"/>
            <w:sz w:val="18"/>
            <w:szCs w:val="18"/>
            <w:u w:val="none"/>
          </w:rPr>
          <w:t>The Importance of Safety-Net Hospitals in Emergency General Surgery</w:t>
        </w:r>
      </w:hyperlink>
      <w:r w:rsidR="00AB7379" w:rsidRPr="00015827">
        <w:rPr>
          <w:rFonts w:ascii="Arial" w:hAnsi="Arial" w:cs="Arial"/>
          <w:color w:val="000000" w:themeColor="text1"/>
          <w:sz w:val="18"/>
          <w:szCs w:val="18"/>
        </w:rPr>
        <w:t xml:space="preserve">, </w:t>
      </w:r>
      <w:r w:rsidR="00AB7379" w:rsidRPr="00015827">
        <w:rPr>
          <w:rFonts w:ascii="Arial" w:hAnsi="Arial" w:cs="Arial"/>
          <w:smallCaps/>
          <w:color w:val="000000" w:themeColor="text1"/>
          <w:sz w:val="18"/>
          <w:szCs w:val="18"/>
        </w:rPr>
        <w:t xml:space="preserve">J. Gastrointestinal Surgery </w:t>
      </w:r>
      <w:r w:rsidR="00AB7379" w:rsidRPr="00015827">
        <w:rPr>
          <w:rFonts w:ascii="Arial" w:hAnsi="Arial" w:cs="Arial"/>
          <w:color w:val="000000" w:themeColor="text1"/>
          <w:sz w:val="18"/>
          <w:szCs w:val="18"/>
        </w:rPr>
        <w:t xml:space="preserve">(2018), </w:t>
      </w:r>
      <w:r w:rsidR="00AB7379" w:rsidRPr="00015827">
        <w:rPr>
          <w:rFonts w:ascii="Arial" w:hAnsi="Arial" w:cs="Arial"/>
          <w:i/>
          <w:iCs/>
          <w:color w:val="000000" w:themeColor="text1"/>
          <w:sz w:val="18"/>
          <w:szCs w:val="18"/>
        </w:rPr>
        <w:t>available at</w:t>
      </w:r>
      <w:r w:rsidR="00AB7379" w:rsidRPr="00015827">
        <w:rPr>
          <w:rFonts w:ascii="Arial" w:hAnsi="Arial" w:cs="Arial"/>
          <w:color w:val="000000" w:themeColor="text1"/>
          <w:sz w:val="18"/>
          <w:szCs w:val="18"/>
        </w:rPr>
        <w:t xml:space="preserve"> </w:t>
      </w:r>
      <w:hyperlink r:id="rId43" w:history="1">
        <w:r w:rsidR="00015827" w:rsidRPr="00015827">
          <w:rPr>
            <w:rStyle w:val="Hyperlink"/>
            <w:rFonts w:ascii="Arial" w:hAnsi="Arial" w:cs="Arial"/>
            <w:color w:val="000000" w:themeColor="text1"/>
            <w:sz w:val="18"/>
            <w:szCs w:val="18"/>
          </w:rPr>
          <w:t>https://www.researchgate.net/profile/Young-Kim-122/publication/326565167_The_Importance_of_Safety-Net_Hospitals_in_Emergency_General_Surgery/links/5b6300f30f7e9bc79a762ac1/The-Importance-of-Safety-Net-Hospitals-in-Emergency-General-Surgery.pdf</w:t>
        </w:r>
      </w:hyperlink>
      <w:r w:rsidR="00015827" w:rsidRPr="00015827">
        <w:rPr>
          <w:rFonts w:ascii="Arial" w:hAnsi="Arial" w:cs="Arial"/>
          <w:color w:val="000000" w:themeColor="text1"/>
          <w:sz w:val="18"/>
          <w:szCs w:val="18"/>
        </w:rPr>
        <w:t xml:space="preserve"> </w:t>
      </w:r>
      <w:r w:rsidR="00AB7379" w:rsidRPr="00015827">
        <w:rPr>
          <w:rFonts w:ascii="Arial" w:hAnsi="Arial" w:cs="Arial"/>
          <w:color w:val="000000" w:themeColor="text1"/>
          <w:sz w:val="18"/>
          <w:szCs w:val="18"/>
        </w:rPr>
        <w:t>.</w:t>
      </w:r>
    </w:p>
  </w:footnote>
  <w:footnote w:id="65">
    <w:p w14:paraId="7092A815" w14:textId="585167DF" w:rsidR="00243598" w:rsidRPr="002800C1" w:rsidRDefault="00243598">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744B3F" w:rsidRPr="002800C1">
        <w:rPr>
          <w:rFonts w:ascii="Arial" w:hAnsi="Arial" w:cs="Arial"/>
          <w:sz w:val="18"/>
          <w:szCs w:val="18"/>
        </w:rPr>
        <w:t xml:space="preserve">Boyle, et al., </w:t>
      </w:r>
      <w:r w:rsidR="00744B3F" w:rsidRPr="002800C1">
        <w:rPr>
          <w:rFonts w:ascii="Arial" w:hAnsi="Arial" w:cs="Arial"/>
          <w:i/>
          <w:iCs/>
          <w:sz w:val="18"/>
          <w:szCs w:val="18"/>
        </w:rPr>
        <w:t>supra</w:t>
      </w:r>
      <w:r w:rsidR="00744B3F" w:rsidRPr="002800C1">
        <w:rPr>
          <w:rFonts w:ascii="Arial" w:hAnsi="Arial" w:cs="Arial"/>
          <w:sz w:val="18"/>
          <w:szCs w:val="18"/>
        </w:rPr>
        <w:t xml:space="preserve"> note </w:t>
      </w:r>
      <w:r w:rsidR="00744B3F" w:rsidRPr="002800C1">
        <w:rPr>
          <w:rFonts w:ascii="Arial" w:hAnsi="Arial" w:cs="Arial"/>
          <w:sz w:val="18"/>
          <w:szCs w:val="18"/>
        </w:rPr>
        <w:fldChar w:fldCharType="begin"/>
      </w:r>
      <w:r w:rsidR="00744B3F" w:rsidRPr="002800C1">
        <w:rPr>
          <w:rFonts w:ascii="Arial" w:hAnsi="Arial" w:cs="Arial"/>
          <w:sz w:val="18"/>
          <w:szCs w:val="18"/>
        </w:rPr>
        <w:instrText xml:space="preserve"> NOTEREF _Ref109193648 \h </w:instrText>
      </w:r>
      <w:r w:rsidR="004E41C7" w:rsidRPr="002800C1">
        <w:rPr>
          <w:rFonts w:ascii="Arial" w:hAnsi="Arial" w:cs="Arial"/>
          <w:sz w:val="18"/>
          <w:szCs w:val="18"/>
        </w:rPr>
        <w:instrText xml:space="preserve"> \* MERGEFORMAT </w:instrText>
      </w:r>
      <w:r w:rsidR="00744B3F" w:rsidRPr="002800C1">
        <w:rPr>
          <w:rFonts w:ascii="Arial" w:hAnsi="Arial" w:cs="Arial"/>
          <w:sz w:val="18"/>
          <w:szCs w:val="18"/>
        </w:rPr>
      </w:r>
      <w:r w:rsidR="00744B3F" w:rsidRPr="002800C1">
        <w:rPr>
          <w:rFonts w:ascii="Arial" w:hAnsi="Arial" w:cs="Arial"/>
          <w:sz w:val="18"/>
          <w:szCs w:val="18"/>
        </w:rPr>
        <w:fldChar w:fldCharType="separate"/>
      </w:r>
      <w:r w:rsidR="00FB167B">
        <w:rPr>
          <w:rFonts w:ascii="Arial" w:hAnsi="Arial" w:cs="Arial"/>
          <w:sz w:val="18"/>
          <w:szCs w:val="18"/>
        </w:rPr>
        <w:t>42</w:t>
      </w:r>
      <w:r w:rsidR="00744B3F" w:rsidRPr="002800C1">
        <w:rPr>
          <w:rFonts w:ascii="Arial" w:hAnsi="Arial" w:cs="Arial"/>
          <w:sz w:val="18"/>
          <w:szCs w:val="18"/>
        </w:rPr>
        <w:fldChar w:fldCharType="end"/>
      </w:r>
      <w:r w:rsidR="004E41C7" w:rsidRPr="002800C1">
        <w:rPr>
          <w:rFonts w:ascii="Arial" w:hAnsi="Arial" w:cs="Arial"/>
          <w:sz w:val="18"/>
          <w:szCs w:val="18"/>
        </w:rPr>
        <w:t>.</w:t>
      </w:r>
    </w:p>
  </w:footnote>
  <w:footnote w:id="66">
    <w:p w14:paraId="557FBB5A" w14:textId="24A13D81" w:rsidR="0030180C" w:rsidRPr="002800C1" w:rsidRDefault="0030180C">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FB3AEC" w:rsidRPr="002800C1">
        <w:rPr>
          <w:rFonts w:ascii="Arial" w:hAnsi="Arial" w:cs="Arial"/>
          <w:sz w:val="18"/>
          <w:szCs w:val="18"/>
        </w:rPr>
        <w:t xml:space="preserve">Boyle, et al., </w:t>
      </w:r>
      <w:r w:rsidR="00FB3AEC" w:rsidRPr="002800C1">
        <w:rPr>
          <w:rFonts w:ascii="Arial" w:hAnsi="Arial" w:cs="Arial"/>
          <w:i/>
          <w:iCs/>
          <w:sz w:val="18"/>
          <w:szCs w:val="18"/>
        </w:rPr>
        <w:t>supra</w:t>
      </w:r>
      <w:r w:rsidR="00FB3AEC" w:rsidRPr="002800C1">
        <w:rPr>
          <w:rFonts w:ascii="Arial" w:hAnsi="Arial" w:cs="Arial"/>
          <w:sz w:val="18"/>
          <w:szCs w:val="18"/>
        </w:rPr>
        <w:t xml:space="preserve"> note </w:t>
      </w:r>
      <w:r w:rsidR="00FB3AEC" w:rsidRPr="002800C1">
        <w:rPr>
          <w:rFonts w:ascii="Arial" w:hAnsi="Arial" w:cs="Arial"/>
          <w:sz w:val="18"/>
          <w:szCs w:val="18"/>
        </w:rPr>
        <w:fldChar w:fldCharType="begin"/>
      </w:r>
      <w:r w:rsidR="00FB3AEC" w:rsidRPr="002800C1">
        <w:rPr>
          <w:rFonts w:ascii="Arial" w:hAnsi="Arial" w:cs="Arial"/>
          <w:sz w:val="18"/>
          <w:szCs w:val="18"/>
        </w:rPr>
        <w:instrText xml:space="preserve"> NOTEREF _Ref109193648 \h </w:instrText>
      </w:r>
      <w:r w:rsidR="004E41C7" w:rsidRPr="002800C1">
        <w:rPr>
          <w:rFonts w:ascii="Arial" w:hAnsi="Arial" w:cs="Arial"/>
          <w:sz w:val="18"/>
          <w:szCs w:val="18"/>
        </w:rPr>
        <w:instrText xml:space="preserve"> \* MERGEFORMAT </w:instrText>
      </w:r>
      <w:r w:rsidR="00FB3AEC" w:rsidRPr="002800C1">
        <w:rPr>
          <w:rFonts w:ascii="Arial" w:hAnsi="Arial" w:cs="Arial"/>
          <w:sz w:val="18"/>
          <w:szCs w:val="18"/>
        </w:rPr>
      </w:r>
      <w:r w:rsidR="00FB3AEC" w:rsidRPr="002800C1">
        <w:rPr>
          <w:rFonts w:ascii="Arial" w:hAnsi="Arial" w:cs="Arial"/>
          <w:sz w:val="18"/>
          <w:szCs w:val="18"/>
        </w:rPr>
        <w:fldChar w:fldCharType="separate"/>
      </w:r>
      <w:r w:rsidR="00FB167B">
        <w:rPr>
          <w:rFonts w:ascii="Arial" w:hAnsi="Arial" w:cs="Arial"/>
          <w:sz w:val="18"/>
          <w:szCs w:val="18"/>
        </w:rPr>
        <w:t>42</w:t>
      </w:r>
      <w:r w:rsidR="00FB3AEC" w:rsidRPr="002800C1">
        <w:rPr>
          <w:rFonts w:ascii="Arial" w:hAnsi="Arial" w:cs="Arial"/>
          <w:sz w:val="18"/>
          <w:szCs w:val="18"/>
        </w:rPr>
        <w:fldChar w:fldCharType="end"/>
      </w:r>
      <w:r w:rsidR="004E41C7" w:rsidRPr="002800C1">
        <w:rPr>
          <w:rFonts w:ascii="Arial" w:hAnsi="Arial" w:cs="Arial"/>
          <w:sz w:val="18"/>
          <w:szCs w:val="18"/>
        </w:rPr>
        <w:t>.</w:t>
      </w:r>
    </w:p>
  </w:footnote>
  <w:footnote w:id="67">
    <w:p w14:paraId="01C08345" w14:textId="0AC777A8" w:rsidR="00422EDA" w:rsidRPr="002800C1" w:rsidRDefault="00422EDA">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FB3AEC" w:rsidRPr="002800C1">
        <w:rPr>
          <w:rFonts w:ascii="Arial" w:hAnsi="Arial" w:cs="Arial"/>
          <w:sz w:val="18"/>
          <w:szCs w:val="18"/>
        </w:rPr>
        <w:t xml:space="preserve">Boyle, et al., </w:t>
      </w:r>
      <w:r w:rsidR="00FB3AEC" w:rsidRPr="002800C1">
        <w:rPr>
          <w:rFonts w:ascii="Arial" w:hAnsi="Arial" w:cs="Arial"/>
          <w:i/>
          <w:iCs/>
          <w:sz w:val="18"/>
          <w:szCs w:val="18"/>
        </w:rPr>
        <w:t>supra</w:t>
      </w:r>
      <w:r w:rsidR="00FB3AEC" w:rsidRPr="002800C1">
        <w:rPr>
          <w:rFonts w:ascii="Arial" w:hAnsi="Arial" w:cs="Arial"/>
          <w:sz w:val="18"/>
          <w:szCs w:val="18"/>
        </w:rPr>
        <w:t xml:space="preserve"> note </w:t>
      </w:r>
      <w:r w:rsidR="00FB3AEC" w:rsidRPr="002800C1">
        <w:rPr>
          <w:rFonts w:ascii="Arial" w:hAnsi="Arial" w:cs="Arial"/>
          <w:sz w:val="18"/>
          <w:szCs w:val="18"/>
        </w:rPr>
        <w:fldChar w:fldCharType="begin"/>
      </w:r>
      <w:r w:rsidR="00FB3AEC" w:rsidRPr="002800C1">
        <w:rPr>
          <w:rFonts w:ascii="Arial" w:hAnsi="Arial" w:cs="Arial"/>
          <w:sz w:val="18"/>
          <w:szCs w:val="18"/>
        </w:rPr>
        <w:instrText xml:space="preserve"> NOTEREF _Ref109193648 \h </w:instrText>
      </w:r>
      <w:r w:rsidR="004E41C7" w:rsidRPr="002800C1">
        <w:rPr>
          <w:rFonts w:ascii="Arial" w:hAnsi="Arial" w:cs="Arial"/>
          <w:sz w:val="18"/>
          <w:szCs w:val="18"/>
        </w:rPr>
        <w:instrText xml:space="preserve"> \* MERGEFORMAT </w:instrText>
      </w:r>
      <w:r w:rsidR="00FB3AEC" w:rsidRPr="002800C1">
        <w:rPr>
          <w:rFonts w:ascii="Arial" w:hAnsi="Arial" w:cs="Arial"/>
          <w:sz w:val="18"/>
          <w:szCs w:val="18"/>
        </w:rPr>
      </w:r>
      <w:r w:rsidR="00FB3AEC" w:rsidRPr="002800C1">
        <w:rPr>
          <w:rFonts w:ascii="Arial" w:hAnsi="Arial" w:cs="Arial"/>
          <w:sz w:val="18"/>
          <w:szCs w:val="18"/>
        </w:rPr>
        <w:fldChar w:fldCharType="separate"/>
      </w:r>
      <w:r w:rsidR="00FB167B">
        <w:rPr>
          <w:rFonts w:ascii="Arial" w:hAnsi="Arial" w:cs="Arial"/>
          <w:sz w:val="18"/>
          <w:szCs w:val="18"/>
        </w:rPr>
        <w:t>42</w:t>
      </w:r>
      <w:r w:rsidR="00FB3AEC" w:rsidRPr="002800C1">
        <w:rPr>
          <w:rFonts w:ascii="Arial" w:hAnsi="Arial" w:cs="Arial"/>
          <w:sz w:val="18"/>
          <w:szCs w:val="18"/>
        </w:rPr>
        <w:fldChar w:fldCharType="end"/>
      </w:r>
      <w:r w:rsidR="004E41C7" w:rsidRPr="002800C1">
        <w:rPr>
          <w:rFonts w:ascii="Arial" w:hAnsi="Arial" w:cs="Arial"/>
          <w:sz w:val="18"/>
          <w:szCs w:val="18"/>
        </w:rPr>
        <w:t>.</w:t>
      </w:r>
    </w:p>
  </w:footnote>
  <w:footnote w:id="68">
    <w:p w14:paraId="30DFF02E" w14:textId="74E66937" w:rsidR="004E41C7" w:rsidRPr="002800C1" w:rsidRDefault="0030180C">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4E41C7" w:rsidRPr="002800C1">
        <w:rPr>
          <w:rFonts w:ascii="Arial" w:hAnsi="Arial" w:cs="Arial"/>
          <w:sz w:val="18"/>
          <w:szCs w:val="18"/>
        </w:rPr>
        <w:t xml:space="preserve">Boyle, et al., </w:t>
      </w:r>
      <w:r w:rsidR="004E41C7" w:rsidRPr="002800C1">
        <w:rPr>
          <w:rFonts w:ascii="Arial" w:hAnsi="Arial" w:cs="Arial"/>
          <w:i/>
          <w:iCs/>
          <w:sz w:val="18"/>
          <w:szCs w:val="18"/>
        </w:rPr>
        <w:t>supra</w:t>
      </w:r>
      <w:r w:rsidR="004E41C7" w:rsidRPr="002800C1">
        <w:rPr>
          <w:rFonts w:ascii="Arial" w:hAnsi="Arial" w:cs="Arial"/>
          <w:sz w:val="18"/>
          <w:szCs w:val="18"/>
        </w:rPr>
        <w:t xml:space="preserve"> note </w:t>
      </w:r>
      <w:r w:rsidR="004E41C7" w:rsidRPr="002800C1">
        <w:rPr>
          <w:rFonts w:ascii="Arial" w:hAnsi="Arial" w:cs="Arial"/>
          <w:sz w:val="18"/>
          <w:szCs w:val="18"/>
        </w:rPr>
        <w:fldChar w:fldCharType="begin"/>
      </w:r>
      <w:r w:rsidR="004E41C7" w:rsidRPr="002800C1">
        <w:rPr>
          <w:rFonts w:ascii="Arial" w:hAnsi="Arial" w:cs="Arial"/>
          <w:sz w:val="18"/>
          <w:szCs w:val="18"/>
        </w:rPr>
        <w:instrText xml:space="preserve"> NOTEREF _Ref109193648 \h  \* MERGEFORMAT </w:instrText>
      </w:r>
      <w:r w:rsidR="004E41C7" w:rsidRPr="002800C1">
        <w:rPr>
          <w:rFonts w:ascii="Arial" w:hAnsi="Arial" w:cs="Arial"/>
          <w:sz w:val="18"/>
          <w:szCs w:val="18"/>
        </w:rPr>
      </w:r>
      <w:r w:rsidR="004E41C7" w:rsidRPr="002800C1">
        <w:rPr>
          <w:rFonts w:ascii="Arial" w:hAnsi="Arial" w:cs="Arial"/>
          <w:sz w:val="18"/>
          <w:szCs w:val="18"/>
        </w:rPr>
        <w:fldChar w:fldCharType="separate"/>
      </w:r>
      <w:r w:rsidR="00FB167B">
        <w:rPr>
          <w:rFonts w:ascii="Arial" w:hAnsi="Arial" w:cs="Arial"/>
          <w:sz w:val="18"/>
          <w:szCs w:val="18"/>
        </w:rPr>
        <w:t>42</w:t>
      </w:r>
      <w:r w:rsidR="004E41C7" w:rsidRPr="002800C1">
        <w:rPr>
          <w:rFonts w:ascii="Arial" w:hAnsi="Arial" w:cs="Arial"/>
          <w:sz w:val="18"/>
          <w:szCs w:val="18"/>
        </w:rPr>
        <w:fldChar w:fldCharType="end"/>
      </w:r>
      <w:r w:rsidR="004E41C7" w:rsidRPr="002800C1">
        <w:rPr>
          <w:rFonts w:ascii="Arial" w:hAnsi="Arial" w:cs="Arial"/>
          <w:sz w:val="18"/>
          <w:szCs w:val="18"/>
        </w:rPr>
        <w:t xml:space="preserve">; Forero, et al., </w:t>
      </w:r>
      <w:r w:rsidR="004E41C7" w:rsidRPr="002800C1">
        <w:rPr>
          <w:rFonts w:ascii="Arial" w:hAnsi="Arial" w:cs="Arial"/>
          <w:i/>
          <w:iCs/>
          <w:sz w:val="18"/>
          <w:szCs w:val="18"/>
        </w:rPr>
        <w:t>supra</w:t>
      </w:r>
      <w:r w:rsidR="004E41C7" w:rsidRPr="002800C1">
        <w:rPr>
          <w:rFonts w:ascii="Arial" w:hAnsi="Arial" w:cs="Arial"/>
          <w:sz w:val="18"/>
          <w:szCs w:val="18"/>
        </w:rPr>
        <w:t xml:space="preserve"> note </w:t>
      </w:r>
      <w:r w:rsidR="004E41C7" w:rsidRPr="002800C1">
        <w:rPr>
          <w:rFonts w:ascii="Arial" w:hAnsi="Arial" w:cs="Arial"/>
          <w:sz w:val="18"/>
          <w:szCs w:val="18"/>
        </w:rPr>
        <w:fldChar w:fldCharType="begin"/>
      </w:r>
      <w:r w:rsidR="004E41C7" w:rsidRPr="002800C1">
        <w:rPr>
          <w:rFonts w:ascii="Arial" w:hAnsi="Arial" w:cs="Arial"/>
          <w:sz w:val="18"/>
          <w:szCs w:val="18"/>
        </w:rPr>
        <w:instrText xml:space="preserve"> NOTEREF _Ref109193648 \h  \* MERGEFORMAT </w:instrText>
      </w:r>
      <w:r w:rsidR="004E41C7" w:rsidRPr="002800C1">
        <w:rPr>
          <w:rFonts w:ascii="Arial" w:hAnsi="Arial" w:cs="Arial"/>
          <w:sz w:val="18"/>
          <w:szCs w:val="18"/>
        </w:rPr>
      </w:r>
      <w:r w:rsidR="004E41C7" w:rsidRPr="002800C1">
        <w:rPr>
          <w:rFonts w:ascii="Arial" w:hAnsi="Arial" w:cs="Arial"/>
          <w:sz w:val="18"/>
          <w:szCs w:val="18"/>
        </w:rPr>
        <w:fldChar w:fldCharType="separate"/>
      </w:r>
      <w:r w:rsidR="00FB167B">
        <w:rPr>
          <w:rFonts w:ascii="Arial" w:hAnsi="Arial" w:cs="Arial"/>
          <w:sz w:val="18"/>
          <w:szCs w:val="18"/>
        </w:rPr>
        <w:t>42</w:t>
      </w:r>
      <w:r w:rsidR="004E41C7" w:rsidRPr="002800C1">
        <w:rPr>
          <w:rFonts w:ascii="Arial" w:hAnsi="Arial" w:cs="Arial"/>
          <w:sz w:val="18"/>
          <w:szCs w:val="18"/>
        </w:rPr>
        <w:fldChar w:fldCharType="end"/>
      </w:r>
      <w:r w:rsidR="004E41C7" w:rsidRPr="002800C1">
        <w:rPr>
          <w:rFonts w:ascii="Arial" w:hAnsi="Arial" w:cs="Arial"/>
          <w:sz w:val="18"/>
          <w:szCs w:val="18"/>
        </w:rPr>
        <w:t xml:space="preserve">; Hoot &amp; Aronsky, </w:t>
      </w:r>
      <w:r w:rsidR="004E41C7" w:rsidRPr="002800C1">
        <w:rPr>
          <w:rFonts w:ascii="Arial" w:hAnsi="Arial" w:cs="Arial"/>
          <w:i/>
          <w:iCs/>
          <w:sz w:val="18"/>
          <w:szCs w:val="18"/>
        </w:rPr>
        <w:t>supra</w:t>
      </w:r>
      <w:r w:rsidR="004E41C7" w:rsidRPr="002800C1">
        <w:rPr>
          <w:rFonts w:ascii="Arial" w:hAnsi="Arial" w:cs="Arial"/>
          <w:sz w:val="18"/>
          <w:szCs w:val="18"/>
        </w:rPr>
        <w:t xml:space="preserve"> note </w:t>
      </w:r>
      <w:r w:rsidR="004E41C7" w:rsidRPr="002800C1">
        <w:rPr>
          <w:rFonts w:ascii="Arial" w:hAnsi="Arial" w:cs="Arial"/>
          <w:sz w:val="18"/>
          <w:szCs w:val="18"/>
        </w:rPr>
        <w:fldChar w:fldCharType="begin"/>
      </w:r>
      <w:r w:rsidR="004E41C7" w:rsidRPr="002800C1">
        <w:rPr>
          <w:rFonts w:ascii="Arial" w:hAnsi="Arial" w:cs="Arial"/>
          <w:sz w:val="18"/>
          <w:szCs w:val="18"/>
        </w:rPr>
        <w:instrText xml:space="preserve"> NOTEREF _Ref109193648 \h  \* MERGEFORMAT </w:instrText>
      </w:r>
      <w:r w:rsidR="004E41C7" w:rsidRPr="002800C1">
        <w:rPr>
          <w:rFonts w:ascii="Arial" w:hAnsi="Arial" w:cs="Arial"/>
          <w:sz w:val="18"/>
          <w:szCs w:val="18"/>
        </w:rPr>
      </w:r>
      <w:r w:rsidR="004E41C7" w:rsidRPr="002800C1">
        <w:rPr>
          <w:rFonts w:ascii="Arial" w:hAnsi="Arial" w:cs="Arial"/>
          <w:sz w:val="18"/>
          <w:szCs w:val="18"/>
        </w:rPr>
        <w:fldChar w:fldCharType="separate"/>
      </w:r>
      <w:r w:rsidR="00FB167B">
        <w:rPr>
          <w:rFonts w:ascii="Arial" w:hAnsi="Arial" w:cs="Arial"/>
          <w:sz w:val="18"/>
          <w:szCs w:val="18"/>
        </w:rPr>
        <w:t>42</w:t>
      </w:r>
      <w:r w:rsidR="004E41C7" w:rsidRPr="002800C1">
        <w:rPr>
          <w:rFonts w:ascii="Arial" w:hAnsi="Arial" w:cs="Arial"/>
          <w:sz w:val="18"/>
          <w:szCs w:val="18"/>
        </w:rPr>
        <w:fldChar w:fldCharType="end"/>
      </w:r>
      <w:r w:rsidR="004E41C7" w:rsidRPr="002800C1">
        <w:rPr>
          <w:rFonts w:ascii="Arial" w:hAnsi="Arial" w:cs="Arial"/>
          <w:sz w:val="18"/>
          <w:szCs w:val="18"/>
        </w:rPr>
        <w:t xml:space="preserve">; D.M. Fatovich, </w:t>
      </w:r>
      <w:r w:rsidR="004E41C7" w:rsidRPr="002800C1">
        <w:rPr>
          <w:rFonts w:ascii="Arial" w:hAnsi="Arial" w:cs="Arial"/>
          <w:i/>
          <w:iCs/>
          <w:sz w:val="18"/>
          <w:szCs w:val="18"/>
        </w:rPr>
        <w:t>supra</w:t>
      </w:r>
      <w:r w:rsidR="004E41C7" w:rsidRPr="002800C1">
        <w:rPr>
          <w:rFonts w:ascii="Arial" w:hAnsi="Arial" w:cs="Arial"/>
          <w:sz w:val="18"/>
          <w:szCs w:val="18"/>
        </w:rPr>
        <w:t xml:space="preserve"> note </w:t>
      </w:r>
      <w:r w:rsidR="004E41C7" w:rsidRPr="002800C1">
        <w:rPr>
          <w:rFonts w:ascii="Arial" w:hAnsi="Arial" w:cs="Arial"/>
          <w:sz w:val="18"/>
          <w:szCs w:val="18"/>
        </w:rPr>
        <w:fldChar w:fldCharType="begin"/>
      </w:r>
      <w:r w:rsidR="004E41C7" w:rsidRPr="002800C1">
        <w:rPr>
          <w:rFonts w:ascii="Arial" w:hAnsi="Arial" w:cs="Arial"/>
          <w:sz w:val="18"/>
          <w:szCs w:val="18"/>
        </w:rPr>
        <w:instrText xml:space="preserve"> NOTEREF _Ref109193648 \h  \* MERGEFORMAT </w:instrText>
      </w:r>
      <w:r w:rsidR="004E41C7" w:rsidRPr="002800C1">
        <w:rPr>
          <w:rFonts w:ascii="Arial" w:hAnsi="Arial" w:cs="Arial"/>
          <w:sz w:val="18"/>
          <w:szCs w:val="18"/>
        </w:rPr>
      </w:r>
      <w:r w:rsidR="004E41C7" w:rsidRPr="002800C1">
        <w:rPr>
          <w:rFonts w:ascii="Arial" w:hAnsi="Arial" w:cs="Arial"/>
          <w:sz w:val="18"/>
          <w:szCs w:val="18"/>
        </w:rPr>
        <w:fldChar w:fldCharType="separate"/>
      </w:r>
      <w:r w:rsidR="00FB167B">
        <w:rPr>
          <w:rFonts w:ascii="Arial" w:hAnsi="Arial" w:cs="Arial"/>
          <w:sz w:val="18"/>
          <w:szCs w:val="18"/>
        </w:rPr>
        <w:t>42</w:t>
      </w:r>
      <w:r w:rsidR="004E41C7" w:rsidRPr="002800C1">
        <w:rPr>
          <w:rFonts w:ascii="Arial" w:hAnsi="Arial" w:cs="Arial"/>
          <w:sz w:val="18"/>
          <w:szCs w:val="18"/>
        </w:rPr>
        <w:fldChar w:fldCharType="end"/>
      </w:r>
      <w:r w:rsidR="004E41C7" w:rsidRPr="002800C1">
        <w:rPr>
          <w:rFonts w:ascii="Arial" w:hAnsi="Arial" w:cs="Arial"/>
          <w:sz w:val="18"/>
          <w:szCs w:val="18"/>
        </w:rPr>
        <w:t xml:space="preserve">; Forster et al., </w:t>
      </w:r>
      <w:r w:rsidR="004E41C7" w:rsidRPr="002800C1">
        <w:rPr>
          <w:rFonts w:ascii="Arial" w:hAnsi="Arial" w:cs="Arial"/>
          <w:i/>
          <w:iCs/>
          <w:sz w:val="18"/>
          <w:szCs w:val="18"/>
        </w:rPr>
        <w:t>supra</w:t>
      </w:r>
      <w:r w:rsidR="004E41C7" w:rsidRPr="002800C1">
        <w:rPr>
          <w:rFonts w:ascii="Arial" w:hAnsi="Arial" w:cs="Arial"/>
          <w:sz w:val="18"/>
          <w:szCs w:val="18"/>
        </w:rPr>
        <w:t xml:space="preserve"> note </w:t>
      </w:r>
      <w:r w:rsidR="004E41C7" w:rsidRPr="002800C1">
        <w:rPr>
          <w:rFonts w:ascii="Arial" w:hAnsi="Arial" w:cs="Arial"/>
          <w:sz w:val="18"/>
          <w:szCs w:val="18"/>
        </w:rPr>
        <w:fldChar w:fldCharType="begin"/>
      </w:r>
      <w:r w:rsidR="004E41C7" w:rsidRPr="002800C1">
        <w:rPr>
          <w:rFonts w:ascii="Arial" w:hAnsi="Arial" w:cs="Arial"/>
          <w:sz w:val="18"/>
          <w:szCs w:val="18"/>
        </w:rPr>
        <w:instrText xml:space="preserve"> NOTEREF _Ref109193648 \h  \* MERGEFORMAT </w:instrText>
      </w:r>
      <w:r w:rsidR="004E41C7" w:rsidRPr="002800C1">
        <w:rPr>
          <w:rFonts w:ascii="Arial" w:hAnsi="Arial" w:cs="Arial"/>
          <w:sz w:val="18"/>
          <w:szCs w:val="18"/>
        </w:rPr>
      </w:r>
      <w:r w:rsidR="004E41C7" w:rsidRPr="002800C1">
        <w:rPr>
          <w:rFonts w:ascii="Arial" w:hAnsi="Arial" w:cs="Arial"/>
          <w:sz w:val="18"/>
          <w:szCs w:val="18"/>
        </w:rPr>
        <w:fldChar w:fldCharType="separate"/>
      </w:r>
      <w:r w:rsidR="00FB167B">
        <w:rPr>
          <w:rFonts w:ascii="Arial" w:hAnsi="Arial" w:cs="Arial"/>
          <w:sz w:val="18"/>
          <w:szCs w:val="18"/>
        </w:rPr>
        <w:t>42</w:t>
      </w:r>
      <w:r w:rsidR="004E41C7" w:rsidRPr="002800C1">
        <w:rPr>
          <w:rFonts w:ascii="Arial" w:hAnsi="Arial" w:cs="Arial"/>
          <w:sz w:val="18"/>
          <w:szCs w:val="18"/>
        </w:rPr>
        <w:fldChar w:fldCharType="end"/>
      </w:r>
      <w:r w:rsidR="004E41C7" w:rsidRPr="002800C1">
        <w:rPr>
          <w:rFonts w:ascii="Arial" w:hAnsi="Arial" w:cs="Arial"/>
          <w:sz w:val="18"/>
          <w:szCs w:val="18"/>
        </w:rPr>
        <w:t>.</w:t>
      </w:r>
    </w:p>
  </w:footnote>
  <w:footnote w:id="69">
    <w:p w14:paraId="3B3892E9" w14:textId="2AC2E765" w:rsidR="003B36E6" w:rsidRPr="002800C1" w:rsidRDefault="003B36E6" w:rsidP="00DE6486">
      <w:pPr>
        <w:rPr>
          <w:rFonts w:ascii="Arial" w:hAnsi="Arial" w:cs="Arial"/>
          <w:smallCaps/>
          <w:sz w:val="18"/>
          <w:szCs w:val="18"/>
        </w:rPr>
      </w:pPr>
      <w:r w:rsidRPr="002800C1">
        <w:rPr>
          <w:rStyle w:val="FootnoteReference"/>
          <w:rFonts w:ascii="Arial" w:hAnsi="Arial" w:cs="Arial"/>
          <w:color w:val="000000" w:themeColor="text1"/>
          <w:sz w:val="18"/>
          <w:szCs w:val="18"/>
        </w:rPr>
        <w:footnoteRef/>
      </w:r>
      <w:r w:rsidRPr="002800C1">
        <w:rPr>
          <w:rFonts w:ascii="Arial" w:hAnsi="Arial" w:cs="Arial"/>
          <w:color w:val="000000" w:themeColor="text1"/>
          <w:sz w:val="18"/>
          <w:szCs w:val="18"/>
        </w:rPr>
        <w:t xml:space="preserve"> </w:t>
      </w:r>
      <w:r w:rsidR="00677D6E" w:rsidRPr="002800C1">
        <w:rPr>
          <w:rFonts w:ascii="Arial" w:hAnsi="Arial" w:cs="Arial"/>
          <w:color w:val="000000" w:themeColor="text1"/>
          <w:sz w:val="18"/>
          <w:szCs w:val="18"/>
        </w:rPr>
        <w:t xml:space="preserve">Forero, et al., </w:t>
      </w:r>
      <w:r w:rsidR="00677D6E" w:rsidRPr="002800C1">
        <w:rPr>
          <w:rFonts w:ascii="Arial" w:hAnsi="Arial" w:cs="Arial"/>
          <w:i/>
          <w:iCs/>
          <w:color w:val="000000" w:themeColor="text1"/>
          <w:sz w:val="18"/>
          <w:szCs w:val="18"/>
        </w:rPr>
        <w:t>supra</w:t>
      </w:r>
      <w:r w:rsidR="00677D6E" w:rsidRPr="002800C1">
        <w:rPr>
          <w:rFonts w:ascii="Arial" w:hAnsi="Arial" w:cs="Arial"/>
          <w:color w:val="000000" w:themeColor="text1"/>
          <w:sz w:val="18"/>
          <w:szCs w:val="18"/>
        </w:rPr>
        <w:t xml:space="preserve"> note </w:t>
      </w:r>
      <w:r w:rsidR="00677D6E" w:rsidRPr="002800C1">
        <w:rPr>
          <w:rFonts w:ascii="Arial" w:hAnsi="Arial" w:cs="Arial"/>
          <w:color w:val="000000" w:themeColor="text1"/>
          <w:sz w:val="18"/>
          <w:szCs w:val="18"/>
        </w:rPr>
        <w:fldChar w:fldCharType="begin"/>
      </w:r>
      <w:r w:rsidR="00677D6E" w:rsidRPr="002800C1">
        <w:rPr>
          <w:rFonts w:ascii="Arial" w:hAnsi="Arial" w:cs="Arial"/>
          <w:color w:val="000000" w:themeColor="text1"/>
          <w:sz w:val="18"/>
          <w:szCs w:val="18"/>
        </w:rPr>
        <w:instrText xml:space="preserve"> NOTEREF _Ref109193648 \h  \* MERGEFORMAT </w:instrText>
      </w:r>
      <w:r w:rsidR="00677D6E" w:rsidRPr="002800C1">
        <w:rPr>
          <w:rFonts w:ascii="Arial" w:hAnsi="Arial" w:cs="Arial"/>
          <w:color w:val="000000" w:themeColor="text1"/>
          <w:sz w:val="18"/>
          <w:szCs w:val="18"/>
        </w:rPr>
      </w:r>
      <w:r w:rsidR="00677D6E" w:rsidRPr="002800C1">
        <w:rPr>
          <w:rFonts w:ascii="Arial" w:hAnsi="Arial" w:cs="Arial"/>
          <w:color w:val="000000" w:themeColor="text1"/>
          <w:sz w:val="18"/>
          <w:szCs w:val="18"/>
        </w:rPr>
        <w:fldChar w:fldCharType="separate"/>
      </w:r>
      <w:r w:rsidR="00FB167B">
        <w:rPr>
          <w:rFonts w:ascii="Arial" w:hAnsi="Arial" w:cs="Arial"/>
          <w:color w:val="000000" w:themeColor="text1"/>
          <w:sz w:val="18"/>
          <w:szCs w:val="18"/>
        </w:rPr>
        <w:t>42</w:t>
      </w:r>
      <w:r w:rsidR="00677D6E" w:rsidRPr="002800C1">
        <w:rPr>
          <w:rFonts w:ascii="Arial" w:hAnsi="Arial" w:cs="Arial"/>
          <w:color w:val="000000" w:themeColor="text1"/>
          <w:sz w:val="18"/>
          <w:szCs w:val="18"/>
        </w:rPr>
        <w:fldChar w:fldCharType="end"/>
      </w:r>
      <w:r w:rsidR="0058289A" w:rsidRPr="002800C1">
        <w:rPr>
          <w:rFonts w:ascii="Arial" w:hAnsi="Arial" w:cs="Arial"/>
          <w:color w:val="000000" w:themeColor="text1"/>
          <w:sz w:val="18"/>
          <w:szCs w:val="18"/>
        </w:rPr>
        <w:t xml:space="preserve">; </w:t>
      </w:r>
      <w:r w:rsidR="00677D6E" w:rsidRPr="002800C1">
        <w:rPr>
          <w:rFonts w:ascii="Arial" w:hAnsi="Arial" w:cs="Arial"/>
          <w:color w:val="000000" w:themeColor="text1"/>
          <w:sz w:val="18"/>
          <w:szCs w:val="18"/>
        </w:rPr>
        <w:t>Sonis,</w:t>
      </w:r>
      <w:r w:rsidR="00677D6E" w:rsidRPr="002800C1">
        <w:rPr>
          <w:rStyle w:val="Hyperlink"/>
          <w:rFonts w:ascii="Arial" w:hAnsi="Arial" w:cs="Arial"/>
          <w:color w:val="000000" w:themeColor="text1"/>
          <w:sz w:val="18"/>
          <w:szCs w:val="18"/>
          <w:u w:val="none"/>
        </w:rPr>
        <w:t xml:space="preserve"> </w:t>
      </w:r>
      <w:r w:rsidR="00677D6E" w:rsidRPr="008177F1">
        <w:rPr>
          <w:rStyle w:val="Hyperlink"/>
          <w:rFonts w:ascii="Arial" w:hAnsi="Arial" w:cs="Arial"/>
          <w:color w:val="000000" w:themeColor="text1"/>
          <w:sz w:val="18"/>
          <w:szCs w:val="18"/>
          <w:u w:val="none"/>
        </w:rPr>
        <w:t xml:space="preserve">et al., </w:t>
      </w:r>
      <w:r w:rsidR="00677D6E" w:rsidRPr="008177F1">
        <w:rPr>
          <w:rStyle w:val="Hyperlink"/>
          <w:rFonts w:ascii="Arial" w:hAnsi="Arial" w:cs="Arial"/>
          <w:i/>
          <w:iCs/>
          <w:color w:val="000000" w:themeColor="text1"/>
          <w:sz w:val="18"/>
          <w:szCs w:val="18"/>
          <w:u w:val="none"/>
        </w:rPr>
        <w:t>supra</w:t>
      </w:r>
      <w:r w:rsidR="00677D6E" w:rsidRPr="008177F1">
        <w:rPr>
          <w:rStyle w:val="Hyperlink"/>
          <w:rFonts w:ascii="Arial" w:hAnsi="Arial" w:cs="Arial"/>
          <w:color w:val="000000" w:themeColor="text1"/>
          <w:sz w:val="18"/>
          <w:szCs w:val="18"/>
          <w:u w:val="none"/>
        </w:rPr>
        <w:t xml:space="preserve"> note </w:t>
      </w:r>
      <w:r w:rsidR="00677D6E" w:rsidRPr="008177F1">
        <w:rPr>
          <w:rStyle w:val="Hyperlink"/>
          <w:rFonts w:ascii="Arial" w:hAnsi="Arial" w:cs="Arial"/>
          <w:color w:val="000000" w:themeColor="text1"/>
          <w:sz w:val="18"/>
          <w:szCs w:val="18"/>
        </w:rPr>
        <w:fldChar w:fldCharType="begin"/>
      </w:r>
      <w:r w:rsidR="00677D6E" w:rsidRPr="008177F1">
        <w:rPr>
          <w:rStyle w:val="Hyperlink"/>
          <w:rFonts w:ascii="Arial" w:hAnsi="Arial" w:cs="Arial"/>
          <w:color w:val="000000" w:themeColor="text1"/>
          <w:sz w:val="18"/>
          <w:szCs w:val="18"/>
        </w:rPr>
        <w:instrText xml:space="preserve"> NOTEREF _Ref109194990 \h  \* MERGEFORMAT </w:instrText>
      </w:r>
      <w:r w:rsidR="00677D6E" w:rsidRPr="008177F1">
        <w:rPr>
          <w:rStyle w:val="Hyperlink"/>
          <w:rFonts w:ascii="Arial" w:hAnsi="Arial" w:cs="Arial"/>
          <w:color w:val="000000" w:themeColor="text1"/>
          <w:sz w:val="18"/>
          <w:szCs w:val="18"/>
        </w:rPr>
      </w:r>
      <w:r w:rsidR="00677D6E" w:rsidRPr="008177F1">
        <w:rPr>
          <w:rStyle w:val="Hyperlink"/>
          <w:rFonts w:ascii="Arial" w:hAnsi="Arial" w:cs="Arial"/>
          <w:color w:val="000000" w:themeColor="text1"/>
          <w:sz w:val="18"/>
          <w:szCs w:val="18"/>
        </w:rPr>
        <w:fldChar w:fldCharType="separate"/>
      </w:r>
      <w:r w:rsidR="00FB167B" w:rsidRPr="008177F1">
        <w:rPr>
          <w:rStyle w:val="Hyperlink"/>
          <w:rFonts w:ascii="Arial" w:hAnsi="Arial" w:cs="Arial"/>
          <w:color w:val="000000" w:themeColor="text1"/>
          <w:sz w:val="18"/>
          <w:szCs w:val="18"/>
        </w:rPr>
        <w:t>44</w:t>
      </w:r>
      <w:r w:rsidR="00677D6E" w:rsidRPr="008177F1">
        <w:rPr>
          <w:rStyle w:val="Hyperlink"/>
          <w:rFonts w:ascii="Arial" w:hAnsi="Arial" w:cs="Arial"/>
          <w:color w:val="000000" w:themeColor="text1"/>
          <w:sz w:val="18"/>
          <w:szCs w:val="18"/>
        </w:rPr>
        <w:fldChar w:fldCharType="end"/>
      </w:r>
      <w:r w:rsidR="0058289A" w:rsidRPr="008177F1">
        <w:rPr>
          <w:rFonts w:ascii="Arial" w:hAnsi="Arial" w:cs="Arial"/>
          <w:color w:val="000000" w:themeColor="text1"/>
          <w:sz w:val="18"/>
          <w:szCs w:val="18"/>
        </w:rPr>
        <w:t xml:space="preserve">; </w:t>
      </w:r>
      <w:r w:rsidR="00677D6E" w:rsidRPr="008177F1">
        <w:rPr>
          <w:rFonts w:ascii="Arial" w:eastAsiaTheme="minorHAnsi" w:hAnsi="Arial" w:cs="Arial"/>
          <w:color w:val="000000" w:themeColor="text1"/>
          <w:sz w:val="18"/>
          <w:szCs w:val="18"/>
        </w:rPr>
        <w:t xml:space="preserve">Bernstein, et al., </w:t>
      </w:r>
      <w:r w:rsidR="00677D6E" w:rsidRPr="008177F1">
        <w:rPr>
          <w:rFonts w:ascii="Arial" w:eastAsiaTheme="minorHAnsi" w:hAnsi="Arial" w:cs="Arial"/>
          <w:i/>
          <w:iCs/>
          <w:color w:val="000000" w:themeColor="text1"/>
          <w:sz w:val="18"/>
          <w:szCs w:val="18"/>
        </w:rPr>
        <w:t>supra</w:t>
      </w:r>
      <w:r w:rsidR="00677D6E" w:rsidRPr="008177F1">
        <w:rPr>
          <w:rFonts w:ascii="Arial" w:eastAsiaTheme="minorHAnsi" w:hAnsi="Arial" w:cs="Arial"/>
          <w:color w:val="000000" w:themeColor="text1"/>
          <w:sz w:val="18"/>
          <w:szCs w:val="18"/>
        </w:rPr>
        <w:t xml:space="preserve"> note </w:t>
      </w:r>
      <w:r w:rsidR="00677D6E" w:rsidRPr="008177F1">
        <w:rPr>
          <w:rFonts w:ascii="Arial" w:eastAsiaTheme="minorHAnsi" w:hAnsi="Arial" w:cs="Arial"/>
          <w:color w:val="000000" w:themeColor="text1"/>
          <w:sz w:val="18"/>
          <w:szCs w:val="18"/>
        </w:rPr>
        <w:fldChar w:fldCharType="begin"/>
      </w:r>
      <w:r w:rsidR="00677D6E" w:rsidRPr="008177F1">
        <w:rPr>
          <w:rFonts w:ascii="Arial" w:eastAsiaTheme="minorHAnsi" w:hAnsi="Arial" w:cs="Arial"/>
          <w:color w:val="000000" w:themeColor="text1"/>
          <w:sz w:val="18"/>
          <w:szCs w:val="18"/>
        </w:rPr>
        <w:instrText xml:space="preserve"> NOTEREF _Ref109194990 \h  \* MERGEFORMAT </w:instrText>
      </w:r>
      <w:r w:rsidR="00677D6E" w:rsidRPr="008177F1">
        <w:rPr>
          <w:rFonts w:ascii="Arial" w:eastAsiaTheme="minorHAnsi" w:hAnsi="Arial" w:cs="Arial"/>
          <w:color w:val="000000" w:themeColor="text1"/>
          <w:sz w:val="18"/>
          <w:szCs w:val="18"/>
        </w:rPr>
      </w:r>
      <w:r w:rsidR="00677D6E" w:rsidRPr="008177F1">
        <w:rPr>
          <w:rFonts w:ascii="Arial" w:eastAsiaTheme="minorHAnsi" w:hAnsi="Arial" w:cs="Arial"/>
          <w:color w:val="000000" w:themeColor="text1"/>
          <w:sz w:val="18"/>
          <w:szCs w:val="18"/>
        </w:rPr>
        <w:fldChar w:fldCharType="separate"/>
      </w:r>
      <w:r w:rsidR="00FB167B" w:rsidRPr="008177F1">
        <w:rPr>
          <w:rFonts w:ascii="Arial" w:eastAsiaTheme="minorHAnsi" w:hAnsi="Arial" w:cs="Arial"/>
          <w:color w:val="000000" w:themeColor="text1"/>
          <w:sz w:val="18"/>
          <w:szCs w:val="18"/>
        </w:rPr>
        <w:t>44</w:t>
      </w:r>
      <w:r w:rsidR="00677D6E" w:rsidRPr="008177F1">
        <w:rPr>
          <w:rFonts w:ascii="Arial" w:eastAsiaTheme="minorHAnsi" w:hAnsi="Arial" w:cs="Arial"/>
          <w:color w:val="000000" w:themeColor="text1"/>
          <w:sz w:val="18"/>
          <w:szCs w:val="18"/>
        </w:rPr>
        <w:fldChar w:fldCharType="end"/>
      </w:r>
      <w:r w:rsidR="00677D6E" w:rsidRPr="008177F1">
        <w:rPr>
          <w:rFonts w:ascii="Arial" w:eastAsiaTheme="minorHAnsi" w:hAnsi="Arial" w:cs="Arial"/>
          <w:color w:val="000000" w:themeColor="text1"/>
          <w:sz w:val="18"/>
          <w:szCs w:val="18"/>
        </w:rPr>
        <w:t xml:space="preserve">; </w:t>
      </w:r>
      <w:r w:rsidR="00DE6486" w:rsidRPr="008177F1">
        <w:rPr>
          <w:rFonts w:ascii="Arial" w:eastAsiaTheme="minorHAnsi" w:hAnsi="Arial" w:cs="Arial"/>
          <w:color w:val="000000" w:themeColor="text1"/>
          <w:sz w:val="18"/>
          <w:szCs w:val="18"/>
        </w:rPr>
        <w:t xml:space="preserve">Kelen, et al., </w:t>
      </w:r>
      <w:hyperlink r:id="rId44" w:history="1">
        <w:r w:rsidR="00DE6486" w:rsidRPr="008177F1">
          <w:rPr>
            <w:rStyle w:val="Hyperlink"/>
            <w:rFonts w:ascii="Arial" w:eastAsiaTheme="minorHAnsi" w:hAnsi="Arial" w:cs="Arial"/>
            <w:i/>
            <w:iCs/>
            <w:color w:val="000000" w:themeColor="text1"/>
            <w:sz w:val="18"/>
            <w:szCs w:val="18"/>
            <w:u w:val="none"/>
          </w:rPr>
          <w:t>Emergency Department Crowding: The Canary in the Health Care System</w:t>
        </w:r>
        <w:r w:rsidR="00DE6486" w:rsidRPr="008177F1">
          <w:rPr>
            <w:rStyle w:val="Hyperlink"/>
            <w:rFonts w:ascii="Arial" w:eastAsiaTheme="minorHAnsi" w:hAnsi="Arial" w:cs="Arial"/>
            <w:color w:val="000000" w:themeColor="text1"/>
            <w:sz w:val="18"/>
            <w:szCs w:val="18"/>
            <w:u w:val="none"/>
          </w:rPr>
          <w:t>,</w:t>
        </w:r>
      </w:hyperlink>
      <w:r w:rsidR="00DE6486" w:rsidRPr="008177F1">
        <w:rPr>
          <w:rFonts w:ascii="Arial" w:eastAsiaTheme="minorHAnsi" w:hAnsi="Arial" w:cs="Arial"/>
          <w:color w:val="000000" w:themeColor="text1"/>
          <w:sz w:val="18"/>
          <w:szCs w:val="18"/>
        </w:rPr>
        <w:t xml:space="preserve"> </w:t>
      </w:r>
      <w:r w:rsidR="00DE6486" w:rsidRPr="008177F1">
        <w:rPr>
          <w:rFonts w:ascii="Arial" w:hAnsi="Arial" w:cs="Arial"/>
          <w:smallCaps/>
          <w:color w:val="000000" w:themeColor="text1"/>
          <w:sz w:val="18"/>
          <w:szCs w:val="18"/>
        </w:rPr>
        <w:t>NEJM Catalyst</w:t>
      </w:r>
      <w:r w:rsidR="00666049" w:rsidRPr="008177F1">
        <w:rPr>
          <w:rFonts w:ascii="Arial" w:hAnsi="Arial" w:cs="Arial"/>
          <w:smallCaps/>
          <w:color w:val="000000" w:themeColor="text1"/>
          <w:sz w:val="18"/>
          <w:szCs w:val="18"/>
        </w:rPr>
        <w:t xml:space="preserve"> (2021)</w:t>
      </w:r>
      <w:r w:rsidR="00DE6486" w:rsidRPr="008177F1">
        <w:rPr>
          <w:rFonts w:ascii="Arial" w:hAnsi="Arial" w:cs="Arial"/>
          <w:smallCaps/>
          <w:color w:val="000000" w:themeColor="text1"/>
          <w:sz w:val="18"/>
          <w:szCs w:val="18"/>
        </w:rPr>
        <w:t xml:space="preserve">, </w:t>
      </w:r>
      <w:r w:rsidR="00DE6486" w:rsidRPr="008177F1">
        <w:rPr>
          <w:rFonts w:ascii="Arial" w:eastAsiaTheme="minorHAnsi" w:hAnsi="Arial" w:cs="Arial"/>
          <w:i/>
          <w:iCs/>
          <w:color w:val="000000" w:themeColor="text1"/>
          <w:sz w:val="18"/>
          <w:szCs w:val="18"/>
        </w:rPr>
        <w:t xml:space="preserve">available at </w:t>
      </w:r>
      <w:hyperlink r:id="rId45" w:history="1">
        <w:r w:rsidR="008177F1" w:rsidRPr="008177F1">
          <w:rPr>
            <w:rStyle w:val="Hyperlink"/>
            <w:rFonts w:ascii="Arial" w:hAnsi="Arial" w:cs="Arial"/>
            <w:color w:val="000000" w:themeColor="text1"/>
            <w:sz w:val="18"/>
            <w:szCs w:val="18"/>
          </w:rPr>
          <w:t>https://catalyst.nejm.org/doi/full/10.1056/CAT.21.0217</w:t>
        </w:r>
      </w:hyperlink>
      <w:r w:rsidR="008177F1" w:rsidRPr="008177F1">
        <w:rPr>
          <w:rFonts w:ascii="Arial" w:hAnsi="Arial" w:cs="Arial"/>
          <w:color w:val="000000" w:themeColor="text1"/>
          <w:sz w:val="18"/>
          <w:szCs w:val="18"/>
        </w:rPr>
        <w:t xml:space="preserve"> </w:t>
      </w:r>
      <w:r w:rsidR="00DE6486" w:rsidRPr="008177F1">
        <w:rPr>
          <w:rFonts w:ascii="Arial" w:hAnsi="Arial" w:cs="Arial"/>
          <w:color w:val="000000" w:themeColor="text1"/>
          <w:sz w:val="18"/>
          <w:szCs w:val="18"/>
        </w:rPr>
        <w:t>.</w:t>
      </w:r>
    </w:p>
  </w:footnote>
  <w:footnote w:id="70">
    <w:p w14:paraId="1F88CADF" w14:textId="25FCABCF" w:rsidR="00AB141F" w:rsidRPr="002800C1" w:rsidRDefault="00AB141F">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666049" w:rsidRPr="002800C1">
        <w:rPr>
          <w:rFonts w:ascii="Arial" w:hAnsi="Arial" w:cs="Arial"/>
          <w:sz w:val="18"/>
          <w:szCs w:val="18"/>
        </w:rPr>
        <w:t xml:space="preserve">Boyle, et al., </w:t>
      </w:r>
      <w:r w:rsidR="00666049" w:rsidRPr="002800C1">
        <w:rPr>
          <w:rFonts w:ascii="Arial" w:hAnsi="Arial" w:cs="Arial"/>
          <w:i/>
          <w:iCs/>
          <w:sz w:val="18"/>
          <w:szCs w:val="18"/>
        </w:rPr>
        <w:t>supra</w:t>
      </w:r>
      <w:r w:rsidR="00666049" w:rsidRPr="002800C1">
        <w:rPr>
          <w:rFonts w:ascii="Arial" w:hAnsi="Arial" w:cs="Arial"/>
          <w:sz w:val="18"/>
          <w:szCs w:val="18"/>
        </w:rPr>
        <w:t xml:space="preserve"> note </w:t>
      </w:r>
      <w:r w:rsidR="00666049" w:rsidRPr="002800C1">
        <w:rPr>
          <w:rFonts w:ascii="Arial" w:hAnsi="Arial" w:cs="Arial"/>
          <w:sz w:val="18"/>
          <w:szCs w:val="18"/>
        </w:rPr>
        <w:fldChar w:fldCharType="begin"/>
      </w:r>
      <w:r w:rsidR="00666049" w:rsidRPr="002800C1">
        <w:rPr>
          <w:rFonts w:ascii="Arial" w:hAnsi="Arial" w:cs="Arial"/>
          <w:sz w:val="18"/>
          <w:szCs w:val="18"/>
        </w:rPr>
        <w:instrText xml:space="preserve"> NOTEREF _Ref109193648 \h  \* MERGEFORMAT </w:instrText>
      </w:r>
      <w:r w:rsidR="00666049" w:rsidRPr="002800C1">
        <w:rPr>
          <w:rFonts w:ascii="Arial" w:hAnsi="Arial" w:cs="Arial"/>
          <w:sz w:val="18"/>
          <w:szCs w:val="18"/>
        </w:rPr>
      </w:r>
      <w:r w:rsidR="00666049" w:rsidRPr="002800C1">
        <w:rPr>
          <w:rFonts w:ascii="Arial" w:hAnsi="Arial" w:cs="Arial"/>
          <w:sz w:val="18"/>
          <w:szCs w:val="18"/>
        </w:rPr>
        <w:fldChar w:fldCharType="separate"/>
      </w:r>
      <w:r w:rsidR="00FB167B">
        <w:rPr>
          <w:rFonts w:ascii="Arial" w:hAnsi="Arial" w:cs="Arial"/>
          <w:sz w:val="18"/>
          <w:szCs w:val="18"/>
        </w:rPr>
        <w:t>42</w:t>
      </w:r>
      <w:r w:rsidR="00666049" w:rsidRPr="002800C1">
        <w:rPr>
          <w:rFonts w:ascii="Arial" w:hAnsi="Arial" w:cs="Arial"/>
          <w:sz w:val="18"/>
          <w:szCs w:val="18"/>
        </w:rPr>
        <w:fldChar w:fldCharType="end"/>
      </w:r>
      <w:r w:rsidR="00666049" w:rsidRPr="002800C1">
        <w:rPr>
          <w:rFonts w:ascii="Arial" w:hAnsi="Arial" w:cs="Arial"/>
          <w:sz w:val="18"/>
          <w:szCs w:val="18"/>
        </w:rPr>
        <w:t xml:space="preserve">; Forero, et al., </w:t>
      </w:r>
      <w:r w:rsidR="00666049" w:rsidRPr="002800C1">
        <w:rPr>
          <w:rFonts w:ascii="Arial" w:hAnsi="Arial" w:cs="Arial"/>
          <w:i/>
          <w:iCs/>
          <w:sz w:val="18"/>
          <w:szCs w:val="18"/>
        </w:rPr>
        <w:t>supra</w:t>
      </w:r>
      <w:r w:rsidR="00666049" w:rsidRPr="002800C1">
        <w:rPr>
          <w:rFonts w:ascii="Arial" w:hAnsi="Arial" w:cs="Arial"/>
          <w:sz w:val="18"/>
          <w:szCs w:val="18"/>
        </w:rPr>
        <w:t xml:space="preserve"> note </w:t>
      </w:r>
      <w:r w:rsidR="00666049" w:rsidRPr="002800C1">
        <w:rPr>
          <w:rFonts w:ascii="Arial" w:hAnsi="Arial" w:cs="Arial"/>
          <w:sz w:val="18"/>
          <w:szCs w:val="18"/>
        </w:rPr>
        <w:fldChar w:fldCharType="begin"/>
      </w:r>
      <w:r w:rsidR="00666049" w:rsidRPr="002800C1">
        <w:rPr>
          <w:rFonts w:ascii="Arial" w:hAnsi="Arial" w:cs="Arial"/>
          <w:sz w:val="18"/>
          <w:szCs w:val="18"/>
        </w:rPr>
        <w:instrText xml:space="preserve"> NOTEREF _Ref109193648 \h  \* MERGEFORMAT </w:instrText>
      </w:r>
      <w:r w:rsidR="00666049" w:rsidRPr="002800C1">
        <w:rPr>
          <w:rFonts w:ascii="Arial" w:hAnsi="Arial" w:cs="Arial"/>
          <w:sz w:val="18"/>
          <w:szCs w:val="18"/>
        </w:rPr>
      </w:r>
      <w:r w:rsidR="00666049" w:rsidRPr="002800C1">
        <w:rPr>
          <w:rFonts w:ascii="Arial" w:hAnsi="Arial" w:cs="Arial"/>
          <w:sz w:val="18"/>
          <w:szCs w:val="18"/>
        </w:rPr>
        <w:fldChar w:fldCharType="separate"/>
      </w:r>
      <w:r w:rsidR="00FB167B">
        <w:rPr>
          <w:rFonts w:ascii="Arial" w:hAnsi="Arial" w:cs="Arial"/>
          <w:sz w:val="18"/>
          <w:szCs w:val="18"/>
        </w:rPr>
        <w:t>42</w:t>
      </w:r>
      <w:r w:rsidR="00666049" w:rsidRPr="002800C1">
        <w:rPr>
          <w:rFonts w:ascii="Arial" w:hAnsi="Arial" w:cs="Arial"/>
          <w:sz w:val="18"/>
          <w:szCs w:val="18"/>
        </w:rPr>
        <w:fldChar w:fldCharType="end"/>
      </w:r>
      <w:r w:rsidR="00666049" w:rsidRPr="002800C1">
        <w:rPr>
          <w:rFonts w:ascii="Arial" w:hAnsi="Arial" w:cs="Arial"/>
          <w:sz w:val="18"/>
          <w:szCs w:val="18"/>
        </w:rPr>
        <w:t xml:space="preserve">; Kelen, et al., </w:t>
      </w:r>
      <w:r w:rsidR="00666049" w:rsidRPr="002800C1">
        <w:rPr>
          <w:rFonts w:ascii="Arial" w:hAnsi="Arial" w:cs="Arial"/>
          <w:i/>
          <w:iCs/>
          <w:sz w:val="18"/>
          <w:szCs w:val="18"/>
        </w:rPr>
        <w:t>supra</w:t>
      </w:r>
      <w:r w:rsidR="00666049" w:rsidRPr="002800C1">
        <w:rPr>
          <w:rFonts w:ascii="Arial" w:hAnsi="Arial" w:cs="Arial"/>
          <w:sz w:val="18"/>
          <w:szCs w:val="18"/>
        </w:rPr>
        <w:t xml:space="preserve"> note</w:t>
      </w:r>
      <w:r w:rsidR="00B61A7C">
        <w:rPr>
          <w:rFonts w:ascii="Arial" w:hAnsi="Arial" w:cs="Arial"/>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_Ref109200306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69</w:t>
      </w:r>
      <w:r w:rsidR="00B61A7C">
        <w:rPr>
          <w:rFonts w:ascii="Arial" w:hAnsi="Arial" w:cs="Arial"/>
          <w:sz w:val="18"/>
          <w:szCs w:val="18"/>
        </w:rPr>
        <w:fldChar w:fldCharType="end"/>
      </w:r>
      <w:r w:rsidR="00666049" w:rsidRPr="002800C1">
        <w:rPr>
          <w:rFonts w:ascii="Arial" w:hAnsi="Arial" w:cs="Arial"/>
          <w:sz w:val="18"/>
          <w:szCs w:val="18"/>
        </w:rPr>
        <w:t xml:space="preserve">. </w:t>
      </w:r>
    </w:p>
  </w:footnote>
  <w:footnote w:id="71">
    <w:p w14:paraId="154A25F2" w14:textId="77557B89" w:rsidR="00912F3F" w:rsidRPr="002800C1" w:rsidRDefault="00912F3F">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666049" w:rsidRPr="002800C1">
        <w:rPr>
          <w:rFonts w:ascii="Arial" w:hAnsi="Arial" w:cs="Arial"/>
          <w:sz w:val="18"/>
          <w:szCs w:val="18"/>
        </w:rPr>
        <w:t xml:space="preserve">Boyle, et al., </w:t>
      </w:r>
      <w:r w:rsidR="00666049" w:rsidRPr="002800C1">
        <w:rPr>
          <w:rFonts w:ascii="Arial" w:hAnsi="Arial" w:cs="Arial"/>
          <w:i/>
          <w:iCs/>
          <w:sz w:val="18"/>
          <w:szCs w:val="18"/>
        </w:rPr>
        <w:t>supra</w:t>
      </w:r>
      <w:r w:rsidR="00666049" w:rsidRPr="002800C1">
        <w:rPr>
          <w:rFonts w:ascii="Arial" w:hAnsi="Arial" w:cs="Arial"/>
          <w:sz w:val="18"/>
          <w:szCs w:val="18"/>
        </w:rPr>
        <w:t xml:space="preserve"> note </w:t>
      </w:r>
      <w:r w:rsidR="00666049" w:rsidRPr="002800C1">
        <w:rPr>
          <w:rFonts w:ascii="Arial" w:hAnsi="Arial" w:cs="Arial"/>
          <w:sz w:val="18"/>
          <w:szCs w:val="18"/>
        </w:rPr>
        <w:fldChar w:fldCharType="begin"/>
      </w:r>
      <w:r w:rsidR="00666049" w:rsidRPr="002800C1">
        <w:rPr>
          <w:rFonts w:ascii="Arial" w:hAnsi="Arial" w:cs="Arial"/>
          <w:sz w:val="18"/>
          <w:szCs w:val="18"/>
        </w:rPr>
        <w:instrText xml:space="preserve"> NOTEREF _Ref109193648 \h  \* MERGEFORMAT </w:instrText>
      </w:r>
      <w:r w:rsidR="00666049" w:rsidRPr="002800C1">
        <w:rPr>
          <w:rFonts w:ascii="Arial" w:hAnsi="Arial" w:cs="Arial"/>
          <w:sz w:val="18"/>
          <w:szCs w:val="18"/>
        </w:rPr>
      </w:r>
      <w:r w:rsidR="00666049" w:rsidRPr="002800C1">
        <w:rPr>
          <w:rFonts w:ascii="Arial" w:hAnsi="Arial" w:cs="Arial"/>
          <w:sz w:val="18"/>
          <w:szCs w:val="18"/>
        </w:rPr>
        <w:fldChar w:fldCharType="separate"/>
      </w:r>
      <w:r w:rsidR="00FB167B">
        <w:rPr>
          <w:rFonts w:ascii="Arial" w:hAnsi="Arial" w:cs="Arial"/>
          <w:sz w:val="18"/>
          <w:szCs w:val="18"/>
        </w:rPr>
        <w:t>42</w:t>
      </w:r>
      <w:r w:rsidR="00666049" w:rsidRPr="002800C1">
        <w:rPr>
          <w:rFonts w:ascii="Arial" w:hAnsi="Arial" w:cs="Arial"/>
          <w:sz w:val="18"/>
          <w:szCs w:val="18"/>
        </w:rPr>
        <w:fldChar w:fldCharType="end"/>
      </w:r>
      <w:r w:rsidR="00666049" w:rsidRPr="002800C1">
        <w:rPr>
          <w:rFonts w:ascii="Arial" w:hAnsi="Arial" w:cs="Arial"/>
          <w:sz w:val="18"/>
          <w:szCs w:val="18"/>
        </w:rPr>
        <w:t xml:space="preserve">; Forero, et al., </w:t>
      </w:r>
      <w:r w:rsidR="00666049" w:rsidRPr="002800C1">
        <w:rPr>
          <w:rFonts w:ascii="Arial" w:hAnsi="Arial" w:cs="Arial"/>
          <w:i/>
          <w:iCs/>
          <w:sz w:val="18"/>
          <w:szCs w:val="18"/>
        </w:rPr>
        <w:t>supra</w:t>
      </w:r>
      <w:r w:rsidR="00666049" w:rsidRPr="002800C1">
        <w:rPr>
          <w:rFonts w:ascii="Arial" w:hAnsi="Arial" w:cs="Arial"/>
          <w:sz w:val="18"/>
          <w:szCs w:val="18"/>
        </w:rPr>
        <w:t xml:space="preserve"> note </w:t>
      </w:r>
      <w:r w:rsidR="00666049" w:rsidRPr="002800C1">
        <w:rPr>
          <w:rFonts w:ascii="Arial" w:hAnsi="Arial" w:cs="Arial"/>
          <w:sz w:val="18"/>
          <w:szCs w:val="18"/>
        </w:rPr>
        <w:fldChar w:fldCharType="begin"/>
      </w:r>
      <w:r w:rsidR="00666049" w:rsidRPr="002800C1">
        <w:rPr>
          <w:rFonts w:ascii="Arial" w:hAnsi="Arial" w:cs="Arial"/>
          <w:sz w:val="18"/>
          <w:szCs w:val="18"/>
        </w:rPr>
        <w:instrText xml:space="preserve"> NOTEREF _Ref109193648 \h  \* MERGEFORMAT </w:instrText>
      </w:r>
      <w:r w:rsidR="00666049" w:rsidRPr="002800C1">
        <w:rPr>
          <w:rFonts w:ascii="Arial" w:hAnsi="Arial" w:cs="Arial"/>
          <w:sz w:val="18"/>
          <w:szCs w:val="18"/>
        </w:rPr>
      </w:r>
      <w:r w:rsidR="00666049" w:rsidRPr="002800C1">
        <w:rPr>
          <w:rFonts w:ascii="Arial" w:hAnsi="Arial" w:cs="Arial"/>
          <w:sz w:val="18"/>
          <w:szCs w:val="18"/>
        </w:rPr>
        <w:fldChar w:fldCharType="separate"/>
      </w:r>
      <w:r w:rsidR="00FB167B">
        <w:rPr>
          <w:rFonts w:ascii="Arial" w:hAnsi="Arial" w:cs="Arial"/>
          <w:sz w:val="18"/>
          <w:szCs w:val="18"/>
        </w:rPr>
        <w:t>42</w:t>
      </w:r>
      <w:r w:rsidR="00666049" w:rsidRPr="002800C1">
        <w:rPr>
          <w:rFonts w:ascii="Arial" w:hAnsi="Arial" w:cs="Arial"/>
          <w:sz w:val="18"/>
          <w:szCs w:val="18"/>
        </w:rPr>
        <w:fldChar w:fldCharType="end"/>
      </w:r>
      <w:r w:rsidR="00666049" w:rsidRPr="002800C1">
        <w:rPr>
          <w:rFonts w:ascii="Arial" w:hAnsi="Arial" w:cs="Arial"/>
          <w:sz w:val="18"/>
          <w:szCs w:val="18"/>
        </w:rPr>
        <w:t xml:space="preserve">; Kelen, et al., </w:t>
      </w:r>
      <w:r w:rsidR="00666049" w:rsidRPr="002800C1">
        <w:rPr>
          <w:rFonts w:ascii="Arial" w:hAnsi="Arial" w:cs="Arial"/>
          <w:i/>
          <w:iCs/>
          <w:sz w:val="18"/>
          <w:szCs w:val="18"/>
        </w:rPr>
        <w:t>supra</w:t>
      </w:r>
      <w:r w:rsidR="00666049" w:rsidRPr="002800C1">
        <w:rPr>
          <w:rFonts w:ascii="Arial" w:hAnsi="Arial" w:cs="Arial"/>
          <w:sz w:val="18"/>
          <w:szCs w:val="18"/>
        </w:rPr>
        <w:t xml:space="preserve"> note</w:t>
      </w:r>
      <w:r w:rsidR="00B61A7C">
        <w:rPr>
          <w:rFonts w:ascii="Arial" w:hAnsi="Arial" w:cs="Arial"/>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_Ref109200306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69</w:t>
      </w:r>
      <w:r w:rsidR="00B61A7C">
        <w:rPr>
          <w:rFonts w:ascii="Arial" w:hAnsi="Arial" w:cs="Arial"/>
          <w:sz w:val="18"/>
          <w:szCs w:val="18"/>
        </w:rPr>
        <w:fldChar w:fldCharType="end"/>
      </w:r>
      <w:r w:rsidR="00666049" w:rsidRPr="002800C1">
        <w:rPr>
          <w:rFonts w:ascii="Arial" w:hAnsi="Arial" w:cs="Arial"/>
          <w:sz w:val="18"/>
          <w:szCs w:val="18"/>
        </w:rPr>
        <w:t xml:space="preserve">. </w:t>
      </w:r>
    </w:p>
  </w:footnote>
  <w:footnote w:id="72">
    <w:p w14:paraId="519875CA" w14:textId="0AB96F79" w:rsidR="00B6752B" w:rsidRPr="00CF32A2" w:rsidRDefault="00B6752B" w:rsidP="003B0320">
      <w:pPr>
        <w:pStyle w:val="Heading1"/>
        <w:spacing w:before="0" w:beforeAutospacing="0" w:after="0" w:afterAutospacing="0"/>
        <w:rPr>
          <w:rFonts w:ascii="Arial" w:hAnsi="Arial" w:cs="Arial"/>
          <w:b w:val="0"/>
          <w:bCs w:val="0"/>
          <w:color w:val="000000" w:themeColor="text1"/>
          <w:sz w:val="18"/>
          <w:szCs w:val="18"/>
        </w:rPr>
      </w:pPr>
      <w:r w:rsidRPr="002800C1">
        <w:rPr>
          <w:rStyle w:val="FootnoteReference"/>
          <w:rFonts w:ascii="Arial" w:hAnsi="Arial" w:cs="Arial"/>
          <w:b w:val="0"/>
          <w:bCs w:val="0"/>
          <w:sz w:val="18"/>
          <w:szCs w:val="18"/>
        </w:rPr>
        <w:footnoteRef/>
      </w:r>
      <w:r w:rsidRPr="002800C1">
        <w:rPr>
          <w:rFonts w:ascii="Arial" w:hAnsi="Arial" w:cs="Arial"/>
          <w:b w:val="0"/>
          <w:bCs w:val="0"/>
          <w:sz w:val="18"/>
          <w:szCs w:val="18"/>
        </w:rPr>
        <w:t xml:space="preserve"> </w:t>
      </w:r>
      <w:r w:rsidR="003B0320" w:rsidRPr="00CF32A2">
        <w:rPr>
          <w:rFonts w:ascii="Arial" w:hAnsi="Arial" w:cs="Arial"/>
          <w:b w:val="0"/>
          <w:bCs w:val="0"/>
          <w:color w:val="000000" w:themeColor="text1"/>
          <w:sz w:val="18"/>
          <w:szCs w:val="18"/>
        </w:rPr>
        <w:t xml:space="preserve">Hosseini &amp; Taaffe, </w:t>
      </w:r>
      <w:hyperlink r:id="rId46" w:history="1">
        <w:r w:rsidR="003B0320" w:rsidRPr="00CF32A2">
          <w:rPr>
            <w:rStyle w:val="Hyperlink"/>
            <w:rFonts w:ascii="Arial" w:hAnsi="Arial" w:cs="Arial"/>
            <w:b w:val="0"/>
            <w:bCs w:val="0"/>
            <w:i/>
            <w:iCs/>
            <w:color w:val="000000" w:themeColor="text1"/>
            <w:sz w:val="18"/>
            <w:szCs w:val="18"/>
            <w:u w:val="none"/>
          </w:rPr>
          <w:t>Allocating operating room block time using historical caseload variability</w:t>
        </w:r>
      </w:hyperlink>
      <w:r w:rsidR="003B0320" w:rsidRPr="00CF32A2">
        <w:rPr>
          <w:rFonts w:ascii="Arial" w:hAnsi="Arial" w:cs="Arial"/>
          <w:b w:val="0"/>
          <w:bCs w:val="0"/>
          <w:color w:val="000000" w:themeColor="text1"/>
          <w:sz w:val="18"/>
          <w:szCs w:val="18"/>
        </w:rPr>
        <w:t xml:space="preserve">, </w:t>
      </w:r>
      <w:r w:rsidR="003B0320" w:rsidRPr="00CF32A2">
        <w:rPr>
          <w:rFonts w:ascii="Arial" w:hAnsi="Arial" w:cs="Arial"/>
          <w:b w:val="0"/>
          <w:bCs w:val="0"/>
          <w:smallCaps/>
          <w:color w:val="000000" w:themeColor="text1"/>
          <w:sz w:val="18"/>
          <w:szCs w:val="18"/>
        </w:rPr>
        <w:t>Health Care Management Science</w:t>
      </w:r>
      <w:r w:rsidR="003B0320" w:rsidRPr="00CF32A2">
        <w:rPr>
          <w:rFonts w:ascii="Arial" w:hAnsi="Arial" w:cs="Arial"/>
          <w:b w:val="0"/>
          <w:bCs w:val="0"/>
          <w:color w:val="000000" w:themeColor="text1"/>
          <w:sz w:val="18"/>
          <w:szCs w:val="18"/>
        </w:rPr>
        <w:t xml:space="preserve"> (2015), </w:t>
      </w:r>
      <w:r w:rsidR="003B0320" w:rsidRPr="00CF32A2">
        <w:rPr>
          <w:rFonts w:ascii="Arial" w:hAnsi="Arial" w:cs="Arial"/>
          <w:b w:val="0"/>
          <w:bCs w:val="0"/>
          <w:i/>
          <w:iCs/>
          <w:color w:val="000000" w:themeColor="text1"/>
          <w:sz w:val="18"/>
          <w:szCs w:val="18"/>
        </w:rPr>
        <w:t>available at</w:t>
      </w:r>
      <w:r w:rsidR="003B0320" w:rsidRPr="00CF32A2">
        <w:rPr>
          <w:rFonts w:ascii="Arial" w:hAnsi="Arial" w:cs="Arial"/>
          <w:b w:val="0"/>
          <w:bCs w:val="0"/>
          <w:color w:val="000000" w:themeColor="text1"/>
          <w:sz w:val="18"/>
          <w:szCs w:val="18"/>
        </w:rPr>
        <w:t xml:space="preserve"> </w:t>
      </w:r>
      <w:hyperlink r:id="rId47" w:history="1">
        <w:r w:rsidR="00CF32A2" w:rsidRPr="00CF32A2">
          <w:rPr>
            <w:rStyle w:val="Hyperlink"/>
            <w:rFonts w:ascii="Arial" w:hAnsi="Arial" w:cs="Arial"/>
            <w:b w:val="0"/>
            <w:bCs w:val="0"/>
            <w:color w:val="000000" w:themeColor="text1"/>
            <w:sz w:val="18"/>
            <w:szCs w:val="18"/>
          </w:rPr>
          <w:t>https://www.researchgate.net/publication/260485339_Allocating_operating_room_block_time_using_historical_caseload_variability</w:t>
        </w:r>
      </w:hyperlink>
      <w:r w:rsidR="00CF32A2" w:rsidRPr="00CF32A2">
        <w:rPr>
          <w:rFonts w:ascii="Arial" w:hAnsi="Arial" w:cs="Arial"/>
          <w:b w:val="0"/>
          <w:bCs w:val="0"/>
          <w:color w:val="000000" w:themeColor="text1"/>
          <w:sz w:val="18"/>
          <w:szCs w:val="18"/>
        </w:rPr>
        <w:t xml:space="preserve"> </w:t>
      </w:r>
      <w:r w:rsidR="003B0320" w:rsidRPr="00CF32A2">
        <w:rPr>
          <w:rFonts w:ascii="Arial" w:hAnsi="Arial" w:cs="Arial"/>
          <w:b w:val="0"/>
          <w:bCs w:val="0"/>
          <w:color w:val="000000" w:themeColor="text1"/>
          <w:sz w:val="18"/>
          <w:szCs w:val="18"/>
        </w:rPr>
        <w:t xml:space="preserve">; </w:t>
      </w:r>
      <w:hyperlink r:id="rId48" w:history="1">
        <w:r w:rsidR="003B0320" w:rsidRPr="00CF32A2">
          <w:rPr>
            <w:rStyle w:val="Hyperlink"/>
            <w:rFonts w:ascii="Arial" w:hAnsi="Arial" w:cs="Arial"/>
            <w:b w:val="0"/>
            <w:bCs w:val="0"/>
            <w:i/>
            <w:iCs/>
            <w:color w:val="000000" w:themeColor="text1"/>
            <w:sz w:val="18"/>
            <w:szCs w:val="18"/>
            <w:u w:val="none"/>
          </w:rPr>
          <w:t>What is Surgical Block Utilization?</w:t>
        </w:r>
        <w:r w:rsidR="003B0320" w:rsidRPr="00CF32A2">
          <w:rPr>
            <w:rStyle w:val="Hyperlink"/>
            <w:rFonts w:ascii="Arial" w:hAnsi="Arial" w:cs="Arial"/>
            <w:b w:val="0"/>
            <w:bCs w:val="0"/>
            <w:color w:val="000000" w:themeColor="text1"/>
            <w:sz w:val="18"/>
            <w:szCs w:val="18"/>
            <w:u w:val="none"/>
          </w:rPr>
          <w:t>,</w:t>
        </w:r>
      </w:hyperlink>
      <w:r w:rsidR="003B0320" w:rsidRPr="00CF32A2">
        <w:rPr>
          <w:rFonts w:ascii="Arial" w:hAnsi="Arial" w:cs="Arial"/>
          <w:b w:val="0"/>
          <w:bCs w:val="0"/>
          <w:color w:val="000000" w:themeColor="text1"/>
          <w:sz w:val="18"/>
          <w:szCs w:val="18"/>
        </w:rPr>
        <w:t xml:space="preserve"> </w:t>
      </w:r>
      <w:r w:rsidR="003B0320" w:rsidRPr="00CF32A2">
        <w:rPr>
          <w:rFonts w:ascii="Arial" w:hAnsi="Arial" w:cs="Arial"/>
          <w:b w:val="0"/>
          <w:bCs w:val="0"/>
          <w:smallCaps/>
          <w:color w:val="000000" w:themeColor="text1"/>
          <w:sz w:val="18"/>
          <w:szCs w:val="18"/>
        </w:rPr>
        <w:t>Case CTRL</w:t>
      </w:r>
      <w:r w:rsidR="003B0320" w:rsidRPr="00CF32A2">
        <w:rPr>
          <w:rFonts w:ascii="Arial" w:hAnsi="Arial" w:cs="Arial"/>
          <w:b w:val="0"/>
          <w:bCs w:val="0"/>
          <w:color w:val="000000" w:themeColor="text1"/>
          <w:sz w:val="18"/>
          <w:szCs w:val="18"/>
        </w:rPr>
        <w:t xml:space="preserve"> (2021), </w:t>
      </w:r>
      <w:hyperlink r:id="rId49" w:history="1">
        <w:r w:rsidR="00CF32A2" w:rsidRPr="00CF32A2">
          <w:rPr>
            <w:rStyle w:val="Hyperlink"/>
            <w:rFonts w:ascii="Arial" w:hAnsi="Arial" w:cs="Arial"/>
            <w:b w:val="0"/>
            <w:bCs w:val="0"/>
            <w:color w:val="000000" w:themeColor="text1"/>
            <w:sz w:val="18"/>
            <w:szCs w:val="18"/>
          </w:rPr>
          <w:t>https://blog.casectrl.com/what-is-surgical-block-utilization</w:t>
        </w:r>
      </w:hyperlink>
      <w:r w:rsidR="00CF32A2" w:rsidRPr="00CF32A2">
        <w:rPr>
          <w:rFonts w:ascii="Arial" w:hAnsi="Arial" w:cs="Arial"/>
          <w:b w:val="0"/>
          <w:bCs w:val="0"/>
          <w:color w:val="000000" w:themeColor="text1"/>
          <w:sz w:val="18"/>
          <w:szCs w:val="18"/>
        </w:rPr>
        <w:t xml:space="preserve"> </w:t>
      </w:r>
      <w:r w:rsidR="003B0320" w:rsidRPr="00CF32A2">
        <w:rPr>
          <w:rFonts w:ascii="Arial" w:hAnsi="Arial" w:cs="Arial"/>
          <w:b w:val="0"/>
          <w:bCs w:val="0"/>
          <w:color w:val="000000" w:themeColor="text1"/>
          <w:sz w:val="18"/>
          <w:szCs w:val="18"/>
        </w:rPr>
        <w:t xml:space="preserve"> (last visited Jul. 20, 2022); Moshier &amp; Ulep, </w:t>
      </w:r>
      <w:r w:rsidR="003B0320" w:rsidRPr="00CF32A2">
        <w:rPr>
          <w:rFonts w:ascii="Arial" w:hAnsi="Arial" w:cs="Arial"/>
          <w:b w:val="0"/>
          <w:bCs w:val="0"/>
          <w:i/>
          <w:iCs/>
          <w:color w:val="000000" w:themeColor="text1"/>
          <w:sz w:val="18"/>
          <w:szCs w:val="18"/>
        </w:rPr>
        <w:t>Key metrics to improve your operating room utilization</w:t>
      </w:r>
      <w:r w:rsidR="003B0320" w:rsidRPr="00CF32A2">
        <w:rPr>
          <w:rFonts w:ascii="Arial" w:hAnsi="Arial" w:cs="Arial"/>
          <w:b w:val="0"/>
          <w:bCs w:val="0"/>
          <w:color w:val="000000" w:themeColor="text1"/>
          <w:sz w:val="18"/>
          <w:szCs w:val="18"/>
        </w:rPr>
        <w:t xml:space="preserve">, </w:t>
      </w:r>
      <w:r w:rsidR="003B0320" w:rsidRPr="00CF32A2">
        <w:rPr>
          <w:rFonts w:ascii="Arial" w:hAnsi="Arial" w:cs="Arial"/>
          <w:b w:val="0"/>
          <w:bCs w:val="0"/>
          <w:smallCaps/>
          <w:color w:val="000000" w:themeColor="text1"/>
          <w:sz w:val="18"/>
          <w:szCs w:val="18"/>
        </w:rPr>
        <w:t>Plante Moran</w:t>
      </w:r>
      <w:r w:rsidR="003B0320" w:rsidRPr="00CF32A2">
        <w:rPr>
          <w:rFonts w:ascii="Arial" w:hAnsi="Arial" w:cs="Arial"/>
          <w:b w:val="0"/>
          <w:bCs w:val="0"/>
          <w:color w:val="000000" w:themeColor="text1"/>
          <w:sz w:val="18"/>
          <w:szCs w:val="18"/>
        </w:rPr>
        <w:t xml:space="preserve"> (2019), </w:t>
      </w:r>
      <w:hyperlink r:id="rId50" w:history="1">
        <w:r w:rsidR="00CF32A2" w:rsidRPr="00CF32A2">
          <w:rPr>
            <w:rStyle w:val="Hyperlink"/>
            <w:rFonts w:ascii="Arial" w:hAnsi="Arial" w:cs="Arial"/>
            <w:b w:val="0"/>
            <w:bCs w:val="0"/>
            <w:color w:val="000000" w:themeColor="text1"/>
            <w:sz w:val="18"/>
            <w:szCs w:val="18"/>
          </w:rPr>
          <w:t>https://www.plantemoran.com/explore-our-thinking/insight/2019/02/key-metrics-to-improve-your-operating-room-utilization</w:t>
        </w:r>
      </w:hyperlink>
      <w:r w:rsidR="00CF32A2" w:rsidRPr="00CF32A2">
        <w:rPr>
          <w:rFonts w:ascii="Arial" w:hAnsi="Arial" w:cs="Arial"/>
          <w:b w:val="0"/>
          <w:bCs w:val="0"/>
          <w:color w:val="000000" w:themeColor="text1"/>
          <w:sz w:val="18"/>
          <w:szCs w:val="18"/>
        </w:rPr>
        <w:t xml:space="preserve"> </w:t>
      </w:r>
      <w:r w:rsidR="003B0320" w:rsidRPr="00CF32A2">
        <w:rPr>
          <w:rFonts w:ascii="Arial" w:hAnsi="Arial" w:cs="Arial"/>
          <w:b w:val="0"/>
          <w:bCs w:val="0"/>
          <w:color w:val="000000" w:themeColor="text1"/>
          <w:sz w:val="18"/>
          <w:szCs w:val="18"/>
        </w:rPr>
        <w:t xml:space="preserve"> (last visited Jul. 20, 2022).</w:t>
      </w:r>
    </w:p>
  </w:footnote>
  <w:footnote w:id="73">
    <w:p w14:paraId="04EEDEB1" w14:textId="613924CA" w:rsidR="00D06416" w:rsidRPr="002800C1" w:rsidRDefault="00D06416" w:rsidP="003B0320">
      <w:pPr>
        <w:pStyle w:val="NormalWeb"/>
        <w:spacing w:before="0" w:beforeAutospacing="0" w:after="0" w:afterAutospacing="0"/>
        <w:rPr>
          <w:rFonts w:ascii="Arial" w:hAnsi="Arial" w:cs="Arial"/>
          <w:sz w:val="18"/>
          <w:szCs w:val="18"/>
        </w:rPr>
      </w:pPr>
      <w:r w:rsidRPr="00CF32A2">
        <w:rPr>
          <w:rStyle w:val="FootnoteReference"/>
          <w:rFonts w:ascii="Arial" w:hAnsi="Arial" w:cs="Arial"/>
          <w:color w:val="000000" w:themeColor="text1"/>
          <w:sz w:val="18"/>
          <w:szCs w:val="18"/>
        </w:rPr>
        <w:footnoteRef/>
      </w:r>
      <w:r w:rsidRPr="00CF32A2">
        <w:rPr>
          <w:rFonts w:ascii="Arial" w:hAnsi="Arial" w:cs="Arial"/>
          <w:color w:val="000000" w:themeColor="text1"/>
          <w:sz w:val="18"/>
          <w:szCs w:val="18"/>
        </w:rPr>
        <w:t xml:space="preserve"> </w:t>
      </w:r>
      <w:r w:rsidR="003B0320" w:rsidRPr="00CF32A2">
        <w:rPr>
          <w:rFonts w:ascii="Arial" w:hAnsi="Arial" w:cs="Arial"/>
          <w:color w:val="000000" w:themeColor="text1"/>
          <w:spacing w:val="-2"/>
          <w:sz w:val="18"/>
          <w:szCs w:val="18"/>
        </w:rPr>
        <w:t xml:space="preserve">Fu, et al., </w:t>
      </w:r>
      <w:hyperlink r:id="rId51" w:history="1">
        <w:r w:rsidR="003B0320" w:rsidRPr="00CF32A2">
          <w:rPr>
            <w:rStyle w:val="Hyperlink"/>
            <w:rFonts w:ascii="Arial" w:hAnsi="Arial" w:cs="Arial"/>
            <w:i/>
            <w:iCs/>
            <w:color w:val="000000" w:themeColor="text1"/>
            <w:spacing w:val="-2"/>
            <w:sz w:val="18"/>
            <w:szCs w:val="18"/>
            <w:u w:val="none"/>
          </w:rPr>
          <w:t>The Consequences of Delaying Elective Surgery: Surgical Perspective</w:t>
        </w:r>
      </w:hyperlink>
      <w:r w:rsidR="003B0320" w:rsidRPr="00CF32A2">
        <w:rPr>
          <w:rFonts w:ascii="Arial" w:hAnsi="Arial" w:cs="Arial"/>
          <w:color w:val="000000" w:themeColor="text1"/>
          <w:spacing w:val="-2"/>
          <w:sz w:val="18"/>
          <w:szCs w:val="18"/>
        </w:rPr>
        <w:t xml:space="preserve">, 272 </w:t>
      </w:r>
      <w:r w:rsidR="003B0320" w:rsidRPr="00CF32A2">
        <w:rPr>
          <w:rFonts w:ascii="Arial" w:hAnsi="Arial" w:cs="Arial"/>
          <w:smallCaps/>
          <w:color w:val="000000" w:themeColor="text1"/>
          <w:spacing w:val="-2"/>
          <w:sz w:val="18"/>
          <w:szCs w:val="18"/>
        </w:rPr>
        <w:t>Ann. Surg.</w:t>
      </w:r>
      <w:r w:rsidR="003B0320" w:rsidRPr="00CF32A2">
        <w:rPr>
          <w:rFonts w:ascii="Arial" w:hAnsi="Arial" w:cs="Arial"/>
          <w:color w:val="000000" w:themeColor="text1"/>
          <w:spacing w:val="-2"/>
          <w:sz w:val="18"/>
          <w:szCs w:val="18"/>
        </w:rPr>
        <w:t xml:space="preserve"> e79 (2020), available at</w:t>
      </w:r>
      <w:r w:rsidR="003B0320" w:rsidRPr="00CF32A2">
        <w:rPr>
          <w:rFonts w:ascii="Arial" w:hAnsi="Arial" w:cs="Arial"/>
          <w:b/>
          <w:bCs/>
          <w:color w:val="000000" w:themeColor="text1"/>
          <w:spacing w:val="-2"/>
          <w:sz w:val="18"/>
          <w:szCs w:val="18"/>
        </w:rPr>
        <w:t xml:space="preserve"> </w:t>
      </w:r>
      <w:hyperlink r:id="rId52" w:history="1">
        <w:r w:rsidR="00CF32A2" w:rsidRPr="00CF32A2">
          <w:rPr>
            <w:rStyle w:val="Hyperlink"/>
            <w:rFonts w:ascii="Arial" w:hAnsi="Arial" w:cs="Arial"/>
            <w:color w:val="000000" w:themeColor="text1"/>
            <w:spacing w:val="-2"/>
            <w:sz w:val="18"/>
            <w:szCs w:val="18"/>
          </w:rPr>
          <w:t>https://www.ncbi.nlm.nih.gov/pmc/articles/PMC7224620/</w:t>
        </w:r>
      </w:hyperlink>
      <w:r w:rsidR="00CF32A2" w:rsidRPr="00CF32A2">
        <w:rPr>
          <w:rFonts w:ascii="Arial" w:hAnsi="Arial" w:cs="Arial"/>
          <w:color w:val="000000" w:themeColor="text1"/>
          <w:spacing w:val="-2"/>
          <w:sz w:val="18"/>
          <w:szCs w:val="18"/>
        </w:rPr>
        <w:t xml:space="preserve"> </w:t>
      </w:r>
      <w:r w:rsidR="003B0320" w:rsidRPr="00CF32A2">
        <w:rPr>
          <w:rFonts w:ascii="Arial" w:hAnsi="Arial" w:cs="Arial"/>
          <w:b/>
          <w:bCs/>
          <w:color w:val="000000" w:themeColor="text1"/>
          <w:spacing w:val="-2"/>
          <w:sz w:val="18"/>
          <w:szCs w:val="18"/>
        </w:rPr>
        <w:t>;</w:t>
      </w:r>
      <w:r w:rsidR="003B0320" w:rsidRPr="00CF32A2">
        <w:rPr>
          <w:rFonts w:ascii="Arial" w:hAnsi="Arial" w:cs="Arial"/>
          <w:color w:val="000000" w:themeColor="text1"/>
          <w:sz w:val="18"/>
          <w:szCs w:val="18"/>
        </w:rPr>
        <w:t>.</w:t>
      </w:r>
    </w:p>
  </w:footnote>
  <w:footnote w:id="74">
    <w:p w14:paraId="75AB6731" w14:textId="003D63E7" w:rsidR="004B2B2D" w:rsidRPr="002800C1" w:rsidRDefault="004B2B2D" w:rsidP="004B2B2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3B0320" w:rsidRPr="002800C1">
        <w:rPr>
          <w:rFonts w:ascii="Arial" w:hAnsi="Arial" w:cs="Arial"/>
          <w:sz w:val="18"/>
          <w:szCs w:val="18"/>
        </w:rPr>
        <w:t xml:space="preserve">Van Winkle, et al., </w:t>
      </w:r>
      <w:r w:rsidR="003B0320" w:rsidRPr="002800C1">
        <w:rPr>
          <w:rFonts w:ascii="Arial" w:hAnsi="Arial" w:cs="Arial"/>
          <w:i/>
          <w:iCs/>
          <w:sz w:val="18"/>
          <w:szCs w:val="18"/>
        </w:rPr>
        <w:t>supra</w:t>
      </w:r>
      <w:r w:rsidR="003B0320" w:rsidRPr="002800C1">
        <w:rPr>
          <w:rFonts w:ascii="Arial" w:hAnsi="Arial" w:cs="Arial"/>
          <w:sz w:val="18"/>
          <w:szCs w:val="18"/>
        </w:rPr>
        <w:t xml:space="preserve"> note </w:t>
      </w:r>
      <w:r w:rsidR="002800C1">
        <w:rPr>
          <w:rFonts w:ascii="Arial" w:hAnsi="Arial" w:cs="Arial"/>
          <w:sz w:val="18"/>
          <w:szCs w:val="18"/>
        </w:rPr>
        <w:fldChar w:fldCharType="begin"/>
      </w:r>
      <w:r w:rsidR="002800C1">
        <w:rPr>
          <w:rFonts w:ascii="Arial" w:hAnsi="Arial" w:cs="Arial"/>
          <w:sz w:val="18"/>
          <w:szCs w:val="18"/>
        </w:rPr>
        <w:instrText xml:space="preserve"> NOTEREF _Ref109315176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59</w:t>
      </w:r>
      <w:r w:rsidR="002800C1">
        <w:rPr>
          <w:rFonts w:ascii="Arial" w:hAnsi="Arial" w:cs="Arial"/>
          <w:sz w:val="18"/>
          <w:szCs w:val="18"/>
        </w:rPr>
        <w:fldChar w:fldCharType="end"/>
      </w:r>
      <w:r w:rsidR="00140782" w:rsidRPr="002800C1">
        <w:rPr>
          <w:rFonts w:ascii="Arial" w:hAnsi="Arial" w:cs="Arial"/>
          <w:sz w:val="18"/>
          <w:szCs w:val="18"/>
        </w:rPr>
        <w:t>.</w:t>
      </w:r>
    </w:p>
  </w:footnote>
  <w:footnote w:id="75">
    <w:p w14:paraId="4BA2C9BF" w14:textId="5F90C864" w:rsidR="004B2B2D" w:rsidRPr="002800C1" w:rsidRDefault="004B2B2D" w:rsidP="004B2B2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40782" w:rsidRPr="002800C1">
        <w:rPr>
          <w:rFonts w:ascii="Arial" w:hAnsi="Arial" w:cs="Arial"/>
          <w:sz w:val="18"/>
          <w:szCs w:val="18"/>
        </w:rPr>
        <w:t xml:space="preserve">Van Winkle, et al., </w:t>
      </w:r>
      <w:r w:rsidR="00140782" w:rsidRPr="002800C1">
        <w:rPr>
          <w:rFonts w:ascii="Arial" w:hAnsi="Arial" w:cs="Arial"/>
          <w:i/>
          <w:iCs/>
          <w:sz w:val="18"/>
          <w:szCs w:val="18"/>
        </w:rPr>
        <w:t>supra</w:t>
      </w:r>
      <w:r w:rsidR="00140782"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_Ref109315176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59</w:t>
      </w:r>
      <w:r w:rsidR="002800C1">
        <w:rPr>
          <w:rFonts w:ascii="Arial" w:hAnsi="Arial" w:cs="Arial"/>
          <w:sz w:val="18"/>
          <w:szCs w:val="18"/>
        </w:rPr>
        <w:fldChar w:fldCharType="end"/>
      </w:r>
      <w:r w:rsidR="00140782" w:rsidRPr="002800C1">
        <w:rPr>
          <w:rFonts w:ascii="Arial" w:hAnsi="Arial" w:cs="Arial"/>
          <w:sz w:val="18"/>
          <w:szCs w:val="18"/>
        </w:rPr>
        <w:t>.</w:t>
      </w:r>
    </w:p>
  </w:footnote>
  <w:footnote w:id="76">
    <w:p w14:paraId="34F7AC60" w14:textId="3C5151E3" w:rsidR="00D06416" w:rsidRPr="002800C1" w:rsidRDefault="00D06416">
      <w:pPr>
        <w:pStyle w:val="FootnoteText"/>
        <w:rPr>
          <w:rFonts w:ascii="Arial" w:hAnsi="Arial" w:cs="Arial"/>
          <w:sz w:val="18"/>
          <w:szCs w:val="18"/>
          <w:highlight w:val="yellow"/>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40782" w:rsidRPr="002800C1">
        <w:rPr>
          <w:rFonts w:ascii="Arial" w:hAnsi="Arial" w:cs="Arial"/>
          <w:sz w:val="18"/>
          <w:szCs w:val="18"/>
        </w:rPr>
        <w:t xml:space="preserve">Van Winkle, et al., </w:t>
      </w:r>
      <w:r w:rsidR="00140782" w:rsidRPr="002800C1">
        <w:rPr>
          <w:rFonts w:ascii="Arial" w:hAnsi="Arial" w:cs="Arial"/>
          <w:i/>
          <w:iCs/>
          <w:sz w:val="18"/>
          <w:szCs w:val="18"/>
        </w:rPr>
        <w:t>supra</w:t>
      </w:r>
      <w:r w:rsidR="00140782"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_Ref109315176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59</w:t>
      </w:r>
      <w:r w:rsidR="002800C1">
        <w:rPr>
          <w:rFonts w:ascii="Arial" w:hAnsi="Arial" w:cs="Arial"/>
          <w:sz w:val="18"/>
          <w:szCs w:val="18"/>
        </w:rPr>
        <w:fldChar w:fldCharType="end"/>
      </w:r>
      <w:r w:rsidR="00140782" w:rsidRPr="002800C1">
        <w:rPr>
          <w:rFonts w:ascii="Arial" w:hAnsi="Arial" w:cs="Arial"/>
          <w:sz w:val="18"/>
          <w:szCs w:val="18"/>
        </w:rPr>
        <w:t>.</w:t>
      </w:r>
    </w:p>
  </w:footnote>
  <w:footnote w:id="77">
    <w:p w14:paraId="3123BC89" w14:textId="411AFF24" w:rsidR="00FE192D" w:rsidRPr="002800C1" w:rsidRDefault="00FE192D" w:rsidP="00FE192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40782" w:rsidRPr="002800C1">
        <w:rPr>
          <w:rFonts w:ascii="Arial" w:hAnsi="Arial" w:cs="Arial"/>
          <w:color w:val="000000"/>
          <w:spacing w:val="-2"/>
          <w:sz w:val="18"/>
          <w:szCs w:val="18"/>
        </w:rPr>
        <w:t>Fu, et al.,</w:t>
      </w:r>
      <w:r w:rsidR="00140782" w:rsidRPr="002800C1">
        <w:rPr>
          <w:rFonts w:ascii="Arial" w:hAnsi="Arial" w:cs="Arial"/>
          <w:sz w:val="18"/>
          <w:szCs w:val="18"/>
        </w:rPr>
        <w:t xml:space="preserve"> </w:t>
      </w:r>
      <w:r w:rsidR="00140782" w:rsidRPr="002800C1">
        <w:rPr>
          <w:rFonts w:ascii="Arial" w:hAnsi="Arial" w:cs="Arial"/>
          <w:i/>
          <w:iCs/>
          <w:sz w:val="18"/>
          <w:szCs w:val="18"/>
        </w:rPr>
        <w:t>supra</w:t>
      </w:r>
      <w:r w:rsidR="00140782"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140782" w:rsidRPr="002800C1">
        <w:rPr>
          <w:rFonts w:ascii="Arial" w:hAnsi="Arial" w:cs="Arial"/>
          <w:sz w:val="18"/>
          <w:szCs w:val="18"/>
        </w:rPr>
        <w:t>.</w:t>
      </w:r>
    </w:p>
  </w:footnote>
  <w:footnote w:id="78">
    <w:p w14:paraId="4304B301" w14:textId="7393A4E0" w:rsidR="00FE192D" w:rsidRPr="002800C1" w:rsidRDefault="00FE192D" w:rsidP="00FE192D">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40782" w:rsidRPr="002800C1">
        <w:rPr>
          <w:rFonts w:ascii="Arial" w:hAnsi="Arial" w:cs="Arial"/>
          <w:color w:val="000000"/>
          <w:spacing w:val="-2"/>
          <w:sz w:val="18"/>
          <w:szCs w:val="18"/>
        </w:rPr>
        <w:t>Fu, et al.,</w:t>
      </w:r>
      <w:r w:rsidR="00140782" w:rsidRPr="002800C1">
        <w:rPr>
          <w:rFonts w:ascii="Arial" w:hAnsi="Arial" w:cs="Arial"/>
          <w:sz w:val="18"/>
          <w:szCs w:val="18"/>
        </w:rPr>
        <w:t xml:space="preserve"> </w:t>
      </w:r>
      <w:r w:rsidR="00140782" w:rsidRPr="002800C1">
        <w:rPr>
          <w:rFonts w:ascii="Arial" w:hAnsi="Arial" w:cs="Arial"/>
          <w:i/>
          <w:iCs/>
          <w:sz w:val="18"/>
          <w:szCs w:val="18"/>
        </w:rPr>
        <w:t>supra</w:t>
      </w:r>
      <w:r w:rsidR="00140782"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140782" w:rsidRPr="002800C1">
        <w:rPr>
          <w:rFonts w:ascii="Arial" w:hAnsi="Arial" w:cs="Arial"/>
          <w:sz w:val="18"/>
          <w:szCs w:val="18"/>
        </w:rPr>
        <w:t>.</w:t>
      </w:r>
    </w:p>
  </w:footnote>
  <w:footnote w:id="79">
    <w:p w14:paraId="26540209" w14:textId="7FB30F29" w:rsidR="00FE192D" w:rsidRPr="002800C1" w:rsidRDefault="00FE192D" w:rsidP="00FE192D">
      <w:pPr>
        <w:pStyle w:val="FootnoteText"/>
        <w:rPr>
          <w:rFonts w:ascii="Arial" w:hAnsi="Arial" w:cs="Arial"/>
          <w:sz w:val="18"/>
          <w:szCs w:val="18"/>
          <w:highlight w:val="yellow"/>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140782" w:rsidRPr="002800C1">
        <w:rPr>
          <w:rFonts w:ascii="Arial" w:hAnsi="Arial" w:cs="Arial"/>
          <w:color w:val="000000"/>
          <w:spacing w:val="-2"/>
          <w:sz w:val="18"/>
          <w:szCs w:val="18"/>
        </w:rPr>
        <w:t>Fu, et al.,</w:t>
      </w:r>
      <w:r w:rsidR="00140782" w:rsidRPr="002800C1">
        <w:rPr>
          <w:rFonts w:ascii="Arial" w:hAnsi="Arial" w:cs="Arial"/>
          <w:sz w:val="18"/>
          <w:szCs w:val="18"/>
        </w:rPr>
        <w:t xml:space="preserve"> </w:t>
      </w:r>
      <w:r w:rsidR="00140782" w:rsidRPr="002800C1">
        <w:rPr>
          <w:rFonts w:ascii="Arial" w:hAnsi="Arial" w:cs="Arial"/>
          <w:i/>
          <w:iCs/>
          <w:sz w:val="18"/>
          <w:szCs w:val="18"/>
        </w:rPr>
        <w:t>supra</w:t>
      </w:r>
      <w:r w:rsidR="00140782"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140782" w:rsidRPr="002800C1">
        <w:rPr>
          <w:rFonts w:ascii="Arial" w:hAnsi="Arial" w:cs="Arial"/>
          <w:sz w:val="18"/>
          <w:szCs w:val="18"/>
        </w:rPr>
        <w:t>.</w:t>
      </w:r>
    </w:p>
  </w:footnote>
  <w:footnote w:id="80">
    <w:p w14:paraId="0B0C532E" w14:textId="7026F494" w:rsidR="000E2633" w:rsidRPr="002800C1" w:rsidRDefault="000E2633">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5B2698" w:rsidRPr="002800C1">
        <w:rPr>
          <w:rFonts w:ascii="Arial" w:hAnsi="Arial" w:cs="Arial"/>
          <w:color w:val="000000"/>
          <w:spacing w:val="-2"/>
          <w:sz w:val="18"/>
          <w:szCs w:val="18"/>
        </w:rPr>
        <w:t>Fu, et al.,</w:t>
      </w:r>
      <w:r w:rsidR="005B2698" w:rsidRPr="002800C1">
        <w:rPr>
          <w:rFonts w:ascii="Arial" w:hAnsi="Arial" w:cs="Arial"/>
          <w:sz w:val="18"/>
          <w:szCs w:val="18"/>
        </w:rPr>
        <w:t xml:space="preserve"> </w:t>
      </w:r>
      <w:r w:rsidR="005B2698" w:rsidRPr="002800C1">
        <w:rPr>
          <w:rFonts w:ascii="Arial" w:hAnsi="Arial" w:cs="Arial"/>
          <w:i/>
          <w:iCs/>
          <w:sz w:val="18"/>
          <w:szCs w:val="18"/>
        </w:rPr>
        <w:t>supra</w:t>
      </w:r>
      <w:r w:rsidR="005B2698"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5B2698" w:rsidRPr="002800C1">
        <w:rPr>
          <w:rFonts w:ascii="Arial" w:hAnsi="Arial" w:cs="Arial"/>
          <w:sz w:val="18"/>
          <w:szCs w:val="18"/>
        </w:rPr>
        <w:t>.</w:t>
      </w:r>
    </w:p>
  </w:footnote>
  <w:footnote w:id="81">
    <w:p w14:paraId="3FC3EFFB" w14:textId="0A02640F" w:rsidR="000E2633" w:rsidRPr="002800C1" w:rsidRDefault="000E2633">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5B2698" w:rsidRPr="002800C1">
        <w:rPr>
          <w:rFonts w:ascii="Arial" w:hAnsi="Arial" w:cs="Arial"/>
          <w:color w:val="000000"/>
          <w:spacing w:val="-2"/>
          <w:sz w:val="18"/>
          <w:szCs w:val="18"/>
        </w:rPr>
        <w:t>Fu, et al.,</w:t>
      </w:r>
      <w:r w:rsidR="005B2698" w:rsidRPr="002800C1">
        <w:rPr>
          <w:rFonts w:ascii="Arial" w:hAnsi="Arial" w:cs="Arial"/>
          <w:sz w:val="18"/>
          <w:szCs w:val="18"/>
        </w:rPr>
        <w:t xml:space="preserve"> </w:t>
      </w:r>
      <w:r w:rsidR="005B2698" w:rsidRPr="002800C1">
        <w:rPr>
          <w:rFonts w:ascii="Arial" w:hAnsi="Arial" w:cs="Arial"/>
          <w:i/>
          <w:iCs/>
          <w:sz w:val="18"/>
          <w:szCs w:val="18"/>
        </w:rPr>
        <w:t>supra</w:t>
      </w:r>
      <w:r w:rsidR="005B2698"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5B2698" w:rsidRPr="002800C1">
        <w:rPr>
          <w:rFonts w:ascii="Arial" w:hAnsi="Arial" w:cs="Arial"/>
          <w:sz w:val="18"/>
          <w:szCs w:val="18"/>
        </w:rPr>
        <w:t>.</w:t>
      </w:r>
    </w:p>
  </w:footnote>
  <w:footnote w:id="82">
    <w:p w14:paraId="1CE2E0EE" w14:textId="6141FAA9" w:rsidR="000E2633" w:rsidRPr="002800C1" w:rsidRDefault="000E2633">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005B2698" w:rsidRPr="002800C1">
        <w:rPr>
          <w:rFonts w:ascii="Arial" w:hAnsi="Arial" w:cs="Arial"/>
          <w:color w:val="000000"/>
          <w:spacing w:val="-2"/>
          <w:sz w:val="18"/>
          <w:szCs w:val="18"/>
        </w:rPr>
        <w:t>Fu, et al.,</w:t>
      </w:r>
      <w:r w:rsidR="005B2698" w:rsidRPr="002800C1">
        <w:rPr>
          <w:rFonts w:ascii="Arial" w:hAnsi="Arial" w:cs="Arial"/>
          <w:sz w:val="18"/>
          <w:szCs w:val="18"/>
        </w:rPr>
        <w:t xml:space="preserve"> </w:t>
      </w:r>
      <w:r w:rsidR="005B2698" w:rsidRPr="002800C1">
        <w:rPr>
          <w:rFonts w:ascii="Arial" w:hAnsi="Arial" w:cs="Arial"/>
          <w:i/>
          <w:iCs/>
          <w:sz w:val="18"/>
          <w:szCs w:val="18"/>
        </w:rPr>
        <w:t>supra</w:t>
      </w:r>
      <w:r w:rsidR="005B2698" w:rsidRPr="002800C1">
        <w:rPr>
          <w:rFonts w:ascii="Arial" w:hAnsi="Arial" w:cs="Arial"/>
          <w:sz w:val="18"/>
          <w:szCs w:val="18"/>
        </w:rPr>
        <w:t xml:space="preserve"> note</w:t>
      </w:r>
      <w:r w:rsidR="002800C1">
        <w:rPr>
          <w:rFonts w:ascii="Arial" w:hAnsi="Arial" w:cs="Arial"/>
          <w:sz w:val="18"/>
          <w:szCs w:val="18"/>
        </w:rPr>
        <w:t xml:space="preserve"> </w:t>
      </w:r>
      <w:r w:rsidR="002800C1">
        <w:rPr>
          <w:rFonts w:ascii="Arial" w:hAnsi="Arial" w:cs="Arial"/>
          <w:sz w:val="18"/>
          <w:szCs w:val="18"/>
        </w:rPr>
        <w:fldChar w:fldCharType="begin"/>
      </w:r>
      <w:r w:rsidR="002800C1">
        <w:rPr>
          <w:rFonts w:ascii="Arial" w:hAnsi="Arial" w:cs="Arial"/>
          <w:sz w:val="18"/>
          <w:szCs w:val="18"/>
        </w:rPr>
        <w:instrText xml:space="preserve"> NOTEREF _Ref109201154 \h </w:instrText>
      </w:r>
      <w:r w:rsidR="002800C1">
        <w:rPr>
          <w:rFonts w:ascii="Arial" w:hAnsi="Arial" w:cs="Arial"/>
          <w:sz w:val="18"/>
          <w:szCs w:val="18"/>
        </w:rPr>
      </w:r>
      <w:r w:rsidR="002800C1">
        <w:rPr>
          <w:rFonts w:ascii="Arial" w:hAnsi="Arial" w:cs="Arial"/>
          <w:sz w:val="18"/>
          <w:szCs w:val="18"/>
        </w:rPr>
        <w:fldChar w:fldCharType="separate"/>
      </w:r>
      <w:r w:rsidR="00FB167B">
        <w:rPr>
          <w:rFonts w:ascii="Arial" w:hAnsi="Arial" w:cs="Arial"/>
          <w:sz w:val="18"/>
          <w:szCs w:val="18"/>
        </w:rPr>
        <w:t>73</w:t>
      </w:r>
      <w:r w:rsidR="002800C1">
        <w:rPr>
          <w:rFonts w:ascii="Arial" w:hAnsi="Arial" w:cs="Arial"/>
          <w:sz w:val="18"/>
          <w:szCs w:val="18"/>
        </w:rPr>
        <w:fldChar w:fldCharType="end"/>
      </w:r>
      <w:r w:rsidR="005B2698" w:rsidRPr="002800C1">
        <w:rPr>
          <w:rFonts w:ascii="Arial" w:hAnsi="Arial" w:cs="Arial"/>
          <w:sz w:val="18"/>
          <w:szCs w:val="18"/>
        </w:rPr>
        <w:t>.</w:t>
      </w:r>
    </w:p>
  </w:footnote>
  <w:footnote w:id="83">
    <w:p w14:paraId="79C119CC" w14:textId="48AB9275" w:rsidR="00834993" w:rsidRPr="002800C1" w:rsidRDefault="00834993" w:rsidP="00834993">
      <w:pPr>
        <w:rPr>
          <w:rFonts w:ascii="Arial" w:hAnsi="Arial" w:cs="Arial"/>
          <w:color w:val="333333"/>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hAnsi="Arial" w:cs="Arial"/>
          <w:color w:val="333333"/>
          <w:sz w:val="18"/>
          <w:szCs w:val="18"/>
        </w:rPr>
        <w:t xml:space="preserve">Lasser, et al., </w:t>
      </w:r>
      <w:r w:rsidRPr="00B61A7C">
        <w:rPr>
          <w:rFonts w:ascii="Arial" w:hAnsi="Arial" w:cs="Arial"/>
          <w:i/>
          <w:iCs/>
          <w:color w:val="333333"/>
          <w:sz w:val="18"/>
          <w:szCs w:val="18"/>
        </w:rPr>
        <w:t>supra</w:t>
      </w:r>
      <w:r w:rsidRPr="002800C1">
        <w:rPr>
          <w:rFonts w:ascii="Arial" w:hAnsi="Arial" w:cs="Arial"/>
          <w:color w:val="333333"/>
          <w:sz w:val="18"/>
          <w:szCs w:val="18"/>
        </w:rPr>
        <w:t xml:space="preserve"> note</w:t>
      </w:r>
      <w:r w:rsidR="00B61A7C">
        <w:rPr>
          <w:rFonts w:ascii="Arial" w:hAnsi="Arial" w:cs="Arial"/>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color w:val="333333"/>
          <w:sz w:val="18"/>
          <w:szCs w:val="18"/>
        </w:rPr>
        <w:t xml:space="preserve">; </w:t>
      </w:r>
      <w:r w:rsidRPr="002800C1">
        <w:rPr>
          <w:rFonts w:ascii="Arial" w:hAnsi="Arial" w:cs="Arial"/>
          <w:sz w:val="18"/>
          <w:szCs w:val="18"/>
        </w:rPr>
        <w:t xml:space="preserve">Ku, et al., </w:t>
      </w:r>
      <w:r w:rsidRPr="002800C1">
        <w:rPr>
          <w:rFonts w:ascii="Arial" w:hAnsi="Arial" w:cs="Arial"/>
          <w:i/>
          <w:iCs/>
          <w:sz w:val="18"/>
          <w:szCs w:val="18"/>
        </w:rPr>
        <w:t>supra</w:t>
      </w:r>
      <w:r w:rsidRPr="002800C1">
        <w:rPr>
          <w:rFonts w:ascii="Arial" w:hAnsi="Arial" w:cs="Arial"/>
          <w:sz w:val="18"/>
          <w:szCs w:val="18"/>
        </w:rPr>
        <w:t xml:space="preserve"> note</w:t>
      </w:r>
      <w:r w:rsidR="00B61A7C">
        <w:rPr>
          <w:rFonts w:ascii="Arial" w:hAnsi="Arial" w:cs="Arial"/>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sz w:val="18"/>
          <w:szCs w:val="18"/>
        </w:rPr>
        <w:t xml:space="preserve">; Mohan, et al., </w:t>
      </w:r>
      <w:r w:rsidRPr="002800C1">
        <w:rPr>
          <w:rFonts w:ascii="Arial" w:hAnsi="Arial" w:cs="Arial"/>
          <w:i/>
          <w:iCs/>
          <w:sz w:val="18"/>
          <w:szCs w:val="18"/>
        </w:rPr>
        <w:t>supra</w:t>
      </w:r>
      <w:r w:rsidRPr="002800C1">
        <w:rPr>
          <w:rFonts w:ascii="Arial" w:hAnsi="Arial" w:cs="Arial"/>
          <w:sz w:val="18"/>
          <w:szCs w:val="18"/>
        </w:rPr>
        <w:t xml:space="preserve"> note</w:t>
      </w:r>
      <w:r w:rsidR="00B61A7C">
        <w:rPr>
          <w:rFonts w:ascii="Arial" w:hAnsi="Arial" w:cs="Arial"/>
          <w:color w:val="333333"/>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sz w:val="18"/>
          <w:szCs w:val="18"/>
        </w:rPr>
        <w:t>.</w:t>
      </w:r>
    </w:p>
  </w:footnote>
  <w:footnote w:id="84">
    <w:p w14:paraId="0007AA03" w14:textId="1F4A371A" w:rsidR="00834993" w:rsidRPr="002800C1" w:rsidRDefault="00834993" w:rsidP="00834993">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hAnsi="Arial" w:cs="Arial"/>
          <w:color w:val="333333"/>
          <w:sz w:val="18"/>
          <w:szCs w:val="18"/>
        </w:rPr>
        <w:t xml:space="preserve">Lasser, et al., </w:t>
      </w:r>
      <w:r w:rsidRPr="00B61A7C">
        <w:rPr>
          <w:rFonts w:ascii="Arial" w:hAnsi="Arial" w:cs="Arial"/>
          <w:i/>
          <w:iCs/>
          <w:color w:val="333333"/>
          <w:sz w:val="18"/>
          <w:szCs w:val="18"/>
        </w:rPr>
        <w:t>supra</w:t>
      </w:r>
      <w:r w:rsidRPr="002800C1">
        <w:rPr>
          <w:rFonts w:ascii="Arial" w:hAnsi="Arial" w:cs="Arial"/>
          <w:color w:val="333333"/>
          <w:sz w:val="18"/>
          <w:szCs w:val="18"/>
        </w:rPr>
        <w:t xml:space="preserve"> note</w:t>
      </w:r>
      <w:r w:rsidR="00B61A7C">
        <w:rPr>
          <w:rFonts w:ascii="Arial" w:hAnsi="Arial" w:cs="Arial"/>
          <w:color w:val="333333"/>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color w:val="333333"/>
          <w:sz w:val="18"/>
          <w:szCs w:val="18"/>
        </w:rPr>
        <w:t xml:space="preserve">; </w:t>
      </w:r>
      <w:r w:rsidRPr="002800C1">
        <w:rPr>
          <w:rFonts w:ascii="Arial" w:hAnsi="Arial" w:cs="Arial"/>
          <w:sz w:val="18"/>
          <w:szCs w:val="18"/>
        </w:rPr>
        <w:t xml:space="preserve">Ku, et al., </w:t>
      </w:r>
      <w:r w:rsidRPr="002800C1">
        <w:rPr>
          <w:rFonts w:ascii="Arial" w:hAnsi="Arial" w:cs="Arial"/>
          <w:i/>
          <w:iCs/>
          <w:sz w:val="18"/>
          <w:szCs w:val="18"/>
        </w:rPr>
        <w:t>supra</w:t>
      </w:r>
      <w:r w:rsidRPr="002800C1">
        <w:rPr>
          <w:rFonts w:ascii="Arial" w:hAnsi="Arial" w:cs="Arial"/>
          <w:sz w:val="18"/>
          <w:szCs w:val="18"/>
        </w:rPr>
        <w:t xml:space="preserve"> note</w:t>
      </w:r>
      <w:r w:rsidR="00B61A7C">
        <w:rPr>
          <w:rFonts w:ascii="Arial" w:hAnsi="Arial" w:cs="Arial"/>
          <w:color w:val="333333"/>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sz w:val="18"/>
          <w:szCs w:val="18"/>
        </w:rPr>
        <w:t xml:space="preserve">; Mohan, et al., </w:t>
      </w:r>
      <w:r w:rsidRPr="002800C1">
        <w:rPr>
          <w:rFonts w:ascii="Arial" w:hAnsi="Arial" w:cs="Arial"/>
          <w:i/>
          <w:iCs/>
          <w:sz w:val="18"/>
          <w:szCs w:val="18"/>
        </w:rPr>
        <w:t>supra</w:t>
      </w:r>
      <w:r w:rsidRPr="002800C1">
        <w:rPr>
          <w:rFonts w:ascii="Arial" w:hAnsi="Arial" w:cs="Arial"/>
          <w:sz w:val="18"/>
          <w:szCs w:val="18"/>
        </w:rPr>
        <w:t xml:space="preserve"> note</w:t>
      </w:r>
      <w:r w:rsidR="00B61A7C">
        <w:rPr>
          <w:rFonts w:ascii="Arial" w:hAnsi="Arial" w:cs="Arial"/>
          <w:color w:val="333333"/>
          <w:sz w:val="18"/>
          <w:szCs w:val="18"/>
        </w:rPr>
        <w:t xml:space="preserve"> </w:t>
      </w:r>
      <w:r w:rsidR="00B61A7C">
        <w:rPr>
          <w:rFonts w:ascii="Arial" w:hAnsi="Arial" w:cs="Arial"/>
          <w:sz w:val="18"/>
          <w:szCs w:val="18"/>
        </w:rPr>
        <w:fldChar w:fldCharType="begin"/>
      </w:r>
      <w:r w:rsidR="00B61A7C">
        <w:rPr>
          <w:rFonts w:ascii="Arial" w:hAnsi="Arial" w:cs="Arial"/>
          <w:sz w:val="18"/>
          <w:szCs w:val="18"/>
        </w:rPr>
        <w:instrText xml:space="preserve"> NOTEREF _Ref109198267 \h </w:instrText>
      </w:r>
      <w:r w:rsidR="00B61A7C">
        <w:rPr>
          <w:rFonts w:ascii="Arial" w:hAnsi="Arial" w:cs="Arial"/>
          <w:sz w:val="18"/>
          <w:szCs w:val="18"/>
        </w:rPr>
      </w:r>
      <w:r w:rsidR="00B61A7C">
        <w:rPr>
          <w:rFonts w:ascii="Arial" w:hAnsi="Arial" w:cs="Arial"/>
          <w:sz w:val="18"/>
          <w:szCs w:val="18"/>
        </w:rPr>
        <w:fldChar w:fldCharType="separate"/>
      </w:r>
      <w:r w:rsidR="00FB167B">
        <w:rPr>
          <w:rFonts w:ascii="Arial" w:hAnsi="Arial" w:cs="Arial"/>
          <w:sz w:val="18"/>
          <w:szCs w:val="18"/>
        </w:rPr>
        <w:t>62</w:t>
      </w:r>
      <w:r w:rsidR="00B61A7C">
        <w:rPr>
          <w:rFonts w:ascii="Arial" w:hAnsi="Arial" w:cs="Arial"/>
          <w:sz w:val="18"/>
          <w:szCs w:val="18"/>
        </w:rPr>
        <w:fldChar w:fldCharType="end"/>
      </w:r>
      <w:r w:rsidRPr="002800C1">
        <w:rPr>
          <w:rFonts w:ascii="Arial" w:hAnsi="Arial" w:cs="Arial"/>
          <w:sz w:val="18"/>
          <w:szCs w:val="18"/>
        </w:rPr>
        <w:t>; Kim, et al.,</w:t>
      </w:r>
      <w:r w:rsidRPr="002800C1">
        <w:rPr>
          <w:rFonts w:ascii="Arial" w:hAnsi="Arial" w:cs="Arial"/>
          <w:i/>
          <w:iCs/>
          <w:sz w:val="18"/>
          <w:szCs w:val="18"/>
        </w:rPr>
        <w:t xml:space="preserve"> supra</w:t>
      </w:r>
      <w:r w:rsidRPr="002800C1">
        <w:rPr>
          <w:rFonts w:ascii="Arial" w:hAnsi="Arial" w:cs="Arial"/>
          <w:sz w:val="18"/>
          <w:szCs w:val="18"/>
        </w:rPr>
        <w:t xml:space="preserve"> note</w:t>
      </w:r>
      <w:r w:rsidR="00B61A7C">
        <w:rPr>
          <w:rFonts w:ascii="Arial" w:hAnsi="Arial" w:cs="Arial"/>
          <w:sz w:val="18"/>
          <w:szCs w:val="18"/>
        </w:rPr>
        <w:t xml:space="preserve"> </w:t>
      </w:r>
      <w:r w:rsidR="00B61A7C">
        <w:rPr>
          <w:rFonts w:ascii="Arial" w:hAnsi="Arial" w:cs="Arial"/>
          <w:sz w:val="18"/>
          <w:szCs w:val="18"/>
          <w:highlight w:val="yellow"/>
        </w:rPr>
        <w:fldChar w:fldCharType="begin"/>
      </w:r>
      <w:r w:rsidR="00B61A7C">
        <w:rPr>
          <w:rFonts w:ascii="Arial" w:hAnsi="Arial" w:cs="Arial"/>
          <w:sz w:val="18"/>
          <w:szCs w:val="18"/>
        </w:rPr>
        <w:instrText xml:space="preserve"> NOTEREF _Ref109305374 \h </w:instrText>
      </w:r>
      <w:r w:rsidR="00B61A7C">
        <w:rPr>
          <w:rFonts w:ascii="Arial" w:hAnsi="Arial" w:cs="Arial"/>
          <w:sz w:val="18"/>
          <w:szCs w:val="18"/>
          <w:highlight w:val="yellow"/>
        </w:rPr>
      </w:r>
      <w:r w:rsidR="00B61A7C">
        <w:rPr>
          <w:rFonts w:ascii="Arial" w:hAnsi="Arial" w:cs="Arial"/>
          <w:sz w:val="18"/>
          <w:szCs w:val="18"/>
          <w:highlight w:val="yellow"/>
        </w:rPr>
        <w:fldChar w:fldCharType="separate"/>
      </w:r>
      <w:r w:rsidR="00FB167B">
        <w:rPr>
          <w:rFonts w:ascii="Arial" w:hAnsi="Arial" w:cs="Arial"/>
          <w:sz w:val="18"/>
          <w:szCs w:val="18"/>
        </w:rPr>
        <w:t>64</w:t>
      </w:r>
      <w:r w:rsidR="00B61A7C">
        <w:rPr>
          <w:rFonts w:ascii="Arial" w:hAnsi="Arial" w:cs="Arial"/>
          <w:sz w:val="18"/>
          <w:szCs w:val="18"/>
          <w:highlight w:val="yellow"/>
        </w:rPr>
        <w:fldChar w:fldCharType="end"/>
      </w:r>
      <w:r w:rsidRPr="002800C1">
        <w:rPr>
          <w:rFonts w:ascii="Arial" w:hAnsi="Arial" w:cs="Arial"/>
          <w:sz w:val="18"/>
          <w:szCs w:val="18"/>
        </w:rPr>
        <w:t>.</w:t>
      </w:r>
    </w:p>
  </w:footnote>
  <w:footnote w:id="85">
    <w:p w14:paraId="65B1DAC7" w14:textId="734CCA52" w:rsidR="00591F4A" w:rsidRPr="002800C1" w:rsidRDefault="00591F4A">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Mendez-Escobar, et al. </w:t>
      </w:r>
      <w:hyperlink r:id="rId53" w:history="1">
        <w:r w:rsidRPr="00F112F3">
          <w:rPr>
            <w:rStyle w:val="Hyperlink"/>
            <w:rFonts w:ascii="Arial" w:hAnsi="Arial" w:cs="Arial"/>
            <w:i/>
            <w:iCs/>
            <w:color w:val="000000" w:themeColor="text1"/>
            <w:sz w:val="18"/>
            <w:szCs w:val="18"/>
            <w:u w:val="none"/>
          </w:rPr>
          <w:t>Health Equity Accelerator: A Health System’s Approach – Boston Medical Center’s Health Equity Accelerator Aims to Eliminate Barriers to Health Equit</w:t>
        </w:r>
        <w:r w:rsidRPr="00F112F3">
          <w:rPr>
            <w:rStyle w:val="Hyperlink"/>
            <w:rFonts w:ascii="Arial" w:hAnsi="Arial" w:cs="Arial"/>
            <w:i/>
            <w:iCs/>
            <w:color w:val="000000" w:themeColor="text1"/>
            <w:sz w:val="18"/>
            <w:szCs w:val="18"/>
          </w:rPr>
          <w:t>y</w:t>
        </w:r>
      </w:hyperlink>
      <w:r w:rsidR="0042439E" w:rsidRPr="00F112F3">
        <w:rPr>
          <w:rFonts w:ascii="Arial" w:hAnsi="Arial" w:cs="Arial"/>
          <w:color w:val="000000" w:themeColor="text1"/>
          <w:sz w:val="18"/>
          <w:szCs w:val="18"/>
        </w:rPr>
        <w:t xml:space="preserve">, </w:t>
      </w:r>
      <w:r w:rsidRPr="00F112F3">
        <w:rPr>
          <w:rFonts w:ascii="Arial" w:hAnsi="Arial" w:cs="Arial"/>
          <w:smallCaps/>
          <w:color w:val="000000" w:themeColor="text1"/>
          <w:sz w:val="18"/>
          <w:szCs w:val="18"/>
        </w:rPr>
        <w:t>New England J</w:t>
      </w:r>
      <w:r w:rsidR="0042439E" w:rsidRPr="00F112F3">
        <w:rPr>
          <w:rFonts w:ascii="Arial" w:hAnsi="Arial" w:cs="Arial"/>
          <w:smallCaps/>
          <w:color w:val="000000" w:themeColor="text1"/>
          <w:sz w:val="18"/>
          <w:szCs w:val="18"/>
        </w:rPr>
        <w:t>.</w:t>
      </w:r>
      <w:r w:rsidRPr="00F112F3">
        <w:rPr>
          <w:rFonts w:ascii="Arial" w:hAnsi="Arial" w:cs="Arial"/>
          <w:smallCaps/>
          <w:color w:val="000000" w:themeColor="text1"/>
          <w:sz w:val="18"/>
          <w:szCs w:val="18"/>
        </w:rPr>
        <w:t xml:space="preserve"> Med</w:t>
      </w:r>
      <w:r w:rsidR="0042439E" w:rsidRPr="00F112F3">
        <w:rPr>
          <w:rFonts w:ascii="Arial" w:hAnsi="Arial" w:cs="Arial"/>
          <w:smallCaps/>
          <w:color w:val="000000" w:themeColor="text1"/>
          <w:sz w:val="18"/>
          <w:szCs w:val="18"/>
        </w:rPr>
        <w:t>.</w:t>
      </w:r>
      <w:r w:rsidRPr="00F112F3">
        <w:rPr>
          <w:rFonts w:ascii="Arial" w:hAnsi="Arial" w:cs="Arial"/>
          <w:smallCaps/>
          <w:color w:val="000000" w:themeColor="text1"/>
          <w:sz w:val="18"/>
          <w:szCs w:val="18"/>
        </w:rPr>
        <w:t xml:space="preserve"> Catalyst</w:t>
      </w:r>
      <w:r w:rsidRPr="00F112F3">
        <w:rPr>
          <w:rFonts w:ascii="Arial" w:hAnsi="Arial" w:cs="Arial"/>
          <w:color w:val="000000" w:themeColor="text1"/>
          <w:sz w:val="18"/>
          <w:szCs w:val="18"/>
        </w:rPr>
        <w:t xml:space="preserve"> (2022)</w:t>
      </w:r>
      <w:r w:rsidR="004C2ED8" w:rsidRPr="00F112F3">
        <w:rPr>
          <w:rFonts w:ascii="Arial" w:hAnsi="Arial" w:cs="Arial"/>
          <w:color w:val="000000" w:themeColor="text1"/>
          <w:sz w:val="18"/>
          <w:szCs w:val="18"/>
        </w:rPr>
        <w:t xml:space="preserve">, </w:t>
      </w:r>
      <w:r w:rsidR="004C2ED8" w:rsidRPr="00F112F3">
        <w:rPr>
          <w:rFonts w:ascii="Arial" w:hAnsi="Arial" w:cs="Arial"/>
          <w:i/>
          <w:iCs/>
          <w:color w:val="000000" w:themeColor="text1"/>
          <w:sz w:val="18"/>
          <w:szCs w:val="18"/>
        </w:rPr>
        <w:t>available at</w:t>
      </w:r>
      <w:r w:rsidR="004C2ED8" w:rsidRPr="00F112F3">
        <w:rPr>
          <w:rFonts w:ascii="Arial" w:hAnsi="Arial" w:cs="Arial"/>
          <w:color w:val="000000" w:themeColor="text1"/>
          <w:sz w:val="18"/>
          <w:szCs w:val="18"/>
        </w:rPr>
        <w:t xml:space="preserve"> </w:t>
      </w:r>
      <w:hyperlink r:id="rId54" w:history="1">
        <w:r w:rsidR="00F112F3" w:rsidRPr="00F112F3">
          <w:rPr>
            <w:rStyle w:val="Hyperlink"/>
            <w:rFonts w:ascii="Arial" w:hAnsi="Arial" w:cs="Arial"/>
            <w:color w:val="000000" w:themeColor="text1"/>
            <w:sz w:val="18"/>
            <w:szCs w:val="18"/>
          </w:rPr>
          <w:t>https://catalyst.nejm.org/doi/full/10.1056/CAT.22.0115</w:t>
        </w:r>
      </w:hyperlink>
      <w:r w:rsidR="00F112F3">
        <w:rPr>
          <w:rFonts w:ascii="Arial" w:hAnsi="Arial" w:cs="Arial"/>
          <w:sz w:val="18"/>
          <w:szCs w:val="18"/>
        </w:rPr>
        <w:t xml:space="preserve"> </w:t>
      </w:r>
      <w:r w:rsidR="004C2ED8">
        <w:rPr>
          <w:rFonts w:ascii="Arial" w:hAnsi="Arial" w:cs="Arial"/>
          <w:sz w:val="18"/>
          <w:szCs w:val="18"/>
        </w:rPr>
        <w:t>.</w:t>
      </w:r>
    </w:p>
  </w:footnote>
  <w:footnote w:id="86">
    <w:p w14:paraId="54E1D668" w14:textId="5F85C9E3" w:rsidR="00912EE8" w:rsidRPr="002800C1" w:rsidRDefault="00912EE8">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r w:rsidRPr="002800C1">
        <w:rPr>
          <w:rFonts w:ascii="Arial" w:hAnsi="Arial" w:cs="Arial"/>
          <w:i/>
          <w:iCs/>
          <w:sz w:val="18"/>
          <w:szCs w:val="18"/>
        </w:rPr>
        <w:t>Id.</w:t>
      </w:r>
      <w:r w:rsidRPr="002800C1">
        <w:rPr>
          <w:rFonts w:ascii="Arial" w:hAnsi="Arial" w:cs="Arial"/>
          <w:sz w:val="18"/>
          <w:szCs w:val="18"/>
        </w:rPr>
        <w:t xml:space="preserve"> </w:t>
      </w:r>
    </w:p>
  </w:footnote>
  <w:footnote w:id="87">
    <w:p w14:paraId="1D96298C" w14:textId="425DAFB2" w:rsidR="00963E14" w:rsidRPr="002800C1" w:rsidRDefault="00963E14">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The Applicant notes that distribution of the </w:t>
      </w:r>
      <w:r w:rsidR="00CF312D" w:rsidRPr="002800C1">
        <w:rPr>
          <w:rFonts w:ascii="Arial" w:hAnsi="Arial" w:cs="Arial"/>
          <w:sz w:val="18"/>
          <w:szCs w:val="18"/>
        </w:rPr>
        <w:t xml:space="preserve">meeting </w:t>
      </w:r>
      <w:r w:rsidRPr="002800C1">
        <w:rPr>
          <w:rFonts w:ascii="Arial" w:hAnsi="Arial" w:cs="Arial"/>
          <w:sz w:val="18"/>
          <w:szCs w:val="18"/>
        </w:rPr>
        <w:t>notice</w:t>
      </w:r>
      <w:r w:rsidR="00CF312D" w:rsidRPr="002800C1">
        <w:rPr>
          <w:rFonts w:ascii="Arial" w:hAnsi="Arial" w:cs="Arial"/>
          <w:sz w:val="18"/>
          <w:szCs w:val="18"/>
        </w:rPr>
        <w:t>s</w:t>
      </w:r>
      <w:r w:rsidRPr="002800C1">
        <w:rPr>
          <w:rFonts w:ascii="Arial" w:hAnsi="Arial" w:cs="Arial"/>
          <w:sz w:val="18"/>
          <w:szCs w:val="18"/>
        </w:rPr>
        <w:t xml:space="preserve"> via the Equity Partnership Network </w:t>
      </w:r>
      <w:r w:rsidRPr="002800C1">
        <w:rPr>
          <w:rFonts w:ascii="Arial" w:hAnsi="Arial" w:cs="Arial"/>
          <w:sz w:val="18"/>
          <w:szCs w:val="18"/>
        </w:rPr>
        <w:t xml:space="preserve">ListServe was determined </w:t>
      </w:r>
      <w:r w:rsidR="00CF312D" w:rsidRPr="002800C1">
        <w:rPr>
          <w:rFonts w:ascii="Arial" w:hAnsi="Arial" w:cs="Arial"/>
          <w:sz w:val="18"/>
          <w:szCs w:val="18"/>
        </w:rPr>
        <w:t xml:space="preserve">to be the best option for informing community and staff members of the meetings </w:t>
      </w:r>
      <w:r w:rsidRPr="002800C1">
        <w:rPr>
          <w:rFonts w:ascii="Arial" w:hAnsi="Arial" w:cs="Arial"/>
          <w:sz w:val="18"/>
          <w:szCs w:val="18"/>
        </w:rPr>
        <w:t>given that the meetings were held during the January 2022 COVID-19 Omicron surge and certain clinical areas were less busy given the Hospital’s protocols for the surge</w:t>
      </w:r>
      <w:r w:rsidR="00CF312D" w:rsidRPr="002800C1">
        <w:rPr>
          <w:rFonts w:ascii="Arial" w:hAnsi="Arial" w:cs="Arial"/>
          <w:sz w:val="18"/>
          <w:szCs w:val="18"/>
        </w:rPr>
        <w:t>.</w:t>
      </w:r>
    </w:p>
  </w:footnote>
  <w:footnote w:id="88">
    <w:p w14:paraId="0B319122" w14:textId="77777777" w:rsidR="00EA5B24" w:rsidRPr="002800C1" w:rsidRDefault="00EA5B24" w:rsidP="00EA5B24">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The Applicant notes that the community meetings were held virtually over Zoom given concerns related to COVID-19.</w:t>
      </w:r>
    </w:p>
  </w:footnote>
  <w:footnote w:id="89">
    <w:p w14:paraId="73F88C05" w14:textId="77777777" w:rsidR="00EA5B24" w:rsidRPr="002800C1" w:rsidRDefault="00EA5B24" w:rsidP="00EA5B24">
      <w:pPr>
        <w:pStyle w:val="FootnoteText"/>
        <w:rPr>
          <w:rFonts w:ascii="Arial" w:hAnsi="Arial" w:cs="Arial"/>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The Applicant notes that the PFAC meeting was held virtually over Zoom given concerns related to COVID-19.</w:t>
      </w:r>
    </w:p>
  </w:footnote>
  <w:footnote w:id="90">
    <w:p w14:paraId="71CA442C" w14:textId="7FEFF7CC" w:rsidR="00044462" w:rsidRPr="002800C1" w:rsidRDefault="00044462" w:rsidP="00774749">
      <w:pPr>
        <w:rPr>
          <w:rFonts w:ascii="Arial" w:hAnsi="Arial" w:cs="Arial"/>
          <w:smallCaps/>
          <w:sz w:val="18"/>
          <w:szCs w:val="18"/>
        </w:rPr>
      </w:pPr>
      <w:r w:rsidRPr="002800C1">
        <w:rPr>
          <w:rStyle w:val="FootnoteReference"/>
          <w:rFonts w:ascii="Arial" w:hAnsi="Arial" w:cs="Arial"/>
          <w:sz w:val="18"/>
          <w:szCs w:val="18"/>
        </w:rPr>
        <w:footnoteRef/>
      </w:r>
      <w:r w:rsidRPr="002800C1">
        <w:rPr>
          <w:rFonts w:ascii="Arial" w:hAnsi="Arial" w:cs="Arial"/>
          <w:sz w:val="18"/>
          <w:szCs w:val="18"/>
        </w:rPr>
        <w:t xml:space="preserve"> </w:t>
      </w:r>
      <w:hyperlink r:id="rId55" w:history="1">
        <w:r w:rsidRPr="00F112F3">
          <w:rPr>
            <w:rStyle w:val="Hyperlink"/>
            <w:rFonts w:ascii="Arial" w:hAnsi="Arial" w:cs="Arial"/>
            <w:i/>
            <w:iCs/>
            <w:color w:val="000000" w:themeColor="text1"/>
            <w:sz w:val="18"/>
            <w:szCs w:val="18"/>
            <w:u w:val="none"/>
          </w:rPr>
          <w:t>Chartbook on Access to Health Care</w:t>
        </w:r>
        <w:r w:rsidR="00774749" w:rsidRPr="00F112F3">
          <w:rPr>
            <w:rStyle w:val="Hyperlink"/>
            <w:rFonts w:ascii="Arial" w:hAnsi="Arial" w:cs="Arial"/>
            <w:i/>
            <w:iCs/>
            <w:color w:val="000000" w:themeColor="text1"/>
            <w:sz w:val="18"/>
            <w:szCs w:val="18"/>
            <w:u w:val="none"/>
          </w:rPr>
          <w:t>,</w:t>
        </w:r>
        <w:r w:rsidRPr="00F112F3">
          <w:rPr>
            <w:rStyle w:val="Hyperlink"/>
            <w:rFonts w:ascii="Arial" w:hAnsi="Arial" w:cs="Arial"/>
            <w:i/>
            <w:iCs/>
            <w:color w:val="000000" w:themeColor="text1"/>
            <w:sz w:val="18"/>
            <w:szCs w:val="18"/>
            <w:u w:val="none"/>
          </w:rPr>
          <w:t xml:space="preserve"> Elements of Access to Health Care: Timeliness</w:t>
        </w:r>
      </w:hyperlink>
      <w:r w:rsidR="00774749" w:rsidRPr="00F112F3">
        <w:rPr>
          <w:rFonts w:ascii="Arial" w:hAnsi="Arial" w:cs="Arial"/>
          <w:color w:val="000000" w:themeColor="text1"/>
          <w:sz w:val="18"/>
          <w:szCs w:val="18"/>
        </w:rPr>
        <w:t xml:space="preserve">, </w:t>
      </w:r>
      <w:r w:rsidR="00774749" w:rsidRPr="00F112F3">
        <w:rPr>
          <w:rFonts w:ascii="Arial" w:hAnsi="Arial" w:cs="Arial"/>
          <w:smallCaps/>
          <w:color w:val="000000" w:themeColor="text1"/>
          <w:sz w:val="18"/>
          <w:szCs w:val="18"/>
        </w:rPr>
        <w:t xml:space="preserve">Agency for Healthcare Research and Quality, </w:t>
      </w:r>
      <w:hyperlink r:id="rId56" w:history="1">
        <w:r w:rsidR="00F112F3" w:rsidRPr="00F112F3">
          <w:rPr>
            <w:rStyle w:val="Hyperlink"/>
            <w:rFonts w:ascii="Arial" w:hAnsi="Arial" w:cs="Arial"/>
            <w:color w:val="000000" w:themeColor="text1"/>
            <w:sz w:val="18"/>
            <w:szCs w:val="18"/>
          </w:rPr>
          <w:t>https://www.ahrq.gov/research/findings/nhqrdr/chartbooks/access/elements3.html</w:t>
        </w:r>
      </w:hyperlink>
      <w:r w:rsidR="00F112F3" w:rsidRPr="00F112F3">
        <w:rPr>
          <w:rFonts w:ascii="Arial" w:hAnsi="Arial" w:cs="Arial"/>
          <w:color w:val="000000" w:themeColor="text1"/>
          <w:sz w:val="18"/>
          <w:szCs w:val="18"/>
        </w:rPr>
        <w:t xml:space="preserve"> </w:t>
      </w:r>
      <w:r w:rsidR="00774749" w:rsidRPr="00F112F3">
        <w:rPr>
          <w:rFonts w:ascii="Arial" w:hAnsi="Arial" w:cs="Arial"/>
          <w:color w:val="000000" w:themeColor="text1"/>
          <w:sz w:val="18"/>
          <w:szCs w:val="18"/>
        </w:rPr>
        <w:t xml:space="preserve"> (last visited Jul. 20, 2022)</w:t>
      </w:r>
      <w:r w:rsidR="004C2ED8" w:rsidRPr="00F112F3">
        <w:rPr>
          <w:rFonts w:ascii="Arial" w:hAnsi="Arial" w:cs="Arial"/>
          <w:color w:val="000000" w:themeColor="text1"/>
          <w:sz w:val="18"/>
          <w:szCs w:val="18"/>
        </w:rPr>
        <w:t xml:space="preserve">; Kaplan &amp; Porter, </w:t>
      </w:r>
      <w:hyperlink r:id="rId57" w:history="1">
        <w:r w:rsidR="004C2ED8" w:rsidRPr="00F112F3">
          <w:rPr>
            <w:rStyle w:val="Hyperlink"/>
            <w:rFonts w:ascii="Arial" w:hAnsi="Arial" w:cs="Arial"/>
            <w:i/>
            <w:iCs/>
            <w:color w:val="000000" w:themeColor="text1"/>
            <w:sz w:val="18"/>
            <w:szCs w:val="18"/>
            <w:u w:val="none"/>
          </w:rPr>
          <w:t>The Big Idea: How to Solve the Cost Crisis in Health Care</w:t>
        </w:r>
      </w:hyperlink>
      <w:r w:rsidR="004C2ED8" w:rsidRPr="00F112F3">
        <w:rPr>
          <w:rFonts w:ascii="Arial" w:hAnsi="Arial" w:cs="Arial"/>
          <w:color w:val="000000" w:themeColor="text1"/>
          <w:sz w:val="18"/>
          <w:szCs w:val="18"/>
        </w:rPr>
        <w:t xml:space="preserve">, </w:t>
      </w:r>
      <w:r w:rsidR="004C2ED8" w:rsidRPr="00F112F3">
        <w:rPr>
          <w:rFonts w:ascii="Arial" w:hAnsi="Arial" w:cs="Arial"/>
          <w:smallCaps/>
          <w:color w:val="000000" w:themeColor="text1"/>
          <w:sz w:val="18"/>
          <w:szCs w:val="18"/>
        </w:rPr>
        <w:t>Harvard Business Review</w:t>
      </w:r>
      <w:r w:rsidR="004C2ED8" w:rsidRPr="00F112F3">
        <w:rPr>
          <w:rFonts w:ascii="Arial" w:hAnsi="Arial" w:cs="Arial"/>
          <w:color w:val="000000" w:themeColor="text1"/>
          <w:sz w:val="18"/>
          <w:szCs w:val="18"/>
        </w:rPr>
        <w:t xml:space="preserve"> (2011), </w:t>
      </w:r>
      <w:hyperlink r:id="rId58" w:history="1">
        <w:r w:rsidR="00F112F3" w:rsidRPr="00F112F3">
          <w:rPr>
            <w:rStyle w:val="Hyperlink"/>
            <w:rFonts w:ascii="Arial" w:hAnsi="Arial" w:cs="Arial"/>
            <w:color w:val="000000" w:themeColor="text1"/>
            <w:sz w:val="18"/>
            <w:szCs w:val="18"/>
          </w:rPr>
          <w:t>https://hbr.org/2011/09/how-to-solve-the-cost-crisis-in-health-care</w:t>
        </w:r>
      </w:hyperlink>
      <w:r w:rsidR="00F112F3" w:rsidRPr="00F112F3">
        <w:rPr>
          <w:rFonts w:ascii="Arial" w:hAnsi="Arial" w:cs="Arial"/>
          <w:color w:val="000000" w:themeColor="text1"/>
          <w:sz w:val="18"/>
          <w:szCs w:val="18"/>
        </w:rPr>
        <w:t xml:space="preserve"> </w:t>
      </w:r>
      <w:r w:rsidR="004C2ED8" w:rsidRPr="00F112F3">
        <w:rPr>
          <w:rFonts w:ascii="Arial" w:hAnsi="Arial" w:cs="Arial"/>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6"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6"/>
  </w:num>
  <w:num w:numId="2" w16cid:durableId="2013139289">
    <w:abstractNumId w:val="10"/>
  </w:num>
  <w:num w:numId="3" w16cid:durableId="2053530704">
    <w:abstractNumId w:val="11"/>
  </w:num>
  <w:num w:numId="4" w16cid:durableId="1745301322">
    <w:abstractNumId w:val="40"/>
  </w:num>
  <w:num w:numId="5" w16cid:durableId="375616988">
    <w:abstractNumId w:val="19"/>
  </w:num>
  <w:num w:numId="6" w16cid:durableId="1389382915">
    <w:abstractNumId w:val="28"/>
  </w:num>
  <w:num w:numId="7" w16cid:durableId="1295209746">
    <w:abstractNumId w:val="26"/>
  </w:num>
  <w:num w:numId="8" w16cid:durableId="161163347">
    <w:abstractNumId w:val="22"/>
  </w:num>
  <w:num w:numId="9" w16cid:durableId="866482130">
    <w:abstractNumId w:val="17"/>
  </w:num>
  <w:num w:numId="10" w16cid:durableId="1183670311">
    <w:abstractNumId w:val="25"/>
  </w:num>
  <w:num w:numId="11" w16cid:durableId="1412847872">
    <w:abstractNumId w:val="21"/>
  </w:num>
  <w:num w:numId="12" w16cid:durableId="1183283738">
    <w:abstractNumId w:val="27"/>
  </w:num>
  <w:num w:numId="13" w16cid:durableId="651910941">
    <w:abstractNumId w:val="18"/>
  </w:num>
  <w:num w:numId="14" w16cid:durableId="1659647618">
    <w:abstractNumId w:val="29"/>
  </w:num>
  <w:num w:numId="15" w16cid:durableId="859856681">
    <w:abstractNumId w:val="39"/>
  </w:num>
  <w:num w:numId="16" w16cid:durableId="1106465949">
    <w:abstractNumId w:val="16"/>
  </w:num>
  <w:num w:numId="17" w16cid:durableId="698973082">
    <w:abstractNumId w:val="33"/>
  </w:num>
  <w:num w:numId="18" w16cid:durableId="1900168517">
    <w:abstractNumId w:val="31"/>
  </w:num>
  <w:num w:numId="19" w16cid:durableId="1377973282">
    <w:abstractNumId w:val="13"/>
  </w:num>
  <w:num w:numId="20" w16cid:durableId="1043947157">
    <w:abstractNumId w:val="42"/>
  </w:num>
  <w:num w:numId="21" w16cid:durableId="1704206043">
    <w:abstractNumId w:val="23"/>
  </w:num>
  <w:num w:numId="22" w16cid:durableId="65609333">
    <w:abstractNumId w:val="35"/>
  </w:num>
  <w:num w:numId="23" w16cid:durableId="2040625026">
    <w:abstractNumId w:val="14"/>
  </w:num>
  <w:num w:numId="24" w16cid:durableId="1547336032">
    <w:abstractNumId w:val="41"/>
  </w:num>
  <w:num w:numId="25" w16cid:durableId="1073771206">
    <w:abstractNumId w:val="12"/>
  </w:num>
  <w:num w:numId="26" w16cid:durableId="1616450308">
    <w:abstractNumId w:val="38"/>
  </w:num>
  <w:num w:numId="27" w16cid:durableId="153574041">
    <w:abstractNumId w:val="30"/>
  </w:num>
  <w:num w:numId="28" w16cid:durableId="90323950">
    <w:abstractNumId w:val="34"/>
  </w:num>
  <w:num w:numId="29" w16cid:durableId="1110973146">
    <w:abstractNumId w:val="20"/>
  </w:num>
  <w:num w:numId="30" w16cid:durableId="1544754235">
    <w:abstractNumId w:val="15"/>
  </w:num>
  <w:num w:numId="31" w16cid:durableId="221795729">
    <w:abstractNumId w:val="24"/>
  </w:num>
  <w:num w:numId="32" w16cid:durableId="1515530180">
    <w:abstractNumId w:val="32"/>
  </w:num>
  <w:num w:numId="33" w16cid:durableId="816072882">
    <w:abstractNumId w:val="37"/>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3F49"/>
    <w:rsid w:val="00035165"/>
    <w:rsid w:val="00035187"/>
    <w:rsid w:val="00035D68"/>
    <w:rsid w:val="00043B48"/>
    <w:rsid w:val="00044462"/>
    <w:rsid w:val="00045487"/>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82F02"/>
    <w:rsid w:val="000833D9"/>
    <w:rsid w:val="00085238"/>
    <w:rsid w:val="00090128"/>
    <w:rsid w:val="000937E9"/>
    <w:rsid w:val="00095891"/>
    <w:rsid w:val="000A14BE"/>
    <w:rsid w:val="000A2E6A"/>
    <w:rsid w:val="000A6195"/>
    <w:rsid w:val="000A704C"/>
    <w:rsid w:val="000B6560"/>
    <w:rsid w:val="000C27A8"/>
    <w:rsid w:val="000C7B0B"/>
    <w:rsid w:val="000D1F21"/>
    <w:rsid w:val="000D36CF"/>
    <w:rsid w:val="000D644F"/>
    <w:rsid w:val="000E0D3E"/>
    <w:rsid w:val="000E212B"/>
    <w:rsid w:val="000E2633"/>
    <w:rsid w:val="000E4732"/>
    <w:rsid w:val="000E5101"/>
    <w:rsid w:val="000F24EE"/>
    <w:rsid w:val="000F2874"/>
    <w:rsid w:val="000F312B"/>
    <w:rsid w:val="000F5868"/>
    <w:rsid w:val="000F5AA2"/>
    <w:rsid w:val="000F679F"/>
    <w:rsid w:val="000F6FC7"/>
    <w:rsid w:val="001020C4"/>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D01"/>
    <w:rsid w:val="00147C8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5FD9"/>
    <w:rsid w:val="00200100"/>
    <w:rsid w:val="002007F6"/>
    <w:rsid w:val="00200CC6"/>
    <w:rsid w:val="00201D19"/>
    <w:rsid w:val="002034E7"/>
    <w:rsid w:val="00205052"/>
    <w:rsid w:val="002059BC"/>
    <w:rsid w:val="00207CCD"/>
    <w:rsid w:val="0021058A"/>
    <w:rsid w:val="0021143B"/>
    <w:rsid w:val="002122FE"/>
    <w:rsid w:val="00213F35"/>
    <w:rsid w:val="00216E94"/>
    <w:rsid w:val="00220ADF"/>
    <w:rsid w:val="00222302"/>
    <w:rsid w:val="00223F64"/>
    <w:rsid w:val="002249D5"/>
    <w:rsid w:val="00227C20"/>
    <w:rsid w:val="0023221B"/>
    <w:rsid w:val="002324EE"/>
    <w:rsid w:val="00233228"/>
    <w:rsid w:val="0024062E"/>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1386"/>
    <w:rsid w:val="00277E6E"/>
    <w:rsid w:val="002800C1"/>
    <w:rsid w:val="00282049"/>
    <w:rsid w:val="00283E52"/>
    <w:rsid w:val="00283EB0"/>
    <w:rsid w:val="00285E8F"/>
    <w:rsid w:val="002869F8"/>
    <w:rsid w:val="002921A7"/>
    <w:rsid w:val="002926D8"/>
    <w:rsid w:val="00292DB2"/>
    <w:rsid w:val="002A2520"/>
    <w:rsid w:val="002A303E"/>
    <w:rsid w:val="002A44B1"/>
    <w:rsid w:val="002A5084"/>
    <w:rsid w:val="002A6206"/>
    <w:rsid w:val="002A6625"/>
    <w:rsid w:val="002B03F3"/>
    <w:rsid w:val="002B1ED9"/>
    <w:rsid w:val="002B5E70"/>
    <w:rsid w:val="002B768A"/>
    <w:rsid w:val="002C2BA9"/>
    <w:rsid w:val="002C3AB0"/>
    <w:rsid w:val="002C3F3B"/>
    <w:rsid w:val="002C43EE"/>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9BB"/>
    <w:rsid w:val="0031468F"/>
    <w:rsid w:val="003163F5"/>
    <w:rsid w:val="00320ED3"/>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506B7"/>
    <w:rsid w:val="003512E0"/>
    <w:rsid w:val="003518FD"/>
    <w:rsid w:val="00352945"/>
    <w:rsid w:val="00357F71"/>
    <w:rsid w:val="00362443"/>
    <w:rsid w:val="00363E11"/>
    <w:rsid w:val="0036431F"/>
    <w:rsid w:val="003643A8"/>
    <w:rsid w:val="0036536C"/>
    <w:rsid w:val="003655E8"/>
    <w:rsid w:val="00366360"/>
    <w:rsid w:val="00366A18"/>
    <w:rsid w:val="0037011D"/>
    <w:rsid w:val="0037028A"/>
    <w:rsid w:val="00375919"/>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B0320"/>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37C6"/>
    <w:rsid w:val="003E3AEB"/>
    <w:rsid w:val="003E54B5"/>
    <w:rsid w:val="003E6CBF"/>
    <w:rsid w:val="003E789A"/>
    <w:rsid w:val="003E7AA7"/>
    <w:rsid w:val="003F178F"/>
    <w:rsid w:val="003F3B10"/>
    <w:rsid w:val="003F4C40"/>
    <w:rsid w:val="003F61A6"/>
    <w:rsid w:val="003F6615"/>
    <w:rsid w:val="003F770E"/>
    <w:rsid w:val="00400B2F"/>
    <w:rsid w:val="00402008"/>
    <w:rsid w:val="00402113"/>
    <w:rsid w:val="00410735"/>
    <w:rsid w:val="004129C3"/>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235F"/>
    <w:rsid w:val="004B2B2D"/>
    <w:rsid w:val="004C12FE"/>
    <w:rsid w:val="004C2ED8"/>
    <w:rsid w:val="004C4277"/>
    <w:rsid w:val="004C56D0"/>
    <w:rsid w:val="004D0B30"/>
    <w:rsid w:val="004D2E94"/>
    <w:rsid w:val="004E2920"/>
    <w:rsid w:val="004E2C16"/>
    <w:rsid w:val="004E41C7"/>
    <w:rsid w:val="004E5CD5"/>
    <w:rsid w:val="004E5EA3"/>
    <w:rsid w:val="004E5F4C"/>
    <w:rsid w:val="004F0A14"/>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42C2"/>
    <w:rsid w:val="00534795"/>
    <w:rsid w:val="00534DC1"/>
    <w:rsid w:val="005354A0"/>
    <w:rsid w:val="00540875"/>
    <w:rsid w:val="00541B24"/>
    <w:rsid w:val="00545807"/>
    <w:rsid w:val="00545BEC"/>
    <w:rsid w:val="00547C35"/>
    <w:rsid w:val="00547C3B"/>
    <w:rsid w:val="00547D90"/>
    <w:rsid w:val="0055075D"/>
    <w:rsid w:val="005507B9"/>
    <w:rsid w:val="00551FED"/>
    <w:rsid w:val="00560B22"/>
    <w:rsid w:val="00560B2B"/>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90F4C"/>
    <w:rsid w:val="00591F4A"/>
    <w:rsid w:val="00592D3F"/>
    <w:rsid w:val="0059532C"/>
    <w:rsid w:val="00595DDE"/>
    <w:rsid w:val="005963C2"/>
    <w:rsid w:val="005A0D82"/>
    <w:rsid w:val="005A6536"/>
    <w:rsid w:val="005B2698"/>
    <w:rsid w:val="005B28B3"/>
    <w:rsid w:val="005B30E3"/>
    <w:rsid w:val="005B40E3"/>
    <w:rsid w:val="005B6067"/>
    <w:rsid w:val="005B63FA"/>
    <w:rsid w:val="005C05FE"/>
    <w:rsid w:val="005C0DA8"/>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3CD5"/>
    <w:rsid w:val="005F4235"/>
    <w:rsid w:val="005F548D"/>
    <w:rsid w:val="005F6F5B"/>
    <w:rsid w:val="006003DA"/>
    <w:rsid w:val="00600B89"/>
    <w:rsid w:val="006103D1"/>
    <w:rsid w:val="00611794"/>
    <w:rsid w:val="00613814"/>
    <w:rsid w:val="006139D6"/>
    <w:rsid w:val="00613E5D"/>
    <w:rsid w:val="0061634D"/>
    <w:rsid w:val="0061787F"/>
    <w:rsid w:val="00620D37"/>
    <w:rsid w:val="0062458E"/>
    <w:rsid w:val="006307BA"/>
    <w:rsid w:val="00630D79"/>
    <w:rsid w:val="00632085"/>
    <w:rsid w:val="00633DAD"/>
    <w:rsid w:val="006348A6"/>
    <w:rsid w:val="00637D10"/>
    <w:rsid w:val="006408BF"/>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51"/>
    <w:rsid w:val="006A5FFB"/>
    <w:rsid w:val="006A642A"/>
    <w:rsid w:val="006B37F8"/>
    <w:rsid w:val="006B4329"/>
    <w:rsid w:val="006B4765"/>
    <w:rsid w:val="006B55A0"/>
    <w:rsid w:val="006B7379"/>
    <w:rsid w:val="006C0655"/>
    <w:rsid w:val="006C1CBF"/>
    <w:rsid w:val="006C402A"/>
    <w:rsid w:val="006C4FF7"/>
    <w:rsid w:val="006C667C"/>
    <w:rsid w:val="006D27C3"/>
    <w:rsid w:val="006D2B5A"/>
    <w:rsid w:val="006D4BD4"/>
    <w:rsid w:val="006D69A9"/>
    <w:rsid w:val="006E0E42"/>
    <w:rsid w:val="006E1DFF"/>
    <w:rsid w:val="006E23F3"/>
    <w:rsid w:val="006E3C97"/>
    <w:rsid w:val="006E4750"/>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5C8"/>
    <w:rsid w:val="00756E22"/>
    <w:rsid w:val="00757DE1"/>
    <w:rsid w:val="007609CA"/>
    <w:rsid w:val="00764A76"/>
    <w:rsid w:val="00765605"/>
    <w:rsid w:val="00770E89"/>
    <w:rsid w:val="00773EAA"/>
    <w:rsid w:val="00774749"/>
    <w:rsid w:val="00774DA6"/>
    <w:rsid w:val="0078772D"/>
    <w:rsid w:val="00787A2C"/>
    <w:rsid w:val="00792FDF"/>
    <w:rsid w:val="00793439"/>
    <w:rsid w:val="00796E44"/>
    <w:rsid w:val="00797C87"/>
    <w:rsid w:val="007A2242"/>
    <w:rsid w:val="007A7987"/>
    <w:rsid w:val="007B0BD1"/>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55CF"/>
    <w:rsid w:val="007D5E56"/>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39D"/>
    <w:rsid w:val="00853A4D"/>
    <w:rsid w:val="00856859"/>
    <w:rsid w:val="00856B00"/>
    <w:rsid w:val="00856B84"/>
    <w:rsid w:val="008612BA"/>
    <w:rsid w:val="00862EC2"/>
    <w:rsid w:val="0086348B"/>
    <w:rsid w:val="00865B0C"/>
    <w:rsid w:val="00871AB0"/>
    <w:rsid w:val="008737E0"/>
    <w:rsid w:val="0087503C"/>
    <w:rsid w:val="0087534A"/>
    <w:rsid w:val="00876F4C"/>
    <w:rsid w:val="00882C41"/>
    <w:rsid w:val="008830DE"/>
    <w:rsid w:val="00886459"/>
    <w:rsid w:val="008900DE"/>
    <w:rsid w:val="00890B35"/>
    <w:rsid w:val="00891A0B"/>
    <w:rsid w:val="00892F9D"/>
    <w:rsid w:val="0089625C"/>
    <w:rsid w:val="008A034B"/>
    <w:rsid w:val="008A4D1E"/>
    <w:rsid w:val="008A5C1A"/>
    <w:rsid w:val="008B5387"/>
    <w:rsid w:val="008B61FD"/>
    <w:rsid w:val="008B78DD"/>
    <w:rsid w:val="008B7E78"/>
    <w:rsid w:val="008C46BB"/>
    <w:rsid w:val="008D0ABB"/>
    <w:rsid w:val="008D3EF6"/>
    <w:rsid w:val="008D4DF5"/>
    <w:rsid w:val="008D545C"/>
    <w:rsid w:val="008E1034"/>
    <w:rsid w:val="008E1468"/>
    <w:rsid w:val="008F043A"/>
    <w:rsid w:val="008F2817"/>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4763"/>
    <w:rsid w:val="00946FCF"/>
    <w:rsid w:val="00952F8D"/>
    <w:rsid w:val="00954125"/>
    <w:rsid w:val="009565BC"/>
    <w:rsid w:val="0095759D"/>
    <w:rsid w:val="00960D81"/>
    <w:rsid w:val="00961CA9"/>
    <w:rsid w:val="00962AFB"/>
    <w:rsid w:val="00963E14"/>
    <w:rsid w:val="00966519"/>
    <w:rsid w:val="00974668"/>
    <w:rsid w:val="00975044"/>
    <w:rsid w:val="00976B79"/>
    <w:rsid w:val="0098188A"/>
    <w:rsid w:val="009847EF"/>
    <w:rsid w:val="00985F0E"/>
    <w:rsid w:val="00987CA5"/>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C02B2"/>
    <w:rsid w:val="009C2B8E"/>
    <w:rsid w:val="009C3173"/>
    <w:rsid w:val="009C427A"/>
    <w:rsid w:val="009C5BEC"/>
    <w:rsid w:val="009C6F4D"/>
    <w:rsid w:val="009D0B4B"/>
    <w:rsid w:val="009D1B63"/>
    <w:rsid w:val="009D216A"/>
    <w:rsid w:val="009D2A89"/>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231E5"/>
    <w:rsid w:val="00A24EE8"/>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92085"/>
    <w:rsid w:val="00A95438"/>
    <w:rsid w:val="00A966F4"/>
    <w:rsid w:val="00AA24FD"/>
    <w:rsid w:val="00AA4A61"/>
    <w:rsid w:val="00AA5132"/>
    <w:rsid w:val="00AA638A"/>
    <w:rsid w:val="00AA6996"/>
    <w:rsid w:val="00AA779C"/>
    <w:rsid w:val="00AB00CF"/>
    <w:rsid w:val="00AB141F"/>
    <w:rsid w:val="00AB2ABA"/>
    <w:rsid w:val="00AB39EC"/>
    <w:rsid w:val="00AB4AA3"/>
    <w:rsid w:val="00AB57C6"/>
    <w:rsid w:val="00AB7379"/>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307B9"/>
    <w:rsid w:val="00B30B72"/>
    <w:rsid w:val="00B31830"/>
    <w:rsid w:val="00B31E6B"/>
    <w:rsid w:val="00B334F6"/>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780"/>
    <w:rsid w:val="00BE0DE0"/>
    <w:rsid w:val="00BE37BA"/>
    <w:rsid w:val="00BE3F26"/>
    <w:rsid w:val="00BE4A05"/>
    <w:rsid w:val="00BE616C"/>
    <w:rsid w:val="00BF26A8"/>
    <w:rsid w:val="00BF79F3"/>
    <w:rsid w:val="00C0094E"/>
    <w:rsid w:val="00C04089"/>
    <w:rsid w:val="00C044D2"/>
    <w:rsid w:val="00C056CE"/>
    <w:rsid w:val="00C06DC9"/>
    <w:rsid w:val="00C1204F"/>
    <w:rsid w:val="00C14937"/>
    <w:rsid w:val="00C149B6"/>
    <w:rsid w:val="00C172A7"/>
    <w:rsid w:val="00C211D7"/>
    <w:rsid w:val="00C217DA"/>
    <w:rsid w:val="00C25B06"/>
    <w:rsid w:val="00C27015"/>
    <w:rsid w:val="00C308BA"/>
    <w:rsid w:val="00C37CF8"/>
    <w:rsid w:val="00C42660"/>
    <w:rsid w:val="00C42D62"/>
    <w:rsid w:val="00C44C99"/>
    <w:rsid w:val="00C44F49"/>
    <w:rsid w:val="00C45406"/>
    <w:rsid w:val="00C47690"/>
    <w:rsid w:val="00C479B7"/>
    <w:rsid w:val="00C53BFC"/>
    <w:rsid w:val="00C55085"/>
    <w:rsid w:val="00C60301"/>
    <w:rsid w:val="00C63013"/>
    <w:rsid w:val="00C6570E"/>
    <w:rsid w:val="00C667CE"/>
    <w:rsid w:val="00C705B9"/>
    <w:rsid w:val="00C711F4"/>
    <w:rsid w:val="00C71DEE"/>
    <w:rsid w:val="00C74445"/>
    <w:rsid w:val="00C76426"/>
    <w:rsid w:val="00C81E83"/>
    <w:rsid w:val="00C84063"/>
    <w:rsid w:val="00C84588"/>
    <w:rsid w:val="00C850C2"/>
    <w:rsid w:val="00C86D87"/>
    <w:rsid w:val="00C93A41"/>
    <w:rsid w:val="00C95D89"/>
    <w:rsid w:val="00CA2DE2"/>
    <w:rsid w:val="00CA6998"/>
    <w:rsid w:val="00CB008D"/>
    <w:rsid w:val="00CB0519"/>
    <w:rsid w:val="00CB376C"/>
    <w:rsid w:val="00CB3E08"/>
    <w:rsid w:val="00CB48B3"/>
    <w:rsid w:val="00CB48DC"/>
    <w:rsid w:val="00CB49ED"/>
    <w:rsid w:val="00CB6000"/>
    <w:rsid w:val="00CB7813"/>
    <w:rsid w:val="00CC2F37"/>
    <w:rsid w:val="00CC4031"/>
    <w:rsid w:val="00CC579C"/>
    <w:rsid w:val="00CD00AC"/>
    <w:rsid w:val="00CD0C31"/>
    <w:rsid w:val="00CD0CC8"/>
    <w:rsid w:val="00CD1FF3"/>
    <w:rsid w:val="00CD3CE8"/>
    <w:rsid w:val="00CD523F"/>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79D6"/>
    <w:rsid w:val="00D24186"/>
    <w:rsid w:val="00D24724"/>
    <w:rsid w:val="00D276EC"/>
    <w:rsid w:val="00D31E2D"/>
    <w:rsid w:val="00D34632"/>
    <w:rsid w:val="00D355A7"/>
    <w:rsid w:val="00D376D7"/>
    <w:rsid w:val="00D44357"/>
    <w:rsid w:val="00D444CD"/>
    <w:rsid w:val="00D46001"/>
    <w:rsid w:val="00D4649D"/>
    <w:rsid w:val="00D47753"/>
    <w:rsid w:val="00D50673"/>
    <w:rsid w:val="00D61D7A"/>
    <w:rsid w:val="00D621B4"/>
    <w:rsid w:val="00D633FE"/>
    <w:rsid w:val="00D63EE4"/>
    <w:rsid w:val="00D67555"/>
    <w:rsid w:val="00D742DF"/>
    <w:rsid w:val="00D74D9F"/>
    <w:rsid w:val="00D75C78"/>
    <w:rsid w:val="00D767D6"/>
    <w:rsid w:val="00D81874"/>
    <w:rsid w:val="00D82D6A"/>
    <w:rsid w:val="00D836EB"/>
    <w:rsid w:val="00D84A05"/>
    <w:rsid w:val="00D85592"/>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13D9"/>
    <w:rsid w:val="00E75A93"/>
    <w:rsid w:val="00E7602E"/>
    <w:rsid w:val="00E80208"/>
    <w:rsid w:val="00E8057D"/>
    <w:rsid w:val="00E806E9"/>
    <w:rsid w:val="00E832C4"/>
    <w:rsid w:val="00E8351E"/>
    <w:rsid w:val="00E83538"/>
    <w:rsid w:val="00E8399E"/>
    <w:rsid w:val="00E920B9"/>
    <w:rsid w:val="00E95BDA"/>
    <w:rsid w:val="00EA00ED"/>
    <w:rsid w:val="00EA024C"/>
    <w:rsid w:val="00EA338D"/>
    <w:rsid w:val="00EA5893"/>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2009"/>
    <w:rsid w:val="00EF2090"/>
    <w:rsid w:val="00EF2F8A"/>
    <w:rsid w:val="00EF3272"/>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4152"/>
    <w:rsid w:val="00F87BC0"/>
    <w:rsid w:val="00F94650"/>
    <w:rsid w:val="00F95108"/>
    <w:rsid w:val="00F95C06"/>
    <w:rsid w:val="00F95FF6"/>
    <w:rsid w:val="00FA13DF"/>
    <w:rsid w:val="00FA1CD4"/>
    <w:rsid w:val="00FA6B6B"/>
    <w:rsid w:val="00FB167B"/>
    <w:rsid w:val="00FB1B14"/>
    <w:rsid w:val="00FB2D9E"/>
    <w:rsid w:val="00FB3AEC"/>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semiHidden/>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mailto:kharrell@barrettharrell.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DPH.DON@state.ma.us"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ncbi.nlm.nih.gov/pmc/articles/PMC1726785/pdf/v022p00351.pdf" TargetMode="External"/><Relationship Id="rId18" Type="http://schemas.openxmlformats.org/officeDocument/2006/relationships/hyperlink" Target="https://www.ncbi.nlm.nih.gov/pmc/articles/PMC6022944/" TargetMode="External"/><Relationship Id="rId26" Type="http://schemas.openxmlformats.org/officeDocument/2006/relationships/hyperlink" Target="http://pep.donahue-institute.org/publications/AgeSexDetails_UMDI-DOT_V2018.xlsx" TargetMode="External"/><Relationship Id="rId39" Type="http://schemas.openxmlformats.org/officeDocument/2006/relationships/hyperlink" Target="https://jamanetwork.com/journals/jamainternalmedicine/fullarticle/1105879" TargetMode="External"/><Relationship Id="rId21" Type="http://schemas.openxmlformats.org/officeDocument/2006/relationships/hyperlink" Target="https://onlinelibrary.wiley.com/doi/full/10.1111/j.1553-2712.2008.00295.x" TargetMode="External"/><Relationship Id="rId34" Type="http://schemas.openxmlformats.org/officeDocument/2006/relationships/hyperlink" Target="https://www.aha.org/social-determinants-health/populationcommunity-health/community-partnerships" TargetMode="External"/><Relationship Id="rId42"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47" Type="http://schemas.openxmlformats.org/officeDocument/2006/relationships/hyperlink" Target="https://www.researchgate.net/publication/260485339_Allocating_operating_room_block_time_using_historical_caseload_variability" TargetMode="External"/><Relationship Id="rId50" Type="http://schemas.openxmlformats.org/officeDocument/2006/relationships/hyperlink" Target="https://www.plantemoran.com/explore-our-thinking/insight/2019/02/key-metrics-to-improve-your-operating-room-utilization" TargetMode="External"/><Relationship Id="rId55" Type="http://schemas.openxmlformats.org/officeDocument/2006/relationships/hyperlink" Target="https://www.ahrq.gov/research/findings/nhqrdr/chartbooks/access/elements3.html" TargetMode="External"/><Relationship Id="rId7" Type="http://schemas.openxmlformats.org/officeDocument/2006/relationships/hyperlink" Target="https://www.hindawi.com/journals/emi/2012/838610/" TargetMode="External"/><Relationship Id="rId12" Type="http://schemas.openxmlformats.org/officeDocument/2006/relationships/hyperlink" Target="https://www.ncbi.nlm.nih.gov/pmc/articles/PMC7340358/" TargetMode="External"/><Relationship Id="rId17" Type="http://schemas.openxmlformats.org/officeDocument/2006/relationships/hyperlink" Target="https://www.ncbi.nlm.nih.gov/pmc/articles/PMC6117060/" TargetMode="External"/><Relationship Id="rId25" Type="http://schemas.openxmlformats.org/officeDocument/2006/relationships/hyperlink" Target="https://www.acep.org/federal-advocacy/federal-advocacy-overview/regs--eggs/regs--eggs-articles/regs--eggs---august-26-2021/" TargetMode="External"/><Relationship Id="rId33" Type="http://schemas.openxmlformats.org/officeDocument/2006/relationships/hyperlink" Target="https://nursing.duke.edu/sites/default/files/vanwinkle_article.pdf" TargetMode="External"/><Relationship Id="rId38" Type="http://schemas.openxmlformats.org/officeDocument/2006/relationships/hyperlink" Target="https://www.ncbi.nlm.nih.gov/pmc/articles/PMC4989238" TargetMode="External"/><Relationship Id="rId46" Type="http://schemas.openxmlformats.org/officeDocument/2006/relationships/hyperlink" Target="https://www.researchgate.net/publication/260485339_Allocating_operating_room_block_time_using_historical_caseload_variability" TargetMode="External"/><Relationship Id="rId2" Type="http://schemas.openxmlformats.org/officeDocument/2006/relationships/hyperlink" Target="https://www.mass.gov/doc/impact-of-covid-19-on-the-massachusetts-health-care-system-interim-report/download" TargetMode="External"/><Relationship Id="rId16" Type="http://schemas.openxmlformats.org/officeDocument/2006/relationships/hyperlink" Target="https://www.ncbi.nlm.nih.gov/pmc/articles/PMC6117060/" TargetMode="External"/><Relationship Id="rId20" Type="http://schemas.openxmlformats.org/officeDocument/2006/relationships/hyperlink" Target="https://onlinelibrary.wiley.com/doi/full/10.1111/j.1553-2712.2008.00295.x" TargetMode="External"/><Relationship Id="rId29" Type="http://schemas.openxmlformats.org/officeDocument/2006/relationships/hyperlink" Target="https://www.sciencedirect.com/science/article/abs/pii/S0733862709000716?via%3Dihub" TargetMode="External"/><Relationship Id="rId41" Type="http://schemas.openxmlformats.org/officeDocument/2006/relationships/hyperlink" Target="https://pubmed.ncbi.nlm.nih.gov/23821908/" TargetMode="External"/><Relationship Id="rId54" Type="http://schemas.openxmlformats.org/officeDocument/2006/relationships/hyperlink" Target="https://catalyst.nejm.org/doi/full/10.1056/CAT.22.0115" TargetMode="External"/><Relationship Id="rId1" Type="http://schemas.openxmlformats.org/officeDocument/2006/relationships/hyperlink" Target="https://www.mass.gov/doc/impact-of-covid-19-on-the-massachusetts-health-care-system-interim-report/download." TargetMode="External"/><Relationship Id="rId6" Type="http://schemas.openxmlformats.org/officeDocument/2006/relationships/hyperlink" Target="https://pubmed.ncbi.nlm.nih.gov/24373914/" TargetMode="External"/><Relationship Id="rId11" Type="http://schemas.openxmlformats.org/officeDocument/2006/relationships/hyperlink" Target="https://www.ncbi.nlm.nih.gov/pmc/articles/PMC7340358/" TargetMode="External"/><Relationship Id="rId24" Type="http://schemas.openxmlformats.org/officeDocument/2006/relationships/hyperlink" Target="https://www.acep.org/federal-advocacy/federal-advocacy-overview/regs--eggs/regs--eggs-articles/regs--eggs---august-26-2021/" TargetMode="External"/><Relationship Id="rId32" Type="http://schemas.openxmlformats.org/officeDocument/2006/relationships/hyperlink" Target="https://nursing.duke.edu/sites/default/files/vanwinkle_article.pdf" TargetMode="External"/><Relationship Id="rId37" Type="http://schemas.openxmlformats.org/officeDocument/2006/relationships/hyperlink" Target="https://www.ncbi.nlm.nih.gov/pmc/articles/PMC4989238" TargetMode="External"/><Relationship Id="rId40" Type="http://schemas.openxmlformats.org/officeDocument/2006/relationships/hyperlink" Target="https://pubmed.ncbi.nlm.nih.gov/23821908/" TargetMode="External"/><Relationship Id="rId45" Type="http://schemas.openxmlformats.org/officeDocument/2006/relationships/hyperlink" Target="https://catalyst.nejm.org/doi/full/10.1056/CAT.21.0217" TargetMode="External"/><Relationship Id="rId53" Type="http://schemas.openxmlformats.org/officeDocument/2006/relationships/hyperlink" Target="https://catalyst.nejm.org/doi/full/10.1056/CAT.22.0115" TargetMode="External"/><Relationship Id="rId58" Type="http://schemas.openxmlformats.org/officeDocument/2006/relationships/hyperlink" Target="https://hbr.org/2011/09/how-to-solve-the-cost-crisis-in-health-care" TargetMode="External"/><Relationship Id="rId5" Type="http://schemas.openxmlformats.org/officeDocument/2006/relationships/hyperlink" Target="https://pubmed.ncbi.nlm.nih.gov/24373914/" TargetMode="External"/><Relationship Id="rId15" Type="http://schemas.openxmlformats.org/officeDocument/2006/relationships/hyperlink" Target="https://onlinelibrary.wiley.com/doi/pdf/10.1197/aemj.10.2.127" TargetMode="External"/><Relationship Id="rId23" Type="http://schemas.openxmlformats.org/officeDocument/2006/relationships/hyperlink" Target="http://emj.bmj.com/content/emermed/20/5/406.full.pdf" TargetMode="External"/><Relationship Id="rId28" Type="http://schemas.openxmlformats.org/officeDocument/2006/relationships/hyperlink" Target="https://www.sciencedirect.com/science/article/abs/pii/S0733862709000716?via%3Dihub" TargetMode="External"/><Relationship Id="rId36" Type="http://schemas.openxmlformats.org/officeDocument/2006/relationships/hyperlink" Target="https://revcycleintelligence.com/news/how-addressing-social-determinants-of-health-cuts-healthcare-costs" TargetMode="External"/><Relationship Id="rId49" Type="http://schemas.openxmlformats.org/officeDocument/2006/relationships/hyperlink" Target="https://blog.casectrl.com/what-is-surgical-block-utilization" TargetMode="External"/><Relationship Id="rId57" Type="http://schemas.openxmlformats.org/officeDocument/2006/relationships/hyperlink" Target="https://hbr.org/2011/09/how-to-solve-the-cost-crisis-in-health-care" TargetMode="External"/><Relationship Id="rId10" Type="http://schemas.openxmlformats.org/officeDocument/2006/relationships/hyperlink" Target="https://www.ncbi.nlm.nih.gov/pmc/articles/PMC3219412/" TargetMode="External"/><Relationship Id="rId19" Type="http://schemas.openxmlformats.org/officeDocument/2006/relationships/hyperlink" Target="https://www.ncbi.nlm.nih.gov/pmc/articles/PMC6022944/" TargetMode="External"/><Relationship Id="rId31" Type="http://schemas.openxmlformats.org/officeDocument/2006/relationships/hyperlink" Target="https://www.ncbi.nlm.nih.gov/pmc/articles/PMC5468058/" TargetMode="External"/><Relationship Id="rId44" Type="http://schemas.openxmlformats.org/officeDocument/2006/relationships/hyperlink" Target="https://catalyst.nejm.org/doi/full/10.1056/CAT.21.0217" TargetMode="External"/><Relationship Id="rId52" Type="http://schemas.openxmlformats.org/officeDocument/2006/relationships/hyperlink" Target="https://www.ncbi.nlm.nih.gov/pmc/articles/PMC7224620/" TargetMode="External"/><Relationship Id="rId4" Type="http://schemas.openxmlformats.org/officeDocument/2006/relationships/hyperlink" Target="https://bmchealthservres.biomedcentral.com/articles/10.1186/s12913-020-5023-z" TargetMode="External"/><Relationship Id="rId9" Type="http://schemas.openxmlformats.org/officeDocument/2006/relationships/hyperlink" Target="https://www.ncbi.nlm.nih.gov/pmc/articles/PMC3219412/" TargetMode="External"/><Relationship Id="rId14" Type="http://schemas.openxmlformats.org/officeDocument/2006/relationships/hyperlink" Target="https://onlinelibrary.wiley.com/doi/pdf/10.1197/aemj.10.2.127" TargetMode="External"/><Relationship Id="rId22" Type="http://schemas.openxmlformats.org/officeDocument/2006/relationships/hyperlink" Target="http://emj.bmj.com/content/emermed/20/5/406.full.pdf" TargetMode="External"/><Relationship Id="rId27" Type="http://schemas.openxmlformats.org/officeDocument/2006/relationships/hyperlink" Target="http://pep.donahue-institute.org/publications/AgeSexDetails_UMDI-DOT_V2018.xlsx" TargetMode="External"/><Relationship Id="rId30" Type="http://schemas.openxmlformats.org/officeDocument/2006/relationships/hyperlink" Target="https://www.ncbi.nlm.nih.gov/pmc/articles/PMC5468058/" TargetMode="External"/><Relationship Id="rId35" Type="http://schemas.openxmlformats.org/officeDocument/2006/relationships/hyperlink" Target="https://revcycleintelligence.com/news/how-addressing-social-determinants-of-health-cuts-healthcare-costs" TargetMode="External"/><Relationship Id="rId43"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48" Type="http://schemas.openxmlformats.org/officeDocument/2006/relationships/hyperlink" Target="https://blog.casectrl.com/what-is-surgical-block-utilization" TargetMode="External"/><Relationship Id="rId56" Type="http://schemas.openxmlformats.org/officeDocument/2006/relationships/hyperlink" Target="https://www.ahrq.gov/research/findings/nhqrdr/chartbooks/access/elements3.html" TargetMode="External"/><Relationship Id="rId8" Type="http://schemas.openxmlformats.org/officeDocument/2006/relationships/hyperlink" Target="https://www.hindawi.com/journals/emi/2012/838610/" TargetMode="External"/><Relationship Id="rId51" Type="http://schemas.openxmlformats.org/officeDocument/2006/relationships/hyperlink" Target="https://www.ncbi.nlm.nih.gov/pmc/articles/PMC7224620/" TargetMode="External"/><Relationship Id="rId3" Type="http://schemas.openxmlformats.org/officeDocument/2006/relationships/hyperlink" Target="https://bmchealthservres.biomedcentral.com/articles/10.1186/s12913-020-5023-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23969</Words>
  <Characters>136624</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Pardee, Melissa (DPH)</cp:lastModifiedBy>
  <cp:revision>2</cp:revision>
  <cp:lastPrinted>2022-08-09T18:55:00Z</cp:lastPrinted>
  <dcterms:created xsi:type="dcterms:W3CDTF">2022-09-09T16:45:00Z</dcterms:created>
  <dcterms:modified xsi:type="dcterms:W3CDTF">2022-09-09T16:45:00Z</dcterms:modified>
</cp:coreProperties>
</file>