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2F2" w:rsidRDefault="00D862F2">
      <w:pPr>
        <w:pStyle w:val="BodyText"/>
        <w:rPr>
          <w:sz w:val="20"/>
        </w:rPr>
      </w:pPr>
      <w:bookmarkStart w:id="0" w:name="_GoBack"/>
      <w:bookmarkEnd w:id="0"/>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spacing w:before="10"/>
        <w:rPr>
          <w:sz w:val="27"/>
        </w:rPr>
      </w:pPr>
    </w:p>
    <w:p w:rsidR="00D862F2" w:rsidRDefault="00884FE4">
      <w:pPr>
        <w:pStyle w:val="BodyText"/>
        <w:spacing w:before="90"/>
        <w:ind w:left="2792" w:right="2855"/>
        <w:jc w:val="center"/>
      </w:pPr>
      <w:r>
        <w:t>The</w:t>
      </w:r>
      <w:r>
        <w:rPr>
          <w:spacing w:val="-4"/>
        </w:rPr>
        <w:t xml:space="preserve"> </w:t>
      </w:r>
      <w:r>
        <w:t>Children’s</w:t>
      </w:r>
      <w:r>
        <w:rPr>
          <w:spacing w:val="-2"/>
        </w:rPr>
        <w:t xml:space="preserve"> </w:t>
      </w:r>
      <w:r>
        <w:t>Medical</w:t>
      </w:r>
      <w:r>
        <w:rPr>
          <w:spacing w:val="-3"/>
        </w:rPr>
        <w:t xml:space="preserve"> </w:t>
      </w:r>
      <w:r>
        <w:t>Center</w:t>
      </w:r>
      <w:r>
        <w:rPr>
          <w:spacing w:val="-3"/>
        </w:rPr>
        <w:t xml:space="preserve"> </w:t>
      </w:r>
      <w:r>
        <w:t>Corporation</w:t>
      </w:r>
      <w:r>
        <w:rPr>
          <w:spacing w:val="-57"/>
        </w:rPr>
        <w:t xml:space="preserve"> </w:t>
      </w:r>
      <w:r>
        <w:t>DoN Application No. BCH-20171411-HE</w:t>
      </w:r>
      <w:r>
        <w:rPr>
          <w:spacing w:val="1"/>
        </w:rPr>
        <w:t xml:space="preserve"> </w:t>
      </w:r>
      <w:r>
        <w:t>Attachments</w:t>
      </w:r>
    </w:p>
    <w:p w:rsidR="00D862F2" w:rsidRDefault="00D862F2">
      <w:pPr>
        <w:pStyle w:val="BodyText"/>
        <w:spacing w:before="4"/>
      </w:pPr>
    </w:p>
    <w:p w:rsidR="00D862F2" w:rsidRDefault="00884FE4" w:rsidP="002C14E1">
      <w:pPr>
        <w:pStyle w:val="BodyText"/>
      </w:pPr>
      <w:r>
        <w:t>Substantial Capital Expenditure</w:t>
      </w:r>
      <w:r>
        <w:rPr>
          <w:spacing w:val="-57"/>
        </w:rPr>
        <w:t xml:space="preserve"> </w:t>
      </w:r>
      <w:r>
        <w:t>Ambulatory Surgery Center &amp;</w:t>
      </w:r>
      <w:r>
        <w:rPr>
          <w:spacing w:val="1"/>
        </w:rPr>
        <w:t xml:space="preserve"> </w:t>
      </w:r>
      <w:r>
        <w:t>DoN Required Equipment</w:t>
      </w:r>
      <w:r>
        <w:rPr>
          <w:spacing w:val="1"/>
        </w:rPr>
        <w:t xml:space="preserve"> </w:t>
      </w:r>
      <w:r>
        <w:t>Boston</w:t>
      </w:r>
      <w:r>
        <w:rPr>
          <w:spacing w:val="-1"/>
        </w:rPr>
        <w:t xml:space="preserve"> </w:t>
      </w:r>
      <w:r>
        <w:t>Children’s</w:t>
      </w:r>
      <w:r>
        <w:rPr>
          <w:spacing w:val="-1"/>
        </w:rPr>
        <w:t xml:space="preserve"> </w:t>
      </w:r>
      <w:r>
        <w:t>Hospital</w:t>
      </w:r>
    </w:p>
    <w:p w:rsidR="00D862F2" w:rsidRDefault="00D862F2">
      <w:pPr>
        <w:pStyle w:val="BodyText"/>
        <w:rPr>
          <w:b/>
          <w:sz w:val="26"/>
        </w:rPr>
      </w:pPr>
    </w:p>
    <w:p w:rsidR="00D862F2" w:rsidRDefault="00D862F2">
      <w:pPr>
        <w:pStyle w:val="BodyText"/>
        <w:spacing w:before="7"/>
        <w:rPr>
          <w:b/>
          <w:sz w:val="21"/>
        </w:rPr>
      </w:pPr>
    </w:p>
    <w:p w:rsidR="00D862F2" w:rsidRDefault="00884FE4">
      <w:pPr>
        <w:pStyle w:val="BodyText"/>
        <w:ind w:left="3492" w:right="3691"/>
        <w:jc w:val="center"/>
      </w:pPr>
      <w:r>
        <w:t>July</w:t>
      </w:r>
      <w:r>
        <w:rPr>
          <w:spacing w:val="-7"/>
        </w:rPr>
        <w:t xml:space="preserve"> </w:t>
      </w:r>
      <w:r>
        <w:t>15,</w:t>
      </w:r>
      <w:r>
        <w:rPr>
          <w:spacing w:val="1"/>
        </w:rPr>
        <w:t xml:space="preserve"> </w:t>
      </w:r>
      <w:r>
        <w:t>2021</w:t>
      </w:r>
    </w:p>
    <w:p w:rsidR="00D862F2" w:rsidRDefault="00D862F2">
      <w:pPr>
        <w:pStyle w:val="BodyText"/>
        <w:rPr>
          <w:sz w:val="26"/>
        </w:rPr>
      </w:pPr>
    </w:p>
    <w:p w:rsidR="00D862F2" w:rsidRDefault="00D862F2">
      <w:pPr>
        <w:pStyle w:val="BodyText"/>
        <w:rPr>
          <w:sz w:val="26"/>
        </w:rPr>
      </w:pPr>
    </w:p>
    <w:p w:rsidR="00D862F2" w:rsidRDefault="00D862F2">
      <w:pPr>
        <w:pStyle w:val="BodyText"/>
        <w:rPr>
          <w:sz w:val="26"/>
        </w:rPr>
      </w:pPr>
    </w:p>
    <w:p w:rsidR="00D862F2" w:rsidRDefault="00884FE4">
      <w:pPr>
        <w:pStyle w:val="BodyText"/>
        <w:spacing w:before="207"/>
        <w:ind w:left="3632" w:right="3691"/>
        <w:jc w:val="center"/>
      </w:pPr>
      <w:r>
        <w:t>Submitted</w:t>
      </w:r>
      <w:r>
        <w:rPr>
          <w:spacing w:val="-1"/>
        </w:rPr>
        <w:t xml:space="preserve"> </w:t>
      </w:r>
      <w:r>
        <w:t>By</w:t>
      </w:r>
    </w:p>
    <w:p w:rsidR="00D862F2" w:rsidRDefault="00884FE4">
      <w:pPr>
        <w:pStyle w:val="BodyText"/>
        <w:ind w:left="2792" w:right="2855"/>
        <w:jc w:val="center"/>
      </w:pPr>
      <w:r>
        <w:t>The</w:t>
      </w:r>
      <w:r>
        <w:rPr>
          <w:spacing w:val="-4"/>
        </w:rPr>
        <w:t xml:space="preserve"> </w:t>
      </w:r>
      <w:r>
        <w:t>Children’s</w:t>
      </w:r>
      <w:r>
        <w:rPr>
          <w:spacing w:val="-3"/>
        </w:rPr>
        <w:t xml:space="preserve"> </w:t>
      </w:r>
      <w:r>
        <w:t>Medical</w:t>
      </w:r>
      <w:r>
        <w:rPr>
          <w:spacing w:val="-2"/>
        </w:rPr>
        <w:t xml:space="preserve"> </w:t>
      </w:r>
      <w:r>
        <w:t>Center</w:t>
      </w:r>
      <w:r>
        <w:rPr>
          <w:spacing w:val="-4"/>
        </w:rPr>
        <w:t xml:space="preserve"> </w:t>
      </w:r>
      <w:r>
        <w:t>Corporation</w:t>
      </w:r>
      <w:r>
        <w:rPr>
          <w:spacing w:val="-57"/>
        </w:rPr>
        <w:t xml:space="preserve"> </w:t>
      </w:r>
      <w:r>
        <w:t>300</w:t>
      </w:r>
      <w:r>
        <w:rPr>
          <w:spacing w:val="1"/>
        </w:rPr>
        <w:t xml:space="preserve"> </w:t>
      </w:r>
      <w:r>
        <w:t>Longwood</w:t>
      </w:r>
      <w:r>
        <w:rPr>
          <w:spacing w:val="2"/>
        </w:rPr>
        <w:t xml:space="preserve"> </w:t>
      </w:r>
      <w:r>
        <w:t>Avenue</w:t>
      </w:r>
    </w:p>
    <w:p w:rsidR="00D862F2" w:rsidRDefault="00884FE4">
      <w:pPr>
        <w:pStyle w:val="BodyText"/>
        <w:ind w:left="2792" w:right="2852"/>
        <w:jc w:val="center"/>
      </w:pPr>
      <w:r>
        <w:t>Boston,</w:t>
      </w:r>
      <w:r>
        <w:rPr>
          <w:spacing w:val="-1"/>
        </w:rPr>
        <w:t xml:space="preserve"> </w:t>
      </w:r>
      <w:r>
        <w:t>MA</w:t>
      </w:r>
      <w:r>
        <w:rPr>
          <w:spacing w:val="-2"/>
        </w:rPr>
        <w:t xml:space="preserve"> </w:t>
      </w:r>
      <w:r>
        <w:t>02115</w:t>
      </w:r>
    </w:p>
    <w:p w:rsidR="00D862F2" w:rsidRDefault="00D862F2">
      <w:pPr>
        <w:jc w:val="center"/>
        <w:sectPr w:rsidR="00D862F2">
          <w:headerReference w:type="default" r:id="rId7"/>
          <w:footerReference w:type="default" r:id="rId8"/>
          <w:type w:val="continuous"/>
          <w:pgSz w:w="12240" w:h="15840"/>
          <w:pgMar w:top="1340" w:right="1160" w:bottom="980" w:left="1220" w:header="722" w:footer="794" w:gutter="0"/>
          <w:pgNumType w:start="1"/>
          <w:cols w:space="720"/>
        </w:sectPr>
      </w:pPr>
    </w:p>
    <w:p w:rsidR="00D862F2" w:rsidRDefault="00884FE4">
      <w:pPr>
        <w:pStyle w:val="BodyText"/>
        <w:spacing w:before="88"/>
        <w:ind w:left="2792" w:right="2855"/>
        <w:jc w:val="center"/>
      </w:pPr>
      <w:r>
        <w:lastRenderedPageBreak/>
        <w:t>The</w:t>
      </w:r>
      <w:r>
        <w:rPr>
          <w:spacing w:val="-4"/>
        </w:rPr>
        <w:t xml:space="preserve"> </w:t>
      </w:r>
      <w:r>
        <w:t>Children’s</w:t>
      </w:r>
      <w:r>
        <w:rPr>
          <w:spacing w:val="-2"/>
        </w:rPr>
        <w:t xml:space="preserve"> </w:t>
      </w:r>
      <w:r>
        <w:t>Medical</w:t>
      </w:r>
      <w:r>
        <w:rPr>
          <w:spacing w:val="-3"/>
        </w:rPr>
        <w:t xml:space="preserve"> </w:t>
      </w:r>
      <w:r>
        <w:t>Center</w:t>
      </w:r>
      <w:r>
        <w:rPr>
          <w:spacing w:val="-3"/>
        </w:rPr>
        <w:t xml:space="preserve"> </w:t>
      </w:r>
      <w:r>
        <w:t>Corporation</w:t>
      </w:r>
      <w:r>
        <w:rPr>
          <w:spacing w:val="-57"/>
        </w:rPr>
        <w:t xml:space="preserve"> </w:t>
      </w:r>
      <w:r>
        <w:t>DoN</w:t>
      </w:r>
      <w:r>
        <w:rPr>
          <w:spacing w:val="-4"/>
        </w:rPr>
        <w:t xml:space="preserve"> </w:t>
      </w:r>
      <w:r>
        <w:t>Application</w:t>
      </w:r>
      <w:r>
        <w:rPr>
          <w:spacing w:val="-2"/>
        </w:rPr>
        <w:t xml:space="preserve"> </w:t>
      </w:r>
      <w:r>
        <w:t>No. BCH-20171411-HE</w:t>
      </w:r>
    </w:p>
    <w:p w:rsidR="00D862F2" w:rsidRDefault="00D862F2">
      <w:pPr>
        <w:pStyle w:val="BodyText"/>
      </w:pPr>
    </w:p>
    <w:p w:rsidR="00D862F2" w:rsidRDefault="00884FE4">
      <w:pPr>
        <w:pStyle w:val="BodyText"/>
        <w:ind w:left="3632" w:right="3691"/>
        <w:jc w:val="center"/>
      </w:pPr>
      <w:r>
        <w:t>TABLE</w:t>
      </w:r>
      <w:r>
        <w:rPr>
          <w:spacing w:val="-4"/>
        </w:rPr>
        <w:t xml:space="preserve"> </w:t>
      </w:r>
      <w:r>
        <w:t>OF</w:t>
      </w:r>
      <w:r>
        <w:rPr>
          <w:spacing w:val="-4"/>
        </w:rPr>
        <w:t xml:space="preserve"> </w:t>
      </w:r>
      <w:r>
        <w:t>CONTENTS</w:t>
      </w:r>
    </w:p>
    <w:p w:rsidR="00D862F2" w:rsidRDefault="00D862F2">
      <w:pPr>
        <w:pStyle w:val="BodyText"/>
      </w:pPr>
    </w:p>
    <w:p w:rsidR="00D862F2" w:rsidRDefault="00884FE4">
      <w:pPr>
        <w:pStyle w:val="ListParagraph"/>
        <w:numPr>
          <w:ilvl w:val="0"/>
          <w:numId w:val="7"/>
        </w:numPr>
        <w:tabs>
          <w:tab w:val="left" w:pos="940"/>
        </w:tabs>
        <w:ind w:hanging="361"/>
        <w:rPr>
          <w:sz w:val="24"/>
        </w:rPr>
      </w:pPr>
      <w:r>
        <w:rPr>
          <w:sz w:val="24"/>
        </w:rPr>
        <w:t>Introduction</w:t>
      </w:r>
    </w:p>
    <w:p w:rsidR="00D862F2" w:rsidRDefault="00D862F2">
      <w:pPr>
        <w:pStyle w:val="BodyText"/>
        <w:spacing w:before="10"/>
        <w:rPr>
          <w:sz w:val="20"/>
        </w:rPr>
      </w:pPr>
    </w:p>
    <w:p w:rsidR="00D862F2" w:rsidRDefault="00884FE4">
      <w:pPr>
        <w:pStyle w:val="ListParagraph"/>
        <w:numPr>
          <w:ilvl w:val="0"/>
          <w:numId w:val="7"/>
        </w:numPr>
        <w:tabs>
          <w:tab w:val="left" w:pos="940"/>
        </w:tabs>
        <w:ind w:hanging="361"/>
        <w:rPr>
          <w:sz w:val="24"/>
        </w:rPr>
      </w:pPr>
      <w:r>
        <w:rPr>
          <w:sz w:val="24"/>
        </w:rPr>
        <w:t>Project</w:t>
      </w:r>
      <w:r>
        <w:rPr>
          <w:spacing w:val="-3"/>
          <w:sz w:val="24"/>
        </w:rPr>
        <w:t xml:space="preserve"> </w:t>
      </w:r>
      <w:r>
        <w:rPr>
          <w:sz w:val="24"/>
        </w:rPr>
        <w:t>Description</w:t>
      </w:r>
    </w:p>
    <w:p w:rsidR="00D862F2" w:rsidRDefault="00D862F2">
      <w:pPr>
        <w:pStyle w:val="BodyText"/>
        <w:spacing w:before="10"/>
        <w:rPr>
          <w:sz w:val="20"/>
        </w:rPr>
      </w:pPr>
    </w:p>
    <w:p w:rsidR="00D862F2" w:rsidRDefault="00884FE4">
      <w:pPr>
        <w:pStyle w:val="ListParagraph"/>
        <w:numPr>
          <w:ilvl w:val="0"/>
          <w:numId w:val="7"/>
        </w:numPr>
        <w:tabs>
          <w:tab w:val="left" w:pos="940"/>
        </w:tabs>
        <w:ind w:hanging="361"/>
        <w:rPr>
          <w:sz w:val="24"/>
        </w:rPr>
      </w:pPr>
      <w:r>
        <w:rPr>
          <w:sz w:val="24"/>
        </w:rPr>
        <w:t>Narrative</w:t>
      </w:r>
      <w:r>
        <w:rPr>
          <w:spacing w:val="-7"/>
          <w:sz w:val="24"/>
        </w:rPr>
        <w:t xml:space="preserve"> </w:t>
      </w:r>
      <w:r>
        <w:rPr>
          <w:sz w:val="24"/>
        </w:rPr>
        <w:t>Responses</w:t>
      </w:r>
    </w:p>
    <w:p w:rsidR="00D862F2" w:rsidRDefault="00D862F2">
      <w:pPr>
        <w:pStyle w:val="BodyText"/>
        <w:spacing w:before="10"/>
        <w:rPr>
          <w:sz w:val="20"/>
        </w:rPr>
      </w:pPr>
    </w:p>
    <w:p w:rsidR="00D862F2" w:rsidRDefault="00884FE4">
      <w:pPr>
        <w:pStyle w:val="ListParagraph"/>
        <w:numPr>
          <w:ilvl w:val="1"/>
          <w:numId w:val="7"/>
        </w:numPr>
        <w:tabs>
          <w:tab w:val="left" w:pos="1660"/>
        </w:tabs>
        <w:ind w:hanging="361"/>
        <w:rPr>
          <w:sz w:val="24"/>
        </w:rPr>
      </w:pPr>
      <w:r>
        <w:rPr>
          <w:sz w:val="24"/>
        </w:rPr>
        <w:t>Factor</w:t>
      </w:r>
      <w:r>
        <w:rPr>
          <w:spacing w:val="-3"/>
          <w:sz w:val="24"/>
        </w:rPr>
        <w:t xml:space="preserve"> </w:t>
      </w:r>
      <w:r>
        <w:rPr>
          <w:sz w:val="24"/>
        </w:rPr>
        <w:t>1 –</w:t>
      </w:r>
      <w:r>
        <w:rPr>
          <w:spacing w:val="-2"/>
          <w:sz w:val="24"/>
        </w:rPr>
        <w:t xml:space="preserve"> </w:t>
      </w:r>
      <w:r>
        <w:rPr>
          <w:sz w:val="24"/>
        </w:rPr>
        <w:t>Patient</w:t>
      </w:r>
      <w:r>
        <w:rPr>
          <w:spacing w:val="-2"/>
          <w:sz w:val="24"/>
        </w:rPr>
        <w:t xml:space="preserve"> </w:t>
      </w:r>
      <w:r>
        <w:rPr>
          <w:sz w:val="24"/>
        </w:rPr>
        <w:t>Panel</w:t>
      </w:r>
      <w:r>
        <w:rPr>
          <w:spacing w:val="-2"/>
          <w:sz w:val="24"/>
        </w:rPr>
        <w:t xml:space="preserve"> </w:t>
      </w:r>
      <w:r>
        <w:rPr>
          <w:sz w:val="24"/>
        </w:rPr>
        <w:t>Need,</w:t>
      </w:r>
      <w:r>
        <w:rPr>
          <w:spacing w:val="-1"/>
          <w:sz w:val="24"/>
        </w:rPr>
        <w:t xml:space="preserve"> </w:t>
      </w:r>
      <w:r>
        <w:rPr>
          <w:sz w:val="24"/>
        </w:rPr>
        <w:t>Public</w:t>
      </w:r>
      <w:r>
        <w:rPr>
          <w:spacing w:val="-3"/>
          <w:sz w:val="24"/>
        </w:rPr>
        <w:t xml:space="preserve"> </w:t>
      </w:r>
      <w:r>
        <w:rPr>
          <w:sz w:val="24"/>
        </w:rPr>
        <w:t>Health</w:t>
      </w:r>
      <w:r>
        <w:rPr>
          <w:spacing w:val="-2"/>
          <w:sz w:val="24"/>
        </w:rPr>
        <w:t xml:space="preserve"> </w:t>
      </w:r>
      <w:r>
        <w:rPr>
          <w:sz w:val="24"/>
        </w:rPr>
        <w:t>Values,</w:t>
      </w:r>
      <w:r>
        <w:rPr>
          <w:spacing w:val="-2"/>
          <w:sz w:val="24"/>
        </w:rPr>
        <w:t xml:space="preserve"> </w:t>
      </w:r>
      <w:r>
        <w:rPr>
          <w:sz w:val="24"/>
        </w:rPr>
        <w:t>and</w:t>
      </w:r>
      <w:r>
        <w:rPr>
          <w:spacing w:val="-2"/>
          <w:sz w:val="24"/>
        </w:rPr>
        <w:t xml:space="preserve"> </w:t>
      </w:r>
      <w:r>
        <w:rPr>
          <w:sz w:val="24"/>
        </w:rPr>
        <w:t>Operational</w:t>
      </w:r>
      <w:r>
        <w:rPr>
          <w:spacing w:val="-1"/>
          <w:sz w:val="24"/>
        </w:rPr>
        <w:t xml:space="preserve"> </w:t>
      </w:r>
      <w:r>
        <w:rPr>
          <w:sz w:val="24"/>
        </w:rPr>
        <w:t>Objectives</w:t>
      </w:r>
    </w:p>
    <w:p w:rsidR="00D862F2" w:rsidRDefault="00D862F2">
      <w:pPr>
        <w:pStyle w:val="BodyText"/>
        <w:spacing w:before="10"/>
        <w:rPr>
          <w:sz w:val="20"/>
        </w:rPr>
      </w:pPr>
    </w:p>
    <w:p w:rsidR="00D862F2" w:rsidRDefault="00884FE4">
      <w:pPr>
        <w:pStyle w:val="ListParagraph"/>
        <w:numPr>
          <w:ilvl w:val="1"/>
          <w:numId w:val="7"/>
        </w:numPr>
        <w:tabs>
          <w:tab w:val="left" w:pos="1660"/>
        </w:tabs>
        <w:ind w:hanging="361"/>
        <w:rPr>
          <w:sz w:val="24"/>
        </w:rPr>
      </w:pPr>
      <w:r>
        <w:rPr>
          <w:sz w:val="24"/>
        </w:rPr>
        <w:t>Factor</w:t>
      </w:r>
      <w:r>
        <w:rPr>
          <w:spacing w:val="-3"/>
          <w:sz w:val="24"/>
        </w:rPr>
        <w:t xml:space="preserve"> </w:t>
      </w:r>
      <w:r>
        <w:rPr>
          <w:sz w:val="24"/>
        </w:rPr>
        <w:t>2 –</w:t>
      </w:r>
      <w:r>
        <w:rPr>
          <w:spacing w:val="-2"/>
          <w:sz w:val="24"/>
        </w:rPr>
        <w:t xml:space="preserve"> </w:t>
      </w:r>
      <w:r>
        <w:rPr>
          <w:sz w:val="24"/>
        </w:rPr>
        <w:t>Health</w:t>
      </w:r>
      <w:r>
        <w:rPr>
          <w:spacing w:val="-2"/>
          <w:sz w:val="24"/>
        </w:rPr>
        <w:t xml:space="preserve"> </w:t>
      </w:r>
      <w:r>
        <w:rPr>
          <w:sz w:val="24"/>
        </w:rPr>
        <w:t>Priorities</w:t>
      </w:r>
    </w:p>
    <w:p w:rsidR="00D862F2" w:rsidRDefault="00D862F2">
      <w:pPr>
        <w:pStyle w:val="BodyText"/>
        <w:spacing w:before="10"/>
        <w:rPr>
          <w:sz w:val="20"/>
        </w:rPr>
      </w:pPr>
    </w:p>
    <w:p w:rsidR="00D862F2" w:rsidRDefault="00884FE4">
      <w:pPr>
        <w:pStyle w:val="ListParagraph"/>
        <w:numPr>
          <w:ilvl w:val="1"/>
          <w:numId w:val="7"/>
        </w:numPr>
        <w:tabs>
          <w:tab w:val="left" w:pos="1660"/>
        </w:tabs>
        <w:ind w:hanging="361"/>
        <w:rPr>
          <w:sz w:val="24"/>
        </w:rPr>
      </w:pPr>
      <w:r>
        <w:rPr>
          <w:sz w:val="24"/>
        </w:rPr>
        <w:t>Factor</w:t>
      </w:r>
      <w:r>
        <w:rPr>
          <w:spacing w:val="-3"/>
          <w:sz w:val="24"/>
        </w:rPr>
        <w:t xml:space="preserve"> </w:t>
      </w:r>
      <w:r>
        <w:rPr>
          <w:sz w:val="24"/>
        </w:rPr>
        <w:t>5 –</w:t>
      </w:r>
      <w:r>
        <w:rPr>
          <w:spacing w:val="-1"/>
          <w:sz w:val="24"/>
        </w:rPr>
        <w:t xml:space="preserve"> </w:t>
      </w:r>
      <w:r>
        <w:rPr>
          <w:sz w:val="24"/>
        </w:rPr>
        <w:t>Relative</w:t>
      </w:r>
      <w:r>
        <w:rPr>
          <w:spacing w:val="-2"/>
          <w:sz w:val="24"/>
        </w:rPr>
        <w:t xml:space="preserve"> </w:t>
      </w:r>
      <w:r>
        <w:rPr>
          <w:sz w:val="24"/>
        </w:rPr>
        <w:t>Merit</w:t>
      </w:r>
    </w:p>
    <w:p w:rsidR="00D862F2" w:rsidRDefault="00D862F2">
      <w:pPr>
        <w:pStyle w:val="BodyText"/>
        <w:spacing w:before="10"/>
        <w:rPr>
          <w:sz w:val="20"/>
        </w:rPr>
      </w:pPr>
    </w:p>
    <w:p w:rsidR="00D862F2" w:rsidRDefault="00884FE4">
      <w:pPr>
        <w:pStyle w:val="ListParagraph"/>
        <w:numPr>
          <w:ilvl w:val="0"/>
          <w:numId w:val="7"/>
        </w:numPr>
        <w:tabs>
          <w:tab w:val="left" w:pos="940"/>
        </w:tabs>
        <w:ind w:hanging="361"/>
        <w:rPr>
          <w:sz w:val="24"/>
        </w:rPr>
      </w:pPr>
      <w:r>
        <w:rPr>
          <w:sz w:val="24"/>
        </w:rPr>
        <w:t>Bailit</w:t>
      </w:r>
      <w:r>
        <w:rPr>
          <w:spacing w:val="-3"/>
          <w:sz w:val="24"/>
        </w:rPr>
        <w:t xml:space="preserve"> </w:t>
      </w:r>
      <w:r>
        <w:rPr>
          <w:sz w:val="24"/>
        </w:rPr>
        <w:t>Report</w:t>
      </w:r>
    </w:p>
    <w:p w:rsidR="00D862F2" w:rsidRDefault="00D862F2">
      <w:pPr>
        <w:pStyle w:val="BodyText"/>
        <w:spacing w:before="10"/>
        <w:rPr>
          <w:sz w:val="20"/>
        </w:rPr>
      </w:pPr>
    </w:p>
    <w:p w:rsidR="00D862F2" w:rsidRDefault="00884FE4">
      <w:pPr>
        <w:pStyle w:val="ListParagraph"/>
        <w:numPr>
          <w:ilvl w:val="0"/>
          <w:numId w:val="7"/>
        </w:numPr>
        <w:tabs>
          <w:tab w:val="left" w:pos="940"/>
        </w:tabs>
        <w:ind w:hanging="361"/>
        <w:rPr>
          <w:sz w:val="24"/>
        </w:rPr>
      </w:pPr>
      <w:r>
        <w:rPr>
          <w:sz w:val="24"/>
        </w:rPr>
        <w:t>Factor</w:t>
      </w:r>
      <w:r>
        <w:rPr>
          <w:spacing w:val="-3"/>
          <w:sz w:val="24"/>
        </w:rPr>
        <w:t xml:space="preserve"> </w:t>
      </w:r>
      <w:r>
        <w:rPr>
          <w:sz w:val="24"/>
        </w:rPr>
        <w:t>4 –</w:t>
      </w:r>
      <w:r>
        <w:rPr>
          <w:spacing w:val="-1"/>
          <w:sz w:val="24"/>
        </w:rPr>
        <w:t xml:space="preserve"> </w:t>
      </w:r>
      <w:r>
        <w:rPr>
          <w:sz w:val="24"/>
        </w:rPr>
        <w:t>Capital</w:t>
      </w:r>
      <w:r>
        <w:rPr>
          <w:spacing w:val="-2"/>
          <w:sz w:val="24"/>
        </w:rPr>
        <w:t xml:space="preserve"> </w:t>
      </w:r>
      <w:r>
        <w:rPr>
          <w:sz w:val="24"/>
        </w:rPr>
        <w:t>Costs</w:t>
      </w:r>
      <w:r>
        <w:rPr>
          <w:spacing w:val="-1"/>
          <w:sz w:val="24"/>
        </w:rPr>
        <w:t xml:space="preserve"> </w:t>
      </w:r>
      <w:r>
        <w:rPr>
          <w:sz w:val="24"/>
        </w:rPr>
        <w:t>Chart</w:t>
      </w:r>
      <w:r>
        <w:rPr>
          <w:spacing w:val="-2"/>
          <w:sz w:val="24"/>
        </w:rPr>
        <w:t xml:space="preserve"> </w:t>
      </w:r>
      <w:r>
        <w:rPr>
          <w:sz w:val="24"/>
        </w:rPr>
        <w:t>and</w:t>
      </w:r>
      <w:r>
        <w:rPr>
          <w:spacing w:val="1"/>
          <w:sz w:val="24"/>
        </w:rPr>
        <w:t xml:space="preserve"> </w:t>
      </w:r>
      <w:r>
        <w:rPr>
          <w:sz w:val="24"/>
        </w:rPr>
        <w:t>Independent</w:t>
      </w:r>
      <w:r>
        <w:rPr>
          <w:spacing w:val="-2"/>
          <w:sz w:val="24"/>
        </w:rPr>
        <w:t xml:space="preserve"> </w:t>
      </w:r>
      <w:r>
        <w:rPr>
          <w:sz w:val="24"/>
        </w:rPr>
        <w:t>CPA</w:t>
      </w:r>
      <w:r>
        <w:rPr>
          <w:spacing w:val="-2"/>
          <w:sz w:val="24"/>
        </w:rPr>
        <w:t xml:space="preserve"> </w:t>
      </w:r>
      <w:r>
        <w:rPr>
          <w:sz w:val="24"/>
        </w:rPr>
        <w:t>Analysis</w:t>
      </w:r>
    </w:p>
    <w:p w:rsidR="00D862F2" w:rsidRDefault="00D862F2">
      <w:pPr>
        <w:pStyle w:val="BodyText"/>
        <w:spacing w:before="10"/>
        <w:rPr>
          <w:sz w:val="20"/>
        </w:rPr>
      </w:pPr>
    </w:p>
    <w:p w:rsidR="00D862F2" w:rsidRDefault="00884FE4">
      <w:pPr>
        <w:pStyle w:val="ListParagraph"/>
        <w:numPr>
          <w:ilvl w:val="0"/>
          <w:numId w:val="7"/>
        </w:numPr>
        <w:tabs>
          <w:tab w:val="left" w:pos="940"/>
        </w:tabs>
        <w:ind w:hanging="361"/>
        <w:rPr>
          <w:sz w:val="24"/>
        </w:rPr>
      </w:pPr>
      <w:r>
        <w:rPr>
          <w:sz w:val="24"/>
        </w:rPr>
        <w:t>Factor</w:t>
      </w:r>
      <w:r>
        <w:rPr>
          <w:spacing w:val="-4"/>
          <w:sz w:val="24"/>
        </w:rPr>
        <w:t xml:space="preserve"> </w:t>
      </w:r>
      <w:r>
        <w:rPr>
          <w:sz w:val="24"/>
        </w:rPr>
        <w:t>6 –</w:t>
      </w:r>
      <w:r>
        <w:rPr>
          <w:spacing w:val="-2"/>
          <w:sz w:val="24"/>
        </w:rPr>
        <w:t xml:space="preserve"> </w:t>
      </w:r>
      <w:r>
        <w:rPr>
          <w:sz w:val="24"/>
        </w:rPr>
        <w:t>Community</w:t>
      </w:r>
      <w:r>
        <w:rPr>
          <w:spacing w:val="-7"/>
          <w:sz w:val="24"/>
        </w:rPr>
        <w:t xml:space="preserve"> </w:t>
      </w:r>
      <w:r>
        <w:rPr>
          <w:sz w:val="24"/>
        </w:rPr>
        <w:t>Health Initiative</w:t>
      </w:r>
      <w:r>
        <w:rPr>
          <w:spacing w:val="-3"/>
          <w:sz w:val="24"/>
        </w:rPr>
        <w:t xml:space="preserve"> </w:t>
      </w:r>
      <w:r>
        <w:rPr>
          <w:sz w:val="24"/>
        </w:rPr>
        <w:t>Supplemental</w:t>
      </w:r>
      <w:r>
        <w:rPr>
          <w:spacing w:val="-1"/>
          <w:sz w:val="24"/>
        </w:rPr>
        <w:t xml:space="preserve"> </w:t>
      </w:r>
      <w:r>
        <w:rPr>
          <w:sz w:val="24"/>
        </w:rPr>
        <w:t>Information</w:t>
      </w:r>
    </w:p>
    <w:p w:rsidR="00D862F2" w:rsidRDefault="00D862F2">
      <w:pPr>
        <w:pStyle w:val="BodyText"/>
        <w:spacing w:before="10"/>
        <w:rPr>
          <w:sz w:val="20"/>
        </w:rPr>
      </w:pPr>
    </w:p>
    <w:p w:rsidR="00D862F2" w:rsidRDefault="00884FE4">
      <w:pPr>
        <w:pStyle w:val="ListParagraph"/>
        <w:numPr>
          <w:ilvl w:val="1"/>
          <w:numId w:val="7"/>
        </w:numPr>
        <w:tabs>
          <w:tab w:val="left" w:pos="1660"/>
        </w:tabs>
        <w:ind w:hanging="361"/>
        <w:rPr>
          <w:sz w:val="24"/>
        </w:rPr>
      </w:pPr>
      <w:r>
        <w:rPr>
          <w:sz w:val="24"/>
        </w:rPr>
        <w:t>2020</w:t>
      </w:r>
      <w:r>
        <w:rPr>
          <w:spacing w:val="-2"/>
          <w:sz w:val="24"/>
        </w:rPr>
        <w:t xml:space="preserve"> </w:t>
      </w:r>
      <w:r>
        <w:rPr>
          <w:sz w:val="24"/>
        </w:rPr>
        <w:t>Community</w:t>
      </w:r>
      <w:r>
        <w:rPr>
          <w:spacing w:val="-9"/>
          <w:sz w:val="24"/>
        </w:rPr>
        <w:t xml:space="preserve"> </w:t>
      </w:r>
      <w:r>
        <w:rPr>
          <w:sz w:val="24"/>
        </w:rPr>
        <w:t>Health</w:t>
      </w:r>
      <w:r>
        <w:rPr>
          <w:spacing w:val="-1"/>
          <w:sz w:val="24"/>
        </w:rPr>
        <w:t xml:space="preserve"> </w:t>
      </w:r>
      <w:r>
        <w:rPr>
          <w:sz w:val="24"/>
        </w:rPr>
        <w:t>Needs</w:t>
      </w:r>
      <w:r>
        <w:rPr>
          <w:spacing w:val="-1"/>
          <w:sz w:val="24"/>
        </w:rPr>
        <w:t xml:space="preserve"> </w:t>
      </w:r>
      <w:r>
        <w:rPr>
          <w:sz w:val="24"/>
        </w:rPr>
        <w:t>Assessments</w:t>
      </w:r>
      <w:r>
        <w:rPr>
          <w:spacing w:val="-1"/>
          <w:sz w:val="24"/>
        </w:rPr>
        <w:t xml:space="preserve"> </w:t>
      </w:r>
      <w:r>
        <w:rPr>
          <w:sz w:val="24"/>
        </w:rPr>
        <w:t>(990 Schedule</w:t>
      </w:r>
      <w:r>
        <w:rPr>
          <w:spacing w:val="-2"/>
          <w:sz w:val="24"/>
        </w:rPr>
        <w:t xml:space="preserve"> </w:t>
      </w:r>
      <w:r>
        <w:rPr>
          <w:sz w:val="24"/>
        </w:rPr>
        <w:t>H</w:t>
      </w:r>
      <w:r>
        <w:rPr>
          <w:spacing w:val="-2"/>
          <w:sz w:val="24"/>
        </w:rPr>
        <w:t xml:space="preserve"> </w:t>
      </w:r>
      <w:r>
        <w:rPr>
          <w:sz w:val="24"/>
        </w:rPr>
        <w:t>CHNA/CHIP)</w:t>
      </w:r>
    </w:p>
    <w:p w:rsidR="00D862F2" w:rsidRDefault="00D862F2">
      <w:pPr>
        <w:pStyle w:val="BodyText"/>
        <w:spacing w:before="10"/>
        <w:rPr>
          <w:sz w:val="20"/>
        </w:rPr>
      </w:pPr>
    </w:p>
    <w:p w:rsidR="00D862F2" w:rsidRDefault="00884FE4">
      <w:pPr>
        <w:pStyle w:val="ListParagraph"/>
        <w:numPr>
          <w:ilvl w:val="1"/>
          <w:numId w:val="7"/>
        </w:numPr>
        <w:tabs>
          <w:tab w:val="left" w:pos="1660"/>
        </w:tabs>
        <w:ind w:hanging="361"/>
        <w:rPr>
          <w:sz w:val="24"/>
        </w:rPr>
      </w:pPr>
      <w:r>
        <w:rPr>
          <w:sz w:val="24"/>
        </w:rPr>
        <w:t>CHNA/CHIP</w:t>
      </w:r>
      <w:r>
        <w:rPr>
          <w:spacing w:val="-3"/>
          <w:sz w:val="24"/>
        </w:rPr>
        <w:t xml:space="preserve"> </w:t>
      </w:r>
      <w:r>
        <w:rPr>
          <w:sz w:val="24"/>
        </w:rPr>
        <w:t>Self-Assessment</w:t>
      </w:r>
      <w:r>
        <w:rPr>
          <w:spacing w:val="-4"/>
          <w:sz w:val="24"/>
        </w:rPr>
        <w:t xml:space="preserve"> </w:t>
      </w:r>
      <w:r>
        <w:rPr>
          <w:sz w:val="24"/>
        </w:rPr>
        <w:t>Form</w:t>
      </w:r>
      <w:r>
        <w:rPr>
          <w:spacing w:val="-3"/>
          <w:sz w:val="24"/>
        </w:rPr>
        <w:t xml:space="preserve"> </w:t>
      </w:r>
      <w:r>
        <w:rPr>
          <w:sz w:val="24"/>
        </w:rPr>
        <w:t>Cover</w:t>
      </w:r>
      <w:r>
        <w:rPr>
          <w:spacing w:val="-3"/>
          <w:sz w:val="24"/>
        </w:rPr>
        <w:t xml:space="preserve"> </w:t>
      </w:r>
      <w:r>
        <w:rPr>
          <w:sz w:val="24"/>
        </w:rPr>
        <w:t>Page</w:t>
      </w:r>
    </w:p>
    <w:p w:rsidR="00D862F2" w:rsidRDefault="00D862F2">
      <w:pPr>
        <w:pStyle w:val="BodyText"/>
        <w:spacing w:before="10"/>
        <w:rPr>
          <w:sz w:val="20"/>
        </w:rPr>
      </w:pPr>
    </w:p>
    <w:p w:rsidR="00D862F2" w:rsidRDefault="00884FE4">
      <w:pPr>
        <w:pStyle w:val="ListParagraph"/>
        <w:numPr>
          <w:ilvl w:val="1"/>
          <w:numId w:val="7"/>
        </w:numPr>
        <w:tabs>
          <w:tab w:val="left" w:pos="1660"/>
        </w:tabs>
        <w:ind w:hanging="361"/>
        <w:rPr>
          <w:sz w:val="24"/>
        </w:rPr>
      </w:pPr>
      <w:r>
        <w:rPr>
          <w:sz w:val="24"/>
        </w:rPr>
        <w:t>Community</w:t>
      </w:r>
      <w:r>
        <w:rPr>
          <w:spacing w:val="-10"/>
          <w:sz w:val="24"/>
        </w:rPr>
        <w:t xml:space="preserve"> </w:t>
      </w:r>
      <w:r>
        <w:rPr>
          <w:sz w:val="24"/>
        </w:rPr>
        <w:t>Health Initiative</w:t>
      </w:r>
      <w:r>
        <w:rPr>
          <w:spacing w:val="-2"/>
          <w:sz w:val="24"/>
        </w:rPr>
        <w:t xml:space="preserve"> </w:t>
      </w:r>
      <w:r>
        <w:rPr>
          <w:sz w:val="24"/>
        </w:rPr>
        <w:t>Narrative</w:t>
      </w:r>
    </w:p>
    <w:p w:rsidR="00D862F2" w:rsidRDefault="00D862F2">
      <w:pPr>
        <w:pStyle w:val="BodyText"/>
        <w:spacing w:before="10"/>
        <w:rPr>
          <w:sz w:val="20"/>
        </w:rPr>
      </w:pPr>
    </w:p>
    <w:p w:rsidR="00D862F2" w:rsidRDefault="00884FE4">
      <w:pPr>
        <w:pStyle w:val="ListParagraph"/>
        <w:numPr>
          <w:ilvl w:val="1"/>
          <w:numId w:val="7"/>
        </w:numPr>
        <w:tabs>
          <w:tab w:val="left" w:pos="1660"/>
        </w:tabs>
        <w:ind w:hanging="361"/>
        <w:rPr>
          <w:sz w:val="24"/>
        </w:rPr>
      </w:pPr>
      <w:r>
        <w:rPr>
          <w:sz w:val="24"/>
        </w:rPr>
        <w:t>Community</w:t>
      </w:r>
      <w:r>
        <w:rPr>
          <w:spacing w:val="-9"/>
          <w:sz w:val="24"/>
        </w:rPr>
        <w:t xml:space="preserve"> </w:t>
      </w:r>
      <w:r>
        <w:rPr>
          <w:sz w:val="24"/>
        </w:rPr>
        <w:t>Engagement</w:t>
      </w:r>
      <w:r>
        <w:rPr>
          <w:spacing w:val="1"/>
          <w:sz w:val="24"/>
        </w:rPr>
        <w:t xml:space="preserve"> </w:t>
      </w:r>
      <w:r>
        <w:rPr>
          <w:sz w:val="24"/>
        </w:rPr>
        <w:t>Plan</w:t>
      </w:r>
    </w:p>
    <w:p w:rsidR="00D862F2" w:rsidRDefault="00D862F2">
      <w:pPr>
        <w:pStyle w:val="BodyText"/>
        <w:spacing w:before="10"/>
        <w:rPr>
          <w:sz w:val="20"/>
        </w:rPr>
      </w:pPr>
    </w:p>
    <w:p w:rsidR="00D862F2" w:rsidRDefault="00884FE4">
      <w:pPr>
        <w:pStyle w:val="ListParagraph"/>
        <w:numPr>
          <w:ilvl w:val="0"/>
          <w:numId w:val="7"/>
        </w:numPr>
        <w:tabs>
          <w:tab w:val="left" w:pos="940"/>
        </w:tabs>
        <w:ind w:hanging="361"/>
        <w:rPr>
          <w:sz w:val="24"/>
        </w:rPr>
      </w:pPr>
      <w:r>
        <w:rPr>
          <w:sz w:val="24"/>
        </w:rPr>
        <w:t>Notice</w:t>
      </w:r>
      <w:r>
        <w:rPr>
          <w:spacing w:val="-4"/>
          <w:sz w:val="24"/>
        </w:rPr>
        <w:t xml:space="preserve"> </w:t>
      </w:r>
      <w:r>
        <w:rPr>
          <w:sz w:val="24"/>
        </w:rPr>
        <w:t>of</w:t>
      </w:r>
      <w:r>
        <w:rPr>
          <w:spacing w:val="-1"/>
          <w:sz w:val="24"/>
        </w:rPr>
        <w:t xml:space="preserve"> </w:t>
      </w:r>
      <w:r>
        <w:rPr>
          <w:sz w:val="24"/>
        </w:rPr>
        <w:t>Intent</w:t>
      </w:r>
    </w:p>
    <w:p w:rsidR="00D862F2" w:rsidRDefault="00D862F2">
      <w:pPr>
        <w:pStyle w:val="BodyText"/>
        <w:spacing w:before="10"/>
        <w:rPr>
          <w:sz w:val="20"/>
        </w:rPr>
      </w:pPr>
    </w:p>
    <w:p w:rsidR="00D862F2" w:rsidRDefault="00884FE4">
      <w:pPr>
        <w:pStyle w:val="ListParagraph"/>
        <w:numPr>
          <w:ilvl w:val="0"/>
          <w:numId w:val="7"/>
        </w:numPr>
        <w:tabs>
          <w:tab w:val="left" w:pos="940"/>
        </w:tabs>
        <w:ind w:hanging="361"/>
        <w:rPr>
          <w:sz w:val="24"/>
        </w:rPr>
      </w:pPr>
      <w:r>
        <w:rPr>
          <w:sz w:val="24"/>
        </w:rPr>
        <w:t>Articles</w:t>
      </w:r>
      <w:r>
        <w:rPr>
          <w:spacing w:val="-2"/>
          <w:sz w:val="24"/>
        </w:rPr>
        <w:t xml:space="preserve"> </w:t>
      </w:r>
      <w:r>
        <w:rPr>
          <w:sz w:val="24"/>
        </w:rPr>
        <w:t>of</w:t>
      </w:r>
      <w:r>
        <w:rPr>
          <w:spacing w:val="-2"/>
          <w:sz w:val="24"/>
        </w:rPr>
        <w:t xml:space="preserve"> </w:t>
      </w:r>
      <w:r>
        <w:rPr>
          <w:sz w:val="24"/>
        </w:rPr>
        <w:t>Organization</w:t>
      </w:r>
    </w:p>
    <w:p w:rsidR="00D862F2" w:rsidRDefault="00D862F2">
      <w:pPr>
        <w:pStyle w:val="BodyText"/>
        <w:spacing w:before="10"/>
        <w:rPr>
          <w:sz w:val="20"/>
        </w:rPr>
      </w:pPr>
    </w:p>
    <w:p w:rsidR="00D862F2" w:rsidRDefault="00884FE4">
      <w:pPr>
        <w:pStyle w:val="ListParagraph"/>
        <w:numPr>
          <w:ilvl w:val="0"/>
          <w:numId w:val="7"/>
        </w:numPr>
        <w:tabs>
          <w:tab w:val="left" w:pos="940"/>
        </w:tabs>
        <w:ind w:hanging="361"/>
        <w:rPr>
          <w:sz w:val="24"/>
        </w:rPr>
      </w:pPr>
      <w:r>
        <w:rPr>
          <w:sz w:val="24"/>
        </w:rPr>
        <w:t>Affidavit</w:t>
      </w:r>
      <w:r>
        <w:rPr>
          <w:spacing w:val="-2"/>
          <w:sz w:val="24"/>
        </w:rPr>
        <w:t xml:space="preserve"> </w:t>
      </w:r>
      <w:r>
        <w:rPr>
          <w:sz w:val="24"/>
        </w:rPr>
        <w:t>of</w:t>
      </w:r>
      <w:r>
        <w:rPr>
          <w:spacing w:val="-3"/>
          <w:sz w:val="24"/>
        </w:rPr>
        <w:t xml:space="preserve"> </w:t>
      </w:r>
      <w:r>
        <w:rPr>
          <w:sz w:val="24"/>
        </w:rPr>
        <w:t>Truthfulness</w:t>
      </w:r>
      <w:r>
        <w:rPr>
          <w:spacing w:val="-2"/>
          <w:sz w:val="24"/>
        </w:rPr>
        <w:t xml:space="preserve"> </w:t>
      </w:r>
      <w:r>
        <w:rPr>
          <w:sz w:val="24"/>
        </w:rPr>
        <w:t>and</w:t>
      </w:r>
      <w:r>
        <w:rPr>
          <w:spacing w:val="-1"/>
          <w:sz w:val="24"/>
        </w:rPr>
        <w:t xml:space="preserve"> </w:t>
      </w:r>
      <w:r>
        <w:rPr>
          <w:sz w:val="24"/>
        </w:rPr>
        <w:t>Compliance</w:t>
      </w:r>
    </w:p>
    <w:p w:rsidR="00D862F2" w:rsidRDefault="00D862F2">
      <w:pPr>
        <w:pStyle w:val="BodyText"/>
        <w:spacing w:before="10"/>
        <w:rPr>
          <w:sz w:val="20"/>
        </w:rPr>
      </w:pPr>
    </w:p>
    <w:p w:rsidR="00D862F2" w:rsidRDefault="00884FE4">
      <w:pPr>
        <w:pStyle w:val="ListParagraph"/>
        <w:numPr>
          <w:ilvl w:val="0"/>
          <w:numId w:val="7"/>
        </w:numPr>
        <w:tabs>
          <w:tab w:val="left" w:pos="940"/>
        </w:tabs>
        <w:spacing w:before="1"/>
        <w:ind w:hanging="361"/>
        <w:rPr>
          <w:sz w:val="24"/>
        </w:rPr>
      </w:pPr>
      <w:r>
        <w:rPr>
          <w:sz w:val="24"/>
        </w:rPr>
        <w:t>Filing</w:t>
      </w:r>
      <w:r>
        <w:rPr>
          <w:spacing w:val="-3"/>
          <w:sz w:val="24"/>
        </w:rPr>
        <w:t xml:space="preserve"> </w:t>
      </w:r>
      <w:r>
        <w:rPr>
          <w:sz w:val="24"/>
        </w:rPr>
        <w:t>Fee</w:t>
      </w:r>
    </w:p>
    <w:p w:rsidR="00D862F2" w:rsidRDefault="00D862F2">
      <w:pPr>
        <w:pStyle w:val="BodyText"/>
        <w:spacing w:before="9"/>
        <w:rPr>
          <w:sz w:val="20"/>
        </w:rPr>
      </w:pPr>
    </w:p>
    <w:p w:rsidR="00D862F2" w:rsidRDefault="00884FE4">
      <w:pPr>
        <w:pStyle w:val="ListParagraph"/>
        <w:numPr>
          <w:ilvl w:val="0"/>
          <w:numId w:val="7"/>
        </w:numPr>
        <w:tabs>
          <w:tab w:val="left" w:pos="940"/>
        </w:tabs>
        <w:spacing w:before="1"/>
        <w:ind w:hanging="361"/>
        <w:rPr>
          <w:sz w:val="24"/>
        </w:rPr>
      </w:pPr>
      <w:r>
        <w:rPr>
          <w:sz w:val="24"/>
        </w:rPr>
        <w:t>HPC</w:t>
      </w:r>
      <w:r>
        <w:rPr>
          <w:spacing w:val="-3"/>
          <w:sz w:val="24"/>
        </w:rPr>
        <w:t xml:space="preserve"> </w:t>
      </w:r>
      <w:r>
        <w:rPr>
          <w:sz w:val="24"/>
        </w:rPr>
        <w:t>ACO</w:t>
      </w:r>
      <w:r>
        <w:rPr>
          <w:spacing w:val="-4"/>
          <w:sz w:val="24"/>
        </w:rPr>
        <w:t xml:space="preserve"> </w:t>
      </w:r>
      <w:r>
        <w:rPr>
          <w:sz w:val="24"/>
        </w:rPr>
        <w:t>Certification</w:t>
      </w:r>
      <w:r>
        <w:rPr>
          <w:spacing w:val="-3"/>
          <w:sz w:val="24"/>
        </w:rPr>
        <w:t xml:space="preserve"> </w:t>
      </w:r>
      <w:r>
        <w:rPr>
          <w:sz w:val="24"/>
        </w:rPr>
        <w:t>Approval</w:t>
      </w:r>
      <w:r>
        <w:rPr>
          <w:spacing w:val="-1"/>
          <w:sz w:val="24"/>
        </w:rPr>
        <w:t xml:space="preserve"> </w:t>
      </w:r>
      <w:r>
        <w:rPr>
          <w:sz w:val="24"/>
        </w:rPr>
        <w:t>Letter</w:t>
      </w:r>
    </w:p>
    <w:p w:rsidR="00D862F2" w:rsidRDefault="00D862F2">
      <w:pPr>
        <w:pStyle w:val="BodyText"/>
        <w:spacing w:before="9"/>
        <w:rPr>
          <w:sz w:val="20"/>
        </w:rPr>
      </w:pPr>
    </w:p>
    <w:p w:rsidR="00D862F2" w:rsidRDefault="00884FE4">
      <w:pPr>
        <w:pStyle w:val="ListParagraph"/>
        <w:numPr>
          <w:ilvl w:val="0"/>
          <w:numId w:val="7"/>
        </w:numPr>
        <w:tabs>
          <w:tab w:val="left" w:pos="940"/>
        </w:tabs>
        <w:spacing w:before="1"/>
        <w:ind w:hanging="361"/>
        <w:rPr>
          <w:sz w:val="24"/>
        </w:rPr>
      </w:pPr>
      <w:r>
        <w:rPr>
          <w:sz w:val="24"/>
        </w:rPr>
        <w:t>Affiliated</w:t>
      </w:r>
      <w:r>
        <w:rPr>
          <w:spacing w:val="-4"/>
          <w:sz w:val="24"/>
        </w:rPr>
        <w:t xml:space="preserve"> </w:t>
      </w:r>
      <w:r>
        <w:rPr>
          <w:sz w:val="24"/>
        </w:rPr>
        <w:t>Parties</w:t>
      </w:r>
    </w:p>
    <w:p w:rsidR="00D862F2" w:rsidRDefault="00D862F2">
      <w:pPr>
        <w:pStyle w:val="BodyText"/>
        <w:spacing w:before="9"/>
        <w:rPr>
          <w:sz w:val="20"/>
        </w:rPr>
      </w:pPr>
    </w:p>
    <w:p w:rsidR="00D862F2" w:rsidRDefault="00884FE4">
      <w:pPr>
        <w:pStyle w:val="ListParagraph"/>
        <w:numPr>
          <w:ilvl w:val="0"/>
          <w:numId w:val="7"/>
        </w:numPr>
        <w:tabs>
          <w:tab w:val="left" w:pos="940"/>
        </w:tabs>
        <w:spacing w:before="1"/>
        <w:ind w:hanging="361"/>
        <w:rPr>
          <w:sz w:val="24"/>
        </w:rPr>
      </w:pPr>
      <w:r>
        <w:rPr>
          <w:sz w:val="24"/>
        </w:rPr>
        <w:t>Change In</w:t>
      </w:r>
      <w:r>
        <w:rPr>
          <w:spacing w:val="-3"/>
          <w:sz w:val="24"/>
        </w:rPr>
        <w:t xml:space="preserve"> </w:t>
      </w:r>
      <w:r>
        <w:rPr>
          <w:sz w:val="24"/>
        </w:rPr>
        <w:t>Service</w:t>
      </w:r>
    </w:p>
    <w:p w:rsidR="00D862F2" w:rsidRDefault="00D862F2">
      <w:pPr>
        <w:rPr>
          <w:sz w:val="24"/>
        </w:rPr>
        <w:sectPr w:rsidR="00D862F2">
          <w:pgSz w:w="12240" w:h="15840"/>
          <w:pgMar w:top="1340" w:right="1160" w:bottom="980" w:left="1220" w:header="722" w:footer="794" w:gutter="0"/>
          <w:cols w:space="720"/>
        </w:sectPr>
      </w:pPr>
    </w:p>
    <w:p w:rsidR="00D862F2" w:rsidRDefault="00D862F2">
      <w:pPr>
        <w:pStyle w:val="BodyText"/>
        <w:spacing w:before="1"/>
      </w:pPr>
    </w:p>
    <w:p w:rsidR="00D862F2" w:rsidRDefault="00884FE4">
      <w:pPr>
        <w:pStyle w:val="Heading1"/>
        <w:spacing w:before="85"/>
        <w:rPr>
          <w:u w:val="none"/>
        </w:rPr>
      </w:pPr>
      <w:r>
        <w:t>Attachment</w:t>
      </w:r>
      <w:r>
        <w:rPr>
          <w:spacing w:val="-1"/>
        </w:rPr>
        <w:t xml:space="preserve"> </w:t>
      </w:r>
      <w:r>
        <w:t>1</w:t>
      </w:r>
    </w:p>
    <w:p w:rsidR="00D862F2" w:rsidRDefault="00D862F2">
      <w:pPr>
        <w:pStyle w:val="BodyText"/>
        <w:rPr>
          <w:sz w:val="20"/>
        </w:rPr>
      </w:pPr>
    </w:p>
    <w:p w:rsidR="00D862F2" w:rsidRDefault="00D862F2">
      <w:pPr>
        <w:pStyle w:val="BodyText"/>
        <w:rPr>
          <w:sz w:val="20"/>
        </w:rPr>
      </w:pPr>
    </w:p>
    <w:p w:rsidR="00D862F2" w:rsidRDefault="00D862F2">
      <w:pPr>
        <w:pStyle w:val="BodyText"/>
        <w:spacing w:before="5"/>
      </w:pPr>
    </w:p>
    <w:p w:rsidR="00D862F2" w:rsidRDefault="00884FE4">
      <w:pPr>
        <w:pStyle w:val="Heading2"/>
        <w:ind w:right="2494"/>
      </w:pPr>
      <w:r>
        <w:t>Introduction</w:t>
      </w:r>
    </w:p>
    <w:p w:rsidR="00D862F2" w:rsidRDefault="00D862F2">
      <w:pPr>
        <w:sectPr w:rsidR="00D862F2">
          <w:pgSz w:w="12240" w:h="15840"/>
          <w:pgMar w:top="1340" w:right="1160" w:bottom="980" w:left="1220" w:header="722" w:footer="794" w:gutter="0"/>
          <w:cols w:space="720"/>
        </w:sectPr>
      </w:pPr>
    </w:p>
    <w:p w:rsidR="00D862F2" w:rsidRDefault="00884FE4">
      <w:pPr>
        <w:spacing w:before="95"/>
        <w:ind w:left="2792" w:right="2853"/>
        <w:jc w:val="center"/>
        <w:rPr>
          <w:b/>
          <w:sz w:val="24"/>
        </w:rPr>
      </w:pPr>
      <w:r>
        <w:rPr>
          <w:b/>
          <w:sz w:val="24"/>
          <w:u w:val="single"/>
        </w:rPr>
        <w:lastRenderedPageBreak/>
        <w:t>Introduction</w:t>
      </w:r>
    </w:p>
    <w:p w:rsidR="00D862F2" w:rsidRDefault="00D862F2">
      <w:pPr>
        <w:pStyle w:val="BodyText"/>
        <w:spacing w:before="6"/>
        <w:rPr>
          <w:b/>
          <w:sz w:val="14"/>
        </w:rPr>
      </w:pPr>
    </w:p>
    <w:p w:rsidR="00D862F2" w:rsidRDefault="00884FE4">
      <w:pPr>
        <w:pStyle w:val="BodyText"/>
        <w:spacing w:before="90" w:line="259" w:lineRule="auto"/>
        <w:ind w:left="220" w:right="274"/>
        <w:jc w:val="both"/>
      </w:pPr>
      <w:r>
        <w:t>The Children’s Medical Center Corporation (the “Applicant”) is the sole corporate member of</w:t>
      </w:r>
      <w:r>
        <w:rPr>
          <w:spacing w:val="1"/>
        </w:rPr>
        <w:t xml:space="preserve"> </w:t>
      </w:r>
      <w:r>
        <w:t>The</w:t>
      </w:r>
      <w:r>
        <w:rPr>
          <w:spacing w:val="1"/>
        </w:rPr>
        <w:t xml:space="preserve"> </w:t>
      </w:r>
      <w:r>
        <w:t>Children’s</w:t>
      </w:r>
      <w:r>
        <w:rPr>
          <w:spacing w:val="1"/>
        </w:rPr>
        <w:t xml:space="preserve"> </w:t>
      </w:r>
      <w:r>
        <w:t>Hospital</w:t>
      </w:r>
      <w:r>
        <w:rPr>
          <w:spacing w:val="1"/>
        </w:rPr>
        <w:t xml:space="preserve"> </w:t>
      </w:r>
      <w:r>
        <w:t>Corporation,</w:t>
      </w:r>
      <w:r>
        <w:rPr>
          <w:spacing w:val="1"/>
        </w:rPr>
        <w:t xml:space="preserve"> </w:t>
      </w:r>
      <w:r>
        <w:t>doing</w:t>
      </w:r>
      <w:r>
        <w:rPr>
          <w:spacing w:val="1"/>
        </w:rPr>
        <w:t xml:space="preserve"> </w:t>
      </w:r>
      <w:r>
        <w:t>business</w:t>
      </w:r>
      <w:r>
        <w:rPr>
          <w:spacing w:val="1"/>
        </w:rPr>
        <w:t xml:space="preserve"> </w:t>
      </w:r>
      <w:r>
        <w:t>as</w:t>
      </w:r>
      <w:r>
        <w:rPr>
          <w:spacing w:val="1"/>
        </w:rPr>
        <w:t xml:space="preserve"> </w:t>
      </w:r>
      <w:r>
        <w:t>Boston</w:t>
      </w:r>
      <w:r>
        <w:rPr>
          <w:spacing w:val="1"/>
        </w:rPr>
        <w:t xml:space="preserve"> </w:t>
      </w:r>
      <w:r>
        <w:t>Children’s</w:t>
      </w:r>
      <w:r>
        <w:rPr>
          <w:spacing w:val="1"/>
        </w:rPr>
        <w:t xml:space="preserve"> </w:t>
      </w:r>
      <w:r>
        <w:t>Hospital</w:t>
      </w:r>
      <w:r>
        <w:rPr>
          <w:spacing w:val="1"/>
        </w:rPr>
        <w:t xml:space="preserve"> </w:t>
      </w:r>
      <w:r>
        <w:t>(the</w:t>
      </w:r>
      <w:r>
        <w:rPr>
          <w:spacing w:val="1"/>
        </w:rPr>
        <w:t xml:space="preserve"> </w:t>
      </w:r>
      <w:r>
        <w:t>“Hospital” and, together with the Applicant and its affiliates, “Boston Children’s”). The Hospital</w:t>
      </w:r>
      <w:r>
        <w:rPr>
          <w:spacing w:val="-57"/>
        </w:rPr>
        <w:t xml:space="preserve"> </w:t>
      </w:r>
      <w:r>
        <w:t>is the only freestanding pediatric acute care hospital in Massachusetts and the nation’s premier</w:t>
      </w:r>
      <w:r>
        <w:rPr>
          <w:spacing w:val="1"/>
        </w:rPr>
        <w:t xml:space="preserve"> </w:t>
      </w:r>
      <w:r>
        <w:t>pediatric medical center. Boston Children’s provides one of the most comprehensive networks of</w:t>
      </w:r>
      <w:r>
        <w:rPr>
          <w:spacing w:val="-57"/>
        </w:rPr>
        <w:t xml:space="preserve"> </w:t>
      </w:r>
      <w:r>
        <w:t>pediatric subspecialists in New England, including primary care services through Children’s</w:t>
      </w:r>
      <w:r>
        <w:rPr>
          <w:spacing w:val="1"/>
        </w:rPr>
        <w:t xml:space="preserve"> </w:t>
      </w:r>
      <w:r>
        <w:t>Hospital</w:t>
      </w:r>
      <w:r>
        <w:rPr>
          <w:spacing w:val="1"/>
        </w:rPr>
        <w:t xml:space="preserve"> </w:t>
      </w:r>
      <w:r>
        <w:t>Primary</w:t>
      </w:r>
      <w:r>
        <w:rPr>
          <w:spacing w:val="1"/>
        </w:rPr>
        <w:t xml:space="preserve"> </w:t>
      </w:r>
      <w:r>
        <w:t>Care</w:t>
      </w:r>
      <w:r>
        <w:rPr>
          <w:spacing w:val="1"/>
        </w:rPr>
        <w:t xml:space="preserve"> </w:t>
      </w:r>
      <w:r>
        <w:t>Center</w:t>
      </w:r>
      <w:r>
        <w:rPr>
          <w:spacing w:val="1"/>
        </w:rPr>
        <w:t xml:space="preserve"> </w:t>
      </w:r>
      <w:r>
        <w:t>and</w:t>
      </w:r>
      <w:r>
        <w:rPr>
          <w:spacing w:val="1"/>
        </w:rPr>
        <w:t xml:space="preserve"> </w:t>
      </w:r>
      <w:r>
        <w:t>the</w:t>
      </w:r>
      <w:r>
        <w:rPr>
          <w:spacing w:val="1"/>
        </w:rPr>
        <w:t xml:space="preserve"> </w:t>
      </w:r>
      <w:r>
        <w:t>Pediatric</w:t>
      </w:r>
      <w:r>
        <w:rPr>
          <w:spacing w:val="1"/>
        </w:rPr>
        <w:t xml:space="preserve"> </w:t>
      </w:r>
      <w:r>
        <w:t>Physician’s</w:t>
      </w:r>
      <w:r>
        <w:rPr>
          <w:spacing w:val="1"/>
        </w:rPr>
        <w:t xml:space="preserve"> </w:t>
      </w:r>
      <w:r>
        <w:t>Organization</w:t>
      </w:r>
      <w:r>
        <w:rPr>
          <w:spacing w:val="1"/>
        </w:rPr>
        <w:t xml:space="preserve"> </w:t>
      </w:r>
      <w:r>
        <w:t>at</w:t>
      </w:r>
      <w:r>
        <w:rPr>
          <w:spacing w:val="60"/>
        </w:rPr>
        <w:t xml:space="preserve"> </w:t>
      </w:r>
      <w:r>
        <w:t>Children’s</w:t>
      </w:r>
      <w:r>
        <w:rPr>
          <w:spacing w:val="1"/>
        </w:rPr>
        <w:t xml:space="preserve"> </w:t>
      </w:r>
      <w:r>
        <w:t>(“PPOC”). Boston Children’s mission is to provide the highest quality of health care, to lead the</w:t>
      </w:r>
      <w:r>
        <w:rPr>
          <w:spacing w:val="1"/>
        </w:rPr>
        <w:t xml:space="preserve"> </w:t>
      </w:r>
      <w:r>
        <w:t>way in research and discovery, to educate the next generation of leaders in health care, and to</w:t>
      </w:r>
      <w:r>
        <w:rPr>
          <w:spacing w:val="1"/>
        </w:rPr>
        <w:t xml:space="preserve"> </w:t>
      </w:r>
      <w:r>
        <w:t>enhance the health and well-being of the children and families in our local community. The</w:t>
      </w:r>
      <w:r>
        <w:rPr>
          <w:spacing w:val="1"/>
        </w:rPr>
        <w:t xml:space="preserve"> </w:t>
      </w:r>
      <w:r>
        <w:t>Hospital is a Massachusetts nonprofit corporation, a public charity, and qualifies under Section</w:t>
      </w:r>
      <w:r>
        <w:rPr>
          <w:spacing w:val="1"/>
        </w:rPr>
        <w:t xml:space="preserve"> </w:t>
      </w:r>
      <w:r>
        <w:t>501(c)(3)</w:t>
      </w:r>
      <w:r>
        <w:rPr>
          <w:spacing w:val="-2"/>
        </w:rPr>
        <w:t xml:space="preserve"> </w:t>
      </w:r>
      <w:r>
        <w:t>of</w:t>
      </w:r>
      <w:r>
        <w:rPr>
          <w:spacing w:val="-1"/>
        </w:rPr>
        <w:t xml:space="preserve"> </w:t>
      </w:r>
      <w:r>
        <w:t>the</w:t>
      </w:r>
      <w:r>
        <w:rPr>
          <w:spacing w:val="1"/>
        </w:rPr>
        <w:t xml:space="preserve"> </w:t>
      </w:r>
      <w:r>
        <w:t>Internal</w:t>
      </w:r>
      <w:r>
        <w:rPr>
          <w:spacing w:val="2"/>
        </w:rPr>
        <w:t xml:space="preserve"> </w:t>
      </w:r>
      <w:r>
        <w:t>Revenue</w:t>
      </w:r>
      <w:r>
        <w:rPr>
          <w:spacing w:val="-1"/>
        </w:rPr>
        <w:t xml:space="preserve"> </w:t>
      </w:r>
      <w:r>
        <w:t>Code</w:t>
      </w:r>
      <w:r>
        <w:rPr>
          <w:spacing w:val="-1"/>
        </w:rPr>
        <w:t xml:space="preserve"> </w:t>
      </w:r>
      <w:r>
        <w:t>of</w:t>
      </w:r>
      <w:r>
        <w:rPr>
          <w:spacing w:val="-2"/>
        </w:rPr>
        <w:t xml:space="preserve"> </w:t>
      </w:r>
      <w:r>
        <w:t>1986,</w:t>
      </w:r>
      <w:r>
        <w:rPr>
          <w:spacing w:val="2"/>
        </w:rPr>
        <w:t xml:space="preserve"> </w:t>
      </w:r>
      <w:r>
        <w:t>as amended.</w:t>
      </w:r>
    </w:p>
    <w:p w:rsidR="00D862F2" w:rsidRDefault="00D862F2">
      <w:pPr>
        <w:pStyle w:val="BodyText"/>
        <w:spacing w:before="7"/>
        <w:rPr>
          <w:sz w:val="20"/>
        </w:rPr>
      </w:pPr>
    </w:p>
    <w:p w:rsidR="00D862F2" w:rsidRDefault="00884FE4">
      <w:pPr>
        <w:pStyle w:val="BodyText"/>
        <w:spacing w:line="259" w:lineRule="auto"/>
        <w:ind w:left="219" w:right="275"/>
        <w:jc w:val="both"/>
      </w:pPr>
      <w:r>
        <w:t>Boston Children’s is dedicated to empowering and supporting all patients, families, clinicians,</w:t>
      </w:r>
      <w:r>
        <w:rPr>
          <w:spacing w:val="1"/>
        </w:rPr>
        <w:t xml:space="preserve"> </w:t>
      </w:r>
      <w:r>
        <w:t>researchers, staff, and communities, and is committed to enhancing access to the best health care,</w:t>
      </w:r>
      <w:r>
        <w:rPr>
          <w:spacing w:val="-57"/>
        </w:rPr>
        <w:t xml:space="preserve"> </w:t>
      </w:r>
      <w:r>
        <w:t>cultivating a diverse workforce, instilling a welcoming environment for all, bolstering respect for</w:t>
      </w:r>
      <w:r>
        <w:rPr>
          <w:spacing w:val="-57"/>
        </w:rPr>
        <w:t xml:space="preserve"> </w:t>
      </w:r>
      <w:r>
        <w:t>cultural differences in the delivery of care, reducing differences in health outcomes among</w:t>
      </w:r>
      <w:r>
        <w:rPr>
          <w:spacing w:val="1"/>
        </w:rPr>
        <w:t xml:space="preserve"> </w:t>
      </w:r>
      <w:r>
        <w:t>different racial and ethnic groups, advancing our community outreach, and developing further</w:t>
      </w:r>
      <w:r>
        <w:rPr>
          <w:spacing w:val="1"/>
        </w:rPr>
        <w:t xml:space="preserve"> </w:t>
      </w:r>
      <w:r>
        <w:t>student and residency outreach. Boston Children’s is committed to supporting health equity and</w:t>
      </w:r>
      <w:r>
        <w:rPr>
          <w:spacing w:val="1"/>
        </w:rPr>
        <w:t xml:space="preserve"> </w:t>
      </w:r>
      <w:r>
        <w:t>promoting anti-racist practices, and the Hospital serves all Massachusetts patients and families</w:t>
      </w:r>
      <w:r>
        <w:rPr>
          <w:spacing w:val="1"/>
        </w:rPr>
        <w:t xml:space="preserve"> </w:t>
      </w:r>
      <w:r>
        <w:t>regardless of their ability to pay or insurance status. The Hospital and its clinicians work to</w:t>
      </w:r>
      <w:r>
        <w:rPr>
          <w:spacing w:val="1"/>
        </w:rPr>
        <w:t xml:space="preserve"> </w:t>
      </w:r>
      <w:r>
        <w:t>enhance access to care and to instill a welcoming environment for all patients, with a strong</w:t>
      </w:r>
      <w:r>
        <w:rPr>
          <w:spacing w:val="1"/>
        </w:rPr>
        <w:t xml:space="preserve"> </w:t>
      </w:r>
      <w:r>
        <w:t>emphasis</w:t>
      </w:r>
      <w:r>
        <w:rPr>
          <w:spacing w:val="-1"/>
        </w:rPr>
        <w:t xml:space="preserve"> </w:t>
      </w:r>
      <w:r>
        <w:t>on respect for</w:t>
      </w:r>
      <w:r>
        <w:rPr>
          <w:spacing w:val="-1"/>
        </w:rPr>
        <w:t xml:space="preserve"> </w:t>
      </w:r>
      <w:r>
        <w:t>cultural differences</w:t>
      </w:r>
      <w:r>
        <w:rPr>
          <w:spacing w:val="-1"/>
        </w:rPr>
        <w:t xml:space="preserve"> </w:t>
      </w:r>
      <w:r>
        <w:t>in the</w:t>
      </w:r>
      <w:r>
        <w:rPr>
          <w:spacing w:val="1"/>
        </w:rPr>
        <w:t xml:space="preserve"> </w:t>
      </w:r>
      <w:r>
        <w:t>delivery</w:t>
      </w:r>
      <w:r>
        <w:rPr>
          <w:spacing w:val="-5"/>
        </w:rPr>
        <w:t xml:space="preserve"> </w:t>
      </w:r>
      <w:r>
        <w:t>of</w:t>
      </w:r>
      <w:r>
        <w:rPr>
          <w:spacing w:val="-1"/>
        </w:rPr>
        <w:t xml:space="preserve"> </w:t>
      </w:r>
      <w:r>
        <w:t>care.</w:t>
      </w:r>
    </w:p>
    <w:p w:rsidR="00D862F2" w:rsidRDefault="00D862F2">
      <w:pPr>
        <w:pStyle w:val="BodyText"/>
        <w:spacing w:before="7"/>
        <w:rPr>
          <w:sz w:val="20"/>
        </w:rPr>
      </w:pPr>
    </w:p>
    <w:p w:rsidR="00D862F2" w:rsidRDefault="00884FE4">
      <w:pPr>
        <w:pStyle w:val="BodyText"/>
        <w:spacing w:before="1" w:line="259" w:lineRule="auto"/>
        <w:ind w:left="219" w:right="274"/>
        <w:jc w:val="both"/>
      </w:pPr>
      <w:r>
        <w:t>Pediatric hospital care is evolving in ways similar to hospital care more generally, with the most</w:t>
      </w:r>
      <w:r>
        <w:rPr>
          <w:spacing w:val="1"/>
        </w:rPr>
        <w:t xml:space="preserve"> </w:t>
      </w:r>
      <w:r>
        <w:t>complex care being provided at the urban quaternary center and most other care being delivered</w:t>
      </w:r>
      <w:r>
        <w:rPr>
          <w:spacing w:val="1"/>
        </w:rPr>
        <w:t xml:space="preserve"> </w:t>
      </w:r>
      <w:r>
        <w:t>in</w:t>
      </w:r>
      <w:r>
        <w:rPr>
          <w:spacing w:val="1"/>
        </w:rPr>
        <w:t xml:space="preserve"> </w:t>
      </w:r>
      <w:r>
        <w:t>outpatient</w:t>
      </w:r>
      <w:r>
        <w:rPr>
          <w:spacing w:val="1"/>
        </w:rPr>
        <w:t xml:space="preserve"> </w:t>
      </w:r>
      <w:r>
        <w:t>settings,</w:t>
      </w:r>
      <w:r>
        <w:rPr>
          <w:spacing w:val="1"/>
        </w:rPr>
        <w:t xml:space="preserve"> </w:t>
      </w:r>
      <w:r>
        <w:t>ideally</w:t>
      </w:r>
      <w:r>
        <w:rPr>
          <w:spacing w:val="1"/>
        </w:rPr>
        <w:t xml:space="preserve"> </w:t>
      </w:r>
      <w:r>
        <w:t>in</w:t>
      </w:r>
      <w:r>
        <w:rPr>
          <w:spacing w:val="1"/>
        </w:rPr>
        <w:t xml:space="preserve"> </w:t>
      </w:r>
      <w:r>
        <w:t>the</w:t>
      </w:r>
      <w:r>
        <w:rPr>
          <w:spacing w:val="1"/>
        </w:rPr>
        <w:t xml:space="preserve"> </w:t>
      </w:r>
      <w:r>
        <w:t>community.</w:t>
      </w:r>
      <w:r>
        <w:rPr>
          <w:spacing w:val="1"/>
        </w:rPr>
        <w:t xml:space="preserve"> </w:t>
      </w:r>
      <w:r>
        <w:t>For</w:t>
      </w:r>
      <w:r>
        <w:rPr>
          <w:spacing w:val="1"/>
        </w:rPr>
        <w:t xml:space="preserve"> </w:t>
      </w:r>
      <w:r>
        <w:t>example,</w:t>
      </w:r>
      <w:r>
        <w:rPr>
          <w:spacing w:val="1"/>
        </w:rPr>
        <w:t xml:space="preserve"> </w:t>
      </w:r>
      <w:r>
        <w:t>in</w:t>
      </w:r>
      <w:r>
        <w:rPr>
          <w:spacing w:val="1"/>
        </w:rPr>
        <w:t xml:space="preserve"> </w:t>
      </w:r>
      <w:r>
        <w:t>2019,</w:t>
      </w:r>
      <w:r>
        <w:rPr>
          <w:spacing w:val="1"/>
        </w:rPr>
        <w:t xml:space="preserve"> </w:t>
      </w:r>
      <w:r>
        <w:t>48.1%</w:t>
      </w:r>
      <w:r>
        <w:rPr>
          <w:spacing w:val="1"/>
        </w:rPr>
        <w:t xml:space="preserve"> </w:t>
      </w:r>
      <w:r>
        <w:t>of</w:t>
      </w:r>
      <w:r>
        <w:rPr>
          <w:spacing w:val="1"/>
        </w:rPr>
        <w:t xml:space="preserve"> </w:t>
      </w:r>
      <w:r>
        <w:t>Boston</w:t>
      </w:r>
      <w:r>
        <w:rPr>
          <w:spacing w:val="1"/>
        </w:rPr>
        <w:t xml:space="preserve"> </w:t>
      </w:r>
      <w:r>
        <w:t>Children’s care was provided in outpatient settings. While Boston Children’s provides a full</w:t>
      </w:r>
      <w:r>
        <w:rPr>
          <w:spacing w:val="1"/>
        </w:rPr>
        <w:t xml:space="preserve"> </w:t>
      </w:r>
      <w:r>
        <w:t>spectrum of pediatric care, the focus of the Proposed Project (as defined herein) is to increase</w:t>
      </w:r>
      <w:r>
        <w:rPr>
          <w:spacing w:val="1"/>
        </w:rPr>
        <w:t xml:space="preserve"> </w:t>
      </w:r>
      <w:r>
        <w:t>access to highly specialized, complex pediatric care for all Massachusetts residents. Traveling to</w:t>
      </w:r>
      <w:r>
        <w:rPr>
          <w:spacing w:val="1"/>
        </w:rPr>
        <w:t xml:space="preserve"> </w:t>
      </w:r>
      <w:r>
        <w:t>the Longwood medical area (“Longwood Medical Area”) presents a challenge for, if not an</w:t>
      </w:r>
      <w:r>
        <w:rPr>
          <w:spacing w:val="1"/>
        </w:rPr>
        <w:t xml:space="preserve"> </w:t>
      </w:r>
      <w:r>
        <w:t>outright</w:t>
      </w:r>
      <w:r>
        <w:rPr>
          <w:spacing w:val="1"/>
        </w:rPr>
        <w:t xml:space="preserve"> </w:t>
      </w:r>
      <w:r>
        <w:t>barrier</w:t>
      </w:r>
      <w:r>
        <w:rPr>
          <w:spacing w:val="1"/>
        </w:rPr>
        <w:t xml:space="preserve"> </w:t>
      </w:r>
      <w:r>
        <w:t>to,</w:t>
      </w:r>
      <w:r>
        <w:rPr>
          <w:spacing w:val="1"/>
        </w:rPr>
        <w:t xml:space="preserve"> </w:t>
      </w:r>
      <w:r>
        <w:t>families</w:t>
      </w:r>
      <w:r>
        <w:rPr>
          <w:spacing w:val="1"/>
        </w:rPr>
        <w:t xml:space="preserve"> </w:t>
      </w:r>
      <w:r>
        <w:t>seeking</w:t>
      </w:r>
      <w:r>
        <w:rPr>
          <w:spacing w:val="1"/>
        </w:rPr>
        <w:t xml:space="preserve"> </w:t>
      </w:r>
      <w:r>
        <w:t>ambulatory</w:t>
      </w:r>
      <w:r>
        <w:rPr>
          <w:spacing w:val="1"/>
        </w:rPr>
        <w:t xml:space="preserve"> </w:t>
      </w:r>
      <w:r>
        <w:t>procedures.</w:t>
      </w:r>
      <w:r>
        <w:rPr>
          <w:spacing w:val="1"/>
        </w:rPr>
        <w:t xml:space="preserve"> </w:t>
      </w:r>
      <w:r>
        <w:t>This</w:t>
      </w:r>
      <w:r>
        <w:rPr>
          <w:spacing w:val="1"/>
        </w:rPr>
        <w:t xml:space="preserve"> </w:t>
      </w:r>
      <w:r>
        <w:t>application</w:t>
      </w:r>
      <w:r>
        <w:rPr>
          <w:spacing w:val="1"/>
        </w:rPr>
        <w:t xml:space="preserve"> </w:t>
      </w:r>
      <w:r>
        <w:t>seeks</w:t>
      </w:r>
      <w:r>
        <w:rPr>
          <w:spacing w:val="1"/>
        </w:rPr>
        <w:t xml:space="preserve"> </w:t>
      </w:r>
      <w:r>
        <w:t>a</w:t>
      </w:r>
      <w:r>
        <w:rPr>
          <w:spacing w:val="1"/>
        </w:rPr>
        <w:t xml:space="preserve"> </w:t>
      </w:r>
      <w:r>
        <w:t>determination of need for several projects that will allow the Hospital to deliver specialized</w:t>
      </w:r>
      <w:r>
        <w:rPr>
          <w:spacing w:val="1"/>
        </w:rPr>
        <w:t xml:space="preserve"> </w:t>
      </w:r>
      <w:r>
        <w:t>pediatric care to patients in more accessible locations. In doing so, the Applicant seeks to provide</w:t>
      </w:r>
      <w:r>
        <w:rPr>
          <w:spacing w:val="-57"/>
        </w:rPr>
        <w:t xml:space="preserve"> </w:t>
      </w:r>
      <w:r>
        <w:t>care to patients and offer services, such as pediatric imaging specialists and subspecialists, not</w:t>
      </w:r>
      <w:r>
        <w:rPr>
          <w:spacing w:val="1"/>
        </w:rPr>
        <w:t xml:space="preserve"> </w:t>
      </w:r>
      <w:r>
        <w:t>generally</w:t>
      </w:r>
      <w:r>
        <w:rPr>
          <w:spacing w:val="1"/>
        </w:rPr>
        <w:t xml:space="preserve"> </w:t>
      </w:r>
      <w:r>
        <w:t>available</w:t>
      </w:r>
      <w:r>
        <w:rPr>
          <w:spacing w:val="1"/>
        </w:rPr>
        <w:t xml:space="preserve"> </w:t>
      </w:r>
      <w:r>
        <w:t>from</w:t>
      </w:r>
      <w:r>
        <w:rPr>
          <w:spacing w:val="1"/>
        </w:rPr>
        <w:t xml:space="preserve"> </w:t>
      </w:r>
      <w:r>
        <w:t>providers</w:t>
      </w:r>
      <w:r>
        <w:rPr>
          <w:spacing w:val="1"/>
        </w:rPr>
        <w:t xml:space="preserve"> </w:t>
      </w:r>
      <w:r>
        <w:t>that</w:t>
      </w:r>
      <w:r>
        <w:rPr>
          <w:spacing w:val="1"/>
        </w:rPr>
        <w:t xml:space="preserve"> </w:t>
      </w:r>
      <w:r>
        <w:t>typically</w:t>
      </w:r>
      <w:r>
        <w:rPr>
          <w:spacing w:val="1"/>
        </w:rPr>
        <w:t xml:space="preserve"> </w:t>
      </w:r>
      <w:r>
        <w:t>treat</w:t>
      </w:r>
      <w:r>
        <w:rPr>
          <w:spacing w:val="1"/>
        </w:rPr>
        <w:t xml:space="preserve"> </w:t>
      </w:r>
      <w:r>
        <w:t>adults,</w:t>
      </w:r>
      <w:r>
        <w:rPr>
          <w:spacing w:val="1"/>
        </w:rPr>
        <w:t xml:space="preserve"> </w:t>
      </w:r>
      <w:r>
        <w:t>including</w:t>
      </w:r>
      <w:r>
        <w:rPr>
          <w:spacing w:val="1"/>
        </w:rPr>
        <w:t xml:space="preserve"> </w:t>
      </w:r>
      <w:r>
        <w:t>in</w:t>
      </w:r>
      <w:r>
        <w:rPr>
          <w:spacing w:val="60"/>
        </w:rPr>
        <w:t xml:space="preserve"> </w:t>
      </w:r>
      <w:r>
        <w:t>freestanding</w:t>
      </w:r>
      <w:r>
        <w:rPr>
          <w:spacing w:val="1"/>
        </w:rPr>
        <w:t xml:space="preserve"> </w:t>
      </w:r>
      <w:r>
        <w:t>ambulatory</w:t>
      </w:r>
      <w:r>
        <w:rPr>
          <w:spacing w:val="26"/>
        </w:rPr>
        <w:t xml:space="preserve"> </w:t>
      </w:r>
      <w:r>
        <w:t>surgery</w:t>
      </w:r>
      <w:r>
        <w:rPr>
          <w:spacing w:val="27"/>
        </w:rPr>
        <w:t xml:space="preserve"> </w:t>
      </w:r>
      <w:r>
        <w:t>centers</w:t>
      </w:r>
      <w:r>
        <w:rPr>
          <w:spacing w:val="32"/>
        </w:rPr>
        <w:t xml:space="preserve"> </w:t>
      </w:r>
      <w:r>
        <w:t>or</w:t>
      </w:r>
      <w:r>
        <w:rPr>
          <w:spacing w:val="31"/>
        </w:rPr>
        <w:t xml:space="preserve"> </w:t>
      </w:r>
      <w:r>
        <w:t>general</w:t>
      </w:r>
      <w:r>
        <w:rPr>
          <w:spacing w:val="33"/>
        </w:rPr>
        <w:t xml:space="preserve"> </w:t>
      </w:r>
      <w:r>
        <w:t>hospital</w:t>
      </w:r>
      <w:r>
        <w:rPr>
          <w:spacing w:val="32"/>
        </w:rPr>
        <w:t xml:space="preserve"> </w:t>
      </w:r>
      <w:r>
        <w:t>surgical</w:t>
      </w:r>
      <w:r>
        <w:rPr>
          <w:spacing w:val="33"/>
        </w:rPr>
        <w:t xml:space="preserve"> </w:t>
      </w:r>
      <w:r>
        <w:t>centers.</w:t>
      </w:r>
      <w:r>
        <w:rPr>
          <w:spacing w:val="32"/>
        </w:rPr>
        <w:t xml:space="preserve"> </w:t>
      </w:r>
      <w:r>
        <w:t>Patient</w:t>
      </w:r>
      <w:r>
        <w:rPr>
          <w:spacing w:val="33"/>
        </w:rPr>
        <w:t xml:space="preserve"> </w:t>
      </w:r>
      <w:r>
        <w:t>panel</w:t>
      </w:r>
      <w:r>
        <w:rPr>
          <w:spacing w:val="32"/>
        </w:rPr>
        <w:t xml:space="preserve"> </w:t>
      </w:r>
      <w:r>
        <w:t>data</w:t>
      </w:r>
      <w:r>
        <w:rPr>
          <w:spacing w:val="31"/>
        </w:rPr>
        <w:t xml:space="preserve"> </w:t>
      </w:r>
      <w:r>
        <w:t>and</w:t>
      </w:r>
      <w:r>
        <w:rPr>
          <w:spacing w:val="32"/>
        </w:rPr>
        <w:t xml:space="preserve"> </w:t>
      </w:r>
      <w:r>
        <w:t>patient</w:t>
      </w:r>
      <w:r>
        <w:rPr>
          <w:spacing w:val="-58"/>
        </w:rPr>
        <w:t xml:space="preserve"> </w:t>
      </w:r>
      <w:r>
        <w:t>and referring provider feedback make clear that making pediatric ambulatory care available as</w:t>
      </w:r>
      <w:r>
        <w:rPr>
          <w:spacing w:val="1"/>
        </w:rPr>
        <w:t xml:space="preserve"> </w:t>
      </w:r>
      <w:r>
        <w:t>proposed reduces barriers to access across multiple dimensions for patients and their families—</w:t>
      </w:r>
      <w:r>
        <w:rPr>
          <w:spacing w:val="1"/>
        </w:rPr>
        <w:t xml:space="preserve"> </w:t>
      </w:r>
      <w:r>
        <w:t>reducing financial</w:t>
      </w:r>
      <w:r>
        <w:rPr>
          <w:spacing w:val="1"/>
        </w:rPr>
        <w:t xml:space="preserve"> </w:t>
      </w:r>
      <w:r>
        <w:t>barriers such</w:t>
      </w:r>
      <w:r>
        <w:rPr>
          <w:spacing w:val="1"/>
        </w:rPr>
        <w:t xml:space="preserve"> </w:t>
      </w:r>
      <w:r>
        <w:t>as parking and transportation</w:t>
      </w:r>
      <w:r>
        <w:rPr>
          <w:spacing w:val="1"/>
        </w:rPr>
        <w:t xml:space="preserve"> </w:t>
      </w:r>
      <w:r>
        <w:t>costs,</w:t>
      </w:r>
      <w:r>
        <w:rPr>
          <w:spacing w:val="1"/>
        </w:rPr>
        <w:t xml:space="preserve"> </w:t>
      </w:r>
      <w:r>
        <w:t>which can be</w:t>
      </w:r>
      <w:r>
        <w:rPr>
          <w:spacing w:val="1"/>
        </w:rPr>
        <w:t xml:space="preserve"> </w:t>
      </w:r>
      <w:r>
        <w:t>material</w:t>
      </w:r>
      <w:r>
        <w:rPr>
          <w:spacing w:val="1"/>
        </w:rPr>
        <w:t xml:space="preserve"> </w:t>
      </w:r>
      <w:r>
        <w:t>barriers to obtaining care downtown; reducing time away from work and school; and providing</w:t>
      </w:r>
      <w:r>
        <w:rPr>
          <w:spacing w:val="1"/>
        </w:rPr>
        <w:t xml:space="preserve"> </w:t>
      </w:r>
      <w:r>
        <w:t>improved</w:t>
      </w:r>
      <w:r>
        <w:rPr>
          <w:spacing w:val="8"/>
        </w:rPr>
        <w:t xml:space="preserve"> </w:t>
      </w:r>
      <w:r>
        <w:t>physical</w:t>
      </w:r>
      <w:r>
        <w:rPr>
          <w:spacing w:val="11"/>
        </w:rPr>
        <w:t xml:space="preserve"> </w:t>
      </w:r>
      <w:r>
        <w:t>access</w:t>
      </w:r>
      <w:r>
        <w:rPr>
          <w:spacing w:val="8"/>
        </w:rPr>
        <w:t xml:space="preserve"> </w:t>
      </w:r>
      <w:r>
        <w:t>and</w:t>
      </w:r>
      <w:r>
        <w:rPr>
          <w:spacing w:val="8"/>
        </w:rPr>
        <w:t xml:space="preserve"> </w:t>
      </w:r>
      <w:r>
        <w:t>more</w:t>
      </w:r>
      <w:r>
        <w:rPr>
          <w:spacing w:val="7"/>
        </w:rPr>
        <w:t xml:space="preserve"> </w:t>
      </w:r>
      <w:r>
        <w:t>easily</w:t>
      </w:r>
      <w:r>
        <w:rPr>
          <w:spacing w:val="6"/>
        </w:rPr>
        <w:t xml:space="preserve"> </w:t>
      </w:r>
      <w:r>
        <w:t>navigated</w:t>
      </w:r>
      <w:r>
        <w:rPr>
          <w:spacing w:val="10"/>
        </w:rPr>
        <w:t xml:space="preserve"> </w:t>
      </w:r>
      <w:r>
        <w:t>spaces.</w:t>
      </w:r>
      <w:r>
        <w:rPr>
          <w:spacing w:val="8"/>
        </w:rPr>
        <w:t xml:space="preserve"> </w:t>
      </w:r>
      <w:r>
        <w:t>As</w:t>
      </w:r>
      <w:r>
        <w:rPr>
          <w:spacing w:val="11"/>
        </w:rPr>
        <w:t xml:space="preserve"> </w:t>
      </w:r>
      <w:r>
        <w:t>the</w:t>
      </w:r>
      <w:r>
        <w:rPr>
          <w:spacing w:val="10"/>
        </w:rPr>
        <w:t xml:space="preserve"> </w:t>
      </w:r>
      <w:r>
        <w:t>COVID-19</w:t>
      </w:r>
      <w:r>
        <w:rPr>
          <w:spacing w:val="8"/>
        </w:rPr>
        <w:t xml:space="preserve"> </w:t>
      </w:r>
      <w:r>
        <w:t>pandemic</w:t>
      </w:r>
    </w:p>
    <w:p w:rsidR="00D862F2" w:rsidRDefault="00D862F2">
      <w:pPr>
        <w:spacing w:line="259" w:lineRule="auto"/>
        <w:jc w:val="both"/>
        <w:sectPr w:rsidR="00D862F2">
          <w:pgSz w:w="12240" w:h="15840"/>
          <w:pgMar w:top="1340" w:right="1160" w:bottom="980" w:left="1220" w:header="722" w:footer="794" w:gutter="0"/>
          <w:cols w:space="720"/>
        </w:sectPr>
      </w:pPr>
    </w:p>
    <w:p w:rsidR="00D862F2" w:rsidRDefault="00884FE4">
      <w:pPr>
        <w:pStyle w:val="BodyText"/>
        <w:spacing w:before="90" w:line="259" w:lineRule="auto"/>
        <w:ind w:left="220" w:right="277"/>
        <w:jc w:val="both"/>
      </w:pPr>
      <w:r>
        <w:lastRenderedPageBreak/>
        <w:t>demonstrated that capacity constraints continue to challenge pediatric care in Massachusetts,</w:t>
      </w:r>
      <w:r>
        <w:rPr>
          <w:spacing w:val="1"/>
        </w:rPr>
        <w:t xml:space="preserve"> </w:t>
      </w:r>
      <w:r>
        <w:t>Boston</w:t>
      </w:r>
      <w:r>
        <w:rPr>
          <w:spacing w:val="1"/>
        </w:rPr>
        <w:t xml:space="preserve"> </w:t>
      </w:r>
      <w:r>
        <w:t>Children’s</w:t>
      </w:r>
      <w:r>
        <w:rPr>
          <w:spacing w:val="1"/>
        </w:rPr>
        <w:t xml:space="preserve"> </w:t>
      </w:r>
      <w:r>
        <w:t>looks</w:t>
      </w:r>
      <w:r>
        <w:rPr>
          <w:spacing w:val="1"/>
        </w:rPr>
        <w:t xml:space="preserve"> </w:t>
      </w:r>
      <w:r>
        <w:t>to</w:t>
      </w:r>
      <w:r>
        <w:rPr>
          <w:spacing w:val="1"/>
        </w:rPr>
        <w:t xml:space="preserve"> </w:t>
      </w:r>
      <w:r>
        <w:t>expand</w:t>
      </w:r>
      <w:r>
        <w:rPr>
          <w:spacing w:val="1"/>
        </w:rPr>
        <w:t xml:space="preserve"> </w:t>
      </w:r>
      <w:r>
        <w:t>access</w:t>
      </w:r>
      <w:r>
        <w:rPr>
          <w:spacing w:val="1"/>
        </w:rPr>
        <w:t xml:space="preserve"> </w:t>
      </w:r>
      <w:r>
        <w:t>to</w:t>
      </w:r>
      <w:r>
        <w:rPr>
          <w:spacing w:val="1"/>
        </w:rPr>
        <w:t xml:space="preserve"> </w:t>
      </w:r>
      <w:r>
        <w:t>patients</w:t>
      </w:r>
      <w:r>
        <w:rPr>
          <w:spacing w:val="1"/>
        </w:rPr>
        <w:t xml:space="preserve"> </w:t>
      </w:r>
      <w:r>
        <w:t>who</w:t>
      </w:r>
      <w:r>
        <w:rPr>
          <w:spacing w:val="1"/>
        </w:rPr>
        <w:t xml:space="preserve"> </w:t>
      </w:r>
      <w:r>
        <w:t>currently</w:t>
      </w:r>
      <w:r>
        <w:rPr>
          <w:spacing w:val="1"/>
        </w:rPr>
        <w:t xml:space="preserve"> </w:t>
      </w:r>
      <w:r>
        <w:t>cannot</w:t>
      </w:r>
      <w:r>
        <w:rPr>
          <w:spacing w:val="1"/>
        </w:rPr>
        <w:t xml:space="preserve"> </w:t>
      </w:r>
      <w:r>
        <w:t>access</w:t>
      </w:r>
      <w:r>
        <w:rPr>
          <w:spacing w:val="60"/>
        </w:rPr>
        <w:t xml:space="preserve"> </w:t>
      </w:r>
      <w:r>
        <w:t>needed</w:t>
      </w:r>
      <w:r>
        <w:rPr>
          <w:spacing w:val="1"/>
        </w:rPr>
        <w:t xml:space="preserve"> </w:t>
      </w:r>
      <w:r>
        <w:t>services in a</w:t>
      </w:r>
      <w:r>
        <w:rPr>
          <w:spacing w:val="-1"/>
        </w:rPr>
        <w:t xml:space="preserve"> </w:t>
      </w:r>
      <w:r>
        <w:t>timely</w:t>
      </w:r>
      <w:r>
        <w:rPr>
          <w:spacing w:val="-5"/>
        </w:rPr>
        <w:t xml:space="preserve"> </w:t>
      </w:r>
      <w:r>
        <w:t>fashion.</w:t>
      </w:r>
    </w:p>
    <w:p w:rsidR="00D862F2" w:rsidRDefault="00D862F2">
      <w:pPr>
        <w:pStyle w:val="BodyText"/>
        <w:spacing w:before="9"/>
        <w:rPr>
          <w:sz w:val="20"/>
        </w:rPr>
      </w:pPr>
    </w:p>
    <w:p w:rsidR="00D862F2" w:rsidRDefault="00884FE4">
      <w:pPr>
        <w:pStyle w:val="BodyText"/>
        <w:spacing w:line="259" w:lineRule="auto"/>
        <w:ind w:left="219" w:right="273"/>
        <w:jc w:val="both"/>
      </w:pPr>
      <w:r>
        <w:t>Unlike other Massachusetts</w:t>
      </w:r>
      <w:r>
        <w:rPr>
          <w:spacing w:val="1"/>
        </w:rPr>
        <w:t xml:space="preserve"> </w:t>
      </w:r>
      <w:r>
        <w:t>academic medical</w:t>
      </w:r>
      <w:r>
        <w:rPr>
          <w:spacing w:val="1"/>
        </w:rPr>
        <w:t xml:space="preserve"> </w:t>
      </w:r>
      <w:r>
        <w:t>centers</w:t>
      </w:r>
      <w:r>
        <w:rPr>
          <w:spacing w:val="1"/>
        </w:rPr>
        <w:t xml:space="preserve"> </w:t>
      </w:r>
      <w:r>
        <w:t>that</w:t>
      </w:r>
      <w:r>
        <w:rPr>
          <w:spacing w:val="1"/>
        </w:rPr>
        <w:t xml:space="preserve"> </w:t>
      </w:r>
      <w:r>
        <w:t>provide some pediatric services</w:t>
      </w:r>
      <w:r>
        <w:rPr>
          <w:spacing w:val="60"/>
        </w:rPr>
        <w:t xml:space="preserve"> </w:t>
      </w:r>
      <w:r>
        <w:t>as</w:t>
      </w:r>
      <w:r>
        <w:rPr>
          <w:spacing w:val="1"/>
        </w:rPr>
        <w:t xml:space="preserve"> </w:t>
      </w:r>
      <w:r>
        <w:t>part of their continuum of care, Boston Children’s provides a full continuum of pediatric care</w:t>
      </w:r>
      <w:r>
        <w:rPr>
          <w:spacing w:val="1"/>
        </w:rPr>
        <w:t xml:space="preserve"> </w:t>
      </w:r>
      <w:r>
        <w:t>across all disease types. The Hospital provides highly specialized pediatric care to patients with</w:t>
      </w:r>
      <w:r>
        <w:rPr>
          <w:spacing w:val="1"/>
        </w:rPr>
        <w:t xml:space="preserve"> </w:t>
      </w:r>
      <w:r>
        <w:t>conditions that often could not have been prevented. Timely intervention and ongoing supportive</w:t>
      </w:r>
      <w:r>
        <w:rPr>
          <w:spacing w:val="-57"/>
        </w:rPr>
        <w:t xml:space="preserve"> </w:t>
      </w:r>
      <w:r>
        <w:t>care</w:t>
      </w:r>
      <w:r>
        <w:rPr>
          <w:spacing w:val="1"/>
        </w:rPr>
        <w:t xml:space="preserve"> </w:t>
      </w:r>
      <w:r>
        <w:t>help</w:t>
      </w:r>
      <w:r>
        <w:rPr>
          <w:spacing w:val="1"/>
        </w:rPr>
        <w:t xml:space="preserve"> </w:t>
      </w:r>
      <w:r>
        <w:t>children</w:t>
      </w:r>
      <w:r>
        <w:rPr>
          <w:spacing w:val="1"/>
        </w:rPr>
        <w:t xml:space="preserve"> </w:t>
      </w:r>
      <w:r>
        <w:t>become</w:t>
      </w:r>
      <w:r>
        <w:rPr>
          <w:spacing w:val="1"/>
        </w:rPr>
        <w:t xml:space="preserve"> </w:t>
      </w:r>
      <w:r>
        <w:t>the</w:t>
      </w:r>
      <w:r>
        <w:rPr>
          <w:spacing w:val="1"/>
        </w:rPr>
        <w:t xml:space="preserve"> </w:t>
      </w:r>
      <w:r>
        <w:t>healthiest</w:t>
      </w:r>
      <w:r>
        <w:rPr>
          <w:spacing w:val="1"/>
        </w:rPr>
        <w:t xml:space="preserve"> </w:t>
      </w:r>
      <w:r>
        <w:t>adults</w:t>
      </w:r>
      <w:r>
        <w:rPr>
          <w:spacing w:val="1"/>
        </w:rPr>
        <w:t xml:space="preserve"> </w:t>
      </w:r>
      <w:r>
        <w:t>they</w:t>
      </w:r>
      <w:r>
        <w:rPr>
          <w:spacing w:val="1"/>
        </w:rPr>
        <w:t xml:space="preserve"> </w:t>
      </w:r>
      <w:r>
        <w:t>can</w:t>
      </w:r>
      <w:r>
        <w:rPr>
          <w:spacing w:val="1"/>
        </w:rPr>
        <w:t xml:space="preserve"> </w:t>
      </w:r>
      <w:r>
        <w:t>be.</w:t>
      </w:r>
      <w:r>
        <w:rPr>
          <w:spacing w:val="1"/>
        </w:rPr>
        <w:t xml:space="preserve"> </w:t>
      </w:r>
      <w:r>
        <w:t>The</w:t>
      </w:r>
      <w:r>
        <w:rPr>
          <w:spacing w:val="1"/>
        </w:rPr>
        <w:t xml:space="preserve"> </w:t>
      </w:r>
      <w:r>
        <w:t>Hospital</w:t>
      </w:r>
      <w:r>
        <w:rPr>
          <w:spacing w:val="60"/>
        </w:rPr>
        <w:t xml:space="preserve"> </w:t>
      </w:r>
      <w:r>
        <w:t>has</w:t>
      </w:r>
      <w:r>
        <w:rPr>
          <w:spacing w:val="60"/>
        </w:rPr>
        <w:t xml:space="preserve"> </w:t>
      </w:r>
      <w:r>
        <w:t>pioneered</w:t>
      </w:r>
      <w:r>
        <w:rPr>
          <w:spacing w:val="1"/>
        </w:rPr>
        <w:t xml:space="preserve"> </w:t>
      </w:r>
      <w:r>
        <w:t>treatment</w:t>
      </w:r>
      <w:r>
        <w:rPr>
          <w:spacing w:val="1"/>
        </w:rPr>
        <w:t xml:space="preserve"> </w:t>
      </w:r>
      <w:r>
        <w:t>techniques</w:t>
      </w:r>
      <w:r>
        <w:rPr>
          <w:spacing w:val="1"/>
        </w:rPr>
        <w:t xml:space="preserve"> </w:t>
      </w:r>
      <w:r>
        <w:t>that</w:t>
      </w:r>
      <w:r>
        <w:rPr>
          <w:spacing w:val="1"/>
        </w:rPr>
        <w:t xml:space="preserve"> </w:t>
      </w:r>
      <w:r>
        <w:t>reduce</w:t>
      </w:r>
      <w:r>
        <w:rPr>
          <w:spacing w:val="1"/>
        </w:rPr>
        <w:t xml:space="preserve"> </w:t>
      </w:r>
      <w:r>
        <w:t>the</w:t>
      </w:r>
      <w:r>
        <w:rPr>
          <w:spacing w:val="1"/>
        </w:rPr>
        <w:t xml:space="preserve"> </w:t>
      </w:r>
      <w:r>
        <w:t>amount</w:t>
      </w:r>
      <w:r>
        <w:rPr>
          <w:spacing w:val="1"/>
        </w:rPr>
        <w:t xml:space="preserve"> </w:t>
      </w:r>
      <w:r>
        <w:t>and</w:t>
      </w:r>
      <w:r>
        <w:rPr>
          <w:spacing w:val="1"/>
        </w:rPr>
        <w:t xml:space="preserve"> </w:t>
      </w:r>
      <w:r>
        <w:t>intensity</w:t>
      </w:r>
      <w:r>
        <w:rPr>
          <w:spacing w:val="1"/>
        </w:rPr>
        <w:t xml:space="preserve"> </w:t>
      </w:r>
      <w:r>
        <w:t>of</w:t>
      </w:r>
      <w:r>
        <w:rPr>
          <w:spacing w:val="1"/>
        </w:rPr>
        <w:t xml:space="preserve"> </w:t>
      </w:r>
      <w:r>
        <w:t>care</w:t>
      </w:r>
      <w:r>
        <w:rPr>
          <w:spacing w:val="1"/>
        </w:rPr>
        <w:t xml:space="preserve"> </w:t>
      </w:r>
      <w:r>
        <w:t>required—</w:t>
      </w:r>
      <w:r>
        <w:rPr>
          <w:i/>
        </w:rPr>
        <w:t>e.g.</w:t>
      </w:r>
      <w:r>
        <w:t>,</w:t>
      </w:r>
      <w:r>
        <w:rPr>
          <w:spacing w:val="1"/>
        </w:rPr>
        <w:t xml:space="preserve"> </w:t>
      </w:r>
      <w:r>
        <w:t>utilizing</w:t>
      </w:r>
      <w:r>
        <w:rPr>
          <w:spacing w:val="1"/>
        </w:rPr>
        <w:t xml:space="preserve"> </w:t>
      </w:r>
      <w:r>
        <w:t>pediatric regional anesthesia that allows surgery to proceed without a general anesthetic and</w:t>
      </w:r>
      <w:r>
        <w:rPr>
          <w:spacing w:val="1"/>
        </w:rPr>
        <w:t xml:space="preserve"> </w:t>
      </w:r>
      <w:r>
        <w:t>utilizing pain management techniques such as disposable indwelling catheters that allow children</w:t>
      </w:r>
      <w:r>
        <w:rPr>
          <w:spacing w:val="-57"/>
        </w:rPr>
        <w:t xml:space="preserve"> </w:t>
      </w:r>
      <w:r>
        <w:t>to return home the day of surgery, avoiding an inpatient hospital stay—and that seek to promote</w:t>
      </w:r>
      <w:r>
        <w:rPr>
          <w:spacing w:val="1"/>
        </w:rPr>
        <w:t xml:space="preserve"> </w:t>
      </w:r>
      <w:r>
        <w:t>lifelong</w:t>
      </w:r>
      <w:r>
        <w:rPr>
          <w:spacing w:val="1"/>
        </w:rPr>
        <w:t xml:space="preserve"> </w:t>
      </w:r>
      <w:r>
        <w:t>health—</w:t>
      </w:r>
      <w:r>
        <w:rPr>
          <w:i/>
        </w:rPr>
        <w:t>e.g.</w:t>
      </w:r>
      <w:r>
        <w:t>,</w:t>
      </w:r>
      <w:r>
        <w:rPr>
          <w:spacing w:val="1"/>
        </w:rPr>
        <w:t xml:space="preserve"> </w:t>
      </w:r>
      <w:r>
        <w:t>implementing</w:t>
      </w:r>
      <w:r>
        <w:rPr>
          <w:spacing w:val="1"/>
        </w:rPr>
        <w:t xml:space="preserve"> </w:t>
      </w:r>
      <w:r>
        <w:t>radiology</w:t>
      </w:r>
      <w:r>
        <w:rPr>
          <w:spacing w:val="1"/>
        </w:rPr>
        <w:t xml:space="preserve"> </w:t>
      </w:r>
      <w:r>
        <w:t>protocols</w:t>
      </w:r>
      <w:r>
        <w:rPr>
          <w:spacing w:val="1"/>
        </w:rPr>
        <w:t xml:space="preserve"> </w:t>
      </w:r>
      <w:r>
        <w:t>and</w:t>
      </w:r>
      <w:r>
        <w:rPr>
          <w:spacing w:val="1"/>
        </w:rPr>
        <w:t xml:space="preserve"> </w:t>
      </w:r>
      <w:r>
        <w:t>specialized</w:t>
      </w:r>
      <w:r>
        <w:rPr>
          <w:spacing w:val="1"/>
        </w:rPr>
        <w:t xml:space="preserve"> </w:t>
      </w:r>
      <w:r>
        <w:t>pediatric</w:t>
      </w:r>
      <w:r>
        <w:rPr>
          <w:spacing w:val="1"/>
        </w:rPr>
        <w:t xml:space="preserve"> </w:t>
      </w:r>
      <w:r>
        <w:t>MRI</w:t>
      </w:r>
      <w:r>
        <w:rPr>
          <w:spacing w:val="1"/>
        </w:rPr>
        <w:t xml:space="preserve"> </w:t>
      </w:r>
      <w:r>
        <w:t>capabilities to avoid the need for children to receive ionizing radiation from X-ray. In short,</w:t>
      </w:r>
      <w:r>
        <w:rPr>
          <w:spacing w:val="1"/>
        </w:rPr>
        <w:t xml:space="preserve"> </w:t>
      </w:r>
      <w:r>
        <w:t>Boston Children’s believes that the right care, at the right place can lead to healthier kids who</w:t>
      </w:r>
      <w:r>
        <w:rPr>
          <w:spacing w:val="1"/>
        </w:rPr>
        <w:t xml:space="preserve"> </w:t>
      </w:r>
      <w:r>
        <w:t>grow</w:t>
      </w:r>
      <w:r>
        <w:rPr>
          <w:spacing w:val="-2"/>
        </w:rPr>
        <w:t xml:space="preserve"> </w:t>
      </w:r>
      <w:r>
        <w:t>into healthier</w:t>
      </w:r>
      <w:r>
        <w:rPr>
          <w:spacing w:val="-1"/>
        </w:rPr>
        <w:t xml:space="preserve"> </w:t>
      </w:r>
      <w:r>
        <w:t>adults.</w:t>
      </w:r>
    </w:p>
    <w:p w:rsidR="00D862F2" w:rsidRDefault="00D862F2">
      <w:pPr>
        <w:pStyle w:val="BodyText"/>
        <w:rPr>
          <w:sz w:val="26"/>
        </w:rPr>
      </w:pPr>
    </w:p>
    <w:p w:rsidR="00D862F2" w:rsidRDefault="00D862F2">
      <w:pPr>
        <w:pStyle w:val="BodyText"/>
        <w:rPr>
          <w:sz w:val="26"/>
        </w:rPr>
      </w:pPr>
    </w:p>
    <w:p w:rsidR="00D862F2" w:rsidRDefault="00884FE4">
      <w:pPr>
        <w:spacing w:before="178"/>
        <w:ind w:left="3632" w:right="3691"/>
        <w:jc w:val="center"/>
        <w:rPr>
          <w:sz w:val="24"/>
        </w:rPr>
      </w:pPr>
      <w:r>
        <w:rPr>
          <w:sz w:val="24"/>
        </w:rPr>
        <w:t>* * *</w:t>
      </w:r>
    </w:p>
    <w:p w:rsidR="00D862F2" w:rsidRDefault="00D862F2">
      <w:pPr>
        <w:jc w:val="center"/>
        <w:rPr>
          <w:sz w:val="24"/>
        </w:rPr>
        <w:sectPr w:rsidR="00D862F2">
          <w:pgSz w:w="12240" w:h="15840"/>
          <w:pgMar w:top="1340" w:right="1160" w:bottom="980" w:left="1220" w:header="722" w:footer="794" w:gutter="0"/>
          <w:cols w:space="720"/>
        </w:sectPr>
      </w:pPr>
    </w:p>
    <w:p w:rsidR="00D862F2" w:rsidRDefault="00884FE4">
      <w:pPr>
        <w:pStyle w:val="Heading1"/>
        <w:ind w:right="2847"/>
        <w:rPr>
          <w:u w:val="none"/>
        </w:rPr>
      </w:pPr>
      <w:r>
        <w:lastRenderedPageBreak/>
        <w:t>Attachment</w:t>
      </w:r>
      <w:r>
        <w:rPr>
          <w:spacing w:val="-1"/>
        </w:rPr>
        <w:t xml:space="preserve"> </w:t>
      </w:r>
      <w:r>
        <w:t>2</w:t>
      </w:r>
    </w:p>
    <w:p w:rsidR="00D862F2" w:rsidRDefault="00D862F2">
      <w:pPr>
        <w:pStyle w:val="BodyText"/>
        <w:rPr>
          <w:sz w:val="20"/>
        </w:rPr>
      </w:pPr>
    </w:p>
    <w:p w:rsidR="00D862F2" w:rsidRDefault="00D862F2">
      <w:pPr>
        <w:pStyle w:val="BodyText"/>
        <w:spacing w:before="4"/>
        <w:rPr>
          <w:sz w:val="29"/>
        </w:rPr>
      </w:pPr>
    </w:p>
    <w:p w:rsidR="00D862F2" w:rsidRDefault="00884FE4">
      <w:pPr>
        <w:pStyle w:val="Heading2"/>
        <w:ind w:right="2849"/>
      </w:pPr>
      <w:r>
        <w:t>Project</w:t>
      </w:r>
      <w:r>
        <w:rPr>
          <w:spacing w:val="-4"/>
        </w:rPr>
        <w:t xml:space="preserve"> </w:t>
      </w:r>
      <w:r>
        <w:t>Description</w:t>
      </w:r>
    </w:p>
    <w:p w:rsidR="00D862F2" w:rsidRDefault="00D862F2">
      <w:pPr>
        <w:sectPr w:rsidR="00D862F2">
          <w:pgSz w:w="12240" w:h="15840"/>
          <w:pgMar w:top="1340" w:right="1160" w:bottom="980" w:left="1220" w:header="722" w:footer="794" w:gutter="0"/>
          <w:cols w:space="720"/>
        </w:sectPr>
      </w:pPr>
    </w:p>
    <w:p w:rsidR="00D862F2" w:rsidRDefault="00884FE4">
      <w:pPr>
        <w:spacing w:before="93"/>
        <w:ind w:left="2792" w:right="2850"/>
        <w:jc w:val="center"/>
        <w:rPr>
          <w:b/>
          <w:sz w:val="24"/>
        </w:rPr>
      </w:pPr>
      <w:r>
        <w:rPr>
          <w:b/>
          <w:sz w:val="24"/>
          <w:u w:val="single"/>
        </w:rPr>
        <w:lastRenderedPageBreak/>
        <w:t>Project</w:t>
      </w:r>
      <w:r>
        <w:rPr>
          <w:b/>
          <w:spacing w:val="-4"/>
          <w:sz w:val="24"/>
          <w:u w:val="single"/>
        </w:rPr>
        <w:t xml:space="preserve"> </w:t>
      </w:r>
      <w:r>
        <w:rPr>
          <w:b/>
          <w:sz w:val="24"/>
          <w:u w:val="single"/>
        </w:rPr>
        <w:t>Description</w:t>
      </w:r>
    </w:p>
    <w:p w:rsidR="00D862F2" w:rsidRDefault="00D862F2">
      <w:pPr>
        <w:pStyle w:val="BodyText"/>
        <w:spacing w:before="8"/>
        <w:rPr>
          <w:b/>
          <w:sz w:val="15"/>
        </w:rPr>
      </w:pPr>
    </w:p>
    <w:p w:rsidR="00D862F2" w:rsidRDefault="00884FE4">
      <w:pPr>
        <w:pStyle w:val="BodyText"/>
        <w:spacing w:before="90"/>
        <w:ind w:left="220" w:right="279"/>
        <w:jc w:val="both"/>
      </w:pPr>
      <w:r>
        <w:t>The</w:t>
      </w:r>
      <w:r>
        <w:rPr>
          <w:spacing w:val="1"/>
        </w:rPr>
        <w:t xml:space="preserve"> </w:t>
      </w:r>
      <w:r>
        <w:t>Applicant</w:t>
      </w:r>
      <w:r>
        <w:rPr>
          <w:spacing w:val="1"/>
        </w:rPr>
        <w:t xml:space="preserve"> </w:t>
      </w:r>
      <w:r>
        <w:t>has</w:t>
      </w:r>
      <w:r>
        <w:rPr>
          <w:spacing w:val="1"/>
        </w:rPr>
        <w:t xml:space="preserve"> </w:t>
      </w:r>
      <w:r>
        <w:t>filed</w:t>
      </w:r>
      <w:r>
        <w:rPr>
          <w:spacing w:val="1"/>
        </w:rPr>
        <w:t xml:space="preserve"> </w:t>
      </w:r>
      <w:r>
        <w:t>the</w:t>
      </w:r>
      <w:r>
        <w:rPr>
          <w:spacing w:val="1"/>
        </w:rPr>
        <w:t xml:space="preserve"> </w:t>
      </w:r>
      <w:r>
        <w:t>Determination</w:t>
      </w:r>
      <w:r>
        <w:rPr>
          <w:spacing w:val="1"/>
        </w:rPr>
        <w:t xml:space="preserve"> </w:t>
      </w:r>
      <w:r>
        <w:t>of</w:t>
      </w:r>
      <w:r>
        <w:rPr>
          <w:spacing w:val="1"/>
        </w:rPr>
        <w:t xml:space="preserve"> </w:t>
      </w:r>
      <w:r>
        <w:t>Need</w:t>
      </w:r>
      <w:r>
        <w:rPr>
          <w:spacing w:val="1"/>
        </w:rPr>
        <w:t xml:space="preserve"> </w:t>
      </w:r>
      <w:r>
        <w:t>Application</w:t>
      </w:r>
      <w:r>
        <w:rPr>
          <w:spacing w:val="1"/>
        </w:rPr>
        <w:t xml:space="preserve"> </w:t>
      </w:r>
      <w:r>
        <w:t>(this</w:t>
      </w:r>
      <w:r>
        <w:rPr>
          <w:spacing w:val="1"/>
        </w:rPr>
        <w:t xml:space="preserve"> </w:t>
      </w:r>
      <w:r>
        <w:t>“Application”)</w:t>
      </w:r>
      <w:r>
        <w:rPr>
          <w:spacing w:val="60"/>
        </w:rPr>
        <w:t xml:space="preserve"> </w:t>
      </w:r>
      <w:r>
        <w:t>in</w:t>
      </w:r>
      <w:r>
        <w:rPr>
          <w:spacing w:val="1"/>
        </w:rPr>
        <w:t xml:space="preserve"> </w:t>
      </w:r>
      <w:r>
        <w:t>connection</w:t>
      </w:r>
      <w:r>
        <w:rPr>
          <w:spacing w:val="-1"/>
        </w:rPr>
        <w:t xml:space="preserve"> </w:t>
      </w:r>
      <w:r>
        <w:t>with the</w:t>
      </w:r>
      <w:r>
        <w:rPr>
          <w:spacing w:val="-2"/>
        </w:rPr>
        <w:t xml:space="preserve"> </w:t>
      </w:r>
      <w:r>
        <w:t>following</w:t>
      </w:r>
      <w:r>
        <w:rPr>
          <w:spacing w:val="-3"/>
        </w:rPr>
        <w:t xml:space="preserve"> </w:t>
      </w:r>
      <w:r>
        <w:t>projects</w:t>
      </w:r>
      <w:r>
        <w:rPr>
          <w:spacing w:val="-1"/>
        </w:rPr>
        <w:t xml:space="preserve"> </w:t>
      </w:r>
      <w:r>
        <w:t>(collectively,</w:t>
      </w:r>
      <w:r>
        <w:rPr>
          <w:spacing w:val="2"/>
        </w:rPr>
        <w:t xml:space="preserve"> </w:t>
      </w:r>
      <w:r>
        <w:t>the “Proposed Project”):</w:t>
      </w:r>
    </w:p>
    <w:p w:rsidR="00D862F2" w:rsidRDefault="00D862F2">
      <w:pPr>
        <w:pStyle w:val="BodyText"/>
        <w:spacing w:before="7"/>
        <w:rPr>
          <w:sz w:val="25"/>
        </w:rPr>
      </w:pPr>
    </w:p>
    <w:p w:rsidR="00D862F2" w:rsidRDefault="00884FE4">
      <w:pPr>
        <w:pStyle w:val="ListParagraph"/>
        <w:numPr>
          <w:ilvl w:val="0"/>
          <w:numId w:val="6"/>
        </w:numPr>
        <w:tabs>
          <w:tab w:val="left" w:pos="940"/>
        </w:tabs>
        <w:spacing w:before="1"/>
        <w:ind w:left="939" w:right="277"/>
        <w:jc w:val="both"/>
        <w:rPr>
          <w:sz w:val="24"/>
        </w:rPr>
      </w:pPr>
      <w:r>
        <w:rPr>
          <w:sz w:val="24"/>
        </w:rPr>
        <w:t>Renovation and equipping of approximately 78,395 gross square feet of space within the</w:t>
      </w:r>
      <w:r>
        <w:rPr>
          <w:spacing w:val="1"/>
          <w:sz w:val="24"/>
        </w:rPr>
        <w:t xml:space="preserve"> </w:t>
      </w:r>
      <w:r>
        <w:rPr>
          <w:sz w:val="24"/>
        </w:rPr>
        <w:t>Hospital’s</w:t>
      </w:r>
      <w:r>
        <w:rPr>
          <w:spacing w:val="1"/>
          <w:sz w:val="24"/>
        </w:rPr>
        <w:t xml:space="preserve"> </w:t>
      </w:r>
      <w:r>
        <w:rPr>
          <w:sz w:val="24"/>
        </w:rPr>
        <w:t>existing</w:t>
      </w:r>
      <w:r>
        <w:rPr>
          <w:spacing w:val="1"/>
          <w:sz w:val="24"/>
        </w:rPr>
        <w:t xml:space="preserve"> </w:t>
      </w:r>
      <w:r>
        <w:rPr>
          <w:sz w:val="24"/>
        </w:rPr>
        <w:t>facility at</w:t>
      </w:r>
      <w:r>
        <w:rPr>
          <w:spacing w:val="1"/>
          <w:sz w:val="24"/>
        </w:rPr>
        <w:t xml:space="preserve"> </w:t>
      </w:r>
      <w:r>
        <w:rPr>
          <w:sz w:val="24"/>
        </w:rPr>
        <w:t>9</w:t>
      </w:r>
      <w:r>
        <w:rPr>
          <w:spacing w:val="1"/>
          <w:sz w:val="24"/>
        </w:rPr>
        <w:t xml:space="preserve"> </w:t>
      </w:r>
      <w:r>
        <w:rPr>
          <w:sz w:val="24"/>
        </w:rPr>
        <w:t>Hope</w:t>
      </w:r>
      <w:r>
        <w:rPr>
          <w:spacing w:val="1"/>
          <w:sz w:val="24"/>
        </w:rPr>
        <w:t xml:space="preserve"> </w:t>
      </w:r>
      <w:r>
        <w:rPr>
          <w:sz w:val="24"/>
        </w:rPr>
        <w:t>Avenue,</w:t>
      </w:r>
      <w:r>
        <w:rPr>
          <w:spacing w:val="1"/>
          <w:sz w:val="24"/>
        </w:rPr>
        <w:t xml:space="preserve"> </w:t>
      </w:r>
      <w:r>
        <w:rPr>
          <w:sz w:val="24"/>
        </w:rPr>
        <w:t>Waltham,</w:t>
      </w:r>
      <w:r>
        <w:rPr>
          <w:spacing w:val="1"/>
          <w:sz w:val="24"/>
        </w:rPr>
        <w:t xml:space="preserve"> </w:t>
      </w:r>
      <w:r>
        <w:rPr>
          <w:sz w:val="24"/>
        </w:rPr>
        <w:t>MA</w:t>
      </w:r>
      <w:r>
        <w:rPr>
          <w:spacing w:val="1"/>
          <w:sz w:val="24"/>
        </w:rPr>
        <w:t xml:space="preserve"> </w:t>
      </w:r>
      <w:r>
        <w:rPr>
          <w:sz w:val="24"/>
        </w:rPr>
        <w:t>02453</w:t>
      </w:r>
      <w:r>
        <w:rPr>
          <w:spacing w:val="1"/>
          <w:sz w:val="24"/>
        </w:rPr>
        <w:t xml:space="preserve"> </w:t>
      </w:r>
      <w:r>
        <w:rPr>
          <w:sz w:val="24"/>
        </w:rPr>
        <w:t>(the</w:t>
      </w:r>
      <w:r>
        <w:rPr>
          <w:spacing w:val="1"/>
          <w:sz w:val="24"/>
        </w:rPr>
        <w:t xml:space="preserve"> </w:t>
      </w:r>
      <w:r>
        <w:rPr>
          <w:sz w:val="24"/>
        </w:rPr>
        <w:t>“Waltham</w:t>
      </w:r>
      <w:r>
        <w:rPr>
          <w:spacing w:val="-57"/>
          <w:sz w:val="24"/>
        </w:rPr>
        <w:t xml:space="preserve"> </w:t>
      </w:r>
      <w:r>
        <w:rPr>
          <w:sz w:val="24"/>
        </w:rPr>
        <w:t>Facility”) and the expansion of clinical areas, including existing infusion, sleep disorders,</w:t>
      </w:r>
      <w:r>
        <w:rPr>
          <w:spacing w:val="-57"/>
          <w:sz w:val="24"/>
        </w:rPr>
        <w:t xml:space="preserve"> </w:t>
      </w:r>
      <w:r>
        <w:rPr>
          <w:sz w:val="24"/>
        </w:rPr>
        <w:t>radiology,</w:t>
      </w:r>
      <w:r>
        <w:rPr>
          <w:spacing w:val="1"/>
          <w:sz w:val="24"/>
        </w:rPr>
        <w:t xml:space="preserve"> </w:t>
      </w:r>
      <w:r>
        <w:rPr>
          <w:sz w:val="24"/>
        </w:rPr>
        <w:t>and</w:t>
      </w:r>
      <w:r>
        <w:rPr>
          <w:spacing w:val="1"/>
          <w:sz w:val="24"/>
        </w:rPr>
        <w:t xml:space="preserve"> </w:t>
      </w:r>
      <w:r>
        <w:rPr>
          <w:sz w:val="24"/>
        </w:rPr>
        <w:t>behavioral</w:t>
      </w:r>
      <w:r>
        <w:rPr>
          <w:spacing w:val="1"/>
          <w:sz w:val="24"/>
        </w:rPr>
        <w:t xml:space="preserve"> </w:t>
      </w:r>
      <w:r>
        <w:rPr>
          <w:sz w:val="24"/>
        </w:rPr>
        <w:t>health</w:t>
      </w:r>
      <w:r>
        <w:rPr>
          <w:spacing w:val="1"/>
          <w:sz w:val="24"/>
        </w:rPr>
        <w:t xml:space="preserve"> </w:t>
      </w:r>
      <w:r>
        <w:rPr>
          <w:sz w:val="24"/>
        </w:rPr>
        <w:t>services,</w:t>
      </w:r>
      <w:r>
        <w:rPr>
          <w:spacing w:val="1"/>
          <w:sz w:val="24"/>
        </w:rPr>
        <w:t xml:space="preserve"> </w:t>
      </w:r>
      <w:r>
        <w:rPr>
          <w:sz w:val="24"/>
        </w:rPr>
        <w:t>including</w:t>
      </w:r>
      <w:r>
        <w:rPr>
          <w:spacing w:val="1"/>
          <w:sz w:val="24"/>
        </w:rPr>
        <w:t xml:space="preserve"> </w:t>
      </w:r>
      <w:r>
        <w:rPr>
          <w:sz w:val="24"/>
        </w:rPr>
        <w:t>the</w:t>
      </w:r>
      <w:r>
        <w:rPr>
          <w:spacing w:val="1"/>
          <w:sz w:val="24"/>
        </w:rPr>
        <w:t xml:space="preserve"> </w:t>
      </w:r>
      <w:r>
        <w:rPr>
          <w:sz w:val="24"/>
        </w:rPr>
        <w:t>establishment</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medical-</w:t>
      </w:r>
      <w:r>
        <w:rPr>
          <w:spacing w:val="-57"/>
          <w:sz w:val="24"/>
        </w:rPr>
        <w:t xml:space="preserve"> </w:t>
      </w:r>
      <w:r>
        <w:rPr>
          <w:sz w:val="24"/>
        </w:rPr>
        <w:t>psychiatric</w:t>
      </w:r>
      <w:r>
        <w:rPr>
          <w:spacing w:val="-2"/>
          <w:sz w:val="24"/>
        </w:rPr>
        <w:t xml:space="preserve"> </w:t>
      </w:r>
      <w:r>
        <w:rPr>
          <w:sz w:val="24"/>
        </w:rPr>
        <w:t>(“med-psych”)</w:t>
      </w:r>
      <w:r>
        <w:rPr>
          <w:spacing w:val="-1"/>
          <w:sz w:val="24"/>
        </w:rPr>
        <w:t xml:space="preserve"> </w:t>
      </w:r>
      <w:r>
        <w:rPr>
          <w:sz w:val="24"/>
        </w:rPr>
        <w:t>partial hospitalization</w:t>
      </w:r>
      <w:r>
        <w:rPr>
          <w:spacing w:val="-1"/>
          <w:sz w:val="24"/>
        </w:rPr>
        <w:t xml:space="preserve"> </w:t>
      </w:r>
      <w:r>
        <w:rPr>
          <w:sz w:val="24"/>
        </w:rPr>
        <w:t>program;</w:t>
      </w:r>
    </w:p>
    <w:p w:rsidR="00D862F2" w:rsidRDefault="00884FE4">
      <w:pPr>
        <w:pStyle w:val="ListParagraph"/>
        <w:numPr>
          <w:ilvl w:val="0"/>
          <w:numId w:val="6"/>
        </w:numPr>
        <w:tabs>
          <w:tab w:val="left" w:pos="940"/>
        </w:tabs>
        <w:spacing w:before="118"/>
        <w:ind w:left="939" w:right="278"/>
        <w:jc w:val="both"/>
        <w:rPr>
          <w:sz w:val="24"/>
        </w:rPr>
      </w:pPr>
      <w:r>
        <w:rPr>
          <w:sz w:val="24"/>
        </w:rPr>
        <w:t>Land acquisition, construction, fit-out, and equipping of an approximately 224,000 gross</w:t>
      </w:r>
      <w:r>
        <w:rPr>
          <w:spacing w:val="1"/>
          <w:sz w:val="24"/>
        </w:rPr>
        <w:t xml:space="preserve"> </w:t>
      </w:r>
      <w:r>
        <w:rPr>
          <w:sz w:val="24"/>
        </w:rPr>
        <w:t>square foot facility zoned for pediatric medical use at 380 First Avenue in Needham, MA</w:t>
      </w:r>
      <w:r>
        <w:rPr>
          <w:spacing w:val="1"/>
          <w:sz w:val="24"/>
        </w:rPr>
        <w:t xml:space="preserve"> </w:t>
      </w:r>
      <w:r>
        <w:rPr>
          <w:sz w:val="24"/>
        </w:rPr>
        <w:t>02492 (the “Needham Facility”), to include eight operating rooms (“ORs”) dedicated to</w:t>
      </w:r>
      <w:r>
        <w:rPr>
          <w:spacing w:val="1"/>
          <w:sz w:val="24"/>
        </w:rPr>
        <w:t xml:space="preserve"> </w:t>
      </w:r>
      <w:r>
        <w:rPr>
          <w:sz w:val="24"/>
        </w:rPr>
        <w:t>ambulatory surgery services, as well as hospital outpatient space to include phlebotomy,</w:t>
      </w:r>
      <w:r>
        <w:rPr>
          <w:spacing w:val="1"/>
          <w:sz w:val="24"/>
        </w:rPr>
        <w:t xml:space="preserve"> </w:t>
      </w:r>
      <w:r>
        <w:rPr>
          <w:sz w:val="24"/>
        </w:rPr>
        <w:t>physical and occupational therapy, ophthalmology, and diagnostic radiology, including</w:t>
      </w:r>
      <w:r>
        <w:rPr>
          <w:spacing w:val="1"/>
          <w:sz w:val="24"/>
        </w:rPr>
        <w:t xml:space="preserve"> </w:t>
      </w:r>
      <w:r>
        <w:rPr>
          <w:sz w:val="24"/>
        </w:rPr>
        <w:t>one</w:t>
      </w:r>
      <w:r>
        <w:rPr>
          <w:spacing w:val="-1"/>
          <w:sz w:val="24"/>
        </w:rPr>
        <w:t xml:space="preserve"> </w:t>
      </w:r>
      <w:r>
        <w:rPr>
          <w:sz w:val="24"/>
        </w:rPr>
        <w:t>magnetic</w:t>
      </w:r>
      <w:r>
        <w:rPr>
          <w:spacing w:val="-1"/>
          <w:sz w:val="24"/>
        </w:rPr>
        <w:t xml:space="preserve"> </w:t>
      </w:r>
      <w:r>
        <w:rPr>
          <w:sz w:val="24"/>
        </w:rPr>
        <w:t>resonance</w:t>
      </w:r>
      <w:r>
        <w:rPr>
          <w:spacing w:val="-1"/>
          <w:sz w:val="24"/>
        </w:rPr>
        <w:t xml:space="preserve"> </w:t>
      </w:r>
      <w:r>
        <w:rPr>
          <w:sz w:val="24"/>
        </w:rPr>
        <w:t>imaging</w:t>
      </w:r>
      <w:r>
        <w:rPr>
          <w:spacing w:val="-3"/>
          <w:sz w:val="24"/>
        </w:rPr>
        <w:t xml:space="preserve"> </w:t>
      </w:r>
      <w:r>
        <w:rPr>
          <w:sz w:val="24"/>
        </w:rPr>
        <w:t>system (an</w:t>
      </w:r>
      <w:r>
        <w:rPr>
          <w:spacing w:val="2"/>
          <w:sz w:val="24"/>
        </w:rPr>
        <w:t xml:space="preserve"> </w:t>
      </w:r>
      <w:r>
        <w:rPr>
          <w:sz w:val="24"/>
        </w:rPr>
        <w:t>“MRI”);</w:t>
      </w:r>
      <w:hyperlink w:anchor="_bookmark0" w:history="1">
        <w:r>
          <w:rPr>
            <w:sz w:val="24"/>
            <w:vertAlign w:val="superscript"/>
          </w:rPr>
          <w:t>1</w:t>
        </w:r>
        <w:r>
          <w:rPr>
            <w:spacing w:val="1"/>
            <w:sz w:val="24"/>
          </w:rPr>
          <w:t xml:space="preserve"> </w:t>
        </w:r>
      </w:hyperlink>
      <w:r>
        <w:rPr>
          <w:sz w:val="24"/>
        </w:rPr>
        <w:t>and</w:t>
      </w:r>
    </w:p>
    <w:p w:rsidR="00D862F2" w:rsidRDefault="00884FE4">
      <w:pPr>
        <w:pStyle w:val="ListParagraph"/>
        <w:numPr>
          <w:ilvl w:val="0"/>
          <w:numId w:val="6"/>
        </w:numPr>
        <w:tabs>
          <w:tab w:val="left" w:pos="940"/>
        </w:tabs>
        <w:spacing w:before="119"/>
        <w:ind w:left="939" w:right="279"/>
        <w:jc w:val="both"/>
        <w:rPr>
          <w:sz w:val="24"/>
        </w:rPr>
      </w:pPr>
      <w:r>
        <w:rPr>
          <w:sz w:val="24"/>
        </w:rPr>
        <w:t>Leasing, construction, fit-out, and equipping of approximately 33,862 gross square feet</w:t>
      </w:r>
      <w:r>
        <w:rPr>
          <w:spacing w:val="1"/>
          <w:sz w:val="24"/>
        </w:rPr>
        <w:t xml:space="preserve"> </w:t>
      </w:r>
      <w:r>
        <w:rPr>
          <w:sz w:val="24"/>
        </w:rPr>
        <w:t>within</w:t>
      </w:r>
      <w:r>
        <w:rPr>
          <w:spacing w:val="1"/>
          <w:sz w:val="24"/>
        </w:rPr>
        <w:t xml:space="preserve"> </w:t>
      </w:r>
      <w:r>
        <w:rPr>
          <w:sz w:val="24"/>
        </w:rPr>
        <w:t>a</w:t>
      </w:r>
      <w:r>
        <w:rPr>
          <w:spacing w:val="1"/>
          <w:sz w:val="24"/>
        </w:rPr>
        <w:t xml:space="preserve"> </w:t>
      </w:r>
      <w:r>
        <w:rPr>
          <w:sz w:val="24"/>
        </w:rPr>
        <w:t>building</w:t>
      </w:r>
      <w:r>
        <w:rPr>
          <w:spacing w:val="1"/>
          <w:sz w:val="24"/>
        </w:rPr>
        <w:t xml:space="preserve"> </w:t>
      </w:r>
      <w:r>
        <w:rPr>
          <w:sz w:val="24"/>
        </w:rPr>
        <w:t>located</w:t>
      </w:r>
      <w:r>
        <w:rPr>
          <w:spacing w:val="1"/>
          <w:sz w:val="24"/>
        </w:rPr>
        <w:t xml:space="preserve"> </w:t>
      </w:r>
      <w:r>
        <w:rPr>
          <w:sz w:val="24"/>
        </w:rPr>
        <w:t>at</w:t>
      </w:r>
      <w:r>
        <w:rPr>
          <w:spacing w:val="1"/>
          <w:sz w:val="24"/>
        </w:rPr>
        <w:t xml:space="preserve"> </w:t>
      </w:r>
      <w:r>
        <w:rPr>
          <w:sz w:val="24"/>
        </w:rPr>
        <w:t>200</w:t>
      </w:r>
      <w:r>
        <w:rPr>
          <w:spacing w:val="1"/>
          <w:sz w:val="24"/>
        </w:rPr>
        <w:t xml:space="preserve"> </w:t>
      </w:r>
      <w:r>
        <w:rPr>
          <w:sz w:val="24"/>
        </w:rPr>
        <w:t>Libbey</w:t>
      </w:r>
      <w:r>
        <w:rPr>
          <w:spacing w:val="1"/>
          <w:sz w:val="24"/>
        </w:rPr>
        <w:t xml:space="preserve"> </w:t>
      </w:r>
      <w:r>
        <w:rPr>
          <w:sz w:val="24"/>
        </w:rPr>
        <w:t>Parkway</w:t>
      </w:r>
      <w:r>
        <w:rPr>
          <w:spacing w:val="1"/>
          <w:sz w:val="24"/>
        </w:rPr>
        <w:t xml:space="preserve"> </w:t>
      </w:r>
      <w:r>
        <w:rPr>
          <w:sz w:val="24"/>
        </w:rPr>
        <w:t>in</w:t>
      </w:r>
      <w:r>
        <w:rPr>
          <w:spacing w:val="1"/>
          <w:sz w:val="24"/>
        </w:rPr>
        <w:t xml:space="preserve"> </w:t>
      </w:r>
      <w:r>
        <w:rPr>
          <w:sz w:val="24"/>
        </w:rPr>
        <w:t>Weymouth,</w:t>
      </w:r>
      <w:r>
        <w:rPr>
          <w:spacing w:val="1"/>
          <w:sz w:val="24"/>
        </w:rPr>
        <w:t xml:space="preserve"> </w:t>
      </w:r>
      <w:r>
        <w:rPr>
          <w:sz w:val="24"/>
        </w:rPr>
        <w:t>MA</w:t>
      </w:r>
      <w:r>
        <w:rPr>
          <w:spacing w:val="1"/>
          <w:sz w:val="24"/>
        </w:rPr>
        <w:t xml:space="preserve"> </w:t>
      </w:r>
      <w:r>
        <w:rPr>
          <w:sz w:val="24"/>
        </w:rPr>
        <w:t>02188</w:t>
      </w:r>
      <w:r>
        <w:rPr>
          <w:spacing w:val="1"/>
          <w:sz w:val="24"/>
        </w:rPr>
        <w:t xml:space="preserve"> </w:t>
      </w:r>
      <w:r>
        <w:rPr>
          <w:sz w:val="24"/>
        </w:rPr>
        <w:t>(the</w:t>
      </w:r>
      <w:r>
        <w:rPr>
          <w:spacing w:val="1"/>
          <w:sz w:val="24"/>
        </w:rPr>
        <w:t xml:space="preserve"> </w:t>
      </w:r>
      <w:r>
        <w:rPr>
          <w:sz w:val="24"/>
        </w:rPr>
        <w:t>“Weymouth</w:t>
      </w:r>
      <w:r>
        <w:rPr>
          <w:spacing w:val="1"/>
          <w:sz w:val="24"/>
        </w:rPr>
        <w:t xml:space="preserve"> </w:t>
      </w:r>
      <w:r>
        <w:rPr>
          <w:sz w:val="24"/>
        </w:rPr>
        <w:t>Facility”)</w:t>
      </w:r>
      <w:r>
        <w:rPr>
          <w:spacing w:val="1"/>
          <w:sz w:val="24"/>
        </w:rPr>
        <w:t xml:space="preserve"> </w:t>
      </w:r>
      <w:r>
        <w:rPr>
          <w:sz w:val="24"/>
        </w:rPr>
        <w:t>to</w:t>
      </w:r>
      <w:r>
        <w:rPr>
          <w:spacing w:val="1"/>
          <w:sz w:val="24"/>
        </w:rPr>
        <w:t xml:space="preserve"> </w:t>
      </w:r>
      <w:r>
        <w:rPr>
          <w:sz w:val="24"/>
        </w:rPr>
        <w:t>accommodate</w:t>
      </w:r>
      <w:r>
        <w:rPr>
          <w:spacing w:val="1"/>
          <w:sz w:val="24"/>
        </w:rPr>
        <w:t xml:space="preserve"> </w:t>
      </w:r>
      <w:r>
        <w:rPr>
          <w:sz w:val="24"/>
        </w:rPr>
        <w:t>diagnostic</w:t>
      </w:r>
      <w:r>
        <w:rPr>
          <w:spacing w:val="1"/>
          <w:sz w:val="24"/>
        </w:rPr>
        <w:t xml:space="preserve"> </w:t>
      </w:r>
      <w:r>
        <w:rPr>
          <w:sz w:val="24"/>
        </w:rPr>
        <w:t>and</w:t>
      </w:r>
      <w:r>
        <w:rPr>
          <w:spacing w:val="1"/>
          <w:sz w:val="24"/>
        </w:rPr>
        <w:t xml:space="preserve"> </w:t>
      </w:r>
      <w:r>
        <w:rPr>
          <w:sz w:val="24"/>
        </w:rPr>
        <w:t>therapeutic</w:t>
      </w:r>
      <w:r>
        <w:rPr>
          <w:spacing w:val="1"/>
          <w:sz w:val="24"/>
        </w:rPr>
        <w:t xml:space="preserve"> </w:t>
      </w:r>
      <w:r>
        <w:rPr>
          <w:sz w:val="24"/>
        </w:rPr>
        <w:t>hospital</w:t>
      </w:r>
      <w:r>
        <w:rPr>
          <w:spacing w:val="1"/>
          <w:sz w:val="24"/>
        </w:rPr>
        <w:t xml:space="preserve"> </w:t>
      </w:r>
      <w:r>
        <w:rPr>
          <w:sz w:val="24"/>
        </w:rPr>
        <w:t>services</w:t>
      </w:r>
      <w:r>
        <w:rPr>
          <w:spacing w:val="1"/>
          <w:sz w:val="24"/>
        </w:rPr>
        <w:t xml:space="preserve"> </w:t>
      </w:r>
      <w:r>
        <w:rPr>
          <w:sz w:val="24"/>
        </w:rPr>
        <w:t>including</w:t>
      </w:r>
      <w:r>
        <w:rPr>
          <w:spacing w:val="1"/>
          <w:sz w:val="24"/>
        </w:rPr>
        <w:t xml:space="preserve"> </w:t>
      </w:r>
      <w:r>
        <w:rPr>
          <w:sz w:val="24"/>
        </w:rPr>
        <w:t>audiology,</w:t>
      </w:r>
      <w:r>
        <w:rPr>
          <w:spacing w:val="1"/>
          <w:sz w:val="24"/>
        </w:rPr>
        <w:t xml:space="preserve"> </w:t>
      </w:r>
      <w:r>
        <w:rPr>
          <w:sz w:val="24"/>
        </w:rPr>
        <w:t>speech</w:t>
      </w:r>
      <w:r>
        <w:rPr>
          <w:spacing w:val="1"/>
          <w:sz w:val="24"/>
        </w:rPr>
        <w:t xml:space="preserve"> </w:t>
      </w:r>
      <w:r>
        <w:rPr>
          <w:sz w:val="24"/>
        </w:rPr>
        <w:t>therapy,</w:t>
      </w:r>
      <w:r>
        <w:rPr>
          <w:spacing w:val="1"/>
          <w:sz w:val="24"/>
        </w:rPr>
        <w:t xml:space="preserve"> </w:t>
      </w:r>
      <w:r>
        <w:rPr>
          <w:sz w:val="24"/>
        </w:rPr>
        <w:t>vision</w:t>
      </w:r>
      <w:r>
        <w:rPr>
          <w:spacing w:val="1"/>
          <w:sz w:val="24"/>
        </w:rPr>
        <w:t xml:space="preserve"> </w:t>
      </w:r>
      <w:r>
        <w:rPr>
          <w:sz w:val="24"/>
        </w:rPr>
        <w:t>function</w:t>
      </w:r>
      <w:r>
        <w:rPr>
          <w:spacing w:val="1"/>
          <w:sz w:val="24"/>
        </w:rPr>
        <w:t xml:space="preserve"> </w:t>
      </w:r>
      <w:r>
        <w:rPr>
          <w:sz w:val="24"/>
        </w:rPr>
        <w:t>testing,</w:t>
      </w:r>
      <w:r>
        <w:rPr>
          <w:spacing w:val="1"/>
          <w:sz w:val="24"/>
        </w:rPr>
        <w:t xml:space="preserve"> </w:t>
      </w:r>
      <w:r>
        <w:rPr>
          <w:sz w:val="24"/>
        </w:rPr>
        <w:t>phlebotomy,</w:t>
      </w:r>
      <w:r>
        <w:rPr>
          <w:spacing w:val="1"/>
          <w:sz w:val="24"/>
        </w:rPr>
        <w:t xml:space="preserve"> </w:t>
      </w:r>
      <w:r>
        <w:rPr>
          <w:sz w:val="24"/>
        </w:rPr>
        <w:t>echocardiography</w:t>
      </w:r>
      <w:r>
        <w:rPr>
          <w:spacing w:val="-3"/>
          <w:sz w:val="24"/>
        </w:rPr>
        <w:t xml:space="preserve"> </w:t>
      </w:r>
      <w:r>
        <w:rPr>
          <w:sz w:val="24"/>
        </w:rPr>
        <w:t>and radiology, including</w:t>
      </w:r>
      <w:r>
        <w:rPr>
          <w:spacing w:val="-3"/>
          <w:sz w:val="24"/>
        </w:rPr>
        <w:t xml:space="preserve"> </w:t>
      </w:r>
      <w:r>
        <w:rPr>
          <w:sz w:val="24"/>
        </w:rPr>
        <w:t>one</w:t>
      </w:r>
      <w:r>
        <w:rPr>
          <w:spacing w:val="-1"/>
          <w:sz w:val="24"/>
        </w:rPr>
        <w:t xml:space="preserve"> </w:t>
      </w:r>
      <w:r>
        <w:rPr>
          <w:sz w:val="24"/>
        </w:rPr>
        <w:t>MRI.</w:t>
      </w:r>
      <w:hyperlink w:anchor="_bookmark1" w:history="1">
        <w:r>
          <w:rPr>
            <w:sz w:val="24"/>
            <w:vertAlign w:val="superscript"/>
          </w:rPr>
          <w:t>2</w:t>
        </w:r>
      </w:hyperlink>
    </w:p>
    <w:p w:rsidR="00D862F2" w:rsidRDefault="00D862F2">
      <w:pPr>
        <w:pStyle w:val="BodyText"/>
        <w:spacing w:before="2"/>
        <w:rPr>
          <w:sz w:val="34"/>
        </w:rPr>
      </w:pPr>
    </w:p>
    <w:p w:rsidR="00D862F2" w:rsidRDefault="00884FE4">
      <w:pPr>
        <w:pStyle w:val="BodyText"/>
        <w:ind w:left="220" w:right="274"/>
        <w:jc w:val="both"/>
      </w:pPr>
      <w:r>
        <w:t>The</w:t>
      </w:r>
      <w:r>
        <w:rPr>
          <w:spacing w:val="5"/>
        </w:rPr>
        <w:t xml:space="preserve"> </w:t>
      </w:r>
      <w:r>
        <w:t>renovation</w:t>
      </w:r>
      <w:r>
        <w:rPr>
          <w:spacing w:val="7"/>
        </w:rPr>
        <w:t xml:space="preserve"> </w:t>
      </w:r>
      <w:r>
        <w:t>of</w:t>
      </w:r>
      <w:r>
        <w:rPr>
          <w:spacing w:val="6"/>
        </w:rPr>
        <w:t xml:space="preserve"> </w:t>
      </w:r>
      <w:r>
        <w:t>the</w:t>
      </w:r>
      <w:r>
        <w:rPr>
          <w:spacing w:val="8"/>
        </w:rPr>
        <w:t xml:space="preserve"> </w:t>
      </w:r>
      <w:r>
        <w:t>Waltham</w:t>
      </w:r>
      <w:r>
        <w:rPr>
          <w:spacing w:val="7"/>
        </w:rPr>
        <w:t xml:space="preserve"> </w:t>
      </w:r>
      <w:r>
        <w:t>facility</w:t>
      </w:r>
      <w:r>
        <w:rPr>
          <w:spacing w:val="1"/>
        </w:rPr>
        <w:t xml:space="preserve"> </w:t>
      </w:r>
      <w:r>
        <w:t>and</w:t>
      </w:r>
      <w:r>
        <w:rPr>
          <w:spacing w:val="9"/>
        </w:rPr>
        <w:t xml:space="preserve"> </w:t>
      </w:r>
      <w:r>
        <w:t>the</w:t>
      </w:r>
      <w:r>
        <w:rPr>
          <w:spacing w:val="6"/>
        </w:rPr>
        <w:t xml:space="preserve"> </w:t>
      </w:r>
      <w:r>
        <w:t>development</w:t>
      </w:r>
      <w:r>
        <w:rPr>
          <w:spacing w:val="7"/>
        </w:rPr>
        <w:t xml:space="preserve"> </w:t>
      </w:r>
      <w:r>
        <w:t>of</w:t>
      </w:r>
      <w:r>
        <w:rPr>
          <w:spacing w:val="6"/>
        </w:rPr>
        <w:t xml:space="preserve"> </w:t>
      </w:r>
      <w:r>
        <w:t>the</w:t>
      </w:r>
      <w:r>
        <w:rPr>
          <w:spacing w:val="5"/>
        </w:rPr>
        <w:t xml:space="preserve"> </w:t>
      </w:r>
      <w:r>
        <w:t>Needham</w:t>
      </w:r>
      <w:r>
        <w:rPr>
          <w:spacing w:val="7"/>
        </w:rPr>
        <w:t xml:space="preserve"> </w:t>
      </w:r>
      <w:r>
        <w:t>Facility</w:t>
      </w:r>
      <w:r>
        <w:rPr>
          <w:spacing w:val="4"/>
        </w:rPr>
        <w:t xml:space="preserve"> </w:t>
      </w:r>
      <w:r>
        <w:t>are</w:t>
      </w:r>
      <w:r>
        <w:rPr>
          <w:spacing w:val="8"/>
        </w:rPr>
        <w:t xml:space="preserve"> </w:t>
      </w:r>
      <w:r>
        <w:t>part</w:t>
      </w:r>
      <w:r>
        <w:rPr>
          <w:spacing w:val="7"/>
        </w:rPr>
        <w:t xml:space="preserve"> </w:t>
      </w:r>
      <w:r>
        <w:t>of</w:t>
      </w:r>
      <w:r>
        <w:rPr>
          <w:spacing w:val="-58"/>
        </w:rPr>
        <w:t xml:space="preserve"> </w:t>
      </w:r>
      <w:r>
        <w:t>a coordinated strategy to consolidate ambulatory clinical capacity in a cost-effective manner, and</w:t>
      </w:r>
      <w:r>
        <w:rPr>
          <w:spacing w:val="-57"/>
        </w:rPr>
        <w:t xml:space="preserve"> </w:t>
      </w:r>
      <w:r>
        <w:t>each such component of the Proposed Project as set forth above is not separable and depends on</w:t>
      </w:r>
      <w:r>
        <w:rPr>
          <w:spacing w:val="1"/>
        </w:rPr>
        <w:t xml:space="preserve"> </w:t>
      </w:r>
      <w:r>
        <w:t xml:space="preserve">the approval of each other component. </w:t>
      </w:r>
      <w:r>
        <w:rPr>
          <w:i/>
        </w:rPr>
        <w:t xml:space="preserve">See </w:t>
      </w:r>
      <w:r>
        <w:t>Factor 5. The proposed project will also be designed</w:t>
      </w:r>
      <w:r>
        <w:rPr>
          <w:spacing w:val="1"/>
        </w:rPr>
        <w:t xml:space="preserve"> </w:t>
      </w:r>
      <w:r>
        <w:t>using</w:t>
      </w:r>
      <w:r>
        <w:rPr>
          <w:spacing w:val="1"/>
        </w:rPr>
        <w:t xml:space="preserve"> </w:t>
      </w:r>
      <w:r>
        <w:t>sustainability</w:t>
      </w:r>
      <w:r>
        <w:rPr>
          <w:spacing w:val="1"/>
        </w:rPr>
        <w:t xml:space="preserve"> </w:t>
      </w:r>
      <w:r>
        <w:t>and</w:t>
      </w:r>
      <w:r>
        <w:rPr>
          <w:spacing w:val="1"/>
        </w:rPr>
        <w:t xml:space="preserve"> </w:t>
      </w:r>
      <w:r>
        <w:t>energy</w:t>
      </w:r>
      <w:r>
        <w:rPr>
          <w:spacing w:val="1"/>
        </w:rPr>
        <w:t xml:space="preserve"> </w:t>
      </w:r>
      <w:r>
        <w:t>conservation</w:t>
      </w:r>
      <w:r>
        <w:rPr>
          <w:spacing w:val="1"/>
        </w:rPr>
        <w:t xml:space="preserve"> </w:t>
      </w:r>
      <w:r>
        <w:t>principles,</w:t>
      </w:r>
      <w:r>
        <w:rPr>
          <w:spacing w:val="1"/>
        </w:rPr>
        <w:t xml:space="preserve"> </w:t>
      </w:r>
      <w:r>
        <w:t>with</w:t>
      </w:r>
      <w:r>
        <w:rPr>
          <w:spacing w:val="1"/>
        </w:rPr>
        <w:t xml:space="preserve"> </w:t>
      </w:r>
      <w:r>
        <w:t>a</w:t>
      </w:r>
      <w:r>
        <w:rPr>
          <w:spacing w:val="1"/>
        </w:rPr>
        <w:t xml:space="preserve"> </w:t>
      </w:r>
      <w:r>
        <w:t>target</w:t>
      </w:r>
      <w:r>
        <w:rPr>
          <w:spacing w:val="1"/>
        </w:rPr>
        <w:t xml:space="preserve"> </w:t>
      </w:r>
      <w:r>
        <w:t>of</w:t>
      </w:r>
      <w:r>
        <w:rPr>
          <w:spacing w:val="1"/>
        </w:rPr>
        <w:t xml:space="preserve"> </w:t>
      </w:r>
      <w:r>
        <w:t>LEED</w:t>
      </w:r>
      <w:r>
        <w:rPr>
          <w:spacing w:val="1"/>
        </w:rPr>
        <w:t xml:space="preserve"> </w:t>
      </w:r>
      <w:r>
        <w:t>silver</w:t>
      </w:r>
      <w:r>
        <w:rPr>
          <w:spacing w:val="1"/>
        </w:rPr>
        <w:t xml:space="preserve"> </w:t>
      </w:r>
      <w:r>
        <w:t>at</w:t>
      </w:r>
      <w:r>
        <w:rPr>
          <w:spacing w:val="1"/>
        </w:rPr>
        <w:t xml:space="preserve"> </w:t>
      </w:r>
      <w:r>
        <w:t>a</w:t>
      </w:r>
      <w:r>
        <w:rPr>
          <w:spacing w:val="1"/>
        </w:rPr>
        <w:t xml:space="preserve"> </w:t>
      </w:r>
      <w:r>
        <w:t>minimum.</w:t>
      </w:r>
      <w:r>
        <w:rPr>
          <w:spacing w:val="13"/>
        </w:rPr>
        <w:t xml:space="preserve"> </w:t>
      </w:r>
      <w:r>
        <w:t>The</w:t>
      </w:r>
      <w:r>
        <w:rPr>
          <w:spacing w:val="12"/>
        </w:rPr>
        <w:t xml:space="preserve"> </w:t>
      </w:r>
      <w:r>
        <w:t>maximum</w:t>
      </w:r>
      <w:r>
        <w:rPr>
          <w:spacing w:val="13"/>
        </w:rPr>
        <w:t xml:space="preserve"> </w:t>
      </w:r>
      <w:r>
        <w:t>capital</w:t>
      </w:r>
      <w:r>
        <w:rPr>
          <w:spacing w:val="13"/>
        </w:rPr>
        <w:t xml:space="preserve"> </w:t>
      </w:r>
      <w:r>
        <w:t>expenditure</w:t>
      </w:r>
      <w:r>
        <w:rPr>
          <w:spacing w:val="12"/>
        </w:rPr>
        <w:t xml:space="preserve"> </w:t>
      </w:r>
      <w:r>
        <w:t>for</w:t>
      </w:r>
      <w:r>
        <w:rPr>
          <w:spacing w:val="12"/>
        </w:rPr>
        <w:t xml:space="preserve"> </w:t>
      </w:r>
      <w:r>
        <w:t>the</w:t>
      </w:r>
      <w:r>
        <w:rPr>
          <w:spacing w:val="12"/>
        </w:rPr>
        <w:t xml:space="preserve"> </w:t>
      </w:r>
      <w:r>
        <w:t>Proposed</w:t>
      </w:r>
      <w:r>
        <w:rPr>
          <w:spacing w:val="13"/>
        </w:rPr>
        <w:t xml:space="preserve"> </w:t>
      </w:r>
      <w:r>
        <w:t>Project</w:t>
      </w:r>
      <w:r>
        <w:rPr>
          <w:spacing w:val="13"/>
        </w:rPr>
        <w:t xml:space="preserve"> </w:t>
      </w:r>
      <w:r>
        <w:t>is</w:t>
      </w:r>
      <w:r>
        <w:rPr>
          <w:spacing w:val="13"/>
        </w:rPr>
        <w:t xml:space="preserve"> </w:t>
      </w:r>
      <w:r>
        <w:t>estimated</w:t>
      </w:r>
      <w:r>
        <w:rPr>
          <w:spacing w:val="13"/>
        </w:rPr>
        <w:t xml:space="preserve"> </w:t>
      </w:r>
      <w:r>
        <w:t>to</w:t>
      </w:r>
      <w:r>
        <w:rPr>
          <w:spacing w:val="13"/>
        </w:rPr>
        <w:t xml:space="preserve"> </w:t>
      </w:r>
      <w:r>
        <w:t>be</w:t>
      </w:r>
    </w:p>
    <w:p w:rsidR="00D862F2" w:rsidRDefault="00884FE4">
      <w:pPr>
        <w:pStyle w:val="BodyText"/>
        <w:ind w:left="220"/>
      </w:pPr>
      <w:r>
        <w:t>$434,691,000.</w:t>
      </w:r>
    </w:p>
    <w:p w:rsidR="00D862F2" w:rsidRDefault="00D862F2">
      <w:pPr>
        <w:pStyle w:val="BodyText"/>
      </w:pPr>
    </w:p>
    <w:p w:rsidR="00D862F2" w:rsidRDefault="00884FE4">
      <w:pPr>
        <w:ind w:left="3632" w:right="3691"/>
        <w:jc w:val="center"/>
        <w:rPr>
          <w:sz w:val="24"/>
        </w:rPr>
      </w:pPr>
      <w:r>
        <w:rPr>
          <w:sz w:val="24"/>
        </w:rPr>
        <w:t>* * *</w:t>
      </w: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337703">
      <w:pPr>
        <w:pStyle w:val="BodyText"/>
        <w:spacing w:before="10"/>
        <w:rPr>
          <w:sz w:val="13"/>
        </w:rPr>
      </w:pPr>
      <w:r>
        <w:rPr>
          <w:noProof/>
        </w:rPr>
        <mc:AlternateContent>
          <mc:Choice Requires="wps">
            <w:drawing>
              <wp:anchor distT="0" distB="0" distL="0" distR="0" simplePos="0" relativeHeight="487587840" behindDoc="1" locked="0" layoutInCell="1" allowOverlap="1">
                <wp:simplePos x="0" y="0"/>
                <wp:positionH relativeFrom="page">
                  <wp:posOffset>914400</wp:posOffset>
                </wp:positionH>
                <wp:positionV relativeFrom="paragraph">
                  <wp:posOffset>116840</wp:posOffset>
                </wp:positionV>
                <wp:extent cx="1828800" cy="7620"/>
                <wp:effectExtent l="0" t="0" r="0" b="0"/>
                <wp:wrapTopAndBottom/>
                <wp:docPr id="28" name="docshape4"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973E9" id="docshape4" o:spid="_x0000_s1026" alt="Title: Division Line - Description: Division Line between the main content and the footnotes" style="position:absolute;margin-left:1in;margin-top:9.2pt;width:2in;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" fillcolor="black" stroked="f">
                <w10:wrap type="topAndBottom" anchorx="page"/>
              </v:rect>
            </w:pict>
          </mc:Fallback>
        </mc:AlternateContent>
      </w:r>
    </w:p>
    <w:p w:rsidR="00D862F2" w:rsidRDefault="00884FE4">
      <w:pPr>
        <w:spacing w:before="103"/>
        <w:ind w:left="220" w:right="1258" w:hanging="1"/>
        <w:rPr>
          <w:sz w:val="20"/>
        </w:rPr>
      </w:pPr>
      <w:bookmarkStart w:id="1" w:name="_bookmark0"/>
      <w:bookmarkEnd w:id="1"/>
      <w:r>
        <w:rPr>
          <w:sz w:val="20"/>
          <w:vertAlign w:val="superscript"/>
        </w:rPr>
        <w:t>1</w:t>
      </w:r>
      <w:r>
        <w:rPr>
          <w:sz w:val="20"/>
        </w:rPr>
        <w:t xml:space="preserve"> The Needham Facility does not fall within the service area of any community hospital as per 105 CMR</w:t>
      </w:r>
      <w:r>
        <w:rPr>
          <w:spacing w:val="-47"/>
          <w:sz w:val="20"/>
        </w:rPr>
        <w:t xml:space="preserve"> </w:t>
      </w:r>
      <w:r>
        <w:rPr>
          <w:sz w:val="20"/>
        </w:rPr>
        <w:t>100.715(B)(2)(b).</w:t>
      </w:r>
    </w:p>
    <w:p w:rsidR="00D862F2" w:rsidRDefault="00884FE4">
      <w:pPr>
        <w:ind w:left="220" w:right="320" w:hanging="1"/>
        <w:rPr>
          <w:sz w:val="20"/>
        </w:rPr>
      </w:pPr>
      <w:bookmarkStart w:id="2" w:name="_bookmark1"/>
      <w:bookmarkEnd w:id="2"/>
      <w:r>
        <w:rPr>
          <w:sz w:val="20"/>
          <w:vertAlign w:val="superscript"/>
        </w:rPr>
        <w:t>2</w:t>
      </w:r>
      <w:r>
        <w:rPr>
          <w:spacing w:val="-4"/>
          <w:sz w:val="20"/>
        </w:rPr>
        <w:t xml:space="preserve"> </w:t>
      </w:r>
      <w:r>
        <w:rPr>
          <w:sz w:val="20"/>
        </w:rPr>
        <w:t>Such</w:t>
      </w:r>
      <w:r>
        <w:rPr>
          <w:spacing w:val="-5"/>
          <w:sz w:val="20"/>
        </w:rPr>
        <w:t xml:space="preserve"> </w:t>
      </w:r>
      <w:r>
        <w:rPr>
          <w:sz w:val="20"/>
        </w:rPr>
        <w:t>diagnostic</w:t>
      </w:r>
      <w:r>
        <w:rPr>
          <w:spacing w:val="-3"/>
          <w:sz w:val="20"/>
        </w:rPr>
        <w:t xml:space="preserve"> </w:t>
      </w:r>
      <w:r>
        <w:rPr>
          <w:sz w:val="20"/>
        </w:rPr>
        <w:t>and</w:t>
      </w:r>
      <w:r>
        <w:rPr>
          <w:spacing w:val="-3"/>
          <w:sz w:val="20"/>
        </w:rPr>
        <w:t xml:space="preserve"> </w:t>
      </w:r>
      <w:r>
        <w:rPr>
          <w:sz w:val="20"/>
        </w:rPr>
        <w:t>therapeutic</w:t>
      </w:r>
      <w:r>
        <w:rPr>
          <w:spacing w:val="-3"/>
          <w:sz w:val="20"/>
        </w:rPr>
        <w:t xml:space="preserve"> </w:t>
      </w:r>
      <w:r>
        <w:rPr>
          <w:sz w:val="20"/>
        </w:rPr>
        <w:t>hospital</w:t>
      </w:r>
      <w:r>
        <w:rPr>
          <w:spacing w:val="-4"/>
          <w:sz w:val="20"/>
        </w:rPr>
        <w:t xml:space="preserve"> </w:t>
      </w:r>
      <w:r>
        <w:rPr>
          <w:sz w:val="20"/>
        </w:rPr>
        <w:t>services</w:t>
      </w:r>
      <w:r>
        <w:rPr>
          <w:spacing w:val="-2"/>
          <w:sz w:val="20"/>
        </w:rPr>
        <w:t xml:space="preserve"> </w:t>
      </w:r>
      <w:r>
        <w:rPr>
          <w:sz w:val="20"/>
        </w:rPr>
        <w:t>will</w:t>
      </w:r>
      <w:r>
        <w:rPr>
          <w:spacing w:val="-3"/>
          <w:sz w:val="20"/>
        </w:rPr>
        <w:t xml:space="preserve"> </w:t>
      </w:r>
      <w:r>
        <w:rPr>
          <w:sz w:val="20"/>
        </w:rPr>
        <w:t>be</w:t>
      </w:r>
      <w:r>
        <w:rPr>
          <w:spacing w:val="-4"/>
          <w:sz w:val="20"/>
        </w:rPr>
        <w:t xml:space="preserve"> </w:t>
      </w:r>
      <w:r>
        <w:rPr>
          <w:sz w:val="20"/>
        </w:rPr>
        <w:t>co-located with</w:t>
      </w:r>
      <w:r>
        <w:rPr>
          <w:spacing w:val="-4"/>
          <w:sz w:val="20"/>
        </w:rPr>
        <w:t xml:space="preserve"> </w:t>
      </w:r>
      <w:r>
        <w:rPr>
          <w:sz w:val="20"/>
        </w:rPr>
        <w:t>physician</w:t>
      </w:r>
      <w:r>
        <w:rPr>
          <w:spacing w:val="-5"/>
          <w:sz w:val="20"/>
        </w:rPr>
        <w:t xml:space="preserve"> </w:t>
      </w:r>
      <w:r>
        <w:rPr>
          <w:sz w:val="20"/>
        </w:rPr>
        <w:t>office</w:t>
      </w:r>
      <w:r>
        <w:rPr>
          <w:spacing w:val="-3"/>
          <w:sz w:val="20"/>
        </w:rPr>
        <w:t xml:space="preserve"> </w:t>
      </w:r>
      <w:r>
        <w:rPr>
          <w:sz w:val="20"/>
        </w:rPr>
        <w:t>space</w:t>
      </w:r>
      <w:r>
        <w:rPr>
          <w:spacing w:val="-4"/>
          <w:sz w:val="20"/>
        </w:rPr>
        <w:t xml:space="preserve"> </w:t>
      </w:r>
      <w:r>
        <w:rPr>
          <w:sz w:val="20"/>
        </w:rPr>
        <w:t>that</w:t>
      </w:r>
      <w:r>
        <w:rPr>
          <w:spacing w:val="-2"/>
          <w:sz w:val="20"/>
        </w:rPr>
        <w:t xml:space="preserve"> </w:t>
      </w:r>
      <w:r>
        <w:rPr>
          <w:sz w:val="20"/>
        </w:rPr>
        <w:t>will</w:t>
      </w:r>
      <w:r>
        <w:rPr>
          <w:spacing w:val="-3"/>
          <w:sz w:val="20"/>
        </w:rPr>
        <w:t xml:space="preserve"> </w:t>
      </w:r>
      <w:r>
        <w:rPr>
          <w:sz w:val="20"/>
        </w:rPr>
        <w:t>house</w:t>
      </w:r>
      <w:r>
        <w:rPr>
          <w:spacing w:val="1"/>
          <w:sz w:val="20"/>
        </w:rPr>
        <w:t xml:space="preserve"> </w:t>
      </w:r>
      <w:r>
        <w:rPr>
          <w:sz w:val="20"/>
        </w:rPr>
        <w:t>offices</w:t>
      </w:r>
      <w:r>
        <w:rPr>
          <w:spacing w:val="-2"/>
          <w:sz w:val="20"/>
        </w:rPr>
        <w:t xml:space="preserve"> </w:t>
      </w:r>
      <w:r>
        <w:rPr>
          <w:sz w:val="20"/>
        </w:rPr>
        <w:t>relocated</w:t>
      </w:r>
      <w:r>
        <w:rPr>
          <w:spacing w:val="-1"/>
          <w:sz w:val="20"/>
        </w:rPr>
        <w:t xml:space="preserve"> </w:t>
      </w:r>
      <w:r>
        <w:rPr>
          <w:sz w:val="20"/>
        </w:rPr>
        <w:t>from</w:t>
      </w:r>
      <w:r>
        <w:rPr>
          <w:spacing w:val="-4"/>
          <w:sz w:val="20"/>
        </w:rPr>
        <w:t xml:space="preserve"> </w:t>
      </w:r>
      <w:r>
        <w:rPr>
          <w:sz w:val="20"/>
        </w:rPr>
        <w:t>541 Main</w:t>
      </w:r>
      <w:r>
        <w:rPr>
          <w:spacing w:val="-2"/>
          <w:sz w:val="20"/>
        </w:rPr>
        <w:t xml:space="preserve"> </w:t>
      </w:r>
      <w:r>
        <w:rPr>
          <w:sz w:val="20"/>
        </w:rPr>
        <w:t>Street</w:t>
      </w:r>
      <w:r>
        <w:rPr>
          <w:spacing w:val="-1"/>
          <w:sz w:val="20"/>
        </w:rPr>
        <w:t xml:space="preserve"> </w:t>
      </w:r>
      <w:r>
        <w:rPr>
          <w:sz w:val="20"/>
        </w:rPr>
        <w:t>in</w:t>
      </w:r>
      <w:r>
        <w:rPr>
          <w:spacing w:val="-2"/>
          <w:sz w:val="20"/>
        </w:rPr>
        <w:t xml:space="preserve"> </w:t>
      </w:r>
      <w:r>
        <w:rPr>
          <w:sz w:val="20"/>
        </w:rPr>
        <w:t>Weymouth,</w:t>
      </w:r>
      <w:r>
        <w:rPr>
          <w:spacing w:val="-1"/>
          <w:sz w:val="20"/>
        </w:rPr>
        <w:t xml:space="preserve"> </w:t>
      </w:r>
      <w:r>
        <w:rPr>
          <w:sz w:val="20"/>
        </w:rPr>
        <w:t>the</w:t>
      </w:r>
      <w:r>
        <w:rPr>
          <w:spacing w:val="-1"/>
          <w:sz w:val="20"/>
        </w:rPr>
        <w:t xml:space="preserve"> </w:t>
      </w:r>
      <w:r>
        <w:rPr>
          <w:sz w:val="20"/>
        </w:rPr>
        <w:t>lease</w:t>
      </w:r>
      <w:r>
        <w:rPr>
          <w:spacing w:val="-1"/>
          <w:sz w:val="20"/>
        </w:rPr>
        <w:t xml:space="preserve"> </w:t>
      </w:r>
      <w:r>
        <w:rPr>
          <w:sz w:val="20"/>
        </w:rPr>
        <w:t>for</w:t>
      </w:r>
      <w:r>
        <w:rPr>
          <w:spacing w:val="2"/>
          <w:sz w:val="20"/>
        </w:rPr>
        <w:t xml:space="preserve"> </w:t>
      </w:r>
      <w:r>
        <w:rPr>
          <w:sz w:val="20"/>
        </w:rPr>
        <w:t>which</w:t>
      </w:r>
      <w:r>
        <w:rPr>
          <w:spacing w:val="-2"/>
          <w:sz w:val="20"/>
        </w:rPr>
        <w:t xml:space="preserve"> </w:t>
      </w:r>
      <w:r>
        <w:rPr>
          <w:sz w:val="20"/>
        </w:rPr>
        <w:t>space</w:t>
      </w:r>
      <w:r>
        <w:rPr>
          <w:spacing w:val="-1"/>
          <w:sz w:val="20"/>
        </w:rPr>
        <w:t xml:space="preserve"> </w:t>
      </w:r>
      <w:r>
        <w:rPr>
          <w:sz w:val="20"/>
        </w:rPr>
        <w:t>is</w:t>
      </w:r>
      <w:r>
        <w:rPr>
          <w:spacing w:val="-2"/>
          <w:sz w:val="20"/>
        </w:rPr>
        <w:t xml:space="preserve"> </w:t>
      </w:r>
      <w:r>
        <w:rPr>
          <w:sz w:val="20"/>
        </w:rPr>
        <w:t>expiring in</w:t>
      </w:r>
      <w:r>
        <w:rPr>
          <w:spacing w:val="-2"/>
          <w:sz w:val="20"/>
        </w:rPr>
        <w:t xml:space="preserve"> </w:t>
      </w:r>
      <w:r>
        <w:rPr>
          <w:sz w:val="20"/>
        </w:rPr>
        <w:t>2024.</w:t>
      </w:r>
    </w:p>
    <w:p w:rsidR="00D862F2" w:rsidRDefault="00D862F2">
      <w:pPr>
        <w:rPr>
          <w:sz w:val="20"/>
        </w:rPr>
        <w:sectPr w:rsidR="00D862F2">
          <w:pgSz w:w="12240" w:h="15840"/>
          <w:pgMar w:top="1340" w:right="1160" w:bottom="980" w:left="1220" w:header="722" w:footer="794" w:gutter="0"/>
          <w:cols w:space="720"/>
        </w:sectPr>
      </w:pPr>
    </w:p>
    <w:p w:rsidR="00D862F2" w:rsidRDefault="00884FE4">
      <w:pPr>
        <w:pStyle w:val="Heading1"/>
        <w:ind w:right="2847"/>
        <w:rPr>
          <w:u w:val="none"/>
        </w:rPr>
      </w:pPr>
      <w:r>
        <w:lastRenderedPageBreak/>
        <w:t>Attachment</w:t>
      </w:r>
      <w:r>
        <w:rPr>
          <w:spacing w:val="-1"/>
        </w:rPr>
        <w:t xml:space="preserve"> </w:t>
      </w:r>
      <w:r>
        <w:t>3</w:t>
      </w:r>
    </w:p>
    <w:p w:rsidR="00D862F2" w:rsidRDefault="00D862F2">
      <w:pPr>
        <w:pStyle w:val="BodyText"/>
        <w:spacing w:before="6"/>
        <w:rPr>
          <w:sz w:val="28"/>
        </w:rPr>
      </w:pPr>
    </w:p>
    <w:p w:rsidR="00D862F2" w:rsidRDefault="00884FE4">
      <w:pPr>
        <w:pStyle w:val="Heading2"/>
        <w:ind w:left="2468" w:right="2524"/>
      </w:pPr>
      <w:r>
        <w:t>Narrative</w:t>
      </w:r>
      <w:r>
        <w:rPr>
          <w:spacing w:val="-3"/>
        </w:rPr>
        <w:t xml:space="preserve"> </w:t>
      </w:r>
      <w:r>
        <w:t>Responses</w:t>
      </w:r>
      <w:r>
        <w:rPr>
          <w:spacing w:val="-3"/>
        </w:rPr>
        <w:t xml:space="preserve"> </w:t>
      </w:r>
      <w:r>
        <w:t>to</w:t>
      </w:r>
      <w:r>
        <w:rPr>
          <w:spacing w:val="-2"/>
        </w:rPr>
        <w:t xml:space="preserve"> </w:t>
      </w:r>
      <w:r>
        <w:t>Factors</w:t>
      </w:r>
      <w:r>
        <w:rPr>
          <w:spacing w:val="-1"/>
        </w:rPr>
        <w:t xml:space="preserve"> </w:t>
      </w:r>
      <w:r>
        <w:t>1,</w:t>
      </w:r>
      <w:r>
        <w:rPr>
          <w:spacing w:val="-3"/>
        </w:rPr>
        <w:t xml:space="preserve"> </w:t>
      </w:r>
      <w:r>
        <w:t>2</w:t>
      </w:r>
      <w:r>
        <w:rPr>
          <w:spacing w:val="-1"/>
        </w:rPr>
        <w:t xml:space="preserve"> </w:t>
      </w:r>
      <w:r>
        <w:t>and</w:t>
      </w:r>
      <w:r>
        <w:rPr>
          <w:spacing w:val="-2"/>
        </w:rPr>
        <w:t xml:space="preserve"> </w:t>
      </w:r>
      <w:r>
        <w:t>5</w:t>
      </w:r>
    </w:p>
    <w:p w:rsidR="00D862F2" w:rsidRDefault="00D862F2">
      <w:pPr>
        <w:sectPr w:rsidR="00D862F2">
          <w:pgSz w:w="12240" w:h="15840"/>
          <w:pgMar w:top="1340" w:right="1160" w:bottom="980" w:left="1220" w:header="722" w:footer="794" w:gutter="0"/>
          <w:cols w:space="720"/>
        </w:sectPr>
      </w:pPr>
    </w:p>
    <w:p w:rsidR="00D862F2" w:rsidRDefault="00884FE4">
      <w:pPr>
        <w:spacing w:before="93"/>
        <w:ind w:left="220"/>
        <w:jc w:val="both"/>
        <w:rPr>
          <w:b/>
          <w:sz w:val="24"/>
        </w:rPr>
      </w:pPr>
      <w:r>
        <w:rPr>
          <w:b/>
          <w:sz w:val="24"/>
        </w:rPr>
        <w:lastRenderedPageBreak/>
        <w:t>Factor</w:t>
      </w:r>
      <w:r>
        <w:rPr>
          <w:b/>
          <w:spacing w:val="-4"/>
          <w:sz w:val="24"/>
        </w:rPr>
        <w:t xml:space="preserve"> </w:t>
      </w:r>
      <w:r>
        <w:rPr>
          <w:b/>
          <w:sz w:val="24"/>
        </w:rPr>
        <w:t>1:</w:t>
      </w:r>
      <w:r>
        <w:rPr>
          <w:b/>
          <w:spacing w:val="-2"/>
          <w:sz w:val="24"/>
        </w:rPr>
        <w:t xml:space="preserve"> </w:t>
      </w:r>
      <w:r>
        <w:rPr>
          <w:b/>
          <w:sz w:val="24"/>
        </w:rPr>
        <w:t>Applicant</w:t>
      </w:r>
      <w:r>
        <w:rPr>
          <w:b/>
          <w:spacing w:val="-3"/>
          <w:sz w:val="24"/>
        </w:rPr>
        <w:t xml:space="preserve"> </w:t>
      </w:r>
      <w:r>
        <w:rPr>
          <w:b/>
          <w:sz w:val="24"/>
        </w:rPr>
        <w:t>Patient</w:t>
      </w:r>
      <w:r>
        <w:rPr>
          <w:b/>
          <w:spacing w:val="-3"/>
          <w:sz w:val="24"/>
        </w:rPr>
        <w:t xml:space="preserve"> </w:t>
      </w:r>
      <w:r>
        <w:rPr>
          <w:b/>
          <w:sz w:val="24"/>
        </w:rPr>
        <w:t>Panel</w:t>
      </w:r>
      <w:r>
        <w:rPr>
          <w:b/>
          <w:spacing w:val="-3"/>
          <w:sz w:val="24"/>
        </w:rPr>
        <w:t xml:space="preserve"> </w:t>
      </w:r>
      <w:r>
        <w:rPr>
          <w:b/>
          <w:sz w:val="24"/>
        </w:rPr>
        <w:t>Need,</w:t>
      </w:r>
      <w:r>
        <w:rPr>
          <w:b/>
          <w:spacing w:val="-1"/>
          <w:sz w:val="24"/>
        </w:rPr>
        <w:t xml:space="preserve"> </w:t>
      </w:r>
      <w:r>
        <w:rPr>
          <w:b/>
          <w:sz w:val="24"/>
        </w:rPr>
        <w:t>Public</w:t>
      </w:r>
      <w:r>
        <w:rPr>
          <w:b/>
          <w:spacing w:val="-3"/>
          <w:sz w:val="24"/>
        </w:rPr>
        <w:t xml:space="preserve"> </w:t>
      </w:r>
      <w:r>
        <w:rPr>
          <w:b/>
          <w:sz w:val="24"/>
        </w:rPr>
        <w:t>Health</w:t>
      </w:r>
      <w:r>
        <w:rPr>
          <w:b/>
          <w:spacing w:val="-3"/>
          <w:sz w:val="24"/>
        </w:rPr>
        <w:t xml:space="preserve"> </w:t>
      </w:r>
      <w:r>
        <w:rPr>
          <w:b/>
          <w:sz w:val="24"/>
        </w:rPr>
        <w:t>Values</w:t>
      </w:r>
      <w:r>
        <w:rPr>
          <w:b/>
          <w:spacing w:val="-2"/>
          <w:sz w:val="24"/>
        </w:rPr>
        <w:t xml:space="preserve"> </w:t>
      </w:r>
      <w:r>
        <w:rPr>
          <w:b/>
          <w:sz w:val="24"/>
        </w:rPr>
        <w:t>and</w:t>
      </w:r>
      <w:r>
        <w:rPr>
          <w:b/>
          <w:spacing w:val="-3"/>
          <w:sz w:val="24"/>
        </w:rPr>
        <w:t xml:space="preserve"> </w:t>
      </w:r>
      <w:r>
        <w:rPr>
          <w:b/>
          <w:sz w:val="24"/>
        </w:rPr>
        <w:t>Operational</w:t>
      </w:r>
      <w:r>
        <w:rPr>
          <w:b/>
          <w:spacing w:val="-2"/>
          <w:sz w:val="24"/>
        </w:rPr>
        <w:t xml:space="preserve"> </w:t>
      </w:r>
      <w:r>
        <w:rPr>
          <w:b/>
          <w:sz w:val="24"/>
        </w:rPr>
        <w:t>Objectives</w:t>
      </w:r>
    </w:p>
    <w:p w:rsidR="00D862F2" w:rsidRDefault="00D862F2">
      <w:pPr>
        <w:pStyle w:val="BodyText"/>
        <w:spacing w:before="11"/>
        <w:rPr>
          <w:b/>
          <w:sz w:val="23"/>
        </w:rPr>
      </w:pPr>
    </w:p>
    <w:p w:rsidR="00D862F2" w:rsidRDefault="00884FE4">
      <w:pPr>
        <w:ind w:left="220"/>
        <w:jc w:val="both"/>
        <w:rPr>
          <w:b/>
          <w:sz w:val="24"/>
        </w:rPr>
      </w:pPr>
      <w:r>
        <w:rPr>
          <w:b/>
          <w:sz w:val="24"/>
        </w:rPr>
        <w:t>F1.a.i</w:t>
      </w:r>
      <w:r>
        <w:rPr>
          <w:b/>
          <w:spacing w:val="25"/>
          <w:sz w:val="24"/>
        </w:rPr>
        <w:t xml:space="preserve"> </w:t>
      </w:r>
      <w:r>
        <w:rPr>
          <w:b/>
          <w:sz w:val="24"/>
          <w:u w:val="single"/>
        </w:rPr>
        <w:t>Patient</w:t>
      </w:r>
      <w:r>
        <w:rPr>
          <w:b/>
          <w:spacing w:val="-2"/>
          <w:sz w:val="24"/>
          <w:u w:val="single"/>
        </w:rPr>
        <w:t xml:space="preserve"> </w:t>
      </w:r>
      <w:r>
        <w:rPr>
          <w:b/>
          <w:sz w:val="24"/>
          <w:u w:val="single"/>
        </w:rPr>
        <w:t>Panel</w:t>
      </w:r>
      <w:r>
        <w:rPr>
          <w:b/>
          <w:sz w:val="24"/>
        </w:rPr>
        <w:t>:</w:t>
      </w:r>
    </w:p>
    <w:p w:rsidR="00D862F2" w:rsidRDefault="00884FE4">
      <w:pPr>
        <w:ind w:left="940" w:right="275"/>
        <w:jc w:val="both"/>
        <w:rPr>
          <w:b/>
          <w:sz w:val="24"/>
        </w:rPr>
      </w:pPr>
      <w:r>
        <w:rPr>
          <w:b/>
          <w:sz w:val="24"/>
        </w:rPr>
        <w:t>Describe your existing Patient Panel, including incidence or prevalence of disease or</w:t>
      </w:r>
      <w:r>
        <w:rPr>
          <w:b/>
          <w:spacing w:val="-57"/>
          <w:sz w:val="24"/>
        </w:rPr>
        <w:t xml:space="preserve"> </w:t>
      </w:r>
      <w:r>
        <w:rPr>
          <w:b/>
          <w:sz w:val="24"/>
        </w:rPr>
        <w:t>behavioral risk factors, acuity mix, noted health disparities, geographic breakdown</w:t>
      </w:r>
      <w:r>
        <w:rPr>
          <w:b/>
          <w:spacing w:val="1"/>
          <w:sz w:val="24"/>
        </w:rPr>
        <w:t xml:space="preserve"> </w:t>
      </w:r>
      <w:r>
        <w:rPr>
          <w:b/>
          <w:sz w:val="24"/>
        </w:rPr>
        <w:t>expressed in zip codes or other appropriate measures, demographics including age,</w:t>
      </w:r>
      <w:r>
        <w:rPr>
          <w:b/>
          <w:spacing w:val="1"/>
          <w:sz w:val="24"/>
        </w:rPr>
        <w:t xml:space="preserve"> </w:t>
      </w:r>
      <w:r>
        <w:rPr>
          <w:b/>
          <w:sz w:val="24"/>
        </w:rPr>
        <w:t>gender and sexual identity, race, ethnicity, socioeconomic status and other priority</w:t>
      </w:r>
      <w:r>
        <w:rPr>
          <w:b/>
          <w:spacing w:val="1"/>
          <w:sz w:val="24"/>
        </w:rPr>
        <w:t xml:space="preserve"> </w:t>
      </w:r>
      <w:r>
        <w:rPr>
          <w:b/>
          <w:sz w:val="24"/>
        </w:rPr>
        <w:t>populations</w:t>
      </w:r>
      <w:r>
        <w:rPr>
          <w:b/>
          <w:spacing w:val="-2"/>
          <w:sz w:val="24"/>
        </w:rPr>
        <w:t xml:space="preserve"> </w:t>
      </w:r>
      <w:r>
        <w:rPr>
          <w:b/>
          <w:sz w:val="24"/>
        </w:rPr>
        <w:t>relevant</w:t>
      </w:r>
      <w:r>
        <w:rPr>
          <w:b/>
          <w:spacing w:val="-2"/>
          <w:sz w:val="24"/>
        </w:rPr>
        <w:t xml:space="preserve"> </w:t>
      </w:r>
      <w:r>
        <w:rPr>
          <w:b/>
          <w:sz w:val="24"/>
        </w:rPr>
        <w:t>to</w:t>
      </w:r>
      <w:r>
        <w:rPr>
          <w:b/>
          <w:spacing w:val="-1"/>
          <w:sz w:val="24"/>
        </w:rPr>
        <w:t xml:space="preserve"> </w:t>
      </w:r>
      <w:r>
        <w:rPr>
          <w:b/>
          <w:sz w:val="24"/>
        </w:rPr>
        <w:t>the</w:t>
      </w:r>
      <w:r>
        <w:rPr>
          <w:b/>
          <w:spacing w:val="-2"/>
          <w:sz w:val="24"/>
        </w:rPr>
        <w:t xml:space="preserve"> </w:t>
      </w:r>
      <w:r>
        <w:rPr>
          <w:b/>
          <w:sz w:val="24"/>
        </w:rPr>
        <w:t>Applicant’s</w:t>
      </w:r>
      <w:r>
        <w:rPr>
          <w:b/>
          <w:spacing w:val="-1"/>
          <w:sz w:val="24"/>
        </w:rPr>
        <w:t xml:space="preserve"> </w:t>
      </w:r>
      <w:r>
        <w:rPr>
          <w:b/>
          <w:sz w:val="24"/>
        </w:rPr>
        <w:t>existing</w:t>
      </w:r>
      <w:r>
        <w:rPr>
          <w:b/>
          <w:spacing w:val="-2"/>
          <w:sz w:val="24"/>
        </w:rPr>
        <w:t xml:space="preserve"> </w:t>
      </w:r>
      <w:r>
        <w:rPr>
          <w:b/>
          <w:sz w:val="24"/>
        </w:rPr>
        <w:t>patient</w:t>
      </w:r>
      <w:r>
        <w:rPr>
          <w:b/>
          <w:spacing w:val="-2"/>
          <w:sz w:val="24"/>
        </w:rPr>
        <w:t xml:space="preserve"> </w:t>
      </w:r>
      <w:r>
        <w:rPr>
          <w:b/>
          <w:sz w:val="24"/>
        </w:rPr>
        <w:t>panel</w:t>
      </w:r>
      <w:r>
        <w:rPr>
          <w:b/>
          <w:spacing w:val="-1"/>
          <w:sz w:val="24"/>
        </w:rPr>
        <w:t xml:space="preserve"> </w:t>
      </w:r>
      <w:r>
        <w:rPr>
          <w:b/>
          <w:sz w:val="24"/>
        </w:rPr>
        <w:t>and</w:t>
      </w:r>
      <w:r>
        <w:rPr>
          <w:b/>
          <w:spacing w:val="-2"/>
          <w:sz w:val="24"/>
        </w:rPr>
        <w:t xml:space="preserve"> </w:t>
      </w:r>
      <w:r>
        <w:rPr>
          <w:b/>
          <w:sz w:val="24"/>
        </w:rPr>
        <w:t>payer mix.</w:t>
      </w:r>
    </w:p>
    <w:p w:rsidR="00D862F2" w:rsidRDefault="00D862F2">
      <w:pPr>
        <w:pStyle w:val="BodyText"/>
        <w:spacing w:before="1"/>
        <w:rPr>
          <w:b/>
          <w:sz w:val="25"/>
        </w:rPr>
      </w:pPr>
    </w:p>
    <w:p w:rsidR="00D862F2" w:rsidRDefault="00884FE4">
      <w:pPr>
        <w:pStyle w:val="BodyText"/>
        <w:ind w:left="220"/>
        <w:jc w:val="both"/>
      </w:pPr>
      <w:r>
        <w:rPr>
          <w:u w:val="single"/>
        </w:rPr>
        <w:t>General</w:t>
      </w:r>
      <w:r>
        <w:rPr>
          <w:spacing w:val="-3"/>
          <w:u w:val="single"/>
        </w:rPr>
        <w:t xml:space="preserve"> </w:t>
      </w:r>
      <w:r>
        <w:rPr>
          <w:u w:val="single"/>
        </w:rPr>
        <w:t>Description</w:t>
      </w:r>
      <w:r>
        <w:rPr>
          <w:spacing w:val="-3"/>
          <w:u w:val="single"/>
        </w:rPr>
        <w:t xml:space="preserve"> </w:t>
      </w:r>
      <w:r>
        <w:rPr>
          <w:u w:val="single"/>
        </w:rPr>
        <w:t>of</w:t>
      </w:r>
      <w:r>
        <w:rPr>
          <w:spacing w:val="-3"/>
          <w:u w:val="single"/>
        </w:rPr>
        <w:t xml:space="preserve"> </w:t>
      </w:r>
      <w:r>
        <w:rPr>
          <w:u w:val="single"/>
        </w:rPr>
        <w:t>Statewide</w:t>
      </w:r>
      <w:r>
        <w:rPr>
          <w:spacing w:val="-4"/>
          <w:u w:val="single"/>
        </w:rPr>
        <w:t xml:space="preserve"> </w:t>
      </w:r>
      <w:r>
        <w:rPr>
          <w:u w:val="single"/>
        </w:rPr>
        <w:t>Patient</w:t>
      </w:r>
      <w:r>
        <w:rPr>
          <w:spacing w:val="-2"/>
          <w:u w:val="single"/>
        </w:rPr>
        <w:t xml:space="preserve"> </w:t>
      </w:r>
      <w:r>
        <w:rPr>
          <w:u w:val="single"/>
        </w:rPr>
        <w:t>Panel</w:t>
      </w:r>
    </w:p>
    <w:p w:rsidR="00D862F2" w:rsidRDefault="00D862F2">
      <w:pPr>
        <w:pStyle w:val="BodyText"/>
        <w:spacing w:before="2"/>
        <w:rPr>
          <w:sz w:val="16"/>
        </w:rPr>
      </w:pPr>
    </w:p>
    <w:p w:rsidR="00D862F2" w:rsidRDefault="00884FE4">
      <w:pPr>
        <w:pStyle w:val="BodyText"/>
        <w:spacing w:before="90"/>
        <w:ind w:left="220" w:right="270"/>
        <w:jc w:val="both"/>
      </w:pPr>
      <w:r>
        <w:t>As the Commonwealth’s only dedicated pediatric care delivery system, the Applicant has a</w:t>
      </w:r>
      <w:r>
        <w:rPr>
          <w:spacing w:val="1"/>
        </w:rPr>
        <w:t xml:space="preserve"> </w:t>
      </w:r>
      <w:r>
        <w:t>consistently diverse, statewide Patient Panel.</w:t>
      </w:r>
      <w:hyperlink w:anchor="_bookmark2" w:history="1">
        <w:r>
          <w:rPr>
            <w:vertAlign w:val="superscript"/>
          </w:rPr>
          <w:t>3</w:t>
        </w:r>
      </w:hyperlink>
      <w:r>
        <w:t xml:space="preserve"> </w:t>
      </w:r>
      <w:r>
        <w:rPr>
          <w:i/>
        </w:rPr>
        <w:t xml:space="preserve">See </w:t>
      </w:r>
      <w:r>
        <w:t>Table 1, below. The Patient Panel grew by</w:t>
      </w:r>
      <w:r>
        <w:rPr>
          <w:spacing w:val="1"/>
        </w:rPr>
        <w:t xml:space="preserve"> </w:t>
      </w:r>
      <w:r>
        <w:t>13,153 between 2017 and 2019, a 6.1% increase.</w:t>
      </w:r>
      <w:hyperlink w:anchor="_bookmark3" w:history="1">
        <w:r>
          <w:rPr>
            <w:vertAlign w:val="superscript"/>
          </w:rPr>
          <w:t>4</w:t>
        </w:r>
        <w:r>
          <w:t xml:space="preserve"> </w:t>
        </w:r>
      </w:hyperlink>
      <w:r>
        <w:t>Visits by Massachusetts patients increased by</w:t>
      </w:r>
      <w:r>
        <w:rPr>
          <w:spacing w:val="1"/>
        </w:rPr>
        <w:t xml:space="preserve"> </w:t>
      </w:r>
      <w:r>
        <w:t>38,856,</w:t>
      </w:r>
      <w:r>
        <w:rPr>
          <w:spacing w:val="1"/>
        </w:rPr>
        <w:t xml:space="preserve"> </w:t>
      </w:r>
      <w:r>
        <w:t>or</w:t>
      </w:r>
      <w:r>
        <w:rPr>
          <w:spacing w:val="1"/>
        </w:rPr>
        <w:t xml:space="preserve"> </w:t>
      </w:r>
      <w:r>
        <w:t>7.1%,</w:t>
      </w:r>
      <w:r>
        <w:rPr>
          <w:spacing w:val="1"/>
        </w:rPr>
        <w:t xml:space="preserve"> </w:t>
      </w:r>
      <w:r>
        <w:t>during</w:t>
      </w:r>
      <w:r>
        <w:rPr>
          <w:spacing w:val="1"/>
        </w:rPr>
        <w:t xml:space="preserve"> </w:t>
      </w:r>
      <w:r>
        <w:t>the</w:t>
      </w:r>
      <w:r>
        <w:rPr>
          <w:spacing w:val="1"/>
        </w:rPr>
        <w:t xml:space="preserve"> </w:t>
      </w:r>
      <w:r>
        <w:t>same</w:t>
      </w:r>
      <w:r>
        <w:rPr>
          <w:spacing w:val="1"/>
        </w:rPr>
        <w:t xml:space="preserve"> </w:t>
      </w:r>
      <w:r>
        <w:t>period.</w:t>
      </w:r>
      <w:r>
        <w:rPr>
          <w:spacing w:val="1"/>
        </w:rPr>
        <w:t xml:space="preserve"> </w:t>
      </w:r>
      <w:r>
        <w:rPr>
          <w:i/>
        </w:rPr>
        <w:t>See</w:t>
      </w:r>
      <w:r>
        <w:rPr>
          <w:i/>
          <w:spacing w:val="1"/>
        </w:rPr>
        <w:t xml:space="preserve"> </w:t>
      </w:r>
      <w:r>
        <w:t>Table</w:t>
      </w:r>
      <w:r>
        <w:rPr>
          <w:spacing w:val="1"/>
        </w:rPr>
        <w:t xml:space="preserve"> </w:t>
      </w:r>
      <w:r>
        <w:t>2,</w:t>
      </w:r>
      <w:r>
        <w:rPr>
          <w:spacing w:val="1"/>
        </w:rPr>
        <w:t xml:space="preserve"> </w:t>
      </w:r>
      <w:r>
        <w:t>below.</w:t>
      </w:r>
      <w:r>
        <w:rPr>
          <w:spacing w:val="1"/>
        </w:rPr>
        <w:t xml:space="preserve"> </w:t>
      </w:r>
      <w:r>
        <w:t>Reflecting</w:t>
      </w:r>
      <w:r>
        <w:rPr>
          <w:spacing w:val="1"/>
        </w:rPr>
        <w:t xml:space="preserve"> </w:t>
      </w:r>
      <w:r>
        <w:t>the</w:t>
      </w:r>
      <w:r>
        <w:rPr>
          <w:spacing w:val="1"/>
        </w:rPr>
        <w:t xml:space="preserve"> </w:t>
      </w:r>
      <w:r>
        <w:t>Hospital’s</w:t>
      </w:r>
      <w:r>
        <w:rPr>
          <w:spacing w:val="1"/>
        </w:rPr>
        <w:t xml:space="preserve"> </w:t>
      </w:r>
      <w:r>
        <w:t>commitment to health equity and access to care, the Medicaid payor mix has increased from 36%</w:t>
      </w:r>
      <w:r>
        <w:rPr>
          <w:spacing w:val="-57"/>
        </w:rPr>
        <w:t xml:space="preserve"> </w:t>
      </w:r>
      <w:r>
        <w:t>in 2017 to 38.2%</w:t>
      </w:r>
      <w:r>
        <w:rPr>
          <w:spacing w:val="-1"/>
        </w:rPr>
        <w:t xml:space="preserve"> </w:t>
      </w:r>
      <w:r>
        <w:t>in 2019.</w:t>
      </w:r>
      <w:hyperlink w:anchor="_bookmark4" w:history="1">
        <w:r>
          <w:rPr>
            <w:vertAlign w:val="superscript"/>
          </w:rPr>
          <w:t>5</w:t>
        </w:r>
        <w:r>
          <w:rPr>
            <w:spacing w:val="1"/>
          </w:rPr>
          <w:t xml:space="preserve"> </w:t>
        </w:r>
      </w:hyperlink>
      <w:r>
        <w:rPr>
          <w:i/>
        </w:rPr>
        <w:t>See</w:t>
      </w:r>
      <w:r>
        <w:rPr>
          <w:i/>
          <w:spacing w:val="-1"/>
        </w:rPr>
        <w:t xml:space="preserve"> </w:t>
      </w:r>
      <w:r>
        <w:t>Table</w:t>
      </w:r>
      <w:r>
        <w:rPr>
          <w:spacing w:val="-1"/>
        </w:rPr>
        <w:t xml:space="preserve"> </w:t>
      </w:r>
      <w:r>
        <w:t>3, below.</w:t>
      </w:r>
    </w:p>
    <w:p w:rsidR="00D862F2" w:rsidRDefault="00D862F2">
      <w:pPr>
        <w:pStyle w:val="BodyText"/>
      </w:pPr>
    </w:p>
    <w:p w:rsidR="00D862F2" w:rsidRDefault="00884FE4">
      <w:pPr>
        <w:pStyle w:val="BodyText"/>
        <w:ind w:left="220"/>
        <w:jc w:val="both"/>
      </w:pPr>
      <w:r>
        <w:rPr>
          <w:u w:val="single"/>
        </w:rPr>
        <w:t>Geographic</w:t>
      </w:r>
      <w:r>
        <w:rPr>
          <w:spacing w:val="-1"/>
          <w:u w:val="single"/>
        </w:rPr>
        <w:t xml:space="preserve"> </w:t>
      </w:r>
      <w:r>
        <w:rPr>
          <w:u w:val="single"/>
        </w:rPr>
        <w:t>Breakdown</w:t>
      </w:r>
      <w:r>
        <w:rPr>
          <w:spacing w:val="1"/>
          <w:u w:val="single"/>
        </w:rPr>
        <w:t xml:space="preserve"> </w:t>
      </w:r>
      <w:r>
        <w:rPr>
          <w:u w:val="single"/>
        </w:rPr>
        <w:t>of</w:t>
      </w:r>
      <w:r>
        <w:rPr>
          <w:spacing w:val="-2"/>
          <w:u w:val="single"/>
        </w:rPr>
        <w:t xml:space="preserve"> </w:t>
      </w:r>
      <w:r>
        <w:rPr>
          <w:u w:val="single"/>
        </w:rPr>
        <w:t>Patient</w:t>
      </w:r>
      <w:r>
        <w:rPr>
          <w:spacing w:val="-2"/>
          <w:u w:val="single"/>
        </w:rPr>
        <w:t xml:space="preserve"> </w:t>
      </w:r>
      <w:r>
        <w:rPr>
          <w:u w:val="single"/>
        </w:rPr>
        <w:t>Panel</w:t>
      </w:r>
      <w:r>
        <w:rPr>
          <w:spacing w:val="-1"/>
          <w:u w:val="single"/>
        </w:rPr>
        <w:t xml:space="preserve"> </w:t>
      </w:r>
      <w:r>
        <w:rPr>
          <w:u w:val="single"/>
        </w:rPr>
        <w:t>by</w:t>
      </w:r>
      <w:r>
        <w:rPr>
          <w:spacing w:val="-6"/>
          <w:u w:val="single"/>
        </w:rPr>
        <w:t xml:space="preserve"> </w:t>
      </w:r>
      <w:r>
        <w:rPr>
          <w:u w:val="single"/>
        </w:rPr>
        <w:t>Health</w:t>
      </w:r>
      <w:r>
        <w:rPr>
          <w:spacing w:val="-1"/>
          <w:u w:val="single"/>
        </w:rPr>
        <w:t xml:space="preserve"> </w:t>
      </w:r>
      <w:r>
        <w:rPr>
          <w:u w:val="single"/>
        </w:rPr>
        <w:t>Service</w:t>
      </w:r>
      <w:r>
        <w:rPr>
          <w:spacing w:val="-3"/>
          <w:u w:val="single"/>
        </w:rPr>
        <w:t xml:space="preserve"> </w:t>
      </w:r>
      <w:r>
        <w:rPr>
          <w:u w:val="single"/>
        </w:rPr>
        <w:t>Area</w:t>
      </w:r>
      <w:r>
        <w:rPr>
          <w:spacing w:val="-2"/>
          <w:u w:val="single"/>
        </w:rPr>
        <w:t xml:space="preserve"> </w:t>
      </w:r>
      <w:r>
        <w:rPr>
          <w:u w:val="single"/>
        </w:rPr>
        <w:t>(“HSA”)</w:t>
      </w:r>
    </w:p>
    <w:p w:rsidR="00D862F2" w:rsidRDefault="00D862F2">
      <w:pPr>
        <w:pStyle w:val="BodyText"/>
        <w:spacing w:before="2"/>
        <w:rPr>
          <w:sz w:val="16"/>
        </w:rPr>
      </w:pPr>
    </w:p>
    <w:p w:rsidR="00D862F2" w:rsidRDefault="00884FE4">
      <w:pPr>
        <w:pStyle w:val="BodyText"/>
        <w:spacing w:before="90"/>
        <w:ind w:left="219" w:right="274"/>
        <w:jc w:val="both"/>
      </w:pPr>
      <w:r>
        <w:t>Just over 80% of Massachusetts patients reside outside of the HSA 6 (Boston), with a third of the</w:t>
      </w:r>
      <w:r>
        <w:rPr>
          <w:spacing w:val="-57"/>
        </w:rPr>
        <w:t xml:space="preserve"> </w:t>
      </w:r>
      <w:r>
        <w:t>patients residing in HSA 4 (Metro West).</w:t>
      </w:r>
      <w:hyperlink w:anchor="_bookmark5" w:history="1">
        <w:r>
          <w:rPr>
            <w:vertAlign w:val="superscript"/>
          </w:rPr>
          <w:t>6</w:t>
        </w:r>
        <w:r>
          <w:t xml:space="preserve"> </w:t>
        </w:r>
      </w:hyperlink>
      <w:r>
        <w:rPr>
          <w:i/>
        </w:rPr>
        <w:t xml:space="preserve">See </w:t>
      </w:r>
      <w:r>
        <w:t>Table 1, below. This has remained consistent over</w:t>
      </w:r>
      <w:r>
        <w:rPr>
          <w:spacing w:val="-57"/>
        </w:rPr>
        <w:t xml:space="preserve"> </w:t>
      </w:r>
      <w:r>
        <w:t>time. Accordingly, growth in patient visits mostly is attributed to patients residing outside of the</w:t>
      </w:r>
      <w:r>
        <w:rPr>
          <w:spacing w:val="1"/>
        </w:rPr>
        <w:t xml:space="preserve"> </w:t>
      </w:r>
      <w:r>
        <w:t>Boston</w:t>
      </w:r>
      <w:r>
        <w:rPr>
          <w:spacing w:val="34"/>
        </w:rPr>
        <w:t xml:space="preserve"> </w:t>
      </w:r>
      <w:r>
        <w:t>HSA,</w:t>
      </w:r>
      <w:r>
        <w:rPr>
          <w:spacing w:val="34"/>
        </w:rPr>
        <w:t xml:space="preserve"> </w:t>
      </w:r>
      <w:r>
        <w:t>with</w:t>
      </w:r>
      <w:r>
        <w:rPr>
          <w:spacing w:val="34"/>
        </w:rPr>
        <w:t xml:space="preserve"> </w:t>
      </w:r>
      <w:r>
        <w:t>much</w:t>
      </w:r>
      <w:r>
        <w:rPr>
          <w:spacing w:val="34"/>
        </w:rPr>
        <w:t xml:space="preserve"> </w:t>
      </w:r>
      <w:r>
        <w:t>of</w:t>
      </w:r>
      <w:r>
        <w:rPr>
          <w:spacing w:val="33"/>
        </w:rPr>
        <w:t xml:space="preserve"> </w:t>
      </w:r>
      <w:r>
        <w:t>the</w:t>
      </w:r>
      <w:r>
        <w:rPr>
          <w:spacing w:val="34"/>
        </w:rPr>
        <w:t xml:space="preserve"> </w:t>
      </w:r>
      <w:r>
        <w:t>growth</w:t>
      </w:r>
      <w:r>
        <w:rPr>
          <w:spacing w:val="34"/>
        </w:rPr>
        <w:t xml:space="preserve"> </w:t>
      </w:r>
      <w:r>
        <w:t>attributable</w:t>
      </w:r>
      <w:r>
        <w:rPr>
          <w:spacing w:val="33"/>
        </w:rPr>
        <w:t xml:space="preserve"> </w:t>
      </w:r>
      <w:r>
        <w:t>to</w:t>
      </w:r>
      <w:r>
        <w:rPr>
          <w:spacing w:val="33"/>
        </w:rPr>
        <w:t xml:space="preserve"> </w:t>
      </w:r>
      <w:r>
        <w:t>the</w:t>
      </w:r>
      <w:r>
        <w:rPr>
          <w:spacing w:val="33"/>
        </w:rPr>
        <w:t xml:space="preserve"> </w:t>
      </w:r>
      <w:r>
        <w:t>Metro</w:t>
      </w:r>
      <w:r>
        <w:rPr>
          <w:spacing w:val="31"/>
        </w:rPr>
        <w:t xml:space="preserve"> </w:t>
      </w:r>
      <w:r>
        <w:t>West</w:t>
      </w:r>
      <w:r>
        <w:rPr>
          <w:spacing w:val="33"/>
        </w:rPr>
        <w:t xml:space="preserve"> </w:t>
      </w:r>
      <w:r>
        <w:t>HSA</w:t>
      </w:r>
      <w:r>
        <w:rPr>
          <w:spacing w:val="33"/>
        </w:rPr>
        <w:t xml:space="preserve"> </w:t>
      </w:r>
      <w:r>
        <w:t>(12.4%),</w:t>
      </w:r>
      <w:r>
        <w:rPr>
          <w:spacing w:val="34"/>
        </w:rPr>
        <w:t xml:space="preserve"> </w:t>
      </w:r>
      <w:r>
        <w:t>Central</w:t>
      </w:r>
      <w:r>
        <w:rPr>
          <w:spacing w:val="-58"/>
        </w:rPr>
        <w:t xml:space="preserve"> </w:t>
      </w:r>
      <w:r>
        <w:t>HSA</w:t>
      </w:r>
      <w:r>
        <w:rPr>
          <w:spacing w:val="-2"/>
        </w:rPr>
        <w:t xml:space="preserve"> </w:t>
      </w:r>
      <w:r>
        <w:t>(12.5%), and Western HSA</w:t>
      </w:r>
      <w:r>
        <w:rPr>
          <w:spacing w:val="-1"/>
        </w:rPr>
        <w:t xml:space="preserve"> </w:t>
      </w:r>
      <w:r>
        <w:t xml:space="preserve">(19.8%). </w:t>
      </w:r>
      <w:r>
        <w:rPr>
          <w:i/>
        </w:rPr>
        <w:t>See</w:t>
      </w:r>
      <w:r>
        <w:rPr>
          <w:i/>
          <w:spacing w:val="-1"/>
        </w:rPr>
        <w:t xml:space="preserve"> </w:t>
      </w:r>
      <w:r>
        <w:t>Table</w:t>
      </w:r>
      <w:r>
        <w:rPr>
          <w:spacing w:val="-1"/>
        </w:rPr>
        <w:t xml:space="preserve"> </w:t>
      </w:r>
      <w:r>
        <w:t>2.</w:t>
      </w:r>
    </w:p>
    <w:p w:rsidR="00D862F2" w:rsidRDefault="00D862F2">
      <w:pPr>
        <w:pStyle w:val="BodyText"/>
      </w:pPr>
    </w:p>
    <w:p w:rsidR="00D862F2" w:rsidRDefault="00884FE4">
      <w:pPr>
        <w:pStyle w:val="BodyText"/>
        <w:ind w:left="220"/>
        <w:jc w:val="both"/>
      </w:pPr>
      <w:r>
        <w:rPr>
          <w:u w:val="single"/>
        </w:rPr>
        <w:t>Disease</w:t>
      </w:r>
      <w:r>
        <w:rPr>
          <w:spacing w:val="-2"/>
          <w:u w:val="single"/>
        </w:rPr>
        <w:t xml:space="preserve"> </w:t>
      </w:r>
      <w:r>
        <w:rPr>
          <w:u w:val="single"/>
        </w:rPr>
        <w:t>Burden and</w:t>
      </w:r>
      <w:r>
        <w:rPr>
          <w:spacing w:val="-3"/>
          <w:u w:val="single"/>
        </w:rPr>
        <w:t xml:space="preserve"> </w:t>
      </w:r>
      <w:r>
        <w:rPr>
          <w:u w:val="single"/>
        </w:rPr>
        <w:t>Risk</w:t>
      </w:r>
      <w:r>
        <w:rPr>
          <w:spacing w:val="-2"/>
          <w:u w:val="single"/>
        </w:rPr>
        <w:t xml:space="preserve"> </w:t>
      </w:r>
      <w:r>
        <w:rPr>
          <w:u w:val="single"/>
        </w:rPr>
        <w:t>Factors</w:t>
      </w:r>
    </w:p>
    <w:p w:rsidR="00D862F2" w:rsidRDefault="00D862F2">
      <w:pPr>
        <w:pStyle w:val="BodyText"/>
        <w:spacing w:before="2"/>
        <w:rPr>
          <w:sz w:val="16"/>
        </w:rPr>
      </w:pPr>
    </w:p>
    <w:p w:rsidR="00D862F2" w:rsidRDefault="00884FE4">
      <w:pPr>
        <w:pStyle w:val="BodyText"/>
        <w:spacing w:before="90"/>
        <w:ind w:left="219" w:right="273"/>
        <w:jc w:val="both"/>
      </w:pPr>
      <w:r>
        <w:t>The demographic characteristics, behavioral risk factors, health disparities of the Applicant’s</w:t>
      </w:r>
      <w:r>
        <w:rPr>
          <w:spacing w:val="1"/>
        </w:rPr>
        <w:t xml:space="preserve"> </w:t>
      </w:r>
      <w:r>
        <w:t>patient panel are those of the Commonwealth’s families. As reported by the American Academy</w:t>
      </w:r>
      <w:r>
        <w:rPr>
          <w:spacing w:val="1"/>
        </w:rPr>
        <w:t xml:space="preserve"> </w:t>
      </w:r>
      <w:r>
        <w:t>of Pediatrics, 21.1% of children in the Commonwealth have special health care needs.</w:t>
      </w:r>
      <w:hyperlink w:anchor="_bookmark6" w:history="1">
        <w:r>
          <w:rPr>
            <w:vertAlign w:val="superscript"/>
          </w:rPr>
          <w:t>7</w:t>
        </w:r>
      </w:hyperlink>
      <w:r>
        <w:t xml:space="preserve"> The</w:t>
      </w:r>
      <w:r>
        <w:rPr>
          <w:spacing w:val="1"/>
        </w:rPr>
        <w:t xml:space="preserve"> </w:t>
      </w:r>
      <w:r>
        <w:t>Proposed</w:t>
      </w:r>
      <w:r>
        <w:rPr>
          <w:spacing w:val="1"/>
        </w:rPr>
        <w:t xml:space="preserve"> </w:t>
      </w:r>
      <w:r>
        <w:t>Project</w:t>
      </w:r>
      <w:r>
        <w:rPr>
          <w:spacing w:val="1"/>
        </w:rPr>
        <w:t xml:space="preserve"> </w:t>
      </w:r>
      <w:r>
        <w:t>is</w:t>
      </w:r>
      <w:r>
        <w:rPr>
          <w:spacing w:val="1"/>
        </w:rPr>
        <w:t xml:space="preserve"> </w:t>
      </w:r>
      <w:r>
        <w:t>expected</w:t>
      </w:r>
      <w:r>
        <w:rPr>
          <w:spacing w:val="1"/>
        </w:rPr>
        <w:t xml:space="preserve"> </w:t>
      </w:r>
      <w:r>
        <w:t>to</w:t>
      </w:r>
      <w:r>
        <w:rPr>
          <w:spacing w:val="1"/>
        </w:rPr>
        <w:t xml:space="preserve"> </w:t>
      </w:r>
      <w:r>
        <w:t>provide</w:t>
      </w:r>
      <w:r>
        <w:rPr>
          <w:spacing w:val="1"/>
        </w:rPr>
        <w:t xml:space="preserve"> </w:t>
      </w:r>
      <w:r>
        <w:t>space</w:t>
      </w:r>
      <w:r>
        <w:rPr>
          <w:spacing w:val="1"/>
        </w:rPr>
        <w:t xml:space="preserve"> </w:t>
      </w:r>
      <w:r>
        <w:t>for</w:t>
      </w:r>
      <w:r>
        <w:rPr>
          <w:spacing w:val="1"/>
        </w:rPr>
        <w:t xml:space="preserve"> </w:t>
      </w:r>
      <w:r>
        <w:t>hospital</w:t>
      </w:r>
      <w:r>
        <w:rPr>
          <w:spacing w:val="1"/>
        </w:rPr>
        <w:t xml:space="preserve"> </w:t>
      </w:r>
      <w:r>
        <w:t>services</w:t>
      </w:r>
      <w:r>
        <w:rPr>
          <w:spacing w:val="1"/>
        </w:rPr>
        <w:t xml:space="preserve"> </w:t>
      </w:r>
      <w:r>
        <w:t>that</w:t>
      </w:r>
      <w:r>
        <w:rPr>
          <w:spacing w:val="1"/>
        </w:rPr>
        <w:t xml:space="preserve"> </w:t>
      </w:r>
      <w:r>
        <w:t>ultimately support</w:t>
      </w:r>
      <w:r>
        <w:rPr>
          <w:spacing w:val="1"/>
        </w:rPr>
        <w:t xml:space="preserve"> </w:t>
      </w:r>
      <w:r>
        <w:t>increased</w:t>
      </w:r>
      <w:r>
        <w:rPr>
          <w:spacing w:val="1"/>
        </w:rPr>
        <w:t xml:space="preserve"> </w:t>
      </w:r>
      <w:r>
        <w:t>community</w:t>
      </w:r>
      <w:r>
        <w:rPr>
          <w:spacing w:val="1"/>
        </w:rPr>
        <w:t xml:space="preserve"> </w:t>
      </w:r>
      <w:r>
        <w:t>access</w:t>
      </w:r>
      <w:r>
        <w:rPr>
          <w:spacing w:val="1"/>
        </w:rPr>
        <w:t xml:space="preserve"> </w:t>
      </w:r>
      <w:r>
        <w:t>to</w:t>
      </w:r>
      <w:r>
        <w:rPr>
          <w:spacing w:val="1"/>
        </w:rPr>
        <w:t xml:space="preserve"> </w:t>
      </w:r>
      <w:r>
        <w:t>pediatric</w:t>
      </w:r>
      <w:r>
        <w:rPr>
          <w:spacing w:val="1"/>
        </w:rPr>
        <w:t xml:space="preserve"> </w:t>
      </w:r>
      <w:r>
        <w:t>sub-specialty</w:t>
      </w:r>
      <w:r>
        <w:rPr>
          <w:spacing w:val="1"/>
        </w:rPr>
        <w:t xml:space="preserve"> </w:t>
      </w:r>
      <w:r>
        <w:t>care,</w:t>
      </w:r>
      <w:r>
        <w:rPr>
          <w:spacing w:val="1"/>
        </w:rPr>
        <w:t xml:space="preserve"> </w:t>
      </w:r>
      <w:r>
        <w:t>including</w:t>
      </w:r>
      <w:r>
        <w:rPr>
          <w:spacing w:val="1"/>
        </w:rPr>
        <w:t xml:space="preserve"> </w:t>
      </w:r>
      <w:r>
        <w:t>gastroenterology,</w:t>
      </w:r>
      <w:r>
        <w:rPr>
          <w:spacing w:val="1"/>
        </w:rPr>
        <w:t xml:space="preserve"> </w:t>
      </w:r>
      <w:r>
        <w:t>ophthalmology,</w:t>
      </w:r>
      <w:r>
        <w:rPr>
          <w:spacing w:val="1"/>
        </w:rPr>
        <w:t xml:space="preserve"> </w:t>
      </w:r>
      <w:r>
        <w:t>orthopedics,</w:t>
      </w:r>
      <w:r>
        <w:rPr>
          <w:spacing w:val="1"/>
        </w:rPr>
        <w:t xml:space="preserve"> </w:t>
      </w:r>
      <w:r>
        <w:t>and</w:t>
      </w:r>
      <w:r>
        <w:rPr>
          <w:spacing w:val="1"/>
        </w:rPr>
        <w:t xml:space="preserve"> </w:t>
      </w:r>
      <w:r>
        <w:t>psychiatry,</w:t>
      </w:r>
      <w:r>
        <w:rPr>
          <w:spacing w:val="1"/>
        </w:rPr>
        <w:t xml:space="preserve"> </w:t>
      </w:r>
      <w:r>
        <w:t>for</w:t>
      </w:r>
      <w:r>
        <w:rPr>
          <w:spacing w:val="1"/>
        </w:rPr>
        <w:t xml:space="preserve"> </w:t>
      </w:r>
      <w:r>
        <w:t>which</w:t>
      </w:r>
      <w:r>
        <w:rPr>
          <w:spacing w:val="1"/>
        </w:rPr>
        <w:t xml:space="preserve"> </w:t>
      </w:r>
      <w:r>
        <w:t>care</w:t>
      </w:r>
      <w:r>
        <w:rPr>
          <w:spacing w:val="1"/>
        </w:rPr>
        <w:t xml:space="preserve"> </w:t>
      </w:r>
      <w:r>
        <w:t>can</w:t>
      </w:r>
      <w:r>
        <w:rPr>
          <w:spacing w:val="1"/>
        </w:rPr>
        <w:t xml:space="preserve"> </w:t>
      </w:r>
      <w:r>
        <w:t>be</w:t>
      </w:r>
      <w:r>
        <w:rPr>
          <w:spacing w:val="1"/>
        </w:rPr>
        <w:t xml:space="preserve"> </w:t>
      </w:r>
      <w:r>
        <w:t>safely</w:t>
      </w:r>
      <w:r>
        <w:rPr>
          <w:spacing w:val="1"/>
        </w:rPr>
        <w:t xml:space="preserve"> </w:t>
      </w:r>
      <w:r>
        <w:t>and</w:t>
      </w:r>
      <w:r>
        <w:rPr>
          <w:spacing w:val="1"/>
        </w:rPr>
        <w:t xml:space="preserve"> </w:t>
      </w:r>
      <w:r>
        <w:t>effectively</w:t>
      </w:r>
      <w:r>
        <w:rPr>
          <w:spacing w:val="1"/>
        </w:rPr>
        <w:t xml:space="preserve"> </w:t>
      </w:r>
      <w:r>
        <w:t>provided</w:t>
      </w:r>
      <w:r>
        <w:rPr>
          <w:spacing w:val="12"/>
        </w:rPr>
        <w:t xml:space="preserve"> </w:t>
      </w:r>
      <w:r>
        <w:t>closer</w:t>
      </w:r>
      <w:r>
        <w:rPr>
          <w:spacing w:val="11"/>
        </w:rPr>
        <w:t xml:space="preserve"> </w:t>
      </w:r>
      <w:r>
        <w:t>to</w:t>
      </w:r>
      <w:r>
        <w:rPr>
          <w:spacing w:val="12"/>
        </w:rPr>
        <w:t xml:space="preserve"> </w:t>
      </w:r>
      <w:r>
        <w:t>where</w:t>
      </w:r>
      <w:r>
        <w:rPr>
          <w:spacing w:val="11"/>
        </w:rPr>
        <w:t xml:space="preserve"> </w:t>
      </w:r>
      <w:r>
        <w:t>patients</w:t>
      </w:r>
      <w:r>
        <w:rPr>
          <w:spacing w:val="14"/>
        </w:rPr>
        <w:t xml:space="preserve"> </w:t>
      </w:r>
      <w:r>
        <w:t>reside.</w:t>
      </w:r>
      <w:r>
        <w:rPr>
          <w:spacing w:val="14"/>
        </w:rPr>
        <w:t xml:space="preserve"> </w:t>
      </w:r>
      <w:r>
        <w:t>Visits</w:t>
      </w:r>
      <w:r>
        <w:rPr>
          <w:spacing w:val="12"/>
        </w:rPr>
        <w:t xml:space="preserve"> </w:t>
      </w:r>
      <w:r>
        <w:t>by</w:t>
      </w:r>
      <w:r>
        <w:rPr>
          <w:spacing w:val="9"/>
        </w:rPr>
        <w:t xml:space="preserve"> </w:t>
      </w:r>
      <w:r>
        <w:t>Boston</w:t>
      </w:r>
      <w:r>
        <w:rPr>
          <w:spacing w:val="12"/>
        </w:rPr>
        <w:t xml:space="preserve"> </w:t>
      </w:r>
      <w:r>
        <w:t>Children’s</w:t>
      </w:r>
      <w:r>
        <w:rPr>
          <w:spacing w:val="14"/>
        </w:rPr>
        <w:t xml:space="preserve"> </w:t>
      </w:r>
      <w:r>
        <w:t>physicians</w:t>
      </w:r>
      <w:r>
        <w:rPr>
          <w:spacing w:val="12"/>
        </w:rPr>
        <w:t xml:space="preserve"> </w:t>
      </w:r>
      <w:r>
        <w:t>in</w:t>
      </w:r>
      <w:r>
        <w:rPr>
          <w:spacing w:val="12"/>
        </w:rPr>
        <w:t xml:space="preserve"> </w:t>
      </w:r>
      <w:r>
        <w:t>these</w:t>
      </w:r>
    </w:p>
    <w:p w:rsidR="00D862F2" w:rsidRDefault="00337703">
      <w:pPr>
        <w:pStyle w:val="BodyText"/>
        <w:spacing w:before="5"/>
        <w:rPr>
          <w:sz w:val="13"/>
        </w:rPr>
      </w:pPr>
      <w:r>
        <w:rPr>
          <w:noProof/>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113665</wp:posOffset>
                </wp:positionV>
                <wp:extent cx="1828800" cy="7620"/>
                <wp:effectExtent l="0" t="0" r="0" b="11430"/>
                <wp:wrapTopAndBottom/>
                <wp:docPr id="27" name="docshape5"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20599" id="docshape5" o:spid="_x0000_s1026" alt="Title: Division Line - Description: Division Line between the main content and the footnotes" style="position:absolute;margin-left:1in;margin-top:8.95pt;width:2in;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" fillcolor="black" stroked="f">
                <w10:wrap type="topAndBottom" anchorx="page"/>
              </v:rect>
            </w:pict>
          </mc:Fallback>
        </mc:AlternateContent>
      </w:r>
    </w:p>
    <w:p w:rsidR="00D862F2" w:rsidRDefault="00884FE4">
      <w:pPr>
        <w:spacing w:before="103"/>
        <w:ind w:left="220" w:right="320" w:hanging="1"/>
        <w:rPr>
          <w:sz w:val="20"/>
        </w:rPr>
      </w:pPr>
      <w:bookmarkStart w:id="3" w:name="_bookmark2"/>
      <w:bookmarkEnd w:id="3"/>
      <w:r>
        <w:rPr>
          <w:sz w:val="20"/>
          <w:vertAlign w:val="superscript"/>
        </w:rPr>
        <w:t>3</w:t>
      </w:r>
      <w:r>
        <w:rPr>
          <w:spacing w:val="-4"/>
          <w:sz w:val="20"/>
        </w:rPr>
        <w:t xml:space="preserve"> </w:t>
      </w:r>
      <w:r>
        <w:rPr>
          <w:sz w:val="20"/>
        </w:rPr>
        <w:t>Capitalized</w:t>
      </w:r>
      <w:r>
        <w:rPr>
          <w:spacing w:val="-3"/>
          <w:sz w:val="20"/>
        </w:rPr>
        <w:t xml:space="preserve"> </w:t>
      </w:r>
      <w:r>
        <w:rPr>
          <w:sz w:val="20"/>
        </w:rPr>
        <w:t>terms</w:t>
      </w:r>
      <w:r>
        <w:rPr>
          <w:spacing w:val="-1"/>
          <w:sz w:val="20"/>
        </w:rPr>
        <w:t xml:space="preserve"> </w:t>
      </w:r>
      <w:r>
        <w:rPr>
          <w:sz w:val="20"/>
        </w:rPr>
        <w:t>not</w:t>
      </w:r>
      <w:r>
        <w:rPr>
          <w:spacing w:val="-4"/>
          <w:sz w:val="20"/>
        </w:rPr>
        <w:t xml:space="preserve"> </w:t>
      </w:r>
      <w:r>
        <w:rPr>
          <w:sz w:val="20"/>
        </w:rPr>
        <w:t>otherwise</w:t>
      </w:r>
      <w:r>
        <w:rPr>
          <w:spacing w:val="-3"/>
          <w:sz w:val="20"/>
        </w:rPr>
        <w:t xml:space="preserve"> </w:t>
      </w:r>
      <w:r>
        <w:rPr>
          <w:sz w:val="20"/>
        </w:rPr>
        <w:t>defined have</w:t>
      </w:r>
      <w:r>
        <w:rPr>
          <w:spacing w:val="-4"/>
          <w:sz w:val="20"/>
        </w:rPr>
        <w:t xml:space="preserve"> </w:t>
      </w:r>
      <w:r>
        <w:rPr>
          <w:sz w:val="20"/>
        </w:rPr>
        <w:t>the</w:t>
      </w:r>
      <w:r>
        <w:rPr>
          <w:spacing w:val="-1"/>
          <w:sz w:val="20"/>
        </w:rPr>
        <w:t xml:space="preserve"> </w:t>
      </w:r>
      <w:r>
        <w:rPr>
          <w:sz w:val="20"/>
        </w:rPr>
        <w:t>meanings</w:t>
      </w:r>
      <w:r>
        <w:rPr>
          <w:spacing w:val="-1"/>
          <w:sz w:val="20"/>
        </w:rPr>
        <w:t xml:space="preserve"> </w:t>
      </w:r>
      <w:r>
        <w:rPr>
          <w:sz w:val="20"/>
        </w:rPr>
        <w:t>ascribed</w:t>
      </w:r>
      <w:r>
        <w:rPr>
          <w:spacing w:val="-3"/>
          <w:sz w:val="20"/>
        </w:rPr>
        <w:t xml:space="preserve"> </w:t>
      </w:r>
      <w:r>
        <w:rPr>
          <w:sz w:val="20"/>
        </w:rPr>
        <w:t>to</w:t>
      </w:r>
      <w:r>
        <w:rPr>
          <w:spacing w:val="-2"/>
          <w:sz w:val="20"/>
        </w:rPr>
        <w:t xml:space="preserve"> </w:t>
      </w:r>
      <w:r>
        <w:rPr>
          <w:sz w:val="20"/>
        </w:rPr>
        <w:t>them</w:t>
      </w:r>
      <w:r>
        <w:rPr>
          <w:spacing w:val="-8"/>
          <w:sz w:val="20"/>
        </w:rPr>
        <w:t xml:space="preserve"> </w:t>
      </w:r>
      <w:r>
        <w:rPr>
          <w:sz w:val="20"/>
        </w:rPr>
        <w:t>in</w:t>
      </w:r>
      <w:r>
        <w:rPr>
          <w:spacing w:val="-4"/>
          <w:sz w:val="20"/>
        </w:rPr>
        <w:t xml:space="preserve"> </w:t>
      </w:r>
      <w:r>
        <w:rPr>
          <w:sz w:val="20"/>
        </w:rPr>
        <w:t>105</w:t>
      </w:r>
      <w:r>
        <w:rPr>
          <w:spacing w:val="-3"/>
          <w:sz w:val="20"/>
        </w:rPr>
        <w:t xml:space="preserve"> </w:t>
      </w:r>
      <w:r>
        <w:rPr>
          <w:sz w:val="20"/>
        </w:rPr>
        <w:t>CMR</w:t>
      </w:r>
      <w:r>
        <w:rPr>
          <w:spacing w:val="-2"/>
          <w:sz w:val="20"/>
        </w:rPr>
        <w:t xml:space="preserve"> </w:t>
      </w:r>
      <w:r>
        <w:rPr>
          <w:sz w:val="20"/>
        </w:rPr>
        <w:t>100</w:t>
      </w:r>
      <w:r>
        <w:rPr>
          <w:spacing w:val="-3"/>
          <w:sz w:val="20"/>
        </w:rPr>
        <w:t xml:space="preserve"> </w:t>
      </w:r>
      <w:r>
        <w:rPr>
          <w:sz w:val="20"/>
        </w:rPr>
        <w:t>(the</w:t>
      </w:r>
      <w:r>
        <w:rPr>
          <w:spacing w:val="-4"/>
          <w:sz w:val="20"/>
        </w:rPr>
        <w:t xml:space="preserve"> </w:t>
      </w:r>
      <w:r>
        <w:rPr>
          <w:sz w:val="20"/>
        </w:rPr>
        <w:t>“Regulations”).</w:t>
      </w:r>
      <w:r>
        <w:rPr>
          <w:spacing w:val="1"/>
          <w:sz w:val="20"/>
        </w:rPr>
        <w:t xml:space="preserve"> </w:t>
      </w:r>
      <w:r>
        <w:rPr>
          <w:sz w:val="20"/>
        </w:rPr>
        <w:t>While the Hospital serves a national and international patient base, the Patient Panel data presented data includes</w:t>
      </w:r>
      <w:r>
        <w:rPr>
          <w:spacing w:val="1"/>
          <w:sz w:val="20"/>
        </w:rPr>
        <w:t xml:space="preserve"> </w:t>
      </w:r>
      <w:r>
        <w:rPr>
          <w:sz w:val="20"/>
        </w:rPr>
        <w:t>only Massachusetts residents to best demonstrate need by a locally derived Patient Panel with respect to the</w:t>
      </w:r>
      <w:r>
        <w:rPr>
          <w:spacing w:val="1"/>
          <w:sz w:val="20"/>
        </w:rPr>
        <w:t xml:space="preserve"> </w:t>
      </w:r>
      <w:r>
        <w:rPr>
          <w:sz w:val="20"/>
        </w:rPr>
        <w:t>Proposed</w:t>
      </w:r>
      <w:r>
        <w:rPr>
          <w:spacing w:val="-2"/>
          <w:sz w:val="20"/>
        </w:rPr>
        <w:t xml:space="preserve"> </w:t>
      </w:r>
      <w:r>
        <w:rPr>
          <w:sz w:val="20"/>
        </w:rPr>
        <w:t>Project.</w:t>
      </w:r>
    </w:p>
    <w:p w:rsidR="00D862F2" w:rsidRDefault="00884FE4">
      <w:pPr>
        <w:spacing w:before="2"/>
        <w:ind w:left="219"/>
        <w:rPr>
          <w:sz w:val="20"/>
        </w:rPr>
      </w:pPr>
      <w:bookmarkStart w:id="4" w:name="_bookmark3"/>
      <w:bookmarkEnd w:id="4"/>
      <w:r>
        <w:rPr>
          <w:sz w:val="20"/>
          <w:vertAlign w:val="superscript"/>
        </w:rPr>
        <w:t>4</w:t>
      </w:r>
      <w:r>
        <w:rPr>
          <w:spacing w:val="-2"/>
          <w:sz w:val="20"/>
        </w:rPr>
        <w:t xml:space="preserve"> </w:t>
      </w:r>
      <w:r>
        <w:rPr>
          <w:sz w:val="20"/>
        </w:rPr>
        <w:t>Reference</w:t>
      </w:r>
      <w:r>
        <w:rPr>
          <w:spacing w:val="-3"/>
          <w:sz w:val="20"/>
        </w:rPr>
        <w:t xml:space="preserve"> </w:t>
      </w:r>
      <w:r>
        <w:rPr>
          <w:sz w:val="20"/>
        </w:rPr>
        <w:t>is made</w:t>
      </w:r>
      <w:r>
        <w:rPr>
          <w:spacing w:val="-2"/>
          <w:sz w:val="20"/>
        </w:rPr>
        <w:t xml:space="preserve"> </w:t>
      </w:r>
      <w:r>
        <w:rPr>
          <w:sz w:val="20"/>
        </w:rPr>
        <w:t>to</w:t>
      </w:r>
      <w:r>
        <w:rPr>
          <w:spacing w:val="-1"/>
          <w:sz w:val="20"/>
        </w:rPr>
        <w:t xml:space="preserve"> </w:t>
      </w:r>
      <w:r>
        <w:rPr>
          <w:sz w:val="20"/>
        </w:rPr>
        <w:t>years</w:t>
      </w:r>
      <w:r>
        <w:rPr>
          <w:spacing w:val="-3"/>
          <w:sz w:val="20"/>
        </w:rPr>
        <w:t xml:space="preserve"> </w:t>
      </w:r>
      <w:r>
        <w:rPr>
          <w:sz w:val="20"/>
        </w:rPr>
        <w:t>2017–2019,</w:t>
      </w:r>
      <w:r>
        <w:rPr>
          <w:spacing w:val="-4"/>
          <w:sz w:val="20"/>
        </w:rPr>
        <w:t xml:space="preserve"> </w:t>
      </w:r>
      <w:r>
        <w:rPr>
          <w:sz w:val="20"/>
        </w:rPr>
        <w:t>as</w:t>
      </w:r>
      <w:r>
        <w:rPr>
          <w:spacing w:val="-3"/>
          <w:sz w:val="20"/>
        </w:rPr>
        <w:t xml:space="preserve"> </w:t>
      </w:r>
      <w:r>
        <w:rPr>
          <w:sz w:val="20"/>
        </w:rPr>
        <w:t>data</w:t>
      </w:r>
      <w:r>
        <w:rPr>
          <w:spacing w:val="-2"/>
          <w:sz w:val="20"/>
        </w:rPr>
        <w:t xml:space="preserve"> </w:t>
      </w:r>
      <w:r>
        <w:rPr>
          <w:sz w:val="20"/>
        </w:rPr>
        <w:t>for</w:t>
      </w:r>
      <w:r>
        <w:rPr>
          <w:spacing w:val="-1"/>
          <w:sz w:val="20"/>
        </w:rPr>
        <w:t xml:space="preserve"> </w:t>
      </w:r>
      <w:r>
        <w:rPr>
          <w:sz w:val="20"/>
        </w:rPr>
        <w:t>2020</w:t>
      </w:r>
      <w:r>
        <w:rPr>
          <w:spacing w:val="-1"/>
          <w:sz w:val="20"/>
        </w:rPr>
        <w:t xml:space="preserve"> </w:t>
      </w:r>
      <w:r>
        <w:rPr>
          <w:sz w:val="20"/>
        </w:rPr>
        <w:t>are</w:t>
      </w:r>
      <w:r>
        <w:rPr>
          <w:spacing w:val="-6"/>
          <w:sz w:val="20"/>
        </w:rPr>
        <w:t xml:space="preserve"> </w:t>
      </w:r>
      <w:r>
        <w:rPr>
          <w:sz w:val="20"/>
        </w:rPr>
        <w:t>substantially</w:t>
      </w:r>
      <w:r>
        <w:rPr>
          <w:spacing w:val="-3"/>
          <w:sz w:val="20"/>
        </w:rPr>
        <w:t xml:space="preserve"> </w:t>
      </w:r>
      <w:r>
        <w:rPr>
          <w:sz w:val="20"/>
        </w:rPr>
        <w:t>skewed</w:t>
      </w:r>
      <w:r>
        <w:rPr>
          <w:spacing w:val="-1"/>
          <w:sz w:val="20"/>
        </w:rPr>
        <w:t xml:space="preserve"> </w:t>
      </w:r>
      <w:r>
        <w:rPr>
          <w:sz w:val="20"/>
        </w:rPr>
        <w:t>by</w:t>
      </w:r>
      <w:r>
        <w:rPr>
          <w:spacing w:val="-6"/>
          <w:sz w:val="20"/>
        </w:rPr>
        <w:t xml:space="preserve"> </w:t>
      </w:r>
      <w:r>
        <w:rPr>
          <w:sz w:val="20"/>
        </w:rPr>
        <w:t>the</w:t>
      </w:r>
      <w:r>
        <w:rPr>
          <w:spacing w:val="-2"/>
          <w:sz w:val="20"/>
        </w:rPr>
        <w:t xml:space="preserve"> </w:t>
      </w:r>
      <w:r>
        <w:rPr>
          <w:sz w:val="20"/>
        </w:rPr>
        <w:t>effect</w:t>
      </w:r>
      <w:r>
        <w:rPr>
          <w:spacing w:val="-2"/>
          <w:sz w:val="20"/>
        </w:rPr>
        <w:t xml:space="preserve"> </w:t>
      </w:r>
      <w:r>
        <w:rPr>
          <w:sz w:val="20"/>
        </w:rPr>
        <w:t>of</w:t>
      </w:r>
      <w:r>
        <w:rPr>
          <w:spacing w:val="-4"/>
          <w:sz w:val="20"/>
        </w:rPr>
        <w:t xml:space="preserve"> </w:t>
      </w:r>
      <w:r>
        <w:rPr>
          <w:sz w:val="20"/>
        </w:rPr>
        <w:t>the</w:t>
      </w:r>
      <w:r>
        <w:rPr>
          <w:spacing w:val="-2"/>
          <w:sz w:val="20"/>
        </w:rPr>
        <w:t xml:space="preserve"> </w:t>
      </w:r>
      <w:r>
        <w:rPr>
          <w:sz w:val="20"/>
        </w:rPr>
        <w:t>COVID-19</w:t>
      </w:r>
      <w:r>
        <w:rPr>
          <w:spacing w:val="-47"/>
          <w:sz w:val="20"/>
        </w:rPr>
        <w:t xml:space="preserve"> </w:t>
      </w:r>
      <w:r>
        <w:rPr>
          <w:sz w:val="20"/>
        </w:rPr>
        <w:t>pandemic. While COVID-19 has resulted in a short-term reduction in utilization, and while the impact on the</w:t>
      </w:r>
      <w:r>
        <w:rPr>
          <w:spacing w:val="1"/>
          <w:sz w:val="20"/>
        </w:rPr>
        <w:t xml:space="preserve"> </w:t>
      </w:r>
      <w:r>
        <w:rPr>
          <w:sz w:val="20"/>
        </w:rPr>
        <w:t>Commonwealth’s</w:t>
      </w:r>
      <w:r>
        <w:rPr>
          <w:spacing w:val="-5"/>
          <w:sz w:val="20"/>
        </w:rPr>
        <w:t xml:space="preserve"> </w:t>
      </w:r>
      <w:r>
        <w:rPr>
          <w:sz w:val="20"/>
        </w:rPr>
        <w:t>children</w:t>
      </w:r>
      <w:r>
        <w:rPr>
          <w:spacing w:val="-4"/>
          <w:sz w:val="20"/>
        </w:rPr>
        <w:t xml:space="preserve"> </w:t>
      </w:r>
      <w:r>
        <w:rPr>
          <w:sz w:val="20"/>
        </w:rPr>
        <w:t>is</w:t>
      </w:r>
      <w:r>
        <w:rPr>
          <w:spacing w:val="-1"/>
          <w:sz w:val="20"/>
        </w:rPr>
        <w:t xml:space="preserve"> </w:t>
      </w:r>
      <w:r>
        <w:rPr>
          <w:sz w:val="20"/>
        </w:rPr>
        <w:t>not</w:t>
      </w:r>
      <w:r>
        <w:rPr>
          <w:spacing w:val="-1"/>
          <w:sz w:val="20"/>
        </w:rPr>
        <w:t xml:space="preserve"> </w:t>
      </w:r>
      <w:r>
        <w:rPr>
          <w:sz w:val="20"/>
        </w:rPr>
        <w:t>yet</w:t>
      </w:r>
      <w:r>
        <w:rPr>
          <w:spacing w:val="-1"/>
          <w:sz w:val="20"/>
        </w:rPr>
        <w:t xml:space="preserve"> </w:t>
      </w:r>
      <w:r>
        <w:rPr>
          <w:sz w:val="20"/>
        </w:rPr>
        <w:t>known,</w:t>
      </w:r>
      <w:r>
        <w:rPr>
          <w:spacing w:val="-3"/>
          <w:sz w:val="20"/>
        </w:rPr>
        <w:t xml:space="preserve"> </w:t>
      </w:r>
      <w:r>
        <w:rPr>
          <w:sz w:val="20"/>
        </w:rPr>
        <w:t>the</w:t>
      </w:r>
      <w:r>
        <w:rPr>
          <w:spacing w:val="-3"/>
          <w:sz w:val="20"/>
        </w:rPr>
        <w:t xml:space="preserve"> </w:t>
      </w:r>
      <w:r>
        <w:rPr>
          <w:sz w:val="20"/>
        </w:rPr>
        <w:t>Hospital</w:t>
      </w:r>
      <w:r>
        <w:rPr>
          <w:spacing w:val="-3"/>
          <w:sz w:val="20"/>
        </w:rPr>
        <w:t xml:space="preserve"> </w:t>
      </w:r>
      <w:r>
        <w:rPr>
          <w:sz w:val="20"/>
        </w:rPr>
        <w:t>expects</w:t>
      </w:r>
      <w:r>
        <w:rPr>
          <w:spacing w:val="-4"/>
          <w:sz w:val="20"/>
        </w:rPr>
        <w:t xml:space="preserve"> </w:t>
      </w:r>
      <w:r>
        <w:rPr>
          <w:sz w:val="20"/>
        </w:rPr>
        <w:t>utilization</w:t>
      </w:r>
      <w:r>
        <w:rPr>
          <w:spacing w:val="-2"/>
          <w:sz w:val="20"/>
        </w:rPr>
        <w:t xml:space="preserve"> </w:t>
      </w:r>
      <w:r>
        <w:rPr>
          <w:sz w:val="20"/>
        </w:rPr>
        <w:t>will</w:t>
      </w:r>
      <w:r>
        <w:rPr>
          <w:spacing w:val="-3"/>
          <w:sz w:val="20"/>
        </w:rPr>
        <w:t xml:space="preserve"> </w:t>
      </w:r>
      <w:r>
        <w:rPr>
          <w:sz w:val="20"/>
        </w:rPr>
        <w:t>return</w:t>
      </w:r>
      <w:r>
        <w:rPr>
          <w:spacing w:val="-4"/>
          <w:sz w:val="20"/>
        </w:rPr>
        <w:t xml:space="preserve"> </w:t>
      </w:r>
      <w:r>
        <w:rPr>
          <w:sz w:val="20"/>
        </w:rPr>
        <w:t>to pre-pandemic</w:t>
      </w:r>
      <w:r>
        <w:rPr>
          <w:spacing w:val="-3"/>
          <w:sz w:val="20"/>
        </w:rPr>
        <w:t xml:space="preserve"> </w:t>
      </w:r>
      <w:r>
        <w:rPr>
          <w:sz w:val="20"/>
        </w:rPr>
        <w:t>levels.</w:t>
      </w:r>
    </w:p>
    <w:p w:rsidR="00D862F2" w:rsidRDefault="00884FE4">
      <w:pPr>
        <w:ind w:left="220" w:right="353" w:hanging="1"/>
        <w:rPr>
          <w:sz w:val="20"/>
        </w:rPr>
      </w:pPr>
      <w:bookmarkStart w:id="5" w:name="_bookmark4"/>
      <w:bookmarkEnd w:id="5"/>
      <w:r>
        <w:rPr>
          <w:sz w:val="20"/>
          <w:vertAlign w:val="superscript"/>
        </w:rPr>
        <w:t>5</w:t>
      </w:r>
      <w:r>
        <w:rPr>
          <w:sz w:val="20"/>
        </w:rPr>
        <w:t xml:space="preserve"> Unless otherwise noted, the Hospital’s records are the source of financial, utilization, and patient panel data in this</w:t>
      </w:r>
      <w:r>
        <w:rPr>
          <w:spacing w:val="-47"/>
          <w:sz w:val="20"/>
        </w:rPr>
        <w:t xml:space="preserve"> </w:t>
      </w:r>
      <w:r>
        <w:rPr>
          <w:sz w:val="20"/>
        </w:rPr>
        <w:t>Application.</w:t>
      </w:r>
    </w:p>
    <w:p w:rsidR="00D862F2" w:rsidRDefault="00884FE4">
      <w:pPr>
        <w:ind w:left="220" w:right="3352" w:hanging="1"/>
        <w:rPr>
          <w:sz w:val="20"/>
        </w:rPr>
      </w:pPr>
      <w:bookmarkStart w:id="6" w:name="_bookmark5"/>
      <w:bookmarkEnd w:id="6"/>
      <w:r>
        <w:rPr>
          <w:sz w:val="20"/>
          <w:vertAlign w:val="superscript"/>
        </w:rPr>
        <w:t>6</w:t>
      </w:r>
      <w:r>
        <w:rPr>
          <w:sz w:val="20"/>
        </w:rPr>
        <w:t xml:space="preserve"> </w:t>
      </w:r>
      <w:r>
        <w:rPr>
          <w:i/>
          <w:sz w:val="20"/>
        </w:rPr>
        <w:t xml:space="preserve">See </w:t>
      </w:r>
      <w:r>
        <w:rPr>
          <w:sz w:val="20"/>
        </w:rPr>
        <w:t>Massachusetts Executive Office of Health and Human Services Regions,</w:t>
      </w:r>
      <w:r>
        <w:rPr>
          <w:spacing w:val="-47"/>
          <w:sz w:val="20"/>
        </w:rPr>
        <w:t xml:space="preserve"> </w:t>
      </w:r>
      <w:hyperlink r:id="rId9">
        <w:r>
          <w:rPr>
            <w:color w:val="0000FF"/>
            <w:sz w:val="20"/>
            <w:u w:val="single" w:color="0000FF"/>
          </w:rPr>
          <w:t>https://matracking.ehs.state.ma.us/eohhs_regions/eohhs_regions.html</w:t>
        </w:r>
      </w:hyperlink>
    </w:p>
    <w:p w:rsidR="00D862F2" w:rsidRDefault="00884FE4">
      <w:pPr>
        <w:ind w:left="220" w:hanging="1"/>
        <w:rPr>
          <w:sz w:val="20"/>
        </w:rPr>
      </w:pPr>
      <w:bookmarkStart w:id="7" w:name="_bookmark6"/>
      <w:bookmarkEnd w:id="7"/>
      <w:r>
        <w:rPr>
          <w:sz w:val="20"/>
          <w:vertAlign w:val="superscript"/>
        </w:rPr>
        <w:t>7</w:t>
      </w:r>
      <w:r>
        <w:rPr>
          <w:sz w:val="20"/>
        </w:rPr>
        <w:t xml:space="preserve"> </w:t>
      </w:r>
      <w:r>
        <w:rPr>
          <w:i/>
          <w:sz w:val="20"/>
        </w:rPr>
        <w:t xml:space="preserve">See </w:t>
      </w:r>
      <w:r>
        <w:rPr>
          <w:sz w:val="20"/>
        </w:rPr>
        <w:t>Pediatric Subspecialty Shortages Fact Sheets, American Academy of Pediatrics,</w:t>
      </w:r>
      <w:r>
        <w:rPr>
          <w:spacing w:val="1"/>
          <w:sz w:val="20"/>
        </w:rPr>
        <w:t xml:space="preserve"> </w:t>
      </w:r>
      <w:hyperlink r:id="rId10">
        <w:r>
          <w:rPr>
            <w:color w:val="0000FF"/>
            <w:spacing w:val="-1"/>
            <w:sz w:val="20"/>
            <w:u w:val="single" w:color="0000FF"/>
          </w:rPr>
          <w:t>https://downloads.aap.org/AAP/PDF/Advocacy/Massachusetts_SubspecialtyFactSheet.pdf</w:t>
        </w:r>
      </w:hyperlink>
    </w:p>
    <w:p w:rsidR="00D862F2" w:rsidRDefault="00D862F2">
      <w:pPr>
        <w:rPr>
          <w:sz w:val="20"/>
        </w:rPr>
        <w:sectPr w:rsidR="00D862F2">
          <w:pgSz w:w="12240" w:h="15840"/>
          <w:pgMar w:top="1340" w:right="1160" w:bottom="980" w:left="1220" w:header="722" w:footer="794" w:gutter="0"/>
          <w:cols w:space="720"/>
        </w:sectPr>
      </w:pPr>
    </w:p>
    <w:p w:rsidR="00D862F2" w:rsidRDefault="00884FE4">
      <w:pPr>
        <w:pStyle w:val="BodyText"/>
        <w:spacing w:before="88"/>
        <w:ind w:left="220" w:right="274"/>
        <w:jc w:val="both"/>
      </w:pPr>
      <w:r>
        <w:lastRenderedPageBreak/>
        <w:t xml:space="preserve">specialties accounted for approximately a third of visits in 2019. </w:t>
      </w:r>
      <w:r>
        <w:rPr>
          <w:i/>
        </w:rPr>
        <w:t xml:space="preserve">See </w:t>
      </w:r>
      <w:r>
        <w:t>Table 4. While there is</w:t>
      </w:r>
      <w:r>
        <w:rPr>
          <w:spacing w:val="1"/>
        </w:rPr>
        <w:t xml:space="preserve"> </w:t>
      </w:r>
      <w:r>
        <w:t>limited data on the disease burden among Massachusetts pediatric patients, this data is reflective</w:t>
      </w:r>
      <w:r>
        <w:rPr>
          <w:spacing w:val="1"/>
        </w:rPr>
        <w:t xml:space="preserve"> </w:t>
      </w:r>
      <w:r>
        <w:t>of the prevalence of disease. Further, patients residing in HSA 4, where the Proposed Project is</w:t>
      </w:r>
      <w:r>
        <w:rPr>
          <w:spacing w:val="1"/>
        </w:rPr>
        <w:t xml:space="preserve"> </w:t>
      </w:r>
      <w:r>
        <w:t xml:space="preserve">located, accounted for a third of visits in 2019 for ambulatory surgery and MRIs. </w:t>
      </w:r>
      <w:r>
        <w:rPr>
          <w:i/>
        </w:rPr>
        <w:t xml:space="preserve">See </w:t>
      </w:r>
      <w:r>
        <w:t>Table 3.</w:t>
      </w:r>
      <w:r>
        <w:rPr>
          <w:spacing w:val="1"/>
        </w:rPr>
        <w:t xml:space="preserve"> </w:t>
      </w:r>
      <w:r>
        <w:t>The</w:t>
      </w:r>
      <w:r>
        <w:rPr>
          <w:spacing w:val="1"/>
        </w:rPr>
        <w:t xml:space="preserve"> </w:t>
      </w:r>
      <w:r>
        <w:t>Proposed</w:t>
      </w:r>
      <w:r>
        <w:rPr>
          <w:spacing w:val="1"/>
        </w:rPr>
        <w:t xml:space="preserve"> </w:t>
      </w:r>
      <w:r>
        <w:t>Project</w:t>
      </w:r>
      <w:r>
        <w:rPr>
          <w:spacing w:val="1"/>
        </w:rPr>
        <w:t xml:space="preserve"> </w:t>
      </w:r>
      <w:r>
        <w:t>will</w:t>
      </w:r>
      <w:r>
        <w:rPr>
          <w:spacing w:val="1"/>
        </w:rPr>
        <w:t xml:space="preserve"> </w:t>
      </w:r>
      <w:r>
        <w:t>make</w:t>
      </w:r>
      <w:r>
        <w:rPr>
          <w:spacing w:val="1"/>
        </w:rPr>
        <w:t xml:space="preserve"> </w:t>
      </w:r>
      <w:r>
        <w:t>such</w:t>
      </w:r>
      <w:r>
        <w:rPr>
          <w:spacing w:val="1"/>
        </w:rPr>
        <w:t xml:space="preserve"> </w:t>
      </w:r>
      <w:r>
        <w:t>advanced</w:t>
      </w:r>
      <w:r>
        <w:rPr>
          <w:spacing w:val="1"/>
        </w:rPr>
        <w:t xml:space="preserve"> </w:t>
      </w:r>
      <w:r>
        <w:t>pediatric</w:t>
      </w:r>
      <w:r>
        <w:rPr>
          <w:spacing w:val="1"/>
        </w:rPr>
        <w:t xml:space="preserve"> </w:t>
      </w:r>
      <w:r>
        <w:t>specialty care</w:t>
      </w:r>
      <w:r>
        <w:rPr>
          <w:spacing w:val="1"/>
        </w:rPr>
        <w:t xml:space="preserve"> </w:t>
      </w:r>
      <w:r>
        <w:t>more</w:t>
      </w:r>
      <w:r>
        <w:rPr>
          <w:spacing w:val="1"/>
        </w:rPr>
        <w:t xml:space="preserve"> </w:t>
      </w:r>
      <w:r>
        <w:t>accessible</w:t>
      </w:r>
      <w:r>
        <w:rPr>
          <w:spacing w:val="1"/>
        </w:rPr>
        <w:t xml:space="preserve"> </w:t>
      </w:r>
      <w:r>
        <w:t>to</w:t>
      </w:r>
      <w:r>
        <w:rPr>
          <w:spacing w:val="-57"/>
        </w:rPr>
        <w:t xml:space="preserve"> </w:t>
      </w:r>
      <w:r>
        <w:t>medically complex pediatric patients and their families, who would otherwise need to travel to</w:t>
      </w:r>
      <w:r>
        <w:rPr>
          <w:spacing w:val="1"/>
        </w:rPr>
        <w:t xml:space="preserve"> </w:t>
      </w:r>
      <w:r>
        <w:t>the Longwood Medical</w:t>
      </w:r>
      <w:r>
        <w:rPr>
          <w:spacing w:val="2"/>
        </w:rPr>
        <w:t xml:space="preserve"> </w:t>
      </w:r>
      <w:r>
        <w:t>Area</w:t>
      </w:r>
      <w:r>
        <w:rPr>
          <w:spacing w:val="1"/>
        </w:rPr>
        <w:t xml:space="preserve"> </w:t>
      </w:r>
      <w:r>
        <w:t>for</w:t>
      </w:r>
      <w:r>
        <w:rPr>
          <w:spacing w:val="-1"/>
        </w:rPr>
        <w:t xml:space="preserve"> </w:t>
      </w:r>
      <w:r>
        <w:t>ambulatory</w:t>
      </w:r>
      <w:r>
        <w:rPr>
          <w:spacing w:val="-5"/>
        </w:rPr>
        <w:t xml:space="preserve"> </w:t>
      </w:r>
      <w:r>
        <w:t>services.</w:t>
      </w:r>
    </w:p>
    <w:p w:rsidR="00D862F2" w:rsidRDefault="00D862F2">
      <w:pPr>
        <w:pStyle w:val="BodyText"/>
        <w:spacing w:before="7"/>
      </w:pPr>
    </w:p>
    <w:p w:rsidR="00D862F2" w:rsidRDefault="00337703">
      <w:pPr>
        <w:spacing w:line="480" w:lineRule="auto"/>
        <w:ind w:left="3176" w:right="2998" w:hanging="221"/>
        <w:rPr>
          <w:rFonts w:ascii="Calibri" w:hAnsi="Calibri"/>
          <w:b/>
          <w:sz w:val="20"/>
        </w:rPr>
      </w:pPr>
      <w:r>
        <w:rPr>
          <w:noProof/>
        </w:rPr>
        <mc:AlternateContent>
          <mc:Choice Requires="wps">
            <w:drawing>
              <wp:anchor distT="0" distB="0" distL="114300" distR="114300" simplePos="0" relativeHeight="15729664" behindDoc="0" locked="0" layoutInCell="1" allowOverlap="1">
                <wp:simplePos x="0" y="0"/>
                <wp:positionH relativeFrom="page">
                  <wp:posOffset>914400</wp:posOffset>
                </wp:positionH>
                <wp:positionV relativeFrom="paragraph">
                  <wp:posOffset>465455</wp:posOffset>
                </wp:positionV>
                <wp:extent cx="5946775" cy="4772025"/>
                <wp:effectExtent l="0" t="0" r="0" b="0"/>
                <wp:wrapNone/>
                <wp:docPr id="2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477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1E0" w:firstRow="1" w:lastRow="1" w:firstColumn="1" w:lastColumn="1" w:noHBand="0" w:noVBand="0"/>
                            </w:tblPr>
                            <w:tblGrid>
                              <w:gridCol w:w="2359"/>
                              <w:gridCol w:w="1008"/>
                              <w:gridCol w:w="691"/>
                              <w:gridCol w:w="1085"/>
                              <w:gridCol w:w="722"/>
                              <w:gridCol w:w="1061"/>
                              <w:gridCol w:w="768"/>
                              <w:gridCol w:w="977"/>
                              <w:gridCol w:w="679"/>
                            </w:tblGrid>
                            <w:tr w:rsidR="00D862F2">
                              <w:trPr>
                                <w:trHeight w:val="245"/>
                              </w:trPr>
                              <w:tc>
                                <w:tcPr>
                                  <w:tcW w:w="2359" w:type="dxa"/>
                                  <w:vMerge w:val="restart"/>
                                  <w:tcBorders>
                                    <w:top w:val="single" w:sz="4" w:space="0" w:color="000000"/>
                                    <w:left w:val="single" w:sz="4" w:space="0" w:color="000000"/>
                                    <w:bottom w:val="single" w:sz="4" w:space="0" w:color="000000"/>
                                    <w:right w:val="single" w:sz="4" w:space="0" w:color="000000"/>
                                  </w:tcBorders>
                                  <w:shd w:val="clear" w:color="auto" w:fill="2E5395"/>
                                </w:tcPr>
                                <w:p w:rsidR="00D862F2" w:rsidRDefault="00D862F2">
                                  <w:pPr>
                                    <w:pStyle w:val="TableParagraph"/>
                                    <w:jc w:val="left"/>
                                    <w:rPr>
                                      <w:rFonts w:ascii="Times New Roman"/>
                                      <w:sz w:val="18"/>
                                    </w:rPr>
                                  </w:pPr>
                                </w:p>
                              </w:tc>
                              <w:tc>
                                <w:tcPr>
                                  <w:tcW w:w="1699" w:type="dxa"/>
                                  <w:gridSpan w:val="2"/>
                                  <w:tcBorders>
                                    <w:top w:val="single" w:sz="4" w:space="0" w:color="000000"/>
                                    <w:left w:val="single" w:sz="4" w:space="0" w:color="000000"/>
                                    <w:right w:val="single" w:sz="4" w:space="0" w:color="000000"/>
                                  </w:tcBorders>
                                  <w:shd w:val="clear" w:color="auto" w:fill="2E5395"/>
                                </w:tcPr>
                                <w:p w:rsidR="00D862F2" w:rsidRDefault="00884FE4">
                                  <w:pPr>
                                    <w:pStyle w:val="TableParagraph"/>
                                    <w:spacing w:line="219" w:lineRule="exact"/>
                                    <w:ind w:left="648" w:right="641"/>
                                    <w:jc w:val="center"/>
                                    <w:rPr>
                                      <w:b/>
                                      <w:sz w:val="18"/>
                                    </w:rPr>
                                  </w:pPr>
                                  <w:r>
                                    <w:rPr>
                                      <w:b/>
                                      <w:color w:val="FFFFFF"/>
                                      <w:sz w:val="18"/>
                                    </w:rPr>
                                    <w:t>FY17</w:t>
                                  </w:r>
                                </w:p>
                              </w:tc>
                              <w:tc>
                                <w:tcPr>
                                  <w:tcW w:w="1085" w:type="dxa"/>
                                  <w:tcBorders>
                                    <w:top w:val="single" w:sz="4" w:space="0" w:color="000000"/>
                                    <w:left w:val="single" w:sz="4" w:space="0" w:color="000000"/>
                                  </w:tcBorders>
                                  <w:shd w:val="clear" w:color="auto" w:fill="2E5395"/>
                                </w:tcPr>
                                <w:p w:rsidR="00D862F2" w:rsidRDefault="00884FE4">
                                  <w:pPr>
                                    <w:pStyle w:val="TableParagraph"/>
                                    <w:spacing w:line="219" w:lineRule="exact"/>
                                    <w:ind w:right="-15"/>
                                    <w:rPr>
                                      <w:b/>
                                      <w:sz w:val="18"/>
                                    </w:rPr>
                                  </w:pPr>
                                  <w:r>
                                    <w:rPr>
                                      <w:b/>
                                      <w:color w:val="FFFFFF"/>
                                      <w:sz w:val="18"/>
                                    </w:rPr>
                                    <w:t>FY18</w:t>
                                  </w:r>
                                </w:p>
                              </w:tc>
                              <w:tc>
                                <w:tcPr>
                                  <w:tcW w:w="722" w:type="dxa"/>
                                  <w:tcBorders>
                                    <w:top w:val="single" w:sz="4" w:space="0" w:color="000000"/>
                                    <w:right w:val="single" w:sz="4" w:space="0" w:color="000000"/>
                                  </w:tcBorders>
                                  <w:shd w:val="clear" w:color="auto" w:fill="2E5395"/>
                                </w:tcPr>
                                <w:p w:rsidR="00D862F2" w:rsidRDefault="00D862F2">
                                  <w:pPr>
                                    <w:pStyle w:val="TableParagraph"/>
                                    <w:jc w:val="left"/>
                                    <w:rPr>
                                      <w:rFonts w:ascii="Times New Roman"/>
                                      <w:sz w:val="16"/>
                                    </w:rPr>
                                  </w:pPr>
                                </w:p>
                              </w:tc>
                              <w:tc>
                                <w:tcPr>
                                  <w:tcW w:w="1829" w:type="dxa"/>
                                  <w:gridSpan w:val="2"/>
                                  <w:tcBorders>
                                    <w:top w:val="single" w:sz="4" w:space="0" w:color="000000"/>
                                    <w:left w:val="single" w:sz="4" w:space="0" w:color="000000"/>
                                    <w:right w:val="single" w:sz="4" w:space="0" w:color="000000"/>
                                  </w:tcBorders>
                                  <w:shd w:val="clear" w:color="auto" w:fill="2E5395"/>
                                </w:tcPr>
                                <w:p w:rsidR="00D862F2" w:rsidRDefault="00884FE4">
                                  <w:pPr>
                                    <w:pStyle w:val="TableParagraph"/>
                                    <w:spacing w:line="219" w:lineRule="exact"/>
                                    <w:ind w:left="714" w:right="706"/>
                                    <w:jc w:val="center"/>
                                    <w:rPr>
                                      <w:b/>
                                      <w:sz w:val="18"/>
                                    </w:rPr>
                                  </w:pPr>
                                  <w:r>
                                    <w:rPr>
                                      <w:b/>
                                      <w:color w:val="FFFFFF"/>
                                      <w:sz w:val="18"/>
                                    </w:rPr>
                                    <w:t>FY19</w:t>
                                  </w:r>
                                </w:p>
                              </w:tc>
                              <w:tc>
                                <w:tcPr>
                                  <w:tcW w:w="1656" w:type="dxa"/>
                                  <w:gridSpan w:val="2"/>
                                  <w:tcBorders>
                                    <w:top w:val="single" w:sz="4" w:space="0" w:color="000000"/>
                                    <w:left w:val="single" w:sz="4" w:space="0" w:color="000000"/>
                                    <w:right w:val="single" w:sz="4" w:space="0" w:color="000000"/>
                                  </w:tcBorders>
                                  <w:shd w:val="clear" w:color="auto" w:fill="2E5395"/>
                                </w:tcPr>
                                <w:p w:rsidR="00D862F2" w:rsidRDefault="00884FE4">
                                  <w:pPr>
                                    <w:pStyle w:val="TableParagraph"/>
                                    <w:spacing w:line="219" w:lineRule="exact"/>
                                    <w:ind w:left="627" w:right="620"/>
                                    <w:jc w:val="center"/>
                                    <w:rPr>
                                      <w:b/>
                                      <w:sz w:val="18"/>
                                    </w:rPr>
                                  </w:pPr>
                                  <w:r>
                                    <w:rPr>
                                      <w:b/>
                                      <w:color w:val="FFFFFF"/>
                                      <w:sz w:val="18"/>
                                    </w:rPr>
                                    <w:t>FY20</w:t>
                                  </w:r>
                                </w:p>
                              </w:tc>
                            </w:tr>
                            <w:tr w:rsidR="00D862F2">
                              <w:trPr>
                                <w:trHeight w:val="253"/>
                              </w:trPr>
                              <w:tc>
                                <w:tcPr>
                                  <w:tcW w:w="2359" w:type="dxa"/>
                                  <w:vMerge/>
                                  <w:tcBorders>
                                    <w:top w:val="nil"/>
                                    <w:left w:val="single" w:sz="4" w:space="0" w:color="000000"/>
                                    <w:bottom w:val="single" w:sz="4" w:space="0" w:color="000000"/>
                                    <w:right w:val="single" w:sz="4" w:space="0" w:color="000000"/>
                                  </w:tcBorders>
                                  <w:shd w:val="clear" w:color="auto" w:fill="2E5395"/>
                                </w:tcPr>
                                <w:p w:rsidR="00D862F2" w:rsidRDefault="00D862F2">
                                  <w:pPr>
                                    <w:rPr>
                                      <w:sz w:val="2"/>
                                      <w:szCs w:val="2"/>
                                    </w:rPr>
                                  </w:pPr>
                                </w:p>
                              </w:tc>
                              <w:tc>
                                <w:tcPr>
                                  <w:tcW w:w="1008" w:type="dxa"/>
                                  <w:tcBorders>
                                    <w:left w:val="single" w:sz="4" w:space="0" w:color="000000"/>
                                    <w:bottom w:val="single" w:sz="4" w:space="0" w:color="000000"/>
                                  </w:tcBorders>
                                  <w:shd w:val="clear" w:color="auto" w:fill="2E5395"/>
                                </w:tcPr>
                                <w:p w:rsidR="00D862F2" w:rsidRDefault="00884FE4">
                                  <w:pPr>
                                    <w:pStyle w:val="TableParagraph"/>
                                    <w:spacing w:line="213" w:lineRule="exact"/>
                                    <w:ind w:right="120"/>
                                    <w:rPr>
                                      <w:b/>
                                      <w:sz w:val="18"/>
                                    </w:rPr>
                                  </w:pPr>
                                  <w:r>
                                    <w:rPr>
                                      <w:b/>
                                      <w:color w:val="FFFFFF"/>
                                      <w:sz w:val="18"/>
                                    </w:rPr>
                                    <w:t>Count</w:t>
                                  </w:r>
                                </w:p>
                              </w:tc>
                              <w:tc>
                                <w:tcPr>
                                  <w:tcW w:w="691" w:type="dxa"/>
                                  <w:tcBorders>
                                    <w:bottom w:val="single" w:sz="4" w:space="0" w:color="000000"/>
                                    <w:right w:val="single" w:sz="4" w:space="0" w:color="000000"/>
                                  </w:tcBorders>
                                  <w:shd w:val="clear" w:color="auto" w:fill="2E5395"/>
                                </w:tcPr>
                                <w:p w:rsidR="00D862F2" w:rsidRDefault="00884FE4">
                                  <w:pPr>
                                    <w:pStyle w:val="TableParagraph"/>
                                    <w:spacing w:line="213" w:lineRule="exact"/>
                                    <w:ind w:right="106"/>
                                    <w:rPr>
                                      <w:b/>
                                      <w:sz w:val="18"/>
                                    </w:rPr>
                                  </w:pPr>
                                  <w:r>
                                    <w:rPr>
                                      <w:b/>
                                      <w:color w:val="FFFFFF"/>
                                      <w:sz w:val="18"/>
                                    </w:rPr>
                                    <w:t>%</w:t>
                                  </w:r>
                                </w:p>
                              </w:tc>
                              <w:tc>
                                <w:tcPr>
                                  <w:tcW w:w="1085" w:type="dxa"/>
                                  <w:tcBorders>
                                    <w:left w:val="single" w:sz="4" w:space="0" w:color="000000"/>
                                    <w:bottom w:val="single" w:sz="4" w:space="0" w:color="000000"/>
                                  </w:tcBorders>
                                  <w:shd w:val="clear" w:color="auto" w:fill="2E5395"/>
                                </w:tcPr>
                                <w:p w:rsidR="00D862F2" w:rsidRDefault="00884FE4">
                                  <w:pPr>
                                    <w:pStyle w:val="TableParagraph"/>
                                    <w:spacing w:line="213" w:lineRule="exact"/>
                                    <w:ind w:left="477"/>
                                    <w:jc w:val="left"/>
                                    <w:rPr>
                                      <w:b/>
                                      <w:sz w:val="18"/>
                                    </w:rPr>
                                  </w:pPr>
                                  <w:r>
                                    <w:rPr>
                                      <w:b/>
                                      <w:color w:val="FFFFFF"/>
                                      <w:sz w:val="18"/>
                                    </w:rPr>
                                    <w:t>Count</w:t>
                                  </w:r>
                                </w:p>
                              </w:tc>
                              <w:tc>
                                <w:tcPr>
                                  <w:tcW w:w="722" w:type="dxa"/>
                                  <w:tcBorders>
                                    <w:bottom w:val="single" w:sz="4" w:space="0" w:color="000000"/>
                                    <w:right w:val="single" w:sz="4" w:space="0" w:color="000000"/>
                                  </w:tcBorders>
                                  <w:shd w:val="clear" w:color="auto" w:fill="2E5395"/>
                                </w:tcPr>
                                <w:p w:rsidR="00D862F2" w:rsidRDefault="00884FE4">
                                  <w:pPr>
                                    <w:pStyle w:val="TableParagraph"/>
                                    <w:spacing w:line="213" w:lineRule="exact"/>
                                    <w:ind w:right="103"/>
                                    <w:rPr>
                                      <w:b/>
                                      <w:sz w:val="18"/>
                                    </w:rPr>
                                  </w:pPr>
                                  <w:r>
                                    <w:rPr>
                                      <w:b/>
                                      <w:color w:val="FFFFFF"/>
                                      <w:sz w:val="18"/>
                                    </w:rPr>
                                    <w:t>%</w:t>
                                  </w:r>
                                </w:p>
                              </w:tc>
                              <w:tc>
                                <w:tcPr>
                                  <w:tcW w:w="1061" w:type="dxa"/>
                                  <w:tcBorders>
                                    <w:left w:val="single" w:sz="4" w:space="0" w:color="000000"/>
                                    <w:bottom w:val="single" w:sz="4" w:space="0" w:color="000000"/>
                                  </w:tcBorders>
                                  <w:shd w:val="clear" w:color="auto" w:fill="2E5395"/>
                                </w:tcPr>
                                <w:p w:rsidR="00D862F2" w:rsidRDefault="00884FE4">
                                  <w:pPr>
                                    <w:pStyle w:val="TableParagraph"/>
                                    <w:spacing w:line="213" w:lineRule="exact"/>
                                    <w:ind w:right="201"/>
                                    <w:rPr>
                                      <w:b/>
                                      <w:sz w:val="18"/>
                                    </w:rPr>
                                  </w:pPr>
                                  <w:r>
                                    <w:rPr>
                                      <w:b/>
                                      <w:color w:val="FFFFFF"/>
                                      <w:sz w:val="18"/>
                                    </w:rPr>
                                    <w:t>Count</w:t>
                                  </w:r>
                                </w:p>
                              </w:tc>
                              <w:tc>
                                <w:tcPr>
                                  <w:tcW w:w="768" w:type="dxa"/>
                                  <w:tcBorders>
                                    <w:bottom w:val="single" w:sz="4" w:space="0" w:color="000000"/>
                                    <w:right w:val="single" w:sz="4" w:space="0" w:color="000000"/>
                                  </w:tcBorders>
                                  <w:shd w:val="clear" w:color="auto" w:fill="2E5395"/>
                                </w:tcPr>
                                <w:p w:rsidR="00D862F2" w:rsidRDefault="00884FE4">
                                  <w:pPr>
                                    <w:pStyle w:val="TableParagraph"/>
                                    <w:spacing w:line="213" w:lineRule="exact"/>
                                    <w:ind w:right="101"/>
                                    <w:rPr>
                                      <w:b/>
                                      <w:sz w:val="18"/>
                                    </w:rPr>
                                  </w:pPr>
                                  <w:r>
                                    <w:rPr>
                                      <w:b/>
                                      <w:color w:val="FFFFFF"/>
                                      <w:sz w:val="18"/>
                                    </w:rPr>
                                    <w:t>%</w:t>
                                  </w:r>
                                </w:p>
                              </w:tc>
                              <w:tc>
                                <w:tcPr>
                                  <w:tcW w:w="977" w:type="dxa"/>
                                  <w:tcBorders>
                                    <w:left w:val="single" w:sz="4" w:space="0" w:color="000000"/>
                                    <w:bottom w:val="single" w:sz="4" w:space="0" w:color="000000"/>
                                  </w:tcBorders>
                                  <w:shd w:val="clear" w:color="auto" w:fill="2E5395"/>
                                </w:tcPr>
                                <w:p w:rsidR="00D862F2" w:rsidRDefault="00884FE4">
                                  <w:pPr>
                                    <w:pStyle w:val="TableParagraph"/>
                                    <w:spacing w:line="213" w:lineRule="exact"/>
                                    <w:ind w:right="110"/>
                                    <w:rPr>
                                      <w:b/>
                                      <w:sz w:val="18"/>
                                    </w:rPr>
                                  </w:pPr>
                                  <w:r>
                                    <w:rPr>
                                      <w:b/>
                                      <w:color w:val="FFFFFF"/>
                                      <w:sz w:val="18"/>
                                    </w:rPr>
                                    <w:t>Count</w:t>
                                  </w:r>
                                </w:p>
                              </w:tc>
                              <w:tc>
                                <w:tcPr>
                                  <w:tcW w:w="679" w:type="dxa"/>
                                  <w:tcBorders>
                                    <w:bottom w:val="single" w:sz="4" w:space="0" w:color="000000"/>
                                    <w:right w:val="single" w:sz="4" w:space="0" w:color="000000"/>
                                  </w:tcBorders>
                                  <w:shd w:val="clear" w:color="auto" w:fill="2E5395"/>
                                </w:tcPr>
                                <w:p w:rsidR="00D862F2" w:rsidRDefault="00884FE4">
                                  <w:pPr>
                                    <w:pStyle w:val="TableParagraph"/>
                                    <w:spacing w:line="213" w:lineRule="exact"/>
                                    <w:ind w:right="103"/>
                                    <w:rPr>
                                      <w:b/>
                                      <w:sz w:val="18"/>
                                    </w:rPr>
                                  </w:pPr>
                                  <w:r>
                                    <w:rPr>
                                      <w:b/>
                                      <w:color w:val="FFFFFF"/>
                                      <w:sz w:val="18"/>
                                    </w:rPr>
                                    <w:t>%</w:t>
                                  </w:r>
                                </w:p>
                              </w:tc>
                            </w:tr>
                            <w:tr w:rsidR="00D862F2">
                              <w:trPr>
                                <w:trHeight w:val="249"/>
                              </w:trPr>
                              <w:tc>
                                <w:tcPr>
                                  <w:tcW w:w="2359" w:type="dxa"/>
                                  <w:tcBorders>
                                    <w:top w:val="single" w:sz="4" w:space="0" w:color="000000"/>
                                    <w:left w:val="single" w:sz="4" w:space="0" w:color="000000"/>
                                    <w:bottom w:val="single" w:sz="4" w:space="0" w:color="000000"/>
                                    <w:right w:val="single" w:sz="4" w:space="0" w:color="000000"/>
                                  </w:tcBorders>
                                  <w:shd w:val="clear" w:color="auto" w:fill="D9E1F3"/>
                                </w:tcPr>
                                <w:p w:rsidR="00D862F2" w:rsidRDefault="00884FE4">
                                  <w:pPr>
                                    <w:pStyle w:val="TableParagraph"/>
                                    <w:spacing w:line="219" w:lineRule="exact"/>
                                    <w:ind w:left="115"/>
                                    <w:jc w:val="left"/>
                                    <w:rPr>
                                      <w:b/>
                                      <w:sz w:val="18"/>
                                    </w:rPr>
                                  </w:pPr>
                                  <w:r>
                                    <w:rPr>
                                      <w:b/>
                                      <w:sz w:val="18"/>
                                    </w:rPr>
                                    <w:t>Total</w:t>
                                  </w:r>
                                  <w:r>
                                    <w:rPr>
                                      <w:b/>
                                      <w:spacing w:val="-3"/>
                                      <w:sz w:val="18"/>
                                    </w:rPr>
                                    <w:t xml:space="preserve"> </w:t>
                                  </w:r>
                                  <w:r>
                                    <w:rPr>
                                      <w:b/>
                                      <w:sz w:val="18"/>
                                    </w:rPr>
                                    <w:t>(unique</w:t>
                                  </w:r>
                                  <w:r>
                                    <w:rPr>
                                      <w:b/>
                                      <w:spacing w:val="-2"/>
                                      <w:sz w:val="18"/>
                                    </w:rPr>
                                    <w:t xml:space="preserve"> </w:t>
                                  </w:r>
                                  <w:r>
                                    <w:rPr>
                                      <w:b/>
                                      <w:sz w:val="18"/>
                                    </w:rPr>
                                    <w:t>pts)</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D9E1F3"/>
                                </w:tcPr>
                                <w:p w:rsidR="00D862F2" w:rsidRDefault="00884FE4">
                                  <w:pPr>
                                    <w:pStyle w:val="TableParagraph"/>
                                    <w:spacing w:line="219" w:lineRule="exact"/>
                                    <w:ind w:left="290"/>
                                    <w:jc w:val="left"/>
                                    <w:rPr>
                                      <w:b/>
                                      <w:sz w:val="18"/>
                                    </w:rPr>
                                  </w:pPr>
                                  <w:r>
                                    <w:rPr>
                                      <w:b/>
                                      <w:sz w:val="18"/>
                                    </w:rPr>
                                    <w:t>216,189</w:t>
                                  </w: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D9E1F3"/>
                                </w:tcPr>
                                <w:p w:rsidR="00D862F2" w:rsidRDefault="00884FE4">
                                  <w:pPr>
                                    <w:pStyle w:val="TableParagraph"/>
                                    <w:spacing w:line="219" w:lineRule="exact"/>
                                    <w:ind w:left="333"/>
                                    <w:jc w:val="left"/>
                                    <w:rPr>
                                      <w:b/>
                                      <w:sz w:val="18"/>
                                    </w:rPr>
                                  </w:pPr>
                                  <w:r>
                                    <w:rPr>
                                      <w:b/>
                                      <w:sz w:val="18"/>
                                    </w:rPr>
                                    <w:t>219,857</w:t>
                                  </w:r>
                                </w:p>
                              </w:tc>
                              <w:tc>
                                <w:tcPr>
                                  <w:tcW w:w="1829" w:type="dxa"/>
                                  <w:gridSpan w:val="2"/>
                                  <w:tcBorders>
                                    <w:top w:val="single" w:sz="4" w:space="0" w:color="000000"/>
                                    <w:left w:val="single" w:sz="4" w:space="0" w:color="000000"/>
                                    <w:bottom w:val="single" w:sz="4" w:space="0" w:color="000000"/>
                                    <w:right w:val="single" w:sz="4" w:space="0" w:color="000000"/>
                                  </w:tcBorders>
                                  <w:shd w:val="clear" w:color="auto" w:fill="D9E1F3"/>
                                </w:tcPr>
                                <w:p w:rsidR="00D862F2" w:rsidRDefault="00884FE4">
                                  <w:pPr>
                                    <w:pStyle w:val="TableParagraph"/>
                                    <w:spacing w:line="219" w:lineRule="exact"/>
                                    <w:ind w:left="262"/>
                                    <w:jc w:val="left"/>
                                    <w:rPr>
                                      <w:b/>
                                      <w:sz w:val="18"/>
                                    </w:rPr>
                                  </w:pPr>
                                  <w:r>
                                    <w:rPr>
                                      <w:b/>
                                      <w:sz w:val="18"/>
                                    </w:rPr>
                                    <w:t>229,342</w:t>
                                  </w: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E1F3"/>
                                </w:tcPr>
                                <w:p w:rsidR="00D862F2" w:rsidRDefault="00884FE4">
                                  <w:pPr>
                                    <w:pStyle w:val="TableParagraph"/>
                                    <w:spacing w:line="219" w:lineRule="exact"/>
                                    <w:ind w:left="268"/>
                                    <w:jc w:val="left"/>
                                    <w:rPr>
                                      <w:b/>
                                      <w:sz w:val="18"/>
                                    </w:rPr>
                                  </w:pPr>
                                  <w:r>
                                    <w:rPr>
                                      <w:b/>
                                      <w:sz w:val="18"/>
                                    </w:rPr>
                                    <w:t>209,610</w:t>
                                  </w:r>
                                </w:p>
                              </w:tc>
                            </w:tr>
                            <w:tr w:rsidR="00D862F2">
                              <w:trPr>
                                <w:trHeight w:val="249"/>
                              </w:trPr>
                              <w:tc>
                                <w:tcPr>
                                  <w:tcW w:w="2359" w:type="dxa"/>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115"/>
                                    <w:jc w:val="left"/>
                                    <w:rPr>
                                      <w:b/>
                                      <w:sz w:val="18"/>
                                    </w:rPr>
                                  </w:pPr>
                                  <w:r>
                                    <w:rPr>
                                      <w:b/>
                                      <w:sz w:val="18"/>
                                    </w:rPr>
                                    <w:t>Gender</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2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r>
                            <w:tr w:rsidR="00D862F2">
                              <w:trPr>
                                <w:trHeight w:val="250"/>
                              </w:trPr>
                              <w:tc>
                                <w:tcPr>
                                  <w:tcW w:w="2359" w:type="dxa"/>
                                  <w:tcBorders>
                                    <w:top w:val="single" w:sz="4" w:space="0" w:color="000000"/>
                                    <w:left w:val="single" w:sz="4" w:space="0" w:color="000000"/>
                                    <w:right w:val="single" w:sz="4" w:space="0" w:color="000000"/>
                                  </w:tcBorders>
                                </w:tcPr>
                                <w:p w:rsidR="00D862F2" w:rsidRDefault="00884FE4">
                                  <w:pPr>
                                    <w:pStyle w:val="TableParagraph"/>
                                    <w:spacing w:line="219" w:lineRule="exact"/>
                                    <w:ind w:left="115"/>
                                    <w:jc w:val="left"/>
                                    <w:rPr>
                                      <w:sz w:val="18"/>
                                    </w:rPr>
                                  </w:pPr>
                                  <w:r>
                                    <w:rPr>
                                      <w:sz w:val="18"/>
                                    </w:rPr>
                                    <w:t>Female</w:t>
                                  </w:r>
                                </w:p>
                              </w:tc>
                              <w:tc>
                                <w:tcPr>
                                  <w:tcW w:w="1008" w:type="dxa"/>
                                  <w:tcBorders>
                                    <w:top w:val="single" w:sz="4" w:space="0" w:color="000000"/>
                                    <w:left w:val="single" w:sz="4" w:space="0" w:color="000000"/>
                                  </w:tcBorders>
                                </w:tcPr>
                                <w:p w:rsidR="00D862F2" w:rsidRDefault="00884FE4">
                                  <w:pPr>
                                    <w:pStyle w:val="TableParagraph"/>
                                    <w:spacing w:line="219" w:lineRule="exact"/>
                                    <w:ind w:right="117"/>
                                    <w:rPr>
                                      <w:sz w:val="18"/>
                                    </w:rPr>
                                  </w:pPr>
                                  <w:r>
                                    <w:rPr>
                                      <w:sz w:val="18"/>
                                    </w:rPr>
                                    <w:t>107,754</w:t>
                                  </w:r>
                                </w:p>
                              </w:tc>
                              <w:tc>
                                <w:tcPr>
                                  <w:tcW w:w="691" w:type="dxa"/>
                                  <w:tcBorders>
                                    <w:top w:val="single" w:sz="4" w:space="0" w:color="000000"/>
                                    <w:right w:val="single" w:sz="4" w:space="0" w:color="000000"/>
                                  </w:tcBorders>
                                </w:tcPr>
                                <w:p w:rsidR="00D862F2" w:rsidRDefault="00884FE4">
                                  <w:pPr>
                                    <w:pStyle w:val="TableParagraph"/>
                                    <w:spacing w:line="219" w:lineRule="exact"/>
                                    <w:ind w:right="107"/>
                                    <w:rPr>
                                      <w:sz w:val="18"/>
                                    </w:rPr>
                                  </w:pPr>
                                  <w:r>
                                    <w:rPr>
                                      <w:sz w:val="18"/>
                                    </w:rPr>
                                    <w:t>49.8%</w:t>
                                  </w:r>
                                </w:p>
                              </w:tc>
                              <w:tc>
                                <w:tcPr>
                                  <w:tcW w:w="1085" w:type="dxa"/>
                                  <w:tcBorders>
                                    <w:top w:val="single" w:sz="4" w:space="0" w:color="000000"/>
                                    <w:left w:val="single" w:sz="4" w:space="0" w:color="000000"/>
                                  </w:tcBorders>
                                </w:tcPr>
                                <w:p w:rsidR="00D862F2" w:rsidRDefault="00884FE4">
                                  <w:pPr>
                                    <w:pStyle w:val="TableParagraph"/>
                                    <w:spacing w:line="219" w:lineRule="exact"/>
                                    <w:ind w:left="333"/>
                                    <w:jc w:val="left"/>
                                    <w:rPr>
                                      <w:sz w:val="18"/>
                                    </w:rPr>
                                  </w:pPr>
                                  <w:r>
                                    <w:rPr>
                                      <w:sz w:val="18"/>
                                    </w:rPr>
                                    <w:t>109,409</w:t>
                                  </w:r>
                                </w:p>
                              </w:tc>
                              <w:tc>
                                <w:tcPr>
                                  <w:tcW w:w="722"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49.8%</w:t>
                                  </w:r>
                                </w:p>
                              </w:tc>
                              <w:tc>
                                <w:tcPr>
                                  <w:tcW w:w="1061" w:type="dxa"/>
                                  <w:tcBorders>
                                    <w:top w:val="single" w:sz="4" w:space="0" w:color="000000"/>
                                    <w:left w:val="single" w:sz="4" w:space="0" w:color="000000"/>
                                  </w:tcBorders>
                                </w:tcPr>
                                <w:p w:rsidR="00D862F2" w:rsidRDefault="00884FE4">
                                  <w:pPr>
                                    <w:pStyle w:val="TableParagraph"/>
                                    <w:spacing w:line="219" w:lineRule="exact"/>
                                    <w:ind w:right="198"/>
                                    <w:rPr>
                                      <w:sz w:val="18"/>
                                    </w:rPr>
                                  </w:pPr>
                                  <w:r>
                                    <w:rPr>
                                      <w:sz w:val="18"/>
                                    </w:rPr>
                                    <w:t>114,297</w:t>
                                  </w:r>
                                </w:p>
                              </w:tc>
                              <w:tc>
                                <w:tcPr>
                                  <w:tcW w:w="768" w:type="dxa"/>
                                  <w:tcBorders>
                                    <w:top w:val="single" w:sz="4" w:space="0" w:color="000000"/>
                                    <w:right w:val="single" w:sz="4" w:space="0" w:color="000000"/>
                                  </w:tcBorders>
                                </w:tcPr>
                                <w:p w:rsidR="00D862F2" w:rsidRDefault="00884FE4">
                                  <w:pPr>
                                    <w:pStyle w:val="TableParagraph"/>
                                    <w:spacing w:line="219" w:lineRule="exact"/>
                                    <w:ind w:right="101"/>
                                    <w:rPr>
                                      <w:sz w:val="18"/>
                                    </w:rPr>
                                  </w:pPr>
                                  <w:r>
                                    <w:rPr>
                                      <w:sz w:val="18"/>
                                    </w:rPr>
                                    <w:t>49.8%</w:t>
                                  </w:r>
                                </w:p>
                              </w:tc>
                              <w:tc>
                                <w:tcPr>
                                  <w:tcW w:w="977" w:type="dxa"/>
                                  <w:tcBorders>
                                    <w:top w:val="single" w:sz="4" w:space="0" w:color="000000"/>
                                    <w:left w:val="single" w:sz="4" w:space="0" w:color="000000"/>
                                  </w:tcBorders>
                                </w:tcPr>
                                <w:p w:rsidR="00D862F2" w:rsidRDefault="00884FE4">
                                  <w:pPr>
                                    <w:pStyle w:val="TableParagraph"/>
                                    <w:spacing w:line="219" w:lineRule="exact"/>
                                    <w:ind w:right="107"/>
                                    <w:rPr>
                                      <w:sz w:val="18"/>
                                    </w:rPr>
                                  </w:pPr>
                                  <w:r>
                                    <w:rPr>
                                      <w:sz w:val="18"/>
                                    </w:rPr>
                                    <w:t>105,119</w:t>
                                  </w:r>
                                </w:p>
                              </w:tc>
                              <w:tc>
                                <w:tcPr>
                                  <w:tcW w:w="679"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50.1%</w:t>
                                  </w:r>
                                </w:p>
                              </w:tc>
                            </w:tr>
                            <w:tr w:rsidR="00D862F2">
                              <w:trPr>
                                <w:trHeight w:val="254"/>
                              </w:trPr>
                              <w:tc>
                                <w:tcPr>
                                  <w:tcW w:w="2359" w:type="dxa"/>
                                  <w:tcBorders>
                                    <w:left w:val="single" w:sz="4" w:space="0" w:color="000000"/>
                                    <w:right w:val="single" w:sz="4" w:space="0" w:color="000000"/>
                                  </w:tcBorders>
                                </w:tcPr>
                                <w:p w:rsidR="00D862F2" w:rsidRDefault="00884FE4">
                                  <w:pPr>
                                    <w:pStyle w:val="TableParagraph"/>
                                    <w:spacing w:line="218" w:lineRule="exact"/>
                                    <w:ind w:left="115"/>
                                    <w:jc w:val="left"/>
                                    <w:rPr>
                                      <w:sz w:val="18"/>
                                    </w:rPr>
                                  </w:pPr>
                                  <w:r>
                                    <w:rPr>
                                      <w:sz w:val="18"/>
                                    </w:rPr>
                                    <w:t>Male</w:t>
                                  </w:r>
                                </w:p>
                              </w:tc>
                              <w:tc>
                                <w:tcPr>
                                  <w:tcW w:w="1008" w:type="dxa"/>
                                  <w:tcBorders>
                                    <w:left w:val="single" w:sz="4" w:space="0" w:color="000000"/>
                                  </w:tcBorders>
                                </w:tcPr>
                                <w:p w:rsidR="00D862F2" w:rsidRDefault="00884FE4">
                                  <w:pPr>
                                    <w:pStyle w:val="TableParagraph"/>
                                    <w:spacing w:line="218" w:lineRule="exact"/>
                                    <w:ind w:right="117"/>
                                    <w:rPr>
                                      <w:sz w:val="18"/>
                                    </w:rPr>
                                  </w:pPr>
                                  <w:r>
                                    <w:rPr>
                                      <w:sz w:val="18"/>
                                    </w:rPr>
                                    <w:t>108,413</w:t>
                                  </w:r>
                                </w:p>
                              </w:tc>
                              <w:tc>
                                <w:tcPr>
                                  <w:tcW w:w="691" w:type="dxa"/>
                                  <w:tcBorders>
                                    <w:right w:val="single" w:sz="4" w:space="0" w:color="000000"/>
                                  </w:tcBorders>
                                </w:tcPr>
                                <w:p w:rsidR="00D862F2" w:rsidRDefault="00884FE4">
                                  <w:pPr>
                                    <w:pStyle w:val="TableParagraph"/>
                                    <w:spacing w:line="218" w:lineRule="exact"/>
                                    <w:ind w:right="107"/>
                                    <w:rPr>
                                      <w:sz w:val="18"/>
                                    </w:rPr>
                                  </w:pPr>
                                  <w:r>
                                    <w:rPr>
                                      <w:sz w:val="18"/>
                                    </w:rPr>
                                    <w:t>50.1%</w:t>
                                  </w:r>
                                </w:p>
                              </w:tc>
                              <w:tc>
                                <w:tcPr>
                                  <w:tcW w:w="1085" w:type="dxa"/>
                                  <w:tcBorders>
                                    <w:left w:val="single" w:sz="4" w:space="0" w:color="000000"/>
                                  </w:tcBorders>
                                </w:tcPr>
                                <w:p w:rsidR="00D862F2" w:rsidRDefault="00884FE4">
                                  <w:pPr>
                                    <w:pStyle w:val="TableParagraph"/>
                                    <w:spacing w:line="218" w:lineRule="exact"/>
                                    <w:ind w:left="333"/>
                                    <w:jc w:val="left"/>
                                    <w:rPr>
                                      <w:sz w:val="18"/>
                                    </w:rPr>
                                  </w:pPr>
                                  <w:r>
                                    <w:rPr>
                                      <w:sz w:val="18"/>
                                    </w:rPr>
                                    <w:t>110,426</w:t>
                                  </w:r>
                                </w:p>
                              </w:tc>
                              <w:tc>
                                <w:tcPr>
                                  <w:tcW w:w="722" w:type="dxa"/>
                                  <w:tcBorders>
                                    <w:right w:val="single" w:sz="4" w:space="0" w:color="000000"/>
                                  </w:tcBorders>
                                </w:tcPr>
                                <w:p w:rsidR="00D862F2" w:rsidRDefault="00884FE4">
                                  <w:pPr>
                                    <w:pStyle w:val="TableParagraph"/>
                                    <w:spacing w:line="218" w:lineRule="exact"/>
                                    <w:ind w:right="103"/>
                                    <w:rPr>
                                      <w:sz w:val="18"/>
                                    </w:rPr>
                                  </w:pPr>
                                  <w:r>
                                    <w:rPr>
                                      <w:sz w:val="18"/>
                                    </w:rPr>
                                    <w:t>50.2%</w:t>
                                  </w:r>
                                </w:p>
                              </w:tc>
                              <w:tc>
                                <w:tcPr>
                                  <w:tcW w:w="1061" w:type="dxa"/>
                                  <w:tcBorders>
                                    <w:left w:val="single" w:sz="4" w:space="0" w:color="000000"/>
                                  </w:tcBorders>
                                </w:tcPr>
                                <w:p w:rsidR="00D862F2" w:rsidRDefault="00884FE4">
                                  <w:pPr>
                                    <w:pStyle w:val="TableParagraph"/>
                                    <w:spacing w:line="218" w:lineRule="exact"/>
                                    <w:ind w:right="198"/>
                                    <w:rPr>
                                      <w:sz w:val="18"/>
                                    </w:rPr>
                                  </w:pPr>
                                  <w:r>
                                    <w:rPr>
                                      <w:sz w:val="18"/>
                                    </w:rPr>
                                    <w:t>115,025</w:t>
                                  </w:r>
                                </w:p>
                              </w:tc>
                              <w:tc>
                                <w:tcPr>
                                  <w:tcW w:w="768" w:type="dxa"/>
                                  <w:tcBorders>
                                    <w:right w:val="single" w:sz="4" w:space="0" w:color="000000"/>
                                  </w:tcBorders>
                                </w:tcPr>
                                <w:p w:rsidR="00D862F2" w:rsidRDefault="00884FE4">
                                  <w:pPr>
                                    <w:pStyle w:val="TableParagraph"/>
                                    <w:spacing w:line="218" w:lineRule="exact"/>
                                    <w:ind w:right="101"/>
                                    <w:rPr>
                                      <w:sz w:val="18"/>
                                    </w:rPr>
                                  </w:pPr>
                                  <w:r>
                                    <w:rPr>
                                      <w:sz w:val="18"/>
                                    </w:rPr>
                                    <w:t>50.2%</w:t>
                                  </w:r>
                                </w:p>
                              </w:tc>
                              <w:tc>
                                <w:tcPr>
                                  <w:tcW w:w="977" w:type="dxa"/>
                                  <w:tcBorders>
                                    <w:left w:val="single" w:sz="4" w:space="0" w:color="000000"/>
                                  </w:tcBorders>
                                </w:tcPr>
                                <w:p w:rsidR="00D862F2" w:rsidRDefault="00884FE4">
                                  <w:pPr>
                                    <w:pStyle w:val="TableParagraph"/>
                                    <w:spacing w:line="218" w:lineRule="exact"/>
                                    <w:ind w:right="107"/>
                                    <w:rPr>
                                      <w:sz w:val="18"/>
                                    </w:rPr>
                                  </w:pPr>
                                  <w:r>
                                    <w:rPr>
                                      <w:sz w:val="18"/>
                                    </w:rPr>
                                    <w:t>104,456</w:t>
                                  </w:r>
                                </w:p>
                              </w:tc>
                              <w:tc>
                                <w:tcPr>
                                  <w:tcW w:w="679" w:type="dxa"/>
                                  <w:tcBorders>
                                    <w:right w:val="single" w:sz="4" w:space="0" w:color="000000"/>
                                  </w:tcBorders>
                                </w:tcPr>
                                <w:p w:rsidR="00D862F2" w:rsidRDefault="00884FE4">
                                  <w:pPr>
                                    <w:pStyle w:val="TableParagraph"/>
                                    <w:spacing w:line="218" w:lineRule="exact"/>
                                    <w:ind w:right="103"/>
                                    <w:rPr>
                                      <w:sz w:val="18"/>
                                    </w:rPr>
                                  </w:pPr>
                                  <w:r>
                                    <w:rPr>
                                      <w:sz w:val="18"/>
                                    </w:rPr>
                                    <w:t>49.8%</w:t>
                                  </w:r>
                                </w:p>
                              </w:tc>
                            </w:tr>
                            <w:tr w:rsidR="00D862F2">
                              <w:trPr>
                                <w:trHeight w:val="263"/>
                              </w:trPr>
                              <w:tc>
                                <w:tcPr>
                                  <w:tcW w:w="2359" w:type="dxa"/>
                                  <w:tcBorders>
                                    <w:left w:val="single" w:sz="4" w:space="0" w:color="000000"/>
                                    <w:bottom w:val="single" w:sz="4" w:space="0" w:color="000000"/>
                                    <w:right w:val="single" w:sz="4" w:space="0" w:color="000000"/>
                                  </w:tcBorders>
                                </w:tcPr>
                                <w:p w:rsidR="00D862F2" w:rsidRDefault="00884FE4">
                                  <w:pPr>
                                    <w:pStyle w:val="TableParagraph"/>
                                    <w:spacing w:before="3"/>
                                    <w:ind w:left="115"/>
                                    <w:jc w:val="left"/>
                                    <w:rPr>
                                      <w:sz w:val="18"/>
                                    </w:rPr>
                                  </w:pPr>
                                  <w:r>
                                    <w:rPr>
                                      <w:sz w:val="18"/>
                                    </w:rPr>
                                    <w:t>Unknown</w:t>
                                  </w:r>
                                </w:p>
                              </w:tc>
                              <w:tc>
                                <w:tcPr>
                                  <w:tcW w:w="1008" w:type="dxa"/>
                                  <w:tcBorders>
                                    <w:left w:val="single" w:sz="4" w:space="0" w:color="000000"/>
                                    <w:bottom w:val="single" w:sz="4" w:space="0" w:color="000000"/>
                                  </w:tcBorders>
                                </w:tcPr>
                                <w:p w:rsidR="00D862F2" w:rsidRDefault="00884FE4">
                                  <w:pPr>
                                    <w:pStyle w:val="TableParagraph"/>
                                    <w:spacing w:before="3"/>
                                    <w:ind w:right="117"/>
                                    <w:rPr>
                                      <w:sz w:val="18"/>
                                    </w:rPr>
                                  </w:pPr>
                                  <w:r>
                                    <w:rPr>
                                      <w:sz w:val="18"/>
                                    </w:rPr>
                                    <w:t>22</w:t>
                                  </w:r>
                                </w:p>
                              </w:tc>
                              <w:tc>
                                <w:tcPr>
                                  <w:tcW w:w="691" w:type="dxa"/>
                                  <w:tcBorders>
                                    <w:bottom w:val="single" w:sz="4" w:space="0" w:color="000000"/>
                                    <w:right w:val="single" w:sz="4" w:space="0" w:color="000000"/>
                                  </w:tcBorders>
                                </w:tcPr>
                                <w:p w:rsidR="00D862F2" w:rsidRDefault="00884FE4">
                                  <w:pPr>
                                    <w:pStyle w:val="TableParagraph"/>
                                    <w:spacing w:before="3"/>
                                    <w:ind w:right="106"/>
                                    <w:rPr>
                                      <w:sz w:val="18"/>
                                    </w:rPr>
                                  </w:pPr>
                                  <w:r>
                                    <w:rPr>
                                      <w:sz w:val="18"/>
                                    </w:rPr>
                                    <w:t>0.0%</w:t>
                                  </w:r>
                                </w:p>
                              </w:tc>
                              <w:tc>
                                <w:tcPr>
                                  <w:tcW w:w="1085" w:type="dxa"/>
                                  <w:tcBorders>
                                    <w:left w:val="single" w:sz="4" w:space="0" w:color="000000"/>
                                    <w:bottom w:val="single" w:sz="4" w:space="0" w:color="000000"/>
                                  </w:tcBorders>
                                </w:tcPr>
                                <w:p w:rsidR="00D862F2" w:rsidRDefault="00884FE4">
                                  <w:pPr>
                                    <w:pStyle w:val="TableParagraph"/>
                                    <w:spacing w:before="3"/>
                                    <w:ind w:right="151"/>
                                    <w:rPr>
                                      <w:sz w:val="18"/>
                                    </w:rPr>
                                  </w:pPr>
                                  <w:r>
                                    <w:rPr>
                                      <w:sz w:val="18"/>
                                    </w:rPr>
                                    <w:t>22</w:t>
                                  </w:r>
                                </w:p>
                              </w:tc>
                              <w:tc>
                                <w:tcPr>
                                  <w:tcW w:w="722"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0.0%</w:t>
                                  </w:r>
                                </w:p>
                              </w:tc>
                              <w:tc>
                                <w:tcPr>
                                  <w:tcW w:w="1061" w:type="dxa"/>
                                  <w:tcBorders>
                                    <w:left w:val="single" w:sz="4" w:space="0" w:color="000000"/>
                                    <w:bottom w:val="single" w:sz="4" w:space="0" w:color="000000"/>
                                  </w:tcBorders>
                                </w:tcPr>
                                <w:p w:rsidR="00D862F2" w:rsidRDefault="00884FE4">
                                  <w:pPr>
                                    <w:pStyle w:val="TableParagraph"/>
                                    <w:spacing w:before="3"/>
                                    <w:ind w:right="199"/>
                                    <w:rPr>
                                      <w:sz w:val="18"/>
                                    </w:rPr>
                                  </w:pPr>
                                  <w:r>
                                    <w:rPr>
                                      <w:sz w:val="18"/>
                                    </w:rPr>
                                    <w:t>20</w:t>
                                  </w:r>
                                </w:p>
                              </w:tc>
                              <w:tc>
                                <w:tcPr>
                                  <w:tcW w:w="768" w:type="dxa"/>
                                  <w:tcBorders>
                                    <w:bottom w:val="single" w:sz="4" w:space="0" w:color="000000"/>
                                    <w:right w:val="single" w:sz="4" w:space="0" w:color="000000"/>
                                  </w:tcBorders>
                                </w:tcPr>
                                <w:p w:rsidR="00D862F2" w:rsidRDefault="00884FE4">
                                  <w:pPr>
                                    <w:pStyle w:val="TableParagraph"/>
                                    <w:spacing w:before="3"/>
                                    <w:ind w:right="101"/>
                                    <w:rPr>
                                      <w:sz w:val="18"/>
                                    </w:rPr>
                                  </w:pPr>
                                  <w:r>
                                    <w:rPr>
                                      <w:sz w:val="18"/>
                                    </w:rPr>
                                    <w:t>0.0%</w:t>
                                  </w:r>
                                </w:p>
                              </w:tc>
                              <w:tc>
                                <w:tcPr>
                                  <w:tcW w:w="977" w:type="dxa"/>
                                  <w:tcBorders>
                                    <w:left w:val="single" w:sz="4" w:space="0" w:color="000000"/>
                                    <w:bottom w:val="single" w:sz="4" w:space="0" w:color="000000"/>
                                  </w:tcBorders>
                                </w:tcPr>
                                <w:p w:rsidR="00D862F2" w:rsidRDefault="00884FE4">
                                  <w:pPr>
                                    <w:pStyle w:val="TableParagraph"/>
                                    <w:spacing w:before="3"/>
                                    <w:ind w:right="108"/>
                                    <w:rPr>
                                      <w:sz w:val="18"/>
                                    </w:rPr>
                                  </w:pPr>
                                  <w:r>
                                    <w:rPr>
                                      <w:sz w:val="18"/>
                                    </w:rPr>
                                    <w:t>35</w:t>
                                  </w:r>
                                </w:p>
                              </w:tc>
                              <w:tc>
                                <w:tcPr>
                                  <w:tcW w:w="679"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0.0%</w:t>
                                  </w:r>
                                </w:p>
                              </w:tc>
                            </w:tr>
                            <w:tr w:rsidR="00D862F2">
                              <w:trPr>
                                <w:trHeight w:val="246"/>
                              </w:trPr>
                              <w:tc>
                                <w:tcPr>
                                  <w:tcW w:w="2359" w:type="dxa"/>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115"/>
                                    <w:jc w:val="left"/>
                                    <w:rPr>
                                      <w:b/>
                                      <w:sz w:val="18"/>
                                    </w:rPr>
                                  </w:pPr>
                                  <w:r>
                                    <w:rPr>
                                      <w:b/>
                                      <w:sz w:val="18"/>
                                    </w:rPr>
                                    <w:t>Age</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6"/>
                                    </w:rPr>
                                  </w:pP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6"/>
                                    </w:rPr>
                                  </w:pPr>
                                </w:p>
                              </w:tc>
                              <w:tc>
                                <w:tcPr>
                                  <w:tcW w:w="182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6"/>
                                    </w:rPr>
                                  </w:pP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6"/>
                                    </w:rPr>
                                  </w:pPr>
                                </w:p>
                              </w:tc>
                            </w:tr>
                            <w:tr w:rsidR="00D862F2">
                              <w:trPr>
                                <w:trHeight w:val="251"/>
                              </w:trPr>
                              <w:tc>
                                <w:tcPr>
                                  <w:tcW w:w="2359" w:type="dxa"/>
                                  <w:tcBorders>
                                    <w:top w:val="single" w:sz="4" w:space="0" w:color="000000"/>
                                    <w:left w:val="single" w:sz="4" w:space="0" w:color="000000"/>
                                    <w:right w:val="single" w:sz="4" w:space="0" w:color="000000"/>
                                  </w:tcBorders>
                                </w:tcPr>
                                <w:p w:rsidR="00D862F2" w:rsidRDefault="00884FE4">
                                  <w:pPr>
                                    <w:pStyle w:val="TableParagraph"/>
                                    <w:spacing w:before="1"/>
                                    <w:ind w:left="115"/>
                                    <w:jc w:val="left"/>
                                    <w:rPr>
                                      <w:sz w:val="18"/>
                                    </w:rPr>
                                  </w:pPr>
                                  <w:r>
                                    <w:rPr>
                                      <w:sz w:val="18"/>
                                    </w:rPr>
                                    <w:t>0-2</w:t>
                                  </w:r>
                                  <w:r>
                                    <w:rPr>
                                      <w:spacing w:val="-2"/>
                                      <w:sz w:val="18"/>
                                    </w:rPr>
                                    <w:t xml:space="preserve"> </w:t>
                                  </w:r>
                                  <w:r>
                                    <w:rPr>
                                      <w:sz w:val="18"/>
                                    </w:rPr>
                                    <w:t>years</w:t>
                                  </w:r>
                                </w:p>
                              </w:tc>
                              <w:tc>
                                <w:tcPr>
                                  <w:tcW w:w="1008" w:type="dxa"/>
                                  <w:tcBorders>
                                    <w:top w:val="single" w:sz="4" w:space="0" w:color="000000"/>
                                    <w:left w:val="single" w:sz="4" w:space="0" w:color="000000"/>
                                  </w:tcBorders>
                                </w:tcPr>
                                <w:p w:rsidR="00D862F2" w:rsidRDefault="00884FE4">
                                  <w:pPr>
                                    <w:pStyle w:val="TableParagraph"/>
                                    <w:spacing w:before="1"/>
                                    <w:ind w:right="117"/>
                                    <w:rPr>
                                      <w:sz w:val="18"/>
                                    </w:rPr>
                                  </w:pPr>
                                  <w:r>
                                    <w:rPr>
                                      <w:sz w:val="18"/>
                                    </w:rPr>
                                    <w:t>41,126</w:t>
                                  </w:r>
                                </w:p>
                              </w:tc>
                              <w:tc>
                                <w:tcPr>
                                  <w:tcW w:w="691" w:type="dxa"/>
                                  <w:tcBorders>
                                    <w:top w:val="single" w:sz="4" w:space="0" w:color="000000"/>
                                    <w:right w:val="single" w:sz="4" w:space="0" w:color="000000"/>
                                  </w:tcBorders>
                                </w:tcPr>
                                <w:p w:rsidR="00D862F2" w:rsidRDefault="00884FE4">
                                  <w:pPr>
                                    <w:pStyle w:val="TableParagraph"/>
                                    <w:spacing w:before="1"/>
                                    <w:ind w:right="107"/>
                                    <w:rPr>
                                      <w:sz w:val="18"/>
                                    </w:rPr>
                                  </w:pPr>
                                  <w:r>
                                    <w:rPr>
                                      <w:sz w:val="18"/>
                                    </w:rPr>
                                    <w:t>19.0%</w:t>
                                  </w:r>
                                </w:p>
                              </w:tc>
                              <w:tc>
                                <w:tcPr>
                                  <w:tcW w:w="1085" w:type="dxa"/>
                                  <w:tcBorders>
                                    <w:top w:val="single" w:sz="4" w:space="0" w:color="000000"/>
                                    <w:left w:val="single" w:sz="4" w:space="0" w:color="000000"/>
                                  </w:tcBorders>
                                </w:tcPr>
                                <w:p w:rsidR="00D862F2" w:rsidRDefault="00884FE4">
                                  <w:pPr>
                                    <w:pStyle w:val="TableParagraph"/>
                                    <w:spacing w:before="1"/>
                                    <w:ind w:left="425"/>
                                    <w:jc w:val="left"/>
                                    <w:rPr>
                                      <w:sz w:val="18"/>
                                    </w:rPr>
                                  </w:pPr>
                                  <w:r>
                                    <w:rPr>
                                      <w:sz w:val="18"/>
                                    </w:rPr>
                                    <w:t>41,792</w:t>
                                  </w:r>
                                </w:p>
                              </w:tc>
                              <w:tc>
                                <w:tcPr>
                                  <w:tcW w:w="722" w:type="dxa"/>
                                  <w:tcBorders>
                                    <w:top w:val="single" w:sz="4" w:space="0" w:color="000000"/>
                                    <w:right w:val="single" w:sz="4" w:space="0" w:color="000000"/>
                                  </w:tcBorders>
                                </w:tcPr>
                                <w:p w:rsidR="00D862F2" w:rsidRDefault="00884FE4">
                                  <w:pPr>
                                    <w:pStyle w:val="TableParagraph"/>
                                    <w:spacing w:before="1"/>
                                    <w:ind w:right="103"/>
                                    <w:rPr>
                                      <w:sz w:val="18"/>
                                    </w:rPr>
                                  </w:pPr>
                                  <w:r>
                                    <w:rPr>
                                      <w:sz w:val="18"/>
                                    </w:rPr>
                                    <w:t>19.0%</w:t>
                                  </w:r>
                                </w:p>
                              </w:tc>
                              <w:tc>
                                <w:tcPr>
                                  <w:tcW w:w="1061" w:type="dxa"/>
                                  <w:tcBorders>
                                    <w:top w:val="single" w:sz="4" w:space="0" w:color="000000"/>
                                    <w:left w:val="single" w:sz="4" w:space="0" w:color="000000"/>
                                  </w:tcBorders>
                                </w:tcPr>
                                <w:p w:rsidR="00D862F2" w:rsidRDefault="00884FE4">
                                  <w:pPr>
                                    <w:pStyle w:val="TableParagraph"/>
                                    <w:spacing w:before="1"/>
                                    <w:ind w:right="198"/>
                                    <w:rPr>
                                      <w:sz w:val="18"/>
                                    </w:rPr>
                                  </w:pPr>
                                  <w:r>
                                    <w:rPr>
                                      <w:sz w:val="18"/>
                                    </w:rPr>
                                    <w:t>43,311</w:t>
                                  </w:r>
                                </w:p>
                              </w:tc>
                              <w:tc>
                                <w:tcPr>
                                  <w:tcW w:w="768" w:type="dxa"/>
                                  <w:tcBorders>
                                    <w:top w:val="single" w:sz="4" w:space="0" w:color="000000"/>
                                    <w:right w:val="single" w:sz="4" w:space="0" w:color="000000"/>
                                  </w:tcBorders>
                                </w:tcPr>
                                <w:p w:rsidR="00D862F2" w:rsidRDefault="00884FE4">
                                  <w:pPr>
                                    <w:pStyle w:val="TableParagraph"/>
                                    <w:spacing w:before="1"/>
                                    <w:ind w:right="101"/>
                                    <w:rPr>
                                      <w:sz w:val="18"/>
                                    </w:rPr>
                                  </w:pPr>
                                  <w:r>
                                    <w:rPr>
                                      <w:sz w:val="18"/>
                                    </w:rPr>
                                    <w:t>18.9%</w:t>
                                  </w:r>
                                </w:p>
                              </w:tc>
                              <w:tc>
                                <w:tcPr>
                                  <w:tcW w:w="977" w:type="dxa"/>
                                  <w:tcBorders>
                                    <w:top w:val="single" w:sz="4" w:space="0" w:color="000000"/>
                                    <w:left w:val="single" w:sz="4" w:space="0" w:color="000000"/>
                                  </w:tcBorders>
                                </w:tcPr>
                                <w:p w:rsidR="00D862F2" w:rsidRDefault="00884FE4">
                                  <w:pPr>
                                    <w:pStyle w:val="TableParagraph"/>
                                    <w:spacing w:before="1"/>
                                    <w:ind w:right="107"/>
                                    <w:rPr>
                                      <w:sz w:val="18"/>
                                    </w:rPr>
                                  </w:pPr>
                                  <w:r>
                                    <w:rPr>
                                      <w:sz w:val="18"/>
                                    </w:rPr>
                                    <w:t>39,599</w:t>
                                  </w:r>
                                </w:p>
                              </w:tc>
                              <w:tc>
                                <w:tcPr>
                                  <w:tcW w:w="679" w:type="dxa"/>
                                  <w:tcBorders>
                                    <w:top w:val="single" w:sz="4" w:space="0" w:color="000000"/>
                                    <w:right w:val="single" w:sz="4" w:space="0" w:color="000000"/>
                                  </w:tcBorders>
                                </w:tcPr>
                                <w:p w:rsidR="00D862F2" w:rsidRDefault="00884FE4">
                                  <w:pPr>
                                    <w:pStyle w:val="TableParagraph"/>
                                    <w:spacing w:before="1"/>
                                    <w:ind w:right="103"/>
                                    <w:rPr>
                                      <w:sz w:val="18"/>
                                    </w:rPr>
                                  </w:pPr>
                                  <w:r>
                                    <w:rPr>
                                      <w:sz w:val="18"/>
                                    </w:rPr>
                                    <w:t>18.9%</w:t>
                                  </w:r>
                                </w:p>
                              </w:tc>
                            </w:tr>
                            <w:tr w:rsidR="00D862F2">
                              <w:trPr>
                                <w:trHeight w:val="253"/>
                              </w:trPr>
                              <w:tc>
                                <w:tcPr>
                                  <w:tcW w:w="2359" w:type="dxa"/>
                                  <w:tcBorders>
                                    <w:left w:val="single" w:sz="4" w:space="0" w:color="000000"/>
                                    <w:right w:val="single" w:sz="4" w:space="0" w:color="000000"/>
                                  </w:tcBorders>
                                </w:tcPr>
                                <w:p w:rsidR="00D862F2" w:rsidRDefault="00884FE4">
                                  <w:pPr>
                                    <w:pStyle w:val="TableParagraph"/>
                                    <w:spacing w:line="217" w:lineRule="exact"/>
                                    <w:ind w:left="115"/>
                                    <w:jc w:val="left"/>
                                    <w:rPr>
                                      <w:sz w:val="18"/>
                                    </w:rPr>
                                  </w:pPr>
                                  <w:r>
                                    <w:rPr>
                                      <w:sz w:val="18"/>
                                    </w:rPr>
                                    <w:t>3-5</w:t>
                                  </w:r>
                                  <w:r>
                                    <w:rPr>
                                      <w:spacing w:val="-2"/>
                                      <w:sz w:val="18"/>
                                    </w:rPr>
                                    <w:t xml:space="preserve"> </w:t>
                                  </w:r>
                                  <w:r>
                                    <w:rPr>
                                      <w:sz w:val="18"/>
                                    </w:rPr>
                                    <w:t>years</w:t>
                                  </w:r>
                                </w:p>
                              </w:tc>
                              <w:tc>
                                <w:tcPr>
                                  <w:tcW w:w="1008" w:type="dxa"/>
                                  <w:tcBorders>
                                    <w:left w:val="single" w:sz="4" w:space="0" w:color="000000"/>
                                  </w:tcBorders>
                                </w:tcPr>
                                <w:p w:rsidR="00D862F2" w:rsidRDefault="00884FE4">
                                  <w:pPr>
                                    <w:pStyle w:val="TableParagraph"/>
                                    <w:spacing w:line="217" w:lineRule="exact"/>
                                    <w:ind w:right="117"/>
                                    <w:rPr>
                                      <w:sz w:val="18"/>
                                    </w:rPr>
                                  </w:pPr>
                                  <w:r>
                                    <w:rPr>
                                      <w:sz w:val="18"/>
                                    </w:rPr>
                                    <w:t>28,796</w:t>
                                  </w:r>
                                </w:p>
                              </w:tc>
                              <w:tc>
                                <w:tcPr>
                                  <w:tcW w:w="691" w:type="dxa"/>
                                  <w:tcBorders>
                                    <w:right w:val="single" w:sz="4" w:space="0" w:color="000000"/>
                                  </w:tcBorders>
                                </w:tcPr>
                                <w:p w:rsidR="00D862F2" w:rsidRDefault="00884FE4">
                                  <w:pPr>
                                    <w:pStyle w:val="TableParagraph"/>
                                    <w:spacing w:line="217" w:lineRule="exact"/>
                                    <w:ind w:right="107"/>
                                    <w:rPr>
                                      <w:sz w:val="18"/>
                                    </w:rPr>
                                  </w:pPr>
                                  <w:r>
                                    <w:rPr>
                                      <w:sz w:val="18"/>
                                    </w:rPr>
                                    <w:t>13.3%</w:t>
                                  </w:r>
                                </w:p>
                              </w:tc>
                              <w:tc>
                                <w:tcPr>
                                  <w:tcW w:w="1085" w:type="dxa"/>
                                  <w:tcBorders>
                                    <w:left w:val="single" w:sz="4" w:space="0" w:color="000000"/>
                                  </w:tcBorders>
                                </w:tcPr>
                                <w:p w:rsidR="00D862F2" w:rsidRDefault="00884FE4">
                                  <w:pPr>
                                    <w:pStyle w:val="TableParagraph"/>
                                    <w:spacing w:line="217" w:lineRule="exact"/>
                                    <w:ind w:left="425"/>
                                    <w:jc w:val="left"/>
                                    <w:rPr>
                                      <w:sz w:val="18"/>
                                    </w:rPr>
                                  </w:pPr>
                                  <w:r>
                                    <w:rPr>
                                      <w:sz w:val="18"/>
                                    </w:rPr>
                                    <w:t>29,300</w:t>
                                  </w:r>
                                </w:p>
                              </w:tc>
                              <w:tc>
                                <w:tcPr>
                                  <w:tcW w:w="722" w:type="dxa"/>
                                  <w:tcBorders>
                                    <w:right w:val="single" w:sz="4" w:space="0" w:color="000000"/>
                                  </w:tcBorders>
                                </w:tcPr>
                                <w:p w:rsidR="00D862F2" w:rsidRDefault="00884FE4">
                                  <w:pPr>
                                    <w:pStyle w:val="TableParagraph"/>
                                    <w:spacing w:line="217" w:lineRule="exact"/>
                                    <w:ind w:right="103"/>
                                    <w:rPr>
                                      <w:sz w:val="18"/>
                                    </w:rPr>
                                  </w:pPr>
                                  <w:r>
                                    <w:rPr>
                                      <w:sz w:val="18"/>
                                    </w:rPr>
                                    <w:t>13.3%</w:t>
                                  </w:r>
                                </w:p>
                              </w:tc>
                              <w:tc>
                                <w:tcPr>
                                  <w:tcW w:w="1061" w:type="dxa"/>
                                  <w:tcBorders>
                                    <w:left w:val="single" w:sz="4" w:space="0" w:color="000000"/>
                                  </w:tcBorders>
                                </w:tcPr>
                                <w:p w:rsidR="00D862F2" w:rsidRDefault="00884FE4">
                                  <w:pPr>
                                    <w:pStyle w:val="TableParagraph"/>
                                    <w:spacing w:line="217" w:lineRule="exact"/>
                                    <w:ind w:right="198"/>
                                    <w:rPr>
                                      <w:sz w:val="18"/>
                                    </w:rPr>
                                  </w:pPr>
                                  <w:r>
                                    <w:rPr>
                                      <w:sz w:val="18"/>
                                    </w:rPr>
                                    <w:t>30,606</w:t>
                                  </w:r>
                                </w:p>
                              </w:tc>
                              <w:tc>
                                <w:tcPr>
                                  <w:tcW w:w="768" w:type="dxa"/>
                                  <w:tcBorders>
                                    <w:right w:val="single" w:sz="4" w:space="0" w:color="000000"/>
                                  </w:tcBorders>
                                </w:tcPr>
                                <w:p w:rsidR="00D862F2" w:rsidRDefault="00884FE4">
                                  <w:pPr>
                                    <w:pStyle w:val="TableParagraph"/>
                                    <w:spacing w:line="217" w:lineRule="exact"/>
                                    <w:ind w:right="101"/>
                                    <w:rPr>
                                      <w:sz w:val="18"/>
                                    </w:rPr>
                                  </w:pPr>
                                  <w:r>
                                    <w:rPr>
                                      <w:sz w:val="18"/>
                                    </w:rPr>
                                    <w:t>13.3%</w:t>
                                  </w:r>
                                </w:p>
                              </w:tc>
                              <w:tc>
                                <w:tcPr>
                                  <w:tcW w:w="977" w:type="dxa"/>
                                  <w:tcBorders>
                                    <w:left w:val="single" w:sz="4" w:space="0" w:color="000000"/>
                                  </w:tcBorders>
                                </w:tcPr>
                                <w:p w:rsidR="00D862F2" w:rsidRDefault="00884FE4">
                                  <w:pPr>
                                    <w:pStyle w:val="TableParagraph"/>
                                    <w:spacing w:line="217" w:lineRule="exact"/>
                                    <w:ind w:right="107"/>
                                    <w:rPr>
                                      <w:sz w:val="18"/>
                                    </w:rPr>
                                  </w:pPr>
                                  <w:r>
                                    <w:rPr>
                                      <w:sz w:val="18"/>
                                    </w:rPr>
                                    <w:t>27,543</w:t>
                                  </w:r>
                                </w:p>
                              </w:tc>
                              <w:tc>
                                <w:tcPr>
                                  <w:tcW w:w="679" w:type="dxa"/>
                                  <w:tcBorders>
                                    <w:right w:val="single" w:sz="4" w:space="0" w:color="000000"/>
                                  </w:tcBorders>
                                </w:tcPr>
                                <w:p w:rsidR="00D862F2" w:rsidRDefault="00884FE4">
                                  <w:pPr>
                                    <w:pStyle w:val="TableParagraph"/>
                                    <w:spacing w:line="217" w:lineRule="exact"/>
                                    <w:ind w:right="103"/>
                                    <w:rPr>
                                      <w:sz w:val="18"/>
                                    </w:rPr>
                                  </w:pPr>
                                  <w:r>
                                    <w:rPr>
                                      <w:sz w:val="18"/>
                                    </w:rPr>
                                    <w:t>13.1%</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6-10</w:t>
                                  </w:r>
                                  <w:r>
                                    <w:rPr>
                                      <w:spacing w:val="-2"/>
                                      <w:sz w:val="18"/>
                                    </w:rPr>
                                    <w:t xml:space="preserve"> </w:t>
                                  </w:r>
                                  <w:r>
                                    <w:rPr>
                                      <w:sz w:val="18"/>
                                    </w:rPr>
                                    <w:t>years</w:t>
                                  </w:r>
                                </w:p>
                              </w:tc>
                              <w:tc>
                                <w:tcPr>
                                  <w:tcW w:w="1008" w:type="dxa"/>
                                  <w:tcBorders>
                                    <w:left w:val="single" w:sz="4" w:space="0" w:color="000000"/>
                                  </w:tcBorders>
                                </w:tcPr>
                                <w:p w:rsidR="00D862F2" w:rsidRDefault="00884FE4">
                                  <w:pPr>
                                    <w:pStyle w:val="TableParagraph"/>
                                    <w:spacing w:before="3"/>
                                    <w:ind w:right="117"/>
                                    <w:rPr>
                                      <w:sz w:val="18"/>
                                    </w:rPr>
                                  </w:pPr>
                                  <w:r>
                                    <w:rPr>
                                      <w:sz w:val="18"/>
                                    </w:rPr>
                                    <w:t>45,770</w:t>
                                  </w:r>
                                </w:p>
                              </w:tc>
                              <w:tc>
                                <w:tcPr>
                                  <w:tcW w:w="691" w:type="dxa"/>
                                  <w:tcBorders>
                                    <w:right w:val="single" w:sz="4" w:space="0" w:color="000000"/>
                                  </w:tcBorders>
                                </w:tcPr>
                                <w:p w:rsidR="00D862F2" w:rsidRDefault="00884FE4">
                                  <w:pPr>
                                    <w:pStyle w:val="TableParagraph"/>
                                    <w:spacing w:before="3"/>
                                    <w:ind w:right="106"/>
                                    <w:rPr>
                                      <w:sz w:val="18"/>
                                    </w:rPr>
                                  </w:pPr>
                                  <w:r>
                                    <w:rPr>
                                      <w:sz w:val="18"/>
                                    </w:rPr>
                                    <w:t>21.2%</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45,583</w:t>
                                  </w:r>
                                </w:p>
                              </w:tc>
                              <w:tc>
                                <w:tcPr>
                                  <w:tcW w:w="722" w:type="dxa"/>
                                  <w:tcBorders>
                                    <w:right w:val="single" w:sz="4" w:space="0" w:color="000000"/>
                                  </w:tcBorders>
                                </w:tcPr>
                                <w:p w:rsidR="00D862F2" w:rsidRDefault="00884FE4">
                                  <w:pPr>
                                    <w:pStyle w:val="TableParagraph"/>
                                    <w:spacing w:before="3"/>
                                    <w:ind w:right="103"/>
                                    <w:rPr>
                                      <w:sz w:val="18"/>
                                    </w:rPr>
                                  </w:pPr>
                                  <w:r>
                                    <w:rPr>
                                      <w:sz w:val="18"/>
                                    </w:rPr>
                                    <w:t>20.7%</w:t>
                                  </w:r>
                                </w:p>
                              </w:tc>
                              <w:tc>
                                <w:tcPr>
                                  <w:tcW w:w="1061" w:type="dxa"/>
                                  <w:tcBorders>
                                    <w:left w:val="single" w:sz="4" w:space="0" w:color="000000"/>
                                  </w:tcBorders>
                                </w:tcPr>
                                <w:p w:rsidR="00D862F2" w:rsidRDefault="00884FE4">
                                  <w:pPr>
                                    <w:pStyle w:val="TableParagraph"/>
                                    <w:spacing w:before="3"/>
                                    <w:ind w:right="198"/>
                                    <w:rPr>
                                      <w:sz w:val="18"/>
                                    </w:rPr>
                                  </w:pPr>
                                  <w:r>
                                    <w:rPr>
                                      <w:sz w:val="18"/>
                                    </w:rPr>
                                    <w:t>47,605</w:t>
                                  </w:r>
                                </w:p>
                              </w:tc>
                              <w:tc>
                                <w:tcPr>
                                  <w:tcW w:w="768" w:type="dxa"/>
                                  <w:tcBorders>
                                    <w:right w:val="single" w:sz="4" w:space="0" w:color="000000"/>
                                  </w:tcBorders>
                                </w:tcPr>
                                <w:p w:rsidR="00D862F2" w:rsidRDefault="00884FE4">
                                  <w:pPr>
                                    <w:pStyle w:val="TableParagraph"/>
                                    <w:spacing w:before="3"/>
                                    <w:ind w:right="101"/>
                                    <w:rPr>
                                      <w:sz w:val="18"/>
                                    </w:rPr>
                                  </w:pPr>
                                  <w:r>
                                    <w:rPr>
                                      <w:sz w:val="18"/>
                                    </w:rPr>
                                    <w:t>20.8%</w:t>
                                  </w:r>
                                </w:p>
                              </w:tc>
                              <w:tc>
                                <w:tcPr>
                                  <w:tcW w:w="977" w:type="dxa"/>
                                  <w:tcBorders>
                                    <w:left w:val="single" w:sz="4" w:space="0" w:color="000000"/>
                                  </w:tcBorders>
                                </w:tcPr>
                                <w:p w:rsidR="00D862F2" w:rsidRDefault="00884FE4">
                                  <w:pPr>
                                    <w:pStyle w:val="TableParagraph"/>
                                    <w:spacing w:before="3"/>
                                    <w:ind w:right="107"/>
                                    <w:rPr>
                                      <w:sz w:val="18"/>
                                    </w:rPr>
                                  </w:pPr>
                                  <w:r>
                                    <w:rPr>
                                      <w:sz w:val="18"/>
                                    </w:rPr>
                                    <w:t>42,386</w:t>
                                  </w:r>
                                </w:p>
                              </w:tc>
                              <w:tc>
                                <w:tcPr>
                                  <w:tcW w:w="679" w:type="dxa"/>
                                  <w:tcBorders>
                                    <w:right w:val="single" w:sz="4" w:space="0" w:color="000000"/>
                                  </w:tcBorders>
                                </w:tcPr>
                                <w:p w:rsidR="00D862F2" w:rsidRDefault="00884FE4">
                                  <w:pPr>
                                    <w:pStyle w:val="TableParagraph"/>
                                    <w:spacing w:before="3"/>
                                    <w:ind w:right="103"/>
                                    <w:rPr>
                                      <w:sz w:val="18"/>
                                    </w:rPr>
                                  </w:pPr>
                                  <w:r>
                                    <w:rPr>
                                      <w:sz w:val="18"/>
                                    </w:rPr>
                                    <w:t>20.2%</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11-15</w:t>
                                  </w:r>
                                  <w:r>
                                    <w:rPr>
                                      <w:spacing w:val="-2"/>
                                      <w:sz w:val="18"/>
                                    </w:rPr>
                                    <w:t xml:space="preserve"> </w:t>
                                  </w:r>
                                  <w:r>
                                    <w:rPr>
                                      <w:sz w:val="18"/>
                                    </w:rPr>
                                    <w:t>years</w:t>
                                  </w:r>
                                </w:p>
                              </w:tc>
                              <w:tc>
                                <w:tcPr>
                                  <w:tcW w:w="1008" w:type="dxa"/>
                                  <w:tcBorders>
                                    <w:left w:val="single" w:sz="4" w:space="0" w:color="000000"/>
                                  </w:tcBorders>
                                </w:tcPr>
                                <w:p w:rsidR="00D862F2" w:rsidRDefault="00884FE4">
                                  <w:pPr>
                                    <w:pStyle w:val="TableParagraph"/>
                                    <w:spacing w:before="3"/>
                                    <w:ind w:right="117"/>
                                    <w:rPr>
                                      <w:sz w:val="18"/>
                                    </w:rPr>
                                  </w:pPr>
                                  <w:r>
                                    <w:rPr>
                                      <w:sz w:val="18"/>
                                    </w:rPr>
                                    <w:t>48,420</w:t>
                                  </w:r>
                                </w:p>
                              </w:tc>
                              <w:tc>
                                <w:tcPr>
                                  <w:tcW w:w="691" w:type="dxa"/>
                                  <w:tcBorders>
                                    <w:right w:val="single" w:sz="4" w:space="0" w:color="000000"/>
                                  </w:tcBorders>
                                </w:tcPr>
                                <w:p w:rsidR="00D862F2" w:rsidRDefault="00884FE4">
                                  <w:pPr>
                                    <w:pStyle w:val="TableParagraph"/>
                                    <w:spacing w:before="3"/>
                                    <w:ind w:right="107"/>
                                    <w:rPr>
                                      <w:sz w:val="18"/>
                                    </w:rPr>
                                  </w:pPr>
                                  <w:r>
                                    <w:rPr>
                                      <w:sz w:val="18"/>
                                    </w:rPr>
                                    <w:t>22.4%</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49,285</w:t>
                                  </w:r>
                                </w:p>
                              </w:tc>
                              <w:tc>
                                <w:tcPr>
                                  <w:tcW w:w="722" w:type="dxa"/>
                                  <w:tcBorders>
                                    <w:right w:val="single" w:sz="4" w:space="0" w:color="000000"/>
                                  </w:tcBorders>
                                </w:tcPr>
                                <w:p w:rsidR="00D862F2" w:rsidRDefault="00884FE4">
                                  <w:pPr>
                                    <w:pStyle w:val="TableParagraph"/>
                                    <w:spacing w:before="3"/>
                                    <w:ind w:right="103"/>
                                    <w:rPr>
                                      <w:sz w:val="18"/>
                                    </w:rPr>
                                  </w:pPr>
                                  <w:r>
                                    <w:rPr>
                                      <w:sz w:val="18"/>
                                    </w:rPr>
                                    <w:t>22.4%</w:t>
                                  </w:r>
                                </w:p>
                              </w:tc>
                              <w:tc>
                                <w:tcPr>
                                  <w:tcW w:w="1061" w:type="dxa"/>
                                  <w:tcBorders>
                                    <w:left w:val="single" w:sz="4" w:space="0" w:color="000000"/>
                                  </w:tcBorders>
                                </w:tcPr>
                                <w:p w:rsidR="00D862F2" w:rsidRDefault="00884FE4">
                                  <w:pPr>
                                    <w:pStyle w:val="TableParagraph"/>
                                    <w:spacing w:before="3"/>
                                    <w:ind w:right="198"/>
                                    <w:rPr>
                                      <w:sz w:val="18"/>
                                    </w:rPr>
                                  </w:pPr>
                                  <w:r>
                                    <w:rPr>
                                      <w:sz w:val="18"/>
                                    </w:rPr>
                                    <w:t>51,807</w:t>
                                  </w:r>
                                </w:p>
                              </w:tc>
                              <w:tc>
                                <w:tcPr>
                                  <w:tcW w:w="768" w:type="dxa"/>
                                  <w:tcBorders>
                                    <w:right w:val="single" w:sz="4" w:space="0" w:color="000000"/>
                                  </w:tcBorders>
                                </w:tcPr>
                                <w:p w:rsidR="00D862F2" w:rsidRDefault="00884FE4">
                                  <w:pPr>
                                    <w:pStyle w:val="TableParagraph"/>
                                    <w:spacing w:before="3"/>
                                    <w:ind w:right="101"/>
                                    <w:rPr>
                                      <w:sz w:val="18"/>
                                    </w:rPr>
                                  </w:pPr>
                                  <w:r>
                                    <w:rPr>
                                      <w:sz w:val="18"/>
                                    </w:rPr>
                                    <w:t>22.6%</w:t>
                                  </w:r>
                                </w:p>
                              </w:tc>
                              <w:tc>
                                <w:tcPr>
                                  <w:tcW w:w="977" w:type="dxa"/>
                                  <w:tcBorders>
                                    <w:left w:val="single" w:sz="4" w:space="0" w:color="000000"/>
                                  </w:tcBorders>
                                </w:tcPr>
                                <w:p w:rsidR="00D862F2" w:rsidRDefault="00884FE4">
                                  <w:pPr>
                                    <w:pStyle w:val="TableParagraph"/>
                                    <w:spacing w:before="3"/>
                                    <w:ind w:right="107"/>
                                    <w:rPr>
                                      <w:sz w:val="18"/>
                                    </w:rPr>
                                  </w:pPr>
                                  <w:r>
                                    <w:rPr>
                                      <w:sz w:val="18"/>
                                    </w:rPr>
                                    <w:t>46,884</w:t>
                                  </w:r>
                                </w:p>
                              </w:tc>
                              <w:tc>
                                <w:tcPr>
                                  <w:tcW w:w="679" w:type="dxa"/>
                                  <w:tcBorders>
                                    <w:right w:val="single" w:sz="4" w:space="0" w:color="000000"/>
                                  </w:tcBorders>
                                </w:tcPr>
                                <w:p w:rsidR="00D862F2" w:rsidRDefault="00884FE4">
                                  <w:pPr>
                                    <w:pStyle w:val="TableParagraph"/>
                                    <w:spacing w:before="3"/>
                                    <w:ind w:right="103"/>
                                    <w:rPr>
                                      <w:sz w:val="18"/>
                                    </w:rPr>
                                  </w:pPr>
                                  <w:r>
                                    <w:rPr>
                                      <w:sz w:val="18"/>
                                    </w:rPr>
                                    <w:t>22.4%</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16-18</w:t>
                                  </w:r>
                                  <w:r>
                                    <w:rPr>
                                      <w:spacing w:val="-2"/>
                                      <w:sz w:val="18"/>
                                    </w:rPr>
                                    <w:t xml:space="preserve"> </w:t>
                                  </w:r>
                                  <w:r>
                                    <w:rPr>
                                      <w:sz w:val="18"/>
                                    </w:rPr>
                                    <w:t>years</w:t>
                                  </w:r>
                                </w:p>
                              </w:tc>
                              <w:tc>
                                <w:tcPr>
                                  <w:tcW w:w="1008" w:type="dxa"/>
                                  <w:tcBorders>
                                    <w:left w:val="single" w:sz="4" w:space="0" w:color="000000"/>
                                  </w:tcBorders>
                                </w:tcPr>
                                <w:p w:rsidR="00D862F2" w:rsidRDefault="00884FE4">
                                  <w:pPr>
                                    <w:pStyle w:val="TableParagraph"/>
                                    <w:spacing w:before="3"/>
                                    <w:ind w:right="117"/>
                                    <w:rPr>
                                      <w:sz w:val="18"/>
                                    </w:rPr>
                                  </w:pPr>
                                  <w:r>
                                    <w:rPr>
                                      <w:sz w:val="18"/>
                                    </w:rPr>
                                    <w:t>25,317</w:t>
                                  </w:r>
                                </w:p>
                              </w:tc>
                              <w:tc>
                                <w:tcPr>
                                  <w:tcW w:w="691" w:type="dxa"/>
                                  <w:tcBorders>
                                    <w:right w:val="single" w:sz="4" w:space="0" w:color="000000"/>
                                  </w:tcBorders>
                                </w:tcPr>
                                <w:p w:rsidR="00D862F2" w:rsidRDefault="00884FE4">
                                  <w:pPr>
                                    <w:pStyle w:val="TableParagraph"/>
                                    <w:spacing w:before="3"/>
                                    <w:ind w:right="107"/>
                                    <w:rPr>
                                      <w:sz w:val="18"/>
                                    </w:rPr>
                                  </w:pPr>
                                  <w:r>
                                    <w:rPr>
                                      <w:sz w:val="18"/>
                                    </w:rPr>
                                    <w:t>11.7%</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26,090</w:t>
                                  </w:r>
                                </w:p>
                              </w:tc>
                              <w:tc>
                                <w:tcPr>
                                  <w:tcW w:w="722" w:type="dxa"/>
                                  <w:tcBorders>
                                    <w:right w:val="single" w:sz="4" w:space="0" w:color="000000"/>
                                  </w:tcBorders>
                                </w:tcPr>
                                <w:p w:rsidR="00D862F2" w:rsidRDefault="00884FE4">
                                  <w:pPr>
                                    <w:pStyle w:val="TableParagraph"/>
                                    <w:spacing w:before="3"/>
                                    <w:ind w:right="103"/>
                                    <w:rPr>
                                      <w:sz w:val="18"/>
                                    </w:rPr>
                                  </w:pPr>
                                  <w:r>
                                    <w:rPr>
                                      <w:sz w:val="18"/>
                                    </w:rPr>
                                    <w:t>11.9%</w:t>
                                  </w:r>
                                </w:p>
                              </w:tc>
                              <w:tc>
                                <w:tcPr>
                                  <w:tcW w:w="1061" w:type="dxa"/>
                                  <w:tcBorders>
                                    <w:left w:val="single" w:sz="4" w:space="0" w:color="000000"/>
                                  </w:tcBorders>
                                </w:tcPr>
                                <w:p w:rsidR="00D862F2" w:rsidRDefault="00884FE4">
                                  <w:pPr>
                                    <w:pStyle w:val="TableParagraph"/>
                                    <w:spacing w:before="3"/>
                                    <w:ind w:right="198"/>
                                    <w:rPr>
                                      <w:sz w:val="18"/>
                                    </w:rPr>
                                  </w:pPr>
                                  <w:r>
                                    <w:rPr>
                                      <w:sz w:val="18"/>
                                    </w:rPr>
                                    <w:t>27,457</w:t>
                                  </w:r>
                                </w:p>
                              </w:tc>
                              <w:tc>
                                <w:tcPr>
                                  <w:tcW w:w="768" w:type="dxa"/>
                                  <w:tcBorders>
                                    <w:right w:val="single" w:sz="4" w:space="0" w:color="000000"/>
                                  </w:tcBorders>
                                </w:tcPr>
                                <w:p w:rsidR="00D862F2" w:rsidRDefault="00884FE4">
                                  <w:pPr>
                                    <w:pStyle w:val="TableParagraph"/>
                                    <w:spacing w:before="3"/>
                                    <w:ind w:right="101"/>
                                    <w:rPr>
                                      <w:sz w:val="18"/>
                                    </w:rPr>
                                  </w:pPr>
                                  <w:r>
                                    <w:rPr>
                                      <w:sz w:val="18"/>
                                    </w:rPr>
                                    <w:t>12.0%</w:t>
                                  </w:r>
                                </w:p>
                              </w:tc>
                              <w:tc>
                                <w:tcPr>
                                  <w:tcW w:w="977" w:type="dxa"/>
                                  <w:tcBorders>
                                    <w:left w:val="single" w:sz="4" w:space="0" w:color="000000"/>
                                  </w:tcBorders>
                                </w:tcPr>
                                <w:p w:rsidR="00D862F2" w:rsidRDefault="00884FE4">
                                  <w:pPr>
                                    <w:pStyle w:val="TableParagraph"/>
                                    <w:spacing w:before="3"/>
                                    <w:ind w:right="107"/>
                                    <w:rPr>
                                      <w:sz w:val="18"/>
                                    </w:rPr>
                                  </w:pPr>
                                  <w:r>
                                    <w:rPr>
                                      <w:sz w:val="18"/>
                                    </w:rPr>
                                    <w:t>26,020</w:t>
                                  </w:r>
                                </w:p>
                              </w:tc>
                              <w:tc>
                                <w:tcPr>
                                  <w:tcW w:w="679" w:type="dxa"/>
                                  <w:tcBorders>
                                    <w:right w:val="single" w:sz="4" w:space="0" w:color="000000"/>
                                  </w:tcBorders>
                                </w:tcPr>
                                <w:p w:rsidR="00D862F2" w:rsidRDefault="00884FE4">
                                  <w:pPr>
                                    <w:pStyle w:val="TableParagraph"/>
                                    <w:spacing w:before="3"/>
                                    <w:ind w:right="103"/>
                                    <w:rPr>
                                      <w:sz w:val="18"/>
                                    </w:rPr>
                                  </w:pPr>
                                  <w:r>
                                    <w:rPr>
                                      <w:sz w:val="18"/>
                                    </w:rPr>
                                    <w:t>12.4%</w:t>
                                  </w:r>
                                </w:p>
                              </w:tc>
                            </w:tr>
                            <w:tr w:rsidR="00D862F2">
                              <w:trPr>
                                <w:trHeight w:val="263"/>
                              </w:trPr>
                              <w:tc>
                                <w:tcPr>
                                  <w:tcW w:w="2359" w:type="dxa"/>
                                  <w:tcBorders>
                                    <w:left w:val="single" w:sz="4" w:space="0" w:color="000000"/>
                                    <w:bottom w:val="single" w:sz="4" w:space="0" w:color="000000"/>
                                    <w:right w:val="single" w:sz="4" w:space="0" w:color="000000"/>
                                  </w:tcBorders>
                                </w:tcPr>
                                <w:p w:rsidR="00D862F2" w:rsidRDefault="00884FE4">
                                  <w:pPr>
                                    <w:pStyle w:val="TableParagraph"/>
                                    <w:spacing w:before="3"/>
                                    <w:ind w:left="115"/>
                                    <w:jc w:val="left"/>
                                    <w:rPr>
                                      <w:sz w:val="18"/>
                                    </w:rPr>
                                  </w:pPr>
                                  <w:r>
                                    <w:rPr>
                                      <w:sz w:val="18"/>
                                    </w:rPr>
                                    <w:t>19+</w:t>
                                  </w:r>
                                  <w:r>
                                    <w:rPr>
                                      <w:spacing w:val="-2"/>
                                      <w:sz w:val="18"/>
                                    </w:rPr>
                                    <w:t xml:space="preserve"> </w:t>
                                  </w:r>
                                  <w:r>
                                    <w:rPr>
                                      <w:sz w:val="18"/>
                                    </w:rPr>
                                    <w:t>years</w:t>
                                  </w:r>
                                </w:p>
                              </w:tc>
                              <w:tc>
                                <w:tcPr>
                                  <w:tcW w:w="1008" w:type="dxa"/>
                                  <w:tcBorders>
                                    <w:left w:val="single" w:sz="4" w:space="0" w:color="000000"/>
                                    <w:bottom w:val="single" w:sz="4" w:space="0" w:color="000000"/>
                                  </w:tcBorders>
                                </w:tcPr>
                                <w:p w:rsidR="00D862F2" w:rsidRDefault="00884FE4">
                                  <w:pPr>
                                    <w:pStyle w:val="TableParagraph"/>
                                    <w:spacing w:before="3"/>
                                    <w:ind w:right="117"/>
                                    <w:rPr>
                                      <w:sz w:val="18"/>
                                    </w:rPr>
                                  </w:pPr>
                                  <w:r>
                                    <w:rPr>
                                      <w:sz w:val="18"/>
                                    </w:rPr>
                                    <w:t>26,760</w:t>
                                  </w:r>
                                </w:p>
                              </w:tc>
                              <w:tc>
                                <w:tcPr>
                                  <w:tcW w:w="691" w:type="dxa"/>
                                  <w:tcBorders>
                                    <w:bottom w:val="single" w:sz="4" w:space="0" w:color="000000"/>
                                    <w:right w:val="single" w:sz="4" w:space="0" w:color="000000"/>
                                  </w:tcBorders>
                                </w:tcPr>
                                <w:p w:rsidR="00D862F2" w:rsidRDefault="00884FE4">
                                  <w:pPr>
                                    <w:pStyle w:val="TableParagraph"/>
                                    <w:spacing w:before="3"/>
                                    <w:ind w:right="107"/>
                                    <w:rPr>
                                      <w:sz w:val="18"/>
                                    </w:rPr>
                                  </w:pPr>
                                  <w:r>
                                    <w:rPr>
                                      <w:sz w:val="18"/>
                                    </w:rPr>
                                    <w:t>12.4%</w:t>
                                  </w:r>
                                </w:p>
                              </w:tc>
                              <w:tc>
                                <w:tcPr>
                                  <w:tcW w:w="1085" w:type="dxa"/>
                                  <w:tcBorders>
                                    <w:left w:val="single" w:sz="4" w:space="0" w:color="000000"/>
                                    <w:bottom w:val="single" w:sz="4" w:space="0" w:color="000000"/>
                                  </w:tcBorders>
                                </w:tcPr>
                                <w:p w:rsidR="00D862F2" w:rsidRDefault="00884FE4">
                                  <w:pPr>
                                    <w:pStyle w:val="TableParagraph"/>
                                    <w:spacing w:before="3"/>
                                    <w:ind w:left="425"/>
                                    <w:jc w:val="left"/>
                                    <w:rPr>
                                      <w:sz w:val="18"/>
                                    </w:rPr>
                                  </w:pPr>
                                  <w:r>
                                    <w:rPr>
                                      <w:sz w:val="18"/>
                                    </w:rPr>
                                    <w:t>27,807</w:t>
                                  </w:r>
                                </w:p>
                              </w:tc>
                              <w:tc>
                                <w:tcPr>
                                  <w:tcW w:w="722"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12.6%</w:t>
                                  </w:r>
                                </w:p>
                              </w:tc>
                              <w:tc>
                                <w:tcPr>
                                  <w:tcW w:w="1061" w:type="dxa"/>
                                  <w:tcBorders>
                                    <w:left w:val="single" w:sz="4" w:space="0" w:color="000000"/>
                                    <w:bottom w:val="single" w:sz="4" w:space="0" w:color="000000"/>
                                  </w:tcBorders>
                                </w:tcPr>
                                <w:p w:rsidR="00D862F2" w:rsidRDefault="00884FE4">
                                  <w:pPr>
                                    <w:pStyle w:val="TableParagraph"/>
                                    <w:spacing w:before="3"/>
                                    <w:ind w:right="198"/>
                                    <w:rPr>
                                      <w:sz w:val="18"/>
                                    </w:rPr>
                                  </w:pPr>
                                  <w:r>
                                    <w:rPr>
                                      <w:sz w:val="18"/>
                                    </w:rPr>
                                    <w:t>28,556</w:t>
                                  </w:r>
                                </w:p>
                              </w:tc>
                              <w:tc>
                                <w:tcPr>
                                  <w:tcW w:w="768" w:type="dxa"/>
                                  <w:tcBorders>
                                    <w:bottom w:val="single" w:sz="4" w:space="0" w:color="000000"/>
                                    <w:right w:val="single" w:sz="4" w:space="0" w:color="000000"/>
                                  </w:tcBorders>
                                </w:tcPr>
                                <w:p w:rsidR="00D862F2" w:rsidRDefault="00884FE4">
                                  <w:pPr>
                                    <w:pStyle w:val="TableParagraph"/>
                                    <w:spacing w:before="3"/>
                                    <w:ind w:right="101"/>
                                    <w:rPr>
                                      <w:sz w:val="18"/>
                                    </w:rPr>
                                  </w:pPr>
                                  <w:r>
                                    <w:rPr>
                                      <w:sz w:val="18"/>
                                    </w:rPr>
                                    <w:t>12.5%</w:t>
                                  </w:r>
                                </w:p>
                              </w:tc>
                              <w:tc>
                                <w:tcPr>
                                  <w:tcW w:w="977" w:type="dxa"/>
                                  <w:tcBorders>
                                    <w:left w:val="single" w:sz="4" w:space="0" w:color="000000"/>
                                    <w:bottom w:val="single" w:sz="4" w:space="0" w:color="000000"/>
                                  </w:tcBorders>
                                </w:tcPr>
                                <w:p w:rsidR="00D862F2" w:rsidRDefault="00884FE4">
                                  <w:pPr>
                                    <w:pStyle w:val="TableParagraph"/>
                                    <w:spacing w:before="3"/>
                                    <w:ind w:right="107"/>
                                    <w:rPr>
                                      <w:sz w:val="18"/>
                                    </w:rPr>
                                  </w:pPr>
                                  <w:r>
                                    <w:rPr>
                                      <w:sz w:val="18"/>
                                    </w:rPr>
                                    <w:t>27,178</w:t>
                                  </w:r>
                                </w:p>
                              </w:tc>
                              <w:tc>
                                <w:tcPr>
                                  <w:tcW w:w="679"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13.0%</w:t>
                                  </w:r>
                                </w:p>
                              </w:tc>
                            </w:tr>
                            <w:tr w:rsidR="00D862F2">
                              <w:trPr>
                                <w:trHeight w:val="249"/>
                              </w:trPr>
                              <w:tc>
                                <w:tcPr>
                                  <w:tcW w:w="2359" w:type="dxa"/>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115"/>
                                    <w:jc w:val="left"/>
                                    <w:rPr>
                                      <w:b/>
                                      <w:sz w:val="18"/>
                                    </w:rPr>
                                  </w:pPr>
                                  <w:r>
                                    <w:rPr>
                                      <w:b/>
                                      <w:sz w:val="18"/>
                                    </w:rPr>
                                    <w:t>Race/Ethnicity</w:t>
                                  </w:r>
                                  <w:r>
                                    <w:rPr>
                                      <w:b/>
                                      <w:sz w:val="18"/>
                                      <w:vertAlign w:val="superscript"/>
                                    </w:rPr>
                                    <w:t>*</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2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r>
                            <w:tr w:rsidR="00D862F2">
                              <w:trPr>
                                <w:trHeight w:val="250"/>
                              </w:trPr>
                              <w:tc>
                                <w:tcPr>
                                  <w:tcW w:w="2359" w:type="dxa"/>
                                  <w:tcBorders>
                                    <w:top w:val="single" w:sz="4" w:space="0" w:color="000000"/>
                                    <w:left w:val="single" w:sz="4" w:space="0" w:color="000000"/>
                                    <w:right w:val="single" w:sz="4" w:space="0" w:color="000000"/>
                                  </w:tcBorders>
                                </w:tcPr>
                                <w:p w:rsidR="00D862F2" w:rsidRDefault="00884FE4">
                                  <w:pPr>
                                    <w:pStyle w:val="TableParagraph"/>
                                    <w:spacing w:line="219" w:lineRule="exact"/>
                                    <w:ind w:left="115"/>
                                    <w:jc w:val="left"/>
                                    <w:rPr>
                                      <w:sz w:val="18"/>
                                    </w:rPr>
                                  </w:pPr>
                                  <w:r>
                                    <w:rPr>
                                      <w:sz w:val="18"/>
                                    </w:rPr>
                                    <w:t>Asian,</w:t>
                                  </w:r>
                                  <w:r>
                                    <w:rPr>
                                      <w:spacing w:val="-3"/>
                                      <w:sz w:val="18"/>
                                    </w:rPr>
                                    <w:t xml:space="preserve"> </w:t>
                                  </w:r>
                                  <w:r>
                                    <w:rPr>
                                      <w:sz w:val="18"/>
                                    </w:rPr>
                                    <w:t>non-Hispanic</w:t>
                                  </w:r>
                                </w:p>
                              </w:tc>
                              <w:tc>
                                <w:tcPr>
                                  <w:tcW w:w="1008" w:type="dxa"/>
                                  <w:tcBorders>
                                    <w:top w:val="single" w:sz="4" w:space="0" w:color="000000"/>
                                    <w:left w:val="single" w:sz="4" w:space="0" w:color="000000"/>
                                  </w:tcBorders>
                                </w:tcPr>
                                <w:p w:rsidR="00D862F2" w:rsidRDefault="00884FE4">
                                  <w:pPr>
                                    <w:pStyle w:val="TableParagraph"/>
                                    <w:spacing w:line="219" w:lineRule="exact"/>
                                    <w:ind w:right="117"/>
                                    <w:rPr>
                                      <w:sz w:val="18"/>
                                    </w:rPr>
                                  </w:pPr>
                                  <w:r>
                                    <w:rPr>
                                      <w:sz w:val="18"/>
                                    </w:rPr>
                                    <w:t>7,042</w:t>
                                  </w:r>
                                </w:p>
                              </w:tc>
                              <w:tc>
                                <w:tcPr>
                                  <w:tcW w:w="691" w:type="dxa"/>
                                  <w:tcBorders>
                                    <w:top w:val="single" w:sz="4" w:space="0" w:color="000000"/>
                                    <w:right w:val="single" w:sz="4" w:space="0" w:color="000000"/>
                                  </w:tcBorders>
                                </w:tcPr>
                                <w:p w:rsidR="00D862F2" w:rsidRDefault="00884FE4">
                                  <w:pPr>
                                    <w:pStyle w:val="TableParagraph"/>
                                    <w:spacing w:line="219" w:lineRule="exact"/>
                                    <w:ind w:right="106"/>
                                    <w:rPr>
                                      <w:sz w:val="18"/>
                                    </w:rPr>
                                  </w:pPr>
                                  <w:r>
                                    <w:rPr>
                                      <w:sz w:val="18"/>
                                    </w:rPr>
                                    <w:t>4.2%</w:t>
                                  </w:r>
                                </w:p>
                              </w:tc>
                              <w:tc>
                                <w:tcPr>
                                  <w:tcW w:w="1085" w:type="dxa"/>
                                  <w:tcBorders>
                                    <w:top w:val="single" w:sz="4" w:space="0" w:color="000000"/>
                                    <w:left w:val="single" w:sz="4" w:space="0" w:color="000000"/>
                                  </w:tcBorders>
                                </w:tcPr>
                                <w:p w:rsidR="00D862F2" w:rsidRDefault="00884FE4">
                                  <w:pPr>
                                    <w:pStyle w:val="TableParagraph"/>
                                    <w:spacing w:line="219" w:lineRule="exact"/>
                                    <w:ind w:left="516"/>
                                    <w:jc w:val="left"/>
                                    <w:rPr>
                                      <w:sz w:val="18"/>
                                    </w:rPr>
                                  </w:pPr>
                                  <w:r>
                                    <w:rPr>
                                      <w:sz w:val="18"/>
                                    </w:rPr>
                                    <w:t>7,113</w:t>
                                  </w:r>
                                </w:p>
                              </w:tc>
                              <w:tc>
                                <w:tcPr>
                                  <w:tcW w:w="722"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4.2%</w:t>
                                  </w:r>
                                </w:p>
                              </w:tc>
                              <w:tc>
                                <w:tcPr>
                                  <w:tcW w:w="1061" w:type="dxa"/>
                                  <w:tcBorders>
                                    <w:top w:val="single" w:sz="4" w:space="0" w:color="000000"/>
                                    <w:left w:val="single" w:sz="4" w:space="0" w:color="000000"/>
                                  </w:tcBorders>
                                </w:tcPr>
                                <w:p w:rsidR="00D862F2" w:rsidRDefault="00884FE4">
                                  <w:pPr>
                                    <w:pStyle w:val="TableParagraph"/>
                                    <w:spacing w:line="219" w:lineRule="exact"/>
                                    <w:ind w:right="199"/>
                                    <w:rPr>
                                      <w:sz w:val="18"/>
                                    </w:rPr>
                                  </w:pPr>
                                  <w:r>
                                    <w:rPr>
                                      <w:sz w:val="18"/>
                                    </w:rPr>
                                    <w:t>7,049</w:t>
                                  </w:r>
                                </w:p>
                              </w:tc>
                              <w:tc>
                                <w:tcPr>
                                  <w:tcW w:w="768" w:type="dxa"/>
                                  <w:tcBorders>
                                    <w:top w:val="single" w:sz="4" w:space="0" w:color="000000"/>
                                    <w:right w:val="single" w:sz="4" w:space="0" w:color="000000"/>
                                  </w:tcBorders>
                                </w:tcPr>
                                <w:p w:rsidR="00D862F2" w:rsidRDefault="00884FE4">
                                  <w:pPr>
                                    <w:pStyle w:val="TableParagraph"/>
                                    <w:spacing w:line="219" w:lineRule="exact"/>
                                    <w:ind w:right="101"/>
                                    <w:rPr>
                                      <w:sz w:val="18"/>
                                    </w:rPr>
                                  </w:pPr>
                                  <w:r>
                                    <w:rPr>
                                      <w:sz w:val="18"/>
                                    </w:rPr>
                                    <w:t>4.2%</w:t>
                                  </w:r>
                                </w:p>
                              </w:tc>
                              <w:tc>
                                <w:tcPr>
                                  <w:tcW w:w="977" w:type="dxa"/>
                                  <w:tcBorders>
                                    <w:top w:val="single" w:sz="4" w:space="0" w:color="000000"/>
                                    <w:left w:val="single" w:sz="4" w:space="0" w:color="000000"/>
                                  </w:tcBorders>
                                </w:tcPr>
                                <w:p w:rsidR="00D862F2" w:rsidRDefault="00884FE4">
                                  <w:pPr>
                                    <w:pStyle w:val="TableParagraph"/>
                                    <w:spacing w:line="219" w:lineRule="exact"/>
                                    <w:ind w:right="108"/>
                                    <w:rPr>
                                      <w:sz w:val="18"/>
                                    </w:rPr>
                                  </w:pPr>
                                  <w:r>
                                    <w:rPr>
                                      <w:sz w:val="18"/>
                                    </w:rPr>
                                    <w:t>6,200</w:t>
                                  </w:r>
                                </w:p>
                              </w:tc>
                              <w:tc>
                                <w:tcPr>
                                  <w:tcW w:w="679"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4.1%</w:t>
                                  </w:r>
                                </w:p>
                              </w:tc>
                            </w:tr>
                            <w:tr w:rsidR="00D862F2">
                              <w:trPr>
                                <w:trHeight w:val="254"/>
                              </w:trPr>
                              <w:tc>
                                <w:tcPr>
                                  <w:tcW w:w="2359" w:type="dxa"/>
                                  <w:tcBorders>
                                    <w:left w:val="single" w:sz="4" w:space="0" w:color="000000"/>
                                    <w:right w:val="single" w:sz="4" w:space="0" w:color="000000"/>
                                  </w:tcBorders>
                                </w:tcPr>
                                <w:p w:rsidR="00D862F2" w:rsidRDefault="00884FE4">
                                  <w:pPr>
                                    <w:pStyle w:val="TableParagraph"/>
                                    <w:spacing w:line="218" w:lineRule="exact"/>
                                    <w:ind w:left="115"/>
                                    <w:jc w:val="left"/>
                                    <w:rPr>
                                      <w:sz w:val="18"/>
                                    </w:rPr>
                                  </w:pPr>
                                  <w:r>
                                    <w:rPr>
                                      <w:sz w:val="18"/>
                                    </w:rPr>
                                    <w:t>Black,</w:t>
                                  </w:r>
                                  <w:r>
                                    <w:rPr>
                                      <w:spacing w:val="-4"/>
                                      <w:sz w:val="18"/>
                                    </w:rPr>
                                    <w:t xml:space="preserve"> </w:t>
                                  </w:r>
                                  <w:r>
                                    <w:rPr>
                                      <w:sz w:val="18"/>
                                    </w:rPr>
                                    <w:t>non-Hispanic</w:t>
                                  </w:r>
                                </w:p>
                              </w:tc>
                              <w:tc>
                                <w:tcPr>
                                  <w:tcW w:w="1008" w:type="dxa"/>
                                  <w:tcBorders>
                                    <w:left w:val="single" w:sz="4" w:space="0" w:color="000000"/>
                                  </w:tcBorders>
                                </w:tcPr>
                                <w:p w:rsidR="00D862F2" w:rsidRDefault="00884FE4">
                                  <w:pPr>
                                    <w:pStyle w:val="TableParagraph"/>
                                    <w:spacing w:line="218" w:lineRule="exact"/>
                                    <w:ind w:right="117"/>
                                    <w:rPr>
                                      <w:sz w:val="18"/>
                                    </w:rPr>
                                  </w:pPr>
                                  <w:r>
                                    <w:rPr>
                                      <w:sz w:val="18"/>
                                    </w:rPr>
                                    <w:t>17,564</w:t>
                                  </w:r>
                                </w:p>
                              </w:tc>
                              <w:tc>
                                <w:tcPr>
                                  <w:tcW w:w="691" w:type="dxa"/>
                                  <w:tcBorders>
                                    <w:right w:val="single" w:sz="4" w:space="0" w:color="000000"/>
                                  </w:tcBorders>
                                </w:tcPr>
                                <w:p w:rsidR="00D862F2" w:rsidRDefault="00884FE4">
                                  <w:pPr>
                                    <w:pStyle w:val="TableParagraph"/>
                                    <w:spacing w:line="218" w:lineRule="exact"/>
                                    <w:ind w:right="107"/>
                                    <w:rPr>
                                      <w:sz w:val="18"/>
                                    </w:rPr>
                                  </w:pPr>
                                  <w:r>
                                    <w:rPr>
                                      <w:sz w:val="18"/>
                                    </w:rPr>
                                    <w:t>10.5%</w:t>
                                  </w:r>
                                </w:p>
                              </w:tc>
                              <w:tc>
                                <w:tcPr>
                                  <w:tcW w:w="1085" w:type="dxa"/>
                                  <w:tcBorders>
                                    <w:left w:val="single" w:sz="4" w:space="0" w:color="000000"/>
                                  </w:tcBorders>
                                </w:tcPr>
                                <w:p w:rsidR="00D862F2" w:rsidRDefault="00884FE4">
                                  <w:pPr>
                                    <w:pStyle w:val="TableParagraph"/>
                                    <w:spacing w:line="218" w:lineRule="exact"/>
                                    <w:ind w:left="425"/>
                                    <w:jc w:val="left"/>
                                    <w:rPr>
                                      <w:sz w:val="18"/>
                                    </w:rPr>
                                  </w:pPr>
                                  <w:r>
                                    <w:rPr>
                                      <w:sz w:val="18"/>
                                    </w:rPr>
                                    <w:t>17,322</w:t>
                                  </w:r>
                                </w:p>
                              </w:tc>
                              <w:tc>
                                <w:tcPr>
                                  <w:tcW w:w="722" w:type="dxa"/>
                                  <w:tcBorders>
                                    <w:right w:val="single" w:sz="4" w:space="0" w:color="000000"/>
                                  </w:tcBorders>
                                </w:tcPr>
                                <w:p w:rsidR="00D862F2" w:rsidRDefault="00884FE4">
                                  <w:pPr>
                                    <w:pStyle w:val="TableParagraph"/>
                                    <w:spacing w:line="218" w:lineRule="exact"/>
                                    <w:ind w:right="103"/>
                                    <w:rPr>
                                      <w:sz w:val="18"/>
                                    </w:rPr>
                                  </w:pPr>
                                  <w:r>
                                    <w:rPr>
                                      <w:sz w:val="18"/>
                                    </w:rPr>
                                    <w:t>10.3%</w:t>
                                  </w:r>
                                </w:p>
                              </w:tc>
                              <w:tc>
                                <w:tcPr>
                                  <w:tcW w:w="1061" w:type="dxa"/>
                                  <w:tcBorders>
                                    <w:left w:val="single" w:sz="4" w:space="0" w:color="000000"/>
                                  </w:tcBorders>
                                </w:tcPr>
                                <w:p w:rsidR="00D862F2" w:rsidRDefault="00884FE4">
                                  <w:pPr>
                                    <w:pStyle w:val="TableParagraph"/>
                                    <w:spacing w:line="218" w:lineRule="exact"/>
                                    <w:ind w:right="198"/>
                                    <w:rPr>
                                      <w:sz w:val="18"/>
                                    </w:rPr>
                                  </w:pPr>
                                  <w:r>
                                    <w:rPr>
                                      <w:sz w:val="18"/>
                                    </w:rPr>
                                    <w:t>17,343</w:t>
                                  </w:r>
                                </w:p>
                              </w:tc>
                              <w:tc>
                                <w:tcPr>
                                  <w:tcW w:w="768" w:type="dxa"/>
                                  <w:tcBorders>
                                    <w:right w:val="single" w:sz="4" w:space="0" w:color="000000"/>
                                  </w:tcBorders>
                                </w:tcPr>
                                <w:p w:rsidR="00D862F2" w:rsidRDefault="00884FE4">
                                  <w:pPr>
                                    <w:pStyle w:val="TableParagraph"/>
                                    <w:spacing w:line="218" w:lineRule="exact"/>
                                    <w:ind w:right="101"/>
                                    <w:rPr>
                                      <w:sz w:val="18"/>
                                    </w:rPr>
                                  </w:pPr>
                                  <w:r>
                                    <w:rPr>
                                      <w:sz w:val="18"/>
                                    </w:rPr>
                                    <w:t>10.2%</w:t>
                                  </w:r>
                                </w:p>
                              </w:tc>
                              <w:tc>
                                <w:tcPr>
                                  <w:tcW w:w="977" w:type="dxa"/>
                                  <w:tcBorders>
                                    <w:left w:val="single" w:sz="4" w:space="0" w:color="000000"/>
                                  </w:tcBorders>
                                </w:tcPr>
                                <w:p w:rsidR="00D862F2" w:rsidRDefault="00884FE4">
                                  <w:pPr>
                                    <w:pStyle w:val="TableParagraph"/>
                                    <w:spacing w:line="218" w:lineRule="exact"/>
                                    <w:ind w:right="107"/>
                                    <w:rPr>
                                      <w:sz w:val="18"/>
                                    </w:rPr>
                                  </w:pPr>
                                  <w:r>
                                    <w:rPr>
                                      <w:sz w:val="18"/>
                                    </w:rPr>
                                    <w:t>15,040</w:t>
                                  </w:r>
                                </w:p>
                              </w:tc>
                              <w:tc>
                                <w:tcPr>
                                  <w:tcW w:w="679" w:type="dxa"/>
                                  <w:tcBorders>
                                    <w:right w:val="single" w:sz="4" w:space="0" w:color="000000"/>
                                  </w:tcBorders>
                                </w:tcPr>
                                <w:p w:rsidR="00D862F2" w:rsidRDefault="00884FE4">
                                  <w:pPr>
                                    <w:pStyle w:val="TableParagraph"/>
                                    <w:spacing w:line="218" w:lineRule="exact"/>
                                    <w:ind w:right="103"/>
                                    <w:rPr>
                                      <w:sz w:val="18"/>
                                    </w:rPr>
                                  </w:pPr>
                                  <w:r>
                                    <w:rPr>
                                      <w:sz w:val="18"/>
                                    </w:rPr>
                                    <w:t>10.0%</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Hispanic</w:t>
                                  </w:r>
                                </w:p>
                              </w:tc>
                              <w:tc>
                                <w:tcPr>
                                  <w:tcW w:w="1008" w:type="dxa"/>
                                  <w:tcBorders>
                                    <w:left w:val="single" w:sz="4" w:space="0" w:color="000000"/>
                                  </w:tcBorders>
                                </w:tcPr>
                                <w:p w:rsidR="00D862F2" w:rsidRDefault="00884FE4">
                                  <w:pPr>
                                    <w:pStyle w:val="TableParagraph"/>
                                    <w:spacing w:before="3"/>
                                    <w:ind w:right="117"/>
                                    <w:rPr>
                                      <w:sz w:val="18"/>
                                    </w:rPr>
                                  </w:pPr>
                                  <w:r>
                                    <w:rPr>
                                      <w:sz w:val="18"/>
                                    </w:rPr>
                                    <w:t>26,188</w:t>
                                  </w:r>
                                </w:p>
                              </w:tc>
                              <w:tc>
                                <w:tcPr>
                                  <w:tcW w:w="691" w:type="dxa"/>
                                  <w:tcBorders>
                                    <w:right w:val="single" w:sz="4" w:space="0" w:color="000000"/>
                                  </w:tcBorders>
                                </w:tcPr>
                                <w:p w:rsidR="00D862F2" w:rsidRDefault="00884FE4">
                                  <w:pPr>
                                    <w:pStyle w:val="TableParagraph"/>
                                    <w:spacing w:before="3"/>
                                    <w:ind w:right="107"/>
                                    <w:rPr>
                                      <w:sz w:val="18"/>
                                    </w:rPr>
                                  </w:pPr>
                                  <w:r>
                                    <w:rPr>
                                      <w:sz w:val="18"/>
                                    </w:rPr>
                                    <w:t>15.6%</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26,576</w:t>
                                  </w:r>
                                </w:p>
                              </w:tc>
                              <w:tc>
                                <w:tcPr>
                                  <w:tcW w:w="722" w:type="dxa"/>
                                  <w:tcBorders>
                                    <w:right w:val="single" w:sz="4" w:space="0" w:color="000000"/>
                                  </w:tcBorders>
                                </w:tcPr>
                                <w:p w:rsidR="00D862F2" w:rsidRDefault="00884FE4">
                                  <w:pPr>
                                    <w:pStyle w:val="TableParagraph"/>
                                    <w:spacing w:before="3"/>
                                    <w:ind w:right="103"/>
                                    <w:rPr>
                                      <w:sz w:val="18"/>
                                    </w:rPr>
                                  </w:pPr>
                                  <w:r>
                                    <w:rPr>
                                      <w:sz w:val="18"/>
                                    </w:rPr>
                                    <w:t>15.9%</w:t>
                                  </w:r>
                                </w:p>
                              </w:tc>
                              <w:tc>
                                <w:tcPr>
                                  <w:tcW w:w="1061" w:type="dxa"/>
                                  <w:tcBorders>
                                    <w:left w:val="single" w:sz="4" w:space="0" w:color="000000"/>
                                  </w:tcBorders>
                                </w:tcPr>
                                <w:p w:rsidR="00D862F2" w:rsidRDefault="00884FE4">
                                  <w:pPr>
                                    <w:pStyle w:val="TableParagraph"/>
                                    <w:spacing w:before="3"/>
                                    <w:ind w:right="198"/>
                                    <w:rPr>
                                      <w:sz w:val="18"/>
                                    </w:rPr>
                                  </w:pPr>
                                  <w:r>
                                    <w:rPr>
                                      <w:sz w:val="18"/>
                                    </w:rPr>
                                    <w:t>27,469</w:t>
                                  </w:r>
                                </w:p>
                              </w:tc>
                              <w:tc>
                                <w:tcPr>
                                  <w:tcW w:w="768" w:type="dxa"/>
                                  <w:tcBorders>
                                    <w:right w:val="single" w:sz="4" w:space="0" w:color="000000"/>
                                  </w:tcBorders>
                                </w:tcPr>
                                <w:p w:rsidR="00D862F2" w:rsidRDefault="00884FE4">
                                  <w:pPr>
                                    <w:pStyle w:val="TableParagraph"/>
                                    <w:spacing w:before="3"/>
                                    <w:ind w:right="101"/>
                                    <w:rPr>
                                      <w:sz w:val="18"/>
                                    </w:rPr>
                                  </w:pPr>
                                  <w:r>
                                    <w:rPr>
                                      <w:sz w:val="18"/>
                                    </w:rPr>
                                    <w:t>16.2%</w:t>
                                  </w:r>
                                </w:p>
                              </w:tc>
                              <w:tc>
                                <w:tcPr>
                                  <w:tcW w:w="977" w:type="dxa"/>
                                  <w:tcBorders>
                                    <w:left w:val="single" w:sz="4" w:space="0" w:color="000000"/>
                                  </w:tcBorders>
                                </w:tcPr>
                                <w:p w:rsidR="00D862F2" w:rsidRDefault="00884FE4">
                                  <w:pPr>
                                    <w:pStyle w:val="TableParagraph"/>
                                    <w:spacing w:before="3"/>
                                    <w:ind w:right="107"/>
                                    <w:rPr>
                                      <w:sz w:val="18"/>
                                    </w:rPr>
                                  </w:pPr>
                                  <w:r>
                                    <w:rPr>
                                      <w:sz w:val="18"/>
                                    </w:rPr>
                                    <w:t>24,531</w:t>
                                  </w:r>
                                </w:p>
                              </w:tc>
                              <w:tc>
                                <w:tcPr>
                                  <w:tcW w:w="679" w:type="dxa"/>
                                  <w:tcBorders>
                                    <w:right w:val="single" w:sz="4" w:space="0" w:color="000000"/>
                                  </w:tcBorders>
                                </w:tcPr>
                                <w:p w:rsidR="00D862F2" w:rsidRDefault="00884FE4">
                                  <w:pPr>
                                    <w:pStyle w:val="TableParagraph"/>
                                    <w:spacing w:before="3"/>
                                    <w:ind w:right="103"/>
                                    <w:rPr>
                                      <w:sz w:val="18"/>
                                    </w:rPr>
                                  </w:pPr>
                                  <w:r>
                                    <w:rPr>
                                      <w:sz w:val="18"/>
                                    </w:rPr>
                                    <w:t>16.3%</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White,</w:t>
                                  </w:r>
                                  <w:r>
                                    <w:rPr>
                                      <w:spacing w:val="-4"/>
                                      <w:sz w:val="18"/>
                                    </w:rPr>
                                    <w:t xml:space="preserve"> </w:t>
                                  </w:r>
                                  <w:r>
                                    <w:rPr>
                                      <w:sz w:val="18"/>
                                    </w:rPr>
                                    <w:t>non-Hispanic</w:t>
                                  </w:r>
                                </w:p>
                              </w:tc>
                              <w:tc>
                                <w:tcPr>
                                  <w:tcW w:w="1008" w:type="dxa"/>
                                  <w:tcBorders>
                                    <w:left w:val="single" w:sz="4" w:space="0" w:color="000000"/>
                                  </w:tcBorders>
                                </w:tcPr>
                                <w:p w:rsidR="00D862F2" w:rsidRDefault="00884FE4">
                                  <w:pPr>
                                    <w:pStyle w:val="TableParagraph"/>
                                    <w:spacing w:before="3"/>
                                    <w:ind w:right="117"/>
                                    <w:rPr>
                                      <w:sz w:val="18"/>
                                    </w:rPr>
                                  </w:pPr>
                                  <w:r>
                                    <w:rPr>
                                      <w:sz w:val="18"/>
                                    </w:rPr>
                                    <w:t>102,492</w:t>
                                  </w:r>
                                </w:p>
                              </w:tc>
                              <w:tc>
                                <w:tcPr>
                                  <w:tcW w:w="691" w:type="dxa"/>
                                  <w:tcBorders>
                                    <w:right w:val="single" w:sz="4" w:space="0" w:color="000000"/>
                                  </w:tcBorders>
                                </w:tcPr>
                                <w:p w:rsidR="00D862F2" w:rsidRDefault="00884FE4">
                                  <w:pPr>
                                    <w:pStyle w:val="TableParagraph"/>
                                    <w:spacing w:before="3"/>
                                    <w:ind w:right="107"/>
                                    <w:rPr>
                                      <w:sz w:val="18"/>
                                    </w:rPr>
                                  </w:pPr>
                                  <w:r>
                                    <w:rPr>
                                      <w:sz w:val="18"/>
                                    </w:rPr>
                                    <w:t>61.1%</w:t>
                                  </w:r>
                                </w:p>
                              </w:tc>
                              <w:tc>
                                <w:tcPr>
                                  <w:tcW w:w="1085" w:type="dxa"/>
                                  <w:tcBorders>
                                    <w:left w:val="single" w:sz="4" w:space="0" w:color="000000"/>
                                  </w:tcBorders>
                                </w:tcPr>
                                <w:p w:rsidR="00D862F2" w:rsidRDefault="00884FE4">
                                  <w:pPr>
                                    <w:pStyle w:val="TableParagraph"/>
                                    <w:spacing w:before="3"/>
                                    <w:ind w:left="333"/>
                                    <w:jc w:val="left"/>
                                    <w:rPr>
                                      <w:sz w:val="18"/>
                                    </w:rPr>
                                  </w:pPr>
                                  <w:r>
                                    <w:rPr>
                                      <w:sz w:val="18"/>
                                    </w:rPr>
                                    <w:t>101,566</w:t>
                                  </w:r>
                                </w:p>
                              </w:tc>
                              <w:tc>
                                <w:tcPr>
                                  <w:tcW w:w="722" w:type="dxa"/>
                                  <w:tcBorders>
                                    <w:right w:val="single" w:sz="4" w:space="0" w:color="000000"/>
                                  </w:tcBorders>
                                </w:tcPr>
                                <w:p w:rsidR="00D862F2" w:rsidRDefault="00884FE4">
                                  <w:pPr>
                                    <w:pStyle w:val="TableParagraph"/>
                                    <w:spacing w:before="3"/>
                                    <w:ind w:right="103"/>
                                    <w:rPr>
                                      <w:sz w:val="18"/>
                                    </w:rPr>
                                  </w:pPr>
                                  <w:r>
                                    <w:rPr>
                                      <w:sz w:val="18"/>
                                    </w:rPr>
                                    <w:t>60.7%</w:t>
                                  </w:r>
                                </w:p>
                              </w:tc>
                              <w:tc>
                                <w:tcPr>
                                  <w:tcW w:w="1061" w:type="dxa"/>
                                  <w:tcBorders>
                                    <w:left w:val="single" w:sz="4" w:space="0" w:color="000000"/>
                                  </w:tcBorders>
                                </w:tcPr>
                                <w:p w:rsidR="00D862F2" w:rsidRDefault="00884FE4">
                                  <w:pPr>
                                    <w:pStyle w:val="TableParagraph"/>
                                    <w:spacing w:before="3"/>
                                    <w:ind w:right="199"/>
                                    <w:rPr>
                                      <w:sz w:val="18"/>
                                    </w:rPr>
                                  </w:pPr>
                                  <w:r>
                                    <w:rPr>
                                      <w:sz w:val="18"/>
                                    </w:rPr>
                                    <w:t>102,572</w:t>
                                  </w:r>
                                </w:p>
                              </w:tc>
                              <w:tc>
                                <w:tcPr>
                                  <w:tcW w:w="768" w:type="dxa"/>
                                  <w:tcBorders>
                                    <w:right w:val="single" w:sz="4" w:space="0" w:color="000000"/>
                                  </w:tcBorders>
                                </w:tcPr>
                                <w:p w:rsidR="00D862F2" w:rsidRDefault="00884FE4">
                                  <w:pPr>
                                    <w:pStyle w:val="TableParagraph"/>
                                    <w:spacing w:before="3"/>
                                    <w:ind w:right="101"/>
                                    <w:rPr>
                                      <w:sz w:val="18"/>
                                    </w:rPr>
                                  </w:pPr>
                                  <w:r>
                                    <w:rPr>
                                      <w:sz w:val="18"/>
                                    </w:rPr>
                                    <w:t>60.4%</w:t>
                                  </w:r>
                                </w:p>
                              </w:tc>
                              <w:tc>
                                <w:tcPr>
                                  <w:tcW w:w="977" w:type="dxa"/>
                                  <w:tcBorders>
                                    <w:left w:val="single" w:sz="4" w:space="0" w:color="000000"/>
                                  </w:tcBorders>
                                </w:tcPr>
                                <w:p w:rsidR="00D862F2" w:rsidRDefault="00884FE4">
                                  <w:pPr>
                                    <w:pStyle w:val="TableParagraph"/>
                                    <w:spacing w:before="3"/>
                                    <w:ind w:right="107"/>
                                    <w:rPr>
                                      <w:sz w:val="18"/>
                                    </w:rPr>
                                  </w:pPr>
                                  <w:r>
                                    <w:rPr>
                                      <w:sz w:val="18"/>
                                    </w:rPr>
                                    <w:t>91,079</w:t>
                                  </w:r>
                                </w:p>
                              </w:tc>
                              <w:tc>
                                <w:tcPr>
                                  <w:tcW w:w="679" w:type="dxa"/>
                                  <w:tcBorders>
                                    <w:right w:val="single" w:sz="4" w:space="0" w:color="000000"/>
                                  </w:tcBorders>
                                </w:tcPr>
                                <w:p w:rsidR="00D862F2" w:rsidRDefault="00884FE4">
                                  <w:pPr>
                                    <w:pStyle w:val="TableParagraph"/>
                                    <w:spacing w:before="3"/>
                                    <w:ind w:right="103"/>
                                    <w:rPr>
                                      <w:sz w:val="18"/>
                                    </w:rPr>
                                  </w:pPr>
                                  <w:r>
                                    <w:rPr>
                                      <w:sz w:val="18"/>
                                    </w:rPr>
                                    <w:t>60.5%</w:t>
                                  </w:r>
                                </w:p>
                              </w:tc>
                            </w:tr>
                            <w:tr w:rsidR="00D862F2">
                              <w:trPr>
                                <w:trHeight w:val="258"/>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Other,</w:t>
                                  </w:r>
                                  <w:r>
                                    <w:rPr>
                                      <w:spacing w:val="-4"/>
                                      <w:sz w:val="18"/>
                                    </w:rPr>
                                    <w:t xml:space="preserve"> </w:t>
                                  </w:r>
                                  <w:r>
                                    <w:rPr>
                                      <w:sz w:val="18"/>
                                    </w:rPr>
                                    <w:t>non-Hispanic</w:t>
                                  </w:r>
                                </w:p>
                              </w:tc>
                              <w:tc>
                                <w:tcPr>
                                  <w:tcW w:w="1008" w:type="dxa"/>
                                  <w:tcBorders>
                                    <w:left w:val="single" w:sz="4" w:space="0" w:color="000000"/>
                                  </w:tcBorders>
                                </w:tcPr>
                                <w:p w:rsidR="00D862F2" w:rsidRDefault="00884FE4">
                                  <w:pPr>
                                    <w:pStyle w:val="TableParagraph"/>
                                    <w:spacing w:before="3"/>
                                    <w:ind w:right="117"/>
                                    <w:rPr>
                                      <w:sz w:val="18"/>
                                    </w:rPr>
                                  </w:pPr>
                                  <w:r>
                                    <w:rPr>
                                      <w:sz w:val="18"/>
                                    </w:rPr>
                                    <w:t>12,087</w:t>
                                  </w:r>
                                </w:p>
                              </w:tc>
                              <w:tc>
                                <w:tcPr>
                                  <w:tcW w:w="691" w:type="dxa"/>
                                  <w:tcBorders>
                                    <w:right w:val="single" w:sz="4" w:space="0" w:color="000000"/>
                                  </w:tcBorders>
                                </w:tcPr>
                                <w:p w:rsidR="00D862F2" w:rsidRDefault="00884FE4">
                                  <w:pPr>
                                    <w:pStyle w:val="TableParagraph"/>
                                    <w:spacing w:before="3"/>
                                    <w:ind w:right="106"/>
                                    <w:rPr>
                                      <w:sz w:val="18"/>
                                    </w:rPr>
                                  </w:pPr>
                                  <w:r>
                                    <w:rPr>
                                      <w:sz w:val="18"/>
                                    </w:rPr>
                                    <w:t>7.2%</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12,450</w:t>
                                  </w:r>
                                </w:p>
                              </w:tc>
                              <w:tc>
                                <w:tcPr>
                                  <w:tcW w:w="722" w:type="dxa"/>
                                  <w:tcBorders>
                                    <w:right w:val="single" w:sz="4" w:space="0" w:color="000000"/>
                                  </w:tcBorders>
                                </w:tcPr>
                                <w:p w:rsidR="00D862F2" w:rsidRDefault="00884FE4">
                                  <w:pPr>
                                    <w:pStyle w:val="TableParagraph"/>
                                    <w:spacing w:before="3"/>
                                    <w:ind w:right="103"/>
                                    <w:rPr>
                                      <w:sz w:val="18"/>
                                    </w:rPr>
                                  </w:pPr>
                                  <w:r>
                                    <w:rPr>
                                      <w:sz w:val="18"/>
                                    </w:rPr>
                                    <w:t>7.4%</w:t>
                                  </w:r>
                                </w:p>
                              </w:tc>
                              <w:tc>
                                <w:tcPr>
                                  <w:tcW w:w="1061" w:type="dxa"/>
                                  <w:tcBorders>
                                    <w:left w:val="single" w:sz="4" w:space="0" w:color="000000"/>
                                  </w:tcBorders>
                                </w:tcPr>
                                <w:p w:rsidR="00D862F2" w:rsidRDefault="00884FE4">
                                  <w:pPr>
                                    <w:pStyle w:val="TableParagraph"/>
                                    <w:spacing w:before="3"/>
                                    <w:ind w:right="198"/>
                                    <w:rPr>
                                      <w:sz w:val="18"/>
                                    </w:rPr>
                                  </w:pPr>
                                  <w:r>
                                    <w:rPr>
                                      <w:sz w:val="18"/>
                                    </w:rPr>
                                    <w:t>12,734</w:t>
                                  </w:r>
                                </w:p>
                              </w:tc>
                              <w:tc>
                                <w:tcPr>
                                  <w:tcW w:w="768" w:type="dxa"/>
                                  <w:tcBorders>
                                    <w:right w:val="single" w:sz="4" w:space="0" w:color="000000"/>
                                  </w:tcBorders>
                                </w:tcPr>
                                <w:p w:rsidR="00D862F2" w:rsidRDefault="00884FE4">
                                  <w:pPr>
                                    <w:pStyle w:val="TableParagraph"/>
                                    <w:spacing w:before="3"/>
                                    <w:ind w:right="101"/>
                                    <w:rPr>
                                      <w:sz w:val="18"/>
                                    </w:rPr>
                                  </w:pPr>
                                  <w:r>
                                    <w:rPr>
                                      <w:sz w:val="18"/>
                                    </w:rPr>
                                    <w:t>7.5%</w:t>
                                  </w:r>
                                </w:p>
                              </w:tc>
                              <w:tc>
                                <w:tcPr>
                                  <w:tcW w:w="977" w:type="dxa"/>
                                  <w:tcBorders>
                                    <w:left w:val="single" w:sz="4" w:space="0" w:color="000000"/>
                                  </w:tcBorders>
                                </w:tcPr>
                                <w:p w:rsidR="00D862F2" w:rsidRDefault="00884FE4">
                                  <w:pPr>
                                    <w:pStyle w:val="TableParagraph"/>
                                    <w:spacing w:before="3"/>
                                    <w:ind w:right="107"/>
                                    <w:rPr>
                                      <w:sz w:val="18"/>
                                    </w:rPr>
                                  </w:pPr>
                                  <w:r>
                                    <w:rPr>
                                      <w:sz w:val="18"/>
                                    </w:rPr>
                                    <w:t>11,561</w:t>
                                  </w:r>
                                </w:p>
                              </w:tc>
                              <w:tc>
                                <w:tcPr>
                                  <w:tcW w:w="679" w:type="dxa"/>
                                  <w:tcBorders>
                                    <w:right w:val="single" w:sz="4" w:space="0" w:color="000000"/>
                                  </w:tcBorders>
                                </w:tcPr>
                                <w:p w:rsidR="00D862F2" w:rsidRDefault="00884FE4">
                                  <w:pPr>
                                    <w:pStyle w:val="TableParagraph"/>
                                    <w:spacing w:before="3"/>
                                    <w:ind w:right="103"/>
                                    <w:rPr>
                                      <w:sz w:val="18"/>
                                    </w:rPr>
                                  </w:pPr>
                                  <w:r>
                                    <w:rPr>
                                      <w:sz w:val="18"/>
                                    </w:rPr>
                                    <w:t>7.7%</w:t>
                                  </w:r>
                                </w:p>
                              </w:tc>
                            </w:tr>
                            <w:tr w:rsidR="00D862F2">
                              <w:trPr>
                                <w:trHeight w:val="261"/>
                              </w:trPr>
                              <w:tc>
                                <w:tcPr>
                                  <w:tcW w:w="2359" w:type="dxa"/>
                                  <w:tcBorders>
                                    <w:left w:val="single" w:sz="4" w:space="0" w:color="000000"/>
                                    <w:bottom w:val="single" w:sz="4" w:space="0" w:color="000000"/>
                                    <w:right w:val="single" w:sz="4" w:space="0" w:color="000000"/>
                                  </w:tcBorders>
                                </w:tcPr>
                                <w:p w:rsidR="00D862F2" w:rsidRDefault="00884FE4">
                                  <w:pPr>
                                    <w:pStyle w:val="TableParagraph"/>
                                    <w:spacing w:before="2"/>
                                    <w:ind w:left="115"/>
                                    <w:jc w:val="left"/>
                                    <w:rPr>
                                      <w:sz w:val="18"/>
                                    </w:rPr>
                                  </w:pPr>
                                  <w:r>
                                    <w:rPr>
                                      <w:sz w:val="18"/>
                                    </w:rPr>
                                    <w:t>Multiracial,</w:t>
                                  </w:r>
                                  <w:r>
                                    <w:rPr>
                                      <w:spacing w:val="-6"/>
                                      <w:sz w:val="18"/>
                                    </w:rPr>
                                    <w:t xml:space="preserve"> </w:t>
                                  </w:r>
                                  <w:r>
                                    <w:rPr>
                                      <w:sz w:val="18"/>
                                    </w:rPr>
                                    <w:t>non-Hispanic</w:t>
                                  </w:r>
                                </w:p>
                              </w:tc>
                              <w:tc>
                                <w:tcPr>
                                  <w:tcW w:w="1008" w:type="dxa"/>
                                  <w:tcBorders>
                                    <w:left w:val="single" w:sz="4" w:space="0" w:color="000000"/>
                                    <w:bottom w:val="single" w:sz="4" w:space="0" w:color="000000"/>
                                  </w:tcBorders>
                                </w:tcPr>
                                <w:p w:rsidR="00D862F2" w:rsidRDefault="00884FE4">
                                  <w:pPr>
                                    <w:pStyle w:val="TableParagraph"/>
                                    <w:spacing w:before="2"/>
                                    <w:ind w:right="117"/>
                                    <w:rPr>
                                      <w:sz w:val="18"/>
                                    </w:rPr>
                                  </w:pPr>
                                  <w:r>
                                    <w:rPr>
                                      <w:sz w:val="18"/>
                                    </w:rPr>
                                    <w:t>2,381</w:t>
                                  </w:r>
                                </w:p>
                              </w:tc>
                              <w:tc>
                                <w:tcPr>
                                  <w:tcW w:w="691" w:type="dxa"/>
                                  <w:tcBorders>
                                    <w:bottom w:val="single" w:sz="4" w:space="0" w:color="000000"/>
                                    <w:right w:val="single" w:sz="4" w:space="0" w:color="000000"/>
                                  </w:tcBorders>
                                </w:tcPr>
                                <w:p w:rsidR="00D862F2" w:rsidRDefault="00884FE4">
                                  <w:pPr>
                                    <w:pStyle w:val="TableParagraph"/>
                                    <w:spacing w:before="2"/>
                                    <w:ind w:right="106"/>
                                    <w:rPr>
                                      <w:sz w:val="18"/>
                                    </w:rPr>
                                  </w:pPr>
                                  <w:r>
                                    <w:rPr>
                                      <w:sz w:val="18"/>
                                    </w:rPr>
                                    <w:t>1.4%</w:t>
                                  </w:r>
                                </w:p>
                              </w:tc>
                              <w:tc>
                                <w:tcPr>
                                  <w:tcW w:w="1085" w:type="dxa"/>
                                  <w:tcBorders>
                                    <w:left w:val="single" w:sz="4" w:space="0" w:color="000000"/>
                                    <w:bottom w:val="single" w:sz="4" w:space="0" w:color="000000"/>
                                  </w:tcBorders>
                                </w:tcPr>
                                <w:p w:rsidR="00D862F2" w:rsidRDefault="00884FE4">
                                  <w:pPr>
                                    <w:pStyle w:val="TableParagraph"/>
                                    <w:spacing w:before="2"/>
                                    <w:ind w:left="516"/>
                                    <w:jc w:val="left"/>
                                    <w:rPr>
                                      <w:sz w:val="18"/>
                                    </w:rPr>
                                  </w:pPr>
                                  <w:r>
                                    <w:rPr>
                                      <w:sz w:val="18"/>
                                    </w:rPr>
                                    <w:t>2,352</w:t>
                                  </w:r>
                                </w:p>
                              </w:tc>
                              <w:tc>
                                <w:tcPr>
                                  <w:tcW w:w="722" w:type="dxa"/>
                                  <w:tcBorders>
                                    <w:bottom w:val="single" w:sz="4" w:space="0" w:color="000000"/>
                                    <w:right w:val="single" w:sz="4" w:space="0" w:color="000000"/>
                                  </w:tcBorders>
                                </w:tcPr>
                                <w:p w:rsidR="00D862F2" w:rsidRDefault="00884FE4">
                                  <w:pPr>
                                    <w:pStyle w:val="TableParagraph"/>
                                    <w:spacing w:before="2"/>
                                    <w:ind w:right="103"/>
                                    <w:rPr>
                                      <w:sz w:val="18"/>
                                    </w:rPr>
                                  </w:pPr>
                                  <w:r>
                                    <w:rPr>
                                      <w:sz w:val="18"/>
                                    </w:rPr>
                                    <w:t>1.4%</w:t>
                                  </w:r>
                                </w:p>
                              </w:tc>
                              <w:tc>
                                <w:tcPr>
                                  <w:tcW w:w="1061" w:type="dxa"/>
                                  <w:tcBorders>
                                    <w:left w:val="single" w:sz="4" w:space="0" w:color="000000"/>
                                    <w:bottom w:val="single" w:sz="4" w:space="0" w:color="000000"/>
                                  </w:tcBorders>
                                </w:tcPr>
                                <w:p w:rsidR="00D862F2" w:rsidRDefault="00884FE4">
                                  <w:pPr>
                                    <w:pStyle w:val="TableParagraph"/>
                                    <w:spacing w:before="2"/>
                                    <w:ind w:right="199"/>
                                    <w:rPr>
                                      <w:sz w:val="18"/>
                                    </w:rPr>
                                  </w:pPr>
                                  <w:r>
                                    <w:rPr>
                                      <w:sz w:val="18"/>
                                    </w:rPr>
                                    <w:t>2,644</w:t>
                                  </w:r>
                                </w:p>
                              </w:tc>
                              <w:tc>
                                <w:tcPr>
                                  <w:tcW w:w="768" w:type="dxa"/>
                                  <w:tcBorders>
                                    <w:bottom w:val="single" w:sz="4" w:space="0" w:color="000000"/>
                                    <w:right w:val="single" w:sz="4" w:space="0" w:color="000000"/>
                                  </w:tcBorders>
                                </w:tcPr>
                                <w:p w:rsidR="00D862F2" w:rsidRDefault="00884FE4">
                                  <w:pPr>
                                    <w:pStyle w:val="TableParagraph"/>
                                    <w:spacing w:before="2"/>
                                    <w:ind w:right="101"/>
                                    <w:rPr>
                                      <w:sz w:val="18"/>
                                    </w:rPr>
                                  </w:pPr>
                                  <w:r>
                                    <w:rPr>
                                      <w:sz w:val="18"/>
                                    </w:rPr>
                                    <w:t>1.6%</w:t>
                                  </w:r>
                                </w:p>
                              </w:tc>
                              <w:tc>
                                <w:tcPr>
                                  <w:tcW w:w="977" w:type="dxa"/>
                                  <w:tcBorders>
                                    <w:left w:val="single" w:sz="4" w:space="0" w:color="000000"/>
                                    <w:bottom w:val="single" w:sz="4" w:space="0" w:color="000000"/>
                                  </w:tcBorders>
                                </w:tcPr>
                                <w:p w:rsidR="00D862F2" w:rsidRDefault="00884FE4">
                                  <w:pPr>
                                    <w:pStyle w:val="TableParagraph"/>
                                    <w:spacing w:before="2"/>
                                    <w:ind w:right="108"/>
                                    <w:rPr>
                                      <w:sz w:val="18"/>
                                    </w:rPr>
                                  </w:pPr>
                                  <w:r>
                                    <w:rPr>
                                      <w:sz w:val="18"/>
                                    </w:rPr>
                                    <w:t>2,173</w:t>
                                  </w:r>
                                </w:p>
                              </w:tc>
                              <w:tc>
                                <w:tcPr>
                                  <w:tcW w:w="679" w:type="dxa"/>
                                  <w:tcBorders>
                                    <w:bottom w:val="single" w:sz="4" w:space="0" w:color="000000"/>
                                    <w:right w:val="single" w:sz="4" w:space="0" w:color="000000"/>
                                  </w:tcBorders>
                                </w:tcPr>
                                <w:p w:rsidR="00D862F2" w:rsidRDefault="00884FE4">
                                  <w:pPr>
                                    <w:pStyle w:val="TableParagraph"/>
                                    <w:spacing w:before="2"/>
                                    <w:ind w:right="103"/>
                                    <w:rPr>
                                      <w:sz w:val="18"/>
                                    </w:rPr>
                                  </w:pPr>
                                  <w:r>
                                    <w:rPr>
                                      <w:sz w:val="18"/>
                                    </w:rPr>
                                    <w:t>1.4%</w:t>
                                  </w:r>
                                </w:p>
                              </w:tc>
                            </w:tr>
                            <w:tr w:rsidR="00D862F2">
                              <w:trPr>
                                <w:trHeight w:val="249"/>
                              </w:trPr>
                              <w:tc>
                                <w:tcPr>
                                  <w:tcW w:w="2359" w:type="dxa"/>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before="1"/>
                                    <w:ind w:left="115"/>
                                    <w:jc w:val="left"/>
                                    <w:rPr>
                                      <w:b/>
                                      <w:sz w:val="18"/>
                                    </w:rPr>
                                  </w:pPr>
                                  <w:r>
                                    <w:rPr>
                                      <w:b/>
                                      <w:sz w:val="18"/>
                                    </w:rPr>
                                    <w:t>Patient</w:t>
                                  </w:r>
                                  <w:r>
                                    <w:rPr>
                                      <w:b/>
                                      <w:spacing w:val="-3"/>
                                      <w:sz w:val="18"/>
                                    </w:rPr>
                                    <w:t xml:space="preserve"> </w:t>
                                  </w:r>
                                  <w:r>
                                    <w:rPr>
                                      <w:b/>
                                      <w:sz w:val="18"/>
                                    </w:rPr>
                                    <w:t>Origin</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2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r>
                            <w:tr w:rsidR="00D862F2">
                              <w:trPr>
                                <w:trHeight w:val="250"/>
                              </w:trPr>
                              <w:tc>
                                <w:tcPr>
                                  <w:tcW w:w="2359" w:type="dxa"/>
                                  <w:tcBorders>
                                    <w:top w:val="single" w:sz="4" w:space="0" w:color="000000"/>
                                    <w:left w:val="single" w:sz="4" w:space="0" w:color="000000"/>
                                    <w:right w:val="single" w:sz="4" w:space="0" w:color="000000"/>
                                  </w:tcBorders>
                                </w:tcPr>
                                <w:p w:rsidR="00D862F2" w:rsidRDefault="00884FE4">
                                  <w:pPr>
                                    <w:pStyle w:val="TableParagraph"/>
                                    <w:spacing w:line="219" w:lineRule="exact"/>
                                    <w:ind w:left="115"/>
                                    <w:jc w:val="left"/>
                                    <w:rPr>
                                      <w:sz w:val="18"/>
                                    </w:rPr>
                                  </w:pPr>
                                  <w:r>
                                    <w:rPr>
                                      <w:sz w:val="18"/>
                                    </w:rPr>
                                    <w:t>HSA_1:</w:t>
                                  </w:r>
                                  <w:r>
                                    <w:rPr>
                                      <w:spacing w:val="-2"/>
                                      <w:sz w:val="18"/>
                                    </w:rPr>
                                    <w:t xml:space="preserve"> </w:t>
                                  </w:r>
                                  <w:r>
                                    <w:rPr>
                                      <w:sz w:val="18"/>
                                    </w:rPr>
                                    <w:t>Western</w:t>
                                  </w:r>
                                  <w:r>
                                    <w:rPr>
                                      <w:spacing w:val="-3"/>
                                      <w:sz w:val="18"/>
                                    </w:rPr>
                                    <w:t xml:space="preserve"> </w:t>
                                  </w:r>
                                  <w:r>
                                    <w:rPr>
                                      <w:sz w:val="18"/>
                                    </w:rPr>
                                    <w:t>MA</w:t>
                                  </w:r>
                                </w:p>
                              </w:tc>
                              <w:tc>
                                <w:tcPr>
                                  <w:tcW w:w="1008" w:type="dxa"/>
                                  <w:tcBorders>
                                    <w:top w:val="single" w:sz="4" w:space="0" w:color="000000"/>
                                    <w:left w:val="single" w:sz="4" w:space="0" w:color="000000"/>
                                  </w:tcBorders>
                                </w:tcPr>
                                <w:p w:rsidR="00D862F2" w:rsidRDefault="00884FE4">
                                  <w:pPr>
                                    <w:pStyle w:val="TableParagraph"/>
                                    <w:spacing w:line="219" w:lineRule="exact"/>
                                    <w:ind w:right="117"/>
                                    <w:rPr>
                                      <w:sz w:val="18"/>
                                    </w:rPr>
                                  </w:pPr>
                                  <w:r>
                                    <w:rPr>
                                      <w:sz w:val="18"/>
                                    </w:rPr>
                                    <w:t>3,646</w:t>
                                  </w:r>
                                </w:p>
                              </w:tc>
                              <w:tc>
                                <w:tcPr>
                                  <w:tcW w:w="691" w:type="dxa"/>
                                  <w:tcBorders>
                                    <w:top w:val="single" w:sz="4" w:space="0" w:color="000000"/>
                                    <w:right w:val="single" w:sz="4" w:space="0" w:color="000000"/>
                                  </w:tcBorders>
                                </w:tcPr>
                                <w:p w:rsidR="00D862F2" w:rsidRDefault="00884FE4">
                                  <w:pPr>
                                    <w:pStyle w:val="TableParagraph"/>
                                    <w:spacing w:line="219" w:lineRule="exact"/>
                                    <w:ind w:right="106"/>
                                    <w:rPr>
                                      <w:sz w:val="18"/>
                                    </w:rPr>
                                  </w:pPr>
                                  <w:r>
                                    <w:rPr>
                                      <w:sz w:val="18"/>
                                    </w:rPr>
                                    <w:t>1.7%</w:t>
                                  </w:r>
                                </w:p>
                              </w:tc>
                              <w:tc>
                                <w:tcPr>
                                  <w:tcW w:w="1085" w:type="dxa"/>
                                  <w:tcBorders>
                                    <w:top w:val="single" w:sz="4" w:space="0" w:color="000000"/>
                                    <w:left w:val="single" w:sz="4" w:space="0" w:color="000000"/>
                                  </w:tcBorders>
                                </w:tcPr>
                                <w:p w:rsidR="00D862F2" w:rsidRDefault="00884FE4">
                                  <w:pPr>
                                    <w:pStyle w:val="TableParagraph"/>
                                    <w:spacing w:line="219" w:lineRule="exact"/>
                                    <w:ind w:left="516"/>
                                    <w:jc w:val="left"/>
                                    <w:rPr>
                                      <w:sz w:val="18"/>
                                    </w:rPr>
                                  </w:pPr>
                                  <w:r>
                                    <w:rPr>
                                      <w:sz w:val="18"/>
                                    </w:rPr>
                                    <w:t>3,834</w:t>
                                  </w:r>
                                </w:p>
                              </w:tc>
                              <w:tc>
                                <w:tcPr>
                                  <w:tcW w:w="722"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1.7%</w:t>
                                  </w:r>
                                </w:p>
                              </w:tc>
                              <w:tc>
                                <w:tcPr>
                                  <w:tcW w:w="1061" w:type="dxa"/>
                                  <w:tcBorders>
                                    <w:top w:val="single" w:sz="4" w:space="0" w:color="000000"/>
                                    <w:left w:val="single" w:sz="4" w:space="0" w:color="000000"/>
                                  </w:tcBorders>
                                </w:tcPr>
                                <w:p w:rsidR="00D862F2" w:rsidRDefault="00884FE4">
                                  <w:pPr>
                                    <w:pStyle w:val="TableParagraph"/>
                                    <w:spacing w:line="219" w:lineRule="exact"/>
                                    <w:ind w:right="199"/>
                                    <w:rPr>
                                      <w:sz w:val="18"/>
                                    </w:rPr>
                                  </w:pPr>
                                  <w:r>
                                    <w:rPr>
                                      <w:sz w:val="18"/>
                                    </w:rPr>
                                    <w:t>4,153</w:t>
                                  </w:r>
                                </w:p>
                              </w:tc>
                              <w:tc>
                                <w:tcPr>
                                  <w:tcW w:w="768" w:type="dxa"/>
                                  <w:tcBorders>
                                    <w:top w:val="single" w:sz="4" w:space="0" w:color="000000"/>
                                    <w:right w:val="single" w:sz="4" w:space="0" w:color="000000"/>
                                  </w:tcBorders>
                                </w:tcPr>
                                <w:p w:rsidR="00D862F2" w:rsidRDefault="00884FE4">
                                  <w:pPr>
                                    <w:pStyle w:val="TableParagraph"/>
                                    <w:spacing w:line="219" w:lineRule="exact"/>
                                    <w:ind w:right="101"/>
                                    <w:rPr>
                                      <w:sz w:val="18"/>
                                    </w:rPr>
                                  </w:pPr>
                                  <w:r>
                                    <w:rPr>
                                      <w:sz w:val="18"/>
                                    </w:rPr>
                                    <w:t>1.8%</w:t>
                                  </w:r>
                                </w:p>
                              </w:tc>
                              <w:tc>
                                <w:tcPr>
                                  <w:tcW w:w="977" w:type="dxa"/>
                                  <w:tcBorders>
                                    <w:top w:val="single" w:sz="4" w:space="0" w:color="000000"/>
                                    <w:left w:val="single" w:sz="4" w:space="0" w:color="000000"/>
                                  </w:tcBorders>
                                </w:tcPr>
                                <w:p w:rsidR="00D862F2" w:rsidRDefault="00884FE4">
                                  <w:pPr>
                                    <w:pStyle w:val="TableParagraph"/>
                                    <w:spacing w:line="219" w:lineRule="exact"/>
                                    <w:ind w:right="108"/>
                                    <w:rPr>
                                      <w:sz w:val="18"/>
                                    </w:rPr>
                                  </w:pPr>
                                  <w:r>
                                    <w:rPr>
                                      <w:sz w:val="18"/>
                                    </w:rPr>
                                    <w:t>3,794</w:t>
                                  </w:r>
                                </w:p>
                              </w:tc>
                              <w:tc>
                                <w:tcPr>
                                  <w:tcW w:w="679"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1.8%</w:t>
                                  </w:r>
                                </w:p>
                              </w:tc>
                            </w:tr>
                            <w:tr w:rsidR="00D862F2">
                              <w:trPr>
                                <w:trHeight w:val="254"/>
                              </w:trPr>
                              <w:tc>
                                <w:tcPr>
                                  <w:tcW w:w="2359" w:type="dxa"/>
                                  <w:tcBorders>
                                    <w:left w:val="single" w:sz="4" w:space="0" w:color="000000"/>
                                    <w:right w:val="single" w:sz="4" w:space="0" w:color="000000"/>
                                  </w:tcBorders>
                                </w:tcPr>
                                <w:p w:rsidR="00D862F2" w:rsidRDefault="00884FE4">
                                  <w:pPr>
                                    <w:pStyle w:val="TableParagraph"/>
                                    <w:spacing w:line="218" w:lineRule="exact"/>
                                    <w:ind w:left="115"/>
                                    <w:jc w:val="left"/>
                                    <w:rPr>
                                      <w:sz w:val="18"/>
                                    </w:rPr>
                                  </w:pPr>
                                  <w:r>
                                    <w:rPr>
                                      <w:sz w:val="18"/>
                                    </w:rPr>
                                    <w:t>HSA_2:</w:t>
                                  </w:r>
                                  <w:r>
                                    <w:rPr>
                                      <w:spacing w:val="-2"/>
                                      <w:sz w:val="18"/>
                                    </w:rPr>
                                    <w:t xml:space="preserve"> </w:t>
                                  </w:r>
                                  <w:r>
                                    <w:rPr>
                                      <w:sz w:val="18"/>
                                    </w:rPr>
                                    <w:t>Central</w:t>
                                  </w:r>
                                  <w:r>
                                    <w:rPr>
                                      <w:spacing w:val="-2"/>
                                      <w:sz w:val="18"/>
                                    </w:rPr>
                                    <w:t xml:space="preserve"> </w:t>
                                  </w:r>
                                  <w:r>
                                    <w:rPr>
                                      <w:sz w:val="18"/>
                                    </w:rPr>
                                    <w:t>MA</w:t>
                                  </w:r>
                                </w:p>
                              </w:tc>
                              <w:tc>
                                <w:tcPr>
                                  <w:tcW w:w="1008" w:type="dxa"/>
                                  <w:tcBorders>
                                    <w:left w:val="single" w:sz="4" w:space="0" w:color="000000"/>
                                  </w:tcBorders>
                                </w:tcPr>
                                <w:p w:rsidR="00D862F2" w:rsidRDefault="00884FE4">
                                  <w:pPr>
                                    <w:pStyle w:val="TableParagraph"/>
                                    <w:spacing w:line="218" w:lineRule="exact"/>
                                    <w:ind w:right="117"/>
                                    <w:rPr>
                                      <w:sz w:val="18"/>
                                    </w:rPr>
                                  </w:pPr>
                                  <w:r>
                                    <w:rPr>
                                      <w:sz w:val="18"/>
                                    </w:rPr>
                                    <w:t>12,896</w:t>
                                  </w:r>
                                </w:p>
                              </w:tc>
                              <w:tc>
                                <w:tcPr>
                                  <w:tcW w:w="691" w:type="dxa"/>
                                  <w:tcBorders>
                                    <w:right w:val="single" w:sz="4" w:space="0" w:color="000000"/>
                                  </w:tcBorders>
                                </w:tcPr>
                                <w:p w:rsidR="00D862F2" w:rsidRDefault="00884FE4">
                                  <w:pPr>
                                    <w:pStyle w:val="TableParagraph"/>
                                    <w:spacing w:line="218" w:lineRule="exact"/>
                                    <w:ind w:right="106"/>
                                    <w:rPr>
                                      <w:sz w:val="18"/>
                                    </w:rPr>
                                  </w:pPr>
                                  <w:r>
                                    <w:rPr>
                                      <w:sz w:val="18"/>
                                    </w:rPr>
                                    <w:t>6.0%</w:t>
                                  </w:r>
                                </w:p>
                              </w:tc>
                              <w:tc>
                                <w:tcPr>
                                  <w:tcW w:w="1085" w:type="dxa"/>
                                  <w:tcBorders>
                                    <w:left w:val="single" w:sz="4" w:space="0" w:color="000000"/>
                                  </w:tcBorders>
                                </w:tcPr>
                                <w:p w:rsidR="00D862F2" w:rsidRDefault="00884FE4">
                                  <w:pPr>
                                    <w:pStyle w:val="TableParagraph"/>
                                    <w:spacing w:line="218" w:lineRule="exact"/>
                                    <w:ind w:left="425"/>
                                    <w:jc w:val="left"/>
                                    <w:rPr>
                                      <w:sz w:val="18"/>
                                    </w:rPr>
                                  </w:pPr>
                                  <w:r>
                                    <w:rPr>
                                      <w:sz w:val="18"/>
                                    </w:rPr>
                                    <w:t>13,073</w:t>
                                  </w:r>
                                </w:p>
                              </w:tc>
                              <w:tc>
                                <w:tcPr>
                                  <w:tcW w:w="722" w:type="dxa"/>
                                  <w:tcBorders>
                                    <w:right w:val="single" w:sz="4" w:space="0" w:color="000000"/>
                                  </w:tcBorders>
                                </w:tcPr>
                                <w:p w:rsidR="00D862F2" w:rsidRDefault="00884FE4">
                                  <w:pPr>
                                    <w:pStyle w:val="TableParagraph"/>
                                    <w:spacing w:line="218" w:lineRule="exact"/>
                                    <w:ind w:right="103"/>
                                    <w:rPr>
                                      <w:sz w:val="18"/>
                                    </w:rPr>
                                  </w:pPr>
                                  <w:r>
                                    <w:rPr>
                                      <w:sz w:val="18"/>
                                    </w:rPr>
                                    <w:t>5.9%</w:t>
                                  </w:r>
                                </w:p>
                              </w:tc>
                              <w:tc>
                                <w:tcPr>
                                  <w:tcW w:w="1061" w:type="dxa"/>
                                  <w:tcBorders>
                                    <w:left w:val="single" w:sz="4" w:space="0" w:color="000000"/>
                                  </w:tcBorders>
                                </w:tcPr>
                                <w:p w:rsidR="00D862F2" w:rsidRDefault="00884FE4">
                                  <w:pPr>
                                    <w:pStyle w:val="TableParagraph"/>
                                    <w:spacing w:line="218" w:lineRule="exact"/>
                                    <w:ind w:right="198"/>
                                    <w:rPr>
                                      <w:sz w:val="18"/>
                                    </w:rPr>
                                  </w:pPr>
                                  <w:r>
                                    <w:rPr>
                                      <w:sz w:val="18"/>
                                    </w:rPr>
                                    <w:t>14,123</w:t>
                                  </w:r>
                                </w:p>
                              </w:tc>
                              <w:tc>
                                <w:tcPr>
                                  <w:tcW w:w="768" w:type="dxa"/>
                                  <w:tcBorders>
                                    <w:right w:val="single" w:sz="4" w:space="0" w:color="000000"/>
                                  </w:tcBorders>
                                </w:tcPr>
                                <w:p w:rsidR="00D862F2" w:rsidRDefault="00884FE4">
                                  <w:pPr>
                                    <w:pStyle w:val="TableParagraph"/>
                                    <w:spacing w:line="218" w:lineRule="exact"/>
                                    <w:ind w:right="101"/>
                                    <w:rPr>
                                      <w:sz w:val="18"/>
                                    </w:rPr>
                                  </w:pPr>
                                  <w:r>
                                    <w:rPr>
                                      <w:sz w:val="18"/>
                                    </w:rPr>
                                    <w:t>6.2%</w:t>
                                  </w:r>
                                </w:p>
                              </w:tc>
                              <w:tc>
                                <w:tcPr>
                                  <w:tcW w:w="977" w:type="dxa"/>
                                  <w:tcBorders>
                                    <w:left w:val="single" w:sz="4" w:space="0" w:color="000000"/>
                                  </w:tcBorders>
                                </w:tcPr>
                                <w:p w:rsidR="00D862F2" w:rsidRDefault="00884FE4">
                                  <w:pPr>
                                    <w:pStyle w:val="TableParagraph"/>
                                    <w:spacing w:line="218" w:lineRule="exact"/>
                                    <w:ind w:right="107"/>
                                    <w:rPr>
                                      <w:sz w:val="18"/>
                                    </w:rPr>
                                  </w:pPr>
                                  <w:r>
                                    <w:rPr>
                                      <w:sz w:val="18"/>
                                    </w:rPr>
                                    <w:t>12,784</w:t>
                                  </w:r>
                                </w:p>
                              </w:tc>
                              <w:tc>
                                <w:tcPr>
                                  <w:tcW w:w="679" w:type="dxa"/>
                                  <w:tcBorders>
                                    <w:right w:val="single" w:sz="4" w:space="0" w:color="000000"/>
                                  </w:tcBorders>
                                </w:tcPr>
                                <w:p w:rsidR="00D862F2" w:rsidRDefault="00884FE4">
                                  <w:pPr>
                                    <w:pStyle w:val="TableParagraph"/>
                                    <w:spacing w:line="218" w:lineRule="exact"/>
                                    <w:ind w:right="103"/>
                                    <w:rPr>
                                      <w:sz w:val="18"/>
                                    </w:rPr>
                                  </w:pPr>
                                  <w:r>
                                    <w:rPr>
                                      <w:sz w:val="18"/>
                                    </w:rPr>
                                    <w:t>6.1%</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HSA_3:</w:t>
                                  </w:r>
                                  <w:r>
                                    <w:rPr>
                                      <w:spacing w:val="-3"/>
                                      <w:sz w:val="18"/>
                                    </w:rPr>
                                    <w:t xml:space="preserve"> </w:t>
                                  </w:r>
                                  <w:r>
                                    <w:rPr>
                                      <w:sz w:val="18"/>
                                    </w:rPr>
                                    <w:t>Northeast</w:t>
                                  </w:r>
                                </w:p>
                              </w:tc>
                              <w:tc>
                                <w:tcPr>
                                  <w:tcW w:w="1008" w:type="dxa"/>
                                  <w:tcBorders>
                                    <w:left w:val="single" w:sz="4" w:space="0" w:color="000000"/>
                                  </w:tcBorders>
                                </w:tcPr>
                                <w:p w:rsidR="00D862F2" w:rsidRDefault="00884FE4">
                                  <w:pPr>
                                    <w:pStyle w:val="TableParagraph"/>
                                    <w:spacing w:before="3"/>
                                    <w:ind w:right="117"/>
                                    <w:rPr>
                                      <w:sz w:val="18"/>
                                    </w:rPr>
                                  </w:pPr>
                                  <w:r>
                                    <w:rPr>
                                      <w:sz w:val="18"/>
                                    </w:rPr>
                                    <w:t>39,537</w:t>
                                  </w:r>
                                </w:p>
                              </w:tc>
                              <w:tc>
                                <w:tcPr>
                                  <w:tcW w:w="691" w:type="dxa"/>
                                  <w:tcBorders>
                                    <w:right w:val="single" w:sz="4" w:space="0" w:color="000000"/>
                                  </w:tcBorders>
                                </w:tcPr>
                                <w:p w:rsidR="00D862F2" w:rsidRDefault="00884FE4">
                                  <w:pPr>
                                    <w:pStyle w:val="TableParagraph"/>
                                    <w:spacing w:before="3"/>
                                    <w:ind w:right="107"/>
                                    <w:rPr>
                                      <w:sz w:val="18"/>
                                    </w:rPr>
                                  </w:pPr>
                                  <w:r>
                                    <w:rPr>
                                      <w:sz w:val="18"/>
                                    </w:rPr>
                                    <w:t>18.3%</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40,184</w:t>
                                  </w:r>
                                </w:p>
                              </w:tc>
                              <w:tc>
                                <w:tcPr>
                                  <w:tcW w:w="722" w:type="dxa"/>
                                  <w:tcBorders>
                                    <w:right w:val="single" w:sz="4" w:space="0" w:color="000000"/>
                                  </w:tcBorders>
                                </w:tcPr>
                                <w:p w:rsidR="00D862F2" w:rsidRDefault="00884FE4">
                                  <w:pPr>
                                    <w:pStyle w:val="TableParagraph"/>
                                    <w:spacing w:before="3"/>
                                    <w:ind w:right="103"/>
                                    <w:rPr>
                                      <w:sz w:val="18"/>
                                    </w:rPr>
                                  </w:pPr>
                                  <w:r>
                                    <w:rPr>
                                      <w:sz w:val="18"/>
                                    </w:rPr>
                                    <w:t>18.3%</w:t>
                                  </w:r>
                                </w:p>
                              </w:tc>
                              <w:tc>
                                <w:tcPr>
                                  <w:tcW w:w="1061" w:type="dxa"/>
                                  <w:tcBorders>
                                    <w:left w:val="single" w:sz="4" w:space="0" w:color="000000"/>
                                  </w:tcBorders>
                                </w:tcPr>
                                <w:p w:rsidR="00D862F2" w:rsidRDefault="00884FE4">
                                  <w:pPr>
                                    <w:pStyle w:val="TableParagraph"/>
                                    <w:spacing w:before="3"/>
                                    <w:ind w:right="198"/>
                                    <w:rPr>
                                      <w:sz w:val="18"/>
                                    </w:rPr>
                                  </w:pPr>
                                  <w:r>
                                    <w:rPr>
                                      <w:sz w:val="18"/>
                                    </w:rPr>
                                    <w:t>41,660</w:t>
                                  </w:r>
                                </w:p>
                              </w:tc>
                              <w:tc>
                                <w:tcPr>
                                  <w:tcW w:w="768" w:type="dxa"/>
                                  <w:tcBorders>
                                    <w:right w:val="single" w:sz="4" w:space="0" w:color="000000"/>
                                  </w:tcBorders>
                                </w:tcPr>
                                <w:p w:rsidR="00D862F2" w:rsidRDefault="00884FE4">
                                  <w:pPr>
                                    <w:pStyle w:val="TableParagraph"/>
                                    <w:spacing w:before="3"/>
                                    <w:ind w:right="101"/>
                                    <w:rPr>
                                      <w:sz w:val="18"/>
                                    </w:rPr>
                                  </w:pPr>
                                  <w:r>
                                    <w:rPr>
                                      <w:sz w:val="18"/>
                                    </w:rPr>
                                    <w:t>18.2%</w:t>
                                  </w:r>
                                </w:p>
                              </w:tc>
                              <w:tc>
                                <w:tcPr>
                                  <w:tcW w:w="977" w:type="dxa"/>
                                  <w:tcBorders>
                                    <w:left w:val="single" w:sz="4" w:space="0" w:color="000000"/>
                                  </w:tcBorders>
                                </w:tcPr>
                                <w:p w:rsidR="00D862F2" w:rsidRDefault="00884FE4">
                                  <w:pPr>
                                    <w:pStyle w:val="TableParagraph"/>
                                    <w:spacing w:before="3"/>
                                    <w:ind w:right="107"/>
                                    <w:rPr>
                                      <w:sz w:val="18"/>
                                    </w:rPr>
                                  </w:pPr>
                                  <w:r>
                                    <w:rPr>
                                      <w:sz w:val="18"/>
                                    </w:rPr>
                                    <w:t>38,262</w:t>
                                  </w:r>
                                </w:p>
                              </w:tc>
                              <w:tc>
                                <w:tcPr>
                                  <w:tcW w:w="679" w:type="dxa"/>
                                  <w:tcBorders>
                                    <w:right w:val="single" w:sz="4" w:space="0" w:color="000000"/>
                                  </w:tcBorders>
                                </w:tcPr>
                                <w:p w:rsidR="00D862F2" w:rsidRDefault="00884FE4">
                                  <w:pPr>
                                    <w:pStyle w:val="TableParagraph"/>
                                    <w:spacing w:before="3"/>
                                    <w:ind w:right="103"/>
                                    <w:rPr>
                                      <w:sz w:val="18"/>
                                    </w:rPr>
                                  </w:pPr>
                                  <w:r>
                                    <w:rPr>
                                      <w:sz w:val="18"/>
                                    </w:rPr>
                                    <w:t>18.3%</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HSA_4:</w:t>
                                  </w:r>
                                  <w:r>
                                    <w:rPr>
                                      <w:spacing w:val="-3"/>
                                      <w:sz w:val="18"/>
                                    </w:rPr>
                                    <w:t xml:space="preserve"> </w:t>
                                  </w:r>
                                  <w:r>
                                    <w:rPr>
                                      <w:sz w:val="18"/>
                                    </w:rPr>
                                    <w:t>Metro</w:t>
                                  </w:r>
                                  <w:r>
                                    <w:rPr>
                                      <w:spacing w:val="-2"/>
                                      <w:sz w:val="18"/>
                                    </w:rPr>
                                    <w:t xml:space="preserve"> </w:t>
                                  </w:r>
                                  <w:r>
                                    <w:rPr>
                                      <w:sz w:val="18"/>
                                    </w:rPr>
                                    <w:t>West</w:t>
                                  </w:r>
                                </w:p>
                              </w:tc>
                              <w:tc>
                                <w:tcPr>
                                  <w:tcW w:w="1008" w:type="dxa"/>
                                  <w:tcBorders>
                                    <w:left w:val="single" w:sz="4" w:space="0" w:color="000000"/>
                                  </w:tcBorders>
                                </w:tcPr>
                                <w:p w:rsidR="00D862F2" w:rsidRDefault="00884FE4">
                                  <w:pPr>
                                    <w:pStyle w:val="TableParagraph"/>
                                    <w:spacing w:before="3"/>
                                    <w:ind w:right="117"/>
                                    <w:rPr>
                                      <w:sz w:val="18"/>
                                    </w:rPr>
                                  </w:pPr>
                                  <w:r>
                                    <w:rPr>
                                      <w:sz w:val="18"/>
                                    </w:rPr>
                                    <w:t>73,594</w:t>
                                  </w:r>
                                </w:p>
                              </w:tc>
                              <w:tc>
                                <w:tcPr>
                                  <w:tcW w:w="691" w:type="dxa"/>
                                  <w:tcBorders>
                                    <w:right w:val="single" w:sz="4" w:space="0" w:color="000000"/>
                                  </w:tcBorders>
                                </w:tcPr>
                                <w:p w:rsidR="00D862F2" w:rsidRDefault="00884FE4">
                                  <w:pPr>
                                    <w:pStyle w:val="TableParagraph"/>
                                    <w:spacing w:before="3"/>
                                    <w:ind w:right="107"/>
                                    <w:rPr>
                                      <w:sz w:val="18"/>
                                    </w:rPr>
                                  </w:pPr>
                                  <w:r>
                                    <w:rPr>
                                      <w:sz w:val="18"/>
                                    </w:rPr>
                                    <w:t>34.0%</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74,532</w:t>
                                  </w:r>
                                </w:p>
                              </w:tc>
                              <w:tc>
                                <w:tcPr>
                                  <w:tcW w:w="722" w:type="dxa"/>
                                  <w:tcBorders>
                                    <w:right w:val="single" w:sz="4" w:space="0" w:color="000000"/>
                                  </w:tcBorders>
                                </w:tcPr>
                                <w:p w:rsidR="00D862F2" w:rsidRDefault="00884FE4">
                                  <w:pPr>
                                    <w:pStyle w:val="TableParagraph"/>
                                    <w:spacing w:before="3"/>
                                    <w:ind w:right="103"/>
                                    <w:rPr>
                                      <w:sz w:val="18"/>
                                    </w:rPr>
                                  </w:pPr>
                                  <w:r>
                                    <w:rPr>
                                      <w:sz w:val="18"/>
                                    </w:rPr>
                                    <w:t>33.9%</w:t>
                                  </w:r>
                                </w:p>
                              </w:tc>
                              <w:tc>
                                <w:tcPr>
                                  <w:tcW w:w="1061" w:type="dxa"/>
                                  <w:tcBorders>
                                    <w:left w:val="single" w:sz="4" w:space="0" w:color="000000"/>
                                  </w:tcBorders>
                                </w:tcPr>
                                <w:p w:rsidR="00D862F2" w:rsidRDefault="00884FE4">
                                  <w:pPr>
                                    <w:pStyle w:val="TableParagraph"/>
                                    <w:spacing w:before="3"/>
                                    <w:ind w:right="198"/>
                                    <w:rPr>
                                      <w:sz w:val="18"/>
                                    </w:rPr>
                                  </w:pPr>
                                  <w:r>
                                    <w:rPr>
                                      <w:sz w:val="18"/>
                                    </w:rPr>
                                    <w:t>76,312</w:t>
                                  </w:r>
                                </w:p>
                              </w:tc>
                              <w:tc>
                                <w:tcPr>
                                  <w:tcW w:w="768" w:type="dxa"/>
                                  <w:tcBorders>
                                    <w:right w:val="single" w:sz="4" w:space="0" w:color="000000"/>
                                  </w:tcBorders>
                                </w:tcPr>
                                <w:p w:rsidR="00D862F2" w:rsidRDefault="00884FE4">
                                  <w:pPr>
                                    <w:pStyle w:val="TableParagraph"/>
                                    <w:spacing w:before="3"/>
                                    <w:ind w:right="101"/>
                                    <w:rPr>
                                      <w:sz w:val="18"/>
                                    </w:rPr>
                                  </w:pPr>
                                  <w:r>
                                    <w:rPr>
                                      <w:sz w:val="18"/>
                                    </w:rPr>
                                    <w:t>33.3%</w:t>
                                  </w:r>
                                </w:p>
                              </w:tc>
                              <w:tc>
                                <w:tcPr>
                                  <w:tcW w:w="977" w:type="dxa"/>
                                  <w:tcBorders>
                                    <w:left w:val="single" w:sz="4" w:space="0" w:color="000000"/>
                                  </w:tcBorders>
                                </w:tcPr>
                                <w:p w:rsidR="00D862F2" w:rsidRDefault="00884FE4">
                                  <w:pPr>
                                    <w:pStyle w:val="TableParagraph"/>
                                    <w:spacing w:before="3"/>
                                    <w:ind w:right="107"/>
                                    <w:rPr>
                                      <w:sz w:val="18"/>
                                    </w:rPr>
                                  </w:pPr>
                                  <w:r>
                                    <w:rPr>
                                      <w:sz w:val="18"/>
                                    </w:rPr>
                                    <w:t>69,264</w:t>
                                  </w:r>
                                </w:p>
                              </w:tc>
                              <w:tc>
                                <w:tcPr>
                                  <w:tcW w:w="679" w:type="dxa"/>
                                  <w:tcBorders>
                                    <w:right w:val="single" w:sz="4" w:space="0" w:color="000000"/>
                                  </w:tcBorders>
                                </w:tcPr>
                                <w:p w:rsidR="00D862F2" w:rsidRDefault="00884FE4">
                                  <w:pPr>
                                    <w:pStyle w:val="TableParagraph"/>
                                    <w:spacing w:before="3"/>
                                    <w:ind w:right="103"/>
                                    <w:rPr>
                                      <w:sz w:val="18"/>
                                    </w:rPr>
                                  </w:pPr>
                                  <w:r>
                                    <w:rPr>
                                      <w:sz w:val="18"/>
                                    </w:rPr>
                                    <w:t>33.0%</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HSA_5:</w:t>
                                  </w:r>
                                  <w:r>
                                    <w:rPr>
                                      <w:spacing w:val="-3"/>
                                      <w:sz w:val="18"/>
                                    </w:rPr>
                                    <w:t xml:space="preserve"> </w:t>
                                  </w:r>
                                  <w:r>
                                    <w:rPr>
                                      <w:sz w:val="18"/>
                                    </w:rPr>
                                    <w:t>Southeast</w:t>
                                  </w:r>
                                </w:p>
                              </w:tc>
                              <w:tc>
                                <w:tcPr>
                                  <w:tcW w:w="1008" w:type="dxa"/>
                                  <w:tcBorders>
                                    <w:left w:val="single" w:sz="4" w:space="0" w:color="000000"/>
                                  </w:tcBorders>
                                </w:tcPr>
                                <w:p w:rsidR="00D862F2" w:rsidRDefault="00884FE4">
                                  <w:pPr>
                                    <w:pStyle w:val="TableParagraph"/>
                                    <w:spacing w:before="3"/>
                                    <w:ind w:right="117"/>
                                    <w:rPr>
                                      <w:sz w:val="18"/>
                                    </w:rPr>
                                  </w:pPr>
                                  <w:r>
                                    <w:rPr>
                                      <w:sz w:val="18"/>
                                    </w:rPr>
                                    <w:t>28,677</w:t>
                                  </w:r>
                                </w:p>
                              </w:tc>
                              <w:tc>
                                <w:tcPr>
                                  <w:tcW w:w="691" w:type="dxa"/>
                                  <w:tcBorders>
                                    <w:right w:val="single" w:sz="4" w:space="0" w:color="000000"/>
                                  </w:tcBorders>
                                </w:tcPr>
                                <w:p w:rsidR="00D862F2" w:rsidRDefault="00884FE4">
                                  <w:pPr>
                                    <w:pStyle w:val="TableParagraph"/>
                                    <w:spacing w:before="3"/>
                                    <w:ind w:right="107"/>
                                    <w:rPr>
                                      <w:sz w:val="18"/>
                                    </w:rPr>
                                  </w:pPr>
                                  <w:r>
                                    <w:rPr>
                                      <w:sz w:val="18"/>
                                    </w:rPr>
                                    <w:t>13.3%</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29,870</w:t>
                                  </w:r>
                                </w:p>
                              </w:tc>
                              <w:tc>
                                <w:tcPr>
                                  <w:tcW w:w="722" w:type="dxa"/>
                                  <w:tcBorders>
                                    <w:right w:val="single" w:sz="4" w:space="0" w:color="000000"/>
                                  </w:tcBorders>
                                </w:tcPr>
                                <w:p w:rsidR="00D862F2" w:rsidRDefault="00884FE4">
                                  <w:pPr>
                                    <w:pStyle w:val="TableParagraph"/>
                                    <w:spacing w:before="3"/>
                                    <w:ind w:right="103"/>
                                    <w:rPr>
                                      <w:sz w:val="18"/>
                                    </w:rPr>
                                  </w:pPr>
                                  <w:r>
                                    <w:rPr>
                                      <w:sz w:val="18"/>
                                    </w:rPr>
                                    <w:t>13.6%</w:t>
                                  </w:r>
                                </w:p>
                              </w:tc>
                              <w:tc>
                                <w:tcPr>
                                  <w:tcW w:w="1061" w:type="dxa"/>
                                  <w:tcBorders>
                                    <w:left w:val="single" w:sz="4" w:space="0" w:color="000000"/>
                                  </w:tcBorders>
                                </w:tcPr>
                                <w:p w:rsidR="00D862F2" w:rsidRDefault="00884FE4">
                                  <w:pPr>
                                    <w:pStyle w:val="TableParagraph"/>
                                    <w:spacing w:before="3"/>
                                    <w:ind w:right="198"/>
                                    <w:rPr>
                                      <w:sz w:val="18"/>
                                    </w:rPr>
                                  </w:pPr>
                                  <w:r>
                                    <w:rPr>
                                      <w:sz w:val="18"/>
                                    </w:rPr>
                                    <w:t>32,111</w:t>
                                  </w:r>
                                </w:p>
                              </w:tc>
                              <w:tc>
                                <w:tcPr>
                                  <w:tcW w:w="768" w:type="dxa"/>
                                  <w:tcBorders>
                                    <w:right w:val="single" w:sz="4" w:space="0" w:color="000000"/>
                                  </w:tcBorders>
                                </w:tcPr>
                                <w:p w:rsidR="00D862F2" w:rsidRDefault="00884FE4">
                                  <w:pPr>
                                    <w:pStyle w:val="TableParagraph"/>
                                    <w:spacing w:before="3"/>
                                    <w:ind w:right="101"/>
                                    <w:rPr>
                                      <w:sz w:val="18"/>
                                    </w:rPr>
                                  </w:pPr>
                                  <w:r>
                                    <w:rPr>
                                      <w:sz w:val="18"/>
                                    </w:rPr>
                                    <w:t>14.0%</w:t>
                                  </w:r>
                                </w:p>
                              </w:tc>
                              <w:tc>
                                <w:tcPr>
                                  <w:tcW w:w="977" w:type="dxa"/>
                                  <w:tcBorders>
                                    <w:left w:val="single" w:sz="4" w:space="0" w:color="000000"/>
                                  </w:tcBorders>
                                </w:tcPr>
                                <w:p w:rsidR="00D862F2" w:rsidRDefault="00884FE4">
                                  <w:pPr>
                                    <w:pStyle w:val="TableParagraph"/>
                                    <w:spacing w:before="3"/>
                                    <w:ind w:right="107"/>
                                    <w:rPr>
                                      <w:sz w:val="18"/>
                                    </w:rPr>
                                  </w:pPr>
                                  <w:r>
                                    <w:rPr>
                                      <w:sz w:val="18"/>
                                    </w:rPr>
                                    <w:t>30,213</w:t>
                                  </w:r>
                                </w:p>
                              </w:tc>
                              <w:tc>
                                <w:tcPr>
                                  <w:tcW w:w="679" w:type="dxa"/>
                                  <w:tcBorders>
                                    <w:right w:val="single" w:sz="4" w:space="0" w:color="000000"/>
                                  </w:tcBorders>
                                </w:tcPr>
                                <w:p w:rsidR="00D862F2" w:rsidRDefault="00884FE4">
                                  <w:pPr>
                                    <w:pStyle w:val="TableParagraph"/>
                                    <w:spacing w:before="3"/>
                                    <w:ind w:right="103"/>
                                    <w:rPr>
                                      <w:sz w:val="18"/>
                                    </w:rPr>
                                  </w:pPr>
                                  <w:r>
                                    <w:rPr>
                                      <w:sz w:val="18"/>
                                    </w:rPr>
                                    <w:t>14.4%</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HSA_6:</w:t>
                                  </w:r>
                                  <w:r>
                                    <w:rPr>
                                      <w:spacing w:val="-3"/>
                                      <w:sz w:val="18"/>
                                    </w:rPr>
                                    <w:t xml:space="preserve"> </w:t>
                                  </w:r>
                                  <w:r>
                                    <w:rPr>
                                      <w:sz w:val="18"/>
                                    </w:rPr>
                                    <w:t>Boston</w:t>
                                  </w:r>
                                </w:p>
                              </w:tc>
                              <w:tc>
                                <w:tcPr>
                                  <w:tcW w:w="1008" w:type="dxa"/>
                                  <w:tcBorders>
                                    <w:left w:val="single" w:sz="4" w:space="0" w:color="000000"/>
                                  </w:tcBorders>
                                </w:tcPr>
                                <w:p w:rsidR="00D862F2" w:rsidRDefault="00884FE4">
                                  <w:pPr>
                                    <w:pStyle w:val="TableParagraph"/>
                                    <w:spacing w:before="3"/>
                                    <w:ind w:right="117"/>
                                    <w:rPr>
                                      <w:sz w:val="18"/>
                                    </w:rPr>
                                  </w:pPr>
                                  <w:r>
                                    <w:rPr>
                                      <w:sz w:val="18"/>
                                    </w:rPr>
                                    <w:t>42,562</w:t>
                                  </w:r>
                                </w:p>
                              </w:tc>
                              <w:tc>
                                <w:tcPr>
                                  <w:tcW w:w="691" w:type="dxa"/>
                                  <w:tcBorders>
                                    <w:right w:val="single" w:sz="4" w:space="0" w:color="000000"/>
                                  </w:tcBorders>
                                </w:tcPr>
                                <w:p w:rsidR="00D862F2" w:rsidRDefault="00884FE4">
                                  <w:pPr>
                                    <w:pStyle w:val="TableParagraph"/>
                                    <w:spacing w:before="3"/>
                                    <w:ind w:right="107"/>
                                    <w:rPr>
                                      <w:sz w:val="18"/>
                                    </w:rPr>
                                  </w:pPr>
                                  <w:r>
                                    <w:rPr>
                                      <w:sz w:val="18"/>
                                    </w:rPr>
                                    <w:t>19.7%</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43,052</w:t>
                                  </w:r>
                                </w:p>
                              </w:tc>
                              <w:tc>
                                <w:tcPr>
                                  <w:tcW w:w="722" w:type="dxa"/>
                                  <w:tcBorders>
                                    <w:right w:val="single" w:sz="4" w:space="0" w:color="000000"/>
                                  </w:tcBorders>
                                </w:tcPr>
                                <w:p w:rsidR="00D862F2" w:rsidRDefault="00884FE4">
                                  <w:pPr>
                                    <w:pStyle w:val="TableParagraph"/>
                                    <w:spacing w:before="3"/>
                                    <w:ind w:right="103"/>
                                    <w:rPr>
                                      <w:sz w:val="18"/>
                                    </w:rPr>
                                  </w:pPr>
                                  <w:r>
                                    <w:rPr>
                                      <w:sz w:val="18"/>
                                    </w:rPr>
                                    <w:t>19.6%</w:t>
                                  </w:r>
                                </w:p>
                              </w:tc>
                              <w:tc>
                                <w:tcPr>
                                  <w:tcW w:w="1061" w:type="dxa"/>
                                  <w:tcBorders>
                                    <w:left w:val="single" w:sz="4" w:space="0" w:color="000000"/>
                                  </w:tcBorders>
                                </w:tcPr>
                                <w:p w:rsidR="00D862F2" w:rsidRDefault="00884FE4">
                                  <w:pPr>
                                    <w:pStyle w:val="TableParagraph"/>
                                    <w:spacing w:before="3"/>
                                    <w:ind w:right="198"/>
                                    <w:rPr>
                                      <w:sz w:val="18"/>
                                    </w:rPr>
                                  </w:pPr>
                                  <w:r>
                                    <w:rPr>
                                      <w:sz w:val="18"/>
                                    </w:rPr>
                                    <w:t>44,850</w:t>
                                  </w:r>
                                </w:p>
                              </w:tc>
                              <w:tc>
                                <w:tcPr>
                                  <w:tcW w:w="768" w:type="dxa"/>
                                  <w:tcBorders>
                                    <w:right w:val="single" w:sz="4" w:space="0" w:color="000000"/>
                                  </w:tcBorders>
                                </w:tcPr>
                                <w:p w:rsidR="00D862F2" w:rsidRDefault="00884FE4">
                                  <w:pPr>
                                    <w:pStyle w:val="TableParagraph"/>
                                    <w:spacing w:before="3"/>
                                    <w:ind w:right="101"/>
                                    <w:rPr>
                                      <w:sz w:val="18"/>
                                    </w:rPr>
                                  </w:pPr>
                                  <w:r>
                                    <w:rPr>
                                      <w:sz w:val="18"/>
                                    </w:rPr>
                                    <w:t>19.6%</w:t>
                                  </w:r>
                                </w:p>
                              </w:tc>
                              <w:tc>
                                <w:tcPr>
                                  <w:tcW w:w="977" w:type="dxa"/>
                                  <w:tcBorders>
                                    <w:left w:val="single" w:sz="4" w:space="0" w:color="000000"/>
                                  </w:tcBorders>
                                </w:tcPr>
                                <w:p w:rsidR="00D862F2" w:rsidRDefault="00884FE4">
                                  <w:pPr>
                                    <w:pStyle w:val="TableParagraph"/>
                                    <w:spacing w:before="3"/>
                                    <w:ind w:right="107"/>
                                    <w:rPr>
                                      <w:sz w:val="18"/>
                                    </w:rPr>
                                  </w:pPr>
                                  <w:r>
                                    <w:rPr>
                                      <w:sz w:val="18"/>
                                    </w:rPr>
                                    <w:t>40,469</w:t>
                                  </w:r>
                                </w:p>
                              </w:tc>
                              <w:tc>
                                <w:tcPr>
                                  <w:tcW w:w="679" w:type="dxa"/>
                                  <w:tcBorders>
                                    <w:right w:val="single" w:sz="4" w:space="0" w:color="000000"/>
                                  </w:tcBorders>
                                </w:tcPr>
                                <w:p w:rsidR="00D862F2" w:rsidRDefault="00884FE4">
                                  <w:pPr>
                                    <w:pStyle w:val="TableParagraph"/>
                                    <w:spacing w:before="3"/>
                                    <w:ind w:right="103"/>
                                    <w:rPr>
                                      <w:sz w:val="18"/>
                                    </w:rPr>
                                  </w:pPr>
                                  <w:r>
                                    <w:rPr>
                                      <w:sz w:val="18"/>
                                    </w:rPr>
                                    <w:t>19.3%</w:t>
                                  </w:r>
                                </w:p>
                              </w:tc>
                            </w:tr>
                            <w:tr w:rsidR="00D862F2">
                              <w:trPr>
                                <w:trHeight w:val="263"/>
                              </w:trPr>
                              <w:tc>
                                <w:tcPr>
                                  <w:tcW w:w="2359" w:type="dxa"/>
                                  <w:tcBorders>
                                    <w:left w:val="single" w:sz="4" w:space="0" w:color="000000"/>
                                    <w:bottom w:val="single" w:sz="4" w:space="0" w:color="000000"/>
                                    <w:right w:val="single" w:sz="4" w:space="0" w:color="000000"/>
                                  </w:tcBorders>
                                </w:tcPr>
                                <w:p w:rsidR="00D862F2" w:rsidRDefault="00884FE4">
                                  <w:pPr>
                                    <w:pStyle w:val="TableParagraph"/>
                                    <w:spacing w:before="3"/>
                                    <w:ind w:left="115"/>
                                    <w:jc w:val="left"/>
                                    <w:rPr>
                                      <w:sz w:val="18"/>
                                    </w:rPr>
                                  </w:pPr>
                                  <w:r>
                                    <w:rPr>
                                      <w:sz w:val="18"/>
                                    </w:rPr>
                                    <w:t>Unknown</w:t>
                                  </w:r>
                                </w:p>
                              </w:tc>
                              <w:tc>
                                <w:tcPr>
                                  <w:tcW w:w="1008" w:type="dxa"/>
                                  <w:tcBorders>
                                    <w:left w:val="single" w:sz="4" w:space="0" w:color="000000"/>
                                    <w:bottom w:val="single" w:sz="4" w:space="0" w:color="000000"/>
                                  </w:tcBorders>
                                </w:tcPr>
                                <w:p w:rsidR="00D862F2" w:rsidRDefault="00884FE4">
                                  <w:pPr>
                                    <w:pStyle w:val="TableParagraph"/>
                                    <w:spacing w:before="3"/>
                                    <w:ind w:right="117"/>
                                    <w:rPr>
                                      <w:sz w:val="18"/>
                                    </w:rPr>
                                  </w:pPr>
                                  <w:r>
                                    <w:rPr>
                                      <w:sz w:val="18"/>
                                    </w:rPr>
                                    <w:t>15,277</w:t>
                                  </w:r>
                                </w:p>
                              </w:tc>
                              <w:tc>
                                <w:tcPr>
                                  <w:tcW w:w="691" w:type="dxa"/>
                                  <w:tcBorders>
                                    <w:bottom w:val="single" w:sz="4" w:space="0" w:color="000000"/>
                                    <w:right w:val="single" w:sz="4" w:space="0" w:color="000000"/>
                                  </w:tcBorders>
                                </w:tcPr>
                                <w:p w:rsidR="00D862F2" w:rsidRDefault="00884FE4">
                                  <w:pPr>
                                    <w:pStyle w:val="TableParagraph"/>
                                    <w:spacing w:before="3"/>
                                    <w:ind w:right="106"/>
                                    <w:rPr>
                                      <w:sz w:val="18"/>
                                    </w:rPr>
                                  </w:pPr>
                                  <w:r>
                                    <w:rPr>
                                      <w:sz w:val="18"/>
                                    </w:rPr>
                                    <w:t>7.1%</w:t>
                                  </w:r>
                                </w:p>
                              </w:tc>
                              <w:tc>
                                <w:tcPr>
                                  <w:tcW w:w="1085" w:type="dxa"/>
                                  <w:tcBorders>
                                    <w:left w:val="single" w:sz="4" w:space="0" w:color="000000"/>
                                    <w:bottom w:val="single" w:sz="4" w:space="0" w:color="000000"/>
                                  </w:tcBorders>
                                </w:tcPr>
                                <w:p w:rsidR="00D862F2" w:rsidRDefault="00884FE4">
                                  <w:pPr>
                                    <w:pStyle w:val="TableParagraph"/>
                                    <w:spacing w:before="3"/>
                                    <w:ind w:left="425"/>
                                    <w:jc w:val="left"/>
                                    <w:rPr>
                                      <w:sz w:val="18"/>
                                    </w:rPr>
                                  </w:pPr>
                                  <w:r>
                                    <w:rPr>
                                      <w:sz w:val="18"/>
                                    </w:rPr>
                                    <w:t>15,312</w:t>
                                  </w:r>
                                </w:p>
                              </w:tc>
                              <w:tc>
                                <w:tcPr>
                                  <w:tcW w:w="722"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7.0%</w:t>
                                  </w:r>
                                </w:p>
                              </w:tc>
                              <w:tc>
                                <w:tcPr>
                                  <w:tcW w:w="1061" w:type="dxa"/>
                                  <w:tcBorders>
                                    <w:left w:val="single" w:sz="4" w:space="0" w:color="000000"/>
                                    <w:bottom w:val="single" w:sz="4" w:space="0" w:color="000000"/>
                                  </w:tcBorders>
                                </w:tcPr>
                                <w:p w:rsidR="00D862F2" w:rsidRDefault="00884FE4">
                                  <w:pPr>
                                    <w:pStyle w:val="TableParagraph"/>
                                    <w:spacing w:before="3"/>
                                    <w:ind w:right="198"/>
                                    <w:rPr>
                                      <w:sz w:val="18"/>
                                    </w:rPr>
                                  </w:pPr>
                                  <w:r>
                                    <w:rPr>
                                      <w:sz w:val="18"/>
                                    </w:rPr>
                                    <w:t>16,133</w:t>
                                  </w:r>
                                </w:p>
                              </w:tc>
                              <w:tc>
                                <w:tcPr>
                                  <w:tcW w:w="768" w:type="dxa"/>
                                  <w:tcBorders>
                                    <w:bottom w:val="single" w:sz="4" w:space="0" w:color="000000"/>
                                    <w:right w:val="single" w:sz="4" w:space="0" w:color="000000"/>
                                  </w:tcBorders>
                                </w:tcPr>
                                <w:p w:rsidR="00D862F2" w:rsidRDefault="00884FE4">
                                  <w:pPr>
                                    <w:pStyle w:val="TableParagraph"/>
                                    <w:spacing w:before="3"/>
                                    <w:ind w:right="101"/>
                                    <w:rPr>
                                      <w:sz w:val="18"/>
                                    </w:rPr>
                                  </w:pPr>
                                  <w:r>
                                    <w:rPr>
                                      <w:sz w:val="18"/>
                                    </w:rPr>
                                    <w:t>7.0%</w:t>
                                  </w:r>
                                </w:p>
                              </w:tc>
                              <w:tc>
                                <w:tcPr>
                                  <w:tcW w:w="977" w:type="dxa"/>
                                  <w:tcBorders>
                                    <w:left w:val="single" w:sz="4" w:space="0" w:color="000000"/>
                                    <w:bottom w:val="single" w:sz="4" w:space="0" w:color="000000"/>
                                  </w:tcBorders>
                                </w:tcPr>
                                <w:p w:rsidR="00D862F2" w:rsidRDefault="00884FE4">
                                  <w:pPr>
                                    <w:pStyle w:val="TableParagraph"/>
                                    <w:spacing w:before="3"/>
                                    <w:ind w:right="107"/>
                                    <w:rPr>
                                      <w:sz w:val="18"/>
                                    </w:rPr>
                                  </w:pPr>
                                  <w:r>
                                    <w:rPr>
                                      <w:sz w:val="18"/>
                                    </w:rPr>
                                    <w:t>14,824</w:t>
                                  </w:r>
                                </w:p>
                              </w:tc>
                              <w:tc>
                                <w:tcPr>
                                  <w:tcW w:w="679"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7.1%</w:t>
                                  </w:r>
                                </w:p>
                              </w:tc>
                            </w:tr>
                          </w:tbl>
                          <w:p w:rsidR="00D862F2" w:rsidRDefault="00D862F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1026" type="#_x0000_t202" style="position:absolute;left:0;text-align:left;margin-left:1in;margin-top:36.65pt;width:468.25pt;height:375.7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" filled="f" stroked="f">
                <v:textbox inset="0,0,0,0">
                  <w:txbxContent>
                    <w:tbl>
                      <w:tblPr>
                        <w:tblW w:w="0" w:type="auto"/>
                        <w:tblInd w:w="5" w:type="dxa"/>
                        <w:tblLayout w:type="fixed"/>
                        <w:tblCellMar>
                          <w:left w:w="0" w:type="dxa"/>
                          <w:right w:w="0" w:type="dxa"/>
                        </w:tblCellMar>
                        <w:tblLook w:val="01E0" w:firstRow="1" w:lastRow="1" w:firstColumn="1" w:lastColumn="1" w:noHBand="0" w:noVBand="0"/>
                      </w:tblPr>
                      <w:tblGrid>
                        <w:gridCol w:w="2359"/>
                        <w:gridCol w:w="1008"/>
                        <w:gridCol w:w="691"/>
                        <w:gridCol w:w="1085"/>
                        <w:gridCol w:w="722"/>
                        <w:gridCol w:w="1061"/>
                        <w:gridCol w:w="768"/>
                        <w:gridCol w:w="977"/>
                        <w:gridCol w:w="679"/>
                      </w:tblGrid>
                      <w:tr w:rsidR="00D862F2">
                        <w:trPr>
                          <w:trHeight w:val="245"/>
                        </w:trPr>
                        <w:tc>
                          <w:tcPr>
                            <w:tcW w:w="2359" w:type="dxa"/>
                            <w:vMerge w:val="restart"/>
                            <w:tcBorders>
                              <w:top w:val="single" w:sz="4" w:space="0" w:color="000000"/>
                              <w:left w:val="single" w:sz="4" w:space="0" w:color="000000"/>
                              <w:bottom w:val="single" w:sz="4" w:space="0" w:color="000000"/>
                              <w:right w:val="single" w:sz="4" w:space="0" w:color="000000"/>
                            </w:tcBorders>
                            <w:shd w:val="clear" w:color="auto" w:fill="2E5395"/>
                          </w:tcPr>
                          <w:p w:rsidR="00D862F2" w:rsidRDefault="00D862F2">
                            <w:pPr>
                              <w:pStyle w:val="TableParagraph"/>
                              <w:jc w:val="left"/>
                              <w:rPr>
                                <w:rFonts w:ascii="Times New Roman"/>
                                <w:sz w:val="18"/>
                              </w:rPr>
                            </w:pPr>
                          </w:p>
                        </w:tc>
                        <w:tc>
                          <w:tcPr>
                            <w:tcW w:w="1699" w:type="dxa"/>
                            <w:gridSpan w:val="2"/>
                            <w:tcBorders>
                              <w:top w:val="single" w:sz="4" w:space="0" w:color="000000"/>
                              <w:left w:val="single" w:sz="4" w:space="0" w:color="000000"/>
                              <w:right w:val="single" w:sz="4" w:space="0" w:color="000000"/>
                            </w:tcBorders>
                            <w:shd w:val="clear" w:color="auto" w:fill="2E5395"/>
                          </w:tcPr>
                          <w:p w:rsidR="00D862F2" w:rsidRDefault="00884FE4">
                            <w:pPr>
                              <w:pStyle w:val="TableParagraph"/>
                              <w:spacing w:line="219" w:lineRule="exact"/>
                              <w:ind w:left="648" w:right="641"/>
                              <w:jc w:val="center"/>
                              <w:rPr>
                                <w:b/>
                                <w:sz w:val="18"/>
                              </w:rPr>
                            </w:pPr>
                            <w:r>
                              <w:rPr>
                                <w:b/>
                                <w:color w:val="FFFFFF"/>
                                <w:sz w:val="18"/>
                              </w:rPr>
                              <w:t>FY17</w:t>
                            </w:r>
                          </w:p>
                        </w:tc>
                        <w:tc>
                          <w:tcPr>
                            <w:tcW w:w="1085" w:type="dxa"/>
                            <w:tcBorders>
                              <w:top w:val="single" w:sz="4" w:space="0" w:color="000000"/>
                              <w:left w:val="single" w:sz="4" w:space="0" w:color="000000"/>
                            </w:tcBorders>
                            <w:shd w:val="clear" w:color="auto" w:fill="2E5395"/>
                          </w:tcPr>
                          <w:p w:rsidR="00D862F2" w:rsidRDefault="00884FE4">
                            <w:pPr>
                              <w:pStyle w:val="TableParagraph"/>
                              <w:spacing w:line="219" w:lineRule="exact"/>
                              <w:ind w:right="-15"/>
                              <w:rPr>
                                <w:b/>
                                <w:sz w:val="18"/>
                              </w:rPr>
                            </w:pPr>
                            <w:r>
                              <w:rPr>
                                <w:b/>
                                <w:color w:val="FFFFFF"/>
                                <w:sz w:val="18"/>
                              </w:rPr>
                              <w:t>FY18</w:t>
                            </w:r>
                          </w:p>
                        </w:tc>
                        <w:tc>
                          <w:tcPr>
                            <w:tcW w:w="722" w:type="dxa"/>
                            <w:tcBorders>
                              <w:top w:val="single" w:sz="4" w:space="0" w:color="000000"/>
                              <w:right w:val="single" w:sz="4" w:space="0" w:color="000000"/>
                            </w:tcBorders>
                            <w:shd w:val="clear" w:color="auto" w:fill="2E5395"/>
                          </w:tcPr>
                          <w:p w:rsidR="00D862F2" w:rsidRDefault="00D862F2">
                            <w:pPr>
                              <w:pStyle w:val="TableParagraph"/>
                              <w:jc w:val="left"/>
                              <w:rPr>
                                <w:rFonts w:ascii="Times New Roman"/>
                                <w:sz w:val="16"/>
                              </w:rPr>
                            </w:pPr>
                          </w:p>
                        </w:tc>
                        <w:tc>
                          <w:tcPr>
                            <w:tcW w:w="1829" w:type="dxa"/>
                            <w:gridSpan w:val="2"/>
                            <w:tcBorders>
                              <w:top w:val="single" w:sz="4" w:space="0" w:color="000000"/>
                              <w:left w:val="single" w:sz="4" w:space="0" w:color="000000"/>
                              <w:right w:val="single" w:sz="4" w:space="0" w:color="000000"/>
                            </w:tcBorders>
                            <w:shd w:val="clear" w:color="auto" w:fill="2E5395"/>
                          </w:tcPr>
                          <w:p w:rsidR="00D862F2" w:rsidRDefault="00884FE4">
                            <w:pPr>
                              <w:pStyle w:val="TableParagraph"/>
                              <w:spacing w:line="219" w:lineRule="exact"/>
                              <w:ind w:left="714" w:right="706"/>
                              <w:jc w:val="center"/>
                              <w:rPr>
                                <w:b/>
                                <w:sz w:val="18"/>
                              </w:rPr>
                            </w:pPr>
                            <w:r>
                              <w:rPr>
                                <w:b/>
                                <w:color w:val="FFFFFF"/>
                                <w:sz w:val="18"/>
                              </w:rPr>
                              <w:t>FY19</w:t>
                            </w:r>
                          </w:p>
                        </w:tc>
                        <w:tc>
                          <w:tcPr>
                            <w:tcW w:w="1656" w:type="dxa"/>
                            <w:gridSpan w:val="2"/>
                            <w:tcBorders>
                              <w:top w:val="single" w:sz="4" w:space="0" w:color="000000"/>
                              <w:left w:val="single" w:sz="4" w:space="0" w:color="000000"/>
                              <w:right w:val="single" w:sz="4" w:space="0" w:color="000000"/>
                            </w:tcBorders>
                            <w:shd w:val="clear" w:color="auto" w:fill="2E5395"/>
                          </w:tcPr>
                          <w:p w:rsidR="00D862F2" w:rsidRDefault="00884FE4">
                            <w:pPr>
                              <w:pStyle w:val="TableParagraph"/>
                              <w:spacing w:line="219" w:lineRule="exact"/>
                              <w:ind w:left="627" w:right="620"/>
                              <w:jc w:val="center"/>
                              <w:rPr>
                                <w:b/>
                                <w:sz w:val="18"/>
                              </w:rPr>
                            </w:pPr>
                            <w:r>
                              <w:rPr>
                                <w:b/>
                                <w:color w:val="FFFFFF"/>
                                <w:sz w:val="18"/>
                              </w:rPr>
                              <w:t>FY20</w:t>
                            </w:r>
                          </w:p>
                        </w:tc>
                      </w:tr>
                      <w:tr w:rsidR="00D862F2">
                        <w:trPr>
                          <w:trHeight w:val="253"/>
                        </w:trPr>
                        <w:tc>
                          <w:tcPr>
                            <w:tcW w:w="2359" w:type="dxa"/>
                            <w:vMerge/>
                            <w:tcBorders>
                              <w:top w:val="nil"/>
                              <w:left w:val="single" w:sz="4" w:space="0" w:color="000000"/>
                              <w:bottom w:val="single" w:sz="4" w:space="0" w:color="000000"/>
                              <w:right w:val="single" w:sz="4" w:space="0" w:color="000000"/>
                            </w:tcBorders>
                            <w:shd w:val="clear" w:color="auto" w:fill="2E5395"/>
                          </w:tcPr>
                          <w:p w:rsidR="00D862F2" w:rsidRDefault="00D862F2">
                            <w:pPr>
                              <w:rPr>
                                <w:sz w:val="2"/>
                                <w:szCs w:val="2"/>
                              </w:rPr>
                            </w:pPr>
                          </w:p>
                        </w:tc>
                        <w:tc>
                          <w:tcPr>
                            <w:tcW w:w="1008" w:type="dxa"/>
                            <w:tcBorders>
                              <w:left w:val="single" w:sz="4" w:space="0" w:color="000000"/>
                              <w:bottom w:val="single" w:sz="4" w:space="0" w:color="000000"/>
                            </w:tcBorders>
                            <w:shd w:val="clear" w:color="auto" w:fill="2E5395"/>
                          </w:tcPr>
                          <w:p w:rsidR="00D862F2" w:rsidRDefault="00884FE4">
                            <w:pPr>
                              <w:pStyle w:val="TableParagraph"/>
                              <w:spacing w:line="213" w:lineRule="exact"/>
                              <w:ind w:right="120"/>
                              <w:rPr>
                                <w:b/>
                                <w:sz w:val="18"/>
                              </w:rPr>
                            </w:pPr>
                            <w:r>
                              <w:rPr>
                                <w:b/>
                                <w:color w:val="FFFFFF"/>
                                <w:sz w:val="18"/>
                              </w:rPr>
                              <w:t>Count</w:t>
                            </w:r>
                          </w:p>
                        </w:tc>
                        <w:tc>
                          <w:tcPr>
                            <w:tcW w:w="691" w:type="dxa"/>
                            <w:tcBorders>
                              <w:bottom w:val="single" w:sz="4" w:space="0" w:color="000000"/>
                              <w:right w:val="single" w:sz="4" w:space="0" w:color="000000"/>
                            </w:tcBorders>
                            <w:shd w:val="clear" w:color="auto" w:fill="2E5395"/>
                          </w:tcPr>
                          <w:p w:rsidR="00D862F2" w:rsidRDefault="00884FE4">
                            <w:pPr>
                              <w:pStyle w:val="TableParagraph"/>
                              <w:spacing w:line="213" w:lineRule="exact"/>
                              <w:ind w:right="106"/>
                              <w:rPr>
                                <w:b/>
                                <w:sz w:val="18"/>
                              </w:rPr>
                            </w:pPr>
                            <w:r>
                              <w:rPr>
                                <w:b/>
                                <w:color w:val="FFFFFF"/>
                                <w:sz w:val="18"/>
                              </w:rPr>
                              <w:t>%</w:t>
                            </w:r>
                          </w:p>
                        </w:tc>
                        <w:tc>
                          <w:tcPr>
                            <w:tcW w:w="1085" w:type="dxa"/>
                            <w:tcBorders>
                              <w:left w:val="single" w:sz="4" w:space="0" w:color="000000"/>
                              <w:bottom w:val="single" w:sz="4" w:space="0" w:color="000000"/>
                            </w:tcBorders>
                            <w:shd w:val="clear" w:color="auto" w:fill="2E5395"/>
                          </w:tcPr>
                          <w:p w:rsidR="00D862F2" w:rsidRDefault="00884FE4">
                            <w:pPr>
                              <w:pStyle w:val="TableParagraph"/>
                              <w:spacing w:line="213" w:lineRule="exact"/>
                              <w:ind w:left="477"/>
                              <w:jc w:val="left"/>
                              <w:rPr>
                                <w:b/>
                                <w:sz w:val="18"/>
                              </w:rPr>
                            </w:pPr>
                            <w:r>
                              <w:rPr>
                                <w:b/>
                                <w:color w:val="FFFFFF"/>
                                <w:sz w:val="18"/>
                              </w:rPr>
                              <w:t>Count</w:t>
                            </w:r>
                          </w:p>
                        </w:tc>
                        <w:tc>
                          <w:tcPr>
                            <w:tcW w:w="722" w:type="dxa"/>
                            <w:tcBorders>
                              <w:bottom w:val="single" w:sz="4" w:space="0" w:color="000000"/>
                              <w:right w:val="single" w:sz="4" w:space="0" w:color="000000"/>
                            </w:tcBorders>
                            <w:shd w:val="clear" w:color="auto" w:fill="2E5395"/>
                          </w:tcPr>
                          <w:p w:rsidR="00D862F2" w:rsidRDefault="00884FE4">
                            <w:pPr>
                              <w:pStyle w:val="TableParagraph"/>
                              <w:spacing w:line="213" w:lineRule="exact"/>
                              <w:ind w:right="103"/>
                              <w:rPr>
                                <w:b/>
                                <w:sz w:val="18"/>
                              </w:rPr>
                            </w:pPr>
                            <w:r>
                              <w:rPr>
                                <w:b/>
                                <w:color w:val="FFFFFF"/>
                                <w:sz w:val="18"/>
                              </w:rPr>
                              <w:t>%</w:t>
                            </w:r>
                          </w:p>
                        </w:tc>
                        <w:tc>
                          <w:tcPr>
                            <w:tcW w:w="1061" w:type="dxa"/>
                            <w:tcBorders>
                              <w:left w:val="single" w:sz="4" w:space="0" w:color="000000"/>
                              <w:bottom w:val="single" w:sz="4" w:space="0" w:color="000000"/>
                            </w:tcBorders>
                            <w:shd w:val="clear" w:color="auto" w:fill="2E5395"/>
                          </w:tcPr>
                          <w:p w:rsidR="00D862F2" w:rsidRDefault="00884FE4">
                            <w:pPr>
                              <w:pStyle w:val="TableParagraph"/>
                              <w:spacing w:line="213" w:lineRule="exact"/>
                              <w:ind w:right="201"/>
                              <w:rPr>
                                <w:b/>
                                <w:sz w:val="18"/>
                              </w:rPr>
                            </w:pPr>
                            <w:r>
                              <w:rPr>
                                <w:b/>
                                <w:color w:val="FFFFFF"/>
                                <w:sz w:val="18"/>
                              </w:rPr>
                              <w:t>Count</w:t>
                            </w:r>
                          </w:p>
                        </w:tc>
                        <w:tc>
                          <w:tcPr>
                            <w:tcW w:w="768" w:type="dxa"/>
                            <w:tcBorders>
                              <w:bottom w:val="single" w:sz="4" w:space="0" w:color="000000"/>
                              <w:right w:val="single" w:sz="4" w:space="0" w:color="000000"/>
                            </w:tcBorders>
                            <w:shd w:val="clear" w:color="auto" w:fill="2E5395"/>
                          </w:tcPr>
                          <w:p w:rsidR="00D862F2" w:rsidRDefault="00884FE4">
                            <w:pPr>
                              <w:pStyle w:val="TableParagraph"/>
                              <w:spacing w:line="213" w:lineRule="exact"/>
                              <w:ind w:right="101"/>
                              <w:rPr>
                                <w:b/>
                                <w:sz w:val="18"/>
                              </w:rPr>
                            </w:pPr>
                            <w:r>
                              <w:rPr>
                                <w:b/>
                                <w:color w:val="FFFFFF"/>
                                <w:sz w:val="18"/>
                              </w:rPr>
                              <w:t>%</w:t>
                            </w:r>
                          </w:p>
                        </w:tc>
                        <w:tc>
                          <w:tcPr>
                            <w:tcW w:w="977" w:type="dxa"/>
                            <w:tcBorders>
                              <w:left w:val="single" w:sz="4" w:space="0" w:color="000000"/>
                              <w:bottom w:val="single" w:sz="4" w:space="0" w:color="000000"/>
                            </w:tcBorders>
                            <w:shd w:val="clear" w:color="auto" w:fill="2E5395"/>
                          </w:tcPr>
                          <w:p w:rsidR="00D862F2" w:rsidRDefault="00884FE4">
                            <w:pPr>
                              <w:pStyle w:val="TableParagraph"/>
                              <w:spacing w:line="213" w:lineRule="exact"/>
                              <w:ind w:right="110"/>
                              <w:rPr>
                                <w:b/>
                                <w:sz w:val="18"/>
                              </w:rPr>
                            </w:pPr>
                            <w:r>
                              <w:rPr>
                                <w:b/>
                                <w:color w:val="FFFFFF"/>
                                <w:sz w:val="18"/>
                              </w:rPr>
                              <w:t>Count</w:t>
                            </w:r>
                          </w:p>
                        </w:tc>
                        <w:tc>
                          <w:tcPr>
                            <w:tcW w:w="679" w:type="dxa"/>
                            <w:tcBorders>
                              <w:bottom w:val="single" w:sz="4" w:space="0" w:color="000000"/>
                              <w:right w:val="single" w:sz="4" w:space="0" w:color="000000"/>
                            </w:tcBorders>
                            <w:shd w:val="clear" w:color="auto" w:fill="2E5395"/>
                          </w:tcPr>
                          <w:p w:rsidR="00D862F2" w:rsidRDefault="00884FE4">
                            <w:pPr>
                              <w:pStyle w:val="TableParagraph"/>
                              <w:spacing w:line="213" w:lineRule="exact"/>
                              <w:ind w:right="103"/>
                              <w:rPr>
                                <w:b/>
                                <w:sz w:val="18"/>
                              </w:rPr>
                            </w:pPr>
                            <w:r>
                              <w:rPr>
                                <w:b/>
                                <w:color w:val="FFFFFF"/>
                                <w:sz w:val="18"/>
                              </w:rPr>
                              <w:t>%</w:t>
                            </w:r>
                          </w:p>
                        </w:tc>
                      </w:tr>
                      <w:tr w:rsidR="00D862F2">
                        <w:trPr>
                          <w:trHeight w:val="249"/>
                        </w:trPr>
                        <w:tc>
                          <w:tcPr>
                            <w:tcW w:w="2359" w:type="dxa"/>
                            <w:tcBorders>
                              <w:top w:val="single" w:sz="4" w:space="0" w:color="000000"/>
                              <w:left w:val="single" w:sz="4" w:space="0" w:color="000000"/>
                              <w:bottom w:val="single" w:sz="4" w:space="0" w:color="000000"/>
                              <w:right w:val="single" w:sz="4" w:space="0" w:color="000000"/>
                            </w:tcBorders>
                            <w:shd w:val="clear" w:color="auto" w:fill="D9E1F3"/>
                          </w:tcPr>
                          <w:p w:rsidR="00D862F2" w:rsidRDefault="00884FE4">
                            <w:pPr>
                              <w:pStyle w:val="TableParagraph"/>
                              <w:spacing w:line="219" w:lineRule="exact"/>
                              <w:ind w:left="115"/>
                              <w:jc w:val="left"/>
                              <w:rPr>
                                <w:b/>
                                <w:sz w:val="18"/>
                              </w:rPr>
                            </w:pPr>
                            <w:r>
                              <w:rPr>
                                <w:b/>
                                <w:sz w:val="18"/>
                              </w:rPr>
                              <w:t>Total</w:t>
                            </w:r>
                            <w:r>
                              <w:rPr>
                                <w:b/>
                                <w:spacing w:val="-3"/>
                                <w:sz w:val="18"/>
                              </w:rPr>
                              <w:t xml:space="preserve"> </w:t>
                            </w:r>
                            <w:r>
                              <w:rPr>
                                <w:b/>
                                <w:sz w:val="18"/>
                              </w:rPr>
                              <w:t>(unique</w:t>
                            </w:r>
                            <w:r>
                              <w:rPr>
                                <w:b/>
                                <w:spacing w:val="-2"/>
                                <w:sz w:val="18"/>
                              </w:rPr>
                              <w:t xml:space="preserve"> </w:t>
                            </w:r>
                            <w:r>
                              <w:rPr>
                                <w:b/>
                                <w:sz w:val="18"/>
                              </w:rPr>
                              <w:t>pts)</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D9E1F3"/>
                          </w:tcPr>
                          <w:p w:rsidR="00D862F2" w:rsidRDefault="00884FE4">
                            <w:pPr>
                              <w:pStyle w:val="TableParagraph"/>
                              <w:spacing w:line="219" w:lineRule="exact"/>
                              <w:ind w:left="290"/>
                              <w:jc w:val="left"/>
                              <w:rPr>
                                <w:b/>
                                <w:sz w:val="18"/>
                              </w:rPr>
                            </w:pPr>
                            <w:r>
                              <w:rPr>
                                <w:b/>
                                <w:sz w:val="18"/>
                              </w:rPr>
                              <w:t>216,189</w:t>
                            </w: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D9E1F3"/>
                          </w:tcPr>
                          <w:p w:rsidR="00D862F2" w:rsidRDefault="00884FE4">
                            <w:pPr>
                              <w:pStyle w:val="TableParagraph"/>
                              <w:spacing w:line="219" w:lineRule="exact"/>
                              <w:ind w:left="333"/>
                              <w:jc w:val="left"/>
                              <w:rPr>
                                <w:b/>
                                <w:sz w:val="18"/>
                              </w:rPr>
                            </w:pPr>
                            <w:r>
                              <w:rPr>
                                <w:b/>
                                <w:sz w:val="18"/>
                              </w:rPr>
                              <w:t>219,857</w:t>
                            </w:r>
                          </w:p>
                        </w:tc>
                        <w:tc>
                          <w:tcPr>
                            <w:tcW w:w="1829" w:type="dxa"/>
                            <w:gridSpan w:val="2"/>
                            <w:tcBorders>
                              <w:top w:val="single" w:sz="4" w:space="0" w:color="000000"/>
                              <w:left w:val="single" w:sz="4" w:space="0" w:color="000000"/>
                              <w:bottom w:val="single" w:sz="4" w:space="0" w:color="000000"/>
                              <w:right w:val="single" w:sz="4" w:space="0" w:color="000000"/>
                            </w:tcBorders>
                            <w:shd w:val="clear" w:color="auto" w:fill="D9E1F3"/>
                          </w:tcPr>
                          <w:p w:rsidR="00D862F2" w:rsidRDefault="00884FE4">
                            <w:pPr>
                              <w:pStyle w:val="TableParagraph"/>
                              <w:spacing w:line="219" w:lineRule="exact"/>
                              <w:ind w:left="262"/>
                              <w:jc w:val="left"/>
                              <w:rPr>
                                <w:b/>
                                <w:sz w:val="18"/>
                              </w:rPr>
                            </w:pPr>
                            <w:r>
                              <w:rPr>
                                <w:b/>
                                <w:sz w:val="18"/>
                              </w:rPr>
                              <w:t>229,342</w:t>
                            </w: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E1F3"/>
                          </w:tcPr>
                          <w:p w:rsidR="00D862F2" w:rsidRDefault="00884FE4">
                            <w:pPr>
                              <w:pStyle w:val="TableParagraph"/>
                              <w:spacing w:line="219" w:lineRule="exact"/>
                              <w:ind w:left="268"/>
                              <w:jc w:val="left"/>
                              <w:rPr>
                                <w:b/>
                                <w:sz w:val="18"/>
                              </w:rPr>
                            </w:pPr>
                            <w:r>
                              <w:rPr>
                                <w:b/>
                                <w:sz w:val="18"/>
                              </w:rPr>
                              <w:t>209,610</w:t>
                            </w:r>
                          </w:p>
                        </w:tc>
                      </w:tr>
                      <w:tr w:rsidR="00D862F2">
                        <w:trPr>
                          <w:trHeight w:val="249"/>
                        </w:trPr>
                        <w:tc>
                          <w:tcPr>
                            <w:tcW w:w="2359" w:type="dxa"/>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115"/>
                              <w:jc w:val="left"/>
                              <w:rPr>
                                <w:b/>
                                <w:sz w:val="18"/>
                              </w:rPr>
                            </w:pPr>
                            <w:r>
                              <w:rPr>
                                <w:b/>
                                <w:sz w:val="18"/>
                              </w:rPr>
                              <w:t>Gender</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2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r>
                      <w:tr w:rsidR="00D862F2">
                        <w:trPr>
                          <w:trHeight w:val="250"/>
                        </w:trPr>
                        <w:tc>
                          <w:tcPr>
                            <w:tcW w:w="2359" w:type="dxa"/>
                            <w:tcBorders>
                              <w:top w:val="single" w:sz="4" w:space="0" w:color="000000"/>
                              <w:left w:val="single" w:sz="4" w:space="0" w:color="000000"/>
                              <w:right w:val="single" w:sz="4" w:space="0" w:color="000000"/>
                            </w:tcBorders>
                          </w:tcPr>
                          <w:p w:rsidR="00D862F2" w:rsidRDefault="00884FE4">
                            <w:pPr>
                              <w:pStyle w:val="TableParagraph"/>
                              <w:spacing w:line="219" w:lineRule="exact"/>
                              <w:ind w:left="115"/>
                              <w:jc w:val="left"/>
                              <w:rPr>
                                <w:sz w:val="18"/>
                              </w:rPr>
                            </w:pPr>
                            <w:r>
                              <w:rPr>
                                <w:sz w:val="18"/>
                              </w:rPr>
                              <w:t>Female</w:t>
                            </w:r>
                          </w:p>
                        </w:tc>
                        <w:tc>
                          <w:tcPr>
                            <w:tcW w:w="1008" w:type="dxa"/>
                            <w:tcBorders>
                              <w:top w:val="single" w:sz="4" w:space="0" w:color="000000"/>
                              <w:left w:val="single" w:sz="4" w:space="0" w:color="000000"/>
                            </w:tcBorders>
                          </w:tcPr>
                          <w:p w:rsidR="00D862F2" w:rsidRDefault="00884FE4">
                            <w:pPr>
                              <w:pStyle w:val="TableParagraph"/>
                              <w:spacing w:line="219" w:lineRule="exact"/>
                              <w:ind w:right="117"/>
                              <w:rPr>
                                <w:sz w:val="18"/>
                              </w:rPr>
                            </w:pPr>
                            <w:r>
                              <w:rPr>
                                <w:sz w:val="18"/>
                              </w:rPr>
                              <w:t>107,754</w:t>
                            </w:r>
                          </w:p>
                        </w:tc>
                        <w:tc>
                          <w:tcPr>
                            <w:tcW w:w="691" w:type="dxa"/>
                            <w:tcBorders>
                              <w:top w:val="single" w:sz="4" w:space="0" w:color="000000"/>
                              <w:right w:val="single" w:sz="4" w:space="0" w:color="000000"/>
                            </w:tcBorders>
                          </w:tcPr>
                          <w:p w:rsidR="00D862F2" w:rsidRDefault="00884FE4">
                            <w:pPr>
                              <w:pStyle w:val="TableParagraph"/>
                              <w:spacing w:line="219" w:lineRule="exact"/>
                              <w:ind w:right="107"/>
                              <w:rPr>
                                <w:sz w:val="18"/>
                              </w:rPr>
                            </w:pPr>
                            <w:r>
                              <w:rPr>
                                <w:sz w:val="18"/>
                              </w:rPr>
                              <w:t>49.8%</w:t>
                            </w:r>
                          </w:p>
                        </w:tc>
                        <w:tc>
                          <w:tcPr>
                            <w:tcW w:w="1085" w:type="dxa"/>
                            <w:tcBorders>
                              <w:top w:val="single" w:sz="4" w:space="0" w:color="000000"/>
                              <w:left w:val="single" w:sz="4" w:space="0" w:color="000000"/>
                            </w:tcBorders>
                          </w:tcPr>
                          <w:p w:rsidR="00D862F2" w:rsidRDefault="00884FE4">
                            <w:pPr>
                              <w:pStyle w:val="TableParagraph"/>
                              <w:spacing w:line="219" w:lineRule="exact"/>
                              <w:ind w:left="333"/>
                              <w:jc w:val="left"/>
                              <w:rPr>
                                <w:sz w:val="18"/>
                              </w:rPr>
                            </w:pPr>
                            <w:r>
                              <w:rPr>
                                <w:sz w:val="18"/>
                              </w:rPr>
                              <w:t>109,409</w:t>
                            </w:r>
                          </w:p>
                        </w:tc>
                        <w:tc>
                          <w:tcPr>
                            <w:tcW w:w="722"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49.8%</w:t>
                            </w:r>
                          </w:p>
                        </w:tc>
                        <w:tc>
                          <w:tcPr>
                            <w:tcW w:w="1061" w:type="dxa"/>
                            <w:tcBorders>
                              <w:top w:val="single" w:sz="4" w:space="0" w:color="000000"/>
                              <w:left w:val="single" w:sz="4" w:space="0" w:color="000000"/>
                            </w:tcBorders>
                          </w:tcPr>
                          <w:p w:rsidR="00D862F2" w:rsidRDefault="00884FE4">
                            <w:pPr>
                              <w:pStyle w:val="TableParagraph"/>
                              <w:spacing w:line="219" w:lineRule="exact"/>
                              <w:ind w:right="198"/>
                              <w:rPr>
                                <w:sz w:val="18"/>
                              </w:rPr>
                            </w:pPr>
                            <w:r>
                              <w:rPr>
                                <w:sz w:val="18"/>
                              </w:rPr>
                              <w:t>114,297</w:t>
                            </w:r>
                          </w:p>
                        </w:tc>
                        <w:tc>
                          <w:tcPr>
                            <w:tcW w:w="768" w:type="dxa"/>
                            <w:tcBorders>
                              <w:top w:val="single" w:sz="4" w:space="0" w:color="000000"/>
                              <w:right w:val="single" w:sz="4" w:space="0" w:color="000000"/>
                            </w:tcBorders>
                          </w:tcPr>
                          <w:p w:rsidR="00D862F2" w:rsidRDefault="00884FE4">
                            <w:pPr>
                              <w:pStyle w:val="TableParagraph"/>
                              <w:spacing w:line="219" w:lineRule="exact"/>
                              <w:ind w:right="101"/>
                              <w:rPr>
                                <w:sz w:val="18"/>
                              </w:rPr>
                            </w:pPr>
                            <w:r>
                              <w:rPr>
                                <w:sz w:val="18"/>
                              </w:rPr>
                              <w:t>49.8%</w:t>
                            </w:r>
                          </w:p>
                        </w:tc>
                        <w:tc>
                          <w:tcPr>
                            <w:tcW w:w="977" w:type="dxa"/>
                            <w:tcBorders>
                              <w:top w:val="single" w:sz="4" w:space="0" w:color="000000"/>
                              <w:left w:val="single" w:sz="4" w:space="0" w:color="000000"/>
                            </w:tcBorders>
                          </w:tcPr>
                          <w:p w:rsidR="00D862F2" w:rsidRDefault="00884FE4">
                            <w:pPr>
                              <w:pStyle w:val="TableParagraph"/>
                              <w:spacing w:line="219" w:lineRule="exact"/>
                              <w:ind w:right="107"/>
                              <w:rPr>
                                <w:sz w:val="18"/>
                              </w:rPr>
                            </w:pPr>
                            <w:r>
                              <w:rPr>
                                <w:sz w:val="18"/>
                              </w:rPr>
                              <w:t>105,119</w:t>
                            </w:r>
                          </w:p>
                        </w:tc>
                        <w:tc>
                          <w:tcPr>
                            <w:tcW w:w="679"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50.1%</w:t>
                            </w:r>
                          </w:p>
                        </w:tc>
                      </w:tr>
                      <w:tr w:rsidR="00D862F2">
                        <w:trPr>
                          <w:trHeight w:val="254"/>
                        </w:trPr>
                        <w:tc>
                          <w:tcPr>
                            <w:tcW w:w="2359" w:type="dxa"/>
                            <w:tcBorders>
                              <w:left w:val="single" w:sz="4" w:space="0" w:color="000000"/>
                              <w:right w:val="single" w:sz="4" w:space="0" w:color="000000"/>
                            </w:tcBorders>
                          </w:tcPr>
                          <w:p w:rsidR="00D862F2" w:rsidRDefault="00884FE4">
                            <w:pPr>
                              <w:pStyle w:val="TableParagraph"/>
                              <w:spacing w:line="218" w:lineRule="exact"/>
                              <w:ind w:left="115"/>
                              <w:jc w:val="left"/>
                              <w:rPr>
                                <w:sz w:val="18"/>
                              </w:rPr>
                            </w:pPr>
                            <w:r>
                              <w:rPr>
                                <w:sz w:val="18"/>
                              </w:rPr>
                              <w:t>Male</w:t>
                            </w:r>
                          </w:p>
                        </w:tc>
                        <w:tc>
                          <w:tcPr>
                            <w:tcW w:w="1008" w:type="dxa"/>
                            <w:tcBorders>
                              <w:left w:val="single" w:sz="4" w:space="0" w:color="000000"/>
                            </w:tcBorders>
                          </w:tcPr>
                          <w:p w:rsidR="00D862F2" w:rsidRDefault="00884FE4">
                            <w:pPr>
                              <w:pStyle w:val="TableParagraph"/>
                              <w:spacing w:line="218" w:lineRule="exact"/>
                              <w:ind w:right="117"/>
                              <w:rPr>
                                <w:sz w:val="18"/>
                              </w:rPr>
                            </w:pPr>
                            <w:r>
                              <w:rPr>
                                <w:sz w:val="18"/>
                              </w:rPr>
                              <w:t>108,413</w:t>
                            </w:r>
                          </w:p>
                        </w:tc>
                        <w:tc>
                          <w:tcPr>
                            <w:tcW w:w="691" w:type="dxa"/>
                            <w:tcBorders>
                              <w:right w:val="single" w:sz="4" w:space="0" w:color="000000"/>
                            </w:tcBorders>
                          </w:tcPr>
                          <w:p w:rsidR="00D862F2" w:rsidRDefault="00884FE4">
                            <w:pPr>
                              <w:pStyle w:val="TableParagraph"/>
                              <w:spacing w:line="218" w:lineRule="exact"/>
                              <w:ind w:right="107"/>
                              <w:rPr>
                                <w:sz w:val="18"/>
                              </w:rPr>
                            </w:pPr>
                            <w:r>
                              <w:rPr>
                                <w:sz w:val="18"/>
                              </w:rPr>
                              <w:t>50.1%</w:t>
                            </w:r>
                          </w:p>
                        </w:tc>
                        <w:tc>
                          <w:tcPr>
                            <w:tcW w:w="1085" w:type="dxa"/>
                            <w:tcBorders>
                              <w:left w:val="single" w:sz="4" w:space="0" w:color="000000"/>
                            </w:tcBorders>
                          </w:tcPr>
                          <w:p w:rsidR="00D862F2" w:rsidRDefault="00884FE4">
                            <w:pPr>
                              <w:pStyle w:val="TableParagraph"/>
                              <w:spacing w:line="218" w:lineRule="exact"/>
                              <w:ind w:left="333"/>
                              <w:jc w:val="left"/>
                              <w:rPr>
                                <w:sz w:val="18"/>
                              </w:rPr>
                            </w:pPr>
                            <w:r>
                              <w:rPr>
                                <w:sz w:val="18"/>
                              </w:rPr>
                              <w:t>110,426</w:t>
                            </w:r>
                          </w:p>
                        </w:tc>
                        <w:tc>
                          <w:tcPr>
                            <w:tcW w:w="722" w:type="dxa"/>
                            <w:tcBorders>
                              <w:right w:val="single" w:sz="4" w:space="0" w:color="000000"/>
                            </w:tcBorders>
                          </w:tcPr>
                          <w:p w:rsidR="00D862F2" w:rsidRDefault="00884FE4">
                            <w:pPr>
                              <w:pStyle w:val="TableParagraph"/>
                              <w:spacing w:line="218" w:lineRule="exact"/>
                              <w:ind w:right="103"/>
                              <w:rPr>
                                <w:sz w:val="18"/>
                              </w:rPr>
                            </w:pPr>
                            <w:r>
                              <w:rPr>
                                <w:sz w:val="18"/>
                              </w:rPr>
                              <w:t>50.2%</w:t>
                            </w:r>
                          </w:p>
                        </w:tc>
                        <w:tc>
                          <w:tcPr>
                            <w:tcW w:w="1061" w:type="dxa"/>
                            <w:tcBorders>
                              <w:left w:val="single" w:sz="4" w:space="0" w:color="000000"/>
                            </w:tcBorders>
                          </w:tcPr>
                          <w:p w:rsidR="00D862F2" w:rsidRDefault="00884FE4">
                            <w:pPr>
                              <w:pStyle w:val="TableParagraph"/>
                              <w:spacing w:line="218" w:lineRule="exact"/>
                              <w:ind w:right="198"/>
                              <w:rPr>
                                <w:sz w:val="18"/>
                              </w:rPr>
                            </w:pPr>
                            <w:r>
                              <w:rPr>
                                <w:sz w:val="18"/>
                              </w:rPr>
                              <w:t>115,025</w:t>
                            </w:r>
                          </w:p>
                        </w:tc>
                        <w:tc>
                          <w:tcPr>
                            <w:tcW w:w="768" w:type="dxa"/>
                            <w:tcBorders>
                              <w:right w:val="single" w:sz="4" w:space="0" w:color="000000"/>
                            </w:tcBorders>
                          </w:tcPr>
                          <w:p w:rsidR="00D862F2" w:rsidRDefault="00884FE4">
                            <w:pPr>
                              <w:pStyle w:val="TableParagraph"/>
                              <w:spacing w:line="218" w:lineRule="exact"/>
                              <w:ind w:right="101"/>
                              <w:rPr>
                                <w:sz w:val="18"/>
                              </w:rPr>
                            </w:pPr>
                            <w:r>
                              <w:rPr>
                                <w:sz w:val="18"/>
                              </w:rPr>
                              <w:t>50.2%</w:t>
                            </w:r>
                          </w:p>
                        </w:tc>
                        <w:tc>
                          <w:tcPr>
                            <w:tcW w:w="977" w:type="dxa"/>
                            <w:tcBorders>
                              <w:left w:val="single" w:sz="4" w:space="0" w:color="000000"/>
                            </w:tcBorders>
                          </w:tcPr>
                          <w:p w:rsidR="00D862F2" w:rsidRDefault="00884FE4">
                            <w:pPr>
                              <w:pStyle w:val="TableParagraph"/>
                              <w:spacing w:line="218" w:lineRule="exact"/>
                              <w:ind w:right="107"/>
                              <w:rPr>
                                <w:sz w:val="18"/>
                              </w:rPr>
                            </w:pPr>
                            <w:r>
                              <w:rPr>
                                <w:sz w:val="18"/>
                              </w:rPr>
                              <w:t>104,456</w:t>
                            </w:r>
                          </w:p>
                        </w:tc>
                        <w:tc>
                          <w:tcPr>
                            <w:tcW w:w="679" w:type="dxa"/>
                            <w:tcBorders>
                              <w:right w:val="single" w:sz="4" w:space="0" w:color="000000"/>
                            </w:tcBorders>
                          </w:tcPr>
                          <w:p w:rsidR="00D862F2" w:rsidRDefault="00884FE4">
                            <w:pPr>
                              <w:pStyle w:val="TableParagraph"/>
                              <w:spacing w:line="218" w:lineRule="exact"/>
                              <w:ind w:right="103"/>
                              <w:rPr>
                                <w:sz w:val="18"/>
                              </w:rPr>
                            </w:pPr>
                            <w:r>
                              <w:rPr>
                                <w:sz w:val="18"/>
                              </w:rPr>
                              <w:t>49.8%</w:t>
                            </w:r>
                          </w:p>
                        </w:tc>
                      </w:tr>
                      <w:tr w:rsidR="00D862F2">
                        <w:trPr>
                          <w:trHeight w:val="263"/>
                        </w:trPr>
                        <w:tc>
                          <w:tcPr>
                            <w:tcW w:w="2359" w:type="dxa"/>
                            <w:tcBorders>
                              <w:left w:val="single" w:sz="4" w:space="0" w:color="000000"/>
                              <w:bottom w:val="single" w:sz="4" w:space="0" w:color="000000"/>
                              <w:right w:val="single" w:sz="4" w:space="0" w:color="000000"/>
                            </w:tcBorders>
                          </w:tcPr>
                          <w:p w:rsidR="00D862F2" w:rsidRDefault="00884FE4">
                            <w:pPr>
                              <w:pStyle w:val="TableParagraph"/>
                              <w:spacing w:before="3"/>
                              <w:ind w:left="115"/>
                              <w:jc w:val="left"/>
                              <w:rPr>
                                <w:sz w:val="18"/>
                              </w:rPr>
                            </w:pPr>
                            <w:r>
                              <w:rPr>
                                <w:sz w:val="18"/>
                              </w:rPr>
                              <w:t>Unknown</w:t>
                            </w:r>
                          </w:p>
                        </w:tc>
                        <w:tc>
                          <w:tcPr>
                            <w:tcW w:w="1008" w:type="dxa"/>
                            <w:tcBorders>
                              <w:left w:val="single" w:sz="4" w:space="0" w:color="000000"/>
                              <w:bottom w:val="single" w:sz="4" w:space="0" w:color="000000"/>
                            </w:tcBorders>
                          </w:tcPr>
                          <w:p w:rsidR="00D862F2" w:rsidRDefault="00884FE4">
                            <w:pPr>
                              <w:pStyle w:val="TableParagraph"/>
                              <w:spacing w:before="3"/>
                              <w:ind w:right="117"/>
                              <w:rPr>
                                <w:sz w:val="18"/>
                              </w:rPr>
                            </w:pPr>
                            <w:r>
                              <w:rPr>
                                <w:sz w:val="18"/>
                              </w:rPr>
                              <w:t>22</w:t>
                            </w:r>
                          </w:p>
                        </w:tc>
                        <w:tc>
                          <w:tcPr>
                            <w:tcW w:w="691" w:type="dxa"/>
                            <w:tcBorders>
                              <w:bottom w:val="single" w:sz="4" w:space="0" w:color="000000"/>
                              <w:right w:val="single" w:sz="4" w:space="0" w:color="000000"/>
                            </w:tcBorders>
                          </w:tcPr>
                          <w:p w:rsidR="00D862F2" w:rsidRDefault="00884FE4">
                            <w:pPr>
                              <w:pStyle w:val="TableParagraph"/>
                              <w:spacing w:before="3"/>
                              <w:ind w:right="106"/>
                              <w:rPr>
                                <w:sz w:val="18"/>
                              </w:rPr>
                            </w:pPr>
                            <w:r>
                              <w:rPr>
                                <w:sz w:val="18"/>
                              </w:rPr>
                              <w:t>0.0%</w:t>
                            </w:r>
                          </w:p>
                        </w:tc>
                        <w:tc>
                          <w:tcPr>
                            <w:tcW w:w="1085" w:type="dxa"/>
                            <w:tcBorders>
                              <w:left w:val="single" w:sz="4" w:space="0" w:color="000000"/>
                              <w:bottom w:val="single" w:sz="4" w:space="0" w:color="000000"/>
                            </w:tcBorders>
                          </w:tcPr>
                          <w:p w:rsidR="00D862F2" w:rsidRDefault="00884FE4">
                            <w:pPr>
                              <w:pStyle w:val="TableParagraph"/>
                              <w:spacing w:before="3"/>
                              <w:ind w:right="151"/>
                              <w:rPr>
                                <w:sz w:val="18"/>
                              </w:rPr>
                            </w:pPr>
                            <w:r>
                              <w:rPr>
                                <w:sz w:val="18"/>
                              </w:rPr>
                              <w:t>22</w:t>
                            </w:r>
                          </w:p>
                        </w:tc>
                        <w:tc>
                          <w:tcPr>
                            <w:tcW w:w="722"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0.0%</w:t>
                            </w:r>
                          </w:p>
                        </w:tc>
                        <w:tc>
                          <w:tcPr>
                            <w:tcW w:w="1061" w:type="dxa"/>
                            <w:tcBorders>
                              <w:left w:val="single" w:sz="4" w:space="0" w:color="000000"/>
                              <w:bottom w:val="single" w:sz="4" w:space="0" w:color="000000"/>
                            </w:tcBorders>
                          </w:tcPr>
                          <w:p w:rsidR="00D862F2" w:rsidRDefault="00884FE4">
                            <w:pPr>
                              <w:pStyle w:val="TableParagraph"/>
                              <w:spacing w:before="3"/>
                              <w:ind w:right="199"/>
                              <w:rPr>
                                <w:sz w:val="18"/>
                              </w:rPr>
                            </w:pPr>
                            <w:r>
                              <w:rPr>
                                <w:sz w:val="18"/>
                              </w:rPr>
                              <w:t>20</w:t>
                            </w:r>
                          </w:p>
                        </w:tc>
                        <w:tc>
                          <w:tcPr>
                            <w:tcW w:w="768" w:type="dxa"/>
                            <w:tcBorders>
                              <w:bottom w:val="single" w:sz="4" w:space="0" w:color="000000"/>
                              <w:right w:val="single" w:sz="4" w:space="0" w:color="000000"/>
                            </w:tcBorders>
                          </w:tcPr>
                          <w:p w:rsidR="00D862F2" w:rsidRDefault="00884FE4">
                            <w:pPr>
                              <w:pStyle w:val="TableParagraph"/>
                              <w:spacing w:before="3"/>
                              <w:ind w:right="101"/>
                              <w:rPr>
                                <w:sz w:val="18"/>
                              </w:rPr>
                            </w:pPr>
                            <w:r>
                              <w:rPr>
                                <w:sz w:val="18"/>
                              </w:rPr>
                              <w:t>0.0%</w:t>
                            </w:r>
                          </w:p>
                        </w:tc>
                        <w:tc>
                          <w:tcPr>
                            <w:tcW w:w="977" w:type="dxa"/>
                            <w:tcBorders>
                              <w:left w:val="single" w:sz="4" w:space="0" w:color="000000"/>
                              <w:bottom w:val="single" w:sz="4" w:space="0" w:color="000000"/>
                            </w:tcBorders>
                          </w:tcPr>
                          <w:p w:rsidR="00D862F2" w:rsidRDefault="00884FE4">
                            <w:pPr>
                              <w:pStyle w:val="TableParagraph"/>
                              <w:spacing w:before="3"/>
                              <w:ind w:right="108"/>
                              <w:rPr>
                                <w:sz w:val="18"/>
                              </w:rPr>
                            </w:pPr>
                            <w:r>
                              <w:rPr>
                                <w:sz w:val="18"/>
                              </w:rPr>
                              <w:t>35</w:t>
                            </w:r>
                          </w:p>
                        </w:tc>
                        <w:tc>
                          <w:tcPr>
                            <w:tcW w:w="679"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0.0%</w:t>
                            </w:r>
                          </w:p>
                        </w:tc>
                      </w:tr>
                      <w:tr w:rsidR="00D862F2">
                        <w:trPr>
                          <w:trHeight w:val="246"/>
                        </w:trPr>
                        <w:tc>
                          <w:tcPr>
                            <w:tcW w:w="2359" w:type="dxa"/>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115"/>
                              <w:jc w:val="left"/>
                              <w:rPr>
                                <w:b/>
                                <w:sz w:val="18"/>
                              </w:rPr>
                            </w:pPr>
                            <w:r>
                              <w:rPr>
                                <w:b/>
                                <w:sz w:val="18"/>
                              </w:rPr>
                              <w:t>Age</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6"/>
                              </w:rPr>
                            </w:pP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6"/>
                              </w:rPr>
                            </w:pPr>
                          </w:p>
                        </w:tc>
                        <w:tc>
                          <w:tcPr>
                            <w:tcW w:w="182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6"/>
                              </w:rPr>
                            </w:pP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6"/>
                              </w:rPr>
                            </w:pPr>
                          </w:p>
                        </w:tc>
                      </w:tr>
                      <w:tr w:rsidR="00D862F2">
                        <w:trPr>
                          <w:trHeight w:val="251"/>
                        </w:trPr>
                        <w:tc>
                          <w:tcPr>
                            <w:tcW w:w="2359" w:type="dxa"/>
                            <w:tcBorders>
                              <w:top w:val="single" w:sz="4" w:space="0" w:color="000000"/>
                              <w:left w:val="single" w:sz="4" w:space="0" w:color="000000"/>
                              <w:right w:val="single" w:sz="4" w:space="0" w:color="000000"/>
                            </w:tcBorders>
                          </w:tcPr>
                          <w:p w:rsidR="00D862F2" w:rsidRDefault="00884FE4">
                            <w:pPr>
                              <w:pStyle w:val="TableParagraph"/>
                              <w:spacing w:before="1"/>
                              <w:ind w:left="115"/>
                              <w:jc w:val="left"/>
                              <w:rPr>
                                <w:sz w:val="18"/>
                              </w:rPr>
                            </w:pPr>
                            <w:r>
                              <w:rPr>
                                <w:sz w:val="18"/>
                              </w:rPr>
                              <w:t>0-2</w:t>
                            </w:r>
                            <w:r>
                              <w:rPr>
                                <w:spacing w:val="-2"/>
                                <w:sz w:val="18"/>
                              </w:rPr>
                              <w:t xml:space="preserve"> </w:t>
                            </w:r>
                            <w:r>
                              <w:rPr>
                                <w:sz w:val="18"/>
                              </w:rPr>
                              <w:t>years</w:t>
                            </w:r>
                          </w:p>
                        </w:tc>
                        <w:tc>
                          <w:tcPr>
                            <w:tcW w:w="1008" w:type="dxa"/>
                            <w:tcBorders>
                              <w:top w:val="single" w:sz="4" w:space="0" w:color="000000"/>
                              <w:left w:val="single" w:sz="4" w:space="0" w:color="000000"/>
                            </w:tcBorders>
                          </w:tcPr>
                          <w:p w:rsidR="00D862F2" w:rsidRDefault="00884FE4">
                            <w:pPr>
                              <w:pStyle w:val="TableParagraph"/>
                              <w:spacing w:before="1"/>
                              <w:ind w:right="117"/>
                              <w:rPr>
                                <w:sz w:val="18"/>
                              </w:rPr>
                            </w:pPr>
                            <w:r>
                              <w:rPr>
                                <w:sz w:val="18"/>
                              </w:rPr>
                              <w:t>41,126</w:t>
                            </w:r>
                          </w:p>
                        </w:tc>
                        <w:tc>
                          <w:tcPr>
                            <w:tcW w:w="691" w:type="dxa"/>
                            <w:tcBorders>
                              <w:top w:val="single" w:sz="4" w:space="0" w:color="000000"/>
                              <w:right w:val="single" w:sz="4" w:space="0" w:color="000000"/>
                            </w:tcBorders>
                          </w:tcPr>
                          <w:p w:rsidR="00D862F2" w:rsidRDefault="00884FE4">
                            <w:pPr>
                              <w:pStyle w:val="TableParagraph"/>
                              <w:spacing w:before="1"/>
                              <w:ind w:right="107"/>
                              <w:rPr>
                                <w:sz w:val="18"/>
                              </w:rPr>
                            </w:pPr>
                            <w:r>
                              <w:rPr>
                                <w:sz w:val="18"/>
                              </w:rPr>
                              <w:t>19.0%</w:t>
                            </w:r>
                          </w:p>
                        </w:tc>
                        <w:tc>
                          <w:tcPr>
                            <w:tcW w:w="1085" w:type="dxa"/>
                            <w:tcBorders>
                              <w:top w:val="single" w:sz="4" w:space="0" w:color="000000"/>
                              <w:left w:val="single" w:sz="4" w:space="0" w:color="000000"/>
                            </w:tcBorders>
                          </w:tcPr>
                          <w:p w:rsidR="00D862F2" w:rsidRDefault="00884FE4">
                            <w:pPr>
                              <w:pStyle w:val="TableParagraph"/>
                              <w:spacing w:before="1"/>
                              <w:ind w:left="425"/>
                              <w:jc w:val="left"/>
                              <w:rPr>
                                <w:sz w:val="18"/>
                              </w:rPr>
                            </w:pPr>
                            <w:r>
                              <w:rPr>
                                <w:sz w:val="18"/>
                              </w:rPr>
                              <w:t>41,792</w:t>
                            </w:r>
                          </w:p>
                        </w:tc>
                        <w:tc>
                          <w:tcPr>
                            <w:tcW w:w="722" w:type="dxa"/>
                            <w:tcBorders>
                              <w:top w:val="single" w:sz="4" w:space="0" w:color="000000"/>
                              <w:right w:val="single" w:sz="4" w:space="0" w:color="000000"/>
                            </w:tcBorders>
                          </w:tcPr>
                          <w:p w:rsidR="00D862F2" w:rsidRDefault="00884FE4">
                            <w:pPr>
                              <w:pStyle w:val="TableParagraph"/>
                              <w:spacing w:before="1"/>
                              <w:ind w:right="103"/>
                              <w:rPr>
                                <w:sz w:val="18"/>
                              </w:rPr>
                            </w:pPr>
                            <w:r>
                              <w:rPr>
                                <w:sz w:val="18"/>
                              </w:rPr>
                              <w:t>19.0%</w:t>
                            </w:r>
                          </w:p>
                        </w:tc>
                        <w:tc>
                          <w:tcPr>
                            <w:tcW w:w="1061" w:type="dxa"/>
                            <w:tcBorders>
                              <w:top w:val="single" w:sz="4" w:space="0" w:color="000000"/>
                              <w:left w:val="single" w:sz="4" w:space="0" w:color="000000"/>
                            </w:tcBorders>
                          </w:tcPr>
                          <w:p w:rsidR="00D862F2" w:rsidRDefault="00884FE4">
                            <w:pPr>
                              <w:pStyle w:val="TableParagraph"/>
                              <w:spacing w:before="1"/>
                              <w:ind w:right="198"/>
                              <w:rPr>
                                <w:sz w:val="18"/>
                              </w:rPr>
                            </w:pPr>
                            <w:r>
                              <w:rPr>
                                <w:sz w:val="18"/>
                              </w:rPr>
                              <w:t>43,311</w:t>
                            </w:r>
                          </w:p>
                        </w:tc>
                        <w:tc>
                          <w:tcPr>
                            <w:tcW w:w="768" w:type="dxa"/>
                            <w:tcBorders>
                              <w:top w:val="single" w:sz="4" w:space="0" w:color="000000"/>
                              <w:right w:val="single" w:sz="4" w:space="0" w:color="000000"/>
                            </w:tcBorders>
                          </w:tcPr>
                          <w:p w:rsidR="00D862F2" w:rsidRDefault="00884FE4">
                            <w:pPr>
                              <w:pStyle w:val="TableParagraph"/>
                              <w:spacing w:before="1"/>
                              <w:ind w:right="101"/>
                              <w:rPr>
                                <w:sz w:val="18"/>
                              </w:rPr>
                            </w:pPr>
                            <w:r>
                              <w:rPr>
                                <w:sz w:val="18"/>
                              </w:rPr>
                              <w:t>18.9%</w:t>
                            </w:r>
                          </w:p>
                        </w:tc>
                        <w:tc>
                          <w:tcPr>
                            <w:tcW w:w="977" w:type="dxa"/>
                            <w:tcBorders>
                              <w:top w:val="single" w:sz="4" w:space="0" w:color="000000"/>
                              <w:left w:val="single" w:sz="4" w:space="0" w:color="000000"/>
                            </w:tcBorders>
                          </w:tcPr>
                          <w:p w:rsidR="00D862F2" w:rsidRDefault="00884FE4">
                            <w:pPr>
                              <w:pStyle w:val="TableParagraph"/>
                              <w:spacing w:before="1"/>
                              <w:ind w:right="107"/>
                              <w:rPr>
                                <w:sz w:val="18"/>
                              </w:rPr>
                            </w:pPr>
                            <w:r>
                              <w:rPr>
                                <w:sz w:val="18"/>
                              </w:rPr>
                              <w:t>39,599</w:t>
                            </w:r>
                          </w:p>
                        </w:tc>
                        <w:tc>
                          <w:tcPr>
                            <w:tcW w:w="679" w:type="dxa"/>
                            <w:tcBorders>
                              <w:top w:val="single" w:sz="4" w:space="0" w:color="000000"/>
                              <w:right w:val="single" w:sz="4" w:space="0" w:color="000000"/>
                            </w:tcBorders>
                          </w:tcPr>
                          <w:p w:rsidR="00D862F2" w:rsidRDefault="00884FE4">
                            <w:pPr>
                              <w:pStyle w:val="TableParagraph"/>
                              <w:spacing w:before="1"/>
                              <w:ind w:right="103"/>
                              <w:rPr>
                                <w:sz w:val="18"/>
                              </w:rPr>
                            </w:pPr>
                            <w:r>
                              <w:rPr>
                                <w:sz w:val="18"/>
                              </w:rPr>
                              <w:t>18.9%</w:t>
                            </w:r>
                          </w:p>
                        </w:tc>
                      </w:tr>
                      <w:tr w:rsidR="00D862F2">
                        <w:trPr>
                          <w:trHeight w:val="253"/>
                        </w:trPr>
                        <w:tc>
                          <w:tcPr>
                            <w:tcW w:w="2359" w:type="dxa"/>
                            <w:tcBorders>
                              <w:left w:val="single" w:sz="4" w:space="0" w:color="000000"/>
                              <w:right w:val="single" w:sz="4" w:space="0" w:color="000000"/>
                            </w:tcBorders>
                          </w:tcPr>
                          <w:p w:rsidR="00D862F2" w:rsidRDefault="00884FE4">
                            <w:pPr>
                              <w:pStyle w:val="TableParagraph"/>
                              <w:spacing w:line="217" w:lineRule="exact"/>
                              <w:ind w:left="115"/>
                              <w:jc w:val="left"/>
                              <w:rPr>
                                <w:sz w:val="18"/>
                              </w:rPr>
                            </w:pPr>
                            <w:r>
                              <w:rPr>
                                <w:sz w:val="18"/>
                              </w:rPr>
                              <w:t>3-5</w:t>
                            </w:r>
                            <w:r>
                              <w:rPr>
                                <w:spacing w:val="-2"/>
                                <w:sz w:val="18"/>
                              </w:rPr>
                              <w:t xml:space="preserve"> </w:t>
                            </w:r>
                            <w:r>
                              <w:rPr>
                                <w:sz w:val="18"/>
                              </w:rPr>
                              <w:t>years</w:t>
                            </w:r>
                          </w:p>
                        </w:tc>
                        <w:tc>
                          <w:tcPr>
                            <w:tcW w:w="1008" w:type="dxa"/>
                            <w:tcBorders>
                              <w:left w:val="single" w:sz="4" w:space="0" w:color="000000"/>
                            </w:tcBorders>
                          </w:tcPr>
                          <w:p w:rsidR="00D862F2" w:rsidRDefault="00884FE4">
                            <w:pPr>
                              <w:pStyle w:val="TableParagraph"/>
                              <w:spacing w:line="217" w:lineRule="exact"/>
                              <w:ind w:right="117"/>
                              <w:rPr>
                                <w:sz w:val="18"/>
                              </w:rPr>
                            </w:pPr>
                            <w:r>
                              <w:rPr>
                                <w:sz w:val="18"/>
                              </w:rPr>
                              <w:t>28,796</w:t>
                            </w:r>
                          </w:p>
                        </w:tc>
                        <w:tc>
                          <w:tcPr>
                            <w:tcW w:w="691" w:type="dxa"/>
                            <w:tcBorders>
                              <w:right w:val="single" w:sz="4" w:space="0" w:color="000000"/>
                            </w:tcBorders>
                          </w:tcPr>
                          <w:p w:rsidR="00D862F2" w:rsidRDefault="00884FE4">
                            <w:pPr>
                              <w:pStyle w:val="TableParagraph"/>
                              <w:spacing w:line="217" w:lineRule="exact"/>
                              <w:ind w:right="107"/>
                              <w:rPr>
                                <w:sz w:val="18"/>
                              </w:rPr>
                            </w:pPr>
                            <w:r>
                              <w:rPr>
                                <w:sz w:val="18"/>
                              </w:rPr>
                              <w:t>13.3%</w:t>
                            </w:r>
                          </w:p>
                        </w:tc>
                        <w:tc>
                          <w:tcPr>
                            <w:tcW w:w="1085" w:type="dxa"/>
                            <w:tcBorders>
                              <w:left w:val="single" w:sz="4" w:space="0" w:color="000000"/>
                            </w:tcBorders>
                          </w:tcPr>
                          <w:p w:rsidR="00D862F2" w:rsidRDefault="00884FE4">
                            <w:pPr>
                              <w:pStyle w:val="TableParagraph"/>
                              <w:spacing w:line="217" w:lineRule="exact"/>
                              <w:ind w:left="425"/>
                              <w:jc w:val="left"/>
                              <w:rPr>
                                <w:sz w:val="18"/>
                              </w:rPr>
                            </w:pPr>
                            <w:r>
                              <w:rPr>
                                <w:sz w:val="18"/>
                              </w:rPr>
                              <w:t>29,300</w:t>
                            </w:r>
                          </w:p>
                        </w:tc>
                        <w:tc>
                          <w:tcPr>
                            <w:tcW w:w="722" w:type="dxa"/>
                            <w:tcBorders>
                              <w:right w:val="single" w:sz="4" w:space="0" w:color="000000"/>
                            </w:tcBorders>
                          </w:tcPr>
                          <w:p w:rsidR="00D862F2" w:rsidRDefault="00884FE4">
                            <w:pPr>
                              <w:pStyle w:val="TableParagraph"/>
                              <w:spacing w:line="217" w:lineRule="exact"/>
                              <w:ind w:right="103"/>
                              <w:rPr>
                                <w:sz w:val="18"/>
                              </w:rPr>
                            </w:pPr>
                            <w:r>
                              <w:rPr>
                                <w:sz w:val="18"/>
                              </w:rPr>
                              <w:t>13.3%</w:t>
                            </w:r>
                          </w:p>
                        </w:tc>
                        <w:tc>
                          <w:tcPr>
                            <w:tcW w:w="1061" w:type="dxa"/>
                            <w:tcBorders>
                              <w:left w:val="single" w:sz="4" w:space="0" w:color="000000"/>
                            </w:tcBorders>
                          </w:tcPr>
                          <w:p w:rsidR="00D862F2" w:rsidRDefault="00884FE4">
                            <w:pPr>
                              <w:pStyle w:val="TableParagraph"/>
                              <w:spacing w:line="217" w:lineRule="exact"/>
                              <w:ind w:right="198"/>
                              <w:rPr>
                                <w:sz w:val="18"/>
                              </w:rPr>
                            </w:pPr>
                            <w:r>
                              <w:rPr>
                                <w:sz w:val="18"/>
                              </w:rPr>
                              <w:t>30,606</w:t>
                            </w:r>
                          </w:p>
                        </w:tc>
                        <w:tc>
                          <w:tcPr>
                            <w:tcW w:w="768" w:type="dxa"/>
                            <w:tcBorders>
                              <w:right w:val="single" w:sz="4" w:space="0" w:color="000000"/>
                            </w:tcBorders>
                          </w:tcPr>
                          <w:p w:rsidR="00D862F2" w:rsidRDefault="00884FE4">
                            <w:pPr>
                              <w:pStyle w:val="TableParagraph"/>
                              <w:spacing w:line="217" w:lineRule="exact"/>
                              <w:ind w:right="101"/>
                              <w:rPr>
                                <w:sz w:val="18"/>
                              </w:rPr>
                            </w:pPr>
                            <w:r>
                              <w:rPr>
                                <w:sz w:val="18"/>
                              </w:rPr>
                              <w:t>13.3%</w:t>
                            </w:r>
                          </w:p>
                        </w:tc>
                        <w:tc>
                          <w:tcPr>
                            <w:tcW w:w="977" w:type="dxa"/>
                            <w:tcBorders>
                              <w:left w:val="single" w:sz="4" w:space="0" w:color="000000"/>
                            </w:tcBorders>
                          </w:tcPr>
                          <w:p w:rsidR="00D862F2" w:rsidRDefault="00884FE4">
                            <w:pPr>
                              <w:pStyle w:val="TableParagraph"/>
                              <w:spacing w:line="217" w:lineRule="exact"/>
                              <w:ind w:right="107"/>
                              <w:rPr>
                                <w:sz w:val="18"/>
                              </w:rPr>
                            </w:pPr>
                            <w:r>
                              <w:rPr>
                                <w:sz w:val="18"/>
                              </w:rPr>
                              <w:t>27,543</w:t>
                            </w:r>
                          </w:p>
                        </w:tc>
                        <w:tc>
                          <w:tcPr>
                            <w:tcW w:w="679" w:type="dxa"/>
                            <w:tcBorders>
                              <w:right w:val="single" w:sz="4" w:space="0" w:color="000000"/>
                            </w:tcBorders>
                          </w:tcPr>
                          <w:p w:rsidR="00D862F2" w:rsidRDefault="00884FE4">
                            <w:pPr>
                              <w:pStyle w:val="TableParagraph"/>
                              <w:spacing w:line="217" w:lineRule="exact"/>
                              <w:ind w:right="103"/>
                              <w:rPr>
                                <w:sz w:val="18"/>
                              </w:rPr>
                            </w:pPr>
                            <w:r>
                              <w:rPr>
                                <w:sz w:val="18"/>
                              </w:rPr>
                              <w:t>13.1%</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6-10</w:t>
                            </w:r>
                            <w:r>
                              <w:rPr>
                                <w:spacing w:val="-2"/>
                                <w:sz w:val="18"/>
                              </w:rPr>
                              <w:t xml:space="preserve"> </w:t>
                            </w:r>
                            <w:r>
                              <w:rPr>
                                <w:sz w:val="18"/>
                              </w:rPr>
                              <w:t>years</w:t>
                            </w:r>
                          </w:p>
                        </w:tc>
                        <w:tc>
                          <w:tcPr>
                            <w:tcW w:w="1008" w:type="dxa"/>
                            <w:tcBorders>
                              <w:left w:val="single" w:sz="4" w:space="0" w:color="000000"/>
                            </w:tcBorders>
                          </w:tcPr>
                          <w:p w:rsidR="00D862F2" w:rsidRDefault="00884FE4">
                            <w:pPr>
                              <w:pStyle w:val="TableParagraph"/>
                              <w:spacing w:before="3"/>
                              <w:ind w:right="117"/>
                              <w:rPr>
                                <w:sz w:val="18"/>
                              </w:rPr>
                            </w:pPr>
                            <w:r>
                              <w:rPr>
                                <w:sz w:val="18"/>
                              </w:rPr>
                              <w:t>45,770</w:t>
                            </w:r>
                          </w:p>
                        </w:tc>
                        <w:tc>
                          <w:tcPr>
                            <w:tcW w:w="691" w:type="dxa"/>
                            <w:tcBorders>
                              <w:right w:val="single" w:sz="4" w:space="0" w:color="000000"/>
                            </w:tcBorders>
                          </w:tcPr>
                          <w:p w:rsidR="00D862F2" w:rsidRDefault="00884FE4">
                            <w:pPr>
                              <w:pStyle w:val="TableParagraph"/>
                              <w:spacing w:before="3"/>
                              <w:ind w:right="106"/>
                              <w:rPr>
                                <w:sz w:val="18"/>
                              </w:rPr>
                            </w:pPr>
                            <w:r>
                              <w:rPr>
                                <w:sz w:val="18"/>
                              </w:rPr>
                              <w:t>21.2%</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45,583</w:t>
                            </w:r>
                          </w:p>
                        </w:tc>
                        <w:tc>
                          <w:tcPr>
                            <w:tcW w:w="722" w:type="dxa"/>
                            <w:tcBorders>
                              <w:right w:val="single" w:sz="4" w:space="0" w:color="000000"/>
                            </w:tcBorders>
                          </w:tcPr>
                          <w:p w:rsidR="00D862F2" w:rsidRDefault="00884FE4">
                            <w:pPr>
                              <w:pStyle w:val="TableParagraph"/>
                              <w:spacing w:before="3"/>
                              <w:ind w:right="103"/>
                              <w:rPr>
                                <w:sz w:val="18"/>
                              </w:rPr>
                            </w:pPr>
                            <w:r>
                              <w:rPr>
                                <w:sz w:val="18"/>
                              </w:rPr>
                              <w:t>20.7%</w:t>
                            </w:r>
                          </w:p>
                        </w:tc>
                        <w:tc>
                          <w:tcPr>
                            <w:tcW w:w="1061" w:type="dxa"/>
                            <w:tcBorders>
                              <w:left w:val="single" w:sz="4" w:space="0" w:color="000000"/>
                            </w:tcBorders>
                          </w:tcPr>
                          <w:p w:rsidR="00D862F2" w:rsidRDefault="00884FE4">
                            <w:pPr>
                              <w:pStyle w:val="TableParagraph"/>
                              <w:spacing w:before="3"/>
                              <w:ind w:right="198"/>
                              <w:rPr>
                                <w:sz w:val="18"/>
                              </w:rPr>
                            </w:pPr>
                            <w:r>
                              <w:rPr>
                                <w:sz w:val="18"/>
                              </w:rPr>
                              <w:t>47,605</w:t>
                            </w:r>
                          </w:p>
                        </w:tc>
                        <w:tc>
                          <w:tcPr>
                            <w:tcW w:w="768" w:type="dxa"/>
                            <w:tcBorders>
                              <w:right w:val="single" w:sz="4" w:space="0" w:color="000000"/>
                            </w:tcBorders>
                          </w:tcPr>
                          <w:p w:rsidR="00D862F2" w:rsidRDefault="00884FE4">
                            <w:pPr>
                              <w:pStyle w:val="TableParagraph"/>
                              <w:spacing w:before="3"/>
                              <w:ind w:right="101"/>
                              <w:rPr>
                                <w:sz w:val="18"/>
                              </w:rPr>
                            </w:pPr>
                            <w:r>
                              <w:rPr>
                                <w:sz w:val="18"/>
                              </w:rPr>
                              <w:t>20.8%</w:t>
                            </w:r>
                          </w:p>
                        </w:tc>
                        <w:tc>
                          <w:tcPr>
                            <w:tcW w:w="977" w:type="dxa"/>
                            <w:tcBorders>
                              <w:left w:val="single" w:sz="4" w:space="0" w:color="000000"/>
                            </w:tcBorders>
                          </w:tcPr>
                          <w:p w:rsidR="00D862F2" w:rsidRDefault="00884FE4">
                            <w:pPr>
                              <w:pStyle w:val="TableParagraph"/>
                              <w:spacing w:before="3"/>
                              <w:ind w:right="107"/>
                              <w:rPr>
                                <w:sz w:val="18"/>
                              </w:rPr>
                            </w:pPr>
                            <w:r>
                              <w:rPr>
                                <w:sz w:val="18"/>
                              </w:rPr>
                              <w:t>42,386</w:t>
                            </w:r>
                          </w:p>
                        </w:tc>
                        <w:tc>
                          <w:tcPr>
                            <w:tcW w:w="679" w:type="dxa"/>
                            <w:tcBorders>
                              <w:right w:val="single" w:sz="4" w:space="0" w:color="000000"/>
                            </w:tcBorders>
                          </w:tcPr>
                          <w:p w:rsidR="00D862F2" w:rsidRDefault="00884FE4">
                            <w:pPr>
                              <w:pStyle w:val="TableParagraph"/>
                              <w:spacing w:before="3"/>
                              <w:ind w:right="103"/>
                              <w:rPr>
                                <w:sz w:val="18"/>
                              </w:rPr>
                            </w:pPr>
                            <w:r>
                              <w:rPr>
                                <w:sz w:val="18"/>
                              </w:rPr>
                              <w:t>20.2%</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11-15</w:t>
                            </w:r>
                            <w:r>
                              <w:rPr>
                                <w:spacing w:val="-2"/>
                                <w:sz w:val="18"/>
                              </w:rPr>
                              <w:t xml:space="preserve"> </w:t>
                            </w:r>
                            <w:r>
                              <w:rPr>
                                <w:sz w:val="18"/>
                              </w:rPr>
                              <w:t>years</w:t>
                            </w:r>
                          </w:p>
                        </w:tc>
                        <w:tc>
                          <w:tcPr>
                            <w:tcW w:w="1008" w:type="dxa"/>
                            <w:tcBorders>
                              <w:left w:val="single" w:sz="4" w:space="0" w:color="000000"/>
                            </w:tcBorders>
                          </w:tcPr>
                          <w:p w:rsidR="00D862F2" w:rsidRDefault="00884FE4">
                            <w:pPr>
                              <w:pStyle w:val="TableParagraph"/>
                              <w:spacing w:before="3"/>
                              <w:ind w:right="117"/>
                              <w:rPr>
                                <w:sz w:val="18"/>
                              </w:rPr>
                            </w:pPr>
                            <w:r>
                              <w:rPr>
                                <w:sz w:val="18"/>
                              </w:rPr>
                              <w:t>48,420</w:t>
                            </w:r>
                          </w:p>
                        </w:tc>
                        <w:tc>
                          <w:tcPr>
                            <w:tcW w:w="691" w:type="dxa"/>
                            <w:tcBorders>
                              <w:right w:val="single" w:sz="4" w:space="0" w:color="000000"/>
                            </w:tcBorders>
                          </w:tcPr>
                          <w:p w:rsidR="00D862F2" w:rsidRDefault="00884FE4">
                            <w:pPr>
                              <w:pStyle w:val="TableParagraph"/>
                              <w:spacing w:before="3"/>
                              <w:ind w:right="107"/>
                              <w:rPr>
                                <w:sz w:val="18"/>
                              </w:rPr>
                            </w:pPr>
                            <w:r>
                              <w:rPr>
                                <w:sz w:val="18"/>
                              </w:rPr>
                              <w:t>22.4%</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49,285</w:t>
                            </w:r>
                          </w:p>
                        </w:tc>
                        <w:tc>
                          <w:tcPr>
                            <w:tcW w:w="722" w:type="dxa"/>
                            <w:tcBorders>
                              <w:right w:val="single" w:sz="4" w:space="0" w:color="000000"/>
                            </w:tcBorders>
                          </w:tcPr>
                          <w:p w:rsidR="00D862F2" w:rsidRDefault="00884FE4">
                            <w:pPr>
                              <w:pStyle w:val="TableParagraph"/>
                              <w:spacing w:before="3"/>
                              <w:ind w:right="103"/>
                              <w:rPr>
                                <w:sz w:val="18"/>
                              </w:rPr>
                            </w:pPr>
                            <w:r>
                              <w:rPr>
                                <w:sz w:val="18"/>
                              </w:rPr>
                              <w:t>22.4%</w:t>
                            </w:r>
                          </w:p>
                        </w:tc>
                        <w:tc>
                          <w:tcPr>
                            <w:tcW w:w="1061" w:type="dxa"/>
                            <w:tcBorders>
                              <w:left w:val="single" w:sz="4" w:space="0" w:color="000000"/>
                            </w:tcBorders>
                          </w:tcPr>
                          <w:p w:rsidR="00D862F2" w:rsidRDefault="00884FE4">
                            <w:pPr>
                              <w:pStyle w:val="TableParagraph"/>
                              <w:spacing w:before="3"/>
                              <w:ind w:right="198"/>
                              <w:rPr>
                                <w:sz w:val="18"/>
                              </w:rPr>
                            </w:pPr>
                            <w:r>
                              <w:rPr>
                                <w:sz w:val="18"/>
                              </w:rPr>
                              <w:t>51,807</w:t>
                            </w:r>
                          </w:p>
                        </w:tc>
                        <w:tc>
                          <w:tcPr>
                            <w:tcW w:w="768" w:type="dxa"/>
                            <w:tcBorders>
                              <w:right w:val="single" w:sz="4" w:space="0" w:color="000000"/>
                            </w:tcBorders>
                          </w:tcPr>
                          <w:p w:rsidR="00D862F2" w:rsidRDefault="00884FE4">
                            <w:pPr>
                              <w:pStyle w:val="TableParagraph"/>
                              <w:spacing w:before="3"/>
                              <w:ind w:right="101"/>
                              <w:rPr>
                                <w:sz w:val="18"/>
                              </w:rPr>
                            </w:pPr>
                            <w:r>
                              <w:rPr>
                                <w:sz w:val="18"/>
                              </w:rPr>
                              <w:t>22.6%</w:t>
                            </w:r>
                          </w:p>
                        </w:tc>
                        <w:tc>
                          <w:tcPr>
                            <w:tcW w:w="977" w:type="dxa"/>
                            <w:tcBorders>
                              <w:left w:val="single" w:sz="4" w:space="0" w:color="000000"/>
                            </w:tcBorders>
                          </w:tcPr>
                          <w:p w:rsidR="00D862F2" w:rsidRDefault="00884FE4">
                            <w:pPr>
                              <w:pStyle w:val="TableParagraph"/>
                              <w:spacing w:before="3"/>
                              <w:ind w:right="107"/>
                              <w:rPr>
                                <w:sz w:val="18"/>
                              </w:rPr>
                            </w:pPr>
                            <w:r>
                              <w:rPr>
                                <w:sz w:val="18"/>
                              </w:rPr>
                              <w:t>46,884</w:t>
                            </w:r>
                          </w:p>
                        </w:tc>
                        <w:tc>
                          <w:tcPr>
                            <w:tcW w:w="679" w:type="dxa"/>
                            <w:tcBorders>
                              <w:right w:val="single" w:sz="4" w:space="0" w:color="000000"/>
                            </w:tcBorders>
                          </w:tcPr>
                          <w:p w:rsidR="00D862F2" w:rsidRDefault="00884FE4">
                            <w:pPr>
                              <w:pStyle w:val="TableParagraph"/>
                              <w:spacing w:before="3"/>
                              <w:ind w:right="103"/>
                              <w:rPr>
                                <w:sz w:val="18"/>
                              </w:rPr>
                            </w:pPr>
                            <w:r>
                              <w:rPr>
                                <w:sz w:val="18"/>
                              </w:rPr>
                              <w:t>22.4%</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16-18</w:t>
                            </w:r>
                            <w:r>
                              <w:rPr>
                                <w:spacing w:val="-2"/>
                                <w:sz w:val="18"/>
                              </w:rPr>
                              <w:t xml:space="preserve"> </w:t>
                            </w:r>
                            <w:r>
                              <w:rPr>
                                <w:sz w:val="18"/>
                              </w:rPr>
                              <w:t>years</w:t>
                            </w:r>
                          </w:p>
                        </w:tc>
                        <w:tc>
                          <w:tcPr>
                            <w:tcW w:w="1008" w:type="dxa"/>
                            <w:tcBorders>
                              <w:left w:val="single" w:sz="4" w:space="0" w:color="000000"/>
                            </w:tcBorders>
                          </w:tcPr>
                          <w:p w:rsidR="00D862F2" w:rsidRDefault="00884FE4">
                            <w:pPr>
                              <w:pStyle w:val="TableParagraph"/>
                              <w:spacing w:before="3"/>
                              <w:ind w:right="117"/>
                              <w:rPr>
                                <w:sz w:val="18"/>
                              </w:rPr>
                            </w:pPr>
                            <w:r>
                              <w:rPr>
                                <w:sz w:val="18"/>
                              </w:rPr>
                              <w:t>25,317</w:t>
                            </w:r>
                          </w:p>
                        </w:tc>
                        <w:tc>
                          <w:tcPr>
                            <w:tcW w:w="691" w:type="dxa"/>
                            <w:tcBorders>
                              <w:right w:val="single" w:sz="4" w:space="0" w:color="000000"/>
                            </w:tcBorders>
                          </w:tcPr>
                          <w:p w:rsidR="00D862F2" w:rsidRDefault="00884FE4">
                            <w:pPr>
                              <w:pStyle w:val="TableParagraph"/>
                              <w:spacing w:before="3"/>
                              <w:ind w:right="107"/>
                              <w:rPr>
                                <w:sz w:val="18"/>
                              </w:rPr>
                            </w:pPr>
                            <w:r>
                              <w:rPr>
                                <w:sz w:val="18"/>
                              </w:rPr>
                              <w:t>11.7%</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26,090</w:t>
                            </w:r>
                          </w:p>
                        </w:tc>
                        <w:tc>
                          <w:tcPr>
                            <w:tcW w:w="722" w:type="dxa"/>
                            <w:tcBorders>
                              <w:right w:val="single" w:sz="4" w:space="0" w:color="000000"/>
                            </w:tcBorders>
                          </w:tcPr>
                          <w:p w:rsidR="00D862F2" w:rsidRDefault="00884FE4">
                            <w:pPr>
                              <w:pStyle w:val="TableParagraph"/>
                              <w:spacing w:before="3"/>
                              <w:ind w:right="103"/>
                              <w:rPr>
                                <w:sz w:val="18"/>
                              </w:rPr>
                            </w:pPr>
                            <w:r>
                              <w:rPr>
                                <w:sz w:val="18"/>
                              </w:rPr>
                              <w:t>11.9%</w:t>
                            </w:r>
                          </w:p>
                        </w:tc>
                        <w:tc>
                          <w:tcPr>
                            <w:tcW w:w="1061" w:type="dxa"/>
                            <w:tcBorders>
                              <w:left w:val="single" w:sz="4" w:space="0" w:color="000000"/>
                            </w:tcBorders>
                          </w:tcPr>
                          <w:p w:rsidR="00D862F2" w:rsidRDefault="00884FE4">
                            <w:pPr>
                              <w:pStyle w:val="TableParagraph"/>
                              <w:spacing w:before="3"/>
                              <w:ind w:right="198"/>
                              <w:rPr>
                                <w:sz w:val="18"/>
                              </w:rPr>
                            </w:pPr>
                            <w:r>
                              <w:rPr>
                                <w:sz w:val="18"/>
                              </w:rPr>
                              <w:t>27,457</w:t>
                            </w:r>
                          </w:p>
                        </w:tc>
                        <w:tc>
                          <w:tcPr>
                            <w:tcW w:w="768" w:type="dxa"/>
                            <w:tcBorders>
                              <w:right w:val="single" w:sz="4" w:space="0" w:color="000000"/>
                            </w:tcBorders>
                          </w:tcPr>
                          <w:p w:rsidR="00D862F2" w:rsidRDefault="00884FE4">
                            <w:pPr>
                              <w:pStyle w:val="TableParagraph"/>
                              <w:spacing w:before="3"/>
                              <w:ind w:right="101"/>
                              <w:rPr>
                                <w:sz w:val="18"/>
                              </w:rPr>
                            </w:pPr>
                            <w:r>
                              <w:rPr>
                                <w:sz w:val="18"/>
                              </w:rPr>
                              <w:t>12.0%</w:t>
                            </w:r>
                          </w:p>
                        </w:tc>
                        <w:tc>
                          <w:tcPr>
                            <w:tcW w:w="977" w:type="dxa"/>
                            <w:tcBorders>
                              <w:left w:val="single" w:sz="4" w:space="0" w:color="000000"/>
                            </w:tcBorders>
                          </w:tcPr>
                          <w:p w:rsidR="00D862F2" w:rsidRDefault="00884FE4">
                            <w:pPr>
                              <w:pStyle w:val="TableParagraph"/>
                              <w:spacing w:before="3"/>
                              <w:ind w:right="107"/>
                              <w:rPr>
                                <w:sz w:val="18"/>
                              </w:rPr>
                            </w:pPr>
                            <w:r>
                              <w:rPr>
                                <w:sz w:val="18"/>
                              </w:rPr>
                              <w:t>26,020</w:t>
                            </w:r>
                          </w:p>
                        </w:tc>
                        <w:tc>
                          <w:tcPr>
                            <w:tcW w:w="679" w:type="dxa"/>
                            <w:tcBorders>
                              <w:right w:val="single" w:sz="4" w:space="0" w:color="000000"/>
                            </w:tcBorders>
                          </w:tcPr>
                          <w:p w:rsidR="00D862F2" w:rsidRDefault="00884FE4">
                            <w:pPr>
                              <w:pStyle w:val="TableParagraph"/>
                              <w:spacing w:before="3"/>
                              <w:ind w:right="103"/>
                              <w:rPr>
                                <w:sz w:val="18"/>
                              </w:rPr>
                            </w:pPr>
                            <w:r>
                              <w:rPr>
                                <w:sz w:val="18"/>
                              </w:rPr>
                              <w:t>12.4%</w:t>
                            </w:r>
                          </w:p>
                        </w:tc>
                      </w:tr>
                      <w:tr w:rsidR="00D862F2">
                        <w:trPr>
                          <w:trHeight w:val="263"/>
                        </w:trPr>
                        <w:tc>
                          <w:tcPr>
                            <w:tcW w:w="2359" w:type="dxa"/>
                            <w:tcBorders>
                              <w:left w:val="single" w:sz="4" w:space="0" w:color="000000"/>
                              <w:bottom w:val="single" w:sz="4" w:space="0" w:color="000000"/>
                              <w:right w:val="single" w:sz="4" w:space="0" w:color="000000"/>
                            </w:tcBorders>
                          </w:tcPr>
                          <w:p w:rsidR="00D862F2" w:rsidRDefault="00884FE4">
                            <w:pPr>
                              <w:pStyle w:val="TableParagraph"/>
                              <w:spacing w:before="3"/>
                              <w:ind w:left="115"/>
                              <w:jc w:val="left"/>
                              <w:rPr>
                                <w:sz w:val="18"/>
                              </w:rPr>
                            </w:pPr>
                            <w:r>
                              <w:rPr>
                                <w:sz w:val="18"/>
                              </w:rPr>
                              <w:t>19+</w:t>
                            </w:r>
                            <w:r>
                              <w:rPr>
                                <w:spacing w:val="-2"/>
                                <w:sz w:val="18"/>
                              </w:rPr>
                              <w:t xml:space="preserve"> </w:t>
                            </w:r>
                            <w:r>
                              <w:rPr>
                                <w:sz w:val="18"/>
                              </w:rPr>
                              <w:t>years</w:t>
                            </w:r>
                          </w:p>
                        </w:tc>
                        <w:tc>
                          <w:tcPr>
                            <w:tcW w:w="1008" w:type="dxa"/>
                            <w:tcBorders>
                              <w:left w:val="single" w:sz="4" w:space="0" w:color="000000"/>
                              <w:bottom w:val="single" w:sz="4" w:space="0" w:color="000000"/>
                            </w:tcBorders>
                          </w:tcPr>
                          <w:p w:rsidR="00D862F2" w:rsidRDefault="00884FE4">
                            <w:pPr>
                              <w:pStyle w:val="TableParagraph"/>
                              <w:spacing w:before="3"/>
                              <w:ind w:right="117"/>
                              <w:rPr>
                                <w:sz w:val="18"/>
                              </w:rPr>
                            </w:pPr>
                            <w:r>
                              <w:rPr>
                                <w:sz w:val="18"/>
                              </w:rPr>
                              <w:t>26,760</w:t>
                            </w:r>
                          </w:p>
                        </w:tc>
                        <w:tc>
                          <w:tcPr>
                            <w:tcW w:w="691" w:type="dxa"/>
                            <w:tcBorders>
                              <w:bottom w:val="single" w:sz="4" w:space="0" w:color="000000"/>
                              <w:right w:val="single" w:sz="4" w:space="0" w:color="000000"/>
                            </w:tcBorders>
                          </w:tcPr>
                          <w:p w:rsidR="00D862F2" w:rsidRDefault="00884FE4">
                            <w:pPr>
                              <w:pStyle w:val="TableParagraph"/>
                              <w:spacing w:before="3"/>
                              <w:ind w:right="107"/>
                              <w:rPr>
                                <w:sz w:val="18"/>
                              </w:rPr>
                            </w:pPr>
                            <w:r>
                              <w:rPr>
                                <w:sz w:val="18"/>
                              </w:rPr>
                              <w:t>12.4%</w:t>
                            </w:r>
                          </w:p>
                        </w:tc>
                        <w:tc>
                          <w:tcPr>
                            <w:tcW w:w="1085" w:type="dxa"/>
                            <w:tcBorders>
                              <w:left w:val="single" w:sz="4" w:space="0" w:color="000000"/>
                              <w:bottom w:val="single" w:sz="4" w:space="0" w:color="000000"/>
                            </w:tcBorders>
                          </w:tcPr>
                          <w:p w:rsidR="00D862F2" w:rsidRDefault="00884FE4">
                            <w:pPr>
                              <w:pStyle w:val="TableParagraph"/>
                              <w:spacing w:before="3"/>
                              <w:ind w:left="425"/>
                              <w:jc w:val="left"/>
                              <w:rPr>
                                <w:sz w:val="18"/>
                              </w:rPr>
                            </w:pPr>
                            <w:r>
                              <w:rPr>
                                <w:sz w:val="18"/>
                              </w:rPr>
                              <w:t>27,807</w:t>
                            </w:r>
                          </w:p>
                        </w:tc>
                        <w:tc>
                          <w:tcPr>
                            <w:tcW w:w="722"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12.6%</w:t>
                            </w:r>
                          </w:p>
                        </w:tc>
                        <w:tc>
                          <w:tcPr>
                            <w:tcW w:w="1061" w:type="dxa"/>
                            <w:tcBorders>
                              <w:left w:val="single" w:sz="4" w:space="0" w:color="000000"/>
                              <w:bottom w:val="single" w:sz="4" w:space="0" w:color="000000"/>
                            </w:tcBorders>
                          </w:tcPr>
                          <w:p w:rsidR="00D862F2" w:rsidRDefault="00884FE4">
                            <w:pPr>
                              <w:pStyle w:val="TableParagraph"/>
                              <w:spacing w:before="3"/>
                              <w:ind w:right="198"/>
                              <w:rPr>
                                <w:sz w:val="18"/>
                              </w:rPr>
                            </w:pPr>
                            <w:r>
                              <w:rPr>
                                <w:sz w:val="18"/>
                              </w:rPr>
                              <w:t>28,556</w:t>
                            </w:r>
                          </w:p>
                        </w:tc>
                        <w:tc>
                          <w:tcPr>
                            <w:tcW w:w="768" w:type="dxa"/>
                            <w:tcBorders>
                              <w:bottom w:val="single" w:sz="4" w:space="0" w:color="000000"/>
                              <w:right w:val="single" w:sz="4" w:space="0" w:color="000000"/>
                            </w:tcBorders>
                          </w:tcPr>
                          <w:p w:rsidR="00D862F2" w:rsidRDefault="00884FE4">
                            <w:pPr>
                              <w:pStyle w:val="TableParagraph"/>
                              <w:spacing w:before="3"/>
                              <w:ind w:right="101"/>
                              <w:rPr>
                                <w:sz w:val="18"/>
                              </w:rPr>
                            </w:pPr>
                            <w:r>
                              <w:rPr>
                                <w:sz w:val="18"/>
                              </w:rPr>
                              <w:t>12.5%</w:t>
                            </w:r>
                          </w:p>
                        </w:tc>
                        <w:tc>
                          <w:tcPr>
                            <w:tcW w:w="977" w:type="dxa"/>
                            <w:tcBorders>
                              <w:left w:val="single" w:sz="4" w:space="0" w:color="000000"/>
                              <w:bottom w:val="single" w:sz="4" w:space="0" w:color="000000"/>
                            </w:tcBorders>
                          </w:tcPr>
                          <w:p w:rsidR="00D862F2" w:rsidRDefault="00884FE4">
                            <w:pPr>
                              <w:pStyle w:val="TableParagraph"/>
                              <w:spacing w:before="3"/>
                              <w:ind w:right="107"/>
                              <w:rPr>
                                <w:sz w:val="18"/>
                              </w:rPr>
                            </w:pPr>
                            <w:r>
                              <w:rPr>
                                <w:sz w:val="18"/>
                              </w:rPr>
                              <w:t>27,178</w:t>
                            </w:r>
                          </w:p>
                        </w:tc>
                        <w:tc>
                          <w:tcPr>
                            <w:tcW w:w="679"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13.0%</w:t>
                            </w:r>
                          </w:p>
                        </w:tc>
                      </w:tr>
                      <w:tr w:rsidR="00D862F2">
                        <w:trPr>
                          <w:trHeight w:val="249"/>
                        </w:trPr>
                        <w:tc>
                          <w:tcPr>
                            <w:tcW w:w="2359" w:type="dxa"/>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115"/>
                              <w:jc w:val="left"/>
                              <w:rPr>
                                <w:b/>
                                <w:sz w:val="18"/>
                              </w:rPr>
                            </w:pPr>
                            <w:r>
                              <w:rPr>
                                <w:b/>
                                <w:sz w:val="18"/>
                              </w:rPr>
                              <w:t>Race/Ethnicity</w:t>
                            </w:r>
                            <w:r>
                              <w:rPr>
                                <w:b/>
                                <w:sz w:val="18"/>
                                <w:vertAlign w:val="superscript"/>
                              </w:rPr>
                              <w:t>*</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2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r>
                      <w:tr w:rsidR="00D862F2">
                        <w:trPr>
                          <w:trHeight w:val="250"/>
                        </w:trPr>
                        <w:tc>
                          <w:tcPr>
                            <w:tcW w:w="2359" w:type="dxa"/>
                            <w:tcBorders>
                              <w:top w:val="single" w:sz="4" w:space="0" w:color="000000"/>
                              <w:left w:val="single" w:sz="4" w:space="0" w:color="000000"/>
                              <w:right w:val="single" w:sz="4" w:space="0" w:color="000000"/>
                            </w:tcBorders>
                          </w:tcPr>
                          <w:p w:rsidR="00D862F2" w:rsidRDefault="00884FE4">
                            <w:pPr>
                              <w:pStyle w:val="TableParagraph"/>
                              <w:spacing w:line="219" w:lineRule="exact"/>
                              <w:ind w:left="115"/>
                              <w:jc w:val="left"/>
                              <w:rPr>
                                <w:sz w:val="18"/>
                              </w:rPr>
                            </w:pPr>
                            <w:r>
                              <w:rPr>
                                <w:sz w:val="18"/>
                              </w:rPr>
                              <w:t>Asian,</w:t>
                            </w:r>
                            <w:r>
                              <w:rPr>
                                <w:spacing w:val="-3"/>
                                <w:sz w:val="18"/>
                              </w:rPr>
                              <w:t xml:space="preserve"> </w:t>
                            </w:r>
                            <w:r>
                              <w:rPr>
                                <w:sz w:val="18"/>
                              </w:rPr>
                              <w:t>non-Hispanic</w:t>
                            </w:r>
                          </w:p>
                        </w:tc>
                        <w:tc>
                          <w:tcPr>
                            <w:tcW w:w="1008" w:type="dxa"/>
                            <w:tcBorders>
                              <w:top w:val="single" w:sz="4" w:space="0" w:color="000000"/>
                              <w:left w:val="single" w:sz="4" w:space="0" w:color="000000"/>
                            </w:tcBorders>
                          </w:tcPr>
                          <w:p w:rsidR="00D862F2" w:rsidRDefault="00884FE4">
                            <w:pPr>
                              <w:pStyle w:val="TableParagraph"/>
                              <w:spacing w:line="219" w:lineRule="exact"/>
                              <w:ind w:right="117"/>
                              <w:rPr>
                                <w:sz w:val="18"/>
                              </w:rPr>
                            </w:pPr>
                            <w:r>
                              <w:rPr>
                                <w:sz w:val="18"/>
                              </w:rPr>
                              <w:t>7,042</w:t>
                            </w:r>
                          </w:p>
                        </w:tc>
                        <w:tc>
                          <w:tcPr>
                            <w:tcW w:w="691" w:type="dxa"/>
                            <w:tcBorders>
                              <w:top w:val="single" w:sz="4" w:space="0" w:color="000000"/>
                              <w:right w:val="single" w:sz="4" w:space="0" w:color="000000"/>
                            </w:tcBorders>
                          </w:tcPr>
                          <w:p w:rsidR="00D862F2" w:rsidRDefault="00884FE4">
                            <w:pPr>
                              <w:pStyle w:val="TableParagraph"/>
                              <w:spacing w:line="219" w:lineRule="exact"/>
                              <w:ind w:right="106"/>
                              <w:rPr>
                                <w:sz w:val="18"/>
                              </w:rPr>
                            </w:pPr>
                            <w:r>
                              <w:rPr>
                                <w:sz w:val="18"/>
                              </w:rPr>
                              <w:t>4.2%</w:t>
                            </w:r>
                          </w:p>
                        </w:tc>
                        <w:tc>
                          <w:tcPr>
                            <w:tcW w:w="1085" w:type="dxa"/>
                            <w:tcBorders>
                              <w:top w:val="single" w:sz="4" w:space="0" w:color="000000"/>
                              <w:left w:val="single" w:sz="4" w:space="0" w:color="000000"/>
                            </w:tcBorders>
                          </w:tcPr>
                          <w:p w:rsidR="00D862F2" w:rsidRDefault="00884FE4">
                            <w:pPr>
                              <w:pStyle w:val="TableParagraph"/>
                              <w:spacing w:line="219" w:lineRule="exact"/>
                              <w:ind w:left="516"/>
                              <w:jc w:val="left"/>
                              <w:rPr>
                                <w:sz w:val="18"/>
                              </w:rPr>
                            </w:pPr>
                            <w:r>
                              <w:rPr>
                                <w:sz w:val="18"/>
                              </w:rPr>
                              <w:t>7,113</w:t>
                            </w:r>
                          </w:p>
                        </w:tc>
                        <w:tc>
                          <w:tcPr>
                            <w:tcW w:w="722"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4.2%</w:t>
                            </w:r>
                          </w:p>
                        </w:tc>
                        <w:tc>
                          <w:tcPr>
                            <w:tcW w:w="1061" w:type="dxa"/>
                            <w:tcBorders>
                              <w:top w:val="single" w:sz="4" w:space="0" w:color="000000"/>
                              <w:left w:val="single" w:sz="4" w:space="0" w:color="000000"/>
                            </w:tcBorders>
                          </w:tcPr>
                          <w:p w:rsidR="00D862F2" w:rsidRDefault="00884FE4">
                            <w:pPr>
                              <w:pStyle w:val="TableParagraph"/>
                              <w:spacing w:line="219" w:lineRule="exact"/>
                              <w:ind w:right="199"/>
                              <w:rPr>
                                <w:sz w:val="18"/>
                              </w:rPr>
                            </w:pPr>
                            <w:r>
                              <w:rPr>
                                <w:sz w:val="18"/>
                              </w:rPr>
                              <w:t>7,049</w:t>
                            </w:r>
                          </w:p>
                        </w:tc>
                        <w:tc>
                          <w:tcPr>
                            <w:tcW w:w="768" w:type="dxa"/>
                            <w:tcBorders>
                              <w:top w:val="single" w:sz="4" w:space="0" w:color="000000"/>
                              <w:right w:val="single" w:sz="4" w:space="0" w:color="000000"/>
                            </w:tcBorders>
                          </w:tcPr>
                          <w:p w:rsidR="00D862F2" w:rsidRDefault="00884FE4">
                            <w:pPr>
                              <w:pStyle w:val="TableParagraph"/>
                              <w:spacing w:line="219" w:lineRule="exact"/>
                              <w:ind w:right="101"/>
                              <w:rPr>
                                <w:sz w:val="18"/>
                              </w:rPr>
                            </w:pPr>
                            <w:r>
                              <w:rPr>
                                <w:sz w:val="18"/>
                              </w:rPr>
                              <w:t>4.2%</w:t>
                            </w:r>
                          </w:p>
                        </w:tc>
                        <w:tc>
                          <w:tcPr>
                            <w:tcW w:w="977" w:type="dxa"/>
                            <w:tcBorders>
                              <w:top w:val="single" w:sz="4" w:space="0" w:color="000000"/>
                              <w:left w:val="single" w:sz="4" w:space="0" w:color="000000"/>
                            </w:tcBorders>
                          </w:tcPr>
                          <w:p w:rsidR="00D862F2" w:rsidRDefault="00884FE4">
                            <w:pPr>
                              <w:pStyle w:val="TableParagraph"/>
                              <w:spacing w:line="219" w:lineRule="exact"/>
                              <w:ind w:right="108"/>
                              <w:rPr>
                                <w:sz w:val="18"/>
                              </w:rPr>
                            </w:pPr>
                            <w:r>
                              <w:rPr>
                                <w:sz w:val="18"/>
                              </w:rPr>
                              <w:t>6,200</w:t>
                            </w:r>
                          </w:p>
                        </w:tc>
                        <w:tc>
                          <w:tcPr>
                            <w:tcW w:w="679"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4.1%</w:t>
                            </w:r>
                          </w:p>
                        </w:tc>
                      </w:tr>
                      <w:tr w:rsidR="00D862F2">
                        <w:trPr>
                          <w:trHeight w:val="254"/>
                        </w:trPr>
                        <w:tc>
                          <w:tcPr>
                            <w:tcW w:w="2359" w:type="dxa"/>
                            <w:tcBorders>
                              <w:left w:val="single" w:sz="4" w:space="0" w:color="000000"/>
                              <w:right w:val="single" w:sz="4" w:space="0" w:color="000000"/>
                            </w:tcBorders>
                          </w:tcPr>
                          <w:p w:rsidR="00D862F2" w:rsidRDefault="00884FE4">
                            <w:pPr>
                              <w:pStyle w:val="TableParagraph"/>
                              <w:spacing w:line="218" w:lineRule="exact"/>
                              <w:ind w:left="115"/>
                              <w:jc w:val="left"/>
                              <w:rPr>
                                <w:sz w:val="18"/>
                              </w:rPr>
                            </w:pPr>
                            <w:r>
                              <w:rPr>
                                <w:sz w:val="18"/>
                              </w:rPr>
                              <w:t>Black,</w:t>
                            </w:r>
                            <w:r>
                              <w:rPr>
                                <w:spacing w:val="-4"/>
                                <w:sz w:val="18"/>
                              </w:rPr>
                              <w:t xml:space="preserve"> </w:t>
                            </w:r>
                            <w:r>
                              <w:rPr>
                                <w:sz w:val="18"/>
                              </w:rPr>
                              <w:t>non-Hispanic</w:t>
                            </w:r>
                          </w:p>
                        </w:tc>
                        <w:tc>
                          <w:tcPr>
                            <w:tcW w:w="1008" w:type="dxa"/>
                            <w:tcBorders>
                              <w:left w:val="single" w:sz="4" w:space="0" w:color="000000"/>
                            </w:tcBorders>
                          </w:tcPr>
                          <w:p w:rsidR="00D862F2" w:rsidRDefault="00884FE4">
                            <w:pPr>
                              <w:pStyle w:val="TableParagraph"/>
                              <w:spacing w:line="218" w:lineRule="exact"/>
                              <w:ind w:right="117"/>
                              <w:rPr>
                                <w:sz w:val="18"/>
                              </w:rPr>
                            </w:pPr>
                            <w:r>
                              <w:rPr>
                                <w:sz w:val="18"/>
                              </w:rPr>
                              <w:t>17,564</w:t>
                            </w:r>
                          </w:p>
                        </w:tc>
                        <w:tc>
                          <w:tcPr>
                            <w:tcW w:w="691" w:type="dxa"/>
                            <w:tcBorders>
                              <w:right w:val="single" w:sz="4" w:space="0" w:color="000000"/>
                            </w:tcBorders>
                          </w:tcPr>
                          <w:p w:rsidR="00D862F2" w:rsidRDefault="00884FE4">
                            <w:pPr>
                              <w:pStyle w:val="TableParagraph"/>
                              <w:spacing w:line="218" w:lineRule="exact"/>
                              <w:ind w:right="107"/>
                              <w:rPr>
                                <w:sz w:val="18"/>
                              </w:rPr>
                            </w:pPr>
                            <w:r>
                              <w:rPr>
                                <w:sz w:val="18"/>
                              </w:rPr>
                              <w:t>10.5%</w:t>
                            </w:r>
                          </w:p>
                        </w:tc>
                        <w:tc>
                          <w:tcPr>
                            <w:tcW w:w="1085" w:type="dxa"/>
                            <w:tcBorders>
                              <w:left w:val="single" w:sz="4" w:space="0" w:color="000000"/>
                            </w:tcBorders>
                          </w:tcPr>
                          <w:p w:rsidR="00D862F2" w:rsidRDefault="00884FE4">
                            <w:pPr>
                              <w:pStyle w:val="TableParagraph"/>
                              <w:spacing w:line="218" w:lineRule="exact"/>
                              <w:ind w:left="425"/>
                              <w:jc w:val="left"/>
                              <w:rPr>
                                <w:sz w:val="18"/>
                              </w:rPr>
                            </w:pPr>
                            <w:r>
                              <w:rPr>
                                <w:sz w:val="18"/>
                              </w:rPr>
                              <w:t>17,322</w:t>
                            </w:r>
                          </w:p>
                        </w:tc>
                        <w:tc>
                          <w:tcPr>
                            <w:tcW w:w="722" w:type="dxa"/>
                            <w:tcBorders>
                              <w:right w:val="single" w:sz="4" w:space="0" w:color="000000"/>
                            </w:tcBorders>
                          </w:tcPr>
                          <w:p w:rsidR="00D862F2" w:rsidRDefault="00884FE4">
                            <w:pPr>
                              <w:pStyle w:val="TableParagraph"/>
                              <w:spacing w:line="218" w:lineRule="exact"/>
                              <w:ind w:right="103"/>
                              <w:rPr>
                                <w:sz w:val="18"/>
                              </w:rPr>
                            </w:pPr>
                            <w:r>
                              <w:rPr>
                                <w:sz w:val="18"/>
                              </w:rPr>
                              <w:t>10.3%</w:t>
                            </w:r>
                          </w:p>
                        </w:tc>
                        <w:tc>
                          <w:tcPr>
                            <w:tcW w:w="1061" w:type="dxa"/>
                            <w:tcBorders>
                              <w:left w:val="single" w:sz="4" w:space="0" w:color="000000"/>
                            </w:tcBorders>
                          </w:tcPr>
                          <w:p w:rsidR="00D862F2" w:rsidRDefault="00884FE4">
                            <w:pPr>
                              <w:pStyle w:val="TableParagraph"/>
                              <w:spacing w:line="218" w:lineRule="exact"/>
                              <w:ind w:right="198"/>
                              <w:rPr>
                                <w:sz w:val="18"/>
                              </w:rPr>
                            </w:pPr>
                            <w:r>
                              <w:rPr>
                                <w:sz w:val="18"/>
                              </w:rPr>
                              <w:t>17,343</w:t>
                            </w:r>
                          </w:p>
                        </w:tc>
                        <w:tc>
                          <w:tcPr>
                            <w:tcW w:w="768" w:type="dxa"/>
                            <w:tcBorders>
                              <w:right w:val="single" w:sz="4" w:space="0" w:color="000000"/>
                            </w:tcBorders>
                          </w:tcPr>
                          <w:p w:rsidR="00D862F2" w:rsidRDefault="00884FE4">
                            <w:pPr>
                              <w:pStyle w:val="TableParagraph"/>
                              <w:spacing w:line="218" w:lineRule="exact"/>
                              <w:ind w:right="101"/>
                              <w:rPr>
                                <w:sz w:val="18"/>
                              </w:rPr>
                            </w:pPr>
                            <w:r>
                              <w:rPr>
                                <w:sz w:val="18"/>
                              </w:rPr>
                              <w:t>10.2%</w:t>
                            </w:r>
                          </w:p>
                        </w:tc>
                        <w:tc>
                          <w:tcPr>
                            <w:tcW w:w="977" w:type="dxa"/>
                            <w:tcBorders>
                              <w:left w:val="single" w:sz="4" w:space="0" w:color="000000"/>
                            </w:tcBorders>
                          </w:tcPr>
                          <w:p w:rsidR="00D862F2" w:rsidRDefault="00884FE4">
                            <w:pPr>
                              <w:pStyle w:val="TableParagraph"/>
                              <w:spacing w:line="218" w:lineRule="exact"/>
                              <w:ind w:right="107"/>
                              <w:rPr>
                                <w:sz w:val="18"/>
                              </w:rPr>
                            </w:pPr>
                            <w:r>
                              <w:rPr>
                                <w:sz w:val="18"/>
                              </w:rPr>
                              <w:t>15,040</w:t>
                            </w:r>
                          </w:p>
                        </w:tc>
                        <w:tc>
                          <w:tcPr>
                            <w:tcW w:w="679" w:type="dxa"/>
                            <w:tcBorders>
                              <w:right w:val="single" w:sz="4" w:space="0" w:color="000000"/>
                            </w:tcBorders>
                          </w:tcPr>
                          <w:p w:rsidR="00D862F2" w:rsidRDefault="00884FE4">
                            <w:pPr>
                              <w:pStyle w:val="TableParagraph"/>
                              <w:spacing w:line="218" w:lineRule="exact"/>
                              <w:ind w:right="103"/>
                              <w:rPr>
                                <w:sz w:val="18"/>
                              </w:rPr>
                            </w:pPr>
                            <w:r>
                              <w:rPr>
                                <w:sz w:val="18"/>
                              </w:rPr>
                              <w:t>10.0%</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Hispanic</w:t>
                            </w:r>
                          </w:p>
                        </w:tc>
                        <w:tc>
                          <w:tcPr>
                            <w:tcW w:w="1008" w:type="dxa"/>
                            <w:tcBorders>
                              <w:left w:val="single" w:sz="4" w:space="0" w:color="000000"/>
                            </w:tcBorders>
                          </w:tcPr>
                          <w:p w:rsidR="00D862F2" w:rsidRDefault="00884FE4">
                            <w:pPr>
                              <w:pStyle w:val="TableParagraph"/>
                              <w:spacing w:before="3"/>
                              <w:ind w:right="117"/>
                              <w:rPr>
                                <w:sz w:val="18"/>
                              </w:rPr>
                            </w:pPr>
                            <w:r>
                              <w:rPr>
                                <w:sz w:val="18"/>
                              </w:rPr>
                              <w:t>26,188</w:t>
                            </w:r>
                          </w:p>
                        </w:tc>
                        <w:tc>
                          <w:tcPr>
                            <w:tcW w:w="691" w:type="dxa"/>
                            <w:tcBorders>
                              <w:right w:val="single" w:sz="4" w:space="0" w:color="000000"/>
                            </w:tcBorders>
                          </w:tcPr>
                          <w:p w:rsidR="00D862F2" w:rsidRDefault="00884FE4">
                            <w:pPr>
                              <w:pStyle w:val="TableParagraph"/>
                              <w:spacing w:before="3"/>
                              <w:ind w:right="107"/>
                              <w:rPr>
                                <w:sz w:val="18"/>
                              </w:rPr>
                            </w:pPr>
                            <w:r>
                              <w:rPr>
                                <w:sz w:val="18"/>
                              </w:rPr>
                              <w:t>15.6%</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26,576</w:t>
                            </w:r>
                          </w:p>
                        </w:tc>
                        <w:tc>
                          <w:tcPr>
                            <w:tcW w:w="722" w:type="dxa"/>
                            <w:tcBorders>
                              <w:right w:val="single" w:sz="4" w:space="0" w:color="000000"/>
                            </w:tcBorders>
                          </w:tcPr>
                          <w:p w:rsidR="00D862F2" w:rsidRDefault="00884FE4">
                            <w:pPr>
                              <w:pStyle w:val="TableParagraph"/>
                              <w:spacing w:before="3"/>
                              <w:ind w:right="103"/>
                              <w:rPr>
                                <w:sz w:val="18"/>
                              </w:rPr>
                            </w:pPr>
                            <w:r>
                              <w:rPr>
                                <w:sz w:val="18"/>
                              </w:rPr>
                              <w:t>15.9%</w:t>
                            </w:r>
                          </w:p>
                        </w:tc>
                        <w:tc>
                          <w:tcPr>
                            <w:tcW w:w="1061" w:type="dxa"/>
                            <w:tcBorders>
                              <w:left w:val="single" w:sz="4" w:space="0" w:color="000000"/>
                            </w:tcBorders>
                          </w:tcPr>
                          <w:p w:rsidR="00D862F2" w:rsidRDefault="00884FE4">
                            <w:pPr>
                              <w:pStyle w:val="TableParagraph"/>
                              <w:spacing w:before="3"/>
                              <w:ind w:right="198"/>
                              <w:rPr>
                                <w:sz w:val="18"/>
                              </w:rPr>
                            </w:pPr>
                            <w:r>
                              <w:rPr>
                                <w:sz w:val="18"/>
                              </w:rPr>
                              <w:t>27,469</w:t>
                            </w:r>
                          </w:p>
                        </w:tc>
                        <w:tc>
                          <w:tcPr>
                            <w:tcW w:w="768" w:type="dxa"/>
                            <w:tcBorders>
                              <w:right w:val="single" w:sz="4" w:space="0" w:color="000000"/>
                            </w:tcBorders>
                          </w:tcPr>
                          <w:p w:rsidR="00D862F2" w:rsidRDefault="00884FE4">
                            <w:pPr>
                              <w:pStyle w:val="TableParagraph"/>
                              <w:spacing w:before="3"/>
                              <w:ind w:right="101"/>
                              <w:rPr>
                                <w:sz w:val="18"/>
                              </w:rPr>
                            </w:pPr>
                            <w:r>
                              <w:rPr>
                                <w:sz w:val="18"/>
                              </w:rPr>
                              <w:t>16.2%</w:t>
                            </w:r>
                          </w:p>
                        </w:tc>
                        <w:tc>
                          <w:tcPr>
                            <w:tcW w:w="977" w:type="dxa"/>
                            <w:tcBorders>
                              <w:left w:val="single" w:sz="4" w:space="0" w:color="000000"/>
                            </w:tcBorders>
                          </w:tcPr>
                          <w:p w:rsidR="00D862F2" w:rsidRDefault="00884FE4">
                            <w:pPr>
                              <w:pStyle w:val="TableParagraph"/>
                              <w:spacing w:before="3"/>
                              <w:ind w:right="107"/>
                              <w:rPr>
                                <w:sz w:val="18"/>
                              </w:rPr>
                            </w:pPr>
                            <w:r>
                              <w:rPr>
                                <w:sz w:val="18"/>
                              </w:rPr>
                              <w:t>24,531</w:t>
                            </w:r>
                          </w:p>
                        </w:tc>
                        <w:tc>
                          <w:tcPr>
                            <w:tcW w:w="679" w:type="dxa"/>
                            <w:tcBorders>
                              <w:right w:val="single" w:sz="4" w:space="0" w:color="000000"/>
                            </w:tcBorders>
                          </w:tcPr>
                          <w:p w:rsidR="00D862F2" w:rsidRDefault="00884FE4">
                            <w:pPr>
                              <w:pStyle w:val="TableParagraph"/>
                              <w:spacing w:before="3"/>
                              <w:ind w:right="103"/>
                              <w:rPr>
                                <w:sz w:val="18"/>
                              </w:rPr>
                            </w:pPr>
                            <w:r>
                              <w:rPr>
                                <w:sz w:val="18"/>
                              </w:rPr>
                              <w:t>16.3%</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White,</w:t>
                            </w:r>
                            <w:r>
                              <w:rPr>
                                <w:spacing w:val="-4"/>
                                <w:sz w:val="18"/>
                              </w:rPr>
                              <w:t xml:space="preserve"> </w:t>
                            </w:r>
                            <w:r>
                              <w:rPr>
                                <w:sz w:val="18"/>
                              </w:rPr>
                              <w:t>non-Hispanic</w:t>
                            </w:r>
                          </w:p>
                        </w:tc>
                        <w:tc>
                          <w:tcPr>
                            <w:tcW w:w="1008" w:type="dxa"/>
                            <w:tcBorders>
                              <w:left w:val="single" w:sz="4" w:space="0" w:color="000000"/>
                            </w:tcBorders>
                          </w:tcPr>
                          <w:p w:rsidR="00D862F2" w:rsidRDefault="00884FE4">
                            <w:pPr>
                              <w:pStyle w:val="TableParagraph"/>
                              <w:spacing w:before="3"/>
                              <w:ind w:right="117"/>
                              <w:rPr>
                                <w:sz w:val="18"/>
                              </w:rPr>
                            </w:pPr>
                            <w:r>
                              <w:rPr>
                                <w:sz w:val="18"/>
                              </w:rPr>
                              <w:t>102,492</w:t>
                            </w:r>
                          </w:p>
                        </w:tc>
                        <w:tc>
                          <w:tcPr>
                            <w:tcW w:w="691" w:type="dxa"/>
                            <w:tcBorders>
                              <w:right w:val="single" w:sz="4" w:space="0" w:color="000000"/>
                            </w:tcBorders>
                          </w:tcPr>
                          <w:p w:rsidR="00D862F2" w:rsidRDefault="00884FE4">
                            <w:pPr>
                              <w:pStyle w:val="TableParagraph"/>
                              <w:spacing w:before="3"/>
                              <w:ind w:right="107"/>
                              <w:rPr>
                                <w:sz w:val="18"/>
                              </w:rPr>
                            </w:pPr>
                            <w:r>
                              <w:rPr>
                                <w:sz w:val="18"/>
                              </w:rPr>
                              <w:t>61.1%</w:t>
                            </w:r>
                          </w:p>
                        </w:tc>
                        <w:tc>
                          <w:tcPr>
                            <w:tcW w:w="1085" w:type="dxa"/>
                            <w:tcBorders>
                              <w:left w:val="single" w:sz="4" w:space="0" w:color="000000"/>
                            </w:tcBorders>
                          </w:tcPr>
                          <w:p w:rsidR="00D862F2" w:rsidRDefault="00884FE4">
                            <w:pPr>
                              <w:pStyle w:val="TableParagraph"/>
                              <w:spacing w:before="3"/>
                              <w:ind w:left="333"/>
                              <w:jc w:val="left"/>
                              <w:rPr>
                                <w:sz w:val="18"/>
                              </w:rPr>
                            </w:pPr>
                            <w:r>
                              <w:rPr>
                                <w:sz w:val="18"/>
                              </w:rPr>
                              <w:t>101,566</w:t>
                            </w:r>
                          </w:p>
                        </w:tc>
                        <w:tc>
                          <w:tcPr>
                            <w:tcW w:w="722" w:type="dxa"/>
                            <w:tcBorders>
                              <w:right w:val="single" w:sz="4" w:space="0" w:color="000000"/>
                            </w:tcBorders>
                          </w:tcPr>
                          <w:p w:rsidR="00D862F2" w:rsidRDefault="00884FE4">
                            <w:pPr>
                              <w:pStyle w:val="TableParagraph"/>
                              <w:spacing w:before="3"/>
                              <w:ind w:right="103"/>
                              <w:rPr>
                                <w:sz w:val="18"/>
                              </w:rPr>
                            </w:pPr>
                            <w:r>
                              <w:rPr>
                                <w:sz w:val="18"/>
                              </w:rPr>
                              <w:t>60.7%</w:t>
                            </w:r>
                          </w:p>
                        </w:tc>
                        <w:tc>
                          <w:tcPr>
                            <w:tcW w:w="1061" w:type="dxa"/>
                            <w:tcBorders>
                              <w:left w:val="single" w:sz="4" w:space="0" w:color="000000"/>
                            </w:tcBorders>
                          </w:tcPr>
                          <w:p w:rsidR="00D862F2" w:rsidRDefault="00884FE4">
                            <w:pPr>
                              <w:pStyle w:val="TableParagraph"/>
                              <w:spacing w:before="3"/>
                              <w:ind w:right="199"/>
                              <w:rPr>
                                <w:sz w:val="18"/>
                              </w:rPr>
                            </w:pPr>
                            <w:r>
                              <w:rPr>
                                <w:sz w:val="18"/>
                              </w:rPr>
                              <w:t>102,572</w:t>
                            </w:r>
                          </w:p>
                        </w:tc>
                        <w:tc>
                          <w:tcPr>
                            <w:tcW w:w="768" w:type="dxa"/>
                            <w:tcBorders>
                              <w:right w:val="single" w:sz="4" w:space="0" w:color="000000"/>
                            </w:tcBorders>
                          </w:tcPr>
                          <w:p w:rsidR="00D862F2" w:rsidRDefault="00884FE4">
                            <w:pPr>
                              <w:pStyle w:val="TableParagraph"/>
                              <w:spacing w:before="3"/>
                              <w:ind w:right="101"/>
                              <w:rPr>
                                <w:sz w:val="18"/>
                              </w:rPr>
                            </w:pPr>
                            <w:r>
                              <w:rPr>
                                <w:sz w:val="18"/>
                              </w:rPr>
                              <w:t>60.4%</w:t>
                            </w:r>
                          </w:p>
                        </w:tc>
                        <w:tc>
                          <w:tcPr>
                            <w:tcW w:w="977" w:type="dxa"/>
                            <w:tcBorders>
                              <w:left w:val="single" w:sz="4" w:space="0" w:color="000000"/>
                            </w:tcBorders>
                          </w:tcPr>
                          <w:p w:rsidR="00D862F2" w:rsidRDefault="00884FE4">
                            <w:pPr>
                              <w:pStyle w:val="TableParagraph"/>
                              <w:spacing w:before="3"/>
                              <w:ind w:right="107"/>
                              <w:rPr>
                                <w:sz w:val="18"/>
                              </w:rPr>
                            </w:pPr>
                            <w:r>
                              <w:rPr>
                                <w:sz w:val="18"/>
                              </w:rPr>
                              <w:t>91,079</w:t>
                            </w:r>
                          </w:p>
                        </w:tc>
                        <w:tc>
                          <w:tcPr>
                            <w:tcW w:w="679" w:type="dxa"/>
                            <w:tcBorders>
                              <w:right w:val="single" w:sz="4" w:space="0" w:color="000000"/>
                            </w:tcBorders>
                          </w:tcPr>
                          <w:p w:rsidR="00D862F2" w:rsidRDefault="00884FE4">
                            <w:pPr>
                              <w:pStyle w:val="TableParagraph"/>
                              <w:spacing w:before="3"/>
                              <w:ind w:right="103"/>
                              <w:rPr>
                                <w:sz w:val="18"/>
                              </w:rPr>
                            </w:pPr>
                            <w:r>
                              <w:rPr>
                                <w:sz w:val="18"/>
                              </w:rPr>
                              <w:t>60.5%</w:t>
                            </w:r>
                          </w:p>
                        </w:tc>
                      </w:tr>
                      <w:tr w:rsidR="00D862F2">
                        <w:trPr>
                          <w:trHeight w:val="258"/>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Other,</w:t>
                            </w:r>
                            <w:r>
                              <w:rPr>
                                <w:spacing w:val="-4"/>
                                <w:sz w:val="18"/>
                              </w:rPr>
                              <w:t xml:space="preserve"> </w:t>
                            </w:r>
                            <w:r>
                              <w:rPr>
                                <w:sz w:val="18"/>
                              </w:rPr>
                              <w:t>non-Hispanic</w:t>
                            </w:r>
                          </w:p>
                        </w:tc>
                        <w:tc>
                          <w:tcPr>
                            <w:tcW w:w="1008" w:type="dxa"/>
                            <w:tcBorders>
                              <w:left w:val="single" w:sz="4" w:space="0" w:color="000000"/>
                            </w:tcBorders>
                          </w:tcPr>
                          <w:p w:rsidR="00D862F2" w:rsidRDefault="00884FE4">
                            <w:pPr>
                              <w:pStyle w:val="TableParagraph"/>
                              <w:spacing w:before="3"/>
                              <w:ind w:right="117"/>
                              <w:rPr>
                                <w:sz w:val="18"/>
                              </w:rPr>
                            </w:pPr>
                            <w:r>
                              <w:rPr>
                                <w:sz w:val="18"/>
                              </w:rPr>
                              <w:t>12,087</w:t>
                            </w:r>
                          </w:p>
                        </w:tc>
                        <w:tc>
                          <w:tcPr>
                            <w:tcW w:w="691" w:type="dxa"/>
                            <w:tcBorders>
                              <w:right w:val="single" w:sz="4" w:space="0" w:color="000000"/>
                            </w:tcBorders>
                          </w:tcPr>
                          <w:p w:rsidR="00D862F2" w:rsidRDefault="00884FE4">
                            <w:pPr>
                              <w:pStyle w:val="TableParagraph"/>
                              <w:spacing w:before="3"/>
                              <w:ind w:right="106"/>
                              <w:rPr>
                                <w:sz w:val="18"/>
                              </w:rPr>
                            </w:pPr>
                            <w:r>
                              <w:rPr>
                                <w:sz w:val="18"/>
                              </w:rPr>
                              <w:t>7.2%</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12,450</w:t>
                            </w:r>
                          </w:p>
                        </w:tc>
                        <w:tc>
                          <w:tcPr>
                            <w:tcW w:w="722" w:type="dxa"/>
                            <w:tcBorders>
                              <w:right w:val="single" w:sz="4" w:space="0" w:color="000000"/>
                            </w:tcBorders>
                          </w:tcPr>
                          <w:p w:rsidR="00D862F2" w:rsidRDefault="00884FE4">
                            <w:pPr>
                              <w:pStyle w:val="TableParagraph"/>
                              <w:spacing w:before="3"/>
                              <w:ind w:right="103"/>
                              <w:rPr>
                                <w:sz w:val="18"/>
                              </w:rPr>
                            </w:pPr>
                            <w:r>
                              <w:rPr>
                                <w:sz w:val="18"/>
                              </w:rPr>
                              <w:t>7.4%</w:t>
                            </w:r>
                          </w:p>
                        </w:tc>
                        <w:tc>
                          <w:tcPr>
                            <w:tcW w:w="1061" w:type="dxa"/>
                            <w:tcBorders>
                              <w:left w:val="single" w:sz="4" w:space="0" w:color="000000"/>
                            </w:tcBorders>
                          </w:tcPr>
                          <w:p w:rsidR="00D862F2" w:rsidRDefault="00884FE4">
                            <w:pPr>
                              <w:pStyle w:val="TableParagraph"/>
                              <w:spacing w:before="3"/>
                              <w:ind w:right="198"/>
                              <w:rPr>
                                <w:sz w:val="18"/>
                              </w:rPr>
                            </w:pPr>
                            <w:r>
                              <w:rPr>
                                <w:sz w:val="18"/>
                              </w:rPr>
                              <w:t>12,734</w:t>
                            </w:r>
                          </w:p>
                        </w:tc>
                        <w:tc>
                          <w:tcPr>
                            <w:tcW w:w="768" w:type="dxa"/>
                            <w:tcBorders>
                              <w:right w:val="single" w:sz="4" w:space="0" w:color="000000"/>
                            </w:tcBorders>
                          </w:tcPr>
                          <w:p w:rsidR="00D862F2" w:rsidRDefault="00884FE4">
                            <w:pPr>
                              <w:pStyle w:val="TableParagraph"/>
                              <w:spacing w:before="3"/>
                              <w:ind w:right="101"/>
                              <w:rPr>
                                <w:sz w:val="18"/>
                              </w:rPr>
                            </w:pPr>
                            <w:r>
                              <w:rPr>
                                <w:sz w:val="18"/>
                              </w:rPr>
                              <w:t>7.5%</w:t>
                            </w:r>
                          </w:p>
                        </w:tc>
                        <w:tc>
                          <w:tcPr>
                            <w:tcW w:w="977" w:type="dxa"/>
                            <w:tcBorders>
                              <w:left w:val="single" w:sz="4" w:space="0" w:color="000000"/>
                            </w:tcBorders>
                          </w:tcPr>
                          <w:p w:rsidR="00D862F2" w:rsidRDefault="00884FE4">
                            <w:pPr>
                              <w:pStyle w:val="TableParagraph"/>
                              <w:spacing w:before="3"/>
                              <w:ind w:right="107"/>
                              <w:rPr>
                                <w:sz w:val="18"/>
                              </w:rPr>
                            </w:pPr>
                            <w:r>
                              <w:rPr>
                                <w:sz w:val="18"/>
                              </w:rPr>
                              <w:t>11,561</w:t>
                            </w:r>
                          </w:p>
                        </w:tc>
                        <w:tc>
                          <w:tcPr>
                            <w:tcW w:w="679" w:type="dxa"/>
                            <w:tcBorders>
                              <w:right w:val="single" w:sz="4" w:space="0" w:color="000000"/>
                            </w:tcBorders>
                          </w:tcPr>
                          <w:p w:rsidR="00D862F2" w:rsidRDefault="00884FE4">
                            <w:pPr>
                              <w:pStyle w:val="TableParagraph"/>
                              <w:spacing w:before="3"/>
                              <w:ind w:right="103"/>
                              <w:rPr>
                                <w:sz w:val="18"/>
                              </w:rPr>
                            </w:pPr>
                            <w:r>
                              <w:rPr>
                                <w:sz w:val="18"/>
                              </w:rPr>
                              <w:t>7.7%</w:t>
                            </w:r>
                          </w:p>
                        </w:tc>
                      </w:tr>
                      <w:tr w:rsidR="00D862F2">
                        <w:trPr>
                          <w:trHeight w:val="261"/>
                        </w:trPr>
                        <w:tc>
                          <w:tcPr>
                            <w:tcW w:w="2359" w:type="dxa"/>
                            <w:tcBorders>
                              <w:left w:val="single" w:sz="4" w:space="0" w:color="000000"/>
                              <w:bottom w:val="single" w:sz="4" w:space="0" w:color="000000"/>
                              <w:right w:val="single" w:sz="4" w:space="0" w:color="000000"/>
                            </w:tcBorders>
                          </w:tcPr>
                          <w:p w:rsidR="00D862F2" w:rsidRDefault="00884FE4">
                            <w:pPr>
                              <w:pStyle w:val="TableParagraph"/>
                              <w:spacing w:before="2"/>
                              <w:ind w:left="115"/>
                              <w:jc w:val="left"/>
                              <w:rPr>
                                <w:sz w:val="18"/>
                              </w:rPr>
                            </w:pPr>
                            <w:r>
                              <w:rPr>
                                <w:sz w:val="18"/>
                              </w:rPr>
                              <w:t>Multiracial,</w:t>
                            </w:r>
                            <w:r>
                              <w:rPr>
                                <w:spacing w:val="-6"/>
                                <w:sz w:val="18"/>
                              </w:rPr>
                              <w:t xml:space="preserve"> </w:t>
                            </w:r>
                            <w:r>
                              <w:rPr>
                                <w:sz w:val="18"/>
                              </w:rPr>
                              <w:t>non-Hispanic</w:t>
                            </w:r>
                          </w:p>
                        </w:tc>
                        <w:tc>
                          <w:tcPr>
                            <w:tcW w:w="1008" w:type="dxa"/>
                            <w:tcBorders>
                              <w:left w:val="single" w:sz="4" w:space="0" w:color="000000"/>
                              <w:bottom w:val="single" w:sz="4" w:space="0" w:color="000000"/>
                            </w:tcBorders>
                          </w:tcPr>
                          <w:p w:rsidR="00D862F2" w:rsidRDefault="00884FE4">
                            <w:pPr>
                              <w:pStyle w:val="TableParagraph"/>
                              <w:spacing w:before="2"/>
                              <w:ind w:right="117"/>
                              <w:rPr>
                                <w:sz w:val="18"/>
                              </w:rPr>
                            </w:pPr>
                            <w:r>
                              <w:rPr>
                                <w:sz w:val="18"/>
                              </w:rPr>
                              <w:t>2,381</w:t>
                            </w:r>
                          </w:p>
                        </w:tc>
                        <w:tc>
                          <w:tcPr>
                            <w:tcW w:w="691" w:type="dxa"/>
                            <w:tcBorders>
                              <w:bottom w:val="single" w:sz="4" w:space="0" w:color="000000"/>
                              <w:right w:val="single" w:sz="4" w:space="0" w:color="000000"/>
                            </w:tcBorders>
                          </w:tcPr>
                          <w:p w:rsidR="00D862F2" w:rsidRDefault="00884FE4">
                            <w:pPr>
                              <w:pStyle w:val="TableParagraph"/>
                              <w:spacing w:before="2"/>
                              <w:ind w:right="106"/>
                              <w:rPr>
                                <w:sz w:val="18"/>
                              </w:rPr>
                            </w:pPr>
                            <w:r>
                              <w:rPr>
                                <w:sz w:val="18"/>
                              </w:rPr>
                              <w:t>1.4%</w:t>
                            </w:r>
                          </w:p>
                        </w:tc>
                        <w:tc>
                          <w:tcPr>
                            <w:tcW w:w="1085" w:type="dxa"/>
                            <w:tcBorders>
                              <w:left w:val="single" w:sz="4" w:space="0" w:color="000000"/>
                              <w:bottom w:val="single" w:sz="4" w:space="0" w:color="000000"/>
                            </w:tcBorders>
                          </w:tcPr>
                          <w:p w:rsidR="00D862F2" w:rsidRDefault="00884FE4">
                            <w:pPr>
                              <w:pStyle w:val="TableParagraph"/>
                              <w:spacing w:before="2"/>
                              <w:ind w:left="516"/>
                              <w:jc w:val="left"/>
                              <w:rPr>
                                <w:sz w:val="18"/>
                              </w:rPr>
                            </w:pPr>
                            <w:r>
                              <w:rPr>
                                <w:sz w:val="18"/>
                              </w:rPr>
                              <w:t>2,352</w:t>
                            </w:r>
                          </w:p>
                        </w:tc>
                        <w:tc>
                          <w:tcPr>
                            <w:tcW w:w="722" w:type="dxa"/>
                            <w:tcBorders>
                              <w:bottom w:val="single" w:sz="4" w:space="0" w:color="000000"/>
                              <w:right w:val="single" w:sz="4" w:space="0" w:color="000000"/>
                            </w:tcBorders>
                          </w:tcPr>
                          <w:p w:rsidR="00D862F2" w:rsidRDefault="00884FE4">
                            <w:pPr>
                              <w:pStyle w:val="TableParagraph"/>
                              <w:spacing w:before="2"/>
                              <w:ind w:right="103"/>
                              <w:rPr>
                                <w:sz w:val="18"/>
                              </w:rPr>
                            </w:pPr>
                            <w:r>
                              <w:rPr>
                                <w:sz w:val="18"/>
                              </w:rPr>
                              <w:t>1.4%</w:t>
                            </w:r>
                          </w:p>
                        </w:tc>
                        <w:tc>
                          <w:tcPr>
                            <w:tcW w:w="1061" w:type="dxa"/>
                            <w:tcBorders>
                              <w:left w:val="single" w:sz="4" w:space="0" w:color="000000"/>
                              <w:bottom w:val="single" w:sz="4" w:space="0" w:color="000000"/>
                            </w:tcBorders>
                          </w:tcPr>
                          <w:p w:rsidR="00D862F2" w:rsidRDefault="00884FE4">
                            <w:pPr>
                              <w:pStyle w:val="TableParagraph"/>
                              <w:spacing w:before="2"/>
                              <w:ind w:right="199"/>
                              <w:rPr>
                                <w:sz w:val="18"/>
                              </w:rPr>
                            </w:pPr>
                            <w:r>
                              <w:rPr>
                                <w:sz w:val="18"/>
                              </w:rPr>
                              <w:t>2,644</w:t>
                            </w:r>
                          </w:p>
                        </w:tc>
                        <w:tc>
                          <w:tcPr>
                            <w:tcW w:w="768" w:type="dxa"/>
                            <w:tcBorders>
                              <w:bottom w:val="single" w:sz="4" w:space="0" w:color="000000"/>
                              <w:right w:val="single" w:sz="4" w:space="0" w:color="000000"/>
                            </w:tcBorders>
                          </w:tcPr>
                          <w:p w:rsidR="00D862F2" w:rsidRDefault="00884FE4">
                            <w:pPr>
                              <w:pStyle w:val="TableParagraph"/>
                              <w:spacing w:before="2"/>
                              <w:ind w:right="101"/>
                              <w:rPr>
                                <w:sz w:val="18"/>
                              </w:rPr>
                            </w:pPr>
                            <w:r>
                              <w:rPr>
                                <w:sz w:val="18"/>
                              </w:rPr>
                              <w:t>1.6%</w:t>
                            </w:r>
                          </w:p>
                        </w:tc>
                        <w:tc>
                          <w:tcPr>
                            <w:tcW w:w="977" w:type="dxa"/>
                            <w:tcBorders>
                              <w:left w:val="single" w:sz="4" w:space="0" w:color="000000"/>
                              <w:bottom w:val="single" w:sz="4" w:space="0" w:color="000000"/>
                            </w:tcBorders>
                          </w:tcPr>
                          <w:p w:rsidR="00D862F2" w:rsidRDefault="00884FE4">
                            <w:pPr>
                              <w:pStyle w:val="TableParagraph"/>
                              <w:spacing w:before="2"/>
                              <w:ind w:right="108"/>
                              <w:rPr>
                                <w:sz w:val="18"/>
                              </w:rPr>
                            </w:pPr>
                            <w:r>
                              <w:rPr>
                                <w:sz w:val="18"/>
                              </w:rPr>
                              <w:t>2,173</w:t>
                            </w:r>
                          </w:p>
                        </w:tc>
                        <w:tc>
                          <w:tcPr>
                            <w:tcW w:w="679" w:type="dxa"/>
                            <w:tcBorders>
                              <w:bottom w:val="single" w:sz="4" w:space="0" w:color="000000"/>
                              <w:right w:val="single" w:sz="4" w:space="0" w:color="000000"/>
                            </w:tcBorders>
                          </w:tcPr>
                          <w:p w:rsidR="00D862F2" w:rsidRDefault="00884FE4">
                            <w:pPr>
                              <w:pStyle w:val="TableParagraph"/>
                              <w:spacing w:before="2"/>
                              <w:ind w:right="103"/>
                              <w:rPr>
                                <w:sz w:val="18"/>
                              </w:rPr>
                            </w:pPr>
                            <w:r>
                              <w:rPr>
                                <w:sz w:val="18"/>
                              </w:rPr>
                              <w:t>1.4%</w:t>
                            </w:r>
                          </w:p>
                        </w:tc>
                      </w:tr>
                      <w:tr w:rsidR="00D862F2">
                        <w:trPr>
                          <w:trHeight w:val="249"/>
                        </w:trPr>
                        <w:tc>
                          <w:tcPr>
                            <w:tcW w:w="2359" w:type="dxa"/>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before="1"/>
                              <w:ind w:left="115"/>
                              <w:jc w:val="left"/>
                              <w:rPr>
                                <w:b/>
                                <w:sz w:val="18"/>
                              </w:rPr>
                            </w:pPr>
                            <w:r>
                              <w:rPr>
                                <w:b/>
                                <w:sz w:val="18"/>
                              </w:rPr>
                              <w:t>Patient</w:t>
                            </w:r>
                            <w:r>
                              <w:rPr>
                                <w:b/>
                                <w:spacing w:val="-3"/>
                                <w:sz w:val="18"/>
                              </w:rPr>
                              <w:t xml:space="preserve"> </w:t>
                            </w:r>
                            <w:r>
                              <w:rPr>
                                <w:b/>
                                <w:sz w:val="18"/>
                              </w:rPr>
                              <w:t>Origin</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829"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D862F2">
                            <w:pPr>
                              <w:pStyle w:val="TableParagraph"/>
                              <w:jc w:val="left"/>
                              <w:rPr>
                                <w:rFonts w:ascii="Times New Roman"/>
                                <w:sz w:val="18"/>
                              </w:rPr>
                            </w:pPr>
                          </w:p>
                        </w:tc>
                      </w:tr>
                      <w:tr w:rsidR="00D862F2">
                        <w:trPr>
                          <w:trHeight w:val="250"/>
                        </w:trPr>
                        <w:tc>
                          <w:tcPr>
                            <w:tcW w:w="2359" w:type="dxa"/>
                            <w:tcBorders>
                              <w:top w:val="single" w:sz="4" w:space="0" w:color="000000"/>
                              <w:left w:val="single" w:sz="4" w:space="0" w:color="000000"/>
                              <w:right w:val="single" w:sz="4" w:space="0" w:color="000000"/>
                            </w:tcBorders>
                          </w:tcPr>
                          <w:p w:rsidR="00D862F2" w:rsidRDefault="00884FE4">
                            <w:pPr>
                              <w:pStyle w:val="TableParagraph"/>
                              <w:spacing w:line="219" w:lineRule="exact"/>
                              <w:ind w:left="115"/>
                              <w:jc w:val="left"/>
                              <w:rPr>
                                <w:sz w:val="18"/>
                              </w:rPr>
                            </w:pPr>
                            <w:r>
                              <w:rPr>
                                <w:sz w:val="18"/>
                              </w:rPr>
                              <w:t>HSA_1:</w:t>
                            </w:r>
                            <w:r>
                              <w:rPr>
                                <w:spacing w:val="-2"/>
                                <w:sz w:val="18"/>
                              </w:rPr>
                              <w:t xml:space="preserve"> </w:t>
                            </w:r>
                            <w:r>
                              <w:rPr>
                                <w:sz w:val="18"/>
                              </w:rPr>
                              <w:t>Western</w:t>
                            </w:r>
                            <w:r>
                              <w:rPr>
                                <w:spacing w:val="-3"/>
                                <w:sz w:val="18"/>
                              </w:rPr>
                              <w:t xml:space="preserve"> </w:t>
                            </w:r>
                            <w:r>
                              <w:rPr>
                                <w:sz w:val="18"/>
                              </w:rPr>
                              <w:t>MA</w:t>
                            </w:r>
                          </w:p>
                        </w:tc>
                        <w:tc>
                          <w:tcPr>
                            <w:tcW w:w="1008" w:type="dxa"/>
                            <w:tcBorders>
                              <w:top w:val="single" w:sz="4" w:space="0" w:color="000000"/>
                              <w:left w:val="single" w:sz="4" w:space="0" w:color="000000"/>
                            </w:tcBorders>
                          </w:tcPr>
                          <w:p w:rsidR="00D862F2" w:rsidRDefault="00884FE4">
                            <w:pPr>
                              <w:pStyle w:val="TableParagraph"/>
                              <w:spacing w:line="219" w:lineRule="exact"/>
                              <w:ind w:right="117"/>
                              <w:rPr>
                                <w:sz w:val="18"/>
                              </w:rPr>
                            </w:pPr>
                            <w:r>
                              <w:rPr>
                                <w:sz w:val="18"/>
                              </w:rPr>
                              <w:t>3,646</w:t>
                            </w:r>
                          </w:p>
                        </w:tc>
                        <w:tc>
                          <w:tcPr>
                            <w:tcW w:w="691" w:type="dxa"/>
                            <w:tcBorders>
                              <w:top w:val="single" w:sz="4" w:space="0" w:color="000000"/>
                              <w:right w:val="single" w:sz="4" w:space="0" w:color="000000"/>
                            </w:tcBorders>
                          </w:tcPr>
                          <w:p w:rsidR="00D862F2" w:rsidRDefault="00884FE4">
                            <w:pPr>
                              <w:pStyle w:val="TableParagraph"/>
                              <w:spacing w:line="219" w:lineRule="exact"/>
                              <w:ind w:right="106"/>
                              <w:rPr>
                                <w:sz w:val="18"/>
                              </w:rPr>
                            </w:pPr>
                            <w:r>
                              <w:rPr>
                                <w:sz w:val="18"/>
                              </w:rPr>
                              <w:t>1.7%</w:t>
                            </w:r>
                          </w:p>
                        </w:tc>
                        <w:tc>
                          <w:tcPr>
                            <w:tcW w:w="1085" w:type="dxa"/>
                            <w:tcBorders>
                              <w:top w:val="single" w:sz="4" w:space="0" w:color="000000"/>
                              <w:left w:val="single" w:sz="4" w:space="0" w:color="000000"/>
                            </w:tcBorders>
                          </w:tcPr>
                          <w:p w:rsidR="00D862F2" w:rsidRDefault="00884FE4">
                            <w:pPr>
                              <w:pStyle w:val="TableParagraph"/>
                              <w:spacing w:line="219" w:lineRule="exact"/>
                              <w:ind w:left="516"/>
                              <w:jc w:val="left"/>
                              <w:rPr>
                                <w:sz w:val="18"/>
                              </w:rPr>
                            </w:pPr>
                            <w:r>
                              <w:rPr>
                                <w:sz w:val="18"/>
                              </w:rPr>
                              <w:t>3,834</w:t>
                            </w:r>
                          </w:p>
                        </w:tc>
                        <w:tc>
                          <w:tcPr>
                            <w:tcW w:w="722"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1.7%</w:t>
                            </w:r>
                          </w:p>
                        </w:tc>
                        <w:tc>
                          <w:tcPr>
                            <w:tcW w:w="1061" w:type="dxa"/>
                            <w:tcBorders>
                              <w:top w:val="single" w:sz="4" w:space="0" w:color="000000"/>
                              <w:left w:val="single" w:sz="4" w:space="0" w:color="000000"/>
                            </w:tcBorders>
                          </w:tcPr>
                          <w:p w:rsidR="00D862F2" w:rsidRDefault="00884FE4">
                            <w:pPr>
                              <w:pStyle w:val="TableParagraph"/>
                              <w:spacing w:line="219" w:lineRule="exact"/>
                              <w:ind w:right="199"/>
                              <w:rPr>
                                <w:sz w:val="18"/>
                              </w:rPr>
                            </w:pPr>
                            <w:r>
                              <w:rPr>
                                <w:sz w:val="18"/>
                              </w:rPr>
                              <w:t>4,153</w:t>
                            </w:r>
                          </w:p>
                        </w:tc>
                        <w:tc>
                          <w:tcPr>
                            <w:tcW w:w="768" w:type="dxa"/>
                            <w:tcBorders>
                              <w:top w:val="single" w:sz="4" w:space="0" w:color="000000"/>
                              <w:right w:val="single" w:sz="4" w:space="0" w:color="000000"/>
                            </w:tcBorders>
                          </w:tcPr>
                          <w:p w:rsidR="00D862F2" w:rsidRDefault="00884FE4">
                            <w:pPr>
                              <w:pStyle w:val="TableParagraph"/>
                              <w:spacing w:line="219" w:lineRule="exact"/>
                              <w:ind w:right="101"/>
                              <w:rPr>
                                <w:sz w:val="18"/>
                              </w:rPr>
                            </w:pPr>
                            <w:r>
                              <w:rPr>
                                <w:sz w:val="18"/>
                              </w:rPr>
                              <w:t>1.8%</w:t>
                            </w:r>
                          </w:p>
                        </w:tc>
                        <w:tc>
                          <w:tcPr>
                            <w:tcW w:w="977" w:type="dxa"/>
                            <w:tcBorders>
                              <w:top w:val="single" w:sz="4" w:space="0" w:color="000000"/>
                              <w:left w:val="single" w:sz="4" w:space="0" w:color="000000"/>
                            </w:tcBorders>
                          </w:tcPr>
                          <w:p w:rsidR="00D862F2" w:rsidRDefault="00884FE4">
                            <w:pPr>
                              <w:pStyle w:val="TableParagraph"/>
                              <w:spacing w:line="219" w:lineRule="exact"/>
                              <w:ind w:right="108"/>
                              <w:rPr>
                                <w:sz w:val="18"/>
                              </w:rPr>
                            </w:pPr>
                            <w:r>
                              <w:rPr>
                                <w:sz w:val="18"/>
                              </w:rPr>
                              <w:t>3,794</w:t>
                            </w:r>
                          </w:p>
                        </w:tc>
                        <w:tc>
                          <w:tcPr>
                            <w:tcW w:w="679" w:type="dxa"/>
                            <w:tcBorders>
                              <w:top w:val="single" w:sz="4" w:space="0" w:color="000000"/>
                              <w:right w:val="single" w:sz="4" w:space="0" w:color="000000"/>
                            </w:tcBorders>
                          </w:tcPr>
                          <w:p w:rsidR="00D862F2" w:rsidRDefault="00884FE4">
                            <w:pPr>
                              <w:pStyle w:val="TableParagraph"/>
                              <w:spacing w:line="219" w:lineRule="exact"/>
                              <w:ind w:right="103"/>
                              <w:rPr>
                                <w:sz w:val="18"/>
                              </w:rPr>
                            </w:pPr>
                            <w:r>
                              <w:rPr>
                                <w:sz w:val="18"/>
                              </w:rPr>
                              <w:t>1.8%</w:t>
                            </w:r>
                          </w:p>
                        </w:tc>
                      </w:tr>
                      <w:tr w:rsidR="00D862F2">
                        <w:trPr>
                          <w:trHeight w:val="254"/>
                        </w:trPr>
                        <w:tc>
                          <w:tcPr>
                            <w:tcW w:w="2359" w:type="dxa"/>
                            <w:tcBorders>
                              <w:left w:val="single" w:sz="4" w:space="0" w:color="000000"/>
                              <w:right w:val="single" w:sz="4" w:space="0" w:color="000000"/>
                            </w:tcBorders>
                          </w:tcPr>
                          <w:p w:rsidR="00D862F2" w:rsidRDefault="00884FE4">
                            <w:pPr>
                              <w:pStyle w:val="TableParagraph"/>
                              <w:spacing w:line="218" w:lineRule="exact"/>
                              <w:ind w:left="115"/>
                              <w:jc w:val="left"/>
                              <w:rPr>
                                <w:sz w:val="18"/>
                              </w:rPr>
                            </w:pPr>
                            <w:r>
                              <w:rPr>
                                <w:sz w:val="18"/>
                              </w:rPr>
                              <w:t>HSA_2:</w:t>
                            </w:r>
                            <w:r>
                              <w:rPr>
                                <w:spacing w:val="-2"/>
                                <w:sz w:val="18"/>
                              </w:rPr>
                              <w:t xml:space="preserve"> </w:t>
                            </w:r>
                            <w:r>
                              <w:rPr>
                                <w:sz w:val="18"/>
                              </w:rPr>
                              <w:t>Central</w:t>
                            </w:r>
                            <w:r>
                              <w:rPr>
                                <w:spacing w:val="-2"/>
                                <w:sz w:val="18"/>
                              </w:rPr>
                              <w:t xml:space="preserve"> </w:t>
                            </w:r>
                            <w:r>
                              <w:rPr>
                                <w:sz w:val="18"/>
                              </w:rPr>
                              <w:t>MA</w:t>
                            </w:r>
                          </w:p>
                        </w:tc>
                        <w:tc>
                          <w:tcPr>
                            <w:tcW w:w="1008" w:type="dxa"/>
                            <w:tcBorders>
                              <w:left w:val="single" w:sz="4" w:space="0" w:color="000000"/>
                            </w:tcBorders>
                          </w:tcPr>
                          <w:p w:rsidR="00D862F2" w:rsidRDefault="00884FE4">
                            <w:pPr>
                              <w:pStyle w:val="TableParagraph"/>
                              <w:spacing w:line="218" w:lineRule="exact"/>
                              <w:ind w:right="117"/>
                              <w:rPr>
                                <w:sz w:val="18"/>
                              </w:rPr>
                            </w:pPr>
                            <w:r>
                              <w:rPr>
                                <w:sz w:val="18"/>
                              </w:rPr>
                              <w:t>12,896</w:t>
                            </w:r>
                          </w:p>
                        </w:tc>
                        <w:tc>
                          <w:tcPr>
                            <w:tcW w:w="691" w:type="dxa"/>
                            <w:tcBorders>
                              <w:right w:val="single" w:sz="4" w:space="0" w:color="000000"/>
                            </w:tcBorders>
                          </w:tcPr>
                          <w:p w:rsidR="00D862F2" w:rsidRDefault="00884FE4">
                            <w:pPr>
                              <w:pStyle w:val="TableParagraph"/>
                              <w:spacing w:line="218" w:lineRule="exact"/>
                              <w:ind w:right="106"/>
                              <w:rPr>
                                <w:sz w:val="18"/>
                              </w:rPr>
                            </w:pPr>
                            <w:r>
                              <w:rPr>
                                <w:sz w:val="18"/>
                              </w:rPr>
                              <w:t>6.0%</w:t>
                            </w:r>
                          </w:p>
                        </w:tc>
                        <w:tc>
                          <w:tcPr>
                            <w:tcW w:w="1085" w:type="dxa"/>
                            <w:tcBorders>
                              <w:left w:val="single" w:sz="4" w:space="0" w:color="000000"/>
                            </w:tcBorders>
                          </w:tcPr>
                          <w:p w:rsidR="00D862F2" w:rsidRDefault="00884FE4">
                            <w:pPr>
                              <w:pStyle w:val="TableParagraph"/>
                              <w:spacing w:line="218" w:lineRule="exact"/>
                              <w:ind w:left="425"/>
                              <w:jc w:val="left"/>
                              <w:rPr>
                                <w:sz w:val="18"/>
                              </w:rPr>
                            </w:pPr>
                            <w:r>
                              <w:rPr>
                                <w:sz w:val="18"/>
                              </w:rPr>
                              <w:t>13,073</w:t>
                            </w:r>
                          </w:p>
                        </w:tc>
                        <w:tc>
                          <w:tcPr>
                            <w:tcW w:w="722" w:type="dxa"/>
                            <w:tcBorders>
                              <w:right w:val="single" w:sz="4" w:space="0" w:color="000000"/>
                            </w:tcBorders>
                          </w:tcPr>
                          <w:p w:rsidR="00D862F2" w:rsidRDefault="00884FE4">
                            <w:pPr>
                              <w:pStyle w:val="TableParagraph"/>
                              <w:spacing w:line="218" w:lineRule="exact"/>
                              <w:ind w:right="103"/>
                              <w:rPr>
                                <w:sz w:val="18"/>
                              </w:rPr>
                            </w:pPr>
                            <w:r>
                              <w:rPr>
                                <w:sz w:val="18"/>
                              </w:rPr>
                              <w:t>5.9%</w:t>
                            </w:r>
                          </w:p>
                        </w:tc>
                        <w:tc>
                          <w:tcPr>
                            <w:tcW w:w="1061" w:type="dxa"/>
                            <w:tcBorders>
                              <w:left w:val="single" w:sz="4" w:space="0" w:color="000000"/>
                            </w:tcBorders>
                          </w:tcPr>
                          <w:p w:rsidR="00D862F2" w:rsidRDefault="00884FE4">
                            <w:pPr>
                              <w:pStyle w:val="TableParagraph"/>
                              <w:spacing w:line="218" w:lineRule="exact"/>
                              <w:ind w:right="198"/>
                              <w:rPr>
                                <w:sz w:val="18"/>
                              </w:rPr>
                            </w:pPr>
                            <w:r>
                              <w:rPr>
                                <w:sz w:val="18"/>
                              </w:rPr>
                              <w:t>14,123</w:t>
                            </w:r>
                          </w:p>
                        </w:tc>
                        <w:tc>
                          <w:tcPr>
                            <w:tcW w:w="768" w:type="dxa"/>
                            <w:tcBorders>
                              <w:right w:val="single" w:sz="4" w:space="0" w:color="000000"/>
                            </w:tcBorders>
                          </w:tcPr>
                          <w:p w:rsidR="00D862F2" w:rsidRDefault="00884FE4">
                            <w:pPr>
                              <w:pStyle w:val="TableParagraph"/>
                              <w:spacing w:line="218" w:lineRule="exact"/>
                              <w:ind w:right="101"/>
                              <w:rPr>
                                <w:sz w:val="18"/>
                              </w:rPr>
                            </w:pPr>
                            <w:r>
                              <w:rPr>
                                <w:sz w:val="18"/>
                              </w:rPr>
                              <w:t>6.2%</w:t>
                            </w:r>
                          </w:p>
                        </w:tc>
                        <w:tc>
                          <w:tcPr>
                            <w:tcW w:w="977" w:type="dxa"/>
                            <w:tcBorders>
                              <w:left w:val="single" w:sz="4" w:space="0" w:color="000000"/>
                            </w:tcBorders>
                          </w:tcPr>
                          <w:p w:rsidR="00D862F2" w:rsidRDefault="00884FE4">
                            <w:pPr>
                              <w:pStyle w:val="TableParagraph"/>
                              <w:spacing w:line="218" w:lineRule="exact"/>
                              <w:ind w:right="107"/>
                              <w:rPr>
                                <w:sz w:val="18"/>
                              </w:rPr>
                            </w:pPr>
                            <w:r>
                              <w:rPr>
                                <w:sz w:val="18"/>
                              </w:rPr>
                              <w:t>12,784</w:t>
                            </w:r>
                          </w:p>
                        </w:tc>
                        <w:tc>
                          <w:tcPr>
                            <w:tcW w:w="679" w:type="dxa"/>
                            <w:tcBorders>
                              <w:right w:val="single" w:sz="4" w:space="0" w:color="000000"/>
                            </w:tcBorders>
                          </w:tcPr>
                          <w:p w:rsidR="00D862F2" w:rsidRDefault="00884FE4">
                            <w:pPr>
                              <w:pStyle w:val="TableParagraph"/>
                              <w:spacing w:line="218" w:lineRule="exact"/>
                              <w:ind w:right="103"/>
                              <w:rPr>
                                <w:sz w:val="18"/>
                              </w:rPr>
                            </w:pPr>
                            <w:r>
                              <w:rPr>
                                <w:sz w:val="18"/>
                              </w:rPr>
                              <w:t>6.1%</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HSA_3:</w:t>
                            </w:r>
                            <w:r>
                              <w:rPr>
                                <w:spacing w:val="-3"/>
                                <w:sz w:val="18"/>
                              </w:rPr>
                              <w:t xml:space="preserve"> </w:t>
                            </w:r>
                            <w:r>
                              <w:rPr>
                                <w:sz w:val="18"/>
                              </w:rPr>
                              <w:t>Northeast</w:t>
                            </w:r>
                          </w:p>
                        </w:tc>
                        <w:tc>
                          <w:tcPr>
                            <w:tcW w:w="1008" w:type="dxa"/>
                            <w:tcBorders>
                              <w:left w:val="single" w:sz="4" w:space="0" w:color="000000"/>
                            </w:tcBorders>
                          </w:tcPr>
                          <w:p w:rsidR="00D862F2" w:rsidRDefault="00884FE4">
                            <w:pPr>
                              <w:pStyle w:val="TableParagraph"/>
                              <w:spacing w:before="3"/>
                              <w:ind w:right="117"/>
                              <w:rPr>
                                <w:sz w:val="18"/>
                              </w:rPr>
                            </w:pPr>
                            <w:r>
                              <w:rPr>
                                <w:sz w:val="18"/>
                              </w:rPr>
                              <w:t>39,537</w:t>
                            </w:r>
                          </w:p>
                        </w:tc>
                        <w:tc>
                          <w:tcPr>
                            <w:tcW w:w="691" w:type="dxa"/>
                            <w:tcBorders>
                              <w:right w:val="single" w:sz="4" w:space="0" w:color="000000"/>
                            </w:tcBorders>
                          </w:tcPr>
                          <w:p w:rsidR="00D862F2" w:rsidRDefault="00884FE4">
                            <w:pPr>
                              <w:pStyle w:val="TableParagraph"/>
                              <w:spacing w:before="3"/>
                              <w:ind w:right="107"/>
                              <w:rPr>
                                <w:sz w:val="18"/>
                              </w:rPr>
                            </w:pPr>
                            <w:r>
                              <w:rPr>
                                <w:sz w:val="18"/>
                              </w:rPr>
                              <w:t>18.3%</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40,184</w:t>
                            </w:r>
                          </w:p>
                        </w:tc>
                        <w:tc>
                          <w:tcPr>
                            <w:tcW w:w="722" w:type="dxa"/>
                            <w:tcBorders>
                              <w:right w:val="single" w:sz="4" w:space="0" w:color="000000"/>
                            </w:tcBorders>
                          </w:tcPr>
                          <w:p w:rsidR="00D862F2" w:rsidRDefault="00884FE4">
                            <w:pPr>
                              <w:pStyle w:val="TableParagraph"/>
                              <w:spacing w:before="3"/>
                              <w:ind w:right="103"/>
                              <w:rPr>
                                <w:sz w:val="18"/>
                              </w:rPr>
                            </w:pPr>
                            <w:r>
                              <w:rPr>
                                <w:sz w:val="18"/>
                              </w:rPr>
                              <w:t>18.3%</w:t>
                            </w:r>
                          </w:p>
                        </w:tc>
                        <w:tc>
                          <w:tcPr>
                            <w:tcW w:w="1061" w:type="dxa"/>
                            <w:tcBorders>
                              <w:left w:val="single" w:sz="4" w:space="0" w:color="000000"/>
                            </w:tcBorders>
                          </w:tcPr>
                          <w:p w:rsidR="00D862F2" w:rsidRDefault="00884FE4">
                            <w:pPr>
                              <w:pStyle w:val="TableParagraph"/>
                              <w:spacing w:before="3"/>
                              <w:ind w:right="198"/>
                              <w:rPr>
                                <w:sz w:val="18"/>
                              </w:rPr>
                            </w:pPr>
                            <w:r>
                              <w:rPr>
                                <w:sz w:val="18"/>
                              </w:rPr>
                              <w:t>41,660</w:t>
                            </w:r>
                          </w:p>
                        </w:tc>
                        <w:tc>
                          <w:tcPr>
                            <w:tcW w:w="768" w:type="dxa"/>
                            <w:tcBorders>
                              <w:right w:val="single" w:sz="4" w:space="0" w:color="000000"/>
                            </w:tcBorders>
                          </w:tcPr>
                          <w:p w:rsidR="00D862F2" w:rsidRDefault="00884FE4">
                            <w:pPr>
                              <w:pStyle w:val="TableParagraph"/>
                              <w:spacing w:before="3"/>
                              <w:ind w:right="101"/>
                              <w:rPr>
                                <w:sz w:val="18"/>
                              </w:rPr>
                            </w:pPr>
                            <w:r>
                              <w:rPr>
                                <w:sz w:val="18"/>
                              </w:rPr>
                              <w:t>18.2%</w:t>
                            </w:r>
                          </w:p>
                        </w:tc>
                        <w:tc>
                          <w:tcPr>
                            <w:tcW w:w="977" w:type="dxa"/>
                            <w:tcBorders>
                              <w:left w:val="single" w:sz="4" w:space="0" w:color="000000"/>
                            </w:tcBorders>
                          </w:tcPr>
                          <w:p w:rsidR="00D862F2" w:rsidRDefault="00884FE4">
                            <w:pPr>
                              <w:pStyle w:val="TableParagraph"/>
                              <w:spacing w:before="3"/>
                              <w:ind w:right="107"/>
                              <w:rPr>
                                <w:sz w:val="18"/>
                              </w:rPr>
                            </w:pPr>
                            <w:r>
                              <w:rPr>
                                <w:sz w:val="18"/>
                              </w:rPr>
                              <w:t>38,262</w:t>
                            </w:r>
                          </w:p>
                        </w:tc>
                        <w:tc>
                          <w:tcPr>
                            <w:tcW w:w="679" w:type="dxa"/>
                            <w:tcBorders>
                              <w:right w:val="single" w:sz="4" w:space="0" w:color="000000"/>
                            </w:tcBorders>
                          </w:tcPr>
                          <w:p w:rsidR="00D862F2" w:rsidRDefault="00884FE4">
                            <w:pPr>
                              <w:pStyle w:val="TableParagraph"/>
                              <w:spacing w:before="3"/>
                              <w:ind w:right="103"/>
                              <w:rPr>
                                <w:sz w:val="18"/>
                              </w:rPr>
                            </w:pPr>
                            <w:r>
                              <w:rPr>
                                <w:sz w:val="18"/>
                              </w:rPr>
                              <w:t>18.3%</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HSA_4:</w:t>
                            </w:r>
                            <w:r>
                              <w:rPr>
                                <w:spacing w:val="-3"/>
                                <w:sz w:val="18"/>
                              </w:rPr>
                              <w:t xml:space="preserve"> </w:t>
                            </w:r>
                            <w:r>
                              <w:rPr>
                                <w:sz w:val="18"/>
                              </w:rPr>
                              <w:t>Metro</w:t>
                            </w:r>
                            <w:r>
                              <w:rPr>
                                <w:spacing w:val="-2"/>
                                <w:sz w:val="18"/>
                              </w:rPr>
                              <w:t xml:space="preserve"> </w:t>
                            </w:r>
                            <w:r>
                              <w:rPr>
                                <w:sz w:val="18"/>
                              </w:rPr>
                              <w:t>West</w:t>
                            </w:r>
                          </w:p>
                        </w:tc>
                        <w:tc>
                          <w:tcPr>
                            <w:tcW w:w="1008" w:type="dxa"/>
                            <w:tcBorders>
                              <w:left w:val="single" w:sz="4" w:space="0" w:color="000000"/>
                            </w:tcBorders>
                          </w:tcPr>
                          <w:p w:rsidR="00D862F2" w:rsidRDefault="00884FE4">
                            <w:pPr>
                              <w:pStyle w:val="TableParagraph"/>
                              <w:spacing w:before="3"/>
                              <w:ind w:right="117"/>
                              <w:rPr>
                                <w:sz w:val="18"/>
                              </w:rPr>
                            </w:pPr>
                            <w:r>
                              <w:rPr>
                                <w:sz w:val="18"/>
                              </w:rPr>
                              <w:t>73,594</w:t>
                            </w:r>
                          </w:p>
                        </w:tc>
                        <w:tc>
                          <w:tcPr>
                            <w:tcW w:w="691" w:type="dxa"/>
                            <w:tcBorders>
                              <w:right w:val="single" w:sz="4" w:space="0" w:color="000000"/>
                            </w:tcBorders>
                          </w:tcPr>
                          <w:p w:rsidR="00D862F2" w:rsidRDefault="00884FE4">
                            <w:pPr>
                              <w:pStyle w:val="TableParagraph"/>
                              <w:spacing w:before="3"/>
                              <w:ind w:right="107"/>
                              <w:rPr>
                                <w:sz w:val="18"/>
                              </w:rPr>
                            </w:pPr>
                            <w:r>
                              <w:rPr>
                                <w:sz w:val="18"/>
                              </w:rPr>
                              <w:t>34.0%</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74,532</w:t>
                            </w:r>
                          </w:p>
                        </w:tc>
                        <w:tc>
                          <w:tcPr>
                            <w:tcW w:w="722" w:type="dxa"/>
                            <w:tcBorders>
                              <w:right w:val="single" w:sz="4" w:space="0" w:color="000000"/>
                            </w:tcBorders>
                          </w:tcPr>
                          <w:p w:rsidR="00D862F2" w:rsidRDefault="00884FE4">
                            <w:pPr>
                              <w:pStyle w:val="TableParagraph"/>
                              <w:spacing w:before="3"/>
                              <w:ind w:right="103"/>
                              <w:rPr>
                                <w:sz w:val="18"/>
                              </w:rPr>
                            </w:pPr>
                            <w:r>
                              <w:rPr>
                                <w:sz w:val="18"/>
                              </w:rPr>
                              <w:t>33.9%</w:t>
                            </w:r>
                          </w:p>
                        </w:tc>
                        <w:tc>
                          <w:tcPr>
                            <w:tcW w:w="1061" w:type="dxa"/>
                            <w:tcBorders>
                              <w:left w:val="single" w:sz="4" w:space="0" w:color="000000"/>
                            </w:tcBorders>
                          </w:tcPr>
                          <w:p w:rsidR="00D862F2" w:rsidRDefault="00884FE4">
                            <w:pPr>
                              <w:pStyle w:val="TableParagraph"/>
                              <w:spacing w:before="3"/>
                              <w:ind w:right="198"/>
                              <w:rPr>
                                <w:sz w:val="18"/>
                              </w:rPr>
                            </w:pPr>
                            <w:r>
                              <w:rPr>
                                <w:sz w:val="18"/>
                              </w:rPr>
                              <w:t>76,312</w:t>
                            </w:r>
                          </w:p>
                        </w:tc>
                        <w:tc>
                          <w:tcPr>
                            <w:tcW w:w="768" w:type="dxa"/>
                            <w:tcBorders>
                              <w:right w:val="single" w:sz="4" w:space="0" w:color="000000"/>
                            </w:tcBorders>
                          </w:tcPr>
                          <w:p w:rsidR="00D862F2" w:rsidRDefault="00884FE4">
                            <w:pPr>
                              <w:pStyle w:val="TableParagraph"/>
                              <w:spacing w:before="3"/>
                              <w:ind w:right="101"/>
                              <w:rPr>
                                <w:sz w:val="18"/>
                              </w:rPr>
                            </w:pPr>
                            <w:r>
                              <w:rPr>
                                <w:sz w:val="18"/>
                              </w:rPr>
                              <w:t>33.3%</w:t>
                            </w:r>
                          </w:p>
                        </w:tc>
                        <w:tc>
                          <w:tcPr>
                            <w:tcW w:w="977" w:type="dxa"/>
                            <w:tcBorders>
                              <w:left w:val="single" w:sz="4" w:space="0" w:color="000000"/>
                            </w:tcBorders>
                          </w:tcPr>
                          <w:p w:rsidR="00D862F2" w:rsidRDefault="00884FE4">
                            <w:pPr>
                              <w:pStyle w:val="TableParagraph"/>
                              <w:spacing w:before="3"/>
                              <w:ind w:right="107"/>
                              <w:rPr>
                                <w:sz w:val="18"/>
                              </w:rPr>
                            </w:pPr>
                            <w:r>
                              <w:rPr>
                                <w:sz w:val="18"/>
                              </w:rPr>
                              <w:t>69,264</w:t>
                            </w:r>
                          </w:p>
                        </w:tc>
                        <w:tc>
                          <w:tcPr>
                            <w:tcW w:w="679" w:type="dxa"/>
                            <w:tcBorders>
                              <w:right w:val="single" w:sz="4" w:space="0" w:color="000000"/>
                            </w:tcBorders>
                          </w:tcPr>
                          <w:p w:rsidR="00D862F2" w:rsidRDefault="00884FE4">
                            <w:pPr>
                              <w:pStyle w:val="TableParagraph"/>
                              <w:spacing w:before="3"/>
                              <w:ind w:right="103"/>
                              <w:rPr>
                                <w:sz w:val="18"/>
                              </w:rPr>
                            </w:pPr>
                            <w:r>
                              <w:rPr>
                                <w:sz w:val="18"/>
                              </w:rPr>
                              <w:t>33.0%</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HSA_5:</w:t>
                            </w:r>
                            <w:r>
                              <w:rPr>
                                <w:spacing w:val="-3"/>
                                <w:sz w:val="18"/>
                              </w:rPr>
                              <w:t xml:space="preserve"> </w:t>
                            </w:r>
                            <w:r>
                              <w:rPr>
                                <w:sz w:val="18"/>
                              </w:rPr>
                              <w:t>Southeast</w:t>
                            </w:r>
                          </w:p>
                        </w:tc>
                        <w:tc>
                          <w:tcPr>
                            <w:tcW w:w="1008" w:type="dxa"/>
                            <w:tcBorders>
                              <w:left w:val="single" w:sz="4" w:space="0" w:color="000000"/>
                            </w:tcBorders>
                          </w:tcPr>
                          <w:p w:rsidR="00D862F2" w:rsidRDefault="00884FE4">
                            <w:pPr>
                              <w:pStyle w:val="TableParagraph"/>
                              <w:spacing w:before="3"/>
                              <w:ind w:right="117"/>
                              <w:rPr>
                                <w:sz w:val="18"/>
                              </w:rPr>
                            </w:pPr>
                            <w:r>
                              <w:rPr>
                                <w:sz w:val="18"/>
                              </w:rPr>
                              <w:t>28,677</w:t>
                            </w:r>
                          </w:p>
                        </w:tc>
                        <w:tc>
                          <w:tcPr>
                            <w:tcW w:w="691" w:type="dxa"/>
                            <w:tcBorders>
                              <w:right w:val="single" w:sz="4" w:space="0" w:color="000000"/>
                            </w:tcBorders>
                          </w:tcPr>
                          <w:p w:rsidR="00D862F2" w:rsidRDefault="00884FE4">
                            <w:pPr>
                              <w:pStyle w:val="TableParagraph"/>
                              <w:spacing w:before="3"/>
                              <w:ind w:right="107"/>
                              <w:rPr>
                                <w:sz w:val="18"/>
                              </w:rPr>
                            </w:pPr>
                            <w:r>
                              <w:rPr>
                                <w:sz w:val="18"/>
                              </w:rPr>
                              <w:t>13.3%</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29,870</w:t>
                            </w:r>
                          </w:p>
                        </w:tc>
                        <w:tc>
                          <w:tcPr>
                            <w:tcW w:w="722" w:type="dxa"/>
                            <w:tcBorders>
                              <w:right w:val="single" w:sz="4" w:space="0" w:color="000000"/>
                            </w:tcBorders>
                          </w:tcPr>
                          <w:p w:rsidR="00D862F2" w:rsidRDefault="00884FE4">
                            <w:pPr>
                              <w:pStyle w:val="TableParagraph"/>
                              <w:spacing w:before="3"/>
                              <w:ind w:right="103"/>
                              <w:rPr>
                                <w:sz w:val="18"/>
                              </w:rPr>
                            </w:pPr>
                            <w:r>
                              <w:rPr>
                                <w:sz w:val="18"/>
                              </w:rPr>
                              <w:t>13.6%</w:t>
                            </w:r>
                          </w:p>
                        </w:tc>
                        <w:tc>
                          <w:tcPr>
                            <w:tcW w:w="1061" w:type="dxa"/>
                            <w:tcBorders>
                              <w:left w:val="single" w:sz="4" w:space="0" w:color="000000"/>
                            </w:tcBorders>
                          </w:tcPr>
                          <w:p w:rsidR="00D862F2" w:rsidRDefault="00884FE4">
                            <w:pPr>
                              <w:pStyle w:val="TableParagraph"/>
                              <w:spacing w:before="3"/>
                              <w:ind w:right="198"/>
                              <w:rPr>
                                <w:sz w:val="18"/>
                              </w:rPr>
                            </w:pPr>
                            <w:r>
                              <w:rPr>
                                <w:sz w:val="18"/>
                              </w:rPr>
                              <w:t>32,111</w:t>
                            </w:r>
                          </w:p>
                        </w:tc>
                        <w:tc>
                          <w:tcPr>
                            <w:tcW w:w="768" w:type="dxa"/>
                            <w:tcBorders>
                              <w:right w:val="single" w:sz="4" w:space="0" w:color="000000"/>
                            </w:tcBorders>
                          </w:tcPr>
                          <w:p w:rsidR="00D862F2" w:rsidRDefault="00884FE4">
                            <w:pPr>
                              <w:pStyle w:val="TableParagraph"/>
                              <w:spacing w:before="3"/>
                              <w:ind w:right="101"/>
                              <w:rPr>
                                <w:sz w:val="18"/>
                              </w:rPr>
                            </w:pPr>
                            <w:r>
                              <w:rPr>
                                <w:sz w:val="18"/>
                              </w:rPr>
                              <w:t>14.0%</w:t>
                            </w:r>
                          </w:p>
                        </w:tc>
                        <w:tc>
                          <w:tcPr>
                            <w:tcW w:w="977" w:type="dxa"/>
                            <w:tcBorders>
                              <w:left w:val="single" w:sz="4" w:space="0" w:color="000000"/>
                            </w:tcBorders>
                          </w:tcPr>
                          <w:p w:rsidR="00D862F2" w:rsidRDefault="00884FE4">
                            <w:pPr>
                              <w:pStyle w:val="TableParagraph"/>
                              <w:spacing w:before="3"/>
                              <w:ind w:right="107"/>
                              <w:rPr>
                                <w:sz w:val="18"/>
                              </w:rPr>
                            </w:pPr>
                            <w:r>
                              <w:rPr>
                                <w:sz w:val="18"/>
                              </w:rPr>
                              <w:t>30,213</w:t>
                            </w:r>
                          </w:p>
                        </w:tc>
                        <w:tc>
                          <w:tcPr>
                            <w:tcW w:w="679" w:type="dxa"/>
                            <w:tcBorders>
                              <w:right w:val="single" w:sz="4" w:space="0" w:color="000000"/>
                            </w:tcBorders>
                          </w:tcPr>
                          <w:p w:rsidR="00D862F2" w:rsidRDefault="00884FE4">
                            <w:pPr>
                              <w:pStyle w:val="TableParagraph"/>
                              <w:spacing w:before="3"/>
                              <w:ind w:right="103"/>
                              <w:rPr>
                                <w:sz w:val="18"/>
                              </w:rPr>
                            </w:pPr>
                            <w:r>
                              <w:rPr>
                                <w:sz w:val="18"/>
                              </w:rPr>
                              <w:t>14.4%</w:t>
                            </w:r>
                          </w:p>
                        </w:tc>
                      </w:tr>
                      <w:tr w:rsidR="00D862F2">
                        <w:trPr>
                          <w:trHeight w:val="259"/>
                        </w:trPr>
                        <w:tc>
                          <w:tcPr>
                            <w:tcW w:w="2359" w:type="dxa"/>
                            <w:tcBorders>
                              <w:left w:val="single" w:sz="4" w:space="0" w:color="000000"/>
                              <w:right w:val="single" w:sz="4" w:space="0" w:color="000000"/>
                            </w:tcBorders>
                          </w:tcPr>
                          <w:p w:rsidR="00D862F2" w:rsidRDefault="00884FE4">
                            <w:pPr>
                              <w:pStyle w:val="TableParagraph"/>
                              <w:spacing w:before="3"/>
                              <w:ind w:left="115"/>
                              <w:jc w:val="left"/>
                              <w:rPr>
                                <w:sz w:val="18"/>
                              </w:rPr>
                            </w:pPr>
                            <w:r>
                              <w:rPr>
                                <w:sz w:val="18"/>
                              </w:rPr>
                              <w:t>HSA_6:</w:t>
                            </w:r>
                            <w:r>
                              <w:rPr>
                                <w:spacing w:val="-3"/>
                                <w:sz w:val="18"/>
                              </w:rPr>
                              <w:t xml:space="preserve"> </w:t>
                            </w:r>
                            <w:r>
                              <w:rPr>
                                <w:sz w:val="18"/>
                              </w:rPr>
                              <w:t>Boston</w:t>
                            </w:r>
                          </w:p>
                        </w:tc>
                        <w:tc>
                          <w:tcPr>
                            <w:tcW w:w="1008" w:type="dxa"/>
                            <w:tcBorders>
                              <w:left w:val="single" w:sz="4" w:space="0" w:color="000000"/>
                            </w:tcBorders>
                          </w:tcPr>
                          <w:p w:rsidR="00D862F2" w:rsidRDefault="00884FE4">
                            <w:pPr>
                              <w:pStyle w:val="TableParagraph"/>
                              <w:spacing w:before="3"/>
                              <w:ind w:right="117"/>
                              <w:rPr>
                                <w:sz w:val="18"/>
                              </w:rPr>
                            </w:pPr>
                            <w:r>
                              <w:rPr>
                                <w:sz w:val="18"/>
                              </w:rPr>
                              <w:t>42,562</w:t>
                            </w:r>
                          </w:p>
                        </w:tc>
                        <w:tc>
                          <w:tcPr>
                            <w:tcW w:w="691" w:type="dxa"/>
                            <w:tcBorders>
                              <w:right w:val="single" w:sz="4" w:space="0" w:color="000000"/>
                            </w:tcBorders>
                          </w:tcPr>
                          <w:p w:rsidR="00D862F2" w:rsidRDefault="00884FE4">
                            <w:pPr>
                              <w:pStyle w:val="TableParagraph"/>
                              <w:spacing w:before="3"/>
                              <w:ind w:right="107"/>
                              <w:rPr>
                                <w:sz w:val="18"/>
                              </w:rPr>
                            </w:pPr>
                            <w:r>
                              <w:rPr>
                                <w:sz w:val="18"/>
                              </w:rPr>
                              <w:t>19.7%</w:t>
                            </w:r>
                          </w:p>
                        </w:tc>
                        <w:tc>
                          <w:tcPr>
                            <w:tcW w:w="1085" w:type="dxa"/>
                            <w:tcBorders>
                              <w:left w:val="single" w:sz="4" w:space="0" w:color="000000"/>
                            </w:tcBorders>
                          </w:tcPr>
                          <w:p w:rsidR="00D862F2" w:rsidRDefault="00884FE4">
                            <w:pPr>
                              <w:pStyle w:val="TableParagraph"/>
                              <w:spacing w:before="3"/>
                              <w:ind w:left="425"/>
                              <w:jc w:val="left"/>
                              <w:rPr>
                                <w:sz w:val="18"/>
                              </w:rPr>
                            </w:pPr>
                            <w:r>
                              <w:rPr>
                                <w:sz w:val="18"/>
                              </w:rPr>
                              <w:t>43,052</w:t>
                            </w:r>
                          </w:p>
                        </w:tc>
                        <w:tc>
                          <w:tcPr>
                            <w:tcW w:w="722" w:type="dxa"/>
                            <w:tcBorders>
                              <w:right w:val="single" w:sz="4" w:space="0" w:color="000000"/>
                            </w:tcBorders>
                          </w:tcPr>
                          <w:p w:rsidR="00D862F2" w:rsidRDefault="00884FE4">
                            <w:pPr>
                              <w:pStyle w:val="TableParagraph"/>
                              <w:spacing w:before="3"/>
                              <w:ind w:right="103"/>
                              <w:rPr>
                                <w:sz w:val="18"/>
                              </w:rPr>
                            </w:pPr>
                            <w:r>
                              <w:rPr>
                                <w:sz w:val="18"/>
                              </w:rPr>
                              <w:t>19.6%</w:t>
                            </w:r>
                          </w:p>
                        </w:tc>
                        <w:tc>
                          <w:tcPr>
                            <w:tcW w:w="1061" w:type="dxa"/>
                            <w:tcBorders>
                              <w:left w:val="single" w:sz="4" w:space="0" w:color="000000"/>
                            </w:tcBorders>
                          </w:tcPr>
                          <w:p w:rsidR="00D862F2" w:rsidRDefault="00884FE4">
                            <w:pPr>
                              <w:pStyle w:val="TableParagraph"/>
                              <w:spacing w:before="3"/>
                              <w:ind w:right="198"/>
                              <w:rPr>
                                <w:sz w:val="18"/>
                              </w:rPr>
                            </w:pPr>
                            <w:r>
                              <w:rPr>
                                <w:sz w:val="18"/>
                              </w:rPr>
                              <w:t>44,850</w:t>
                            </w:r>
                          </w:p>
                        </w:tc>
                        <w:tc>
                          <w:tcPr>
                            <w:tcW w:w="768" w:type="dxa"/>
                            <w:tcBorders>
                              <w:right w:val="single" w:sz="4" w:space="0" w:color="000000"/>
                            </w:tcBorders>
                          </w:tcPr>
                          <w:p w:rsidR="00D862F2" w:rsidRDefault="00884FE4">
                            <w:pPr>
                              <w:pStyle w:val="TableParagraph"/>
                              <w:spacing w:before="3"/>
                              <w:ind w:right="101"/>
                              <w:rPr>
                                <w:sz w:val="18"/>
                              </w:rPr>
                            </w:pPr>
                            <w:r>
                              <w:rPr>
                                <w:sz w:val="18"/>
                              </w:rPr>
                              <w:t>19.6%</w:t>
                            </w:r>
                          </w:p>
                        </w:tc>
                        <w:tc>
                          <w:tcPr>
                            <w:tcW w:w="977" w:type="dxa"/>
                            <w:tcBorders>
                              <w:left w:val="single" w:sz="4" w:space="0" w:color="000000"/>
                            </w:tcBorders>
                          </w:tcPr>
                          <w:p w:rsidR="00D862F2" w:rsidRDefault="00884FE4">
                            <w:pPr>
                              <w:pStyle w:val="TableParagraph"/>
                              <w:spacing w:before="3"/>
                              <w:ind w:right="107"/>
                              <w:rPr>
                                <w:sz w:val="18"/>
                              </w:rPr>
                            </w:pPr>
                            <w:r>
                              <w:rPr>
                                <w:sz w:val="18"/>
                              </w:rPr>
                              <w:t>40,469</w:t>
                            </w:r>
                          </w:p>
                        </w:tc>
                        <w:tc>
                          <w:tcPr>
                            <w:tcW w:w="679" w:type="dxa"/>
                            <w:tcBorders>
                              <w:right w:val="single" w:sz="4" w:space="0" w:color="000000"/>
                            </w:tcBorders>
                          </w:tcPr>
                          <w:p w:rsidR="00D862F2" w:rsidRDefault="00884FE4">
                            <w:pPr>
                              <w:pStyle w:val="TableParagraph"/>
                              <w:spacing w:before="3"/>
                              <w:ind w:right="103"/>
                              <w:rPr>
                                <w:sz w:val="18"/>
                              </w:rPr>
                            </w:pPr>
                            <w:r>
                              <w:rPr>
                                <w:sz w:val="18"/>
                              </w:rPr>
                              <w:t>19.3%</w:t>
                            </w:r>
                          </w:p>
                        </w:tc>
                      </w:tr>
                      <w:tr w:rsidR="00D862F2">
                        <w:trPr>
                          <w:trHeight w:val="263"/>
                        </w:trPr>
                        <w:tc>
                          <w:tcPr>
                            <w:tcW w:w="2359" w:type="dxa"/>
                            <w:tcBorders>
                              <w:left w:val="single" w:sz="4" w:space="0" w:color="000000"/>
                              <w:bottom w:val="single" w:sz="4" w:space="0" w:color="000000"/>
                              <w:right w:val="single" w:sz="4" w:space="0" w:color="000000"/>
                            </w:tcBorders>
                          </w:tcPr>
                          <w:p w:rsidR="00D862F2" w:rsidRDefault="00884FE4">
                            <w:pPr>
                              <w:pStyle w:val="TableParagraph"/>
                              <w:spacing w:before="3"/>
                              <w:ind w:left="115"/>
                              <w:jc w:val="left"/>
                              <w:rPr>
                                <w:sz w:val="18"/>
                              </w:rPr>
                            </w:pPr>
                            <w:r>
                              <w:rPr>
                                <w:sz w:val="18"/>
                              </w:rPr>
                              <w:t>Unknown</w:t>
                            </w:r>
                          </w:p>
                        </w:tc>
                        <w:tc>
                          <w:tcPr>
                            <w:tcW w:w="1008" w:type="dxa"/>
                            <w:tcBorders>
                              <w:left w:val="single" w:sz="4" w:space="0" w:color="000000"/>
                              <w:bottom w:val="single" w:sz="4" w:space="0" w:color="000000"/>
                            </w:tcBorders>
                          </w:tcPr>
                          <w:p w:rsidR="00D862F2" w:rsidRDefault="00884FE4">
                            <w:pPr>
                              <w:pStyle w:val="TableParagraph"/>
                              <w:spacing w:before="3"/>
                              <w:ind w:right="117"/>
                              <w:rPr>
                                <w:sz w:val="18"/>
                              </w:rPr>
                            </w:pPr>
                            <w:r>
                              <w:rPr>
                                <w:sz w:val="18"/>
                              </w:rPr>
                              <w:t>15,277</w:t>
                            </w:r>
                          </w:p>
                        </w:tc>
                        <w:tc>
                          <w:tcPr>
                            <w:tcW w:w="691" w:type="dxa"/>
                            <w:tcBorders>
                              <w:bottom w:val="single" w:sz="4" w:space="0" w:color="000000"/>
                              <w:right w:val="single" w:sz="4" w:space="0" w:color="000000"/>
                            </w:tcBorders>
                          </w:tcPr>
                          <w:p w:rsidR="00D862F2" w:rsidRDefault="00884FE4">
                            <w:pPr>
                              <w:pStyle w:val="TableParagraph"/>
                              <w:spacing w:before="3"/>
                              <w:ind w:right="106"/>
                              <w:rPr>
                                <w:sz w:val="18"/>
                              </w:rPr>
                            </w:pPr>
                            <w:r>
                              <w:rPr>
                                <w:sz w:val="18"/>
                              </w:rPr>
                              <w:t>7.1%</w:t>
                            </w:r>
                          </w:p>
                        </w:tc>
                        <w:tc>
                          <w:tcPr>
                            <w:tcW w:w="1085" w:type="dxa"/>
                            <w:tcBorders>
                              <w:left w:val="single" w:sz="4" w:space="0" w:color="000000"/>
                              <w:bottom w:val="single" w:sz="4" w:space="0" w:color="000000"/>
                            </w:tcBorders>
                          </w:tcPr>
                          <w:p w:rsidR="00D862F2" w:rsidRDefault="00884FE4">
                            <w:pPr>
                              <w:pStyle w:val="TableParagraph"/>
                              <w:spacing w:before="3"/>
                              <w:ind w:left="425"/>
                              <w:jc w:val="left"/>
                              <w:rPr>
                                <w:sz w:val="18"/>
                              </w:rPr>
                            </w:pPr>
                            <w:r>
                              <w:rPr>
                                <w:sz w:val="18"/>
                              </w:rPr>
                              <w:t>15,312</w:t>
                            </w:r>
                          </w:p>
                        </w:tc>
                        <w:tc>
                          <w:tcPr>
                            <w:tcW w:w="722"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7.0%</w:t>
                            </w:r>
                          </w:p>
                        </w:tc>
                        <w:tc>
                          <w:tcPr>
                            <w:tcW w:w="1061" w:type="dxa"/>
                            <w:tcBorders>
                              <w:left w:val="single" w:sz="4" w:space="0" w:color="000000"/>
                              <w:bottom w:val="single" w:sz="4" w:space="0" w:color="000000"/>
                            </w:tcBorders>
                          </w:tcPr>
                          <w:p w:rsidR="00D862F2" w:rsidRDefault="00884FE4">
                            <w:pPr>
                              <w:pStyle w:val="TableParagraph"/>
                              <w:spacing w:before="3"/>
                              <w:ind w:right="198"/>
                              <w:rPr>
                                <w:sz w:val="18"/>
                              </w:rPr>
                            </w:pPr>
                            <w:r>
                              <w:rPr>
                                <w:sz w:val="18"/>
                              </w:rPr>
                              <w:t>16,133</w:t>
                            </w:r>
                          </w:p>
                        </w:tc>
                        <w:tc>
                          <w:tcPr>
                            <w:tcW w:w="768" w:type="dxa"/>
                            <w:tcBorders>
                              <w:bottom w:val="single" w:sz="4" w:space="0" w:color="000000"/>
                              <w:right w:val="single" w:sz="4" w:space="0" w:color="000000"/>
                            </w:tcBorders>
                          </w:tcPr>
                          <w:p w:rsidR="00D862F2" w:rsidRDefault="00884FE4">
                            <w:pPr>
                              <w:pStyle w:val="TableParagraph"/>
                              <w:spacing w:before="3"/>
                              <w:ind w:right="101"/>
                              <w:rPr>
                                <w:sz w:val="18"/>
                              </w:rPr>
                            </w:pPr>
                            <w:r>
                              <w:rPr>
                                <w:sz w:val="18"/>
                              </w:rPr>
                              <w:t>7.0%</w:t>
                            </w:r>
                          </w:p>
                        </w:tc>
                        <w:tc>
                          <w:tcPr>
                            <w:tcW w:w="977" w:type="dxa"/>
                            <w:tcBorders>
                              <w:left w:val="single" w:sz="4" w:space="0" w:color="000000"/>
                              <w:bottom w:val="single" w:sz="4" w:space="0" w:color="000000"/>
                            </w:tcBorders>
                          </w:tcPr>
                          <w:p w:rsidR="00D862F2" w:rsidRDefault="00884FE4">
                            <w:pPr>
                              <w:pStyle w:val="TableParagraph"/>
                              <w:spacing w:before="3"/>
                              <w:ind w:right="107"/>
                              <w:rPr>
                                <w:sz w:val="18"/>
                              </w:rPr>
                            </w:pPr>
                            <w:r>
                              <w:rPr>
                                <w:sz w:val="18"/>
                              </w:rPr>
                              <w:t>14,824</w:t>
                            </w:r>
                          </w:p>
                        </w:tc>
                        <w:tc>
                          <w:tcPr>
                            <w:tcW w:w="679" w:type="dxa"/>
                            <w:tcBorders>
                              <w:bottom w:val="single" w:sz="4" w:space="0" w:color="000000"/>
                              <w:right w:val="single" w:sz="4" w:space="0" w:color="000000"/>
                            </w:tcBorders>
                          </w:tcPr>
                          <w:p w:rsidR="00D862F2" w:rsidRDefault="00884FE4">
                            <w:pPr>
                              <w:pStyle w:val="TableParagraph"/>
                              <w:spacing w:before="3"/>
                              <w:ind w:right="103"/>
                              <w:rPr>
                                <w:sz w:val="18"/>
                              </w:rPr>
                            </w:pPr>
                            <w:r>
                              <w:rPr>
                                <w:sz w:val="18"/>
                              </w:rPr>
                              <w:t>7.1%</w:t>
                            </w:r>
                          </w:p>
                        </w:tc>
                      </w:tr>
                    </w:tbl>
                    <w:p w:rsidR="00D862F2" w:rsidRDefault="00D862F2">
                      <w:pPr>
                        <w:pStyle w:val="BodyText"/>
                      </w:pPr>
                    </w:p>
                  </w:txbxContent>
                </v:textbox>
                <w10:wrap anchorx="page"/>
              </v:shape>
            </w:pict>
          </mc:Fallback>
        </mc:AlternateContent>
      </w:r>
      <w:r w:rsidR="00884FE4">
        <w:rPr>
          <w:rFonts w:ascii="Calibri" w:hAnsi="Calibri"/>
          <w:b/>
          <w:sz w:val="20"/>
        </w:rPr>
        <w:t>Boston Children’s Massachusetts Patient Panel</w:t>
      </w:r>
      <w:r w:rsidR="00884FE4">
        <w:rPr>
          <w:rFonts w:ascii="Calibri" w:hAnsi="Calibri"/>
          <w:b/>
          <w:spacing w:val="-43"/>
          <w:sz w:val="20"/>
        </w:rPr>
        <w:t xml:space="preserve"> </w:t>
      </w:r>
      <w:r w:rsidR="00884FE4">
        <w:rPr>
          <w:rFonts w:ascii="Calibri" w:hAnsi="Calibri"/>
          <w:b/>
          <w:sz w:val="20"/>
        </w:rPr>
        <w:t>Table</w:t>
      </w:r>
      <w:r w:rsidR="00884FE4">
        <w:rPr>
          <w:rFonts w:ascii="Calibri" w:hAnsi="Calibri"/>
          <w:b/>
          <w:spacing w:val="-2"/>
          <w:sz w:val="20"/>
        </w:rPr>
        <w:t xml:space="preserve"> </w:t>
      </w:r>
      <w:r w:rsidR="00884FE4">
        <w:rPr>
          <w:rFonts w:ascii="Calibri" w:hAnsi="Calibri"/>
          <w:b/>
          <w:sz w:val="20"/>
        </w:rPr>
        <w:t>1.</w:t>
      </w:r>
      <w:r w:rsidR="00884FE4">
        <w:rPr>
          <w:rFonts w:ascii="Calibri" w:hAnsi="Calibri"/>
          <w:b/>
          <w:spacing w:val="-2"/>
          <w:sz w:val="20"/>
        </w:rPr>
        <w:t xml:space="preserve"> </w:t>
      </w:r>
      <w:r w:rsidR="00884FE4">
        <w:rPr>
          <w:rFonts w:ascii="Calibri" w:hAnsi="Calibri"/>
          <w:b/>
          <w:sz w:val="20"/>
        </w:rPr>
        <w:t>Demographics</w:t>
      </w:r>
      <w:r w:rsidR="00884FE4">
        <w:rPr>
          <w:rFonts w:ascii="Calibri" w:hAnsi="Calibri"/>
          <w:b/>
          <w:spacing w:val="-2"/>
          <w:sz w:val="20"/>
        </w:rPr>
        <w:t xml:space="preserve"> </w:t>
      </w:r>
      <w:r w:rsidR="00884FE4">
        <w:rPr>
          <w:rFonts w:ascii="Calibri" w:hAnsi="Calibri"/>
          <w:b/>
          <w:sz w:val="20"/>
        </w:rPr>
        <w:t>and Patient</w:t>
      </w:r>
      <w:r w:rsidR="00884FE4">
        <w:rPr>
          <w:rFonts w:ascii="Calibri" w:hAnsi="Calibri"/>
          <w:b/>
          <w:spacing w:val="-2"/>
          <w:sz w:val="20"/>
        </w:rPr>
        <w:t xml:space="preserve"> </w:t>
      </w:r>
      <w:r w:rsidR="00884FE4">
        <w:rPr>
          <w:rFonts w:ascii="Calibri" w:hAnsi="Calibri"/>
          <w:b/>
          <w:sz w:val="20"/>
        </w:rPr>
        <w:t>Origin</w:t>
      </w: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rPr>
          <w:rFonts w:ascii="Calibri"/>
          <w:b/>
          <w:sz w:val="20"/>
        </w:rPr>
      </w:pPr>
    </w:p>
    <w:p w:rsidR="00D862F2" w:rsidRDefault="00D862F2">
      <w:pPr>
        <w:pStyle w:val="BodyText"/>
        <w:spacing w:before="1"/>
        <w:rPr>
          <w:rFonts w:ascii="Calibri"/>
          <w:b/>
          <w:sz w:val="16"/>
        </w:rPr>
      </w:pPr>
    </w:p>
    <w:p w:rsidR="00D862F2" w:rsidRDefault="00884FE4">
      <w:pPr>
        <w:spacing w:before="1"/>
        <w:ind w:left="220" w:right="276" w:hanging="1"/>
        <w:jc w:val="both"/>
        <w:rPr>
          <w:rFonts w:ascii="Calibri Light" w:hAnsi="Calibri Light"/>
          <w:sz w:val="18"/>
        </w:rPr>
      </w:pPr>
      <w:r>
        <w:rPr>
          <w:rFonts w:ascii="Calibri Light" w:hAnsi="Calibri Light"/>
          <w:sz w:val="18"/>
          <w:vertAlign w:val="superscript"/>
        </w:rPr>
        <w:t>*</w:t>
      </w:r>
      <w:r>
        <w:rPr>
          <w:rFonts w:ascii="Calibri Light" w:hAnsi="Calibri Light"/>
          <w:sz w:val="18"/>
        </w:rPr>
        <w:t xml:space="preserve"> Race/Ethnicity excludes unique patients listed as “Unknown” and therefore has a different denominator than the total count</w:t>
      </w:r>
      <w:r>
        <w:rPr>
          <w:rFonts w:ascii="Calibri Light" w:hAnsi="Calibri Light"/>
          <w:spacing w:val="1"/>
          <w:sz w:val="18"/>
        </w:rPr>
        <w:t xml:space="preserve"> </w:t>
      </w:r>
      <w:r>
        <w:rPr>
          <w:rFonts w:ascii="Calibri Light" w:hAnsi="Calibri Light"/>
          <w:sz w:val="18"/>
        </w:rPr>
        <w:t>listed</w:t>
      </w:r>
      <w:r>
        <w:rPr>
          <w:rFonts w:ascii="Calibri Light" w:hAnsi="Calibri Light"/>
          <w:spacing w:val="-1"/>
          <w:sz w:val="18"/>
        </w:rPr>
        <w:t xml:space="preserve"> </w:t>
      </w:r>
      <w:r>
        <w:rPr>
          <w:rFonts w:ascii="Calibri Light" w:hAnsi="Calibri Light"/>
          <w:sz w:val="18"/>
        </w:rPr>
        <w:t>above.</w:t>
      </w:r>
    </w:p>
    <w:p w:rsidR="00D862F2" w:rsidRDefault="00D862F2">
      <w:pPr>
        <w:jc w:val="both"/>
        <w:rPr>
          <w:rFonts w:ascii="Calibri Light" w:hAnsi="Calibri Light"/>
          <w:sz w:val="18"/>
        </w:rPr>
        <w:sectPr w:rsidR="00D862F2">
          <w:pgSz w:w="12240" w:h="15840"/>
          <w:pgMar w:top="1340" w:right="1160" w:bottom="980" w:left="1220" w:header="722" w:footer="794" w:gutter="0"/>
          <w:cols w:space="720"/>
        </w:sectPr>
      </w:pPr>
    </w:p>
    <w:p w:rsidR="00D862F2" w:rsidRDefault="00D862F2">
      <w:pPr>
        <w:pStyle w:val="BodyText"/>
        <w:spacing w:before="7"/>
        <w:rPr>
          <w:rFonts w:ascii="Calibri Light"/>
          <w:sz w:val="25"/>
        </w:rPr>
      </w:pPr>
    </w:p>
    <w:p w:rsidR="00D862F2" w:rsidRDefault="00884FE4">
      <w:pPr>
        <w:spacing w:before="59"/>
        <w:ind w:left="2792" w:right="2853"/>
        <w:jc w:val="center"/>
        <w:rPr>
          <w:rFonts w:ascii="Calibri"/>
          <w:b/>
          <w:sz w:val="20"/>
        </w:rPr>
      </w:pPr>
      <w:r>
        <w:rPr>
          <w:rFonts w:ascii="Calibri"/>
          <w:b/>
          <w:sz w:val="20"/>
        </w:rPr>
        <w:t>Table</w:t>
      </w:r>
      <w:r>
        <w:rPr>
          <w:rFonts w:ascii="Calibri"/>
          <w:b/>
          <w:spacing w:val="-3"/>
          <w:sz w:val="20"/>
        </w:rPr>
        <w:t xml:space="preserve"> </w:t>
      </w:r>
      <w:r>
        <w:rPr>
          <w:rFonts w:ascii="Calibri"/>
          <w:b/>
          <w:sz w:val="20"/>
        </w:rPr>
        <w:t>2.</w:t>
      </w:r>
      <w:r>
        <w:rPr>
          <w:rFonts w:ascii="Calibri"/>
          <w:b/>
          <w:spacing w:val="-3"/>
          <w:sz w:val="20"/>
        </w:rPr>
        <w:t xml:space="preserve"> </w:t>
      </w:r>
      <w:r>
        <w:rPr>
          <w:rFonts w:ascii="Calibri"/>
          <w:b/>
          <w:sz w:val="20"/>
        </w:rPr>
        <w:t>Annual</w:t>
      </w:r>
      <w:r>
        <w:rPr>
          <w:rFonts w:ascii="Calibri"/>
          <w:b/>
          <w:spacing w:val="-4"/>
          <w:sz w:val="20"/>
        </w:rPr>
        <w:t xml:space="preserve"> </w:t>
      </w:r>
      <w:r>
        <w:rPr>
          <w:rFonts w:ascii="Calibri"/>
          <w:b/>
          <w:sz w:val="20"/>
        </w:rPr>
        <w:t>Utilization</w:t>
      </w:r>
      <w:r>
        <w:rPr>
          <w:rFonts w:ascii="Calibri"/>
          <w:b/>
          <w:spacing w:val="-1"/>
          <w:sz w:val="20"/>
        </w:rPr>
        <w:t xml:space="preserve"> </w:t>
      </w:r>
      <w:r>
        <w:rPr>
          <w:rFonts w:ascii="Calibri"/>
          <w:b/>
          <w:sz w:val="20"/>
        </w:rPr>
        <w:t>Statistics*</w:t>
      </w:r>
    </w:p>
    <w:tbl>
      <w:tblPr>
        <w:tblW w:w="0" w:type="auto"/>
        <w:tblInd w:w="112" w:type="dxa"/>
        <w:tblLayout w:type="fixed"/>
        <w:tblCellMar>
          <w:left w:w="0" w:type="dxa"/>
          <w:right w:w="0" w:type="dxa"/>
        </w:tblCellMar>
        <w:tblLook w:val="01E0" w:firstRow="1" w:lastRow="1" w:firstColumn="1" w:lastColumn="1" w:noHBand="0" w:noVBand="0"/>
      </w:tblPr>
      <w:tblGrid>
        <w:gridCol w:w="984"/>
        <w:gridCol w:w="1404"/>
        <w:gridCol w:w="982"/>
        <w:gridCol w:w="735"/>
        <w:gridCol w:w="463"/>
        <w:gridCol w:w="523"/>
        <w:gridCol w:w="762"/>
        <w:gridCol w:w="433"/>
        <w:gridCol w:w="553"/>
        <w:gridCol w:w="788"/>
        <w:gridCol w:w="987"/>
      </w:tblGrid>
      <w:tr w:rsidR="00D862F2">
        <w:trPr>
          <w:trHeight w:val="249"/>
        </w:trPr>
        <w:tc>
          <w:tcPr>
            <w:tcW w:w="984" w:type="dxa"/>
            <w:vMerge w:val="restart"/>
            <w:tcBorders>
              <w:bottom w:val="single" w:sz="4" w:space="0" w:color="000000"/>
              <w:right w:val="single" w:sz="4" w:space="0" w:color="000000"/>
            </w:tcBorders>
          </w:tcPr>
          <w:p w:rsidR="00D862F2" w:rsidRDefault="00D862F2">
            <w:pPr>
              <w:pStyle w:val="TableParagraph"/>
              <w:jc w:val="left"/>
              <w:rPr>
                <w:rFonts w:ascii="Times New Roman"/>
                <w:sz w:val="18"/>
              </w:rPr>
            </w:pPr>
          </w:p>
        </w:tc>
        <w:tc>
          <w:tcPr>
            <w:tcW w:w="2386" w:type="dxa"/>
            <w:gridSpan w:val="2"/>
            <w:vMerge w:val="restart"/>
            <w:tcBorders>
              <w:top w:val="single" w:sz="4" w:space="0" w:color="000000"/>
              <w:left w:val="single" w:sz="4" w:space="0" w:color="000000"/>
              <w:bottom w:val="single" w:sz="4" w:space="0" w:color="000000"/>
              <w:right w:val="single" w:sz="4" w:space="0" w:color="000000"/>
            </w:tcBorders>
            <w:shd w:val="clear" w:color="auto" w:fill="2E5395"/>
          </w:tcPr>
          <w:p w:rsidR="00D862F2" w:rsidRDefault="00D862F2">
            <w:pPr>
              <w:pStyle w:val="TableParagraph"/>
              <w:jc w:val="left"/>
              <w:rPr>
                <w:rFonts w:ascii="Times New Roman"/>
                <w:sz w:val="18"/>
              </w:rPr>
            </w:pPr>
          </w:p>
        </w:tc>
        <w:tc>
          <w:tcPr>
            <w:tcW w:w="1198" w:type="dxa"/>
            <w:gridSpan w:val="2"/>
            <w:tcBorders>
              <w:top w:val="single" w:sz="4" w:space="0" w:color="000000"/>
              <w:left w:val="single" w:sz="4" w:space="0" w:color="000000"/>
            </w:tcBorders>
            <w:shd w:val="clear" w:color="auto" w:fill="2E5395"/>
          </w:tcPr>
          <w:p w:rsidR="00D862F2" w:rsidRDefault="00884FE4">
            <w:pPr>
              <w:pStyle w:val="TableParagraph"/>
              <w:spacing w:line="219" w:lineRule="exact"/>
              <w:ind w:left="678"/>
              <w:jc w:val="left"/>
              <w:rPr>
                <w:b/>
                <w:sz w:val="18"/>
              </w:rPr>
            </w:pPr>
            <w:r>
              <w:rPr>
                <w:b/>
                <w:color w:val="FFFFFF"/>
                <w:sz w:val="18"/>
              </w:rPr>
              <w:t>FY17</w:t>
            </w:r>
          </w:p>
        </w:tc>
        <w:tc>
          <w:tcPr>
            <w:tcW w:w="523" w:type="dxa"/>
            <w:tcBorders>
              <w:top w:val="single" w:sz="4" w:space="0" w:color="000000"/>
              <w:right w:val="single" w:sz="4" w:space="0" w:color="000000"/>
            </w:tcBorders>
            <w:shd w:val="clear" w:color="auto" w:fill="2E5395"/>
          </w:tcPr>
          <w:p w:rsidR="00D862F2" w:rsidRDefault="00D862F2">
            <w:pPr>
              <w:pStyle w:val="TableParagraph"/>
              <w:jc w:val="left"/>
              <w:rPr>
                <w:rFonts w:ascii="Times New Roman"/>
                <w:sz w:val="18"/>
              </w:rPr>
            </w:pPr>
          </w:p>
        </w:tc>
        <w:tc>
          <w:tcPr>
            <w:tcW w:w="1195" w:type="dxa"/>
            <w:gridSpan w:val="2"/>
            <w:tcBorders>
              <w:top w:val="single" w:sz="4" w:space="0" w:color="000000"/>
              <w:left w:val="single" w:sz="4" w:space="0" w:color="000000"/>
            </w:tcBorders>
            <w:shd w:val="clear" w:color="auto" w:fill="2E5395"/>
          </w:tcPr>
          <w:p w:rsidR="00D862F2" w:rsidRDefault="00884FE4">
            <w:pPr>
              <w:pStyle w:val="TableParagraph"/>
              <w:spacing w:line="219" w:lineRule="exact"/>
              <w:ind w:left="690"/>
              <w:jc w:val="left"/>
              <w:rPr>
                <w:b/>
                <w:sz w:val="18"/>
              </w:rPr>
            </w:pPr>
            <w:r>
              <w:rPr>
                <w:b/>
                <w:color w:val="FFFFFF"/>
                <w:sz w:val="18"/>
              </w:rPr>
              <w:t>FY18</w:t>
            </w:r>
          </w:p>
        </w:tc>
        <w:tc>
          <w:tcPr>
            <w:tcW w:w="553" w:type="dxa"/>
            <w:tcBorders>
              <w:top w:val="single" w:sz="4" w:space="0" w:color="000000"/>
              <w:right w:val="single" w:sz="4" w:space="0" w:color="000000"/>
            </w:tcBorders>
            <w:shd w:val="clear" w:color="auto" w:fill="2E5395"/>
          </w:tcPr>
          <w:p w:rsidR="00D862F2" w:rsidRDefault="00D862F2">
            <w:pPr>
              <w:pStyle w:val="TableParagraph"/>
              <w:jc w:val="left"/>
              <w:rPr>
                <w:rFonts w:ascii="Times New Roman"/>
                <w:sz w:val="18"/>
              </w:rPr>
            </w:pPr>
          </w:p>
        </w:tc>
        <w:tc>
          <w:tcPr>
            <w:tcW w:w="1775" w:type="dxa"/>
            <w:gridSpan w:val="2"/>
            <w:tcBorders>
              <w:top w:val="single" w:sz="4" w:space="0" w:color="000000"/>
              <w:left w:val="single" w:sz="4" w:space="0" w:color="000000"/>
              <w:right w:val="single" w:sz="4" w:space="0" w:color="000000"/>
            </w:tcBorders>
            <w:shd w:val="clear" w:color="auto" w:fill="2E5395"/>
          </w:tcPr>
          <w:p w:rsidR="00D862F2" w:rsidRDefault="00884FE4">
            <w:pPr>
              <w:pStyle w:val="TableParagraph"/>
              <w:spacing w:line="219" w:lineRule="exact"/>
              <w:ind w:left="682" w:right="684"/>
              <w:jc w:val="center"/>
              <w:rPr>
                <w:b/>
                <w:sz w:val="18"/>
              </w:rPr>
            </w:pPr>
            <w:r>
              <w:rPr>
                <w:b/>
                <w:color w:val="FFFFFF"/>
                <w:sz w:val="18"/>
              </w:rPr>
              <w:t>FY19</w:t>
            </w:r>
          </w:p>
        </w:tc>
      </w:tr>
      <w:tr w:rsidR="00D862F2">
        <w:trPr>
          <w:trHeight w:val="258"/>
        </w:trPr>
        <w:tc>
          <w:tcPr>
            <w:tcW w:w="984" w:type="dxa"/>
            <w:vMerge/>
            <w:tcBorders>
              <w:top w:val="nil"/>
              <w:bottom w:val="single" w:sz="4" w:space="0" w:color="000000"/>
              <w:right w:val="single" w:sz="4" w:space="0" w:color="000000"/>
            </w:tcBorders>
          </w:tcPr>
          <w:p w:rsidR="00D862F2" w:rsidRDefault="00D862F2">
            <w:pPr>
              <w:rPr>
                <w:sz w:val="2"/>
                <w:szCs w:val="2"/>
              </w:rPr>
            </w:pPr>
          </w:p>
        </w:tc>
        <w:tc>
          <w:tcPr>
            <w:tcW w:w="2386" w:type="dxa"/>
            <w:gridSpan w:val="2"/>
            <w:vMerge/>
            <w:tcBorders>
              <w:top w:val="nil"/>
              <w:left w:val="single" w:sz="4" w:space="0" w:color="000000"/>
              <w:bottom w:val="single" w:sz="4" w:space="0" w:color="000000"/>
              <w:right w:val="single" w:sz="4" w:space="0" w:color="000000"/>
            </w:tcBorders>
            <w:shd w:val="clear" w:color="auto" w:fill="2E5395"/>
          </w:tcPr>
          <w:p w:rsidR="00D862F2" w:rsidRDefault="00D862F2">
            <w:pPr>
              <w:rPr>
                <w:sz w:val="2"/>
                <w:szCs w:val="2"/>
              </w:rPr>
            </w:pPr>
          </w:p>
        </w:tc>
        <w:tc>
          <w:tcPr>
            <w:tcW w:w="1198" w:type="dxa"/>
            <w:gridSpan w:val="2"/>
            <w:tcBorders>
              <w:left w:val="single" w:sz="4" w:space="0" w:color="000000"/>
              <w:bottom w:val="single" w:sz="4" w:space="0" w:color="000000"/>
            </w:tcBorders>
            <w:shd w:val="clear" w:color="auto" w:fill="2E5395"/>
          </w:tcPr>
          <w:p w:rsidR="00D862F2" w:rsidRDefault="00884FE4">
            <w:pPr>
              <w:pStyle w:val="TableParagraph"/>
              <w:spacing w:line="218" w:lineRule="exact"/>
              <w:ind w:left="474"/>
              <w:jc w:val="left"/>
              <w:rPr>
                <w:b/>
                <w:sz w:val="18"/>
              </w:rPr>
            </w:pPr>
            <w:r>
              <w:rPr>
                <w:b/>
                <w:color w:val="FFFFFF"/>
                <w:sz w:val="18"/>
              </w:rPr>
              <w:t>Count</w:t>
            </w:r>
          </w:p>
        </w:tc>
        <w:tc>
          <w:tcPr>
            <w:tcW w:w="523" w:type="dxa"/>
            <w:tcBorders>
              <w:bottom w:val="single" w:sz="4" w:space="0" w:color="000000"/>
              <w:right w:val="single" w:sz="4" w:space="0" w:color="000000"/>
            </w:tcBorders>
            <w:shd w:val="clear" w:color="auto" w:fill="2E5395"/>
          </w:tcPr>
          <w:p w:rsidR="00D862F2" w:rsidRDefault="00884FE4">
            <w:pPr>
              <w:pStyle w:val="TableParagraph"/>
              <w:spacing w:line="218" w:lineRule="exact"/>
              <w:ind w:right="107"/>
              <w:rPr>
                <w:b/>
                <w:sz w:val="18"/>
              </w:rPr>
            </w:pPr>
            <w:r>
              <w:rPr>
                <w:b/>
                <w:color w:val="FFFFFF"/>
                <w:sz w:val="18"/>
              </w:rPr>
              <w:t>%</w:t>
            </w:r>
          </w:p>
        </w:tc>
        <w:tc>
          <w:tcPr>
            <w:tcW w:w="1195" w:type="dxa"/>
            <w:gridSpan w:val="2"/>
            <w:tcBorders>
              <w:left w:val="single" w:sz="4" w:space="0" w:color="000000"/>
              <w:bottom w:val="single" w:sz="4" w:space="0" w:color="000000"/>
            </w:tcBorders>
            <w:shd w:val="clear" w:color="auto" w:fill="2E5395"/>
          </w:tcPr>
          <w:p w:rsidR="00D862F2" w:rsidRDefault="00884FE4">
            <w:pPr>
              <w:pStyle w:val="TableParagraph"/>
              <w:spacing w:line="218" w:lineRule="exact"/>
              <w:ind w:left="438"/>
              <w:jc w:val="left"/>
              <w:rPr>
                <w:b/>
                <w:sz w:val="18"/>
              </w:rPr>
            </w:pPr>
            <w:r>
              <w:rPr>
                <w:b/>
                <w:color w:val="FFFFFF"/>
                <w:sz w:val="18"/>
              </w:rPr>
              <w:t>Count</w:t>
            </w:r>
          </w:p>
        </w:tc>
        <w:tc>
          <w:tcPr>
            <w:tcW w:w="553" w:type="dxa"/>
            <w:tcBorders>
              <w:bottom w:val="single" w:sz="4" w:space="0" w:color="000000"/>
              <w:right w:val="single" w:sz="4" w:space="0" w:color="000000"/>
            </w:tcBorders>
            <w:shd w:val="clear" w:color="auto" w:fill="2E5395"/>
          </w:tcPr>
          <w:p w:rsidR="00D862F2" w:rsidRDefault="00884FE4">
            <w:pPr>
              <w:pStyle w:val="TableParagraph"/>
              <w:spacing w:line="218" w:lineRule="exact"/>
              <w:ind w:right="110"/>
              <w:rPr>
                <w:b/>
                <w:sz w:val="18"/>
              </w:rPr>
            </w:pPr>
            <w:r>
              <w:rPr>
                <w:b/>
                <w:color w:val="FFFFFF"/>
                <w:sz w:val="18"/>
              </w:rPr>
              <w:t>%</w:t>
            </w:r>
          </w:p>
        </w:tc>
        <w:tc>
          <w:tcPr>
            <w:tcW w:w="788" w:type="dxa"/>
            <w:tcBorders>
              <w:left w:val="single" w:sz="4" w:space="0" w:color="000000"/>
              <w:bottom w:val="single" w:sz="4" w:space="0" w:color="000000"/>
            </w:tcBorders>
            <w:shd w:val="clear" w:color="auto" w:fill="2E5395"/>
          </w:tcPr>
          <w:p w:rsidR="00D862F2" w:rsidRDefault="00884FE4">
            <w:pPr>
              <w:pStyle w:val="TableParagraph"/>
              <w:spacing w:line="218" w:lineRule="exact"/>
              <w:ind w:left="365" w:right="-44"/>
              <w:jc w:val="left"/>
              <w:rPr>
                <w:b/>
                <w:sz w:val="18"/>
              </w:rPr>
            </w:pPr>
            <w:r>
              <w:rPr>
                <w:b/>
                <w:color w:val="FFFFFF"/>
                <w:sz w:val="18"/>
              </w:rPr>
              <w:t>Count</w:t>
            </w:r>
          </w:p>
        </w:tc>
        <w:tc>
          <w:tcPr>
            <w:tcW w:w="987" w:type="dxa"/>
            <w:tcBorders>
              <w:bottom w:val="single" w:sz="4" w:space="0" w:color="000000"/>
              <w:right w:val="single" w:sz="4" w:space="0" w:color="000000"/>
            </w:tcBorders>
            <w:shd w:val="clear" w:color="auto" w:fill="2E5395"/>
          </w:tcPr>
          <w:p w:rsidR="00D862F2" w:rsidRDefault="00884FE4">
            <w:pPr>
              <w:pStyle w:val="TableParagraph"/>
              <w:spacing w:line="218" w:lineRule="exact"/>
              <w:ind w:right="111"/>
              <w:rPr>
                <w:b/>
                <w:sz w:val="18"/>
              </w:rPr>
            </w:pPr>
            <w:r>
              <w:rPr>
                <w:b/>
                <w:color w:val="FFFFFF"/>
                <w:sz w:val="18"/>
              </w:rPr>
              <w:t>%</w:t>
            </w:r>
          </w:p>
        </w:tc>
      </w:tr>
      <w:tr w:rsidR="00D862F2">
        <w:trPr>
          <w:trHeight w:val="258"/>
        </w:trPr>
        <w:tc>
          <w:tcPr>
            <w:tcW w:w="2388"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107"/>
              <w:jc w:val="left"/>
              <w:rPr>
                <w:sz w:val="18"/>
              </w:rPr>
            </w:pPr>
            <w:r>
              <w:rPr>
                <w:sz w:val="18"/>
              </w:rPr>
              <w:t>Total</w:t>
            </w:r>
            <w:r>
              <w:rPr>
                <w:spacing w:val="-3"/>
                <w:sz w:val="18"/>
              </w:rPr>
              <w:t xml:space="preserve"> </w:t>
            </w:r>
            <w:r>
              <w:rPr>
                <w:sz w:val="18"/>
              </w:rPr>
              <w:t>Ambulatory</w:t>
            </w:r>
            <w:r>
              <w:rPr>
                <w:spacing w:val="-2"/>
                <w:sz w:val="18"/>
              </w:rPr>
              <w:t xml:space="preserve"> </w:t>
            </w:r>
            <w:r>
              <w:rPr>
                <w:sz w:val="18"/>
              </w:rPr>
              <w:t>Visits</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338"/>
              <w:jc w:val="left"/>
              <w:rPr>
                <w:sz w:val="18"/>
              </w:rPr>
            </w:pPr>
            <w:r>
              <w:rPr>
                <w:sz w:val="18"/>
              </w:rPr>
              <w:t>545,252</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303"/>
              <w:jc w:val="left"/>
              <w:rPr>
                <w:sz w:val="18"/>
              </w:rPr>
            </w:pPr>
            <w:r>
              <w:rPr>
                <w:sz w:val="18"/>
              </w:rPr>
              <w:t>555,374</w:t>
            </w:r>
          </w:p>
        </w:tc>
        <w:tc>
          <w:tcPr>
            <w:tcW w:w="1774"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230"/>
              <w:jc w:val="left"/>
              <w:rPr>
                <w:sz w:val="18"/>
              </w:rPr>
            </w:pPr>
            <w:r>
              <w:rPr>
                <w:sz w:val="18"/>
              </w:rPr>
              <w:t>584,108</w:t>
            </w:r>
          </w:p>
        </w:tc>
        <w:tc>
          <w:tcPr>
            <w:tcW w:w="987" w:type="dxa"/>
            <w:vMerge w:val="restart"/>
            <w:tcBorders>
              <w:top w:val="single" w:sz="4" w:space="0" w:color="000000"/>
              <w:left w:val="single" w:sz="4" w:space="0" w:color="000000"/>
            </w:tcBorders>
          </w:tcPr>
          <w:p w:rsidR="00D862F2" w:rsidRDefault="00D862F2">
            <w:pPr>
              <w:pStyle w:val="TableParagraph"/>
              <w:jc w:val="left"/>
              <w:rPr>
                <w:rFonts w:ascii="Times New Roman"/>
                <w:sz w:val="18"/>
              </w:rPr>
            </w:pPr>
          </w:p>
        </w:tc>
      </w:tr>
      <w:tr w:rsidR="00D862F2">
        <w:trPr>
          <w:trHeight w:val="254"/>
        </w:trPr>
        <w:tc>
          <w:tcPr>
            <w:tcW w:w="2388" w:type="dxa"/>
            <w:gridSpan w:val="2"/>
            <w:tcBorders>
              <w:top w:val="single" w:sz="4" w:space="0" w:color="000000"/>
              <w:left w:val="single" w:sz="4" w:space="0" w:color="000000"/>
              <w:right w:val="single" w:sz="4" w:space="0" w:color="000000"/>
            </w:tcBorders>
          </w:tcPr>
          <w:p w:rsidR="00D862F2" w:rsidRDefault="00884FE4">
            <w:pPr>
              <w:pStyle w:val="TableParagraph"/>
              <w:spacing w:line="219" w:lineRule="exact"/>
              <w:ind w:left="107"/>
              <w:jc w:val="left"/>
              <w:rPr>
                <w:sz w:val="18"/>
              </w:rPr>
            </w:pPr>
            <w:r>
              <w:rPr>
                <w:sz w:val="18"/>
              </w:rPr>
              <w:t>HSA_1:</w:t>
            </w:r>
            <w:r>
              <w:rPr>
                <w:spacing w:val="-2"/>
                <w:sz w:val="18"/>
              </w:rPr>
              <w:t xml:space="preserve"> </w:t>
            </w:r>
            <w:r>
              <w:rPr>
                <w:sz w:val="18"/>
              </w:rPr>
              <w:t>Western</w:t>
            </w:r>
            <w:r>
              <w:rPr>
                <w:spacing w:val="-3"/>
                <w:sz w:val="18"/>
              </w:rPr>
              <w:t xml:space="preserve"> </w:t>
            </w:r>
            <w:r>
              <w:rPr>
                <w:sz w:val="18"/>
              </w:rPr>
              <w:t>MA</w:t>
            </w:r>
          </w:p>
        </w:tc>
        <w:tc>
          <w:tcPr>
            <w:tcW w:w="982" w:type="dxa"/>
            <w:tcBorders>
              <w:top w:val="single" w:sz="4" w:space="0" w:color="000000"/>
              <w:left w:val="single" w:sz="4" w:space="0" w:color="000000"/>
            </w:tcBorders>
          </w:tcPr>
          <w:p w:rsidR="00D862F2" w:rsidRDefault="00884FE4">
            <w:pPr>
              <w:pStyle w:val="TableParagraph"/>
              <w:spacing w:line="219" w:lineRule="exact"/>
              <w:ind w:right="43"/>
              <w:rPr>
                <w:sz w:val="18"/>
              </w:rPr>
            </w:pPr>
            <w:r>
              <w:rPr>
                <w:sz w:val="18"/>
              </w:rPr>
              <w:t>9,632</w:t>
            </w:r>
          </w:p>
        </w:tc>
        <w:tc>
          <w:tcPr>
            <w:tcW w:w="735" w:type="dxa"/>
            <w:tcBorders>
              <w:top w:val="single" w:sz="4" w:space="0" w:color="000000"/>
              <w:right w:val="single" w:sz="4" w:space="0" w:color="000000"/>
            </w:tcBorders>
          </w:tcPr>
          <w:p w:rsidR="00D862F2" w:rsidRDefault="00884FE4">
            <w:pPr>
              <w:pStyle w:val="TableParagraph"/>
              <w:spacing w:line="219" w:lineRule="exact"/>
              <w:ind w:right="95"/>
              <w:rPr>
                <w:sz w:val="18"/>
              </w:rPr>
            </w:pPr>
            <w:r>
              <w:rPr>
                <w:sz w:val="18"/>
              </w:rPr>
              <w:t>1.8%</w:t>
            </w:r>
          </w:p>
        </w:tc>
        <w:tc>
          <w:tcPr>
            <w:tcW w:w="986" w:type="dxa"/>
            <w:gridSpan w:val="2"/>
            <w:tcBorders>
              <w:top w:val="single" w:sz="4" w:space="0" w:color="000000"/>
              <w:left w:val="single" w:sz="4" w:space="0" w:color="000000"/>
            </w:tcBorders>
          </w:tcPr>
          <w:p w:rsidR="00D862F2" w:rsidRDefault="00884FE4">
            <w:pPr>
              <w:pStyle w:val="TableParagraph"/>
              <w:spacing w:line="219" w:lineRule="exact"/>
              <w:ind w:left="394"/>
              <w:jc w:val="left"/>
              <w:rPr>
                <w:sz w:val="18"/>
              </w:rPr>
            </w:pPr>
            <w:r>
              <w:rPr>
                <w:sz w:val="18"/>
              </w:rPr>
              <w:t>10,507</w:t>
            </w:r>
          </w:p>
        </w:tc>
        <w:tc>
          <w:tcPr>
            <w:tcW w:w="762" w:type="dxa"/>
            <w:tcBorders>
              <w:top w:val="single" w:sz="4" w:space="0" w:color="000000"/>
              <w:right w:val="single" w:sz="4" w:space="0" w:color="000000"/>
            </w:tcBorders>
          </w:tcPr>
          <w:p w:rsidR="00D862F2" w:rsidRDefault="00884FE4">
            <w:pPr>
              <w:pStyle w:val="TableParagraph"/>
              <w:spacing w:line="219" w:lineRule="exact"/>
              <w:ind w:right="101"/>
              <w:rPr>
                <w:sz w:val="18"/>
              </w:rPr>
            </w:pPr>
            <w:r>
              <w:rPr>
                <w:sz w:val="18"/>
              </w:rPr>
              <w:t>1.9%</w:t>
            </w:r>
          </w:p>
        </w:tc>
        <w:tc>
          <w:tcPr>
            <w:tcW w:w="986" w:type="dxa"/>
            <w:gridSpan w:val="2"/>
            <w:tcBorders>
              <w:top w:val="single" w:sz="4" w:space="0" w:color="000000"/>
              <w:left w:val="single" w:sz="4" w:space="0" w:color="000000"/>
            </w:tcBorders>
          </w:tcPr>
          <w:p w:rsidR="00D862F2" w:rsidRDefault="00884FE4">
            <w:pPr>
              <w:pStyle w:val="TableParagraph"/>
              <w:spacing w:line="219" w:lineRule="exact"/>
              <w:ind w:left="322"/>
              <w:jc w:val="left"/>
              <w:rPr>
                <w:sz w:val="18"/>
              </w:rPr>
            </w:pPr>
            <w:r>
              <w:rPr>
                <w:sz w:val="18"/>
              </w:rPr>
              <w:t>11,541</w:t>
            </w:r>
          </w:p>
        </w:tc>
        <w:tc>
          <w:tcPr>
            <w:tcW w:w="788" w:type="dxa"/>
            <w:tcBorders>
              <w:top w:val="single" w:sz="4" w:space="0" w:color="000000"/>
              <w:right w:val="single" w:sz="4" w:space="0" w:color="000000"/>
            </w:tcBorders>
          </w:tcPr>
          <w:p w:rsidR="00D862F2" w:rsidRDefault="00884FE4">
            <w:pPr>
              <w:pStyle w:val="TableParagraph"/>
              <w:spacing w:line="219" w:lineRule="exact"/>
              <w:ind w:left="325"/>
              <w:jc w:val="left"/>
              <w:rPr>
                <w:sz w:val="18"/>
              </w:rPr>
            </w:pPr>
            <w:r>
              <w:rPr>
                <w:sz w:val="18"/>
              </w:rPr>
              <w:t>2.0%</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HSA_2:</w:t>
            </w:r>
            <w:r>
              <w:rPr>
                <w:spacing w:val="-2"/>
                <w:sz w:val="18"/>
              </w:rPr>
              <w:t xml:space="preserve"> </w:t>
            </w:r>
            <w:r>
              <w:rPr>
                <w:sz w:val="18"/>
              </w:rPr>
              <w:t>Central</w:t>
            </w:r>
            <w:r>
              <w:rPr>
                <w:spacing w:val="-2"/>
                <w:sz w:val="18"/>
              </w:rPr>
              <w:t xml:space="preserve"> </w:t>
            </w:r>
            <w:r>
              <w:rPr>
                <w:sz w:val="18"/>
              </w:rPr>
              <w:t>MA</w:t>
            </w:r>
          </w:p>
        </w:tc>
        <w:tc>
          <w:tcPr>
            <w:tcW w:w="982" w:type="dxa"/>
            <w:tcBorders>
              <w:left w:val="single" w:sz="4" w:space="0" w:color="000000"/>
            </w:tcBorders>
          </w:tcPr>
          <w:p w:rsidR="00D862F2" w:rsidRDefault="00884FE4">
            <w:pPr>
              <w:pStyle w:val="TableParagraph"/>
              <w:spacing w:before="3"/>
              <w:ind w:right="43"/>
              <w:rPr>
                <w:sz w:val="18"/>
              </w:rPr>
            </w:pPr>
            <w:r>
              <w:rPr>
                <w:sz w:val="18"/>
              </w:rPr>
              <w:t>33,573</w:t>
            </w:r>
          </w:p>
        </w:tc>
        <w:tc>
          <w:tcPr>
            <w:tcW w:w="735" w:type="dxa"/>
            <w:tcBorders>
              <w:right w:val="single" w:sz="4" w:space="0" w:color="000000"/>
            </w:tcBorders>
          </w:tcPr>
          <w:p w:rsidR="00D862F2" w:rsidRDefault="00884FE4">
            <w:pPr>
              <w:pStyle w:val="TableParagraph"/>
              <w:spacing w:before="3"/>
              <w:ind w:right="95"/>
              <w:rPr>
                <w:sz w:val="18"/>
              </w:rPr>
            </w:pPr>
            <w:r>
              <w:rPr>
                <w:sz w:val="18"/>
              </w:rPr>
              <w:t>6.2%</w:t>
            </w:r>
          </w:p>
        </w:tc>
        <w:tc>
          <w:tcPr>
            <w:tcW w:w="986" w:type="dxa"/>
            <w:gridSpan w:val="2"/>
            <w:tcBorders>
              <w:left w:val="single" w:sz="4" w:space="0" w:color="000000"/>
            </w:tcBorders>
          </w:tcPr>
          <w:p w:rsidR="00D862F2" w:rsidRDefault="00884FE4">
            <w:pPr>
              <w:pStyle w:val="TableParagraph"/>
              <w:spacing w:before="3"/>
              <w:ind w:left="394"/>
              <w:jc w:val="left"/>
              <w:rPr>
                <w:sz w:val="18"/>
              </w:rPr>
            </w:pPr>
            <w:r>
              <w:rPr>
                <w:sz w:val="18"/>
              </w:rPr>
              <w:t>34,161</w:t>
            </w:r>
          </w:p>
        </w:tc>
        <w:tc>
          <w:tcPr>
            <w:tcW w:w="762" w:type="dxa"/>
            <w:tcBorders>
              <w:right w:val="single" w:sz="4" w:space="0" w:color="000000"/>
            </w:tcBorders>
          </w:tcPr>
          <w:p w:rsidR="00D862F2" w:rsidRDefault="00884FE4">
            <w:pPr>
              <w:pStyle w:val="TableParagraph"/>
              <w:spacing w:before="3"/>
              <w:ind w:right="101"/>
              <w:rPr>
                <w:sz w:val="18"/>
              </w:rPr>
            </w:pPr>
            <w:r>
              <w:rPr>
                <w:sz w:val="18"/>
              </w:rPr>
              <w:t>6.2%</w:t>
            </w:r>
          </w:p>
        </w:tc>
        <w:tc>
          <w:tcPr>
            <w:tcW w:w="986" w:type="dxa"/>
            <w:gridSpan w:val="2"/>
            <w:tcBorders>
              <w:left w:val="single" w:sz="4" w:space="0" w:color="000000"/>
            </w:tcBorders>
          </w:tcPr>
          <w:p w:rsidR="00D862F2" w:rsidRDefault="00884FE4">
            <w:pPr>
              <w:pStyle w:val="TableParagraph"/>
              <w:spacing w:before="3"/>
              <w:ind w:left="322"/>
              <w:jc w:val="left"/>
              <w:rPr>
                <w:sz w:val="18"/>
              </w:rPr>
            </w:pPr>
            <w:r>
              <w:rPr>
                <w:sz w:val="18"/>
              </w:rPr>
              <w:t>37,785</w:t>
            </w:r>
          </w:p>
        </w:tc>
        <w:tc>
          <w:tcPr>
            <w:tcW w:w="788" w:type="dxa"/>
            <w:tcBorders>
              <w:right w:val="single" w:sz="4" w:space="0" w:color="000000"/>
            </w:tcBorders>
          </w:tcPr>
          <w:p w:rsidR="00D862F2" w:rsidRDefault="00884FE4">
            <w:pPr>
              <w:pStyle w:val="TableParagraph"/>
              <w:spacing w:before="3"/>
              <w:ind w:left="325"/>
              <w:jc w:val="left"/>
              <w:rPr>
                <w:sz w:val="18"/>
              </w:rPr>
            </w:pPr>
            <w:r>
              <w:rPr>
                <w:sz w:val="18"/>
              </w:rPr>
              <w:t>6.5%</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HSA_3:</w:t>
            </w:r>
            <w:r>
              <w:rPr>
                <w:spacing w:val="-3"/>
                <w:sz w:val="18"/>
              </w:rPr>
              <w:t xml:space="preserve"> </w:t>
            </w:r>
            <w:r>
              <w:rPr>
                <w:sz w:val="18"/>
              </w:rPr>
              <w:t>Northeast</w:t>
            </w:r>
          </w:p>
        </w:tc>
        <w:tc>
          <w:tcPr>
            <w:tcW w:w="982" w:type="dxa"/>
            <w:tcBorders>
              <w:left w:val="single" w:sz="4" w:space="0" w:color="000000"/>
            </w:tcBorders>
          </w:tcPr>
          <w:p w:rsidR="00D862F2" w:rsidRDefault="00884FE4">
            <w:pPr>
              <w:pStyle w:val="TableParagraph"/>
              <w:spacing w:before="3"/>
              <w:ind w:right="43"/>
              <w:rPr>
                <w:sz w:val="18"/>
              </w:rPr>
            </w:pPr>
            <w:r>
              <w:rPr>
                <w:sz w:val="18"/>
              </w:rPr>
              <w:t>96,147</w:t>
            </w:r>
          </w:p>
        </w:tc>
        <w:tc>
          <w:tcPr>
            <w:tcW w:w="735" w:type="dxa"/>
            <w:tcBorders>
              <w:right w:val="single" w:sz="4" w:space="0" w:color="000000"/>
            </w:tcBorders>
          </w:tcPr>
          <w:p w:rsidR="00D862F2" w:rsidRDefault="00884FE4">
            <w:pPr>
              <w:pStyle w:val="TableParagraph"/>
              <w:spacing w:before="3"/>
              <w:ind w:right="95"/>
              <w:rPr>
                <w:sz w:val="18"/>
              </w:rPr>
            </w:pPr>
            <w:r>
              <w:rPr>
                <w:sz w:val="18"/>
              </w:rPr>
              <w:t>17.6%</w:t>
            </w:r>
          </w:p>
        </w:tc>
        <w:tc>
          <w:tcPr>
            <w:tcW w:w="986" w:type="dxa"/>
            <w:gridSpan w:val="2"/>
            <w:tcBorders>
              <w:left w:val="single" w:sz="4" w:space="0" w:color="000000"/>
            </w:tcBorders>
          </w:tcPr>
          <w:p w:rsidR="00D862F2" w:rsidRDefault="00884FE4">
            <w:pPr>
              <w:pStyle w:val="TableParagraph"/>
              <w:spacing w:before="3"/>
              <w:ind w:left="394"/>
              <w:jc w:val="left"/>
              <w:rPr>
                <w:sz w:val="18"/>
              </w:rPr>
            </w:pPr>
            <w:r>
              <w:rPr>
                <w:sz w:val="18"/>
              </w:rPr>
              <w:t>96,601</w:t>
            </w:r>
          </w:p>
        </w:tc>
        <w:tc>
          <w:tcPr>
            <w:tcW w:w="762" w:type="dxa"/>
            <w:tcBorders>
              <w:right w:val="single" w:sz="4" w:space="0" w:color="000000"/>
            </w:tcBorders>
          </w:tcPr>
          <w:p w:rsidR="00D862F2" w:rsidRDefault="00884FE4">
            <w:pPr>
              <w:pStyle w:val="TableParagraph"/>
              <w:spacing w:before="3"/>
              <w:ind w:right="102"/>
              <w:rPr>
                <w:sz w:val="18"/>
              </w:rPr>
            </w:pPr>
            <w:r>
              <w:rPr>
                <w:sz w:val="18"/>
              </w:rPr>
              <w:t>17.4%</w:t>
            </w:r>
          </w:p>
        </w:tc>
        <w:tc>
          <w:tcPr>
            <w:tcW w:w="986" w:type="dxa"/>
            <w:gridSpan w:val="2"/>
            <w:tcBorders>
              <w:left w:val="single" w:sz="4" w:space="0" w:color="000000"/>
            </w:tcBorders>
          </w:tcPr>
          <w:p w:rsidR="00D862F2" w:rsidRDefault="00884FE4">
            <w:pPr>
              <w:pStyle w:val="TableParagraph"/>
              <w:spacing w:before="3"/>
              <w:ind w:left="230"/>
              <w:jc w:val="left"/>
              <w:rPr>
                <w:sz w:val="18"/>
              </w:rPr>
            </w:pPr>
            <w:r>
              <w:rPr>
                <w:sz w:val="18"/>
              </w:rPr>
              <w:t>100,217</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17.2%</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HSA_4:</w:t>
            </w:r>
            <w:r>
              <w:rPr>
                <w:spacing w:val="-3"/>
                <w:sz w:val="18"/>
              </w:rPr>
              <w:t xml:space="preserve"> </w:t>
            </w:r>
            <w:r>
              <w:rPr>
                <w:sz w:val="18"/>
              </w:rPr>
              <w:t>Metro</w:t>
            </w:r>
            <w:r>
              <w:rPr>
                <w:spacing w:val="-2"/>
                <w:sz w:val="18"/>
              </w:rPr>
              <w:t xml:space="preserve"> </w:t>
            </w:r>
            <w:r>
              <w:rPr>
                <w:sz w:val="18"/>
              </w:rPr>
              <w:t>West</w:t>
            </w:r>
          </w:p>
        </w:tc>
        <w:tc>
          <w:tcPr>
            <w:tcW w:w="982" w:type="dxa"/>
            <w:tcBorders>
              <w:left w:val="single" w:sz="4" w:space="0" w:color="000000"/>
            </w:tcBorders>
          </w:tcPr>
          <w:p w:rsidR="00D862F2" w:rsidRDefault="00884FE4">
            <w:pPr>
              <w:pStyle w:val="TableParagraph"/>
              <w:spacing w:before="3"/>
              <w:ind w:right="43"/>
              <w:rPr>
                <w:sz w:val="18"/>
              </w:rPr>
            </w:pPr>
            <w:r>
              <w:rPr>
                <w:sz w:val="18"/>
              </w:rPr>
              <w:t>168,062</w:t>
            </w:r>
          </w:p>
        </w:tc>
        <w:tc>
          <w:tcPr>
            <w:tcW w:w="735" w:type="dxa"/>
            <w:tcBorders>
              <w:right w:val="single" w:sz="4" w:space="0" w:color="000000"/>
            </w:tcBorders>
          </w:tcPr>
          <w:p w:rsidR="00D862F2" w:rsidRDefault="00884FE4">
            <w:pPr>
              <w:pStyle w:val="TableParagraph"/>
              <w:spacing w:before="3"/>
              <w:ind w:right="95"/>
              <w:rPr>
                <w:sz w:val="18"/>
              </w:rPr>
            </w:pPr>
            <w:r>
              <w:rPr>
                <w:sz w:val="18"/>
              </w:rPr>
              <w:t>30.8%</w:t>
            </w:r>
          </w:p>
        </w:tc>
        <w:tc>
          <w:tcPr>
            <w:tcW w:w="986" w:type="dxa"/>
            <w:gridSpan w:val="2"/>
            <w:tcBorders>
              <w:left w:val="single" w:sz="4" w:space="0" w:color="000000"/>
            </w:tcBorders>
          </w:tcPr>
          <w:p w:rsidR="00D862F2" w:rsidRDefault="00884FE4">
            <w:pPr>
              <w:pStyle w:val="TableParagraph"/>
              <w:spacing w:before="3"/>
              <w:ind w:left="303"/>
              <w:jc w:val="left"/>
              <w:rPr>
                <w:sz w:val="18"/>
              </w:rPr>
            </w:pPr>
            <w:r>
              <w:rPr>
                <w:sz w:val="18"/>
              </w:rPr>
              <w:t>174,660</w:t>
            </w:r>
          </w:p>
        </w:tc>
        <w:tc>
          <w:tcPr>
            <w:tcW w:w="762" w:type="dxa"/>
            <w:tcBorders>
              <w:right w:val="single" w:sz="4" w:space="0" w:color="000000"/>
            </w:tcBorders>
          </w:tcPr>
          <w:p w:rsidR="00D862F2" w:rsidRDefault="00884FE4">
            <w:pPr>
              <w:pStyle w:val="TableParagraph"/>
              <w:spacing w:before="3"/>
              <w:ind w:right="102"/>
              <w:rPr>
                <w:sz w:val="18"/>
              </w:rPr>
            </w:pPr>
            <w:r>
              <w:rPr>
                <w:sz w:val="18"/>
              </w:rPr>
              <w:t>31.4%</w:t>
            </w:r>
          </w:p>
        </w:tc>
        <w:tc>
          <w:tcPr>
            <w:tcW w:w="986" w:type="dxa"/>
            <w:gridSpan w:val="2"/>
            <w:tcBorders>
              <w:left w:val="single" w:sz="4" w:space="0" w:color="000000"/>
            </w:tcBorders>
          </w:tcPr>
          <w:p w:rsidR="00D862F2" w:rsidRDefault="00884FE4">
            <w:pPr>
              <w:pStyle w:val="TableParagraph"/>
              <w:spacing w:before="3"/>
              <w:ind w:left="230"/>
              <w:jc w:val="left"/>
              <w:rPr>
                <w:sz w:val="18"/>
              </w:rPr>
            </w:pPr>
            <w:r>
              <w:rPr>
                <w:sz w:val="18"/>
              </w:rPr>
              <w:t>177,837</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30.4%</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HSA_5:</w:t>
            </w:r>
            <w:r>
              <w:rPr>
                <w:spacing w:val="-3"/>
                <w:sz w:val="18"/>
              </w:rPr>
              <w:t xml:space="preserve"> </w:t>
            </w:r>
            <w:r>
              <w:rPr>
                <w:sz w:val="18"/>
              </w:rPr>
              <w:t>Southeast</w:t>
            </w:r>
          </w:p>
        </w:tc>
        <w:tc>
          <w:tcPr>
            <w:tcW w:w="982" w:type="dxa"/>
            <w:tcBorders>
              <w:left w:val="single" w:sz="4" w:space="0" w:color="000000"/>
            </w:tcBorders>
          </w:tcPr>
          <w:p w:rsidR="00D862F2" w:rsidRDefault="00884FE4">
            <w:pPr>
              <w:pStyle w:val="TableParagraph"/>
              <w:spacing w:before="3"/>
              <w:ind w:right="43"/>
              <w:rPr>
                <w:sz w:val="18"/>
              </w:rPr>
            </w:pPr>
            <w:r>
              <w:rPr>
                <w:sz w:val="18"/>
              </w:rPr>
              <w:t>70,250</w:t>
            </w:r>
          </w:p>
        </w:tc>
        <w:tc>
          <w:tcPr>
            <w:tcW w:w="735" w:type="dxa"/>
            <w:tcBorders>
              <w:right w:val="single" w:sz="4" w:space="0" w:color="000000"/>
            </w:tcBorders>
          </w:tcPr>
          <w:p w:rsidR="00D862F2" w:rsidRDefault="00884FE4">
            <w:pPr>
              <w:pStyle w:val="TableParagraph"/>
              <w:spacing w:before="3"/>
              <w:ind w:right="95"/>
              <w:rPr>
                <w:sz w:val="18"/>
              </w:rPr>
            </w:pPr>
            <w:r>
              <w:rPr>
                <w:sz w:val="18"/>
              </w:rPr>
              <w:t>12.9%</w:t>
            </w:r>
          </w:p>
        </w:tc>
        <w:tc>
          <w:tcPr>
            <w:tcW w:w="986" w:type="dxa"/>
            <w:gridSpan w:val="2"/>
            <w:tcBorders>
              <w:left w:val="single" w:sz="4" w:space="0" w:color="000000"/>
            </w:tcBorders>
          </w:tcPr>
          <w:p w:rsidR="00D862F2" w:rsidRDefault="00884FE4">
            <w:pPr>
              <w:pStyle w:val="TableParagraph"/>
              <w:spacing w:before="3"/>
              <w:ind w:left="394"/>
              <w:jc w:val="left"/>
              <w:rPr>
                <w:sz w:val="18"/>
              </w:rPr>
            </w:pPr>
            <w:r>
              <w:rPr>
                <w:sz w:val="18"/>
              </w:rPr>
              <w:t>73,550</w:t>
            </w:r>
          </w:p>
        </w:tc>
        <w:tc>
          <w:tcPr>
            <w:tcW w:w="762" w:type="dxa"/>
            <w:tcBorders>
              <w:right w:val="single" w:sz="4" w:space="0" w:color="000000"/>
            </w:tcBorders>
          </w:tcPr>
          <w:p w:rsidR="00D862F2" w:rsidRDefault="00884FE4">
            <w:pPr>
              <w:pStyle w:val="TableParagraph"/>
              <w:spacing w:before="3"/>
              <w:ind w:right="102"/>
              <w:rPr>
                <w:sz w:val="18"/>
              </w:rPr>
            </w:pPr>
            <w:r>
              <w:rPr>
                <w:sz w:val="18"/>
              </w:rPr>
              <w:t>13.2%</w:t>
            </w:r>
          </w:p>
        </w:tc>
        <w:tc>
          <w:tcPr>
            <w:tcW w:w="986" w:type="dxa"/>
            <w:gridSpan w:val="2"/>
            <w:tcBorders>
              <w:left w:val="single" w:sz="4" w:space="0" w:color="000000"/>
            </w:tcBorders>
          </w:tcPr>
          <w:p w:rsidR="00D862F2" w:rsidRDefault="00884FE4">
            <w:pPr>
              <w:pStyle w:val="TableParagraph"/>
              <w:spacing w:before="3"/>
              <w:ind w:left="322"/>
              <w:jc w:val="left"/>
              <w:rPr>
                <w:sz w:val="18"/>
              </w:rPr>
            </w:pPr>
            <w:r>
              <w:rPr>
                <w:sz w:val="18"/>
              </w:rPr>
              <w:t>78,936</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13.5%</w:t>
            </w:r>
          </w:p>
        </w:tc>
        <w:tc>
          <w:tcPr>
            <w:tcW w:w="987" w:type="dxa"/>
            <w:vMerge/>
            <w:tcBorders>
              <w:top w:val="nil"/>
              <w:left w:val="single" w:sz="4" w:space="0" w:color="000000"/>
            </w:tcBorders>
          </w:tcPr>
          <w:p w:rsidR="00D862F2" w:rsidRDefault="00D862F2">
            <w:pPr>
              <w:rPr>
                <w:sz w:val="2"/>
                <w:szCs w:val="2"/>
              </w:rPr>
            </w:pPr>
          </w:p>
        </w:tc>
      </w:tr>
      <w:tr w:rsidR="00D862F2">
        <w:trPr>
          <w:trHeight w:val="257"/>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HSA_6:</w:t>
            </w:r>
            <w:r>
              <w:rPr>
                <w:spacing w:val="-3"/>
                <w:sz w:val="18"/>
              </w:rPr>
              <w:t xml:space="preserve"> </w:t>
            </w:r>
            <w:r>
              <w:rPr>
                <w:sz w:val="18"/>
              </w:rPr>
              <w:t>Boston</w:t>
            </w:r>
          </w:p>
        </w:tc>
        <w:tc>
          <w:tcPr>
            <w:tcW w:w="982" w:type="dxa"/>
            <w:tcBorders>
              <w:left w:val="single" w:sz="4" w:space="0" w:color="000000"/>
            </w:tcBorders>
          </w:tcPr>
          <w:p w:rsidR="00D862F2" w:rsidRDefault="00884FE4">
            <w:pPr>
              <w:pStyle w:val="TableParagraph"/>
              <w:spacing w:before="3"/>
              <w:ind w:right="43"/>
              <w:rPr>
                <w:sz w:val="18"/>
              </w:rPr>
            </w:pPr>
            <w:r>
              <w:rPr>
                <w:sz w:val="18"/>
              </w:rPr>
              <w:t>137,123</w:t>
            </w:r>
          </w:p>
        </w:tc>
        <w:tc>
          <w:tcPr>
            <w:tcW w:w="735" w:type="dxa"/>
            <w:tcBorders>
              <w:right w:val="single" w:sz="4" w:space="0" w:color="000000"/>
            </w:tcBorders>
          </w:tcPr>
          <w:p w:rsidR="00D862F2" w:rsidRDefault="00884FE4">
            <w:pPr>
              <w:pStyle w:val="TableParagraph"/>
              <w:spacing w:before="3"/>
              <w:ind w:right="95"/>
              <w:rPr>
                <w:sz w:val="18"/>
              </w:rPr>
            </w:pPr>
            <w:r>
              <w:rPr>
                <w:sz w:val="18"/>
              </w:rPr>
              <w:t>25.1%</w:t>
            </w:r>
          </w:p>
        </w:tc>
        <w:tc>
          <w:tcPr>
            <w:tcW w:w="986" w:type="dxa"/>
            <w:gridSpan w:val="2"/>
            <w:tcBorders>
              <w:left w:val="single" w:sz="4" w:space="0" w:color="000000"/>
            </w:tcBorders>
          </w:tcPr>
          <w:p w:rsidR="00D862F2" w:rsidRDefault="00884FE4">
            <w:pPr>
              <w:pStyle w:val="TableParagraph"/>
              <w:spacing w:before="3"/>
              <w:ind w:left="303"/>
              <w:jc w:val="left"/>
              <w:rPr>
                <w:sz w:val="18"/>
              </w:rPr>
            </w:pPr>
            <w:r>
              <w:rPr>
                <w:sz w:val="18"/>
              </w:rPr>
              <w:t>134,112</w:t>
            </w:r>
          </w:p>
        </w:tc>
        <w:tc>
          <w:tcPr>
            <w:tcW w:w="762" w:type="dxa"/>
            <w:tcBorders>
              <w:right w:val="single" w:sz="4" w:space="0" w:color="000000"/>
            </w:tcBorders>
          </w:tcPr>
          <w:p w:rsidR="00D862F2" w:rsidRDefault="00884FE4">
            <w:pPr>
              <w:pStyle w:val="TableParagraph"/>
              <w:spacing w:before="3"/>
              <w:ind w:right="102"/>
              <w:rPr>
                <w:sz w:val="18"/>
              </w:rPr>
            </w:pPr>
            <w:r>
              <w:rPr>
                <w:sz w:val="18"/>
              </w:rPr>
              <w:t>24.1%</w:t>
            </w:r>
          </w:p>
        </w:tc>
        <w:tc>
          <w:tcPr>
            <w:tcW w:w="986" w:type="dxa"/>
            <w:gridSpan w:val="2"/>
            <w:tcBorders>
              <w:left w:val="single" w:sz="4" w:space="0" w:color="000000"/>
            </w:tcBorders>
          </w:tcPr>
          <w:p w:rsidR="00D862F2" w:rsidRDefault="00884FE4">
            <w:pPr>
              <w:pStyle w:val="TableParagraph"/>
              <w:spacing w:before="3"/>
              <w:ind w:left="230"/>
              <w:jc w:val="left"/>
              <w:rPr>
                <w:sz w:val="18"/>
              </w:rPr>
            </w:pPr>
            <w:r>
              <w:rPr>
                <w:sz w:val="18"/>
              </w:rPr>
              <w:t>144,035</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24.7%</w:t>
            </w:r>
          </w:p>
        </w:tc>
        <w:tc>
          <w:tcPr>
            <w:tcW w:w="987" w:type="dxa"/>
            <w:vMerge/>
            <w:tcBorders>
              <w:top w:val="nil"/>
              <w:left w:val="single" w:sz="4" w:space="0" w:color="000000"/>
            </w:tcBorders>
          </w:tcPr>
          <w:p w:rsidR="00D862F2" w:rsidRDefault="00D862F2">
            <w:pPr>
              <w:rPr>
                <w:sz w:val="2"/>
                <w:szCs w:val="2"/>
              </w:rPr>
            </w:pPr>
          </w:p>
        </w:tc>
      </w:tr>
      <w:tr w:rsidR="00D862F2">
        <w:trPr>
          <w:trHeight w:val="262"/>
        </w:trPr>
        <w:tc>
          <w:tcPr>
            <w:tcW w:w="984" w:type="dxa"/>
            <w:tcBorders>
              <w:left w:val="single" w:sz="4" w:space="0" w:color="000000"/>
              <w:bottom w:val="single" w:sz="4" w:space="0" w:color="000000"/>
            </w:tcBorders>
          </w:tcPr>
          <w:p w:rsidR="00D862F2" w:rsidRDefault="00884FE4">
            <w:pPr>
              <w:pStyle w:val="TableParagraph"/>
              <w:spacing w:before="2"/>
              <w:ind w:left="107"/>
              <w:jc w:val="left"/>
              <w:rPr>
                <w:sz w:val="18"/>
              </w:rPr>
            </w:pPr>
            <w:r>
              <w:rPr>
                <w:sz w:val="18"/>
              </w:rPr>
              <w:t>Unknown</w:t>
            </w:r>
          </w:p>
        </w:tc>
        <w:tc>
          <w:tcPr>
            <w:tcW w:w="1404" w:type="dxa"/>
            <w:tcBorders>
              <w:bottom w:val="single" w:sz="4" w:space="0" w:color="000000"/>
              <w:right w:val="single" w:sz="4" w:space="0" w:color="000000"/>
            </w:tcBorders>
          </w:tcPr>
          <w:p w:rsidR="00D862F2" w:rsidRDefault="00D862F2">
            <w:pPr>
              <w:pStyle w:val="TableParagraph"/>
              <w:jc w:val="left"/>
              <w:rPr>
                <w:rFonts w:ascii="Times New Roman"/>
                <w:sz w:val="18"/>
              </w:rPr>
            </w:pPr>
          </w:p>
        </w:tc>
        <w:tc>
          <w:tcPr>
            <w:tcW w:w="982" w:type="dxa"/>
            <w:tcBorders>
              <w:left w:val="single" w:sz="4" w:space="0" w:color="000000"/>
              <w:bottom w:val="single" w:sz="4" w:space="0" w:color="000000"/>
            </w:tcBorders>
          </w:tcPr>
          <w:p w:rsidR="00D862F2" w:rsidRDefault="00884FE4">
            <w:pPr>
              <w:pStyle w:val="TableParagraph"/>
              <w:spacing w:before="2"/>
              <w:ind w:right="43"/>
              <w:rPr>
                <w:sz w:val="18"/>
              </w:rPr>
            </w:pPr>
            <w:r>
              <w:rPr>
                <w:sz w:val="18"/>
              </w:rPr>
              <w:t>30,465</w:t>
            </w:r>
          </w:p>
        </w:tc>
        <w:tc>
          <w:tcPr>
            <w:tcW w:w="735" w:type="dxa"/>
            <w:tcBorders>
              <w:bottom w:val="single" w:sz="4" w:space="0" w:color="000000"/>
              <w:right w:val="single" w:sz="4" w:space="0" w:color="000000"/>
            </w:tcBorders>
          </w:tcPr>
          <w:p w:rsidR="00D862F2" w:rsidRDefault="00884FE4">
            <w:pPr>
              <w:pStyle w:val="TableParagraph"/>
              <w:spacing w:before="2"/>
              <w:ind w:right="95"/>
              <w:rPr>
                <w:sz w:val="18"/>
              </w:rPr>
            </w:pPr>
            <w:r>
              <w:rPr>
                <w:sz w:val="18"/>
              </w:rPr>
              <w:t>5.6%</w:t>
            </w:r>
          </w:p>
        </w:tc>
        <w:tc>
          <w:tcPr>
            <w:tcW w:w="986" w:type="dxa"/>
            <w:gridSpan w:val="2"/>
            <w:tcBorders>
              <w:left w:val="single" w:sz="4" w:space="0" w:color="000000"/>
              <w:bottom w:val="single" w:sz="4" w:space="0" w:color="000000"/>
            </w:tcBorders>
          </w:tcPr>
          <w:p w:rsidR="00D862F2" w:rsidRDefault="00884FE4">
            <w:pPr>
              <w:pStyle w:val="TableParagraph"/>
              <w:spacing w:before="2"/>
              <w:ind w:left="394"/>
              <w:jc w:val="left"/>
              <w:rPr>
                <w:sz w:val="18"/>
              </w:rPr>
            </w:pPr>
            <w:r>
              <w:rPr>
                <w:sz w:val="18"/>
              </w:rPr>
              <w:t>31,783</w:t>
            </w:r>
          </w:p>
        </w:tc>
        <w:tc>
          <w:tcPr>
            <w:tcW w:w="762" w:type="dxa"/>
            <w:tcBorders>
              <w:bottom w:val="single" w:sz="4" w:space="0" w:color="000000"/>
              <w:right w:val="single" w:sz="4" w:space="0" w:color="000000"/>
            </w:tcBorders>
          </w:tcPr>
          <w:p w:rsidR="00D862F2" w:rsidRDefault="00884FE4">
            <w:pPr>
              <w:pStyle w:val="TableParagraph"/>
              <w:spacing w:before="2"/>
              <w:ind w:right="101"/>
              <w:rPr>
                <w:sz w:val="18"/>
              </w:rPr>
            </w:pPr>
            <w:r>
              <w:rPr>
                <w:sz w:val="18"/>
              </w:rPr>
              <w:t>5.7%</w:t>
            </w:r>
          </w:p>
        </w:tc>
        <w:tc>
          <w:tcPr>
            <w:tcW w:w="986" w:type="dxa"/>
            <w:gridSpan w:val="2"/>
            <w:tcBorders>
              <w:left w:val="single" w:sz="4" w:space="0" w:color="000000"/>
              <w:bottom w:val="single" w:sz="4" w:space="0" w:color="000000"/>
            </w:tcBorders>
          </w:tcPr>
          <w:p w:rsidR="00D862F2" w:rsidRDefault="00884FE4">
            <w:pPr>
              <w:pStyle w:val="TableParagraph"/>
              <w:spacing w:before="2"/>
              <w:ind w:left="322"/>
              <w:jc w:val="left"/>
              <w:rPr>
                <w:sz w:val="18"/>
              </w:rPr>
            </w:pPr>
            <w:r>
              <w:rPr>
                <w:sz w:val="18"/>
              </w:rPr>
              <w:t>33,757</w:t>
            </w:r>
          </w:p>
        </w:tc>
        <w:tc>
          <w:tcPr>
            <w:tcW w:w="788" w:type="dxa"/>
            <w:tcBorders>
              <w:bottom w:val="single" w:sz="4" w:space="0" w:color="000000"/>
              <w:right w:val="single" w:sz="4" w:space="0" w:color="000000"/>
            </w:tcBorders>
          </w:tcPr>
          <w:p w:rsidR="00D862F2" w:rsidRDefault="00884FE4">
            <w:pPr>
              <w:pStyle w:val="TableParagraph"/>
              <w:spacing w:before="2"/>
              <w:ind w:left="325"/>
              <w:jc w:val="left"/>
              <w:rPr>
                <w:sz w:val="18"/>
              </w:rPr>
            </w:pPr>
            <w:r>
              <w:rPr>
                <w:sz w:val="18"/>
              </w:rPr>
              <w:t>5.8%</w:t>
            </w:r>
          </w:p>
        </w:tc>
        <w:tc>
          <w:tcPr>
            <w:tcW w:w="987" w:type="dxa"/>
            <w:vMerge/>
            <w:tcBorders>
              <w:top w:val="nil"/>
              <w:left w:val="single" w:sz="4" w:space="0" w:color="000000"/>
            </w:tcBorders>
          </w:tcPr>
          <w:p w:rsidR="00D862F2" w:rsidRDefault="00D862F2">
            <w:pPr>
              <w:rPr>
                <w:sz w:val="2"/>
                <w:szCs w:val="2"/>
              </w:rPr>
            </w:pPr>
          </w:p>
        </w:tc>
      </w:tr>
      <w:tr w:rsidR="00D862F2">
        <w:trPr>
          <w:trHeight w:val="258"/>
        </w:trPr>
        <w:tc>
          <w:tcPr>
            <w:tcW w:w="2388"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before="1"/>
              <w:ind w:left="107"/>
              <w:jc w:val="left"/>
              <w:rPr>
                <w:sz w:val="18"/>
              </w:rPr>
            </w:pPr>
            <w:r>
              <w:rPr>
                <w:sz w:val="18"/>
              </w:rPr>
              <w:t>Ambulatory</w:t>
            </w:r>
            <w:r>
              <w:rPr>
                <w:spacing w:val="-3"/>
                <w:sz w:val="18"/>
              </w:rPr>
              <w:t xml:space="preserve"> </w:t>
            </w:r>
            <w:r>
              <w:rPr>
                <w:sz w:val="18"/>
              </w:rPr>
              <w:t>Surgeries</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before="1"/>
              <w:ind w:left="429"/>
              <w:jc w:val="left"/>
              <w:rPr>
                <w:sz w:val="18"/>
              </w:rPr>
            </w:pPr>
            <w:r>
              <w:rPr>
                <w:sz w:val="18"/>
              </w:rPr>
              <w:t>17,118</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before="1"/>
              <w:ind w:left="394"/>
              <w:jc w:val="left"/>
              <w:rPr>
                <w:sz w:val="18"/>
              </w:rPr>
            </w:pPr>
            <w:r>
              <w:rPr>
                <w:sz w:val="18"/>
              </w:rPr>
              <w:t>17,705</w:t>
            </w:r>
          </w:p>
        </w:tc>
        <w:tc>
          <w:tcPr>
            <w:tcW w:w="1774"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before="1"/>
              <w:ind w:left="322"/>
              <w:jc w:val="left"/>
              <w:rPr>
                <w:sz w:val="18"/>
              </w:rPr>
            </w:pPr>
            <w:r>
              <w:rPr>
                <w:sz w:val="18"/>
              </w:rPr>
              <w:t>18,275</w:t>
            </w:r>
          </w:p>
        </w:tc>
        <w:tc>
          <w:tcPr>
            <w:tcW w:w="987" w:type="dxa"/>
            <w:vMerge/>
            <w:tcBorders>
              <w:top w:val="nil"/>
              <w:left w:val="single" w:sz="4" w:space="0" w:color="000000"/>
            </w:tcBorders>
          </w:tcPr>
          <w:p w:rsidR="00D862F2" w:rsidRDefault="00D862F2">
            <w:pPr>
              <w:rPr>
                <w:sz w:val="2"/>
                <w:szCs w:val="2"/>
              </w:rPr>
            </w:pPr>
          </w:p>
        </w:tc>
      </w:tr>
      <w:tr w:rsidR="00D862F2">
        <w:trPr>
          <w:trHeight w:val="257"/>
        </w:trPr>
        <w:tc>
          <w:tcPr>
            <w:tcW w:w="2388" w:type="dxa"/>
            <w:gridSpan w:val="2"/>
            <w:tcBorders>
              <w:top w:val="single" w:sz="4" w:space="0" w:color="000000"/>
              <w:left w:val="single" w:sz="4" w:space="0" w:color="000000"/>
              <w:right w:val="single" w:sz="4" w:space="0" w:color="000000"/>
            </w:tcBorders>
          </w:tcPr>
          <w:p w:rsidR="00D862F2" w:rsidRDefault="00884FE4">
            <w:pPr>
              <w:pStyle w:val="TableParagraph"/>
              <w:spacing w:before="1"/>
              <w:ind w:left="107"/>
              <w:jc w:val="left"/>
              <w:rPr>
                <w:sz w:val="18"/>
              </w:rPr>
            </w:pPr>
            <w:r>
              <w:rPr>
                <w:sz w:val="18"/>
              </w:rPr>
              <w:t>HSA_1:</w:t>
            </w:r>
            <w:r>
              <w:rPr>
                <w:spacing w:val="-2"/>
                <w:sz w:val="18"/>
              </w:rPr>
              <w:t xml:space="preserve"> </w:t>
            </w:r>
            <w:r>
              <w:rPr>
                <w:sz w:val="18"/>
              </w:rPr>
              <w:t>Western</w:t>
            </w:r>
            <w:r>
              <w:rPr>
                <w:spacing w:val="-3"/>
                <w:sz w:val="18"/>
              </w:rPr>
              <w:t xml:space="preserve"> </w:t>
            </w:r>
            <w:r>
              <w:rPr>
                <w:sz w:val="18"/>
              </w:rPr>
              <w:t>MA</w:t>
            </w:r>
          </w:p>
        </w:tc>
        <w:tc>
          <w:tcPr>
            <w:tcW w:w="982" w:type="dxa"/>
            <w:tcBorders>
              <w:top w:val="single" w:sz="4" w:space="0" w:color="000000"/>
              <w:left w:val="single" w:sz="4" w:space="0" w:color="000000"/>
            </w:tcBorders>
          </w:tcPr>
          <w:p w:rsidR="00D862F2" w:rsidRDefault="00884FE4">
            <w:pPr>
              <w:pStyle w:val="TableParagraph"/>
              <w:spacing w:before="1"/>
              <w:ind w:right="43"/>
              <w:rPr>
                <w:sz w:val="18"/>
              </w:rPr>
            </w:pPr>
            <w:r>
              <w:rPr>
                <w:sz w:val="18"/>
              </w:rPr>
              <w:t>397</w:t>
            </w:r>
          </w:p>
        </w:tc>
        <w:tc>
          <w:tcPr>
            <w:tcW w:w="735" w:type="dxa"/>
            <w:tcBorders>
              <w:top w:val="single" w:sz="4" w:space="0" w:color="000000"/>
              <w:right w:val="single" w:sz="4" w:space="0" w:color="000000"/>
            </w:tcBorders>
          </w:tcPr>
          <w:p w:rsidR="00D862F2" w:rsidRDefault="00884FE4">
            <w:pPr>
              <w:pStyle w:val="TableParagraph"/>
              <w:spacing w:before="1"/>
              <w:ind w:right="95"/>
              <w:rPr>
                <w:sz w:val="18"/>
              </w:rPr>
            </w:pPr>
            <w:r>
              <w:rPr>
                <w:sz w:val="18"/>
              </w:rPr>
              <w:t>2.3%</w:t>
            </w:r>
          </w:p>
        </w:tc>
        <w:tc>
          <w:tcPr>
            <w:tcW w:w="463" w:type="dxa"/>
            <w:tcBorders>
              <w:top w:val="single" w:sz="4" w:space="0" w:color="000000"/>
              <w:left w:val="single" w:sz="4" w:space="0" w:color="000000"/>
            </w:tcBorders>
          </w:tcPr>
          <w:p w:rsidR="00D862F2" w:rsidRDefault="00D862F2">
            <w:pPr>
              <w:pStyle w:val="TableParagraph"/>
              <w:jc w:val="left"/>
              <w:rPr>
                <w:rFonts w:ascii="Times New Roman"/>
                <w:sz w:val="18"/>
              </w:rPr>
            </w:pPr>
          </w:p>
        </w:tc>
        <w:tc>
          <w:tcPr>
            <w:tcW w:w="523" w:type="dxa"/>
            <w:tcBorders>
              <w:top w:val="single" w:sz="4" w:space="0" w:color="000000"/>
            </w:tcBorders>
          </w:tcPr>
          <w:p w:rsidR="00D862F2" w:rsidRDefault="00884FE4">
            <w:pPr>
              <w:pStyle w:val="TableParagraph"/>
              <w:spacing w:before="1"/>
              <w:ind w:right="82"/>
              <w:rPr>
                <w:sz w:val="18"/>
              </w:rPr>
            </w:pPr>
            <w:r>
              <w:rPr>
                <w:sz w:val="18"/>
              </w:rPr>
              <w:t>418</w:t>
            </w:r>
          </w:p>
        </w:tc>
        <w:tc>
          <w:tcPr>
            <w:tcW w:w="762" w:type="dxa"/>
            <w:tcBorders>
              <w:top w:val="single" w:sz="4" w:space="0" w:color="000000"/>
              <w:right w:val="single" w:sz="4" w:space="0" w:color="000000"/>
            </w:tcBorders>
          </w:tcPr>
          <w:p w:rsidR="00D862F2" w:rsidRDefault="00884FE4">
            <w:pPr>
              <w:pStyle w:val="TableParagraph"/>
              <w:spacing w:before="1"/>
              <w:ind w:right="101"/>
              <w:rPr>
                <w:sz w:val="18"/>
              </w:rPr>
            </w:pPr>
            <w:r>
              <w:rPr>
                <w:sz w:val="18"/>
              </w:rPr>
              <w:t>2.4%</w:t>
            </w:r>
          </w:p>
        </w:tc>
        <w:tc>
          <w:tcPr>
            <w:tcW w:w="433" w:type="dxa"/>
            <w:tcBorders>
              <w:top w:val="single" w:sz="4" w:space="0" w:color="000000"/>
              <w:left w:val="single" w:sz="4" w:space="0" w:color="000000"/>
            </w:tcBorders>
          </w:tcPr>
          <w:p w:rsidR="00D862F2" w:rsidRDefault="00D862F2">
            <w:pPr>
              <w:pStyle w:val="TableParagraph"/>
              <w:jc w:val="left"/>
              <w:rPr>
                <w:rFonts w:ascii="Times New Roman"/>
                <w:sz w:val="18"/>
              </w:rPr>
            </w:pPr>
          </w:p>
        </w:tc>
        <w:tc>
          <w:tcPr>
            <w:tcW w:w="553" w:type="dxa"/>
            <w:tcBorders>
              <w:top w:val="single" w:sz="4" w:space="0" w:color="000000"/>
            </w:tcBorders>
          </w:tcPr>
          <w:p w:rsidR="00D862F2" w:rsidRDefault="00884FE4">
            <w:pPr>
              <w:pStyle w:val="TableParagraph"/>
              <w:spacing w:before="1"/>
              <w:ind w:left="-15" w:right="155"/>
              <w:rPr>
                <w:sz w:val="18"/>
              </w:rPr>
            </w:pPr>
            <w:r>
              <w:rPr>
                <w:sz w:val="18"/>
              </w:rPr>
              <w:t>496</w:t>
            </w:r>
          </w:p>
        </w:tc>
        <w:tc>
          <w:tcPr>
            <w:tcW w:w="788" w:type="dxa"/>
            <w:tcBorders>
              <w:top w:val="single" w:sz="4" w:space="0" w:color="000000"/>
              <w:right w:val="single" w:sz="4" w:space="0" w:color="000000"/>
            </w:tcBorders>
          </w:tcPr>
          <w:p w:rsidR="00D862F2" w:rsidRDefault="00884FE4">
            <w:pPr>
              <w:pStyle w:val="TableParagraph"/>
              <w:spacing w:before="1"/>
              <w:ind w:left="325"/>
              <w:jc w:val="left"/>
              <w:rPr>
                <w:sz w:val="18"/>
              </w:rPr>
            </w:pPr>
            <w:r>
              <w:rPr>
                <w:sz w:val="18"/>
              </w:rPr>
              <w:t>2.7%</w:t>
            </w:r>
          </w:p>
        </w:tc>
        <w:tc>
          <w:tcPr>
            <w:tcW w:w="987" w:type="dxa"/>
            <w:vMerge/>
            <w:tcBorders>
              <w:top w:val="nil"/>
              <w:left w:val="single" w:sz="4" w:space="0" w:color="000000"/>
            </w:tcBorders>
          </w:tcPr>
          <w:p w:rsidR="00D862F2" w:rsidRDefault="00D862F2">
            <w:pPr>
              <w:rPr>
                <w:sz w:val="2"/>
                <w:szCs w:val="2"/>
              </w:rPr>
            </w:pPr>
          </w:p>
        </w:tc>
      </w:tr>
      <w:tr w:rsidR="00D862F2">
        <w:trPr>
          <w:trHeight w:val="258"/>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HSA_2:</w:t>
            </w:r>
            <w:r>
              <w:rPr>
                <w:spacing w:val="-2"/>
                <w:sz w:val="18"/>
              </w:rPr>
              <w:t xml:space="preserve"> </w:t>
            </w:r>
            <w:r>
              <w:rPr>
                <w:sz w:val="18"/>
              </w:rPr>
              <w:t>Central</w:t>
            </w:r>
            <w:r>
              <w:rPr>
                <w:spacing w:val="-2"/>
                <w:sz w:val="18"/>
              </w:rPr>
              <w:t xml:space="preserve"> </w:t>
            </w:r>
            <w:r>
              <w:rPr>
                <w:sz w:val="18"/>
              </w:rPr>
              <w:t>MA</w:t>
            </w:r>
          </w:p>
        </w:tc>
        <w:tc>
          <w:tcPr>
            <w:tcW w:w="982" w:type="dxa"/>
            <w:tcBorders>
              <w:left w:val="single" w:sz="4" w:space="0" w:color="000000"/>
            </w:tcBorders>
          </w:tcPr>
          <w:p w:rsidR="00D862F2" w:rsidRDefault="00884FE4">
            <w:pPr>
              <w:pStyle w:val="TableParagraph"/>
              <w:spacing w:before="3"/>
              <w:ind w:right="43"/>
              <w:rPr>
                <w:sz w:val="18"/>
              </w:rPr>
            </w:pPr>
            <w:r>
              <w:rPr>
                <w:sz w:val="18"/>
              </w:rPr>
              <w:t>1,573</w:t>
            </w:r>
          </w:p>
        </w:tc>
        <w:tc>
          <w:tcPr>
            <w:tcW w:w="735" w:type="dxa"/>
            <w:tcBorders>
              <w:right w:val="single" w:sz="4" w:space="0" w:color="000000"/>
            </w:tcBorders>
          </w:tcPr>
          <w:p w:rsidR="00D862F2" w:rsidRDefault="00884FE4">
            <w:pPr>
              <w:pStyle w:val="TableParagraph"/>
              <w:spacing w:before="3"/>
              <w:ind w:right="95"/>
              <w:rPr>
                <w:sz w:val="18"/>
              </w:rPr>
            </w:pPr>
            <w:r>
              <w:rPr>
                <w:sz w:val="18"/>
              </w:rPr>
              <w:t>9.2%</w:t>
            </w:r>
          </w:p>
        </w:tc>
        <w:tc>
          <w:tcPr>
            <w:tcW w:w="463" w:type="dxa"/>
            <w:tcBorders>
              <w:left w:val="single" w:sz="4" w:space="0" w:color="000000"/>
            </w:tcBorders>
          </w:tcPr>
          <w:p w:rsidR="00D862F2" w:rsidRDefault="00D862F2">
            <w:pPr>
              <w:pStyle w:val="TableParagraph"/>
              <w:jc w:val="left"/>
              <w:rPr>
                <w:rFonts w:ascii="Times New Roman"/>
                <w:sz w:val="18"/>
              </w:rPr>
            </w:pPr>
          </w:p>
        </w:tc>
        <w:tc>
          <w:tcPr>
            <w:tcW w:w="523" w:type="dxa"/>
          </w:tcPr>
          <w:p w:rsidR="00D862F2" w:rsidRDefault="00884FE4">
            <w:pPr>
              <w:pStyle w:val="TableParagraph"/>
              <w:spacing w:before="3"/>
              <w:ind w:right="82"/>
              <w:rPr>
                <w:sz w:val="18"/>
              </w:rPr>
            </w:pPr>
            <w:r>
              <w:rPr>
                <w:sz w:val="18"/>
              </w:rPr>
              <w:t>1,662</w:t>
            </w:r>
          </w:p>
        </w:tc>
        <w:tc>
          <w:tcPr>
            <w:tcW w:w="762" w:type="dxa"/>
            <w:tcBorders>
              <w:right w:val="single" w:sz="4" w:space="0" w:color="000000"/>
            </w:tcBorders>
          </w:tcPr>
          <w:p w:rsidR="00D862F2" w:rsidRDefault="00884FE4">
            <w:pPr>
              <w:pStyle w:val="TableParagraph"/>
              <w:spacing w:before="3"/>
              <w:ind w:right="101"/>
              <w:rPr>
                <w:sz w:val="18"/>
              </w:rPr>
            </w:pPr>
            <w:r>
              <w:rPr>
                <w:sz w:val="18"/>
              </w:rPr>
              <w:t>9.4%</w:t>
            </w:r>
          </w:p>
        </w:tc>
        <w:tc>
          <w:tcPr>
            <w:tcW w:w="433" w:type="dxa"/>
            <w:tcBorders>
              <w:left w:val="single" w:sz="4" w:space="0" w:color="000000"/>
            </w:tcBorders>
          </w:tcPr>
          <w:p w:rsidR="00D862F2" w:rsidRDefault="00D862F2">
            <w:pPr>
              <w:pStyle w:val="TableParagraph"/>
              <w:jc w:val="left"/>
              <w:rPr>
                <w:rFonts w:ascii="Times New Roman"/>
                <w:sz w:val="18"/>
              </w:rPr>
            </w:pPr>
          </w:p>
        </w:tc>
        <w:tc>
          <w:tcPr>
            <w:tcW w:w="553" w:type="dxa"/>
          </w:tcPr>
          <w:p w:rsidR="00D862F2" w:rsidRDefault="00884FE4">
            <w:pPr>
              <w:pStyle w:val="TableParagraph"/>
              <w:spacing w:before="3"/>
              <w:ind w:left="-15" w:right="155"/>
              <w:rPr>
                <w:sz w:val="18"/>
              </w:rPr>
            </w:pPr>
            <w:r>
              <w:rPr>
                <w:sz w:val="18"/>
              </w:rPr>
              <w:t>1,686</w:t>
            </w:r>
          </w:p>
        </w:tc>
        <w:tc>
          <w:tcPr>
            <w:tcW w:w="788" w:type="dxa"/>
            <w:tcBorders>
              <w:right w:val="single" w:sz="4" w:space="0" w:color="000000"/>
            </w:tcBorders>
          </w:tcPr>
          <w:p w:rsidR="00D862F2" w:rsidRDefault="00884FE4">
            <w:pPr>
              <w:pStyle w:val="TableParagraph"/>
              <w:spacing w:before="3"/>
              <w:ind w:left="325"/>
              <w:jc w:val="left"/>
              <w:rPr>
                <w:sz w:val="18"/>
              </w:rPr>
            </w:pPr>
            <w:r>
              <w:rPr>
                <w:sz w:val="18"/>
              </w:rPr>
              <w:t>9.2%</w:t>
            </w:r>
          </w:p>
        </w:tc>
        <w:tc>
          <w:tcPr>
            <w:tcW w:w="987" w:type="dxa"/>
            <w:vMerge/>
            <w:tcBorders>
              <w:top w:val="nil"/>
              <w:left w:val="single" w:sz="4" w:space="0" w:color="000000"/>
            </w:tcBorders>
          </w:tcPr>
          <w:p w:rsidR="00D862F2" w:rsidRDefault="00D862F2">
            <w:pPr>
              <w:rPr>
                <w:sz w:val="2"/>
                <w:szCs w:val="2"/>
              </w:rPr>
            </w:pPr>
          </w:p>
        </w:tc>
      </w:tr>
      <w:tr w:rsidR="00D862F2">
        <w:trPr>
          <w:trHeight w:val="257"/>
        </w:trPr>
        <w:tc>
          <w:tcPr>
            <w:tcW w:w="2388" w:type="dxa"/>
            <w:gridSpan w:val="2"/>
            <w:tcBorders>
              <w:left w:val="single" w:sz="4" w:space="0" w:color="000000"/>
              <w:right w:val="single" w:sz="4" w:space="0" w:color="000000"/>
            </w:tcBorders>
          </w:tcPr>
          <w:p w:rsidR="00D862F2" w:rsidRDefault="00884FE4">
            <w:pPr>
              <w:pStyle w:val="TableParagraph"/>
              <w:spacing w:before="2"/>
              <w:ind w:left="107"/>
              <w:jc w:val="left"/>
              <w:rPr>
                <w:sz w:val="18"/>
              </w:rPr>
            </w:pPr>
            <w:r>
              <w:rPr>
                <w:sz w:val="18"/>
              </w:rPr>
              <w:t>HSA_3:</w:t>
            </w:r>
            <w:r>
              <w:rPr>
                <w:spacing w:val="-3"/>
                <w:sz w:val="18"/>
              </w:rPr>
              <w:t xml:space="preserve"> </w:t>
            </w:r>
            <w:r>
              <w:rPr>
                <w:sz w:val="18"/>
              </w:rPr>
              <w:t>Northeast</w:t>
            </w:r>
          </w:p>
        </w:tc>
        <w:tc>
          <w:tcPr>
            <w:tcW w:w="982" w:type="dxa"/>
            <w:tcBorders>
              <w:left w:val="single" w:sz="4" w:space="0" w:color="000000"/>
            </w:tcBorders>
          </w:tcPr>
          <w:p w:rsidR="00D862F2" w:rsidRDefault="00884FE4">
            <w:pPr>
              <w:pStyle w:val="TableParagraph"/>
              <w:spacing w:before="2"/>
              <w:ind w:right="43"/>
              <w:rPr>
                <w:sz w:val="18"/>
              </w:rPr>
            </w:pPr>
            <w:r>
              <w:rPr>
                <w:sz w:val="18"/>
              </w:rPr>
              <w:t>3,362</w:t>
            </w:r>
          </w:p>
        </w:tc>
        <w:tc>
          <w:tcPr>
            <w:tcW w:w="735" w:type="dxa"/>
            <w:tcBorders>
              <w:right w:val="single" w:sz="4" w:space="0" w:color="000000"/>
            </w:tcBorders>
          </w:tcPr>
          <w:p w:rsidR="00D862F2" w:rsidRDefault="00884FE4">
            <w:pPr>
              <w:pStyle w:val="TableParagraph"/>
              <w:spacing w:before="2"/>
              <w:ind w:right="95"/>
              <w:rPr>
                <w:sz w:val="18"/>
              </w:rPr>
            </w:pPr>
            <w:r>
              <w:rPr>
                <w:sz w:val="18"/>
              </w:rPr>
              <w:t>19.6%</w:t>
            </w:r>
          </w:p>
        </w:tc>
        <w:tc>
          <w:tcPr>
            <w:tcW w:w="463" w:type="dxa"/>
            <w:tcBorders>
              <w:left w:val="single" w:sz="4" w:space="0" w:color="000000"/>
            </w:tcBorders>
          </w:tcPr>
          <w:p w:rsidR="00D862F2" w:rsidRDefault="00D862F2">
            <w:pPr>
              <w:pStyle w:val="TableParagraph"/>
              <w:jc w:val="left"/>
              <w:rPr>
                <w:rFonts w:ascii="Times New Roman"/>
                <w:sz w:val="18"/>
              </w:rPr>
            </w:pPr>
          </w:p>
        </w:tc>
        <w:tc>
          <w:tcPr>
            <w:tcW w:w="523" w:type="dxa"/>
          </w:tcPr>
          <w:p w:rsidR="00D862F2" w:rsidRDefault="00884FE4">
            <w:pPr>
              <w:pStyle w:val="TableParagraph"/>
              <w:spacing w:before="2"/>
              <w:ind w:right="82"/>
              <w:rPr>
                <w:sz w:val="18"/>
              </w:rPr>
            </w:pPr>
            <w:r>
              <w:rPr>
                <w:sz w:val="18"/>
              </w:rPr>
              <w:t>3,513</w:t>
            </w:r>
          </w:p>
        </w:tc>
        <w:tc>
          <w:tcPr>
            <w:tcW w:w="762" w:type="dxa"/>
            <w:tcBorders>
              <w:right w:val="single" w:sz="4" w:space="0" w:color="000000"/>
            </w:tcBorders>
          </w:tcPr>
          <w:p w:rsidR="00D862F2" w:rsidRDefault="00884FE4">
            <w:pPr>
              <w:pStyle w:val="TableParagraph"/>
              <w:spacing w:before="2"/>
              <w:ind w:right="102"/>
              <w:rPr>
                <w:sz w:val="18"/>
              </w:rPr>
            </w:pPr>
            <w:r>
              <w:rPr>
                <w:sz w:val="18"/>
              </w:rPr>
              <w:t>19.8%</w:t>
            </w:r>
          </w:p>
        </w:tc>
        <w:tc>
          <w:tcPr>
            <w:tcW w:w="433" w:type="dxa"/>
            <w:tcBorders>
              <w:left w:val="single" w:sz="4" w:space="0" w:color="000000"/>
            </w:tcBorders>
          </w:tcPr>
          <w:p w:rsidR="00D862F2" w:rsidRDefault="00D862F2">
            <w:pPr>
              <w:pStyle w:val="TableParagraph"/>
              <w:jc w:val="left"/>
              <w:rPr>
                <w:rFonts w:ascii="Times New Roman"/>
                <w:sz w:val="18"/>
              </w:rPr>
            </w:pPr>
          </w:p>
        </w:tc>
        <w:tc>
          <w:tcPr>
            <w:tcW w:w="553" w:type="dxa"/>
          </w:tcPr>
          <w:p w:rsidR="00D862F2" w:rsidRDefault="00884FE4">
            <w:pPr>
              <w:pStyle w:val="TableParagraph"/>
              <w:spacing w:before="2"/>
              <w:ind w:left="-15" w:right="155"/>
              <w:rPr>
                <w:sz w:val="18"/>
              </w:rPr>
            </w:pPr>
            <w:r>
              <w:rPr>
                <w:sz w:val="18"/>
              </w:rPr>
              <w:t>3,584</w:t>
            </w:r>
          </w:p>
        </w:tc>
        <w:tc>
          <w:tcPr>
            <w:tcW w:w="788" w:type="dxa"/>
            <w:tcBorders>
              <w:right w:val="single" w:sz="4" w:space="0" w:color="000000"/>
            </w:tcBorders>
          </w:tcPr>
          <w:p w:rsidR="00D862F2" w:rsidRDefault="00884FE4">
            <w:pPr>
              <w:pStyle w:val="TableParagraph"/>
              <w:spacing w:before="2"/>
              <w:ind w:left="233"/>
              <w:jc w:val="left"/>
              <w:rPr>
                <w:sz w:val="18"/>
              </w:rPr>
            </w:pPr>
            <w:r>
              <w:rPr>
                <w:sz w:val="18"/>
              </w:rPr>
              <w:t>19.6%</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HSA_4:</w:t>
            </w:r>
            <w:r>
              <w:rPr>
                <w:spacing w:val="-3"/>
                <w:sz w:val="18"/>
              </w:rPr>
              <w:t xml:space="preserve"> </w:t>
            </w:r>
            <w:r>
              <w:rPr>
                <w:sz w:val="18"/>
              </w:rPr>
              <w:t>Metro</w:t>
            </w:r>
            <w:r>
              <w:rPr>
                <w:spacing w:val="-2"/>
                <w:sz w:val="18"/>
              </w:rPr>
              <w:t xml:space="preserve"> </w:t>
            </w:r>
            <w:r>
              <w:rPr>
                <w:sz w:val="18"/>
              </w:rPr>
              <w:t>West</w:t>
            </w:r>
          </w:p>
        </w:tc>
        <w:tc>
          <w:tcPr>
            <w:tcW w:w="982" w:type="dxa"/>
            <w:tcBorders>
              <w:left w:val="single" w:sz="4" w:space="0" w:color="000000"/>
            </w:tcBorders>
          </w:tcPr>
          <w:p w:rsidR="00D862F2" w:rsidRDefault="00884FE4">
            <w:pPr>
              <w:pStyle w:val="TableParagraph"/>
              <w:spacing w:before="3"/>
              <w:ind w:right="43"/>
              <w:rPr>
                <w:sz w:val="18"/>
              </w:rPr>
            </w:pPr>
            <w:r>
              <w:rPr>
                <w:sz w:val="18"/>
              </w:rPr>
              <w:t>5,670</w:t>
            </w:r>
          </w:p>
        </w:tc>
        <w:tc>
          <w:tcPr>
            <w:tcW w:w="735" w:type="dxa"/>
            <w:tcBorders>
              <w:right w:val="single" w:sz="4" w:space="0" w:color="000000"/>
            </w:tcBorders>
          </w:tcPr>
          <w:p w:rsidR="00D862F2" w:rsidRDefault="00884FE4">
            <w:pPr>
              <w:pStyle w:val="TableParagraph"/>
              <w:spacing w:before="3"/>
              <w:ind w:right="95"/>
              <w:rPr>
                <w:sz w:val="18"/>
              </w:rPr>
            </w:pPr>
            <w:r>
              <w:rPr>
                <w:sz w:val="18"/>
              </w:rPr>
              <w:t>33.1%</w:t>
            </w:r>
          </w:p>
        </w:tc>
        <w:tc>
          <w:tcPr>
            <w:tcW w:w="463" w:type="dxa"/>
            <w:tcBorders>
              <w:left w:val="single" w:sz="4" w:space="0" w:color="000000"/>
            </w:tcBorders>
          </w:tcPr>
          <w:p w:rsidR="00D862F2" w:rsidRDefault="00D862F2">
            <w:pPr>
              <w:pStyle w:val="TableParagraph"/>
              <w:jc w:val="left"/>
              <w:rPr>
                <w:rFonts w:ascii="Times New Roman"/>
                <w:sz w:val="18"/>
              </w:rPr>
            </w:pPr>
          </w:p>
        </w:tc>
        <w:tc>
          <w:tcPr>
            <w:tcW w:w="523" w:type="dxa"/>
          </w:tcPr>
          <w:p w:rsidR="00D862F2" w:rsidRDefault="00884FE4">
            <w:pPr>
              <w:pStyle w:val="TableParagraph"/>
              <w:spacing w:before="3"/>
              <w:ind w:right="82"/>
              <w:rPr>
                <w:sz w:val="18"/>
              </w:rPr>
            </w:pPr>
            <w:r>
              <w:rPr>
                <w:sz w:val="18"/>
              </w:rPr>
              <w:t>5,815</w:t>
            </w:r>
          </w:p>
        </w:tc>
        <w:tc>
          <w:tcPr>
            <w:tcW w:w="762" w:type="dxa"/>
            <w:tcBorders>
              <w:right w:val="single" w:sz="4" w:space="0" w:color="000000"/>
            </w:tcBorders>
          </w:tcPr>
          <w:p w:rsidR="00D862F2" w:rsidRDefault="00884FE4">
            <w:pPr>
              <w:pStyle w:val="TableParagraph"/>
              <w:spacing w:before="3"/>
              <w:ind w:right="102"/>
              <w:rPr>
                <w:sz w:val="18"/>
              </w:rPr>
            </w:pPr>
            <w:r>
              <w:rPr>
                <w:sz w:val="18"/>
              </w:rPr>
              <w:t>32.8%</w:t>
            </w:r>
          </w:p>
        </w:tc>
        <w:tc>
          <w:tcPr>
            <w:tcW w:w="433" w:type="dxa"/>
            <w:tcBorders>
              <w:left w:val="single" w:sz="4" w:space="0" w:color="000000"/>
            </w:tcBorders>
          </w:tcPr>
          <w:p w:rsidR="00D862F2" w:rsidRDefault="00D862F2">
            <w:pPr>
              <w:pStyle w:val="TableParagraph"/>
              <w:jc w:val="left"/>
              <w:rPr>
                <w:rFonts w:ascii="Times New Roman"/>
                <w:sz w:val="18"/>
              </w:rPr>
            </w:pPr>
          </w:p>
        </w:tc>
        <w:tc>
          <w:tcPr>
            <w:tcW w:w="553" w:type="dxa"/>
          </w:tcPr>
          <w:p w:rsidR="00D862F2" w:rsidRDefault="00884FE4">
            <w:pPr>
              <w:pStyle w:val="TableParagraph"/>
              <w:spacing w:before="3"/>
              <w:ind w:left="-15" w:right="155"/>
              <w:rPr>
                <w:sz w:val="18"/>
              </w:rPr>
            </w:pPr>
            <w:r>
              <w:rPr>
                <w:sz w:val="18"/>
              </w:rPr>
              <w:t>5,924</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32.4%</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HSA_5:</w:t>
            </w:r>
            <w:r>
              <w:rPr>
                <w:spacing w:val="-3"/>
                <w:sz w:val="18"/>
              </w:rPr>
              <w:t xml:space="preserve"> </w:t>
            </w:r>
            <w:r>
              <w:rPr>
                <w:sz w:val="18"/>
              </w:rPr>
              <w:t>Southeast</w:t>
            </w:r>
          </w:p>
        </w:tc>
        <w:tc>
          <w:tcPr>
            <w:tcW w:w="982" w:type="dxa"/>
            <w:tcBorders>
              <w:left w:val="single" w:sz="4" w:space="0" w:color="000000"/>
            </w:tcBorders>
          </w:tcPr>
          <w:p w:rsidR="00D862F2" w:rsidRDefault="00884FE4">
            <w:pPr>
              <w:pStyle w:val="TableParagraph"/>
              <w:spacing w:before="3"/>
              <w:ind w:right="43"/>
              <w:rPr>
                <w:sz w:val="18"/>
              </w:rPr>
            </w:pPr>
            <w:r>
              <w:rPr>
                <w:sz w:val="18"/>
              </w:rPr>
              <w:t>2,926</w:t>
            </w:r>
          </w:p>
        </w:tc>
        <w:tc>
          <w:tcPr>
            <w:tcW w:w="735" w:type="dxa"/>
            <w:tcBorders>
              <w:right w:val="single" w:sz="4" w:space="0" w:color="000000"/>
            </w:tcBorders>
          </w:tcPr>
          <w:p w:rsidR="00D862F2" w:rsidRDefault="00884FE4">
            <w:pPr>
              <w:pStyle w:val="TableParagraph"/>
              <w:spacing w:before="3"/>
              <w:ind w:right="95"/>
              <w:rPr>
                <w:sz w:val="18"/>
              </w:rPr>
            </w:pPr>
            <w:r>
              <w:rPr>
                <w:sz w:val="18"/>
              </w:rPr>
              <w:t>17.1%</w:t>
            </w:r>
          </w:p>
        </w:tc>
        <w:tc>
          <w:tcPr>
            <w:tcW w:w="463" w:type="dxa"/>
            <w:tcBorders>
              <w:left w:val="single" w:sz="4" w:space="0" w:color="000000"/>
            </w:tcBorders>
          </w:tcPr>
          <w:p w:rsidR="00D862F2" w:rsidRDefault="00D862F2">
            <w:pPr>
              <w:pStyle w:val="TableParagraph"/>
              <w:jc w:val="left"/>
              <w:rPr>
                <w:rFonts w:ascii="Times New Roman"/>
                <w:sz w:val="18"/>
              </w:rPr>
            </w:pPr>
          </w:p>
        </w:tc>
        <w:tc>
          <w:tcPr>
            <w:tcW w:w="523" w:type="dxa"/>
          </w:tcPr>
          <w:p w:rsidR="00D862F2" w:rsidRDefault="00884FE4">
            <w:pPr>
              <w:pStyle w:val="TableParagraph"/>
              <w:spacing w:before="3"/>
              <w:ind w:right="82"/>
              <w:rPr>
                <w:sz w:val="18"/>
              </w:rPr>
            </w:pPr>
            <w:r>
              <w:rPr>
                <w:sz w:val="18"/>
              </w:rPr>
              <w:t>2,937</w:t>
            </w:r>
          </w:p>
        </w:tc>
        <w:tc>
          <w:tcPr>
            <w:tcW w:w="762" w:type="dxa"/>
            <w:tcBorders>
              <w:right w:val="single" w:sz="4" w:space="0" w:color="000000"/>
            </w:tcBorders>
          </w:tcPr>
          <w:p w:rsidR="00D862F2" w:rsidRDefault="00884FE4">
            <w:pPr>
              <w:pStyle w:val="TableParagraph"/>
              <w:spacing w:before="3"/>
              <w:ind w:right="102"/>
              <w:rPr>
                <w:sz w:val="18"/>
              </w:rPr>
            </w:pPr>
            <w:r>
              <w:rPr>
                <w:sz w:val="18"/>
              </w:rPr>
              <w:t>16.6%</w:t>
            </w:r>
          </w:p>
        </w:tc>
        <w:tc>
          <w:tcPr>
            <w:tcW w:w="433" w:type="dxa"/>
            <w:tcBorders>
              <w:left w:val="single" w:sz="4" w:space="0" w:color="000000"/>
            </w:tcBorders>
          </w:tcPr>
          <w:p w:rsidR="00D862F2" w:rsidRDefault="00D862F2">
            <w:pPr>
              <w:pStyle w:val="TableParagraph"/>
              <w:jc w:val="left"/>
              <w:rPr>
                <w:rFonts w:ascii="Times New Roman"/>
                <w:sz w:val="18"/>
              </w:rPr>
            </w:pPr>
          </w:p>
        </w:tc>
        <w:tc>
          <w:tcPr>
            <w:tcW w:w="553" w:type="dxa"/>
          </w:tcPr>
          <w:p w:rsidR="00D862F2" w:rsidRDefault="00884FE4">
            <w:pPr>
              <w:pStyle w:val="TableParagraph"/>
              <w:spacing w:before="3"/>
              <w:ind w:left="-15" w:right="155"/>
              <w:rPr>
                <w:sz w:val="18"/>
              </w:rPr>
            </w:pPr>
            <w:r>
              <w:rPr>
                <w:sz w:val="18"/>
              </w:rPr>
              <w:t>3,248</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17.8%</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HSA_6:</w:t>
            </w:r>
            <w:r>
              <w:rPr>
                <w:spacing w:val="-3"/>
                <w:sz w:val="18"/>
              </w:rPr>
              <w:t xml:space="preserve"> </w:t>
            </w:r>
            <w:r>
              <w:rPr>
                <w:sz w:val="18"/>
              </w:rPr>
              <w:t>Boston</w:t>
            </w:r>
          </w:p>
        </w:tc>
        <w:tc>
          <w:tcPr>
            <w:tcW w:w="982" w:type="dxa"/>
            <w:tcBorders>
              <w:left w:val="single" w:sz="4" w:space="0" w:color="000000"/>
            </w:tcBorders>
          </w:tcPr>
          <w:p w:rsidR="00D862F2" w:rsidRDefault="00884FE4">
            <w:pPr>
              <w:pStyle w:val="TableParagraph"/>
              <w:spacing w:before="3"/>
              <w:ind w:right="43"/>
              <w:rPr>
                <w:sz w:val="18"/>
              </w:rPr>
            </w:pPr>
            <w:r>
              <w:rPr>
                <w:sz w:val="18"/>
              </w:rPr>
              <w:t>2,055</w:t>
            </w:r>
          </w:p>
        </w:tc>
        <w:tc>
          <w:tcPr>
            <w:tcW w:w="735" w:type="dxa"/>
            <w:tcBorders>
              <w:right w:val="single" w:sz="4" w:space="0" w:color="000000"/>
            </w:tcBorders>
          </w:tcPr>
          <w:p w:rsidR="00D862F2" w:rsidRDefault="00884FE4">
            <w:pPr>
              <w:pStyle w:val="TableParagraph"/>
              <w:spacing w:before="3"/>
              <w:ind w:right="95"/>
              <w:rPr>
                <w:sz w:val="18"/>
              </w:rPr>
            </w:pPr>
            <w:r>
              <w:rPr>
                <w:sz w:val="18"/>
              </w:rPr>
              <w:t>12.0%</w:t>
            </w:r>
          </w:p>
        </w:tc>
        <w:tc>
          <w:tcPr>
            <w:tcW w:w="463" w:type="dxa"/>
            <w:tcBorders>
              <w:left w:val="single" w:sz="4" w:space="0" w:color="000000"/>
            </w:tcBorders>
          </w:tcPr>
          <w:p w:rsidR="00D862F2" w:rsidRDefault="00D862F2">
            <w:pPr>
              <w:pStyle w:val="TableParagraph"/>
              <w:jc w:val="left"/>
              <w:rPr>
                <w:rFonts w:ascii="Times New Roman"/>
                <w:sz w:val="18"/>
              </w:rPr>
            </w:pPr>
          </w:p>
        </w:tc>
        <w:tc>
          <w:tcPr>
            <w:tcW w:w="523" w:type="dxa"/>
          </w:tcPr>
          <w:p w:rsidR="00D862F2" w:rsidRDefault="00884FE4">
            <w:pPr>
              <w:pStyle w:val="TableParagraph"/>
              <w:spacing w:before="3"/>
              <w:ind w:right="82"/>
              <w:rPr>
                <w:sz w:val="18"/>
              </w:rPr>
            </w:pPr>
            <w:r>
              <w:rPr>
                <w:sz w:val="18"/>
              </w:rPr>
              <w:t>2,191</w:t>
            </w:r>
          </w:p>
        </w:tc>
        <w:tc>
          <w:tcPr>
            <w:tcW w:w="762" w:type="dxa"/>
            <w:tcBorders>
              <w:right w:val="single" w:sz="4" w:space="0" w:color="000000"/>
            </w:tcBorders>
          </w:tcPr>
          <w:p w:rsidR="00D862F2" w:rsidRDefault="00884FE4">
            <w:pPr>
              <w:pStyle w:val="TableParagraph"/>
              <w:spacing w:before="3"/>
              <w:ind w:right="102"/>
              <w:rPr>
                <w:sz w:val="18"/>
              </w:rPr>
            </w:pPr>
            <w:r>
              <w:rPr>
                <w:sz w:val="18"/>
              </w:rPr>
              <w:t>12.4%</w:t>
            </w:r>
          </w:p>
        </w:tc>
        <w:tc>
          <w:tcPr>
            <w:tcW w:w="433" w:type="dxa"/>
            <w:tcBorders>
              <w:left w:val="single" w:sz="4" w:space="0" w:color="000000"/>
            </w:tcBorders>
          </w:tcPr>
          <w:p w:rsidR="00D862F2" w:rsidRDefault="00D862F2">
            <w:pPr>
              <w:pStyle w:val="TableParagraph"/>
              <w:jc w:val="left"/>
              <w:rPr>
                <w:rFonts w:ascii="Times New Roman"/>
                <w:sz w:val="18"/>
              </w:rPr>
            </w:pPr>
          </w:p>
        </w:tc>
        <w:tc>
          <w:tcPr>
            <w:tcW w:w="553" w:type="dxa"/>
          </w:tcPr>
          <w:p w:rsidR="00D862F2" w:rsidRDefault="00884FE4">
            <w:pPr>
              <w:pStyle w:val="TableParagraph"/>
              <w:spacing w:before="3"/>
              <w:ind w:left="-15" w:right="155"/>
              <w:rPr>
                <w:sz w:val="18"/>
              </w:rPr>
            </w:pPr>
            <w:r>
              <w:rPr>
                <w:sz w:val="18"/>
              </w:rPr>
              <w:t>2,144</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11.7%</w:t>
            </w:r>
          </w:p>
        </w:tc>
        <w:tc>
          <w:tcPr>
            <w:tcW w:w="987" w:type="dxa"/>
            <w:vMerge/>
            <w:tcBorders>
              <w:top w:val="nil"/>
              <w:left w:val="single" w:sz="4" w:space="0" w:color="000000"/>
            </w:tcBorders>
          </w:tcPr>
          <w:p w:rsidR="00D862F2" w:rsidRDefault="00D862F2">
            <w:pPr>
              <w:rPr>
                <w:sz w:val="2"/>
                <w:szCs w:val="2"/>
              </w:rPr>
            </w:pPr>
          </w:p>
        </w:tc>
      </w:tr>
      <w:tr w:rsidR="00D862F2">
        <w:trPr>
          <w:trHeight w:val="263"/>
        </w:trPr>
        <w:tc>
          <w:tcPr>
            <w:tcW w:w="984" w:type="dxa"/>
            <w:tcBorders>
              <w:left w:val="single" w:sz="4" w:space="0" w:color="000000"/>
              <w:bottom w:val="single" w:sz="4" w:space="0" w:color="000000"/>
            </w:tcBorders>
          </w:tcPr>
          <w:p w:rsidR="00D862F2" w:rsidRDefault="00884FE4">
            <w:pPr>
              <w:pStyle w:val="TableParagraph"/>
              <w:spacing w:before="3"/>
              <w:ind w:left="107"/>
              <w:jc w:val="left"/>
              <w:rPr>
                <w:sz w:val="18"/>
              </w:rPr>
            </w:pPr>
            <w:r>
              <w:rPr>
                <w:sz w:val="18"/>
              </w:rPr>
              <w:t>Unknown</w:t>
            </w:r>
          </w:p>
        </w:tc>
        <w:tc>
          <w:tcPr>
            <w:tcW w:w="1404" w:type="dxa"/>
            <w:tcBorders>
              <w:bottom w:val="single" w:sz="4" w:space="0" w:color="000000"/>
              <w:right w:val="single" w:sz="4" w:space="0" w:color="000000"/>
            </w:tcBorders>
          </w:tcPr>
          <w:p w:rsidR="00D862F2" w:rsidRDefault="00D862F2">
            <w:pPr>
              <w:pStyle w:val="TableParagraph"/>
              <w:jc w:val="left"/>
              <w:rPr>
                <w:rFonts w:ascii="Times New Roman"/>
                <w:sz w:val="18"/>
              </w:rPr>
            </w:pPr>
          </w:p>
        </w:tc>
        <w:tc>
          <w:tcPr>
            <w:tcW w:w="982" w:type="dxa"/>
            <w:tcBorders>
              <w:left w:val="single" w:sz="4" w:space="0" w:color="000000"/>
              <w:bottom w:val="single" w:sz="4" w:space="0" w:color="000000"/>
            </w:tcBorders>
          </w:tcPr>
          <w:p w:rsidR="00D862F2" w:rsidRDefault="00884FE4">
            <w:pPr>
              <w:pStyle w:val="TableParagraph"/>
              <w:spacing w:before="3"/>
              <w:ind w:right="43"/>
              <w:rPr>
                <w:sz w:val="18"/>
              </w:rPr>
            </w:pPr>
            <w:r>
              <w:rPr>
                <w:sz w:val="18"/>
              </w:rPr>
              <w:t>1,135</w:t>
            </w:r>
          </w:p>
        </w:tc>
        <w:tc>
          <w:tcPr>
            <w:tcW w:w="735" w:type="dxa"/>
            <w:tcBorders>
              <w:bottom w:val="single" w:sz="4" w:space="0" w:color="000000"/>
              <w:right w:val="single" w:sz="4" w:space="0" w:color="000000"/>
            </w:tcBorders>
          </w:tcPr>
          <w:p w:rsidR="00D862F2" w:rsidRDefault="00884FE4">
            <w:pPr>
              <w:pStyle w:val="TableParagraph"/>
              <w:spacing w:before="3"/>
              <w:ind w:right="95"/>
              <w:rPr>
                <w:sz w:val="18"/>
              </w:rPr>
            </w:pPr>
            <w:r>
              <w:rPr>
                <w:sz w:val="18"/>
              </w:rPr>
              <w:t>6.6%</w:t>
            </w:r>
          </w:p>
        </w:tc>
        <w:tc>
          <w:tcPr>
            <w:tcW w:w="463" w:type="dxa"/>
            <w:tcBorders>
              <w:left w:val="single" w:sz="4" w:space="0" w:color="000000"/>
              <w:bottom w:val="single" w:sz="4" w:space="0" w:color="000000"/>
            </w:tcBorders>
          </w:tcPr>
          <w:p w:rsidR="00D862F2" w:rsidRDefault="00D862F2">
            <w:pPr>
              <w:pStyle w:val="TableParagraph"/>
              <w:jc w:val="left"/>
              <w:rPr>
                <w:rFonts w:ascii="Times New Roman"/>
                <w:sz w:val="18"/>
              </w:rPr>
            </w:pPr>
          </w:p>
        </w:tc>
        <w:tc>
          <w:tcPr>
            <w:tcW w:w="523" w:type="dxa"/>
            <w:tcBorders>
              <w:bottom w:val="single" w:sz="4" w:space="0" w:color="000000"/>
            </w:tcBorders>
          </w:tcPr>
          <w:p w:rsidR="00D862F2" w:rsidRDefault="00884FE4">
            <w:pPr>
              <w:pStyle w:val="TableParagraph"/>
              <w:spacing w:before="3"/>
              <w:ind w:right="82"/>
              <w:rPr>
                <w:sz w:val="18"/>
              </w:rPr>
            </w:pPr>
            <w:r>
              <w:rPr>
                <w:sz w:val="18"/>
              </w:rPr>
              <w:t>1,169</w:t>
            </w:r>
          </w:p>
        </w:tc>
        <w:tc>
          <w:tcPr>
            <w:tcW w:w="762" w:type="dxa"/>
            <w:tcBorders>
              <w:bottom w:val="single" w:sz="4" w:space="0" w:color="000000"/>
              <w:right w:val="single" w:sz="4" w:space="0" w:color="000000"/>
            </w:tcBorders>
          </w:tcPr>
          <w:p w:rsidR="00D862F2" w:rsidRDefault="00884FE4">
            <w:pPr>
              <w:pStyle w:val="TableParagraph"/>
              <w:spacing w:before="3"/>
              <w:ind w:right="101"/>
              <w:rPr>
                <w:sz w:val="18"/>
              </w:rPr>
            </w:pPr>
            <w:r>
              <w:rPr>
                <w:sz w:val="18"/>
              </w:rPr>
              <w:t>6.6%</w:t>
            </w:r>
          </w:p>
        </w:tc>
        <w:tc>
          <w:tcPr>
            <w:tcW w:w="433" w:type="dxa"/>
            <w:tcBorders>
              <w:left w:val="single" w:sz="4" w:space="0" w:color="000000"/>
              <w:bottom w:val="single" w:sz="4" w:space="0" w:color="000000"/>
            </w:tcBorders>
          </w:tcPr>
          <w:p w:rsidR="00D862F2" w:rsidRDefault="00D862F2">
            <w:pPr>
              <w:pStyle w:val="TableParagraph"/>
              <w:jc w:val="left"/>
              <w:rPr>
                <w:rFonts w:ascii="Times New Roman"/>
                <w:sz w:val="18"/>
              </w:rPr>
            </w:pPr>
          </w:p>
        </w:tc>
        <w:tc>
          <w:tcPr>
            <w:tcW w:w="553" w:type="dxa"/>
            <w:tcBorders>
              <w:bottom w:val="single" w:sz="4" w:space="0" w:color="000000"/>
            </w:tcBorders>
          </w:tcPr>
          <w:p w:rsidR="00D862F2" w:rsidRDefault="00884FE4">
            <w:pPr>
              <w:pStyle w:val="TableParagraph"/>
              <w:spacing w:before="3"/>
              <w:ind w:left="-15" w:right="155"/>
              <w:rPr>
                <w:sz w:val="18"/>
              </w:rPr>
            </w:pPr>
            <w:r>
              <w:rPr>
                <w:sz w:val="18"/>
              </w:rPr>
              <w:t>1,193</w:t>
            </w:r>
          </w:p>
        </w:tc>
        <w:tc>
          <w:tcPr>
            <w:tcW w:w="788" w:type="dxa"/>
            <w:tcBorders>
              <w:bottom w:val="single" w:sz="4" w:space="0" w:color="000000"/>
              <w:right w:val="single" w:sz="4" w:space="0" w:color="000000"/>
            </w:tcBorders>
          </w:tcPr>
          <w:p w:rsidR="00D862F2" w:rsidRDefault="00884FE4">
            <w:pPr>
              <w:pStyle w:val="TableParagraph"/>
              <w:spacing w:before="3"/>
              <w:ind w:left="325"/>
              <w:jc w:val="left"/>
              <w:rPr>
                <w:sz w:val="18"/>
              </w:rPr>
            </w:pPr>
            <w:r>
              <w:rPr>
                <w:sz w:val="18"/>
              </w:rPr>
              <w:t>6.5%</w:t>
            </w:r>
          </w:p>
        </w:tc>
        <w:tc>
          <w:tcPr>
            <w:tcW w:w="987" w:type="dxa"/>
            <w:vMerge/>
            <w:tcBorders>
              <w:top w:val="nil"/>
              <w:left w:val="single" w:sz="4" w:space="0" w:color="000000"/>
            </w:tcBorders>
          </w:tcPr>
          <w:p w:rsidR="00D862F2" w:rsidRDefault="00D862F2">
            <w:pPr>
              <w:rPr>
                <w:sz w:val="2"/>
                <w:szCs w:val="2"/>
              </w:rPr>
            </w:pPr>
          </w:p>
        </w:tc>
      </w:tr>
      <w:tr w:rsidR="00D862F2">
        <w:trPr>
          <w:trHeight w:val="258"/>
        </w:trPr>
        <w:tc>
          <w:tcPr>
            <w:tcW w:w="2388"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107"/>
              <w:jc w:val="left"/>
              <w:rPr>
                <w:sz w:val="18"/>
              </w:rPr>
            </w:pPr>
            <w:r>
              <w:rPr>
                <w:sz w:val="18"/>
              </w:rPr>
              <w:t>MRI</w:t>
            </w:r>
            <w:r>
              <w:rPr>
                <w:spacing w:val="-3"/>
                <w:sz w:val="18"/>
              </w:rPr>
              <w:t xml:space="preserve"> </w:t>
            </w:r>
            <w:r>
              <w:rPr>
                <w:sz w:val="18"/>
              </w:rPr>
              <w:t>Encounters</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429"/>
              <w:jc w:val="left"/>
              <w:rPr>
                <w:sz w:val="18"/>
              </w:rPr>
            </w:pPr>
            <w:r>
              <w:rPr>
                <w:sz w:val="18"/>
              </w:rPr>
              <w:t>14,789</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394"/>
              <w:jc w:val="left"/>
              <w:rPr>
                <w:sz w:val="18"/>
              </w:rPr>
            </w:pPr>
            <w:r>
              <w:rPr>
                <w:sz w:val="18"/>
              </w:rPr>
              <w:t>14,845</w:t>
            </w:r>
          </w:p>
        </w:tc>
        <w:tc>
          <w:tcPr>
            <w:tcW w:w="1774"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line="219" w:lineRule="exact"/>
              <w:ind w:left="322"/>
              <w:jc w:val="left"/>
              <w:rPr>
                <w:sz w:val="18"/>
              </w:rPr>
            </w:pPr>
            <w:r>
              <w:rPr>
                <w:sz w:val="18"/>
              </w:rPr>
              <w:t>15,239</w:t>
            </w:r>
          </w:p>
        </w:tc>
        <w:tc>
          <w:tcPr>
            <w:tcW w:w="987" w:type="dxa"/>
            <w:vMerge/>
            <w:tcBorders>
              <w:top w:val="nil"/>
              <w:left w:val="single" w:sz="4" w:space="0" w:color="000000"/>
            </w:tcBorders>
          </w:tcPr>
          <w:p w:rsidR="00D862F2" w:rsidRDefault="00D862F2">
            <w:pPr>
              <w:rPr>
                <w:sz w:val="2"/>
                <w:szCs w:val="2"/>
              </w:rPr>
            </w:pPr>
          </w:p>
        </w:tc>
      </w:tr>
      <w:tr w:rsidR="00D862F2">
        <w:trPr>
          <w:trHeight w:val="254"/>
        </w:trPr>
        <w:tc>
          <w:tcPr>
            <w:tcW w:w="2388" w:type="dxa"/>
            <w:gridSpan w:val="2"/>
            <w:tcBorders>
              <w:top w:val="single" w:sz="4" w:space="0" w:color="000000"/>
              <w:left w:val="single" w:sz="4" w:space="0" w:color="000000"/>
              <w:right w:val="single" w:sz="4" w:space="0" w:color="000000"/>
            </w:tcBorders>
          </w:tcPr>
          <w:p w:rsidR="00D862F2" w:rsidRDefault="00884FE4">
            <w:pPr>
              <w:pStyle w:val="TableParagraph"/>
              <w:spacing w:line="219" w:lineRule="exact"/>
              <w:ind w:left="107"/>
              <w:jc w:val="left"/>
              <w:rPr>
                <w:sz w:val="18"/>
              </w:rPr>
            </w:pPr>
            <w:r>
              <w:rPr>
                <w:sz w:val="18"/>
              </w:rPr>
              <w:t>HSA_1:</w:t>
            </w:r>
            <w:r>
              <w:rPr>
                <w:spacing w:val="-2"/>
                <w:sz w:val="18"/>
              </w:rPr>
              <w:t xml:space="preserve"> </w:t>
            </w:r>
            <w:r>
              <w:rPr>
                <w:sz w:val="18"/>
              </w:rPr>
              <w:t>Western</w:t>
            </w:r>
            <w:r>
              <w:rPr>
                <w:spacing w:val="-3"/>
                <w:sz w:val="18"/>
              </w:rPr>
              <w:t xml:space="preserve"> </w:t>
            </w:r>
            <w:r>
              <w:rPr>
                <w:sz w:val="18"/>
              </w:rPr>
              <w:t>MA</w:t>
            </w:r>
          </w:p>
        </w:tc>
        <w:tc>
          <w:tcPr>
            <w:tcW w:w="982" w:type="dxa"/>
            <w:tcBorders>
              <w:top w:val="single" w:sz="4" w:space="0" w:color="000000"/>
              <w:left w:val="single" w:sz="4" w:space="0" w:color="000000"/>
            </w:tcBorders>
          </w:tcPr>
          <w:p w:rsidR="00D862F2" w:rsidRDefault="00884FE4">
            <w:pPr>
              <w:pStyle w:val="TableParagraph"/>
              <w:spacing w:line="219" w:lineRule="exact"/>
              <w:ind w:right="43"/>
              <w:rPr>
                <w:sz w:val="18"/>
              </w:rPr>
            </w:pPr>
            <w:r>
              <w:rPr>
                <w:sz w:val="18"/>
              </w:rPr>
              <w:t>443</w:t>
            </w:r>
          </w:p>
        </w:tc>
        <w:tc>
          <w:tcPr>
            <w:tcW w:w="735" w:type="dxa"/>
            <w:tcBorders>
              <w:top w:val="single" w:sz="4" w:space="0" w:color="000000"/>
              <w:right w:val="single" w:sz="4" w:space="0" w:color="000000"/>
            </w:tcBorders>
          </w:tcPr>
          <w:p w:rsidR="00D862F2" w:rsidRDefault="00884FE4">
            <w:pPr>
              <w:pStyle w:val="TableParagraph"/>
              <w:spacing w:line="219" w:lineRule="exact"/>
              <w:ind w:right="95"/>
              <w:rPr>
                <w:sz w:val="18"/>
              </w:rPr>
            </w:pPr>
            <w:r>
              <w:rPr>
                <w:sz w:val="18"/>
              </w:rPr>
              <w:t>3.0%</w:t>
            </w:r>
          </w:p>
        </w:tc>
        <w:tc>
          <w:tcPr>
            <w:tcW w:w="463" w:type="dxa"/>
            <w:tcBorders>
              <w:top w:val="single" w:sz="4" w:space="0" w:color="000000"/>
              <w:left w:val="single" w:sz="4" w:space="0" w:color="000000"/>
            </w:tcBorders>
          </w:tcPr>
          <w:p w:rsidR="00D862F2" w:rsidRDefault="00D862F2">
            <w:pPr>
              <w:pStyle w:val="TableParagraph"/>
              <w:jc w:val="left"/>
              <w:rPr>
                <w:rFonts w:ascii="Times New Roman"/>
                <w:sz w:val="18"/>
              </w:rPr>
            </w:pPr>
          </w:p>
        </w:tc>
        <w:tc>
          <w:tcPr>
            <w:tcW w:w="523" w:type="dxa"/>
            <w:tcBorders>
              <w:top w:val="single" w:sz="4" w:space="0" w:color="000000"/>
            </w:tcBorders>
          </w:tcPr>
          <w:p w:rsidR="00D862F2" w:rsidRDefault="00884FE4">
            <w:pPr>
              <w:pStyle w:val="TableParagraph"/>
              <w:spacing w:line="219" w:lineRule="exact"/>
              <w:ind w:right="82"/>
              <w:rPr>
                <w:sz w:val="18"/>
              </w:rPr>
            </w:pPr>
            <w:r>
              <w:rPr>
                <w:sz w:val="18"/>
              </w:rPr>
              <w:t>482</w:t>
            </w:r>
          </w:p>
        </w:tc>
        <w:tc>
          <w:tcPr>
            <w:tcW w:w="762" w:type="dxa"/>
            <w:tcBorders>
              <w:top w:val="single" w:sz="4" w:space="0" w:color="000000"/>
              <w:right w:val="single" w:sz="4" w:space="0" w:color="000000"/>
            </w:tcBorders>
          </w:tcPr>
          <w:p w:rsidR="00D862F2" w:rsidRDefault="00884FE4">
            <w:pPr>
              <w:pStyle w:val="TableParagraph"/>
              <w:spacing w:line="219" w:lineRule="exact"/>
              <w:ind w:right="101"/>
              <w:rPr>
                <w:sz w:val="18"/>
              </w:rPr>
            </w:pPr>
            <w:r>
              <w:rPr>
                <w:sz w:val="18"/>
              </w:rPr>
              <w:t>3.2%</w:t>
            </w:r>
          </w:p>
        </w:tc>
        <w:tc>
          <w:tcPr>
            <w:tcW w:w="433" w:type="dxa"/>
            <w:tcBorders>
              <w:top w:val="single" w:sz="4" w:space="0" w:color="000000"/>
              <w:left w:val="single" w:sz="4" w:space="0" w:color="000000"/>
            </w:tcBorders>
          </w:tcPr>
          <w:p w:rsidR="00D862F2" w:rsidRDefault="00D862F2">
            <w:pPr>
              <w:pStyle w:val="TableParagraph"/>
              <w:jc w:val="left"/>
              <w:rPr>
                <w:rFonts w:ascii="Times New Roman"/>
                <w:sz w:val="18"/>
              </w:rPr>
            </w:pPr>
          </w:p>
        </w:tc>
        <w:tc>
          <w:tcPr>
            <w:tcW w:w="553" w:type="dxa"/>
            <w:tcBorders>
              <w:top w:val="single" w:sz="4" w:space="0" w:color="000000"/>
            </w:tcBorders>
          </w:tcPr>
          <w:p w:rsidR="00D862F2" w:rsidRDefault="00884FE4">
            <w:pPr>
              <w:pStyle w:val="TableParagraph"/>
              <w:spacing w:line="219" w:lineRule="exact"/>
              <w:ind w:left="-15" w:right="155"/>
              <w:rPr>
                <w:sz w:val="18"/>
              </w:rPr>
            </w:pPr>
            <w:r>
              <w:rPr>
                <w:sz w:val="18"/>
              </w:rPr>
              <w:t>525</w:t>
            </w:r>
          </w:p>
        </w:tc>
        <w:tc>
          <w:tcPr>
            <w:tcW w:w="788" w:type="dxa"/>
            <w:tcBorders>
              <w:top w:val="single" w:sz="4" w:space="0" w:color="000000"/>
              <w:right w:val="single" w:sz="4" w:space="0" w:color="000000"/>
            </w:tcBorders>
          </w:tcPr>
          <w:p w:rsidR="00D862F2" w:rsidRDefault="00884FE4">
            <w:pPr>
              <w:pStyle w:val="TableParagraph"/>
              <w:spacing w:line="219" w:lineRule="exact"/>
              <w:ind w:left="325"/>
              <w:jc w:val="left"/>
              <w:rPr>
                <w:sz w:val="18"/>
              </w:rPr>
            </w:pPr>
            <w:r>
              <w:rPr>
                <w:sz w:val="18"/>
              </w:rPr>
              <w:t>3.4%</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HSA_2:</w:t>
            </w:r>
            <w:r>
              <w:rPr>
                <w:spacing w:val="-2"/>
                <w:sz w:val="18"/>
              </w:rPr>
              <w:t xml:space="preserve"> </w:t>
            </w:r>
            <w:r>
              <w:rPr>
                <w:sz w:val="18"/>
              </w:rPr>
              <w:t>Central</w:t>
            </w:r>
            <w:r>
              <w:rPr>
                <w:spacing w:val="-2"/>
                <w:sz w:val="18"/>
              </w:rPr>
              <w:t xml:space="preserve"> </w:t>
            </w:r>
            <w:r>
              <w:rPr>
                <w:sz w:val="18"/>
              </w:rPr>
              <w:t>MA</w:t>
            </w:r>
          </w:p>
        </w:tc>
        <w:tc>
          <w:tcPr>
            <w:tcW w:w="982" w:type="dxa"/>
            <w:tcBorders>
              <w:left w:val="single" w:sz="4" w:space="0" w:color="000000"/>
            </w:tcBorders>
          </w:tcPr>
          <w:p w:rsidR="00D862F2" w:rsidRDefault="00884FE4">
            <w:pPr>
              <w:pStyle w:val="TableParagraph"/>
              <w:spacing w:before="3"/>
              <w:ind w:right="43"/>
              <w:rPr>
                <w:sz w:val="18"/>
              </w:rPr>
            </w:pPr>
            <w:r>
              <w:rPr>
                <w:sz w:val="18"/>
              </w:rPr>
              <w:t>1,250</w:t>
            </w:r>
          </w:p>
        </w:tc>
        <w:tc>
          <w:tcPr>
            <w:tcW w:w="735" w:type="dxa"/>
            <w:tcBorders>
              <w:right w:val="single" w:sz="4" w:space="0" w:color="000000"/>
            </w:tcBorders>
          </w:tcPr>
          <w:p w:rsidR="00D862F2" w:rsidRDefault="00884FE4">
            <w:pPr>
              <w:pStyle w:val="TableParagraph"/>
              <w:spacing w:before="3"/>
              <w:ind w:right="95"/>
              <w:rPr>
                <w:sz w:val="18"/>
              </w:rPr>
            </w:pPr>
            <w:r>
              <w:rPr>
                <w:sz w:val="18"/>
              </w:rPr>
              <w:t>8.5%</w:t>
            </w:r>
          </w:p>
        </w:tc>
        <w:tc>
          <w:tcPr>
            <w:tcW w:w="463" w:type="dxa"/>
            <w:tcBorders>
              <w:left w:val="single" w:sz="4" w:space="0" w:color="000000"/>
            </w:tcBorders>
          </w:tcPr>
          <w:p w:rsidR="00D862F2" w:rsidRDefault="00D862F2">
            <w:pPr>
              <w:pStyle w:val="TableParagraph"/>
              <w:jc w:val="left"/>
              <w:rPr>
                <w:rFonts w:ascii="Times New Roman"/>
                <w:sz w:val="18"/>
              </w:rPr>
            </w:pPr>
          </w:p>
        </w:tc>
        <w:tc>
          <w:tcPr>
            <w:tcW w:w="523" w:type="dxa"/>
          </w:tcPr>
          <w:p w:rsidR="00D862F2" w:rsidRDefault="00884FE4">
            <w:pPr>
              <w:pStyle w:val="TableParagraph"/>
              <w:spacing w:before="3"/>
              <w:ind w:right="82"/>
              <w:rPr>
                <w:sz w:val="18"/>
              </w:rPr>
            </w:pPr>
            <w:r>
              <w:rPr>
                <w:sz w:val="18"/>
              </w:rPr>
              <w:t>1,230</w:t>
            </w:r>
          </w:p>
        </w:tc>
        <w:tc>
          <w:tcPr>
            <w:tcW w:w="762" w:type="dxa"/>
            <w:tcBorders>
              <w:right w:val="single" w:sz="4" w:space="0" w:color="000000"/>
            </w:tcBorders>
          </w:tcPr>
          <w:p w:rsidR="00D862F2" w:rsidRDefault="00884FE4">
            <w:pPr>
              <w:pStyle w:val="TableParagraph"/>
              <w:spacing w:before="3"/>
              <w:ind w:right="101"/>
              <w:rPr>
                <w:sz w:val="18"/>
              </w:rPr>
            </w:pPr>
            <w:r>
              <w:rPr>
                <w:sz w:val="18"/>
              </w:rPr>
              <w:t>8.3%</w:t>
            </w:r>
          </w:p>
        </w:tc>
        <w:tc>
          <w:tcPr>
            <w:tcW w:w="433" w:type="dxa"/>
            <w:tcBorders>
              <w:left w:val="single" w:sz="4" w:space="0" w:color="000000"/>
            </w:tcBorders>
          </w:tcPr>
          <w:p w:rsidR="00D862F2" w:rsidRDefault="00D862F2">
            <w:pPr>
              <w:pStyle w:val="TableParagraph"/>
              <w:jc w:val="left"/>
              <w:rPr>
                <w:rFonts w:ascii="Times New Roman"/>
                <w:sz w:val="18"/>
              </w:rPr>
            </w:pPr>
          </w:p>
        </w:tc>
        <w:tc>
          <w:tcPr>
            <w:tcW w:w="553" w:type="dxa"/>
          </w:tcPr>
          <w:p w:rsidR="00D862F2" w:rsidRDefault="00884FE4">
            <w:pPr>
              <w:pStyle w:val="TableParagraph"/>
              <w:spacing w:before="3"/>
              <w:ind w:left="-15" w:right="155"/>
              <w:rPr>
                <w:sz w:val="18"/>
              </w:rPr>
            </w:pPr>
            <w:r>
              <w:rPr>
                <w:sz w:val="18"/>
              </w:rPr>
              <w:t>1,376</w:t>
            </w:r>
          </w:p>
        </w:tc>
        <w:tc>
          <w:tcPr>
            <w:tcW w:w="788" w:type="dxa"/>
            <w:tcBorders>
              <w:right w:val="single" w:sz="4" w:space="0" w:color="000000"/>
            </w:tcBorders>
          </w:tcPr>
          <w:p w:rsidR="00D862F2" w:rsidRDefault="00884FE4">
            <w:pPr>
              <w:pStyle w:val="TableParagraph"/>
              <w:spacing w:before="3"/>
              <w:ind w:left="325"/>
              <w:jc w:val="left"/>
              <w:rPr>
                <w:sz w:val="18"/>
              </w:rPr>
            </w:pPr>
            <w:r>
              <w:rPr>
                <w:sz w:val="18"/>
              </w:rPr>
              <w:t>9.0%</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HSA_3:</w:t>
            </w:r>
            <w:r>
              <w:rPr>
                <w:spacing w:val="-3"/>
                <w:sz w:val="18"/>
              </w:rPr>
              <w:t xml:space="preserve"> </w:t>
            </w:r>
            <w:r>
              <w:rPr>
                <w:sz w:val="18"/>
              </w:rPr>
              <w:t>Northeast</w:t>
            </w:r>
          </w:p>
        </w:tc>
        <w:tc>
          <w:tcPr>
            <w:tcW w:w="982" w:type="dxa"/>
            <w:tcBorders>
              <w:left w:val="single" w:sz="4" w:space="0" w:color="000000"/>
            </w:tcBorders>
          </w:tcPr>
          <w:p w:rsidR="00D862F2" w:rsidRDefault="00884FE4">
            <w:pPr>
              <w:pStyle w:val="TableParagraph"/>
              <w:spacing w:before="3"/>
              <w:ind w:right="43"/>
              <w:rPr>
                <w:sz w:val="18"/>
              </w:rPr>
            </w:pPr>
            <w:r>
              <w:rPr>
                <w:sz w:val="18"/>
              </w:rPr>
              <w:t>2,820</w:t>
            </w:r>
          </w:p>
        </w:tc>
        <w:tc>
          <w:tcPr>
            <w:tcW w:w="735" w:type="dxa"/>
            <w:tcBorders>
              <w:right w:val="single" w:sz="4" w:space="0" w:color="000000"/>
            </w:tcBorders>
          </w:tcPr>
          <w:p w:rsidR="00D862F2" w:rsidRDefault="00884FE4">
            <w:pPr>
              <w:pStyle w:val="TableParagraph"/>
              <w:spacing w:before="3"/>
              <w:ind w:right="95"/>
              <w:rPr>
                <w:sz w:val="18"/>
              </w:rPr>
            </w:pPr>
            <w:r>
              <w:rPr>
                <w:sz w:val="18"/>
              </w:rPr>
              <w:t>19.1%</w:t>
            </w:r>
          </w:p>
        </w:tc>
        <w:tc>
          <w:tcPr>
            <w:tcW w:w="463" w:type="dxa"/>
            <w:tcBorders>
              <w:left w:val="single" w:sz="4" w:space="0" w:color="000000"/>
            </w:tcBorders>
          </w:tcPr>
          <w:p w:rsidR="00D862F2" w:rsidRDefault="00D862F2">
            <w:pPr>
              <w:pStyle w:val="TableParagraph"/>
              <w:jc w:val="left"/>
              <w:rPr>
                <w:rFonts w:ascii="Times New Roman"/>
                <w:sz w:val="18"/>
              </w:rPr>
            </w:pPr>
          </w:p>
        </w:tc>
        <w:tc>
          <w:tcPr>
            <w:tcW w:w="523" w:type="dxa"/>
          </w:tcPr>
          <w:p w:rsidR="00D862F2" w:rsidRDefault="00884FE4">
            <w:pPr>
              <w:pStyle w:val="TableParagraph"/>
              <w:spacing w:before="3"/>
              <w:ind w:right="82"/>
              <w:rPr>
                <w:sz w:val="18"/>
              </w:rPr>
            </w:pPr>
            <w:r>
              <w:rPr>
                <w:sz w:val="18"/>
              </w:rPr>
              <w:t>2,817</w:t>
            </w:r>
          </w:p>
        </w:tc>
        <w:tc>
          <w:tcPr>
            <w:tcW w:w="762" w:type="dxa"/>
            <w:tcBorders>
              <w:right w:val="single" w:sz="4" w:space="0" w:color="000000"/>
            </w:tcBorders>
          </w:tcPr>
          <w:p w:rsidR="00D862F2" w:rsidRDefault="00884FE4">
            <w:pPr>
              <w:pStyle w:val="TableParagraph"/>
              <w:spacing w:before="3"/>
              <w:ind w:right="102"/>
              <w:rPr>
                <w:sz w:val="18"/>
              </w:rPr>
            </w:pPr>
            <w:r>
              <w:rPr>
                <w:sz w:val="18"/>
              </w:rPr>
              <w:t>19.0%</w:t>
            </w:r>
          </w:p>
        </w:tc>
        <w:tc>
          <w:tcPr>
            <w:tcW w:w="433" w:type="dxa"/>
            <w:tcBorders>
              <w:left w:val="single" w:sz="4" w:space="0" w:color="000000"/>
            </w:tcBorders>
          </w:tcPr>
          <w:p w:rsidR="00D862F2" w:rsidRDefault="00D862F2">
            <w:pPr>
              <w:pStyle w:val="TableParagraph"/>
              <w:jc w:val="left"/>
              <w:rPr>
                <w:rFonts w:ascii="Times New Roman"/>
                <w:sz w:val="18"/>
              </w:rPr>
            </w:pPr>
          </w:p>
        </w:tc>
        <w:tc>
          <w:tcPr>
            <w:tcW w:w="553" w:type="dxa"/>
          </w:tcPr>
          <w:p w:rsidR="00D862F2" w:rsidRDefault="00884FE4">
            <w:pPr>
              <w:pStyle w:val="TableParagraph"/>
              <w:spacing w:before="3"/>
              <w:ind w:left="-15" w:right="155"/>
              <w:rPr>
                <w:sz w:val="18"/>
              </w:rPr>
            </w:pPr>
            <w:r>
              <w:rPr>
                <w:sz w:val="18"/>
              </w:rPr>
              <w:t>2,824</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18.5%</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HSA_4:</w:t>
            </w:r>
            <w:r>
              <w:rPr>
                <w:spacing w:val="-3"/>
                <w:sz w:val="18"/>
              </w:rPr>
              <w:t xml:space="preserve"> </w:t>
            </w:r>
            <w:r>
              <w:rPr>
                <w:sz w:val="18"/>
              </w:rPr>
              <w:t>Metro</w:t>
            </w:r>
            <w:r>
              <w:rPr>
                <w:spacing w:val="-2"/>
                <w:sz w:val="18"/>
              </w:rPr>
              <w:t xml:space="preserve"> </w:t>
            </w:r>
            <w:r>
              <w:rPr>
                <w:sz w:val="18"/>
              </w:rPr>
              <w:t>West</w:t>
            </w:r>
          </w:p>
        </w:tc>
        <w:tc>
          <w:tcPr>
            <w:tcW w:w="982" w:type="dxa"/>
            <w:tcBorders>
              <w:left w:val="single" w:sz="4" w:space="0" w:color="000000"/>
            </w:tcBorders>
          </w:tcPr>
          <w:p w:rsidR="00D862F2" w:rsidRDefault="00884FE4">
            <w:pPr>
              <w:pStyle w:val="TableParagraph"/>
              <w:spacing w:before="3"/>
              <w:ind w:right="43"/>
              <w:rPr>
                <w:sz w:val="18"/>
              </w:rPr>
            </w:pPr>
            <w:r>
              <w:rPr>
                <w:sz w:val="18"/>
              </w:rPr>
              <w:t>5,433</w:t>
            </w:r>
          </w:p>
        </w:tc>
        <w:tc>
          <w:tcPr>
            <w:tcW w:w="735" w:type="dxa"/>
            <w:tcBorders>
              <w:right w:val="single" w:sz="4" w:space="0" w:color="000000"/>
            </w:tcBorders>
          </w:tcPr>
          <w:p w:rsidR="00D862F2" w:rsidRDefault="00884FE4">
            <w:pPr>
              <w:pStyle w:val="TableParagraph"/>
              <w:spacing w:before="3"/>
              <w:ind w:right="95"/>
              <w:rPr>
                <w:sz w:val="18"/>
              </w:rPr>
            </w:pPr>
            <w:r>
              <w:rPr>
                <w:sz w:val="18"/>
              </w:rPr>
              <w:t>36.7%</w:t>
            </w:r>
          </w:p>
        </w:tc>
        <w:tc>
          <w:tcPr>
            <w:tcW w:w="463" w:type="dxa"/>
            <w:tcBorders>
              <w:left w:val="single" w:sz="4" w:space="0" w:color="000000"/>
            </w:tcBorders>
          </w:tcPr>
          <w:p w:rsidR="00D862F2" w:rsidRDefault="00D862F2">
            <w:pPr>
              <w:pStyle w:val="TableParagraph"/>
              <w:jc w:val="left"/>
              <w:rPr>
                <w:rFonts w:ascii="Times New Roman"/>
                <w:sz w:val="18"/>
              </w:rPr>
            </w:pPr>
          </w:p>
        </w:tc>
        <w:tc>
          <w:tcPr>
            <w:tcW w:w="523" w:type="dxa"/>
          </w:tcPr>
          <w:p w:rsidR="00D862F2" w:rsidRDefault="00884FE4">
            <w:pPr>
              <w:pStyle w:val="TableParagraph"/>
              <w:spacing w:before="3"/>
              <w:ind w:right="82"/>
              <w:rPr>
                <w:sz w:val="18"/>
              </w:rPr>
            </w:pPr>
            <w:r>
              <w:rPr>
                <w:sz w:val="18"/>
              </w:rPr>
              <w:t>5,431</w:t>
            </w:r>
          </w:p>
        </w:tc>
        <w:tc>
          <w:tcPr>
            <w:tcW w:w="762" w:type="dxa"/>
            <w:tcBorders>
              <w:right w:val="single" w:sz="4" w:space="0" w:color="000000"/>
            </w:tcBorders>
          </w:tcPr>
          <w:p w:rsidR="00D862F2" w:rsidRDefault="00884FE4">
            <w:pPr>
              <w:pStyle w:val="TableParagraph"/>
              <w:spacing w:before="3"/>
              <w:ind w:right="102"/>
              <w:rPr>
                <w:sz w:val="18"/>
              </w:rPr>
            </w:pPr>
            <w:r>
              <w:rPr>
                <w:sz w:val="18"/>
              </w:rPr>
              <w:t>36.6%</w:t>
            </w:r>
          </w:p>
        </w:tc>
        <w:tc>
          <w:tcPr>
            <w:tcW w:w="433" w:type="dxa"/>
            <w:tcBorders>
              <w:left w:val="single" w:sz="4" w:space="0" w:color="000000"/>
            </w:tcBorders>
          </w:tcPr>
          <w:p w:rsidR="00D862F2" w:rsidRDefault="00D862F2">
            <w:pPr>
              <w:pStyle w:val="TableParagraph"/>
              <w:jc w:val="left"/>
              <w:rPr>
                <w:rFonts w:ascii="Times New Roman"/>
                <w:sz w:val="18"/>
              </w:rPr>
            </w:pPr>
          </w:p>
        </w:tc>
        <w:tc>
          <w:tcPr>
            <w:tcW w:w="553" w:type="dxa"/>
          </w:tcPr>
          <w:p w:rsidR="00D862F2" w:rsidRDefault="00884FE4">
            <w:pPr>
              <w:pStyle w:val="TableParagraph"/>
              <w:spacing w:before="3"/>
              <w:ind w:left="-15" w:right="155"/>
              <w:rPr>
                <w:sz w:val="18"/>
              </w:rPr>
            </w:pPr>
            <w:r>
              <w:rPr>
                <w:sz w:val="18"/>
              </w:rPr>
              <w:t>5,403</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35.5%</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HSA_5:</w:t>
            </w:r>
            <w:r>
              <w:rPr>
                <w:spacing w:val="-3"/>
                <w:sz w:val="18"/>
              </w:rPr>
              <w:t xml:space="preserve"> </w:t>
            </w:r>
            <w:r>
              <w:rPr>
                <w:sz w:val="18"/>
              </w:rPr>
              <w:t>Southeast</w:t>
            </w:r>
          </w:p>
        </w:tc>
        <w:tc>
          <w:tcPr>
            <w:tcW w:w="982" w:type="dxa"/>
            <w:tcBorders>
              <w:left w:val="single" w:sz="4" w:space="0" w:color="000000"/>
            </w:tcBorders>
          </w:tcPr>
          <w:p w:rsidR="00D862F2" w:rsidRDefault="00884FE4">
            <w:pPr>
              <w:pStyle w:val="TableParagraph"/>
              <w:spacing w:before="3"/>
              <w:ind w:right="43"/>
              <w:rPr>
                <w:sz w:val="18"/>
              </w:rPr>
            </w:pPr>
            <w:r>
              <w:rPr>
                <w:sz w:val="18"/>
              </w:rPr>
              <w:t>2,081</w:t>
            </w:r>
          </w:p>
        </w:tc>
        <w:tc>
          <w:tcPr>
            <w:tcW w:w="735" w:type="dxa"/>
            <w:tcBorders>
              <w:right w:val="single" w:sz="4" w:space="0" w:color="000000"/>
            </w:tcBorders>
          </w:tcPr>
          <w:p w:rsidR="00D862F2" w:rsidRDefault="00884FE4">
            <w:pPr>
              <w:pStyle w:val="TableParagraph"/>
              <w:spacing w:before="3"/>
              <w:ind w:right="95"/>
              <w:rPr>
                <w:sz w:val="18"/>
              </w:rPr>
            </w:pPr>
            <w:r>
              <w:rPr>
                <w:sz w:val="18"/>
              </w:rPr>
              <w:t>14.1%</w:t>
            </w:r>
          </w:p>
        </w:tc>
        <w:tc>
          <w:tcPr>
            <w:tcW w:w="463" w:type="dxa"/>
            <w:tcBorders>
              <w:left w:val="single" w:sz="4" w:space="0" w:color="000000"/>
            </w:tcBorders>
          </w:tcPr>
          <w:p w:rsidR="00D862F2" w:rsidRDefault="00D862F2">
            <w:pPr>
              <w:pStyle w:val="TableParagraph"/>
              <w:jc w:val="left"/>
              <w:rPr>
                <w:rFonts w:ascii="Times New Roman"/>
                <w:sz w:val="18"/>
              </w:rPr>
            </w:pPr>
          </w:p>
        </w:tc>
        <w:tc>
          <w:tcPr>
            <w:tcW w:w="523" w:type="dxa"/>
          </w:tcPr>
          <w:p w:rsidR="00D862F2" w:rsidRDefault="00884FE4">
            <w:pPr>
              <w:pStyle w:val="TableParagraph"/>
              <w:spacing w:before="3"/>
              <w:ind w:right="82"/>
              <w:rPr>
                <w:sz w:val="18"/>
              </w:rPr>
            </w:pPr>
            <w:r>
              <w:rPr>
                <w:sz w:val="18"/>
              </w:rPr>
              <w:t>2,112</w:t>
            </w:r>
          </w:p>
        </w:tc>
        <w:tc>
          <w:tcPr>
            <w:tcW w:w="762" w:type="dxa"/>
            <w:tcBorders>
              <w:right w:val="single" w:sz="4" w:space="0" w:color="000000"/>
            </w:tcBorders>
          </w:tcPr>
          <w:p w:rsidR="00D862F2" w:rsidRDefault="00884FE4">
            <w:pPr>
              <w:pStyle w:val="TableParagraph"/>
              <w:spacing w:before="3"/>
              <w:ind w:right="102"/>
              <w:rPr>
                <w:sz w:val="18"/>
              </w:rPr>
            </w:pPr>
            <w:r>
              <w:rPr>
                <w:sz w:val="18"/>
              </w:rPr>
              <w:t>14.2%</w:t>
            </w:r>
          </w:p>
        </w:tc>
        <w:tc>
          <w:tcPr>
            <w:tcW w:w="433" w:type="dxa"/>
            <w:tcBorders>
              <w:left w:val="single" w:sz="4" w:space="0" w:color="000000"/>
            </w:tcBorders>
          </w:tcPr>
          <w:p w:rsidR="00D862F2" w:rsidRDefault="00D862F2">
            <w:pPr>
              <w:pStyle w:val="TableParagraph"/>
              <w:jc w:val="left"/>
              <w:rPr>
                <w:rFonts w:ascii="Times New Roman"/>
                <w:sz w:val="18"/>
              </w:rPr>
            </w:pPr>
          </w:p>
        </w:tc>
        <w:tc>
          <w:tcPr>
            <w:tcW w:w="553" w:type="dxa"/>
          </w:tcPr>
          <w:p w:rsidR="00D862F2" w:rsidRDefault="00884FE4">
            <w:pPr>
              <w:pStyle w:val="TableParagraph"/>
              <w:spacing w:before="3"/>
              <w:ind w:left="-15" w:right="155"/>
              <w:rPr>
                <w:sz w:val="18"/>
              </w:rPr>
            </w:pPr>
            <w:r>
              <w:rPr>
                <w:sz w:val="18"/>
              </w:rPr>
              <w:t>2,300</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15.1%</w:t>
            </w:r>
          </w:p>
        </w:tc>
        <w:tc>
          <w:tcPr>
            <w:tcW w:w="987"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3"/>
              <w:ind w:left="107"/>
              <w:jc w:val="left"/>
              <w:rPr>
                <w:sz w:val="18"/>
              </w:rPr>
            </w:pPr>
            <w:r>
              <w:rPr>
                <w:sz w:val="18"/>
              </w:rPr>
              <w:t>HSA_6:</w:t>
            </w:r>
            <w:r>
              <w:rPr>
                <w:spacing w:val="-3"/>
                <w:sz w:val="18"/>
              </w:rPr>
              <w:t xml:space="preserve"> </w:t>
            </w:r>
            <w:r>
              <w:rPr>
                <w:sz w:val="18"/>
              </w:rPr>
              <w:t>Boston</w:t>
            </w:r>
          </w:p>
        </w:tc>
        <w:tc>
          <w:tcPr>
            <w:tcW w:w="982" w:type="dxa"/>
            <w:tcBorders>
              <w:left w:val="single" w:sz="4" w:space="0" w:color="000000"/>
            </w:tcBorders>
          </w:tcPr>
          <w:p w:rsidR="00D862F2" w:rsidRDefault="00884FE4">
            <w:pPr>
              <w:pStyle w:val="TableParagraph"/>
              <w:spacing w:before="3"/>
              <w:ind w:right="43"/>
              <w:rPr>
                <w:sz w:val="18"/>
              </w:rPr>
            </w:pPr>
            <w:r>
              <w:rPr>
                <w:sz w:val="18"/>
              </w:rPr>
              <w:t>1,856</w:t>
            </w:r>
          </w:p>
        </w:tc>
        <w:tc>
          <w:tcPr>
            <w:tcW w:w="735" w:type="dxa"/>
            <w:tcBorders>
              <w:right w:val="single" w:sz="4" w:space="0" w:color="000000"/>
            </w:tcBorders>
          </w:tcPr>
          <w:p w:rsidR="00D862F2" w:rsidRDefault="00884FE4">
            <w:pPr>
              <w:pStyle w:val="TableParagraph"/>
              <w:spacing w:before="3"/>
              <w:ind w:right="95"/>
              <w:rPr>
                <w:sz w:val="18"/>
              </w:rPr>
            </w:pPr>
            <w:r>
              <w:rPr>
                <w:sz w:val="18"/>
              </w:rPr>
              <w:t>12.5%</w:t>
            </w:r>
          </w:p>
        </w:tc>
        <w:tc>
          <w:tcPr>
            <w:tcW w:w="463" w:type="dxa"/>
            <w:tcBorders>
              <w:left w:val="single" w:sz="4" w:space="0" w:color="000000"/>
            </w:tcBorders>
          </w:tcPr>
          <w:p w:rsidR="00D862F2" w:rsidRDefault="00D862F2">
            <w:pPr>
              <w:pStyle w:val="TableParagraph"/>
              <w:jc w:val="left"/>
              <w:rPr>
                <w:rFonts w:ascii="Times New Roman"/>
                <w:sz w:val="18"/>
              </w:rPr>
            </w:pPr>
          </w:p>
        </w:tc>
        <w:tc>
          <w:tcPr>
            <w:tcW w:w="523" w:type="dxa"/>
          </w:tcPr>
          <w:p w:rsidR="00D862F2" w:rsidRDefault="00884FE4">
            <w:pPr>
              <w:pStyle w:val="TableParagraph"/>
              <w:spacing w:before="3"/>
              <w:ind w:right="82"/>
              <w:rPr>
                <w:sz w:val="18"/>
              </w:rPr>
            </w:pPr>
            <w:r>
              <w:rPr>
                <w:sz w:val="18"/>
              </w:rPr>
              <w:t>1,846</w:t>
            </w:r>
          </w:p>
        </w:tc>
        <w:tc>
          <w:tcPr>
            <w:tcW w:w="762" w:type="dxa"/>
            <w:tcBorders>
              <w:right w:val="single" w:sz="4" w:space="0" w:color="000000"/>
            </w:tcBorders>
          </w:tcPr>
          <w:p w:rsidR="00D862F2" w:rsidRDefault="00884FE4">
            <w:pPr>
              <w:pStyle w:val="TableParagraph"/>
              <w:spacing w:before="3"/>
              <w:ind w:right="102"/>
              <w:rPr>
                <w:sz w:val="18"/>
              </w:rPr>
            </w:pPr>
            <w:r>
              <w:rPr>
                <w:sz w:val="18"/>
              </w:rPr>
              <w:t>12.4%</w:t>
            </w:r>
          </w:p>
        </w:tc>
        <w:tc>
          <w:tcPr>
            <w:tcW w:w="433" w:type="dxa"/>
            <w:tcBorders>
              <w:left w:val="single" w:sz="4" w:space="0" w:color="000000"/>
            </w:tcBorders>
          </w:tcPr>
          <w:p w:rsidR="00D862F2" w:rsidRDefault="00D862F2">
            <w:pPr>
              <w:pStyle w:val="TableParagraph"/>
              <w:jc w:val="left"/>
              <w:rPr>
                <w:rFonts w:ascii="Times New Roman"/>
                <w:sz w:val="18"/>
              </w:rPr>
            </w:pPr>
          </w:p>
        </w:tc>
        <w:tc>
          <w:tcPr>
            <w:tcW w:w="553" w:type="dxa"/>
          </w:tcPr>
          <w:p w:rsidR="00D862F2" w:rsidRDefault="00884FE4">
            <w:pPr>
              <w:pStyle w:val="TableParagraph"/>
              <w:spacing w:before="3"/>
              <w:ind w:left="-15" w:right="155"/>
              <w:rPr>
                <w:sz w:val="18"/>
              </w:rPr>
            </w:pPr>
            <w:r>
              <w:rPr>
                <w:sz w:val="18"/>
              </w:rPr>
              <w:t>1,859</w:t>
            </w:r>
          </w:p>
        </w:tc>
        <w:tc>
          <w:tcPr>
            <w:tcW w:w="788" w:type="dxa"/>
            <w:tcBorders>
              <w:right w:val="single" w:sz="4" w:space="0" w:color="000000"/>
            </w:tcBorders>
          </w:tcPr>
          <w:p w:rsidR="00D862F2" w:rsidRDefault="00884FE4">
            <w:pPr>
              <w:pStyle w:val="TableParagraph"/>
              <w:spacing w:before="3"/>
              <w:ind w:left="233"/>
              <w:jc w:val="left"/>
              <w:rPr>
                <w:sz w:val="18"/>
              </w:rPr>
            </w:pPr>
            <w:r>
              <w:rPr>
                <w:sz w:val="18"/>
              </w:rPr>
              <w:t>12.2%</w:t>
            </w:r>
          </w:p>
        </w:tc>
        <w:tc>
          <w:tcPr>
            <w:tcW w:w="987" w:type="dxa"/>
            <w:vMerge/>
            <w:tcBorders>
              <w:top w:val="nil"/>
              <w:left w:val="single" w:sz="4" w:space="0" w:color="000000"/>
            </w:tcBorders>
          </w:tcPr>
          <w:p w:rsidR="00D862F2" w:rsidRDefault="00D862F2">
            <w:pPr>
              <w:rPr>
                <w:sz w:val="2"/>
                <w:szCs w:val="2"/>
              </w:rPr>
            </w:pPr>
          </w:p>
        </w:tc>
      </w:tr>
      <w:tr w:rsidR="00D862F2">
        <w:trPr>
          <w:trHeight w:val="263"/>
        </w:trPr>
        <w:tc>
          <w:tcPr>
            <w:tcW w:w="984" w:type="dxa"/>
            <w:tcBorders>
              <w:left w:val="single" w:sz="4" w:space="0" w:color="000000"/>
              <w:bottom w:val="single" w:sz="4" w:space="0" w:color="000000"/>
            </w:tcBorders>
          </w:tcPr>
          <w:p w:rsidR="00D862F2" w:rsidRDefault="00884FE4">
            <w:pPr>
              <w:pStyle w:val="TableParagraph"/>
              <w:spacing w:before="3"/>
              <w:ind w:left="107"/>
              <w:jc w:val="left"/>
              <w:rPr>
                <w:sz w:val="18"/>
              </w:rPr>
            </w:pPr>
            <w:r>
              <w:rPr>
                <w:sz w:val="18"/>
              </w:rPr>
              <w:t>Unknown</w:t>
            </w:r>
          </w:p>
        </w:tc>
        <w:tc>
          <w:tcPr>
            <w:tcW w:w="1404" w:type="dxa"/>
            <w:tcBorders>
              <w:bottom w:val="single" w:sz="4" w:space="0" w:color="000000"/>
              <w:right w:val="single" w:sz="4" w:space="0" w:color="000000"/>
            </w:tcBorders>
          </w:tcPr>
          <w:p w:rsidR="00D862F2" w:rsidRDefault="00D862F2">
            <w:pPr>
              <w:pStyle w:val="TableParagraph"/>
              <w:jc w:val="left"/>
              <w:rPr>
                <w:rFonts w:ascii="Times New Roman"/>
                <w:sz w:val="18"/>
              </w:rPr>
            </w:pPr>
          </w:p>
        </w:tc>
        <w:tc>
          <w:tcPr>
            <w:tcW w:w="982" w:type="dxa"/>
            <w:tcBorders>
              <w:left w:val="single" w:sz="4" w:space="0" w:color="000000"/>
              <w:bottom w:val="single" w:sz="4" w:space="0" w:color="000000"/>
            </w:tcBorders>
          </w:tcPr>
          <w:p w:rsidR="00D862F2" w:rsidRDefault="00884FE4">
            <w:pPr>
              <w:pStyle w:val="TableParagraph"/>
              <w:spacing w:before="3"/>
              <w:ind w:right="43"/>
              <w:rPr>
                <w:sz w:val="18"/>
              </w:rPr>
            </w:pPr>
            <w:r>
              <w:rPr>
                <w:sz w:val="18"/>
              </w:rPr>
              <w:t>906</w:t>
            </w:r>
          </w:p>
        </w:tc>
        <w:tc>
          <w:tcPr>
            <w:tcW w:w="735" w:type="dxa"/>
            <w:tcBorders>
              <w:bottom w:val="single" w:sz="4" w:space="0" w:color="000000"/>
              <w:right w:val="single" w:sz="4" w:space="0" w:color="000000"/>
            </w:tcBorders>
          </w:tcPr>
          <w:p w:rsidR="00D862F2" w:rsidRDefault="00884FE4">
            <w:pPr>
              <w:pStyle w:val="TableParagraph"/>
              <w:spacing w:before="3"/>
              <w:ind w:right="95"/>
              <w:rPr>
                <w:sz w:val="18"/>
              </w:rPr>
            </w:pPr>
            <w:r>
              <w:rPr>
                <w:sz w:val="18"/>
              </w:rPr>
              <w:t>6.1%</w:t>
            </w:r>
          </w:p>
        </w:tc>
        <w:tc>
          <w:tcPr>
            <w:tcW w:w="463" w:type="dxa"/>
            <w:tcBorders>
              <w:left w:val="single" w:sz="4" w:space="0" w:color="000000"/>
              <w:bottom w:val="single" w:sz="4" w:space="0" w:color="000000"/>
            </w:tcBorders>
          </w:tcPr>
          <w:p w:rsidR="00D862F2" w:rsidRDefault="00D862F2">
            <w:pPr>
              <w:pStyle w:val="TableParagraph"/>
              <w:jc w:val="left"/>
              <w:rPr>
                <w:rFonts w:ascii="Times New Roman"/>
                <w:sz w:val="18"/>
              </w:rPr>
            </w:pPr>
          </w:p>
        </w:tc>
        <w:tc>
          <w:tcPr>
            <w:tcW w:w="523" w:type="dxa"/>
            <w:tcBorders>
              <w:bottom w:val="single" w:sz="4" w:space="0" w:color="000000"/>
            </w:tcBorders>
          </w:tcPr>
          <w:p w:rsidR="00D862F2" w:rsidRDefault="00884FE4">
            <w:pPr>
              <w:pStyle w:val="TableParagraph"/>
              <w:spacing w:before="3"/>
              <w:ind w:right="82"/>
              <w:rPr>
                <w:sz w:val="18"/>
              </w:rPr>
            </w:pPr>
            <w:r>
              <w:rPr>
                <w:sz w:val="18"/>
              </w:rPr>
              <w:t>927</w:t>
            </w:r>
          </w:p>
        </w:tc>
        <w:tc>
          <w:tcPr>
            <w:tcW w:w="762" w:type="dxa"/>
            <w:tcBorders>
              <w:bottom w:val="single" w:sz="4" w:space="0" w:color="000000"/>
              <w:right w:val="single" w:sz="4" w:space="0" w:color="000000"/>
            </w:tcBorders>
          </w:tcPr>
          <w:p w:rsidR="00D862F2" w:rsidRDefault="00884FE4">
            <w:pPr>
              <w:pStyle w:val="TableParagraph"/>
              <w:spacing w:before="3"/>
              <w:ind w:right="101"/>
              <w:rPr>
                <w:sz w:val="18"/>
              </w:rPr>
            </w:pPr>
            <w:r>
              <w:rPr>
                <w:sz w:val="18"/>
              </w:rPr>
              <w:t>6.2%</w:t>
            </w:r>
          </w:p>
        </w:tc>
        <w:tc>
          <w:tcPr>
            <w:tcW w:w="433" w:type="dxa"/>
            <w:tcBorders>
              <w:left w:val="single" w:sz="4" w:space="0" w:color="000000"/>
              <w:bottom w:val="single" w:sz="4" w:space="0" w:color="000000"/>
            </w:tcBorders>
          </w:tcPr>
          <w:p w:rsidR="00D862F2" w:rsidRDefault="00D862F2">
            <w:pPr>
              <w:pStyle w:val="TableParagraph"/>
              <w:jc w:val="left"/>
              <w:rPr>
                <w:rFonts w:ascii="Times New Roman"/>
                <w:sz w:val="18"/>
              </w:rPr>
            </w:pPr>
          </w:p>
        </w:tc>
        <w:tc>
          <w:tcPr>
            <w:tcW w:w="553" w:type="dxa"/>
            <w:tcBorders>
              <w:bottom w:val="single" w:sz="4" w:space="0" w:color="000000"/>
            </w:tcBorders>
          </w:tcPr>
          <w:p w:rsidR="00D862F2" w:rsidRDefault="00884FE4">
            <w:pPr>
              <w:pStyle w:val="TableParagraph"/>
              <w:spacing w:before="3"/>
              <w:ind w:left="-15" w:right="155"/>
              <w:rPr>
                <w:sz w:val="18"/>
              </w:rPr>
            </w:pPr>
            <w:r>
              <w:rPr>
                <w:sz w:val="18"/>
              </w:rPr>
              <w:t>952</w:t>
            </w:r>
          </w:p>
        </w:tc>
        <w:tc>
          <w:tcPr>
            <w:tcW w:w="788" w:type="dxa"/>
            <w:tcBorders>
              <w:bottom w:val="single" w:sz="4" w:space="0" w:color="000000"/>
              <w:right w:val="single" w:sz="4" w:space="0" w:color="000000"/>
            </w:tcBorders>
          </w:tcPr>
          <w:p w:rsidR="00D862F2" w:rsidRDefault="00884FE4">
            <w:pPr>
              <w:pStyle w:val="TableParagraph"/>
              <w:spacing w:before="3"/>
              <w:ind w:left="325"/>
              <w:jc w:val="left"/>
              <w:rPr>
                <w:sz w:val="18"/>
              </w:rPr>
            </w:pPr>
            <w:r>
              <w:rPr>
                <w:sz w:val="18"/>
              </w:rPr>
              <w:t>6.2%</w:t>
            </w:r>
          </w:p>
        </w:tc>
        <w:tc>
          <w:tcPr>
            <w:tcW w:w="987" w:type="dxa"/>
            <w:vMerge/>
            <w:tcBorders>
              <w:top w:val="nil"/>
              <w:left w:val="single" w:sz="4" w:space="0" w:color="000000"/>
            </w:tcBorders>
          </w:tcPr>
          <w:p w:rsidR="00D862F2" w:rsidRDefault="00D862F2">
            <w:pPr>
              <w:rPr>
                <w:sz w:val="2"/>
                <w:szCs w:val="2"/>
              </w:rPr>
            </w:pPr>
          </w:p>
        </w:tc>
      </w:tr>
    </w:tbl>
    <w:p w:rsidR="00D862F2" w:rsidRDefault="00884FE4">
      <w:pPr>
        <w:spacing w:before="8"/>
        <w:ind w:left="1120"/>
        <w:rPr>
          <w:rFonts w:ascii="Calibri" w:hAnsi="Calibri"/>
          <w:sz w:val="18"/>
        </w:rPr>
      </w:pPr>
      <w:r>
        <w:rPr>
          <w:rFonts w:ascii="Calibri" w:hAnsi="Calibri"/>
          <w:sz w:val="18"/>
        </w:rPr>
        <w:t>*</w:t>
      </w:r>
      <w:r>
        <w:rPr>
          <w:rFonts w:ascii="Calibri" w:hAnsi="Calibri"/>
          <w:spacing w:val="-3"/>
          <w:sz w:val="18"/>
        </w:rPr>
        <w:t xml:space="preserve"> </w:t>
      </w:r>
      <w:r>
        <w:rPr>
          <w:rFonts w:ascii="Calibri" w:hAnsi="Calibri"/>
          <w:sz w:val="18"/>
        </w:rPr>
        <w:t>Includes</w:t>
      </w:r>
      <w:r>
        <w:rPr>
          <w:rFonts w:ascii="Calibri" w:hAnsi="Calibri"/>
          <w:spacing w:val="-3"/>
          <w:sz w:val="18"/>
        </w:rPr>
        <w:t xml:space="preserve"> </w:t>
      </w:r>
      <w:r>
        <w:rPr>
          <w:rFonts w:ascii="Calibri" w:hAnsi="Calibri"/>
          <w:sz w:val="18"/>
        </w:rPr>
        <w:t>Boston</w:t>
      </w:r>
      <w:r>
        <w:rPr>
          <w:rFonts w:ascii="Calibri" w:hAnsi="Calibri"/>
          <w:spacing w:val="-2"/>
          <w:sz w:val="18"/>
        </w:rPr>
        <w:t xml:space="preserve"> </w:t>
      </w:r>
      <w:r>
        <w:rPr>
          <w:rFonts w:ascii="Calibri" w:hAnsi="Calibri"/>
          <w:sz w:val="18"/>
        </w:rPr>
        <w:t>Children’s</w:t>
      </w:r>
      <w:r>
        <w:rPr>
          <w:rFonts w:ascii="Calibri" w:hAnsi="Calibri"/>
          <w:spacing w:val="-3"/>
          <w:sz w:val="18"/>
        </w:rPr>
        <w:t xml:space="preserve"> </w:t>
      </w:r>
      <w:r>
        <w:rPr>
          <w:rFonts w:ascii="Calibri" w:hAnsi="Calibri"/>
          <w:sz w:val="18"/>
        </w:rPr>
        <w:t>faculty</w:t>
      </w:r>
      <w:r>
        <w:rPr>
          <w:rFonts w:ascii="Calibri" w:hAnsi="Calibri"/>
          <w:spacing w:val="-1"/>
          <w:sz w:val="18"/>
        </w:rPr>
        <w:t xml:space="preserve"> </w:t>
      </w:r>
      <w:r>
        <w:rPr>
          <w:rFonts w:ascii="Calibri" w:hAnsi="Calibri"/>
          <w:sz w:val="18"/>
        </w:rPr>
        <w:t>physician</w:t>
      </w:r>
      <w:r>
        <w:rPr>
          <w:rFonts w:ascii="Calibri" w:hAnsi="Calibri"/>
          <w:spacing w:val="-3"/>
          <w:sz w:val="18"/>
        </w:rPr>
        <w:t xml:space="preserve"> </w:t>
      </w:r>
      <w:r>
        <w:rPr>
          <w:rFonts w:ascii="Calibri" w:hAnsi="Calibri"/>
          <w:sz w:val="18"/>
        </w:rPr>
        <w:t>office</w:t>
      </w:r>
      <w:r>
        <w:rPr>
          <w:rFonts w:ascii="Calibri" w:hAnsi="Calibri"/>
          <w:spacing w:val="-2"/>
          <w:sz w:val="18"/>
        </w:rPr>
        <w:t xml:space="preserve"> </w:t>
      </w:r>
      <w:r>
        <w:rPr>
          <w:rFonts w:ascii="Calibri" w:hAnsi="Calibri"/>
          <w:sz w:val="18"/>
        </w:rPr>
        <w:t>visits</w:t>
      </w:r>
      <w:r>
        <w:rPr>
          <w:rFonts w:ascii="Calibri" w:hAnsi="Calibri"/>
          <w:spacing w:val="-3"/>
          <w:sz w:val="18"/>
        </w:rPr>
        <w:t xml:space="preserve"> </w:t>
      </w:r>
      <w:r>
        <w:rPr>
          <w:rFonts w:ascii="Calibri" w:hAnsi="Calibri"/>
          <w:sz w:val="18"/>
        </w:rPr>
        <w:t>in</w:t>
      </w:r>
      <w:r>
        <w:rPr>
          <w:rFonts w:ascii="Calibri" w:hAnsi="Calibri"/>
          <w:spacing w:val="-3"/>
          <w:sz w:val="18"/>
        </w:rPr>
        <w:t xml:space="preserve"> </w:t>
      </w:r>
      <w:r>
        <w:rPr>
          <w:rFonts w:ascii="Calibri" w:hAnsi="Calibri"/>
          <w:sz w:val="18"/>
        </w:rPr>
        <w:t>non-licensed</w:t>
      </w:r>
      <w:r>
        <w:rPr>
          <w:rFonts w:ascii="Calibri" w:hAnsi="Calibri"/>
          <w:spacing w:val="-2"/>
          <w:sz w:val="18"/>
        </w:rPr>
        <w:t xml:space="preserve"> </w:t>
      </w:r>
      <w:r>
        <w:rPr>
          <w:rFonts w:ascii="Calibri" w:hAnsi="Calibri"/>
          <w:sz w:val="18"/>
        </w:rPr>
        <w:t>space.</w:t>
      </w:r>
    </w:p>
    <w:p w:rsidR="00D862F2" w:rsidRDefault="00D862F2">
      <w:pPr>
        <w:pStyle w:val="BodyText"/>
        <w:rPr>
          <w:rFonts w:ascii="Calibri"/>
          <w:sz w:val="20"/>
        </w:rPr>
      </w:pPr>
    </w:p>
    <w:p w:rsidR="00D862F2" w:rsidRDefault="00884FE4">
      <w:pPr>
        <w:ind w:left="2792" w:right="2854"/>
        <w:jc w:val="center"/>
        <w:rPr>
          <w:rFonts w:ascii="Calibri"/>
          <w:b/>
          <w:sz w:val="20"/>
        </w:rPr>
      </w:pPr>
      <w:r>
        <w:rPr>
          <w:rFonts w:ascii="Calibri"/>
          <w:b/>
          <w:sz w:val="20"/>
        </w:rPr>
        <w:t>Table</w:t>
      </w:r>
      <w:r>
        <w:rPr>
          <w:rFonts w:ascii="Calibri"/>
          <w:b/>
          <w:spacing w:val="-3"/>
          <w:sz w:val="20"/>
        </w:rPr>
        <w:t xml:space="preserve"> </w:t>
      </w:r>
      <w:r>
        <w:rPr>
          <w:rFonts w:ascii="Calibri"/>
          <w:b/>
          <w:sz w:val="20"/>
        </w:rPr>
        <w:t>3.</w:t>
      </w:r>
      <w:r>
        <w:rPr>
          <w:rFonts w:ascii="Calibri"/>
          <w:b/>
          <w:spacing w:val="-2"/>
          <w:sz w:val="20"/>
        </w:rPr>
        <w:t xml:space="preserve"> </w:t>
      </w:r>
      <w:r>
        <w:rPr>
          <w:rFonts w:ascii="Calibri"/>
          <w:b/>
          <w:sz w:val="20"/>
        </w:rPr>
        <w:t>Payor</w:t>
      </w:r>
      <w:r>
        <w:rPr>
          <w:rFonts w:ascii="Calibri"/>
          <w:b/>
          <w:spacing w:val="-2"/>
          <w:sz w:val="20"/>
        </w:rPr>
        <w:t xml:space="preserve"> </w:t>
      </w:r>
      <w:r>
        <w:rPr>
          <w:rFonts w:ascii="Calibri"/>
          <w:b/>
          <w:sz w:val="20"/>
        </w:rPr>
        <w:t>Mix</w:t>
      </w:r>
      <w:r>
        <w:rPr>
          <w:rFonts w:ascii="Calibri"/>
          <w:b/>
          <w:sz w:val="20"/>
          <w:vertAlign w:val="superscript"/>
        </w:rPr>
        <w:t>*</w:t>
      </w:r>
    </w:p>
    <w:tbl>
      <w:tblPr>
        <w:tblW w:w="0" w:type="auto"/>
        <w:tblInd w:w="2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3"/>
        <w:gridCol w:w="929"/>
        <w:gridCol w:w="929"/>
        <w:gridCol w:w="929"/>
        <w:gridCol w:w="929"/>
      </w:tblGrid>
      <w:tr w:rsidR="00D862F2">
        <w:trPr>
          <w:trHeight w:val="220"/>
        </w:trPr>
        <w:tc>
          <w:tcPr>
            <w:tcW w:w="1123" w:type="dxa"/>
            <w:tcBorders>
              <w:top w:val="nil"/>
              <w:left w:val="nil"/>
            </w:tcBorders>
          </w:tcPr>
          <w:p w:rsidR="00D862F2" w:rsidRDefault="00D862F2">
            <w:pPr>
              <w:pStyle w:val="TableParagraph"/>
              <w:jc w:val="left"/>
              <w:rPr>
                <w:rFonts w:ascii="Times New Roman"/>
                <w:sz w:val="14"/>
              </w:rPr>
            </w:pPr>
          </w:p>
        </w:tc>
        <w:tc>
          <w:tcPr>
            <w:tcW w:w="929" w:type="dxa"/>
            <w:shd w:val="clear" w:color="auto" w:fill="2E5395"/>
          </w:tcPr>
          <w:p w:rsidR="00D862F2" w:rsidRDefault="00884FE4">
            <w:pPr>
              <w:pStyle w:val="TableParagraph"/>
              <w:spacing w:line="200" w:lineRule="exact"/>
              <w:ind w:left="287"/>
              <w:jc w:val="left"/>
              <w:rPr>
                <w:sz w:val="18"/>
              </w:rPr>
            </w:pPr>
            <w:r>
              <w:rPr>
                <w:color w:val="FFFFFF"/>
                <w:sz w:val="18"/>
              </w:rPr>
              <w:t>FY17</w:t>
            </w:r>
          </w:p>
        </w:tc>
        <w:tc>
          <w:tcPr>
            <w:tcW w:w="929" w:type="dxa"/>
            <w:shd w:val="clear" w:color="auto" w:fill="2E5395"/>
          </w:tcPr>
          <w:p w:rsidR="00D862F2" w:rsidRDefault="00884FE4">
            <w:pPr>
              <w:pStyle w:val="TableParagraph"/>
              <w:spacing w:line="200" w:lineRule="exact"/>
              <w:ind w:left="287"/>
              <w:jc w:val="left"/>
              <w:rPr>
                <w:sz w:val="18"/>
              </w:rPr>
            </w:pPr>
            <w:r>
              <w:rPr>
                <w:color w:val="FFFFFF"/>
                <w:sz w:val="18"/>
              </w:rPr>
              <w:t>FY18</w:t>
            </w:r>
          </w:p>
        </w:tc>
        <w:tc>
          <w:tcPr>
            <w:tcW w:w="929" w:type="dxa"/>
            <w:shd w:val="clear" w:color="auto" w:fill="2E5395"/>
          </w:tcPr>
          <w:p w:rsidR="00D862F2" w:rsidRDefault="00884FE4">
            <w:pPr>
              <w:pStyle w:val="TableParagraph"/>
              <w:spacing w:line="200" w:lineRule="exact"/>
              <w:ind w:left="287"/>
              <w:jc w:val="left"/>
              <w:rPr>
                <w:sz w:val="18"/>
              </w:rPr>
            </w:pPr>
            <w:r>
              <w:rPr>
                <w:color w:val="FFFFFF"/>
                <w:sz w:val="18"/>
              </w:rPr>
              <w:t>FY19</w:t>
            </w:r>
          </w:p>
        </w:tc>
        <w:tc>
          <w:tcPr>
            <w:tcW w:w="929" w:type="dxa"/>
            <w:shd w:val="clear" w:color="auto" w:fill="2E5395"/>
          </w:tcPr>
          <w:p w:rsidR="00D862F2" w:rsidRDefault="00884FE4">
            <w:pPr>
              <w:pStyle w:val="TableParagraph"/>
              <w:spacing w:line="200" w:lineRule="exact"/>
              <w:ind w:left="287"/>
              <w:jc w:val="left"/>
              <w:rPr>
                <w:sz w:val="18"/>
              </w:rPr>
            </w:pPr>
            <w:r>
              <w:rPr>
                <w:color w:val="FFFFFF"/>
                <w:sz w:val="18"/>
              </w:rPr>
              <w:t>FY20</w:t>
            </w:r>
          </w:p>
        </w:tc>
      </w:tr>
      <w:tr w:rsidR="00D862F2">
        <w:trPr>
          <w:trHeight w:val="217"/>
        </w:trPr>
        <w:tc>
          <w:tcPr>
            <w:tcW w:w="1123" w:type="dxa"/>
            <w:shd w:val="clear" w:color="auto" w:fill="2E5395"/>
          </w:tcPr>
          <w:p w:rsidR="00D862F2" w:rsidRDefault="00884FE4">
            <w:pPr>
              <w:pStyle w:val="TableParagraph"/>
              <w:spacing w:line="198" w:lineRule="exact"/>
              <w:ind w:left="107"/>
              <w:jc w:val="left"/>
              <w:rPr>
                <w:sz w:val="18"/>
              </w:rPr>
            </w:pPr>
            <w:r>
              <w:rPr>
                <w:color w:val="FFFFFF"/>
                <w:sz w:val="18"/>
              </w:rPr>
              <w:t>Medicaid</w:t>
            </w:r>
          </w:p>
        </w:tc>
        <w:tc>
          <w:tcPr>
            <w:tcW w:w="929" w:type="dxa"/>
          </w:tcPr>
          <w:p w:rsidR="00D862F2" w:rsidRDefault="00884FE4">
            <w:pPr>
              <w:pStyle w:val="TableParagraph"/>
              <w:spacing w:line="198" w:lineRule="exact"/>
              <w:ind w:left="107"/>
              <w:jc w:val="left"/>
              <w:rPr>
                <w:sz w:val="18"/>
              </w:rPr>
            </w:pPr>
            <w:r>
              <w:rPr>
                <w:sz w:val="18"/>
              </w:rPr>
              <w:t>36.0%</w:t>
            </w:r>
          </w:p>
        </w:tc>
        <w:tc>
          <w:tcPr>
            <w:tcW w:w="929" w:type="dxa"/>
          </w:tcPr>
          <w:p w:rsidR="00D862F2" w:rsidRDefault="00884FE4">
            <w:pPr>
              <w:pStyle w:val="TableParagraph"/>
              <w:spacing w:line="198" w:lineRule="exact"/>
              <w:ind w:left="107"/>
              <w:jc w:val="left"/>
              <w:rPr>
                <w:sz w:val="18"/>
              </w:rPr>
            </w:pPr>
            <w:r>
              <w:rPr>
                <w:sz w:val="18"/>
              </w:rPr>
              <w:t>37.7%</w:t>
            </w:r>
          </w:p>
        </w:tc>
        <w:tc>
          <w:tcPr>
            <w:tcW w:w="929" w:type="dxa"/>
          </w:tcPr>
          <w:p w:rsidR="00D862F2" w:rsidRDefault="00884FE4">
            <w:pPr>
              <w:pStyle w:val="TableParagraph"/>
              <w:spacing w:line="198" w:lineRule="exact"/>
              <w:ind w:left="107"/>
              <w:jc w:val="left"/>
              <w:rPr>
                <w:sz w:val="18"/>
              </w:rPr>
            </w:pPr>
            <w:r>
              <w:rPr>
                <w:sz w:val="18"/>
              </w:rPr>
              <w:t>38.2%</w:t>
            </w:r>
          </w:p>
        </w:tc>
        <w:tc>
          <w:tcPr>
            <w:tcW w:w="929" w:type="dxa"/>
          </w:tcPr>
          <w:p w:rsidR="00D862F2" w:rsidRDefault="00884FE4">
            <w:pPr>
              <w:pStyle w:val="TableParagraph"/>
              <w:spacing w:line="198" w:lineRule="exact"/>
              <w:ind w:left="107"/>
              <w:jc w:val="left"/>
              <w:rPr>
                <w:sz w:val="18"/>
              </w:rPr>
            </w:pPr>
            <w:r>
              <w:rPr>
                <w:sz w:val="18"/>
              </w:rPr>
              <w:t>39.8%</w:t>
            </w:r>
          </w:p>
        </w:tc>
      </w:tr>
      <w:tr w:rsidR="00D862F2">
        <w:trPr>
          <w:trHeight w:val="220"/>
        </w:trPr>
        <w:tc>
          <w:tcPr>
            <w:tcW w:w="1123" w:type="dxa"/>
            <w:shd w:val="clear" w:color="auto" w:fill="2E5395"/>
          </w:tcPr>
          <w:p w:rsidR="00D862F2" w:rsidRDefault="00884FE4">
            <w:pPr>
              <w:pStyle w:val="TableParagraph"/>
              <w:spacing w:line="200" w:lineRule="exact"/>
              <w:ind w:left="107"/>
              <w:jc w:val="left"/>
              <w:rPr>
                <w:sz w:val="18"/>
              </w:rPr>
            </w:pPr>
            <w:r>
              <w:rPr>
                <w:color w:val="FFFFFF"/>
                <w:sz w:val="18"/>
              </w:rPr>
              <w:t>All</w:t>
            </w:r>
            <w:r>
              <w:rPr>
                <w:color w:val="FFFFFF"/>
                <w:spacing w:val="-4"/>
                <w:sz w:val="18"/>
              </w:rPr>
              <w:t xml:space="preserve"> </w:t>
            </w:r>
            <w:r>
              <w:rPr>
                <w:color w:val="FFFFFF"/>
                <w:sz w:val="18"/>
              </w:rPr>
              <w:t>Other</w:t>
            </w:r>
          </w:p>
        </w:tc>
        <w:tc>
          <w:tcPr>
            <w:tcW w:w="929" w:type="dxa"/>
          </w:tcPr>
          <w:p w:rsidR="00D862F2" w:rsidRDefault="00884FE4">
            <w:pPr>
              <w:pStyle w:val="TableParagraph"/>
              <w:spacing w:line="200" w:lineRule="exact"/>
              <w:ind w:left="107"/>
              <w:jc w:val="left"/>
              <w:rPr>
                <w:sz w:val="18"/>
              </w:rPr>
            </w:pPr>
            <w:r>
              <w:rPr>
                <w:sz w:val="18"/>
              </w:rPr>
              <w:t>64.0%</w:t>
            </w:r>
          </w:p>
        </w:tc>
        <w:tc>
          <w:tcPr>
            <w:tcW w:w="929" w:type="dxa"/>
          </w:tcPr>
          <w:p w:rsidR="00D862F2" w:rsidRDefault="00884FE4">
            <w:pPr>
              <w:pStyle w:val="TableParagraph"/>
              <w:spacing w:line="200" w:lineRule="exact"/>
              <w:ind w:left="107"/>
              <w:jc w:val="left"/>
              <w:rPr>
                <w:sz w:val="18"/>
              </w:rPr>
            </w:pPr>
            <w:r>
              <w:rPr>
                <w:sz w:val="18"/>
              </w:rPr>
              <w:t>62.3%</w:t>
            </w:r>
          </w:p>
        </w:tc>
        <w:tc>
          <w:tcPr>
            <w:tcW w:w="929" w:type="dxa"/>
          </w:tcPr>
          <w:p w:rsidR="00D862F2" w:rsidRDefault="00884FE4">
            <w:pPr>
              <w:pStyle w:val="TableParagraph"/>
              <w:spacing w:line="200" w:lineRule="exact"/>
              <w:ind w:left="107"/>
              <w:jc w:val="left"/>
              <w:rPr>
                <w:sz w:val="18"/>
              </w:rPr>
            </w:pPr>
            <w:r>
              <w:rPr>
                <w:sz w:val="18"/>
              </w:rPr>
              <w:t>61.8%</w:t>
            </w:r>
          </w:p>
        </w:tc>
        <w:tc>
          <w:tcPr>
            <w:tcW w:w="929" w:type="dxa"/>
          </w:tcPr>
          <w:p w:rsidR="00D862F2" w:rsidRDefault="00884FE4">
            <w:pPr>
              <w:pStyle w:val="TableParagraph"/>
              <w:spacing w:line="200" w:lineRule="exact"/>
              <w:ind w:left="107"/>
              <w:jc w:val="left"/>
              <w:rPr>
                <w:sz w:val="18"/>
              </w:rPr>
            </w:pPr>
            <w:r>
              <w:rPr>
                <w:sz w:val="18"/>
              </w:rPr>
              <w:t>60.2%</w:t>
            </w:r>
          </w:p>
        </w:tc>
      </w:tr>
    </w:tbl>
    <w:p w:rsidR="00D862F2" w:rsidRDefault="00884FE4">
      <w:pPr>
        <w:ind w:left="2471"/>
        <w:rPr>
          <w:rFonts w:ascii="Calibri Light"/>
          <w:sz w:val="18"/>
        </w:rPr>
      </w:pPr>
      <w:r>
        <w:rPr>
          <w:rFonts w:ascii="Calibri Light"/>
          <w:spacing w:val="-1"/>
          <w:sz w:val="18"/>
          <w:vertAlign w:val="superscript"/>
        </w:rPr>
        <w:t>*</w:t>
      </w:r>
      <w:r>
        <w:rPr>
          <w:rFonts w:ascii="Calibri Light"/>
          <w:spacing w:val="-15"/>
          <w:sz w:val="18"/>
        </w:rPr>
        <w:t xml:space="preserve"> </w:t>
      </w:r>
      <w:r>
        <w:rPr>
          <w:rFonts w:ascii="Calibri Light"/>
          <w:spacing w:val="-1"/>
          <w:sz w:val="18"/>
        </w:rPr>
        <w:t>Payor</w:t>
      </w:r>
      <w:r>
        <w:rPr>
          <w:rFonts w:ascii="Calibri Light"/>
          <w:spacing w:val="1"/>
          <w:sz w:val="18"/>
        </w:rPr>
        <w:t xml:space="preserve"> </w:t>
      </w:r>
      <w:r>
        <w:rPr>
          <w:rFonts w:ascii="Calibri Light"/>
          <w:spacing w:val="-1"/>
          <w:sz w:val="18"/>
        </w:rPr>
        <w:t>mix</w:t>
      </w:r>
      <w:r>
        <w:rPr>
          <w:rFonts w:ascii="Calibri Light"/>
          <w:sz w:val="18"/>
        </w:rPr>
        <w:t xml:space="preserve"> </w:t>
      </w:r>
      <w:r>
        <w:rPr>
          <w:rFonts w:ascii="Calibri Light"/>
          <w:spacing w:val="-1"/>
          <w:sz w:val="18"/>
        </w:rPr>
        <w:t>based</w:t>
      </w:r>
      <w:r>
        <w:rPr>
          <w:rFonts w:ascii="Calibri Light"/>
          <w:spacing w:val="1"/>
          <w:sz w:val="18"/>
        </w:rPr>
        <w:t xml:space="preserve"> </w:t>
      </w:r>
      <w:r>
        <w:rPr>
          <w:rFonts w:ascii="Calibri Light"/>
          <w:spacing w:val="-1"/>
          <w:sz w:val="18"/>
        </w:rPr>
        <w:t>on</w:t>
      </w:r>
      <w:r>
        <w:rPr>
          <w:rFonts w:ascii="Calibri Light"/>
          <w:spacing w:val="1"/>
          <w:sz w:val="18"/>
        </w:rPr>
        <w:t xml:space="preserve"> </w:t>
      </w:r>
      <w:r>
        <w:rPr>
          <w:rFonts w:ascii="Calibri Light"/>
          <w:spacing w:val="-1"/>
          <w:sz w:val="18"/>
        </w:rPr>
        <w:t>percentage</w:t>
      </w:r>
      <w:r>
        <w:rPr>
          <w:rFonts w:ascii="Calibri Light"/>
          <w:spacing w:val="3"/>
          <w:sz w:val="18"/>
        </w:rPr>
        <w:t xml:space="preserve"> </w:t>
      </w:r>
      <w:r>
        <w:rPr>
          <w:rFonts w:ascii="Calibri Light"/>
          <w:sz w:val="18"/>
        </w:rPr>
        <w:t>of total</w:t>
      </w:r>
      <w:r>
        <w:rPr>
          <w:rFonts w:ascii="Calibri Light"/>
          <w:spacing w:val="3"/>
          <w:sz w:val="18"/>
        </w:rPr>
        <w:t xml:space="preserve"> </w:t>
      </w:r>
      <w:r>
        <w:rPr>
          <w:rFonts w:ascii="Calibri Light"/>
          <w:sz w:val="18"/>
        </w:rPr>
        <w:t>charges.</w:t>
      </w:r>
    </w:p>
    <w:p w:rsidR="00D862F2" w:rsidRDefault="00D862F2">
      <w:pPr>
        <w:pStyle w:val="BodyText"/>
        <w:rPr>
          <w:rFonts w:ascii="Calibri Light"/>
          <w:sz w:val="22"/>
        </w:rPr>
      </w:pPr>
    </w:p>
    <w:p w:rsidR="00D862F2" w:rsidRDefault="00D862F2">
      <w:pPr>
        <w:pStyle w:val="BodyText"/>
        <w:spacing w:before="4"/>
        <w:rPr>
          <w:rFonts w:ascii="Calibri Light"/>
          <w:sz w:val="23"/>
        </w:rPr>
      </w:pPr>
    </w:p>
    <w:p w:rsidR="00D862F2" w:rsidRDefault="00884FE4">
      <w:pPr>
        <w:ind w:left="3632" w:right="3691"/>
        <w:jc w:val="center"/>
        <w:rPr>
          <w:rFonts w:ascii="Calibri"/>
          <w:b/>
          <w:sz w:val="20"/>
        </w:rPr>
      </w:pPr>
      <w:r>
        <w:rPr>
          <w:rFonts w:ascii="Calibri"/>
          <w:b/>
          <w:sz w:val="20"/>
        </w:rPr>
        <w:t>Table</w:t>
      </w:r>
      <w:r>
        <w:rPr>
          <w:rFonts w:ascii="Calibri"/>
          <w:b/>
          <w:spacing w:val="-4"/>
          <w:sz w:val="20"/>
        </w:rPr>
        <w:t xml:space="preserve"> </w:t>
      </w:r>
      <w:r>
        <w:rPr>
          <w:rFonts w:ascii="Calibri"/>
          <w:b/>
          <w:sz w:val="20"/>
        </w:rPr>
        <w:t>4.</w:t>
      </w:r>
      <w:r>
        <w:rPr>
          <w:rFonts w:ascii="Calibri"/>
          <w:b/>
          <w:spacing w:val="-3"/>
          <w:sz w:val="20"/>
        </w:rPr>
        <w:t xml:space="preserve"> </w:t>
      </w:r>
      <w:r>
        <w:rPr>
          <w:rFonts w:ascii="Calibri"/>
          <w:b/>
          <w:sz w:val="20"/>
        </w:rPr>
        <w:t>Visits</w:t>
      </w:r>
      <w:r>
        <w:rPr>
          <w:rFonts w:ascii="Calibri"/>
          <w:b/>
          <w:spacing w:val="-3"/>
          <w:sz w:val="20"/>
        </w:rPr>
        <w:t xml:space="preserve"> </w:t>
      </w:r>
      <w:r>
        <w:rPr>
          <w:rFonts w:ascii="Calibri"/>
          <w:b/>
          <w:sz w:val="20"/>
        </w:rPr>
        <w:t>by</w:t>
      </w:r>
      <w:r>
        <w:rPr>
          <w:rFonts w:ascii="Calibri"/>
          <w:b/>
          <w:spacing w:val="-2"/>
          <w:sz w:val="20"/>
        </w:rPr>
        <w:t xml:space="preserve"> </w:t>
      </w:r>
      <w:r>
        <w:rPr>
          <w:rFonts w:ascii="Calibri"/>
          <w:b/>
          <w:sz w:val="20"/>
        </w:rPr>
        <w:t>Specialty*</w:t>
      </w:r>
    </w:p>
    <w:tbl>
      <w:tblPr>
        <w:tblW w:w="0" w:type="auto"/>
        <w:tblInd w:w="112" w:type="dxa"/>
        <w:tblLayout w:type="fixed"/>
        <w:tblCellMar>
          <w:left w:w="0" w:type="dxa"/>
          <w:right w:w="0" w:type="dxa"/>
        </w:tblCellMar>
        <w:tblLook w:val="01E0" w:firstRow="1" w:lastRow="1" w:firstColumn="1" w:lastColumn="1" w:noHBand="0" w:noVBand="0"/>
      </w:tblPr>
      <w:tblGrid>
        <w:gridCol w:w="648"/>
        <w:gridCol w:w="1740"/>
        <w:gridCol w:w="646"/>
        <w:gridCol w:w="539"/>
        <w:gridCol w:w="810"/>
        <w:gridCol w:w="648"/>
        <w:gridCol w:w="503"/>
        <w:gridCol w:w="810"/>
        <w:gridCol w:w="648"/>
        <w:gridCol w:w="493"/>
        <w:gridCol w:w="806"/>
        <w:gridCol w:w="651"/>
      </w:tblGrid>
      <w:tr w:rsidR="00D862F2">
        <w:trPr>
          <w:trHeight w:val="252"/>
        </w:trPr>
        <w:tc>
          <w:tcPr>
            <w:tcW w:w="648" w:type="dxa"/>
            <w:vMerge w:val="restart"/>
            <w:tcBorders>
              <w:bottom w:val="single" w:sz="4" w:space="0" w:color="D9D9D9"/>
              <w:right w:val="single" w:sz="4" w:space="0" w:color="000000"/>
            </w:tcBorders>
          </w:tcPr>
          <w:p w:rsidR="00D862F2" w:rsidRDefault="00D862F2">
            <w:pPr>
              <w:pStyle w:val="TableParagraph"/>
              <w:jc w:val="left"/>
              <w:rPr>
                <w:rFonts w:ascii="Times New Roman"/>
                <w:sz w:val="18"/>
              </w:rPr>
            </w:pPr>
          </w:p>
        </w:tc>
        <w:tc>
          <w:tcPr>
            <w:tcW w:w="2386" w:type="dxa"/>
            <w:gridSpan w:val="2"/>
            <w:vMerge w:val="restart"/>
            <w:tcBorders>
              <w:top w:val="single" w:sz="4" w:space="0" w:color="000000"/>
              <w:left w:val="single" w:sz="4" w:space="0" w:color="000000"/>
              <w:bottom w:val="single" w:sz="4" w:space="0" w:color="000000"/>
              <w:right w:val="single" w:sz="4" w:space="0" w:color="000000"/>
            </w:tcBorders>
            <w:shd w:val="clear" w:color="auto" w:fill="2E5395"/>
          </w:tcPr>
          <w:p w:rsidR="00D862F2" w:rsidRDefault="00D862F2">
            <w:pPr>
              <w:pStyle w:val="TableParagraph"/>
              <w:jc w:val="left"/>
              <w:rPr>
                <w:rFonts w:ascii="Times New Roman"/>
                <w:sz w:val="18"/>
              </w:rPr>
            </w:pPr>
          </w:p>
        </w:tc>
        <w:tc>
          <w:tcPr>
            <w:tcW w:w="539" w:type="dxa"/>
            <w:tcBorders>
              <w:top w:val="single" w:sz="4" w:space="0" w:color="000000"/>
              <w:left w:val="single" w:sz="4" w:space="0" w:color="000000"/>
            </w:tcBorders>
            <w:shd w:val="clear" w:color="auto" w:fill="2E5395"/>
          </w:tcPr>
          <w:p w:rsidR="00D862F2" w:rsidRDefault="00D862F2">
            <w:pPr>
              <w:pStyle w:val="TableParagraph"/>
              <w:jc w:val="left"/>
              <w:rPr>
                <w:rFonts w:ascii="Times New Roman"/>
                <w:sz w:val="18"/>
              </w:rPr>
            </w:pPr>
          </w:p>
        </w:tc>
        <w:tc>
          <w:tcPr>
            <w:tcW w:w="810" w:type="dxa"/>
            <w:tcBorders>
              <w:top w:val="single" w:sz="4" w:space="0" w:color="000000"/>
            </w:tcBorders>
            <w:shd w:val="clear" w:color="auto" w:fill="2E5395"/>
          </w:tcPr>
          <w:p w:rsidR="00D862F2" w:rsidRDefault="00884FE4">
            <w:pPr>
              <w:pStyle w:val="TableParagraph"/>
              <w:spacing w:before="1"/>
              <w:ind w:right="166"/>
              <w:rPr>
                <w:b/>
                <w:sz w:val="18"/>
              </w:rPr>
            </w:pPr>
            <w:r>
              <w:rPr>
                <w:b/>
                <w:color w:val="FFFFFF"/>
                <w:sz w:val="18"/>
              </w:rPr>
              <w:t>FY17</w:t>
            </w:r>
          </w:p>
        </w:tc>
        <w:tc>
          <w:tcPr>
            <w:tcW w:w="648" w:type="dxa"/>
            <w:tcBorders>
              <w:top w:val="single" w:sz="4" w:space="0" w:color="000000"/>
              <w:right w:val="single" w:sz="4" w:space="0" w:color="000000"/>
            </w:tcBorders>
            <w:shd w:val="clear" w:color="auto" w:fill="2E5395"/>
          </w:tcPr>
          <w:p w:rsidR="00D862F2" w:rsidRDefault="00D862F2">
            <w:pPr>
              <w:pStyle w:val="TableParagraph"/>
              <w:jc w:val="left"/>
              <w:rPr>
                <w:rFonts w:ascii="Times New Roman"/>
                <w:sz w:val="18"/>
              </w:rPr>
            </w:pPr>
          </w:p>
        </w:tc>
        <w:tc>
          <w:tcPr>
            <w:tcW w:w="503" w:type="dxa"/>
            <w:tcBorders>
              <w:top w:val="single" w:sz="4" w:space="0" w:color="000000"/>
              <w:left w:val="single" w:sz="4" w:space="0" w:color="000000"/>
            </w:tcBorders>
            <w:shd w:val="clear" w:color="auto" w:fill="2E5395"/>
          </w:tcPr>
          <w:p w:rsidR="00D862F2" w:rsidRDefault="00D862F2">
            <w:pPr>
              <w:pStyle w:val="TableParagraph"/>
              <w:jc w:val="left"/>
              <w:rPr>
                <w:rFonts w:ascii="Times New Roman"/>
                <w:sz w:val="18"/>
              </w:rPr>
            </w:pPr>
          </w:p>
        </w:tc>
        <w:tc>
          <w:tcPr>
            <w:tcW w:w="810" w:type="dxa"/>
            <w:tcBorders>
              <w:top w:val="single" w:sz="4" w:space="0" w:color="000000"/>
            </w:tcBorders>
            <w:shd w:val="clear" w:color="auto" w:fill="2E5395"/>
          </w:tcPr>
          <w:p w:rsidR="00D862F2" w:rsidRDefault="00884FE4">
            <w:pPr>
              <w:pStyle w:val="TableParagraph"/>
              <w:spacing w:before="1"/>
              <w:ind w:right="150"/>
              <w:rPr>
                <w:b/>
                <w:sz w:val="18"/>
              </w:rPr>
            </w:pPr>
            <w:r>
              <w:rPr>
                <w:b/>
                <w:color w:val="FFFFFF"/>
                <w:sz w:val="18"/>
              </w:rPr>
              <w:t>FY18</w:t>
            </w:r>
          </w:p>
        </w:tc>
        <w:tc>
          <w:tcPr>
            <w:tcW w:w="648" w:type="dxa"/>
            <w:tcBorders>
              <w:top w:val="single" w:sz="4" w:space="0" w:color="000000"/>
              <w:right w:val="single" w:sz="4" w:space="0" w:color="000000"/>
            </w:tcBorders>
            <w:shd w:val="clear" w:color="auto" w:fill="2E5395"/>
          </w:tcPr>
          <w:p w:rsidR="00D862F2" w:rsidRDefault="00D862F2">
            <w:pPr>
              <w:pStyle w:val="TableParagraph"/>
              <w:jc w:val="left"/>
              <w:rPr>
                <w:rFonts w:ascii="Times New Roman"/>
                <w:sz w:val="18"/>
              </w:rPr>
            </w:pPr>
          </w:p>
        </w:tc>
        <w:tc>
          <w:tcPr>
            <w:tcW w:w="493" w:type="dxa"/>
            <w:tcBorders>
              <w:top w:val="single" w:sz="4" w:space="0" w:color="000000"/>
              <w:left w:val="single" w:sz="4" w:space="0" w:color="000000"/>
            </w:tcBorders>
            <w:shd w:val="clear" w:color="auto" w:fill="2E5395"/>
          </w:tcPr>
          <w:p w:rsidR="00D862F2" w:rsidRDefault="00D862F2">
            <w:pPr>
              <w:pStyle w:val="TableParagraph"/>
              <w:jc w:val="left"/>
              <w:rPr>
                <w:rFonts w:ascii="Times New Roman"/>
                <w:sz w:val="18"/>
              </w:rPr>
            </w:pPr>
          </w:p>
        </w:tc>
        <w:tc>
          <w:tcPr>
            <w:tcW w:w="806" w:type="dxa"/>
            <w:tcBorders>
              <w:top w:val="single" w:sz="4" w:space="0" w:color="000000"/>
            </w:tcBorders>
            <w:shd w:val="clear" w:color="auto" w:fill="2E5395"/>
          </w:tcPr>
          <w:p w:rsidR="00D862F2" w:rsidRDefault="00884FE4">
            <w:pPr>
              <w:pStyle w:val="TableParagraph"/>
              <w:spacing w:before="1"/>
              <w:ind w:right="138"/>
              <w:rPr>
                <w:b/>
                <w:sz w:val="18"/>
              </w:rPr>
            </w:pPr>
            <w:r>
              <w:rPr>
                <w:b/>
                <w:color w:val="FFFFFF"/>
                <w:sz w:val="18"/>
              </w:rPr>
              <w:t>FY19</w:t>
            </w:r>
          </w:p>
        </w:tc>
        <w:tc>
          <w:tcPr>
            <w:tcW w:w="651" w:type="dxa"/>
            <w:tcBorders>
              <w:top w:val="single" w:sz="4" w:space="0" w:color="000000"/>
              <w:right w:val="single" w:sz="4" w:space="0" w:color="000000"/>
            </w:tcBorders>
            <w:shd w:val="clear" w:color="auto" w:fill="2E5395"/>
          </w:tcPr>
          <w:p w:rsidR="00D862F2" w:rsidRDefault="00D862F2">
            <w:pPr>
              <w:pStyle w:val="TableParagraph"/>
              <w:jc w:val="left"/>
              <w:rPr>
                <w:rFonts w:ascii="Times New Roman"/>
                <w:sz w:val="18"/>
              </w:rPr>
            </w:pPr>
          </w:p>
        </w:tc>
      </w:tr>
      <w:tr w:rsidR="00D862F2">
        <w:trPr>
          <w:trHeight w:val="255"/>
        </w:trPr>
        <w:tc>
          <w:tcPr>
            <w:tcW w:w="648" w:type="dxa"/>
            <w:vMerge/>
            <w:tcBorders>
              <w:top w:val="nil"/>
              <w:bottom w:val="single" w:sz="4" w:space="0" w:color="D9D9D9"/>
              <w:right w:val="single" w:sz="4" w:space="0" w:color="000000"/>
            </w:tcBorders>
          </w:tcPr>
          <w:p w:rsidR="00D862F2" w:rsidRDefault="00D862F2">
            <w:pPr>
              <w:rPr>
                <w:sz w:val="2"/>
                <w:szCs w:val="2"/>
              </w:rPr>
            </w:pPr>
          </w:p>
        </w:tc>
        <w:tc>
          <w:tcPr>
            <w:tcW w:w="2386" w:type="dxa"/>
            <w:gridSpan w:val="2"/>
            <w:vMerge/>
            <w:tcBorders>
              <w:top w:val="nil"/>
              <w:left w:val="single" w:sz="4" w:space="0" w:color="000000"/>
              <w:bottom w:val="single" w:sz="4" w:space="0" w:color="000000"/>
              <w:right w:val="single" w:sz="4" w:space="0" w:color="000000"/>
            </w:tcBorders>
            <w:shd w:val="clear" w:color="auto" w:fill="2E5395"/>
          </w:tcPr>
          <w:p w:rsidR="00D862F2" w:rsidRDefault="00D862F2">
            <w:pPr>
              <w:rPr>
                <w:sz w:val="2"/>
                <w:szCs w:val="2"/>
              </w:rPr>
            </w:pPr>
          </w:p>
        </w:tc>
        <w:tc>
          <w:tcPr>
            <w:tcW w:w="1349" w:type="dxa"/>
            <w:gridSpan w:val="2"/>
            <w:tcBorders>
              <w:left w:val="single" w:sz="4" w:space="0" w:color="000000"/>
              <w:bottom w:val="single" w:sz="4" w:space="0" w:color="000000"/>
            </w:tcBorders>
            <w:shd w:val="clear" w:color="auto" w:fill="2E5395"/>
          </w:tcPr>
          <w:p w:rsidR="00D862F2" w:rsidRDefault="00884FE4">
            <w:pPr>
              <w:pStyle w:val="TableParagraph"/>
              <w:spacing w:line="218" w:lineRule="exact"/>
              <w:ind w:left="474"/>
              <w:jc w:val="left"/>
              <w:rPr>
                <w:b/>
                <w:sz w:val="18"/>
              </w:rPr>
            </w:pPr>
            <w:r>
              <w:rPr>
                <w:b/>
                <w:color w:val="FFFFFF"/>
                <w:sz w:val="18"/>
              </w:rPr>
              <w:t>Count</w:t>
            </w:r>
          </w:p>
        </w:tc>
        <w:tc>
          <w:tcPr>
            <w:tcW w:w="648" w:type="dxa"/>
            <w:tcBorders>
              <w:bottom w:val="single" w:sz="4" w:space="0" w:color="000000"/>
              <w:right w:val="single" w:sz="4" w:space="0" w:color="000000"/>
            </w:tcBorders>
            <w:shd w:val="clear" w:color="auto" w:fill="2E5395"/>
          </w:tcPr>
          <w:p w:rsidR="00D862F2" w:rsidRDefault="00884FE4">
            <w:pPr>
              <w:pStyle w:val="TableParagraph"/>
              <w:spacing w:line="218" w:lineRule="exact"/>
              <w:ind w:left="405"/>
              <w:jc w:val="left"/>
              <w:rPr>
                <w:b/>
                <w:sz w:val="18"/>
              </w:rPr>
            </w:pPr>
            <w:r>
              <w:rPr>
                <w:b/>
                <w:color w:val="FFFFFF"/>
                <w:sz w:val="18"/>
              </w:rPr>
              <w:t>%</w:t>
            </w:r>
          </w:p>
        </w:tc>
        <w:tc>
          <w:tcPr>
            <w:tcW w:w="1313" w:type="dxa"/>
            <w:gridSpan w:val="2"/>
            <w:tcBorders>
              <w:left w:val="single" w:sz="4" w:space="0" w:color="000000"/>
              <w:bottom w:val="single" w:sz="4" w:space="0" w:color="000000"/>
            </w:tcBorders>
            <w:shd w:val="clear" w:color="auto" w:fill="2E5395"/>
          </w:tcPr>
          <w:p w:rsidR="00D862F2" w:rsidRDefault="00884FE4">
            <w:pPr>
              <w:pStyle w:val="TableParagraph"/>
              <w:spacing w:line="218" w:lineRule="exact"/>
              <w:ind w:left="438"/>
              <w:jc w:val="left"/>
              <w:rPr>
                <w:b/>
                <w:sz w:val="18"/>
              </w:rPr>
            </w:pPr>
            <w:r>
              <w:rPr>
                <w:b/>
                <w:color w:val="FFFFFF"/>
                <w:sz w:val="18"/>
              </w:rPr>
              <w:t>Count</w:t>
            </w:r>
          </w:p>
        </w:tc>
        <w:tc>
          <w:tcPr>
            <w:tcW w:w="648" w:type="dxa"/>
            <w:tcBorders>
              <w:bottom w:val="single" w:sz="4" w:space="0" w:color="000000"/>
              <w:right w:val="single" w:sz="4" w:space="0" w:color="000000"/>
            </w:tcBorders>
            <w:shd w:val="clear" w:color="auto" w:fill="2E5395"/>
          </w:tcPr>
          <w:p w:rsidR="00D862F2" w:rsidRDefault="00884FE4">
            <w:pPr>
              <w:pStyle w:val="TableParagraph"/>
              <w:spacing w:line="218" w:lineRule="exact"/>
              <w:ind w:left="404"/>
              <w:jc w:val="left"/>
              <w:rPr>
                <w:b/>
                <w:sz w:val="18"/>
              </w:rPr>
            </w:pPr>
            <w:r>
              <w:rPr>
                <w:b/>
                <w:color w:val="FFFFFF"/>
                <w:sz w:val="18"/>
              </w:rPr>
              <w:t>%</w:t>
            </w:r>
          </w:p>
        </w:tc>
        <w:tc>
          <w:tcPr>
            <w:tcW w:w="1299" w:type="dxa"/>
            <w:gridSpan w:val="2"/>
            <w:tcBorders>
              <w:left w:val="single" w:sz="4" w:space="0" w:color="000000"/>
              <w:bottom w:val="single" w:sz="4" w:space="0" w:color="000000"/>
            </w:tcBorders>
            <w:shd w:val="clear" w:color="auto" w:fill="2E5395"/>
          </w:tcPr>
          <w:p w:rsidR="00D862F2" w:rsidRDefault="00884FE4">
            <w:pPr>
              <w:pStyle w:val="TableParagraph"/>
              <w:spacing w:line="218" w:lineRule="exact"/>
              <w:ind w:left="431"/>
              <w:jc w:val="left"/>
              <w:rPr>
                <w:b/>
                <w:sz w:val="18"/>
              </w:rPr>
            </w:pPr>
            <w:r>
              <w:rPr>
                <w:b/>
                <w:color w:val="FFFFFF"/>
                <w:sz w:val="18"/>
              </w:rPr>
              <w:t>Count</w:t>
            </w:r>
          </w:p>
        </w:tc>
        <w:tc>
          <w:tcPr>
            <w:tcW w:w="651" w:type="dxa"/>
            <w:tcBorders>
              <w:bottom w:val="single" w:sz="4" w:space="0" w:color="000000"/>
              <w:right w:val="single" w:sz="4" w:space="0" w:color="000000"/>
            </w:tcBorders>
            <w:shd w:val="clear" w:color="auto" w:fill="2E5395"/>
          </w:tcPr>
          <w:p w:rsidR="00D862F2" w:rsidRDefault="00884FE4">
            <w:pPr>
              <w:pStyle w:val="TableParagraph"/>
              <w:spacing w:line="218" w:lineRule="exact"/>
              <w:ind w:left="411"/>
              <w:jc w:val="left"/>
              <w:rPr>
                <w:b/>
                <w:sz w:val="18"/>
              </w:rPr>
            </w:pPr>
            <w:r>
              <w:rPr>
                <w:b/>
                <w:color w:val="FFFFFF"/>
                <w:sz w:val="18"/>
              </w:rPr>
              <w:t>%</w:t>
            </w:r>
          </w:p>
        </w:tc>
      </w:tr>
      <w:tr w:rsidR="00D862F2">
        <w:trPr>
          <w:trHeight w:val="261"/>
        </w:trPr>
        <w:tc>
          <w:tcPr>
            <w:tcW w:w="2388" w:type="dxa"/>
            <w:gridSpan w:val="2"/>
            <w:tcBorders>
              <w:left w:val="single" w:sz="4" w:space="0" w:color="000000"/>
              <w:bottom w:val="single" w:sz="4" w:space="0" w:color="000000"/>
              <w:right w:val="single" w:sz="4" w:space="0" w:color="000000"/>
            </w:tcBorders>
            <w:shd w:val="clear" w:color="auto" w:fill="D9D9D9"/>
          </w:tcPr>
          <w:p w:rsidR="00D862F2" w:rsidRDefault="00884FE4">
            <w:pPr>
              <w:pStyle w:val="TableParagraph"/>
              <w:spacing w:before="39" w:line="202" w:lineRule="exact"/>
              <w:ind w:left="107"/>
              <w:jc w:val="left"/>
              <w:rPr>
                <w:sz w:val="18"/>
              </w:rPr>
            </w:pPr>
            <w:r>
              <w:rPr>
                <w:sz w:val="18"/>
              </w:rPr>
              <w:t>Total</w:t>
            </w:r>
            <w:r>
              <w:rPr>
                <w:spacing w:val="-2"/>
                <w:sz w:val="18"/>
              </w:rPr>
              <w:t xml:space="preserve"> </w:t>
            </w:r>
            <w:r>
              <w:rPr>
                <w:sz w:val="18"/>
              </w:rPr>
              <w:t>Visits</w:t>
            </w:r>
          </w:p>
        </w:tc>
        <w:tc>
          <w:tcPr>
            <w:tcW w:w="1995"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before="1"/>
              <w:ind w:left="338"/>
              <w:jc w:val="left"/>
              <w:rPr>
                <w:sz w:val="18"/>
              </w:rPr>
            </w:pPr>
            <w:r>
              <w:rPr>
                <w:sz w:val="18"/>
              </w:rPr>
              <w:t>545,252</w:t>
            </w:r>
          </w:p>
        </w:tc>
        <w:tc>
          <w:tcPr>
            <w:tcW w:w="1961"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before="1"/>
              <w:ind w:left="304"/>
              <w:jc w:val="left"/>
              <w:rPr>
                <w:sz w:val="18"/>
              </w:rPr>
            </w:pPr>
            <w:r>
              <w:rPr>
                <w:sz w:val="18"/>
              </w:rPr>
              <w:t>555,374</w:t>
            </w:r>
          </w:p>
        </w:tc>
        <w:tc>
          <w:tcPr>
            <w:tcW w:w="1947"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2F2" w:rsidRDefault="00884FE4">
            <w:pPr>
              <w:pStyle w:val="TableParagraph"/>
              <w:spacing w:before="1"/>
              <w:ind w:left="294"/>
              <w:jc w:val="left"/>
              <w:rPr>
                <w:sz w:val="18"/>
              </w:rPr>
            </w:pPr>
            <w:r>
              <w:rPr>
                <w:sz w:val="18"/>
              </w:rPr>
              <w:t>584,108</w:t>
            </w:r>
          </w:p>
        </w:tc>
        <w:tc>
          <w:tcPr>
            <w:tcW w:w="651" w:type="dxa"/>
            <w:vMerge w:val="restart"/>
            <w:tcBorders>
              <w:top w:val="single" w:sz="4" w:space="0" w:color="000000"/>
              <w:left w:val="single" w:sz="4" w:space="0" w:color="000000"/>
            </w:tcBorders>
          </w:tcPr>
          <w:p w:rsidR="00D862F2" w:rsidRDefault="00D862F2">
            <w:pPr>
              <w:pStyle w:val="TableParagraph"/>
              <w:jc w:val="left"/>
              <w:rPr>
                <w:rFonts w:ascii="Times New Roman"/>
                <w:sz w:val="18"/>
              </w:rPr>
            </w:pPr>
          </w:p>
        </w:tc>
      </w:tr>
      <w:tr w:rsidR="00D862F2">
        <w:trPr>
          <w:trHeight w:val="273"/>
        </w:trPr>
        <w:tc>
          <w:tcPr>
            <w:tcW w:w="2388" w:type="dxa"/>
            <w:gridSpan w:val="2"/>
            <w:tcBorders>
              <w:top w:val="single" w:sz="4" w:space="0" w:color="000000"/>
              <w:left w:val="single" w:sz="4" w:space="0" w:color="000000"/>
              <w:right w:val="single" w:sz="4" w:space="0" w:color="000000"/>
            </w:tcBorders>
          </w:tcPr>
          <w:p w:rsidR="00D862F2" w:rsidRDefault="00884FE4">
            <w:pPr>
              <w:pStyle w:val="TableParagraph"/>
              <w:spacing w:before="37" w:line="217" w:lineRule="exact"/>
              <w:ind w:left="107"/>
              <w:jc w:val="left"/>
              <w:rPr>
                <w:sz w:val="18"/>
              </w:rPr>
            </w:pPr>
            <w:r>
              <w:rPr>
                <w:sz w:val="18"/>
              </w:rPr>
              <w:t>Gastroenterology</w:t>
            </w:r>
          </w:p>
        </w:tc>
        <w:tc>
          <w:tcPr>
            <w:tcW w:w="1185" w:type="dxa"/>
            <w:gridSpan w:val="2"/>
            <w:tcBorders>
              <w:top w:val="single" w:sz="4" w:space="0" w:color="000000"/>
              <w:left w:val="single" w:sz="4" w:space="0" w:color="000000"/>
            </w:tcBorders>
          </w:tcPr>
          <w:p w:rsidR="00D862F2" w:rsidRDefault="00884FE4">
            <w:pPr>
              <w:pStyle w:val="TableParagraph"/>
              <w:spacing w:line="219" w:lineRule="exact"/>
              <w:ind w:left="429"/>
              <w:jc w:val="left"/>
              <w:rPr>
                <w:sz w:val="18"/>
              </w:rPr>
            </w:pPr>
            <w:r>
              <w:rPr>
                <w:sz w:val="18"/>
              </w:rPr>
              <w:t>31,791</w:t>
            </w:r>
          </w:p>
        </w:tc>
        <w:tc>
          <w:tcPr>
            <w:tcW w:w="810" w:type="dxa"/>
            <w:tcBorders>
              <w:top w:val="single" w:sz="4" w:space="0" w:color="000000"/>
              <w:right w:val="single" w:sz="4" w:space="0" w:color="000000"/>
            </w:tcBorders>
          </w:tcPr>
          <w:p w:rsidR="00D862F2" w:rsidRDefault="00884FE4">
            <w:pPr>
              <w:pStyle w:val="TableParagraph"/>
              <w:spacing w:line="219" w:lineRule="exact"/>
              <w:ind w:right="97"/>
              <w:rPr>
                <w:sz w:val="18"/>
              </w:rPr>
            </w:pPr>
            <w:r>
              <w:rPr>
                <w:sz w:val="18"/>
              </w:rPr>
              <w:t>5.8%</w:t>
            </w:r>
          </w:p>
        </w:tc>
        <w:tc>
          <w:tcPr>
            <w:tcW w:w="1151" w:type="dxa"/>
            <w:gridSpan w:val="2"/>
            <w:tcBorders>
              <w:top w:val="single" w:sz="4" w:space="0" w:color="000000"/>
              <w:left w:val="single" w:sz="4" w:space="0" w:color="000000"/>
            </w:tcBorders>
          </w:tcPr>
          <w:p w:rsidR="00D862F2" w:rsidRDefault="00884FE4">
            <w:pPr>
              <w:pStyle w:val="TableParagraph"/>
              <w:spacing w:line="219" w:lineRule="exact"/>
              <w:ind w:left="395"/>
              <w:jc w:val="left"/>
              <w:rPr>
                <w:sz w:val="18"/>
              </w:rPr>
            </w:pPr>
            <w:r>
              <w:rPr>
                <w:sz w:val="18"/>
              </w:rPr>
              <w:t>32,156</w:t>
            </w:r>
          </w:p>
        </w:tc>
        <w:tc>
          <w:tcPr>
            <w:tcW w:w="810" w:type="dxa"/>
            <w:tcBorders>
              <w:top w:val="single" w:sz="4" w:space="0" w:color="000000"/>
              <w:right w:val="single" w:sz="4" w:space="0" w:color="000000"/>
            </w:tcBorders>
          </w:tcPr>
          <w:p w:rsidR="00D862F2" w:rsidRDefault="00884FE4">
            <w:pPr>
              <w:pStyle w:val="TableParagraph"/>
              <w:spacing w:line="219" w:lineRule="exact"/>
              <w:ind w:right="97"/>
              <w:rPr>
                <w:sz w:val="18"/>
              </w:rPr>
            </w:pPr>
            <w:r>
              <w:rPr>
                <w:sz w:val="18"/>
              </w:rPr>
              <w:t>5.8%</w:t>
            </w:r>
          </w:p>
        </w:tc>
        <w:tc>
          <w:tcPr>
            <w:tcW w:w="1141" w:type="dxa"/>
            <w:gridSpan w:val="2"/>
            <w:tcBorders>
              <w:top w:val="single" w:sz="4" w:space="0" w:color="000000"/>
              <w:left w:val="single" w:sz="4" w:space="0" w:color="000000"/>
            </w:tcBorders>
          </w:tcPr>
          <w:p w:rsidR="00D862F2" w:rsidRDefault="00884FE4">
            <w:pPr>
              <w:pStyle w:val="TableParagraph"/>
              <w:spacing w:line="219" w:lineRule="exact"/>
              <w:ind w:left="385"/>
              <w:jc w:val="left"/>
              <w:rPr>
                <w:sz w:val="18"/>
              </w:rPr>
            </w:pPr>
            <w:r>
              <w:rPr>
                <w:sz w:val="18"/>
              </w:rPr>
              <w:t>31,845</w:t>
            </w:r>
          </w:p>
        </w:tc>
        <w:tc>
          <w:tcPr>
            <w:tcW w:w="806" w:type="dxa"/>
            <w:tcBorders>
              <w:top w:val="single" w:sz="4" w:space="0" w:color="000000"/>
              <w:right w:val="single" w:sz="4" w:space="0" w:color="000000"/>
            </w:tcBorders>
          </w:tcPr>
          <w:p w:rsidR="00D862F2" w:rsidRDefault="00884FE4">
            <w:pPr>
              <w:pStyle w:val="TableParagraph"/>
              <w:spacing w:line="219" w:lineRule="exact"/>
              <w:ind w:right="93"/>
              <w:rPr>
                <w:sz w:val="18"/>
              </w:rPr>
            </w:pPr>
            <w:r>
              <w:rPr>
                <w:sz w:val="18"/>
              </w:rPr>
              <w:t>5.5%</w:t>
            </w:r>
          </w:p>
        </w:tc>
        <w:tc>
          <w:tcPr>
            <w:tcW w:w="651"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22" w:line="217" w:lineRule="exact"/>
              <w:ind w:left="107"/>
              <w:jc w:val="left"/>
              <w:rPr>
                <w:sz w:val="18"/>
              </w:rPr>
            </w:pPr>
            <w:r>
              <w:rPr>
                <w:sz w:val="18"/>
              </w:rPr>
              <w:t>Ophthalmology</w:t>
            </w:r>
          </w:p>
        </w:tc>
        <w:tc>
          <w:tcPr>
            <w:tcW w:w="1185" w:type="dxa"/>
            <w:gridSpan w:val="2"/>
            <w:tcBorders>
              <w:left w:val="single" w:sz="4" w:space="0" w:color="000000"/>
            </w:tcBorders>
          </w:tcPr>
          <w:p w:rsidR="00D862F2" w:rsidRDefault="00884FE4">
            <w:pPr>
              <w:pStyle w:val="TableParagraph"/>
              <w:spacing w:line="204" w:lineRule="exact"/>
              <w:ind w:left="429"/>
              <w:jc w:val="left"/>
              <w:rPr>
                <w:sz w:val="18"/>
              </w:rPr>
            </w:pPr>
            <w:r>
              <w:rPr>
                <w:sz w:val="18"/>
              </w:rPr>
              <w:t>35,771</w:t>
            </w:r>
          </w:p>
        </w:tc>
        <w:tc>
          <w:tcPr>
            <w:tcW w:w="810" w:type="dxa"/>
            <w:tcBorders>
              <w:right w:val="single" w:sz="4" w:space="0" w:color="000000"/>
            </w:tcBorders>
          </w:tcPr>
          <w:p w:rsidR="00D862F2" w:rsidRDefault="00884FE4">
            <w:pPr>
              <w:pStyle w:val="TableParagraph"/>
              <w:spacing w:line="204" w:lineRule="exact"/>
              <w:ind w:right="97"/>
              <w:rPr>
                <w:sz w:val="18"/>
              </w:rPr>
            </w:pPr>
            <w:r>
              <w:rPr>
                <w:sz w:val="18"/>
              </w:rPr>
              <w:t>6.6%</w:t>
            </w:r>
          </w:p>
        </w:tc>
        <w:tc>
          <w:tcPr>
            <w:tcW w:w="1151" w:type="dxa"/>
            <w:gridSpan w:val="2"/>
            <w:tcBorders>
              <w:left w:val="single" w:sz="4" w:space="0" w:color="000000"/>
            </w:tcBorders>
          </w:tcPr>
          <w:p w:rsidR="00D862F2" w:rsidRDefault="00884FE4">
            <w:pPr>
              <w:pStyle w:val="TableParagraph"/>
              <w:spacing w:line="204" w:lineRule="exact"/>
              <w:ind w:left="395"/>
              <w:jc w:val="left"/>
              <w:rPr>
                <w:sz w:val="18"/>
              </w:rPr>
            </w:pPr>
            <w:r>
              <w:rPr>
                <w:sz w:val="18"/>
              </w:rPr>
              <w:t>36,584</w:t>
            </w:r>
          </w:p>
        </w:tc>
        <w:tc>
          <w:tcPr>
            <w:tcW w:w="810" w:type="dxa"/>
            <w:tcBorders>
              <w:right w:val="single" w:sz="4" w:space="0" w:color="000000"/>
            </w:tcBorders>
          </w:tcPr>
          <w:p w:rsidR="00D862F2" w:rsidRDefault="00884FE4">
            <w:pPr>
              <w:pStyle w:val="TableParagraph"/>
              <w:spacing w:line="204" w:lineRule="exact"/>
              <w:ind w:right="97"/>
              <w:rPr>
                <w:sz w:val="18"/>
              </w:rPr>
            </w:pPr>
            <w:r>
              <w:rPr>
                <w:sz w:val="18"/>
              </w:rPr>
              <w:t>6.6%</w:t>
            </w:r>
          </w:p>
        </w:tc>
        <w:tc>
          <w:tcPr>
            <w:tcW w:w="1141" w:type="dxa"/>
            <w:gridSpan w:val="2"/>
            <w:tcBorders>
              <w:left w:val="single" w:sz="4" w:space="0" w:color="000000"/>
            </w:tcBorders>
          </w:tcPr>
          <w:p w:rsidR="00D862F2" w:rsidRDefault="00884FE4">
            <w:pPr>
              <w:pStyle w:val="TableParagraph"/>
              <w:spacing w:line="204" w:lineRule="exact"/>
              <w:ind w:left="385"/>
              <w:jc w:val="left"/>
              <w:rPr>
                <w:sz w:val="18"/>
              </w:rPr>
            </w:pPr>
            <w:r>
              <w:rPr>
                <w:sz w:val="18"/>
              </w:rPr>
              <w:t>39,992</w:t>
            </w:r>
          </w:p>
        </w:tc>
        <w:tc>
          <w:tcPr>
            <w:tcW w:w="806" w:type="dxa"/>
            <w:tcBorders>
              <w:right w:val="single" w:sz="4" w:space="0" w:color="000000"/>
            </w:tcBorders>
          </w:tcPr>
          <w:p w:rsidR="00D862F2" w:rsidRDefault="00884FE4">
            <w:pPr>
              <w:pStyle w:val="TableParagraph"/>
              <w:spacing w:line="204" w:lineRule="exact"/>
              <w:ind w:right="93"/>
              <w:rPr>
                <w:sz w:val="18"/>
              </w:rPr>
            </w:pPr>
            <w:r>
              <w:rPr>
                <w:sz w:val="18"/>
              </w:rPr>
              <w:t>6.8%</w:t>
            </w:r>
          </w:p>
        </w:tc>
        <w:tc>
          <w:tcPr>
            <w:tcW w:w="651" w:type="dxa"/>
            <w:vMerge/>
            <w:tcBorders>
              <w:top w:val="nil"/>
              <w:left w:val="single" w:sz="4" w:space="0" w:color="000000"/>
            </w:tcBorders>
          </w:tcPr>
          <w:p w:rsidR="00D862F2" w:rsidRDefault="00D862F2">
            <w:pPr>
              <w:rPr>
                <w:sz w:val="2"/>
                <w:szCs w:val="2"/>
              </w:rPr>
            </w:pPr>
          </w:p>
        </w:tc>
      </w:tr>
      <w:tr w:rsidR="00D862F2">
        <w:trPr>
          <w:trHeight w:val="258"/>
        </w:trPr>
        <w:tc>
          <w:tcPr>
            <w:tcW w:w="2388" w:type="dxa"/>
            <w:gridSpan w:val="2"/>
            <w:tcBorders>
              <w:left w:val="single" w:sz="4" w:space="0" w:color="000000"/>
              <w:right w:val="single" w:sz="4" w:space="0" w:color="000000"/>
            </w:tcBorders>
          </w:tcPr>
          <w:p w:rsidR="00D862F2" w:rsidRDefault="00884FE4">
            <w:pPr>
              <w:pStyle w:val="TableParagraph"/>
              <w:spacing w:before="22" w:line="216" w:lineRule="exact"/>
              <w:ind w:left="107"/>
              <w:jc w:val="left"/>
              <w:rPr>
                <w:sz w:val="18"/>
              </w:rPr>
            </w:pPr>
            <w:r>
              <w:rPr>
                <w:sz w:val="18"/>
              </w:rPr>
              <w:t>Orthopedics</w:t>
            </w:r>
          </w:p>
        </w:tc>
        <w:tc>
          <w:tcPr>
            <w:tcW w:w="1185" w:type="dxa"/>
            <w:gridSpan w:val="2"/>
            <w:tcBorders>
              <w:left w:val="single" w:sz="4" w:space="0" w:color="000000"/>
            </w:tcBorders>
          </w:tcPr>
          <w:p w:rsidR="00D862F2" w:rsidRDefault="00884FE4">
            <w:pPr>
              <w:pStyle w:val="TableParagraph"/>
              <w:spacing w:line="204" w:lineRule="exact"/>
              <w:ind w:left="429"/>
              <w:jc w:val="left"/>
              <w:rPr>
                <w:sz w:val="18"/>
              </w:rPr>
            </w:pPr>
            <w:r>
              <w:rPr>
                <w:sz w:val="18"/>
              </w:rPr>
              <w:t>85,944</w:t>
            </w:r>
          </w:p>
        </w:tc>
        <w:tc>
          <w:tcPr>
            <w:tcW w:w="810" w:type="dxa"/>
            <w:tcBorders>
              <w:right w:val="single" w:sz="4" w:space="0" w:color="000000"/>
            </w:tcBorders>
          </w:tcPr>
          <w:p w:rsidR="00D862F2" w:rsidRDefault="00884FE4">
            <w:pPr>
              <w:pStyle w:val="TableParagraph"/>
              <w:spacing w:line="204" w:lineRule="exact"/>
              <w:ind w:right="97"/>
              <w:rPr>
                <w:sz w:val="18"/>
              </w:rPr>
            </w:pPr>
            <w:r>
              <w:rPr>
                <w:sz w:val="18"/>
              </w:rPr>
              <w:t>15.8%</w:t>
            </w:r>
          </w:p>
        </w:tc>
        <w:tc>
          <w:tcPr>
            <w:tcW w:w="1151" w:type="dxa"/>
            <w:gridSpan w:val="2"/>
            <w:tcBorders>
              <w:left w:val="single" w:sz="4" w:space="0" w:color="000000"/>
            </w:tcBorders>
          </w:tcPr>
          <w:p w:rsidR="00D862F2" w:rsidRDefault="00884FE4">
            <w:pPr>
              <w:pStyle w:val="TableParagraph"/>
              <w:spacing w:line="204" w:lineRule="exact"/>
              <w:ind w:left="395"/>
              <w:jc w:val="left"/>
              <w:rPr>
                <w:sz w:val="18"/>
              </w:rPr>
            </w:pPr>
            <w:r>
              <w:rPr>
                <w:sz w:val="18"/>
              </w:rPr>
              <w:t>88,513</w:t>
            </w:r>
          </w:p>
        </w:tc>
        <w:tc>
          <w:tcPr>
            <w:tcW w:w="810" w:type="dxa"/>
            <w:tcBorders>
              <w:right w:val="single" w:sz="4" w:space="0" w:color="000000"/>
            </w:tcBorders>
          </w:tcPr>
          <w:p w:rsidR="00D862F2" w:rsidRDefault="00884FE4">
            <w:pPr>
              <w:pStyle w:val="TableParagraph"/>
              <w:spacing w:line="204" w:lineRule="exact"/>
              <w:ind w:right="97"/>
              <w:rPr>
                <w:sz w:val="18"/>
              </w:rPr>
            </w:pPr>
            <w:r>
              <w:rPr>
                <w:sz w:val="18"/>
              </w:rPr>
              <w:t>15.9%</w:t>
            </w:r>
          </w:p>
        </w:tc>
        <w:tc>
          <w:tcPr>
            <w:tcW w:w="1141" w:type="dxa"/>
            <w:gridSpan w:val="2"/>
            <w:tcBorders>
              <w:left w:val="single" w:sz="4" w:space="0" w:color="000000"/>
            </w:tcBorders>
          </w:tcPr>
          <w:p w:rsidR="00D862F2" w:rsidRDefault="00884FE4">
            <w:pPr>
              <w:pStyle w:val="TableParagraph"/>
              <w:spacing w:line="204" w:lineRule="exact"/>
              <w:ind w:left="385"/>
              <w:jc w:val="left"/>
              <w:rPr>
                <w:sz w:val="18"/>
              </w:rPr>
            </w:pPr>
            <w:r>
              <w:rPr>
                <w:sz w:val="18"/>
              </w:rPr>
              <w:t>93,148</w:t>
            </w:r>
          </w:p>
        </w:tc>
        <w:tc>
          <w:tcPr>
            <w:tcW w:w="806" w:type="dxa"/>
            <w:tcBorders>
              <w:right w:val="single" w:sz="4" w:space="0" w:color="000000"/>
            </w:tcBorders>
          </w:tcPr>
          <w:p w:rsidR="00D862F2" w:rsidRDefault="00884FE4">
            <w:pPr>
              <w:pStyle w:val="TableParagraph"/>
              <w:spacing w:line="204" w:lineRule="exact"/>
              <w:ind w:right="93"/>
              <w:rPr>
                <w:sz w:val="18"/>
              </w:rPr>
            </w:pPr>
            <w:r>
              <w:rPr>
                <w:sz w:val="18"/>
              </w:rPr>
              <w:t>15.9%</w:t>
            </w:r>
          </w:p>
        </w:tc>
        <w:tc>
          <w:tcPr>
            <w:tcW w:w="651" w:type="dxa"/>
            <w:vMerge/>
            <w:tcBorders>
              <w:top w:val="nil"/>
              <w:left w:val="single" w:sz="4" w:space="0" w:color="000000"/>
            </w:tcBorders>
          </w:tcPr>
          <w:p w:rsidR="00D862F2" w:rsidRDefault="00D862F2">
            <w:pPr>
              <w:rPr>
                <w:sz w:val="2"/>
                <w:szCs w:val="2"/>
              </w:rPr>
            </w:pPr>
          </w:p>
        </w:tc>
      </w:tr>
      <w:tr w:rsidR="00D862F2">
        <w:trPr>
          <w:trHeight w:val="259"/>
        </w:trPr>
        <w:tc>
          <w:tcPr>
            <w:tcW w:w="2388" w:type="dxa"/>
            <w:gridSpan w:val="2"/>
            <w:tcBorders>
              <w:left w:val="single" w:sz="4" w:space="0" w:color="000000"/>
              <w:right w:val="single" w:sz="4" w:space="0" w:color="000000"/>
            </w:tcBorders>
          </w:tcPr>
          <w:p w:rsidR="00D862F2" w:rsidRDefault="00884FE4">
            <w:pPr>
              <w:pStyle w:val="TableParagraph"/>
              <w:spacing w:before="23" w:line="216" w:lineRule="exact"/>
              <w:ind w:left="107"/>
              <w:jc w:val="left"/>
              <w:rPr>
                <w:sz w:val="18"/>
              </w:rPr>
            </w:pPr>
            <w:r>
              <w:rPr>
                <w:sz w:val="18"/>
              </w:rPr>
              <w:t>Psychiatry</w:t>
            </w:r>
          </w:p>
        </w:tc>
        <w:tc>
          <w:tcPr>
            <w:tcW w:w="1185" w:type="dxa"/>
            <w:gridSpan w:val="2"/>
            <w:tcBorders>
              <w:left w:val="single" w:sz="4" w:space="0" w:color="000000"/>
            </w:tcBorders>
          </w:tcPr>
          <w:p w:rsidR="00D862F2" w:rsidRDefault="00884FE4">
            <w:pPr>
              <w:pStyle w:val="TableParagraph"/>
              <w:spacing w:line="203" w:lineRule="exact"/>
              <w:ind w:left="429"/>
              <w:jc w:val="left"/>
              <w:rPr>
                <w:sz w:val="18"/>
              </w:rPr>
            </w:pPr>
            <w:r>
              <w:rPr>
                <w:sz w:val="18"/>
              </w:rPr>
              <w:t>21,121</w:t>
            </w:r>
          </w:p>
        </w:tc>
        <w:tc>
          <w:tcPr>
            <w:tcW w:w="810" w:type="dxa"/>
            <w:tcBorders>
              <w:right w:val="single" w:sz="4" w:space="0" w:color="000000"/>
            </w:tcBorders>
          </w:tcPr>
          <w:p w:rsidR="00D862F2" w:rsidRDefault="00884FE4">
            <w:pPr>
              <w:pStyle w:val="TableParagraph"/>
              <w:spacing w:line="203" w:lineRule="exact"/>
              <w:ind w:right="97"/>
              <w:rPr>
                <w:sz w:val="18"/>
              </w:rPr>
            </w:pPr>
            <w:r>
              <w:rPr>
                <w:sz w:val="18"/>
              </w:rPr>
              <w:t>3.9%</w:t>
            </w:r>
          </w:p>
        </w:tc>
        <w:tc>
          <w:tcPr>
            <w:tcW w:w="1151" w:type="dxa"/>
            <w:gridSpan w:val="2"/>
            <w:tcBorders>
              <w:left w:val="single" w:sz="4" w:space="0" w:color="000000"/>
            </w:tcBorders>
          </w:tcPr>
          <w:p w:rsidR="00D862F2" w:rsidRDefault="00884FE4">
            <w:pPr>
              <w:pStyle w:val="TableParagraph"/>
              <w:spacing w:line="203" w:lineRule="exact"/>
              <w:ind w:left="395"/>
              <w:jc w:val="left"/>
              <w:rPr>
                <w:sz w:val="18"/>
              </w:rPr>
            </w:pPr>
            <w:r>
              <w:rPr>
                <w:sz w:val="18"/>
              </w:rPr>
              <w:t>23,071</w:t>
            </w:r>
          </w:p>
        </w:tc>
        <w:tc>
          <w:tcPr>
            <w:tcW w:w="810" w:type="dxa"/>
            <w:tcBorders>
              <w:right w:val="single" w:sz="4" w:space="0" w:color="000000"/>
            </w:tcBorders>
          </w:tcPr>
          <w:p w:rsidR="00D862F2" w:rsidRDefault="00884FE4">
            <w:pPr>
              <w:pStyle w:val="TableParagraph"/>
              <w:spacing w:line="203" w:lineRule="exact"/>
              <w:ind w:right="97"/>
              <w:rPr>
                <w:sz w:val="18"/>
              </w:rPr>
            </w:pPr>
            <w:r>
              <w:rPr>
                <w:sz w:val="18"/>
              </w:rPr>
              <w:t>4.2%</w:t>
            </w:r>
          </w:p>
        </w:tc>
        <w:tc>
          <w:tcPr>
            <w:tcW w:w="1141" w:type="dxa"/>
            <w:gridSpan w:val="2"/>
            <w:tcBorders>
              <w:left w:val="single" w:sz="4" w:space="0" w:color="000000"/>
            </w:tcBorders>
          </w:tcPr>
          <w:p w:rsidR="00D862F2" w:rsidRDefault="00884FE4">
            <w:pPr>
              <w:pStyle w:val="TableParagraph"/>
              <w:spacing w:line="203" w:lineRule="exact"/>
              <w:ind w:left="385"/>
              <w:jc w:val="left"/>
              <w:rPr>
                <w:sz w:val="18"/>
              </w:rPr>
            </w:pPr>
            <w:r>
              <w:rPr>
                <w:sz w:val="18"/>
              </w:rPr>
              <w:t>27,663</w:t>
            </w:r>
          </w:p>
        </w:tc>
        <w:tc>
          <w:tcPr>
            <w:tcW w:w="806" w:type="dxa"/>
            <w:tcBorders>
              <w:right w:val="single" w:sz="4" w:space="0" w:color="000000"/>
            </w:tcBorders>
          </w:tcPr>
          <w:p w:rsidR="00D862F2" w:rsidRDefault="00884FE4">
            <w:pPr>
              <w:pStyle w:val="TableParagraph"/>
              <w:spacing w:line="203" w:lineRule="exact"/>
              <w:ind w:right="93"/>
              <w:rPr>
                <w:sz w:val="18"/>
              </w:rPr>
            </w:pPr>
            <w:r>
              <w:rPr>
                <w:sz w:val="18"/>
              </w:rPr>
              <w:t>4.7%</w:t>
            </w:r>
          </w:p>
        </w:tc>
        <w:tc>
          <w:tcPr>
            <w:tcW w:w="651" w:type="dxa"/>
            <w:vMerge/>
            <w:tcBorders>
              <w:top w:val="nil"/>
              <w:left w:val="single" w:sz="4" w:space="0" w:color="000000"/>
            </w:tcBorders>
          </w:tcPr>
          <w:p w:rsidR="00D862F2" w:rsidRDefault="00D862F2">
            <w:pPr>
              <w:rPr>
                <w:sz w:val="2"/>
                <w:szCs w:val="2"/>
              </w:rPr>
            </w:pPr>
          </w:p>
        </w:tc>
      </w:tr>
      <w:tr w:rsidR="00D862F2">
        <w:trPr>
          <w:trHeight w:val="242"/>
        </w:trPr>
        <w:tc>
          <w:tcPr>
            <w:tcW w:w="2388" w:type="dxa"/>
            <w:gridSpan w:val="2"/>
            <w:tcBorders>
              <w:left w:val="single" w:sz="4" w:space="0" w:color="000000"/>
              <w:bottom w:val="single" w:sz="4" w:space="0" w:color="000000"/>
              <w:right w:val="single" w:sz="4" w:space="0" w:color="000000"/>
            </w:tcBorders>
          </w:tcPr>
          <w:p w:rsidR="00D862F2" w:rsidRDefault="00884FE4">
            <w:pPr>
              <w:pStyle w:val="TableParagraph"/>
              <w:spacing w:before="23" w:line="199" w:lineRule="exact"/>
              <w:ind w:left="107"/>
              <w:jc w:val="left"/>
              <w:rPr>
                <w:sz w:val="18"/>
              </w:rPr>
            </w:pPr>
            <w:r>
              <w:rPr>
                <w:sz w:val="18"/>
              </w:rPr>
              <w:t>All</w:t>
            </w:r>
            <w:r>
              <w:rPr>
                <w:spacing w:val="-4"/>
                <w:sz w:val="18"/>
              </w:rPr>
              <w:t xml:space="preserve"> </w:t>
            </w:r>
            <w:r>
              <w:rPr>
                <w:sz w:val="18"/>
              </w:rPr>
              <w:t>Other</w:t>
            </w:r>
          </w:p>
        </w:tc>
        <w:tc>
          <w:tcPr>
            <w:tcW w:w="1185" w:type="dxa"/>
            <w:gridSpan w:val="2"/>
            <w:tcBorders>
              <w:left w:val="single" w:sz="4" w:space="0" w:color="000000"/>
              <w:bottom w:val="single" w:sz="4" w:space="0" w:color="000000"/>
            </w:tcBorders>
          </w:tcPr>
          <w:p w:rsidR="00D862F2" w:rsidRDefault="00884FE4">
            <w:pPr>
              <w:pStyle w:val="TableParagraph"/>
              <w:spacing w:line="203" w:lineRule="exact"/>
              <w:ind w:left="338"/>
              <w:jc w:val="left"/>
              <w:rPr>
                <w:sz w:val="18"/>
              </w:rPr>
            </w:pPr>
            <w:r>
              <w:rPr>
                <w:sz w:val="18"/>
              </w:rPr>
              <w:t>370,625</w:t>
            </w:r>
          </w:p>
        </w:tc>
        <w:tc>
          <w:tcPr>
            <w:tcW w:w="810" w:type="dxa"/>
            <w:tcBorders>
              <w:bottom w:val="single" w:sz="4" w:space="0" w:color="000000"/>
              <w:right w:val="single" w:sz="4" w:space="0" w:color="000000"/>
            </w:tcBorders>
          </w:tcPr>
          <w:p w:rsidR="00D862F2" w:rsidRDefault="00884FE4">
            <w:pPr>
              <w:pStyle w:val="TableParagraph"/>
              <w:spacing w:line="203" w:lineRule="exact"/>
              <w:ind w:right="97"/>
              <w:rPr>
                <w:sz w:val="18"/>
              </w:rPr>
            </w:pPr>
            <w:r>
              <w:rPr>
                <w:sz w:val="18"/>
              </w:rPr>
              <w:t>68.0%</w:t>
            </w:r>
          </w:p>
        </w:tc>
        <w:tc>
          <w:tcPr>
            <w:tcW w:w="1151" w:type="dxa"/>
            <w:gridSpan w:val="2"/>
            <w:tcBorders>
              <w:left w:val="single" w:sz="4" w:space="0" w:color="000000"/>
              <w:bottom w:val="single" w:sz="4" w:space="0" w:color="000000"/>
            </w:tcBorders>
          </w:tcPr>
          <w:p w:rsidR="00D862F2" w:rsidRDefault="00884FE4">
            <w:pPr>
              <w:pStyle w:val="TableParagraph"/>
              <w:spacing w:line="203" w:lineRule="exact"/>
              <w:ind w:left="304"/>
              <w:jc w:val="left"/>
              <w:rPr>
                <w:sz w:val="18"/>
              </w:rPr>
            </w:pPr>
            <w:r>
              <w:rPr>
                <w:sz w:val="18"/>
              </w:rPr>
              <w:t>375,050</w:t>
            </w:r>
          </w:p>
        </w:tc>
        <w:tc>
          <w:tcPr>
            <w:tcW w:w="810" w:type="dxa"/>
            <w:tcBorders>
              <w:bottom w:val="single" w:sz="4" w:space="0" w:color="000000"/>
              <w:right w:val="single" w:sz="4" w:space="0" w:color="000000"/>
            </w:tcBorders>
          </w:tcPr>
          <w:p w:rsidR="00D862F2" w:rsidRDefault="00884FE4">
            <w:pPr>
              <w:pStyle w:val="TableParagraph"/>
              <w:spacing w:line="203" w:lineRule="exact"/>
              <w:ind w:right="97"/>
              <w:rPr>
                <w:sz w:val="18"/>
              </w:rPr>
            </w:pPr>
            <w:r>
              <w:rPr>
                <w:sz w:val="18"/>
              </w:rPr>
              <w:t>67.5%</w:t>
            </w:r>
          </w:p>
        </w:tc>
        <w:tc>
          <w:tcPr>
            <w:tcW w:w="1141" w:type="dxa"/>
            <w:gridSpan w:val="2"/>
            <w:tcBorders>
              <w:left w:val="single" w:sz="4" w:space="0" w:color="000000"/>
              <w:bottom w:val="single" w:sz="4" w:space="0" w:color="000000"/>
            </w:tcBorders>
          </w:tcPr>
          <w:p w:rsidR="00D862F2" w:rsidRDefault="00884FE4">
            <w:pPr>
              <w:pStyle w:val="TableParagraph"/>
              <w:spacing w:line="203" w:lineRule="exact"/>
              <w:ind w:left="294"/>
              <w:jc w:val="left"/>
              <w:rPr>
                <w:sz w:val="18"/>
              </w:rPr>
            </w:pPr>
            <w:r>
              <w:rPr>
                <w:sz w:val="18"/>
              </w:rPr>
              <w:t>391,460</w:t>
            </w:r>
          </w:p>
        </w:tc>
        <w:tc>
          <w:tcPr>
            <w:tcW w:w="806" w:type="dxa"/>
            <w:tcBorders>
              <w:bottom w:val="single" w:sz="4" w:space="0" w:color="000000"/>
              <w:right w:val="single" w:sz="4" w:space="0" w:color="000000"/>
            </w:tcBorders>
          </w:tcPr>
          <w:p w:rsidR="00D862F2" w:rsidRDefault="00884FE4">
            <w:pPr>
              <w:pStyle w:val="TableParagraph"/>
              <w:spacing w:line="203" w:lineRule="exact"/>
              <w:ind w:right="93"/>
              <w:rPr>
                <w:sz w:val="18"/>
              </w:rPr>
            </w:pPr>
            <w:r>
              <w:rPr>
                <w:sz w:val="18"/>
              </w:rPr>
              <w:t>67.0%</w:t>
            </w:r>
          </w:p>
        </w:tc>
        <w:tc>
          <w:tcPr>
            <w:tcW w:w="651" w:type="dxa"/>
            <w:vMerge/>
            <w:tcBorders>
              <w:top w:val="nil"/>
              <w:left w:val="single" w:sz="4" w:space="0" w:color="000000"/>
            </w:tcBorders>
          </w:tcPr>
          <w:p w:rsidR="00D862F2" w:rsidRDefault="00D862F2">
            <w:pPr>
              <w:rPr>
                <w:sz w:val="2"/>
                <w:szCs w:val="2"/>
              </w:rPr>
            </w:pPr>
          </w:p>
        </w:tc>
      </w:tr>
    </w:tbl>
    <w:p w:rsidR="00D862F2" w:rsidRDefault="00884FE4">
      <w:pPr>
        <w:spacing w:before="1"/>
        <w:ind w:left="760"/>
        <w:rPr>
          <w:rFonts w:ascii="Calibri" w:hAnsi="Calibri"/>
          <w:sz w:val="18"/>
        </w:rPr>
      </w:pPr>
      <w:r>
        <w:rPr>
          <w:rFonts w:ascii="Calibri" w:hAnsi="Calibri"/>
          <w:sz w:val="18"/>
        </w:rPr>
        <w:t>*</w:t>
      </w:r>
      <w:r>
        <w:rPr>
          <w:rFonts w:ascii="Calibri" w:hAnsi="Calibri"/>
          <w:spacing w:val="-3"/>
          <w:sz w:val="18"/>
        </w:rPr>
        <w:t xml:space="preserve"> </w:t>
      </w:r>
      <w:r>
        <w:rPr>
          <w:rFonts w:ascii="Calibri" w:hAnsi="Calibri"/>
          <w:sz w:val="18"/>
        </w:rPr>
        <w:t>Includes</w:t>
      </w:r>
      <w:r>
        <w:rPr>
          <w:rFonts w:ascii="Calibri" w:hAnsi="Calibri"/>
          <w:spacing w:val="-3"/>
          <w:sz w:val="18"/>
        </w:rPr>
        <w:t xml:space="preserve"> </w:t>
      </w:r>
      <w:r>
        <w:rPr>
          <w:rFonts w:ascii="Calibri" w:hAnsi="Calibri"/>
          <w:sz w:val="18"/>
        </w:rPr>
        <w:t>Boston</w:t>
      </w:r>
      <w:r>
        <w:rPr>
          <w:rFonts w:ascii="Calibri" w:hAnsi="Calibri"/>
          <w:spacing w:val="-2"/>
          <w:sz w:val="18"/>
        </w:rPr>
        <w:t xml:space="preserve"> </w:t>
      </w:r>
      <w:r>
        <w:rPr>
          <w:rFonts w:ascii="Calibri" w:hAnsi="Calibri"/>
          <w:sz w:val="18"/>
        </w:rPr>
        <w:t>Children’s</w:t>
      </w:r>
      <w:r>
        <w:rPr>
          <w:rFonts w:ascii="Calibri" w:hAnsi="Calibri"/>
          <w:spacing w:val="-3"/>
          <w:sz w:val="18"/>
        </w:rPr>
        <w:t xml:space="preserve"> </w:t>
      </w:r>
      <w:r>
        <w:rPr>
          <w:rFonts w:ascii="Calibri" w:hAnsi="Calibri"/>
          <w:sz w:val="18"/>
        </w:rPr>
        <w:t>faculty</w:t>
      </w:r>
      <w:r>
        <w:rPr>
          <w:rFonts w:ascii="Calibri" w:hAnsi="Calibri"/>
          <w:spacing w:val="-2"/>
          <w:sz w:val="18"/>
        </w:rPr>
        <w:t xml:space="preserve"> </w:t>
      </w:r>
      <w:r>
        <w:rPr>
          <w:rFonts w:ascii="Calibri" w:hAnsi="Calibri"/>
          <w:sz w:val="18"/>
        </w:rPr>
        <w:t>physician</w:t>
      </w:r>
      <w:r>
        <w:rPr>
          <w:rFonts w:ascii="Calibri" w:hAnsi="Calibri"/>
          <w:spacing w:val="-2"/>
          <w:sz w:val="18"/>
        </w:rPr>
        <w:t xml:space="preserve"> </w:t>
      </w:r>
      <w:r>
        <w:rPr>
          <w:rFonts w:ascii="Calibri" w:hAnsi="Calibri"/>
          <w:sz w:val="18"/>
        </w:rPr>
        <w:t>office</w:t>
      </w:r>
      <w:r>
        <w:rPr>
          <w:rFonts w:ascii="Calibri" w:hAnsi="Calibri"/>
          <w:spacing w:val="-3"/>
          <w:sz w:val="18"/>
        </w:rPr>
        <w:t xml:space="preserve"> </w:t>
      </w:r>
      <w:r>
        <w:rPr>
          <w:rFonts w:ascii="Calibri" w:hAnsi="Calibri"/>
          <w:sz w:val="18"/>
        </w:rPr>
        <w:t>visits</w:t>
      </w:r>
      <w:r>
        <w:rPr>
          <w:rFonts w:ascii="Calibri" w:hAnsi="Calibri"/>
          <w:spacing w:val="-3"/>
          <w:sz w:val="18"/>
        </w:rPr>
        <w:t xml:space="preserve"> </w:t>
      </w:r>
      <w:r>
        <w:rPr>
          <w:rFonts w:ascii="Calibri" w:hAnsi="Calibri"/>
          <w:sz w:val="18"/>
        </w:rPr>
        <w:t>in</w:t>
      </w:r>
      <w:r>
        <w:rPr>
          <w:rFonts w:ascii="Calibri" w:hAnsi="Calibri"/>
          <w:spacing w:val="-2"/>
          <w:sz w:val="18"/>
        </w:rPr>
        <w:t xml:space="preserve"> </w:t>
      </w:r>
      <w:r>
        <w:rPr>
          <w:rFonts w:ascii="Calibri" w:hAnsi="Calibri"/>
          <w:sz w:val="18"/>
        </w:rPr>
        <w:t>non-licensed</w:t>
      </w:r>
      <w:r>
        <w:rPr>
          <w:rFonts w:ascii="Calibri" w:hAnsi="Calibri"/>
          <w:spacing w:val="-3"/>
          <w:sz w:val="18"/>
        </w:rPr>
        <w:t xml:space="preserve"> </w:t>
      </w:r>
      <w:r>
        <w:rPr>
          <w:rFonts w:ascii="Calibri" w:hAnsi="Calibri"/>
          <w:sz w:val="18"/>
        </w:rPr>
        <w:t>space.</w:t>
      </w:r>
    </w:p>
    <w:p w:rsidR="00D862F2" w:rsidRDefault="00D862F2">
      <w:pPr>
        <w:rPr>
          <w:rFonts w:ascii="Calibri" w:hAnsi="Calibri"/>
          <w:sz w:val="18"/>
        </w:rPr>
        <w:sectPr w:rsidR="00D862F2">
          <w:pgSz w:w="12240" w:h="15840"/>
          <w:pgMar w:top="1340" w:right="1160" w:bottom="980" w:left="1220" w:header="722" w:footer="794" w:gutter="0"/>
          <w:cols w:space="720"/>
        </w:sectPr>
      </w:pPr>
    </w:p>
    <w:p w:rsidR="00D862F2" w:rsidRDefault="00884FE4">
      <w:pPr>
        <w:spacing w:before="93"/>
        <w:ind w:left="220"/>
        <w:jc w:val="both"/>
        <w:rPr>
          <w:b/>
          <w:sz w:val="24"/>
        </w:rPr>
      </w:pPr>
      <w:r>
        <w:rPr>
          <w:b/>
          <w:sz w:val="24"/>
          <w:u w:val="single"/>
        </w:rPr>
        <w:lastRenderedPageBreak/>
        <w:t>F1.a.ii</w:t>
      </w:r>
      <w:r>
        <w:rPr>
          <w:b/>
          <w:spacing w:val="55"/>
          <w:sz w:val="24"/>
          <w:u w:val="single"/>
        </w:rPr>
        <w:t xml:space="preserve"> </w:t>
      </w:r>
      <w:r>
        <w:rPr>
          <w:b/>
          <w:sz w:val="24"/>
          <w:u w:val="single"/>
        </w:rPr>
        <w:t>Need</w:t>
      </w:r>
      <w:r>
        <w:rPr>
          <w:b/>
          <w:spacing w:val="-2"/>
          <w:sz w:val="24"/>
          <w:u w:val="single"/>
        </w:rPr>
        <w:t xml:space="preserve"> </w:t>
      </w:r>
      <w:r>
        <w:rPr>
          <w:b/>
          <w:sz w:val="24"/>
          <w:u w:val="single"/>
        </w:rPr>
        <w:t>by</w:t>
      </w:r>
      <w:r>
        <w:rPr>
          <w:b/>
          <w:spacing w:val="-2"/>
          <w:sz w:val="24"/>
          <w:u w:val="single"/>
        </w:rPr>
        <w:t xml:space="preserve"> </w:t>
      </w:r>
      <w:r>
        <w:rPr>
          <w:b/>
          <w:sz w:val="24"/>
          <w:u w:val="single"/>
        </w:rPr>
        <w:t>Patient</w:t>
      </w:r>
      <w:r>
        <w:rPr>
          <w:b/>
          <w:spacing w:val="-1"/>
          <w:sz w:val="24"/>
          <w:u w:val="single"/>
        </w:rPr>
        <w:t xml:space="preserve"> </w:t>
      </w:r>
      <w:r>
        <w:rPr>
          <w:b/>
          <w:sz w:val="24"/>
          <w:u w:val="single"/>
        </w:rPr>
        <w:t>Panel:</w:t>
      </w:r>
    </w:p>
    <w:p w:rsidR="00D862F2" w:rsidRDefault="00884FE4" w:rsidP="002C14E1">
      <w:pPr>
        <w:pStyle w:val="BodyText"/>
      </w:pPr>
      <w:r>
        <w:t>Provide supporting data to demonstrate the need for the Proposed Project.</w:t>
      </w:r>
      <w:r>
        <w:rPr>
          <w:spacing w:val="1"/>
        </w:rPr>
        <w:t xml:space="preserve"> </w:t>
      </w:r>
      <w:r>
        <w:t>Such</w:t>
      </w:r>
      <w:r>
        <w:rPr>
          <w:spacing w:val="1"/>
        </w:rPr>
        <w:t xml:space="preserve"> </w:t>
      </w:r>
      <w:r>
        <w:t>Data should demonstrate the disease burden, behavioral risk factors, acuity mix,</w:t>
      </w:r>
      <w:r>
        <w:rPr>
          <w:spacing w:val="1"/>
        </w:rPr>
        <w:t xml:space="preserve"> </w:t>
      </w:r>
      <w:r>
        <w:t>health</w:t>
      </w:r>
      <w:r>
        <w:rPr>
          <w:spacing w:val="1"/>
        </w:rPr>
        <w:t xml:space="preserve"> </w:t>
      </w:r>
      <w:r>
        <w:t>disparities,</w:t>
      </w:r>
      <w:r>
        <w:rPr>
          <w:spacing w:val="1"/>
        </w:rPr>
        <w:t xml:space="preserve"> </w:t>
      </w:r>
      <w:r>
        <w:t>or</w:t>
      </w:r>
      <w:r>
        <w:rPr>
          <w:spacing w:val="1"/>
        </w:rPr>
        <w:t xml:space="preserve"> </w:t>
      </w:r>
      <w:r>
        <w:t>other</w:t>
      </w:r>
      <w:r>
        <w:rPr>
          <w:spacing w:val="1"/>
        </w:rPr>
        <w:t xml:space="preserve"> </w:t>
      </w:r>
      <w:r>
        <w:t>objective</w:t>
      </w:r>
      <w:r>
        <w:rPr>
          <w:spacing w:val="1"/>
        </w:rPr>
        <w:t xml:space="preserve"> </w:t>
      </w:r>
      <w:r>
        <w:t>Patient</w:t>
      </w:r>
      <w:r>
        <w:rPr>
          <w:spacing w:val="1"/>
        </w:rPr>
        <w:t xml:space="preserve"> </w:t>
      </w:r>
      <w:r>
        <w:t>Panel</w:t>
      </w:r>
      <w:r>
        <w:rPr>
          <w:spacing w:val="1"/>
        </w:rPr>
        <w:t xml:space="preserve"> </w:t>
      </w:r>
      <w:r>
        <w:t>measures</w:t>
      </w:r>
      <w:r>
        <w:rPr>
          <w:spacing w:val="1"/>
        </w:rPr>
        <w:t xml:space="preserve"> </w:t>
      </w:r>
      <w:r>
        <w:t>as</w:t>
      </w:r>
      <w:r>
        <w:rPr>
          <w:spacing w:val="1"/>
        </w:rPr>
        <w:t xml:space="preserve"> </w:t>
      </w:r>
      <w:r>
        <w:t>noted</w:t>
      </w:r>
      <w:r>
        <w:rPr>
          <w:spacing w:val="1"/>
        </w:rPr>
        <w:t xml:space="preserve"> </w:t>
      </w:r>
      <w:r>
        <w:t>in</w:t>
      </w:r>
      <w:r>
        <w:rPr>
          <w:spacing w:val="1"/>
        </w:rPr>
        <w:t xml:space="preserve"> </w:t>
      </w:r>
      <w:r>
        <w:t>your</w:t>
      </w:r>
      <w:r>
        <w:rPr>
          <w:spacing w:val="1"/>
        </w:rPr>
        <w:t xml:space="preserve"> </w:t>
      </w:r>
      <w:r>
        <w:t>response to Question F1.a.i that demonstrates the need that the Proposed Project is</w:t>
      </w:r>
      <w:r>
        <w:rPr>
          <w:spacing w:val="1"/>
        </w:rPr>
        <w:t xml:space="preserve"> </w:t>
      </w:r>
      <w:r>
        <w:t>attempting to address.</w:t>
      </w:r>
      <w:r>
        <w:rPr>
          <w:spacing w:val="1"/>
        </w:rPr>
        <w:t xml:space="preserve"> </w:t>
      </w:r>
      <w:r>
        <w:t>If an inequity or disparity is not identified as relating to the</w:t>
      </w:r>
      <w:r>
        <w:rPr>
          <w:spacing w:val="1"/>
        </w:rPr>
        <w:t xml:space="preserve"> </w:t>
      </w:r>
      <w:r>
        <w:t>Proposed Project, provide information justifying the need.</w:t>
      </w:r>
      <w:r>
        <w:rPr>
          <w:spacing w:val="1"/>
        </w:rPr>
        <w:t xml:space="preserve"> </w:t>
      </w:r>
      <w:r>
        <w:t>In your description of</w:t>
      </w:r>
      <w:r>
        <w:rPr>
          <w:spacing w:val="1"/>
        </w:rPr>
        <w:t xml:space="preserve"> </w:t>
      </w:r>
      <w:r>
        <w:t>Need, consider the principles underlying Public Health Value (see instructions) and</w:t>
      </w:r>
      <w:r>
        <w:rPr>
          <w:spacing w:val="1"/>
        </w:rPr>
        <w:t xml:space="preserve"> </w:t>
      </w:r>
      <w:r>
        <w:t>ensure</w:t>
      </w:r>
      <w:r>
        <w:rPr>
          <w:spacing w:val="-2"/>
        </w:rPr>
        <w:t xml:space="preserve"> </w:t>
      </w:r>
      <w:r>
        <w:t>that</w:t>
      </w:r>
      <w:r>
        <w:rPr>
          <w:spacing w:val="-1"/>
        </w:rPr>
        <w:t xml:space="preserve"> </w:t>
      </w:r>
      <w:r>
        <w:t>Need</w:t>
      </w:r>
      <w:r>
        <w:rPr>
          <w:spacing w:val="1"/>
        </w:rPr>
        <w:t xml:space="preserve"> </w:t>
      </w:r>
      <w:r>
        <w:t>is addressed</w:t>
      </w:r>
      <w:r>
        <w:rPr>
          <w:spacing w:val="1"/>
        </w:rPr>
        <w:t xml:space="preserve"> </w:t>
      </w:r>
      <w:r>
        <w:t>in</w:t>
      </w:r>
      <w:r>
        <w:rPr>
          <w:spacing w:val="-1"/>
        </w:rPr>
        <w:t xml:space="preserve"> </w:t>
      </w:r>
      <w:r>
        <w:t>that</w:t>
      </w:r>
      <w:r>
        <w:rPr>
          <w:spacing w:val="-1"/>
        </w:rPr>
        <w:t xml:space="preserve"> </w:t>
      </w:r>
      <w:r>
        <w:t>context</w:t>
      </w:r>
      <w:r>
        <w:rPr>
          <w:spacing w:val="-1"/>
        </w:rPr>
        <w:t xml:space="preserve"> </w:t>
      </w:r>
      <w:r>
        <w:t>as</w:t>
      </w:r>
      <w:r>
        <w:rPr>
          <w:spacing w:val="2"/>
        </w:rPr>
        <w:t xml:space="preserve"> </w:t>
      </w:r>
      <w:r>
        <w:t>well.</w:t>
      </w:r>
    </w:p>
    <w:p w:rsidR="00D862F2" w:rsidRDefault="00D862F2">
      <w:pPr>
        <w:pStyle w:val="BodyText"/>
        <w:spacing w:before="6"/>
        <w:rPr>
          <w:b/>
          <w:sz w:val="23"/>
        </w:rPr>
      </w:pPr>
    </w:p>
    <w:p w:rsidR="00D862F2" w:rsidRDefault="00884FE4">
      <w:pPr>
        <w:pStyle w:val="BodyText"/>
        <w:ind w:left="220"/>
        <w:jc w:val="both"/>
      </w:pPr>
      <w:r>
        <w:rPr>
          <w:u w:val="single"/>
        </w:rPr>
        <w:t>Improving</w:t>
      </w:r>
      <w:r>
        <w:rPr>
          <w:spacing w:val="-5"/>
          <w:u w:val="single"/>
        </w:rPr>
        <w:t xml:space="preserve"> </w:t>
      </w:r>
      <w:r>
        <w:rPr>
          <w:u w:val="single"/>
        </w:rPr>
        <w:t>Access</w:t>
      </w:r>
      <w:r>
        <w:rPr>
          <w:spacing w:val="-1"/>
          <w:u w:val="single"/>
        </w:rPr>
        <w:t xml:space="preserve"> </w:t>
      </w:r>
      <w:r>
        <w:rPr>
          <w:u w:val="single"/>
        </w:rPr>
        <w:t>Beyond</w:t>
      </w:r>
      <w:r>
        <w:rPr>
          <w:spacing w:val="-1"/>
          <w:u w:val="single"/>
        </w:rPr>
        <w:t xml:space="preserve"> </w:t>
      </w:r>
      <w:r>
        <w:rPr>
          <w:u w:val="single"/>
        </w:rPr>
        <w:t>Boston</w:t>
      </w:r>
    </w:p>
    <w:p w:rsidR="00D862F2" w:rsidRDefault="00D862F2">
      <w:pPr>
        <w:pStyle w:val="BodyText"/>
        <w:spacing w:before="3"/>
        <w:rPr>
          <w:sz w:val="16"/>
        </w:rPr>
      </w:pPr>
    </w:p>
    <w:p w:rsidR="00D862F2" w:rsidRDefault="00884FE4">
      <w:pPr>
        <w:pStyle w:val="BodyText"/>
        <w:spacing w:before="89"/>
        <w:ind w:left="220" w:right="275"/>
        <w:jc w:val="both"/>
      </w:pPr>
      <w:r>
        <w:t>Boston Children’s views the Waltham Facility, Needham Facility, and Weymouth Facility as</w:t>
      </w:r>
      <w:r>
        <w:rPr>
          <w:spacing w:val="1"/>
        </w:rPr>
        <w:t xml:space="preserve"> </w:t>
      </w:r>
      <w:r>
        <w:t>“gateways</w:t>
      </w:r>
      <w:r>
        <w:rPr>
          <w:spacing w:val="1"/>
        </w:rPr>
        <w:t xml:space="preserve"> </w:t>
      </w:r>
      <w:r>
        <w:t>to</w:t>
      </w:r>
      <w:r>
        <w:rPr>
          <w:spacing w:val="1"/>
        </w:rPr>
        <w:t xml:space="preserve"> </w:t>
      </w:r>
      <w:r>
        <w:t>access”</w:t>
      </w:r>
      <w:r>
        <w:rPr>
          <w:spacing w:val="1"/>
        </w:rPr>
        <w:t xml:space="preserve"> </w:t>
      </w:r>
      <w:r>
        <w:t>that</w:t>
      </w:r>
      <w:r>
        <w:rPr>
          <w:spacing w:val="1"/>
        </w:rPr>
        <w:t xml:space="preserve"> </w:t>
      </w:r>
      <w:r>
        <w:t>allow</w:t>
      </w:r>
      <w:r>
        <w:rPr>
          <w:spacing w:val="1"/>
        </w:rPr>
        <w:t xml:space="preserve"> </w:t>
      </w:r>
      <w:r>
        <w:t>patients</w:t>
      </w:r>
      <w:r>
        <w:rPr>
          <w:spacing w:val="1"/>
        </w:rPr>
        <w:t xml:space="preserve"> </w:t>
      </w:r>
      <w:r>
        <w:t>to</w:t>
      </w:r>
      <w:r>
        <w:rPr>
          <w:spacing w:val="1"/>
        </w:rPr>
        <w:t xml:space="preserve"> </w:t>
      </w:r>
      <w:r>
        <w:t>receive</w:t>
      </w:r>
      <w:r>
        <w:rPr>
          <w:spacing w:val="1"/>
        </w:rPr>
        <w:t xml:space="preserve"> </w:t>
      </w:r>
      <w:r>
        <w:t>needed</w:t>
      </w:r>
      <w:r>
        <w:rPr>
          <w:spacing w:val="1"/>
        </w:rPr>
        <w:t xml:space="preserve"> </w:t>
      </w:r>
      <w:r>
        <w:t>pediatric</w:t>
      </w:r>
      <w:r>
        <w:rPr>
          <w:spacing w:val="1"/>
        </w:rPr>
        <w:t xml:space="preserve"> </w:t>
      </w:r>
      <w:r>
        <w:t>specialty care</w:t>
      </w:r>
      <w:r>
        <w:rPr>
          <w:spacing w:val="1"/>
        </w:rPr>
        <w:t xml:space="preserve"> </w:t>
      </w:r>
      <w:r>
        <w:t>without</w:t>
      </w:r>
      <w:r>
        <w:rPr>
          <w:spacing w:val="-57"/>
        </w:rPr>
        <w:t xml:space="preserve"> </w:t>
      </w:r>
      <w:r>
        <w:t>traveling to the Longwood Medical Area. In 2019, a third of the Applicant’s patients resided in</w:t>
      </w:r>
      <w:r>
        <w:rPr>
          <w:spacing w:val="1"/>
        </w:rPr>
        <w:t xml:space="preserve"> </w:t>
      </w:r>
      <w:r>
        <w:t>HSA</w:t>
      </w:r>
      <w:r>
        <w:rPr>
          <w:spacing w:val="28"/>
        </w:rPr>
        <w:t xml:space="preserve"> </w:t>
      </w:r>
      <w:r>
        <w:t>4</w:t>
      </w:r>
      <w:r>
        <w:rPr>
          <w:spacing w:val="30"/>
        </w:rPr>
        <w:t xml:space="preserve"> </w:t>
      </w:r>
      <w:r>
        <w:t>where</w:t>
      </w:r>
      <w:r>
        <w:rPr>
          <w:spacing w:val="28"/>
        </w:rPr>
        <w:t xml:space="preserve"> </w:t>
      </w:r>
      <w:r>
        <w:t>the</w:t>
      </w:r>
      <w:r>
        <w:rPr>
          <w:spacing w:val="29"/>
        </w:rPr>
        <w:t xml:space="preserve"> </w:t>
      </w:r>
      <w:r>
        <w:t>Proposed</w:t>
      </w:r>
      <w:r>
        <w:rPr>
          <w:spacing w:val="30"/>
        </w:rPr>
        <w:t xml:space="preserve"> </w:t>
      </w:r>
      <w:r>
        <w:t>Project</w:t>
      </w:r>
      <w:r>
        <w:rPr>
          <w:spacing w:val="29"/>
        </w:rPr>
        <w:t xml:space="preserve"> </w:t>
      </w:r>
      <w:r>
        <w:t>will</w:t>
      </w:r>
      <w:r>
        <w:rPr>
          <w:spacing w:val="30"/>
        </w:rPr>
        <w:t xml:space="preserve"> </w:t>
      </w:r>
      <w:r>
        <w:t>be</w:t>
      </w:r>
      <w:r>
        <w:rPr>
          <w:spacing w:val="28"/>
        </w:rPr>
        <w:t xml:space="preserve"> </w:t>
      </w:r>
      <w:r>
        <w:t>located.</w:t>
      </w:r>
      <w:r>
        <w:rPr>
          <w:spacing w:val="30"/>
        </w:rPr>
        <w:t xml:space="preserve"> </w:t>
      </w:r>
      <w:r>
        <w:rPr>
          <w:i/>
        </w:rPr>
        <w:t>See</w:t>
      </w:r>
      <w:r>
        <w:rPr>
          <w:i/>
          <w:spacing w:val="29"/>
        </w:rPr>
        <w:t xml:space="preserve"> </w:t>
      </w:r>
      <w:r>
        <w:t>Table</w:t>
      </w:r>
      <w:r>
        <w:rPr>
          <w:spacing w:val="28"/>
        </w:rPr>
        <w:t xml:space="preserve"> </w:t>
      </w:r>
      <w:r>
        <w:t>1.</w:t>
      </w:r>
      <w:r>
        <w:rPr>
          <w:spacing w:val="30"/>
        </w:rPr>
        <w:t xml:space="preserve"> </w:t>
      </w:r>
      <w:r>
        <w:t>Through</w:t>
      </w:r>
      <w:r>
        <w:rPr>
          <w:spacing w:val="29"/>
        </w:rPr>
        <w:t xml:space="preserve"> </w:t>
      </w:r>
      <w:r>
        <w:t>regular</w:t>
      </w:r>
      <w:r>
        <w:rPr>
          <w:spacing w:val="29"/>
        </w:rPr>
        <w:t xml:space="preserve"> </w:t>
      </w:r>
      <w:r>
        <w:t>interactions</w:t>
      </w:r>
      <w:r>
        <w:rPr>
          <w:spacing w:val="-58"/>
        </w:rPr>
        <w:t xml:space="preserve"> </w:t>
      </w:r>
      <w:r>
        <w:t>with</w:t>
      </w:r>
      <w:r>
        <w:rPr>
          <w:spacing w:val="1"/>
        </w:rPr>
        <w:t xml:space="preserve"> </w:t>
      </w:r>
      <w:r>
        <w:t>patients</w:t>
      </w:r>
      <w:r>
        <w:rPr>
          <w:spacing w:val="1"/>
        </w:rPr>
        <w:t xml:space="preserve"> </w:t>
      </w:r>
      <w:r>
        <w:t>and</w:t>
      </w:r>
      <w:r>
        <w:rPr>
          <w:spacing w:val="1"/>
        </w:rPr>
        <w:t xml:space="preserve"> </w:t>
      </w:r>
      <w:r>
        <w:t>referring</w:t>
      </w:r>
      <w:r>
        <w:rPr>
          <w:spacing w:val="1"/>
        </w:rPr>
        <w:t xml:space="preserve"> </w:t>
      </w:r>
      <w:r>
        <w:t>physicians,</w:t>
      </w:r>
      <w:r>
        <w:rPr>
          <w:spacing w:val="1"/>
        </w:rPr>
        <w:t xml:space="preserve"> </w:t>
      </w:r>
      <w:r>
        <w:t>including</w:t>
      </w:r>
      <w:r>
        <w:rPr>
          <w:spacing w:val="1"/>
        </w:rPr>
        <w:t xml:space="preserve"> </w:t>
      </w:r>
      <w:r>
        <w:t>focus</w:t>
      </w:r>
      <w:r>
        <w:rPr>
          <w:spacing w:val="1"/>
        </w:rPr>
        <w:t xml:space="preserve"> </w:t>
      </w:r>
      <w:r>
        <w:t>groups</w:t>
      </w:r>
      <w:r>
        <w:rPr>
          <w:spacing w:val="1"/>
        </w:rPr>
        <w:t xml:space="preserve"> </w:t>
      </w:r>
      <w:r>
        <w:t>held</w:t>
      </w:r>
      <w:r>
        <w:rPr>
          <w:spacing w:val="1"/>
        </w:rPr>
        <w:t xml:space="preserve"> </w:t>
      </w:r>
      <w:r>
        <w:t>in</w:t>
      </w:r>
      <w:r>
        <w:rPr>
          <w:spacing w:val="1"/>
        </w:rPr>
        <w:t xml:space="preserve"> </w:t>
      </w:r>
      <w:r>
        <w:t>the</w:t>
      </w:r>
      <w:r>
        <w:rPr>
          <w:spacing w:val="1"/>
        </w:rPr>
        <w:t xml:space="preserve"> </w:t>
      </w:r>
      <w:r>
        <w:t>community,</w:t>
      </w:r>
      <w:r>
        <w:rPr>
          <w:spacing w:val="1"/>
        </w:rPr>
        <w:t xml:space="preserve"> </w:t>
      </w:r>
      <w:r>
        <w:t>the</w:t>
      </w:r>
      <w:r>
        <w:rPr>
          <w:spacing w:val="1"/>
        </w:rPr>
        <w:t xml:space="preserve"> </w:t>
      </w:r>
      <w:r>
        <w:t>Hospital knows that providing care at access points outside Boston can meaningfully reduce</w:t>
      </w:r>
      <w:r>
        <w:rPr>
          <w:spacing w:val="1"/>
        </w:rPr>
        <w:t xml:space="preserve"> </w:t>
      </w:r>
      <w:r>
        <w:t>barriers to care—from the time and expense of transportation into the city, to easier physical</w:t>
      </w:r>
      <w:r>
        <w:rPr>
          <w:spacing w:val="1"/>
        </w:rPr>
        <w:t xml:space="preserve"> </w:t>
      </w:r>
      <w:r>
        <w:t>access to space with wider and smoother parking lots and sidewalks, to smaller, less congested,</w:t>
      </w:r>
      <w:r>
        <w:rPr>
          <w:spacing w:val="1"/>
        </w:rPr>
        <w:t xml:space="preserve"> </w:t>
      </w:r>
      <w:r>
        <w:t>and more easily navigated hospital spaces. These barriers may be more acute in the pediatric</w:t>
      </w:r>
      <w:r>
        <w:rPr>
          <w:spacing w:val="1"/>
        </w:rPr>
        <w:t xml:space="preserve"> </w:t>
      </w:r>
      <w:r>
        <w:t>context,</w:t>
      </w:r>
      <w:r>
        <w:rPr>
          <w:spacing w:val="-1"/>
        </w:rPr>
        <w:t xml:space="preserve"> </w:t>
      </w:r>
      <w:r>
        <w:t>where</w:t>
      </w:r>
      <w:r>
        <w:rPr>
          <w:spacing w:val="-1"/>
        </w:rPr>
        <w:t xml:space="preserve"> </w:t>
      </w:r>
      <w:r>
        <w:t>treatment necessarily</w:t>
      </w:r>
      <w:r>
        <w:rPr>
          <w:spacing w:val="-5"/>
        </w:rPr>
        <w:t xml:space="preserve"> </w:t>
      </w:r>
      <w:r>
        <w:t>involves</w:t>
      </w:r>
      <w:r>
        <w:rPr>
          <w:spacing w:val="-1"/>
        </w:rPr>
        <w:t xml:space="preserve"> </w:t>
      </w:r>
      <w:r>
        <w:t>family</w:t>
      </w:r>
      <w:r>
        <w:rPr>
          <w:spacing w:val="-5"/>
        </w:rPr>
        <w:t xml:space="preserve"> </w:t>
      </w:r>
      <w:r>
        <w:t>members</w:t>
      </w:r>
      <w:r>
        <w:rPr>
          <w:spacing w:val="2"/>
        </w:rPr>
        <w:t xml:space="preserve"> </w:t>
      </w:r>
      <w:r>
        <w:t>as well.</w:t>
      </w:r>
    </w:p>
    <w:p w:rsidR="00D862F2" w:rsidRDefault="00D862F2">
      <w:pPr>
        <w:pStyle w:val="BodyText"/>
        <w:spacing w:before="1"/>
      </w:pPr>
    </w:p>
    <w:p w:rsidR="00D862F2" w:rsidRDefault="00884FE4">
      <w:pPr>
        <w:pStyle w:val="BodyText"/>
        <w:ind w:left="219" w:right="275"/>
        <w:jc w:val="both"/>
      </w:pPr>
      <w:r>
        <w:t>This is reflected in the Patient Panel Data as</w:t>
      </w:r>
      <w:r>
        <w:rPr>
          <w:spacing w:val="60"/>
        </w:rPr>
        <w:t xml:space="preserve"> </w:t>
      </w:r>
      <w:r>
        <w:t>well. Table 5 shows the number of visits by</w:t>
      </w:r>
      <w:r>
        <w:rPr>
          <w:spacing w:val="1"/>
        </w:rPr>
        <w:t xml:space="preserve"> </w:t>
      </w:r>
      <w:r>
        <w:t>pediatric population (</w:t>
      </w:r>
      <w:r>
        <w:rPr>
          <w:i/>
        </w:rPr>
        <w:t>i.e.</w:t>
      </w:r>
      <w:r>
        <w:t>, visits per 1,000 pediatric population) by HSA. While there is no reason</w:t>
      </w:r>
      <w:r>
        <w:rPr>
          <w:spacing w:val="-57"/>
        </w:rPr>
        <w:t xml:space="preserve"> </w:t>
      </w:r>
      <w:r>
        <w:t>to expect that the disease burden or need for the specialized pediatric care provided by the</w:t>
      </w:r>
      <w:r>
        <w:rPr>
          <w:spacing w:val="1"/>
        </w:rPr>
        <w:t xml:space="preserve"> </w:t>
      </w:r>
      <w:r>
        <w:t>Hospital varies across HSAs, the data reflect that patients outside of Boston face increased</w:t>
      </w:r>
      <w:r>
        <w:rPr>
          <w:spacing w:val="1"/>
        </w:rPr>
        <w:t xml:space="preserve"> </w:t>
      </w:r>
      <w:r>
        <w:t>burdens</w:t>
      </w:r>
      <w:r>
        <w:rPr>
          <w:spacing w:val="-1"/>
        </w:rPr>
        <w:t xml:space="preserve"> </w:t>
      </w:r>
      <w:r>
        <w:t>accessing</w:t>
      </w:r>
      <w:r>
        <w:rPr>
          <w:spacing w:val="-3"/>
        </w:rPr>
        <w:t xml:space="preserve"> </w:t>
      </w:r>
      <w:r>
        <w:t>care</w:t>
      </w:r>
      <w:r>
        <w:rPr>
          <w:spacing w:val="1"/>
        </w:rPr>
        <w:t xml:space="preserve"> </w:t>
      </w:r>
      <w:r>
        <w:t>from</w:t>
      </w:r>
      <w:r>
        <w:rPr>
          <w:spacing w:val="-1"/>
        </w:rPr>
        <w:t xml:space="preserve"> </w:t>
      </w:r>
      <w:r>
        <w:t>Boston Children’s due</w:t>
      </w:r>
      <w:r>
        <w:rPr>
          <w:spacing w:val="-1"/>
        </w:rPr>
        <w:t xml:space="preserve"> </w:t>
      </w:r>
      <w:r>
        <w:t>to</w:t>
      </w:r>
      <w:r>
        <w:rPr>
          <w:spacing w:val="-1"/>
        </w:rPr>
        <w:t xml:space="preserve"> </w:t>
      </w:r>
      <w:r>
        <w:t>geographic</w:t>
      </w:r>
      <w:r>
        <w:rPr>
          <w:spacing w:val="-1"/>
        </w:rPr>
        <w:t xml:space="preserve"> </w:t>
      </w:r>
      <w:r>
        <w:t>barriers.</w:t>
      </w:r>
    </w:p>
    <w:p w:rsidR="00D862F2" w:rsidRDefault="00D862F2">
      <w:pPr>
        <w:pStyle w:val="BodyText"/>
        <w:spacing w:before="7"/>
      </w:pPr>
    </w:p>
    <w:p w:rsidR="00D862F2" w:rsidRDefault="00884FE4">
      <w:pPr>
        <w:ind w:left="2468" w:right="2530"/>
        <w:jc w:val="center"/>
        <w:rPr>
          <w:rFonts w:ascii="Calibri"/>
          <w:b/>
          <w:sz w:val="20"/>
        </w:rPr>
      </w:pPr>
      <w:r>
        <w:rPr>
          <w:rFonts w:ascii="Calibri"/>
          <w:b/>
          <w:sz w:val="20"/>
        </w:rPr>
        <w:t>Table</w:t>
      </w:r>
      <w:r>
        <w:rPr>
          <w:rFonts w:ascii="Calibri"/>
          <w:b/>
          <w:spacing w:val="-4"/>
          <w:sz w:val="20"/>
        </w:rPr>
        <w:t xml:space="preserve"> </w:t>
      </w:r>
      <w:r>
        <w:rPr>
          <w:rFonts w:ascii="Calibri"/>
          <w:b/>
          <w:sz w:val="20"/>
        </w:rPr>
        <w:t>5.</w:t>
      </w:r>
      <w:r>
        <w:rPr>
          <w:rFonts w:ascii="Calibri"/>
          <w:b/>
          <w:spacing w:val="-3"/>
          <w:sz w:val="20"/>
        </w:rPr>
        <w:t xml:space="preserve"> </w:t>
      </w:r>
      <w:r>
        <w:rPr>
          <w:rFonts w:ascii="Calibri"/>
          <w:b/>
          <w:sz w:val="20"/>
        </w:rPr>
        <w:t>Ambulatory</w:t>
      </w:r>
      <w:r>
        <w:rPr>
          <w:rFonts w:ascii="Calibri"/>
          <w:b/>
          <w:spacing w:val="-3"/>
          <w:sz w:val="20"/>
        </w:rPr>
        <w:t xml:space="preserve"> </w:t>
      </w:r>
      <w:r>
        <w:rPr>
          <w:rFonts w:ascii="Calibri"/>
          <w:b/>
          <w:sz w:val="20"/>
        </w:rPr>
        <w:t>Visits</w:t>
      </w:r>
      <w:r>
        <w:rPr>
          <w:rFonts w:ascii="Calibri"/>
          <w:b/>
          <w:spacing w:val="-1"/>
          <w:sz w:val="20"/>
        </w:rPr>
        <w:t xml:space="preserve"> </w:t>
      </w:r>
      <w:r>
        <w:rPr>
          <w:rFonts w:ascii="Calibri"/>
          <w:b/>
          <w:sz w:val="20"/>
        </w:rPr>
        <w:t>Per</w:t>
      </w:r>
      <w:r>
        <w:rPr>
          <w:rFonts w:ascii="Calibri"/>
          <w:b/>
          <w:spacing w:val="-3"/>
          <w:sz w:val="20"/>
        </w:rPr>
        <w:t xml:space="preserve"> </w:t>
      </w:r>
      <w:r>
        <w:rPr>
          <w:rFonts w:ascii="Calibri"/>
          <w:b/>
          <w:sz w:val="20"/>
        </w:rPr>
        <w:t>1,000</w:t>
      </w:r>
      <w:r>
        <w:rPr>
          <w:rFonts w:ascii="Calibri"/>
          <w:b/>
          <w:spacing w:val="-3"/>
          <w:sz w:val="20"/>
        </w:rPr>
        <w:t xml:space="preserve"> </w:t>
      </w:r>
      <w:r>
        <w:rPr>
          <w:rFonts w:ascii="Calibri"/>
          <w:b/>
          <w:sz w:val="20"/>
        </w:rPr>
        <w:t>Pediatric</w:t>
      </w:r>
      <w:r>
        <w:rPr>
          <w:rFonts w:ascii="Calibri"/>
          <w:b/>
          <w:spacing w:val="-2"/>
          <w:sz w:val="20"/>
        </w:rPr>
        <w:t xml:space="preserve"> </w:t>
      </w:r>
      <w:r>
        <w:rPr>
          <w:rFonts w:ascii="Calibri"/>
          <w:b/>
          <w:sz w:val="20"/>
        </w:rPr>
        <w:t>Population*</w:t>
      </w:r>
    </w:p>
    <w:tbl>
      <w:tblPr>
        <w:tblW w:w="0" w:type="auto"/>
        <w:tblInd w:w="2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9"/>
        <w:gridCol w:w="720"/>
        <w:gridCol w:w="811"/>
        <w:gridCol w:w="900"/>
      </w:tblGrid>
      <w:tr w:rsidR="00D862F2">
        <w:trPr>
          <w:trHeight w:val="220"/>
        </w:trPr>
        <w:tc>
          <w:tcPr>
            <w:tcW w:w="2789" w:type="dxa"/>
            <w:shd w:val="clear" w:color="auto" w:fill="2E5395"/>
          </w:tcPr>
          <w:p w:rsidR="00D862F2" w:rsidRDefault="00D862F2">
            <w:pPr>
              <w:pStyle w:val="TableParagraph"/>
              <w:jc w:val="left"/>
              <w:rPr>
                <w:rFonts w:ascii="Times New Roman"/>
                <w:sz w:val="14"/>
              </w:rPr>
            </w:pPr>
          </w:p>
        </w:tc>
        <w:tc>
          <w:tcPr>
            <w:tcW w:w="720" w:type="dxa"/>
            <w:shd w:val="clear" w:color="auto" w:fill="2E5395"/>
          </w:tcPr>
          <w:p w:rsidR="00D862F2" w:rsidRDefault="00884FE4">
            <w:pPr>
              <w:pStyle w:val="TableParagraph"/>
              <w:spacing w:before="1" w:line="199" w:lineRule="exact"/>
              <w:ind w:left="181" w:right="26"/>
              <w:jc w:val="center"/>
              <w:rPr>
                <w:b/>
                <w:sz w:val="18"/>
              </w:rPr>
            </w:pPr>
            <w:r>
              <w:rPr>
                <w:b/>
                <w:color w:val="FFFFFF"/>
                <w:sz w:val="18"/>
              </w:rPr>
              <w:t>FY17</w:t>
            </w:r>
          </w:p>
        </w:tc>
        <w:tc>
          <w:tcPr>
            <w:tcW w:w="811" w:type="dxa"/>
            <w:shd w:val="clear" w:color="auto" w:fill="2E5395"/>
          </w:tcPr>
          <w:p w:rsidR="00D862F2" w:rsidRDefault="00884FE4">
            <w:pPr>
              <w:pStyle w:val="TableParagraph"/>
              <w:spacing w:before="1" w:line="199" w:lineRule="exact"/>
              <w:ind w:right="98"/>
              <w:rPr>
                <w:b/>
                <w:sz w:val="18"/>
              </w:rPr>
            </w:pPr>
            <w:r>
              <w:rPr>
                <w:b/>
                <w:color w:val="FFFFFF"/>
                <w:sz w:val="18"/>
              </w:rPr>
              <w:t>FY18</w:t>
            </w:r>
          </w:p>
        </w:tc>
        <w:tc>
          <w:tcPr>
            <w:tcW w:w="900" w:type="dxa"/>
            <w:shd w:val="clear" w:color="auto" w:fill="2E5395"/>
          </w:tcPr>
          <w:p w:rsidR="00D862F2" w:rsidRDefault="00884FE4">
            <w:pPr>
              <w:pStyle w:val="TableParagraph"/>
              <w:spacing w:before="1" w:line="199" w:lineRule="exact"/>
              <w:ind w:right="98"/>
              <w:rPr>
                <w:b/>
                <w:sz w:val="18"/>
              </w:rPr>
            </w:pPr>
            <w:r>
              <w:rPr>
                <w:b/>
                <w:color w:val="FFFFFF"/>
                <w:sz w:val="18"/>
              </w:rPr>
              <w:t>FY19</w:t>
            </w:r>
          </w:p>
        </w:tc>
      </w:tr>
      <w:tr w:rsidR="00D862F2">
        <w:trPr>
          <w:trHeight w:val="220"/>
        </w:trPr>
        <w:tc>
          <w:tcPr>
            <w:tcW w:w="2789" w:type="dxa"/>
            <w:shd w:val="clear" w:color="auto" w:fill="D9D9D9"/>
          </w:tcPr>
          <w:p w:rsidR="00D862F2" w:rsidRDefault="00884FE4">
            <w:pPr>
              <w:pStyle w:val="TableParagraph"/>
              <w:spacing w:line="200" w:lineRule="exact"/>
              <w:ind w:left="105"/>
              <w:jc w:val="left"/>
              <w:rPr>
                <w:b/>
                <w:sz w:val="18"/>
              </w:rPr>
            </w:pPr>
            <w:r>
              <w:rPr>
                <w:b/>
                <w:sz w:val="18"/>
              </w:rPr>
              <w:t>Total</w:t>
            </w:r>
            <w:r>
              <w:rPr>
                <w:b/>
                <w:spacing w:val="-3"/>
                <w:sz w:val="18"/>
              </w:rPr>
              <w:t xml:space="preserve"> </w:t>
            </w:r>
            <w:r>
              <w:rPr>
                <w:b/>
                <w:sz w:val="18"/>
              </w:rPr>
              <w:t>Visits</w:t>
            </w:r>
          </w:p>
        </w:tc>
        <w:tc>
          <w:tcPr>
            <w:tcW w:w="720" w:type="dxa"/>
            <w:shd w:val="clear" w:color="auto" w:fill="D9D9D9"/>
          </w:tcPr>
          <w:p w:rsidR="00D862F2" w:rsidRDefault="00884FE4">
            <w:pPr>
              <w:pStyle w:val="TableParagraph"/>
              <w:spacing w:line="200" w:lineRule="exact"/>
              <w:ind w:left="181" w:right="78"/>
              <w:jc w:val="center"/>
              <w:rPr>
                <w:sz w:val="18"/>
              </w:rPr>
            </w:pPr>
            <w:r>
              <w:rPr>
                <w:sz w:val="18"/>
              </w:rPr>
              <w:t>420.1</w:t>
            </w:r>
          </w:p>
        </w:tc>
        <w:tc>
          <w:tcPr>
            <w:tcW w:w="811" w:type="dxa"/>
            <w:shd w:val="clear" w:color="auto" w:fill="D9D9D9"/>
          </w:tcPr>
          <w:p w:rsidR="00D862F2" w:rsidRDefault="00884FE4">
            <w:pPr>
              <w:pStyle w:val="TableParagraph"/>
              <w:spacing w:line="200" w:lineRule="exact"/>
              <w:ind w:right="98"/>
              <w:rPr>
                <w:sz w:val="18"/>
              </w:rPr>
            </w:pPr>
            <w:r>
              <w:rPr>
                <w:sz w:val="18"/>
              </w:rPr>
              <w:t>441.3</w:t>
            </w:r>
          </w:p>
        </w:tc>
        <w:tc>
          <w:tcPr>
            <w:tcW w:w="900" w:type="dxa"/>
            <w:shd w:val="clear" w:color="auto" w:fill="D9D9D9"/>
          </w:tcPr>
          <w:p w:rsidR="00D862F2" w:rsidRDefault="00884FE4">
            <w:pPr>
              <w:pStyle w:val="TableParagraph"/>
              <w:spacing w:line="200" w:lineRule="exact"/>
              <w:ind w:right="98"/>
              <w:rPr>
                <w:sz w:val="18"/>
              </w:rPr>
            </w:pPr>
            <w:r>
              <w:rPr>
                <w:sz w:val="18"/>
              </w:rPr>
              <w:t>461.1</w:t>
            </w:r>
          </w:p>
        </w:tc>
      </w:tr>
      <w:tr w:rsidR="00D862F2">
        <w:trPr>
          <w:trHeight w:val="220"/>
        </w:trPr>
        <w:tc>
          <w:tcPr>
            <w:tcW w:w="2789" w:type="dxa"/>
          </w:tcPr>
          <w:p w:rsidR="00D862F2" w:rsidRDefault="00884FE4">
            <w:pPr>
              <w:pStyle w:val="TableParagraph"/>
              <w:spacing w:line="200" w:lineRule="exact"/>
              <w:ind w:left="105"/>
              <w:jc w:val="left"/>
              <w:rPr>
                <w:b/>
                <w:sz w:val="18"/>
              </w:rPr>
            </w:pPr>
            <w:r>
              <w:rPr>
                <w:b/>
                <w:color w:val="1F487C"/>
                <w:sz w:val="18"/>
              </w:rPr>
              <w:t>HSA</w:t>
            </w:r>
            <w:r>
              <w:rPr>
                <w:b/>
                <w:color w:val="1F487C"/>
                <w:spacing w:val="-2"/>
                <w:sz w:val="18"/>
              </w:rPr>
              <w:t xml:space="preserve"> </w:t>
            </w:r>
            <w:r>
              <w:rPr>
                <w:b/>
                <w:color w:val="1F487C"/>
                <w:sz w:val="18"/>
              </w:rPr>
              <w:t>1: Western</w:t>
            </w:r>
            <w:r>
              <w:rPr>
                <w:b/>
                <w:color w:val="1F487C"/>
                <w:spacing w:val="-2"/>
                <w:sz w:val="18"/>
              </w:rPr>
              <w:t xml:space="preserve"> </w:t>
            </w:r>
            <w:r>
              <w:rPr>
                <w:b/>
                <w:color w:val="1F487C"/>
                <w:sz w:val="18"/>
              </w:rPr>
              <w:t>MA</w:t>
            </w:r>
          </w:p>
        </w:tc>
        <w:tc>
          <w:tcPr>
            <w:tcW w:w="720" w:type="dxa"/>
          </w:tcPr>
          <w:p w:rsidR="00D862F2" w:rsidRDefault="00884FE4">
            <w:pPr>
              <w:pStyle w:val="TableParagraph"/>
              <w:spacing w:line="200" w:lineRule="exact"/>
              <w:ind w:left="272" w:right="78"/>
              <w:jc w:val="center"/>
              <w:rPr>
                <w:sz w:val="18"/>
              </w:rPr>
            </w:pPr>
            <w:r>
              <w:rPr>
                <w:sz w:val="18"/>
              </w:rPr>
              <w:t>63.3</w:t>
            </w:r>
          </w:p>
        </w:tc>
        <w:tc>
          <w:tcPr>
            <w:tcW w:w="811" w:type="dxa"/>
          </w:tcPr>
          <w:p w:rsidR="00D862F2" w:rsidRDefault="00884FE4">
            <w:pPr>
              <w:pStyle w:val="TableParagraph"/>
              <w:spacing w:line="200" w:lineRule="exact"/>
              <w:ind w:right="98"/>
              <w:rPr>
                <w:sz w:val="18"/>
              </w:rPr>
            </w:pPr>
            <w:r>
              <w:rPr>
                <w:sz w:val="18"/>
              </w:rPr>
              <w:t>73.3</w:t>
            </w:r>
          </w:p>
        </w:tc>
        <w:tc>
          <w:tcPr>
            <w:tcW w:w="900" w:type="dxa"/>
          </w:tcPr>
          <w:p w:rsidR="00D862F2" w:rsidRDefault="00884FE4">
            <w:pPr>
              <w:pStyle w:val="TableParagraph"/>
              <w:spacing w:line="200" w:lineRule="exact"/>
              <w:ind w:right="98"/>
              <w:rPr>
                <w:sz w:val="18"/>
              </w:rPr>
            </w:pPr>
            <w:r>
              <w:rPr>
                <w:sz w:val="18"/>
              </w:rPr>
              <w:t>81.4</w:t>
            </w:r>
          </w:p>
        </w:tc>
      </w:tr>
      <w:tr w:rsidR="00D862F2">
        <w:trPr>
          <w:trHeight w:val="218"/>
        </w:trPr>
        <w:tc>
          <w:tcPr>
            <w:tcW w:w="2789" w:type="dxa"/>
          </w:tcPr>
          <w:p w:rsidR="00D862F2" w:rsidRDefault="00884FE4">
            <w:pPr>
              <w:pStyle w:val="TableParagraph"/>
              <w:spacing w:line="198" w:lineRule="exact"/>
              <w:ind w:left="105"/>
              <w:jc w:val="left"/>
              <w:rPr>
                <w:b/>
                <w:sz w:val="18"/>
              </w:rPr>
            </w:pPr>
            <w:r>
              <w:rPr>
                <w:b/>
                <w:color w:val="1F487C"/>
                <w:sz w:val="18"/>
              </w:rPr>
              <w:t>HSA</w:t>
            </w:r>
            <w:r>
              <w:rPr>
                <w:b/>
                <w:color w:val="1F487C"/>
                <w:spacing w:val="-2"/>
                <w:sz w:val="18"/>
              </w:rPr>
              <w:t xml:space="preserve"> </w:t>
            </w:r>
            <w:r>
              <w:rPr>
                <w:b/>
                <w:color w:val="1F487C"/>
                <w:sz w:val="18"/>
              </w:rPr>
              <w:t>2:</w:t>
            </w:r>
            <w:r>
              <w:rPr>
                <w:b/>
                <w:color w:val="1F487C"/>
                <w:spacing w:val="-1"/>
                <w:sz w:val="18"/>
              </w:rPr>
              <w:t xml:space="preserve"> </w:t>
            </w:r>
            <w:r>
              <w:rPr>
                <w:b/>
                <w:color w:val="1F487C"/>
                <w:sz w:val="18"/>
              </w:rPr>
              <w:t>Central</w:t>
            </w:r>
            <w:r>
              <w:rPr>
                <w:b/>
                <w:color w:val="1F487C"/>
                <w:spacing w:val="-2"/>
                <w:sz w:val="18"/>
              </w:rPr>
              <w:t xml:space="preserve"> </w:t>
            </w:r>
            <w:r>
              <w:rPr>
                <w:b/>
                <w:color w:val="1F487C"/>
                <w:sz w:val="18"/>
              </w:rPr>
              <w:t>MA</w:t>
            </w:r>
          </w:p>
        </w:tc>
        <w:tc>
          <w:tcPr>
            <w:tcW w:w="720" w:type="dxa"/>
          </w:tcPr>
          <w:p w:rsidR="00D862F2" w:rsidRDefault="00884FE4">
            <w:pPr>
              <w:pStyle w:val="TableParagraph"/>
              <w:spacing w:line="198" w:lineRule="exact"/>
              <w:ind w:left="181" w:right="78"/>
              <w:jc w:val="center"/>
              <w:rPr>
                <w:sz w:val="18"/>
              </w:rPr>
            </w:pPr>
            <w:r>
              <w:rPr>
                <w:sz w:val="18"/>
              </w:rPr>
              <w:t>178.2</w:t>
            </w:r>
          </w:p>
        </w:tc>
        <w:tc>
          <w:tcPr>
            <w:tcW w:w="811" w:type="dxa"/>
          </w:tcPr>
          <w:p w:rsidR="00D862F2" w:rsidRDefault="00884FE4">
            <w:pPr>
              <w:pStyle w:val="TableParagraph"/>
              <w:spacing w:line="198" w:lineRule="exact"/>
              <w:ind w:right="98"/>
              <w:rPr>
                <w:sz w:val="18"/>
              </w:rPr>
            </w:pPr>
            <w:r>
              <w:rPr>
                <w:sz w:val="18"/>
              </w:rPr>
              <w:t>196.8</w:t>
            </w:r>
          </w:p>
        </w:tc>
        <w:tc>
          <w:tcPr>
            <w:tcW w:w="900" w:type="dxa"/>
          </w:tcPr>
          <w:p w:rsidR="00D862F2" w:rsidRDefault="00884FE4">
            <w:pPr>
              <w:pStyle w:val="TableParagraph"/>
              <w:spacing w:line="198" w:lineRule="exact"/>
              <w:ind w:right="98"/>
              <w:rPr>
                <w:sz w:val="18"/>
              </w:rPr>
            </w:pPr>
            <w:r>
              <w:rPr>
                <w:sz w:val="18"/>
              </w:rPr>
              <w:t>217.7</w:t>
            </w:r>
          </w:p>
        </w:tc>
      </w:tr>
      <w:tr w:rsidR="00D862F2">
        <w:trPr>
          <w:trHeight w:val="220"/>
        </w:trPr>
        <w:tc>
          <w:tcPr>
            <w:tcW w:w="2789" w:type="dxa"/>
          </w:tcPr>
          <w:p w:rsidR="00D862F2" w:rsidRDefault="00884FE4">
            <w:pPr>
              <w:pStyle w:val="TableParagraph"/>
              <w:spacing w:line="200" w:lineRule="exact"/>
              <w:ind w:left="105"/>
              <w:jc w:val="left"/>
              <w:rPr>
                <w:b/>
                <w:sz w:val="18"/>
              </w:rPr>
            </w:pPr>
            <w:r>
              <w:rPr>
                <w:b/>
                <w:color w:val="1F487C"/>
                <w:sz w:val="18"/>
              </w:rPr>
              <w:t>HSA</w:t>
            </w:r>
            <w:r>
              <w:rPr>
                <w:b/>
                <w:color w:val="1F487C"/>
                <w:spacing w:val="-3"/>
                <w:sz w:val="18"/>
              </w:rPr>
              <w:t xml:space="preserve"> </w:t>
            </w:r>
            <w:r>
              <w:rPr>
                <w:b/>
                <w:color w:val="1F487C"/>
                <w:sz w:val="18"/>
              </w:rPr>
              <w:t>3:</w:t>
            </w:r>
            <w:r>
              <w:rPr>
                <w:b/>
                <w:color w:val="1F487C"/>
                <w:spacing w:val="-1"/>
                <w:sz w:val="18"/>
              </w:rPr>
              <w:t xml:space="preserve"> </w:t>
            </w:r>
            <w:r>
              <w:rPr>
                <w:b/>
                <w:color w:val="1F487C"/>
                <w:sz w:val="18"/>
              </w:rPr>
              <w:t>Northeast</w:t>
            </w:r>
          </w:p>
        </w:tc>
        <w:tc>
          <w:tcPr>
            <w:tcW w:w="720" w:type="dxa"/>
          </w:tcPr>
          <w:p w:rsidR="00D862F2" w:rsidRDefault="00884FE4">
            <w:pPr>
              <w:pStyle w:val="TableParagraph"/>
              <w:spacing w:line="200" w:lineRule="exact"/>
              <w:ind w:left="181" w:right="78"/>
              <w:jc w:val="center"/>
              <w:rPr>
                <w:sz w:val="18"/>
              </w:rPr>
            </w:pPr>
            <w:r>
              <w:rPr>
                <w:sz w:val="18"/>
              </w:rPr>
              <w:t>348.0</w:t>
            </w:r>
          </w:p>
        </w:tc>
        <w:tc>
          <w:tcPr>
            <w:tcW w:w="811" w:type="dxa"/>
          </w:tcPr>
          <w:p w:rsidR="00D862F2" w:rsidRDefault="00884FE4">
            <w:pPr>
              <w:pStyle w:val="TableParagraph"/>
              <w:spacing w:line="200" w:lineRule="exact"/>
              <w:ind w:right="98"/>
              <w:rPr>
                <w:sz w:val="18"/>
              </w:rPr>
            </w:pPr>
            <w:r>
              <w:rPr>
                <w:sz w:val="18"/>
              </w:rPr>
              <w:t>354.7</w:t>
            </w:r>
          </w:p>
        </w:tc>
        <w:tc>
          <w:tcPr>
            <w:tcW w:w="900" w:type="dxa"/>
          </w:tcPr>
          <w:p w:rsidR="00D862F2" w:rsidRDefault="00884FE4">
            <w:pPr>
              <w:pStyle w:val="TableParagraph"/>
              <w:spacing w:line="200" w:lineRule="exact"/>
              <w:ind w:right="98"/>
              <w:rPr>
                <w:sz w:val="18"/>
              </w:rPr>
            </w:pPr>
            <w:r>
              <w:rPr>
                <w:sz w:val="18"/>
              </w:rPr>
              <w:t>360.3</w:t>
            </w:r>
          </w:p>
        </w:tc>
      </w:tr>
      <w:tr w:rsidR="00D862F2">
        <w:trPr>
          <w:trHeight w:val="220"/>
        </w:trPr>
        <w:tc>
          <w:tcPr>
            <w:tcW w:w="2789" w:type="dxa"/>
          </w:tcPr>
          <w:p w:rsidR="00D862F2" w:rsidRDefault="00884FE4">
            <w:pPr>
              <w:pStyle w:val="TableParagraph"/>
              <w:spacing w:line="200" w:lineRule="exact"/>
              <w:ind w:left="105"/>
              <w:jc w:val="left"/>
              <w:rPr>
                <w:b/>
                <w:sz w:val="18"/>
              </w:rPr>
            </w:pPr>
            <w:r>
              <w:rPr>
                <w:b/>
                <w:color w:val="1F487C"/>
                <w:sz w:val="18"/>
              </w:rPr>
              <w:t>HSA</w:t>
            </w:r>
            <w:r>
              <w:rPr>
                <w:b/>
                <w:color w:val="1F487C"/>
                <w:spacing w:val="-2"/>
                <w:sz w:val="18"/>
              </w:rPr>
              <w:t xml:space="preserve"> </w:t>
            </w:r>
            <w:r>
              <w:rPr>
                <w:b/>
                <w:color w:val="1F487C"/>
                <w:sz w:val="18"/>
              </w:rPr>
              <w:t>4: Metro</w:t>
            </w:r>
            <w:r>
              <w:rPr>
                <w:b/>
                <w:color w:val="1F487C"/>
                <w:spacing w:val="-2"/>
                <w:sz w:val="18"/>
              </w:rPr>
              <w:t xml:space="preserve"> </w:t>
            </w:r>
            <w:r>
              <w:rPr>
                <w:b/>
                <w:color w:val="1F487C"/>
                <w:sz w:val="18"/>
              </w:rPr>
              <w:t>West</w:t>
            </w:r>
          </w:p>
        </w:tc>
        <w:tc>
          <w:tcPr>
            <w:tcW w:w="720" w:type="dxa"/>
          </w:tcPr>
          <w:p w:rsidR="00D862F2" w:rsidRDefault="00884FE4">
            <w:pPr>
              <w:pStyle w:val="TableParagraph"/>
              <w:spacing w:line="200" w:lineRule="exact"/>
              <w:ind w:left="181" w:right="78"/>
              <w:jc w:val="center"/>
              <w:rPr>
                <w:sz w:val="18"/>
              </w:rPr>
            </w:pPr>
            <w:r>
              <w:rPr>
                <w:sz w:val="18"/>
              </w:rPr>
              <w:t>542.9</w:t>
            </w:r>
          </w:p>
        </w:tc>
        <w:tc>
          <w:tcPr>
            <w:tcW w:w="811" w:type="dxa"/>
          </w:tcPr>
          <w:p w:rsidR="00D862F2" w:rsidRDefault="00884FE4">
            <w:pPr>
              <w:pStyle w:val="TableParagraph"/>
              <w:spacing w:line="200" w:lineRule="exact"/>
              <w:ind w:right="98"/>
              <w:rPr>
                <w:sz w:val="18"/>
              </w:rPr>
            </w:pPr>
            <w:r>
              <w:rPr>
                <w:sz w:val="18"/>
              </w:rPr>
              <w:t>572.0</w:t>
            </w:r>
          </w:p>
        </w:tc>
        <w:tc>
          <w:tcPr>
            <w:tcW w:w="900" w:type="dxa"/>
          </w:tcPr>
          <w:p w:rsidR="00D862F2" w:rsidRDefault="00884FE4">
            <w:pPr>
              <w:pStyle w:val="TableParagraph"/>
              <w:spacing w:line="200" w:lineRule="exact"/>
              <w:ind w:right="98"/>
              <w:rPr>
                <w:sz w:val="18"/>
              </w:rPr>
            </w:pPr>
            <w:r>
              <w:rPr>
                <w:sz w:val="18"/>
              </w:rPr>
              <w:t>580.1</w:t>
            </w:r>
          </w:p>
        </w:tc>
      </w:tr>
      <w:tr w:rsidR="00D862F2">
        <w:trPr>
          <w:trHeight w:val="217"/>
        </w:trPr>
        <w:tc>
          <w:tcPr>
            <w:tcW w:w="2789" w:type="dxa"/>
          </w:tcPr>
          <w:p w:rsidR="00D862F2" w:rsidRDefault="00884FE4">
            <w:pPr>
              <w:pStyle w:val="TableParagraph"/>
              <w:spacing w:line="198" w:lineRule="exact"/>
              <w:ind w:left="105"/>
              <w:jc w:val="left"/>
              <w:rPr>
                <w:b/>
                <w:sz w:val="18"/>
              </w:rPr>
            </w:pPr>
            <w:r>
              <w:rPr>
                <w:b/>
                <w:color w:val="1F487C"/>
                <w:sz w:val="18"/>
              </w:rPr>
              <w:t>HSA</w:t>
            </w:r>
            <w:r>
              <w:rPr>
                <w:b/>
                <w:color w:val="1F487C"/>
                <w:spacing w:val="-3"/>
                <w:sz w:val="18"/>
              </w:rPr>
              <w:t xml:space="preserve"> </w:t>
            </w:r>
            <w:r>
              <w:rPr>
                <w:b/>
                <w:color w:val="1F487C"/>
                <w:sz w:val="18"/>
              </w:rPr>
              <w:t>5:</w:t>
            </w:r>
            <w:r>
              <w:rPr>
                <w:b/>
                <w:color w:val="1F487C"/>
                <w:spacing w:val="-2"/>
                <w:sz w:val="18"/>
              </w:rPr>
              <w:t xml:space="preserve"> </w:t>
            </w:r>
            <w:r>
              <w:rPr>
                <w:b/>
                <w:color w:val="1F487C"/>
                <w:sz w:val="18"/>
              </w:rPr>
              <w:t>Southeast</w:t>
            </w:r>
          </w:p>
        </w:tc>
        <w:tc>
          <w:tcPr>
            <w:tcW w:w="720" w:type="dxa"/>
          </w:tcPr>
          <w:p w:rsidR="00D862F2" w:rsidRDefault="00884FE4">
            <w:pPr>
              <w:pStyle w:val="TableParagraph"/>
              <w:spacing w:line="198" w:lineRule="exact"/>
              <w:ind w:left="181" w:right="78"/>
              <w:jc w:val="center"/>
              <w:rPr>
                <w:sz w:val="18"/>
              </w:rPr>
            </w:pPr>
            <w:r>
              <w:rPr>
                <w:sz w:val="18"/>
              </w:rPr>
              <w:t>313.6</w:t>
            </w:r>
          </w:p>
        </w:tc>
        <w:tc>
          <w:tcPr>
            <w:tcW w:w="811" w:type="dxa"/>
          </w:tcPr>
          <w:p w:rsidR="00D862F2" w:rsidRDefault="00884FE4">
            <w:pPr>
              <w:pStyle w:val="TableParagraph"/>
              <w:spacing w:line="198" w:lineRule="exact"/>
              <w:ind w:right="98"/>
              <w:rPr>
                <w:sz w:val="18"/>
              </w:rPr>
            </w:pPr>
            <w:r>
              <w:rPr>
                <w:sz w:val="18"/>
              </w:rPr>
              <w:t>347.6</w:t>
            </w:r>
          </w:p>
        </w:tc>
        <w:tc>
          <w:tcPr>
            <w:tcW w:w="900" w:type="dxa"/>
          </w:tcPr>
          <w:p w:rsidR="00D862F2" w:rsidRDefault="00884FE4">
            <w:pPr>
              <w:pStyle w:val="TableParagraph"/>
              <w:spacing w:line="198" w:lineRule="exact"/>
              <w:ind w:right="98"/>
              <w:rPr>
                <w:sz w:val="18"/>
              </w:rPr>
            </w:pPr>
            <w:r>
              <w:rPr>
                <w:sz w:val="18"/>
              </w:rPr>
              <w:t>373.9</w:t>
            </w:r>
          </w:p>
        </w:tc>
      </w:tr>
      <w:tr w:rsidR="00D862F2">
        <w:trPr>
          <w:trHeight w:val="220"/>
        </w:trPr>
        <w:tc>
          <w:tcPr>
            <w:tcW w:w="2789" w:type="dxa"/>
          </w:tcPr>
          <w:p w:rsidR="00D862F2" w:rsidRDefault="00884FE4">
            <w:pPr>
              <w:pStyle w:val="TableParagraph"/>
              <w:spacing w:before="1" w:line="199" w:lineRule="exact"/>
              <w:ind w:left="105"/>
              <w:jc w:val="left"/>
              <w:rPr>
                <w:b/>
                <w:sz w:val="18"/>
              </w:rPr>
            </w:pPr>
            <w:r>
              <w:rPr>
                <w:b/>
                <w:color w:val="1F487C"/>
                <w:sz w:val="18"/>
              </w:rPr>
              <w:t>HSA</w:t>
            </w:r>
            <w:r>
              <w:rPr>
                <w:b/>
                <w:color w:val="1F487C"/>
                <w:spacing w:val="-3"/>
                <w:sz w:val="18"/>
              </w:rPr>
              <w:t xml:space="preserve"> </w:t>
            </w:r>
            <w:r>
              <w:rPr>
                <w:b/>
                <w:color w:val="1F487C"/>
                <w:sz w:val="18"/>
              </w:rPr>
              <w:t>6:</w:t>
            </w:r>
            <w:r>
              <w:rPr>
                <w:b/>
                <w:color w:val="1F487C"/>
                <w:spacing w:val="-1"/>
                <w:sz w:val="18"/>
              </w:rPr>
              <w:t xml:space="preserve"> </w:t>
            </w:r>
            <w:r>
              <w:rPr>
                <w:b/>
                <w:color w:val="1F487C"/>
                <w:sz w:val="18"/>
              </w:rPr>
              <w:t>Boston</w:t>
            </w:r>
          </w:p>
        </w:tc>
        <w:tc>
          <w:tcPr>
            <w:tcW w:w="720" w:type="dxa"/>
          </w:tcPr>
          <w:p w:rsidR="00D862F2" w:rsidRDefault="00884FE4">
            <w:pPr>
              <w:pStyle w:val="TableParagraph"/>
              <w:spacing w:before="1" w:line="199" w:lineRule="exact"/>
              <w:ind w:left="181" w:right="78"/>
              <w:jc w:val="center"/>
              <w:rPr>
                <w:sz w:val="18"/>
              </w:rPr>
            </w:pPr>
            <w:r>
              <w:rPr>
                <w:sz w:val="18"/>
              </w:rPr>
              <w:t>930.1</w:t>
            </w:r>
          </w:p>
        </w:tc>
        <w:tc>
          <w:tcPr>
            <w:tcW w:w="811" w:type="dxa"/>
          </w:tcPr>
          <w:p w:rsidR="00D862F2" w:rsidRDefault="00884FE4">
            <w:pPr>
              <w:pStyle w:val="TableParagraph"/>
              <w:spacing w:before="1" w:line="199" w:lineRule="exact"/>
              <w:ind w:right="98"/>
              <w:rPr>
                <w:sz w:val="18"/>
              </w:rPr>
            </w:pPr>
            <w:r>
              <w:rPr>
                <w:sz w:val="18"/>
              </w:rPr>
              <w:t>879.7</w:t>
            </w:r>
          </w:p>
        </w:tc>
        <w:tc>
          <w:tcPr>
            <w:tcW w:w="900" w:type="dxa"/>
          </w:tcPr>
          <w:p w:rsidR="00D862F2" w:rsidRDefault="00884FE4">
            <w:pPr>
              <w:pStyle w:val="TableParagraph"/>
              <w:spacing w:before="1" w:line="199" w:lineRule="exact"/>
              <w:ind w:right="98"/>
              <w:rPr>
                <w:sz w:val="18"/>
              </w:rPr>
            </w:pPr>
            <w:r>
              <w:rPr>
                <w:sz w:val="18"/>
              </w:rPr>
              <w:t>926.4</w:t>
            </w:r>
          </w:p>
        </w:tc>
      </w:tr>
    </w:tbl>
    <w:p w:rsidR="00D862F2" w:rsidRDefault="00884FE4">
      <w:pPr>
        <w:spacing w:before="1"/>
        <w:ind w:left="2291"/>
        <w:rPr>
          <w:rFonts w:ascii="Calibri"/>
          <w:sz w:val="18"/>
        </w:rPr>
      </w:pPr>
      <w:r>
        <w:rPr>
          <w:rFonts w:ascii="Calibri"/>
          <w:sz w:val="18"/>
        </w:rPr>
        <w:t>*</w:t>
      </w:r>
      <w:r>
        <w:rPr>
          <w:rFonts w:ascii="Calibri"/>
          <w:spacing w:val="-4"/>
          <w:sz w:val="18"/>
        </w:rPr>
        <w:t xml:space="preserve"> </w:t>
      </w:r>
      <w:r>
        <w:rPr>
          <w:rFonts w:ascii="Calibri"/>
          <w:sz w:val="18"/>
        </w:rPr>
        <w:t>Includes</w:t>
      </w:r>
      <w:r>
        <w:rPr>
          <w:rFonts w:ascii="Calibri"/>
          <w:spacing w:val="-3"/>
          <w:sz w:val="18"/>
        </w:rPr>
        <w:t xml:space="preserve"> </w:t>
      </w:r>
      <w:r>
        <w:rPr>
          <w:rFonts w:ascii="Calibri"/>
          <w:sz w:val="18"/>
        </w:rPr>
        <w:t>physician</w:t>
      </w:r>
      <w:r>
        <w:rPr>
          <w:rFonts w:ascii="Calibri"/>
          <w:spacing w:val="-3"/>
          <w:sz w:val="18"/>
        </w:rPr>
        <w:t xml:space="preserve"> </w:t>
      </w:r>
      <w:r>
        <w:rPr>
          <w:rFonts w:ascii="Calibri"/>
          <w:sz w:val="18"/>
        </w:rPr>
        <w:t>office</w:t>
      </w:r>
      <w:r>
        <w:rPr>
          <w:rFonts w:ascii="Calibri"/>
          <w:spacing w:val="-3"/>
          <w:sz w:val="18"/>
        </w:rPr>
        <w:t xml:space="preserve"> </w:t>
      </w:r>
      <w:r>
        <w:rPr>
          <w:rFonts w:ascii="Calibri"/>
          <w:sz w:val="18"/>
        </w:rPr>
        <w:t>encounters</w:t>
      </w:r>
      <w:r>
        <w:rPr>
          <w:rFonts w:ascii="Calibri"/>
          <w:spacing w:val="-2"/>
          <w:sz w:val="18"/>
        </w:rPr>
        <w:t xml:space="preserve"> </w:t>
      </w:r>
      <w:r>
        <w:rPr>
          <w:rFonts w:ascii="Calibri"/>
          <w:sz w:val="18"/>
        </w:rPr>
        <w:t>in</w:t>
      </w:r>
      <w:r>
        <w:rPr>
          <w:rFonts w:ascii="Calibri"/>
          <w:spacing w:val="-3"/>
          <w:sz w:val="18"/>
        </w:rPr>
        <w:t xml:space="preserve"> </w:t>
      </w:r>
      <w:r>
        <w:rPr>
          <w:rFonts w:ascii="Calibri"/>
          <w:sz w:val="18"/>
        </w:rPr>
        <w:t>non-hospital space.</w:t>
      </w:r>
    </w:p>
    <w:p w:rsidR="00D862F2" w:rsidRDefault="00884FE4">
      <w:pPr>
        <w:spacing w:before="1"/>
        <w:ind w:left="2291"/>
        <w:rPr>
          <w:rFonts w:ascii="Calibri"/>
          <w:sz w:val="18"/>
        </w:rPr>
      </w:pPr>
      <w:r>
        <w:rPr>
          <w:rFonts w:ascii="Calibri"/>
          <w:sz w:val="18"/>
        </w:rPr>
        <w:t>Source:</w:t>
      </w:r>
      <w:r>
        <w:rPr>
          <w:rFonts w:ascii="Calibri"/>
          <w:spacing w:val="-3"/>
          <w:sz w:val="18"/>
        </w:rPr>
        <w:t xml:space="preserve"> </w:t>
      </w:r>
      <w:r>
        <w:rPr>
          <w:rFonts w:ascii="Calibri"/>
          <w:sz w:val="18"/>
        </w:rPr>
        <w:t>2017-2019</w:t>
      </w:r>
      <w:r>
        <w:rPr>
          <w:rFonts w:ascii="Calibri"/>
          <w:spacing w:val="-3"/>
          <w:sz w:val="18"/>
        </w:rPr>
        <w:t xml:space="preserve"> </w:t>
      </w:r>
      <w:r>
        <w:rPr>
          <w:rFonts w:ascii="Calibri"/>
          <w:sz w:val="18"/>
        </w:rPr>
        <w:t>Pediatric</w:t>
      </w:r>
      <w:r>
        <w:rPr>
          <w:rFonts w:ascii="Calibri"/>
          <w:spacing w:val="-2"/>
          <w:sz w:val="18"/>
        </w:rPr>
        <w:t xml:space="preserve"> </w:t>
      </w:r>
      <w:r>
        <w:rPr>
          <w:rFonts w:ascii="Calibri"/>
          <w:sz w:val="18"/>
        </w:rPr>
        <w:t>Population</w:t>
      </w:r>
      <w:r>
        <w:rPr>
          <w:rFonts w:ascii="Calibri"/>
          <w:spacing w:val="-4"/>
          <w:sz w:val="18"/>
        </w:rPr>
        <w:t xml:space="preserve"> </w:t>
      </w:r>
      <w:r>
        <w:rPr>
          <w:rFonts w:ascii="Calibri"/>
          <w:sz w:val="18"/>
        </w:rPr>
        <w:t>from</w:t>
      </w:r>
      <w:r>
        <w:rPr>
          <w:rFonts w:ascii="Calibri"/>
          <w:spacing w:val="-2"/>
          <w:sz w:val="18"/>
        </w:rPr>
        <w:t xml:space="preserve"> </w:t>
      </w:r>
      <w:r>
        <w:rPr>
          <w:rFonts w:ascii="Calibri"/>
          <w:sz w:val="18"/>
        </w:rPr>
        <w:t>Trueven/Market</w:t>
      </w:r>
      <w:r>
        <w:rPr>
          <w:rFonts w:ascii="Calibri"/>
          <w:spacing w:val="-4"/>
          <w:sz w:val="18"/>
        </w:rPr>
        <w:t xml:space="preserve"> </w:t>
      </w:r>
      <w:r>
        <w:rPr>
          <w:rFonts w:ascii="Calibri"/>
          <w:sz w:val="18"/>
        </w:rPr>
        <w:t>Report</w:t>
      </w:r>
    </w:p>
    <w:p w:rsidR="00D862F2" w:rsidRDefault="00D862F2">
      <w:pPr>
        <w:pStyle w:val="BodyText"/>
        <w:spacing w:before="11"/>
        <w:rPr>
          <w:rFonts w:ascii="Calibri"/>
          <w:sz w:val="21"/>
        </w:rPr>
      </w:pPr>
    </w:p>
    <w:p w:rsidR="00D862F2" w:rsidRDefault="00884FE4">
      <w:pPr>
        <w:pStyle w:val="BodyText"/>
        <w:spacing w:before="1"/>
        <w:ind w:left="220" w:right="277"/>
        <w:jc w:val="both"/>
      </w:pPr>
      <w:r>
        <w:t>The Applicant has positioned the Proposed Project as a “gateway to access,” with locations near</w:t>
      </w:r>
      <w:r>
        <w:rPr>
          <w:spacing w:val="1"/>
        </w:rPr>
        <w:t xml:space="preserve"> </w:t>
      </w:r>
      <w:r>
        <w:t>major</w:t>
      </w:r>
      <w:r>
        <w:rPr>
          <w:spacing w:val="1"/>
        </w:rPr>
        <w:t xml:space="preserve"> </w:t>
      </w:r>
      <w:r>
        <w:t>highway</w:t>
      </w:r>
      <w:r>
        <w:rPr>
          <w:spacing w:val="1"/>
        </w:rPr>
        <w:t xml:space="preserve"> </w:t>
      </w:r>
      <w:r>
        <w:t>transportation</w:t>
      </w:r>
      <w:r>
        <w:rPr>
          <w:spacing w:val="1"/>
        </w:rPr>
        <w:t xml:space="preserve"> </w:t>
      </w:r>
      <w:r>
        <w:t>routes,</w:t>
      </w:r>
      <w:r>
        <w:rPr>
          <w:spacing w:val="1"/>
        </w:rPr>
        <w:t xml:space="preserve"> </w:t>
      </w:r>
      <w:r>
        <w:t>increasing</w:t>
      </w:r>
      <w:r>
        <w:rPr>
          <w:spacing w:val="1"/>
        </w:rPr>
        <w:t xml:space="preserve"> </w:t>
      </w:r>
      <w:r>
        <w:t>accessibility</w:t>
      </w:r>
      <w:r>
        <w:rPr>
          <w:spacing w:val="1"/>
        </w:rPr>
        <w:t xml:space="preserve"> </w:t>
      </w:r>
      <w:r>
        <w:t>to</w:t>
      </w:r>
      <w:r>
        <w:rPr>
          <w:spacing w:val="1"/>
        </w:rPr>
        <w:t xml:space="preserve"> </w:t>
      </w:r>
      <w:r>
        <w:t>services</w:t>
      </w:r>
      <w:r>
        <w:rPr>
          <w:spacing w:val="1"/>
        </w:rPr>
        <w:t xml:space="preserve"> </w:t>
      </w:r>
      <w:r>
        <w:t>for</w:t>
      </w:r>
      <w:r>
        <w:rPr>
          <w:spacing w:val="1"/>
        </w:rPr>
        <w:t xml:space="preserve"> </w:t>
      </w:r>
      <w:r>
        <w:t>the</w:t>
      </w:r>
      <w:r>
        <w:rPr>
          <w:spacing w:val="1"/>
        </w:rPr>
        <w:t xml:space="preserve"> </w:t>
      </w:r>
      <w:r>
        <w:t>Hospital’s</w:t>
      </w:r>
      <w:r>
        <w:rPr>
          <w:spacing w:val="1"/>
        </w:rPr>
        <w:t xml:space="preserve"> </w:t>
      </w:r>
      <w:r>
        <w:t>patients residing in surrounding HSAs as well, as seen in the map below. Further, the Applicant</w:t>
      </w:r>
      <w:r>
        <w:rPr>
          <w:spacing w:val="1"/>
        </w:rPr>
        <w:t xml:space="preserve"> </w:t>
      </w:r>
      <w:r>
        <w:t>has</w:t>
      </w:r>
      <w:r>
        <w:rPr>
          <w:spacing w:val="1"/>
        </w:rPr>
        <w:t xml:space="preserve"> </w:t>
      </w:r>
      <w:r>
        <w:t>designed</w:t>
      </w:r>
      <w:r>
        <w:rPr>
          <w:spacing w:val="1"/>
        </w:rPr>
        <w:t xml:space="preserve"> </w:t>
      </w:r>
      <w:r>
        <w:t>the</w:t>
      </w:r>
      <w:r>
        <w:rPr>
          <w:spacing w:val="1"/>
        </w:rPr>
        <w:t xml:space="preserve"> </w:t>
      </w:r>
      <w:r>
        <w:t>Proposed</w:t>
      </w:r>
      <w:r>
        <w:rPr>
          <w:spacing w:val="1"/>
        </w:rPr>
        <w:t xml:space="preserve"> </w:t>
      </w:r>
      <w:r>
        <w:t>Project</w:t>
      </w:r>
      <w:r>
        <w:rPr>
          <w:spacing w:val="1"/>
        </w:rPr>
        <w:t xml:space="preserve"> </w:t>
      </w:r>
      <w:r>
        <w:t>with</w:t>
      </w:r>
      <w:r>
        <w:rPr>
          <w:spacing w:val="1"/>
        </w:rPr>
        <w:t xml:space="preserve"> </w:t>
      </w:r>
      <w:r>
        <w:t>the</w:t>
      </w:r>
      <w:r>
        <w:rPr>
          <w:spacing w:val="1"/>
        </w:rPr>
        <w:t xml:space="preserve"> </w:t>
      </w:r>
      <w:r>
        <w:t>accessibility</w:t>
      </w:r>
      <w:r>
        <w:rPr>
          <w:spacing w:val="1"/>
        </w:rPr>
        <w:t xml:space="preserve"> </w:t>
      </w:r>
      <w:r>
        <w:t>concerns</w:t>
      </w:r>
      <w:r>
        <w:rPr>
          <w:spacing w:val="1"/>
        </w:rPr>
        <w:t xml:space="preserve"> </w:t>
      </w:r>
      <w:r>
        <w:t>of</w:t>
      </w:r>
      <w:r>
        <w:rPr>
          <w:spacing w:val="1"/>
        </w:rPr>
        <w:t xml:space="preserve"> </w:t>
      </w:r>
      <w:r>
        <w:t>its</w:t>
      </w:r>
      <w:r>
        <w:rPr>
          <w:spacing w:val="1"/>
        </w:rPr>
        <w:t xml:space="preserve"> </w:t>
      </w:r>
      <w:r>
        <w:t>patients</w:t>
      </w:r>
      <w:r>
        <w:rPr>
          <w:spacing w:val="1"/>
        </w:rPr>
        <w:t xml:space="preserve"> </w:t>
      </w:r>
      <w:r>
        <w:t>and</w:t>
      </w:r>
      <w:r>
        <w:rPr>
          <w:spacing w:val="60"/>
        </w:rPr>
        <w:t xml:space="preserve"> </w:t>
      </w:r>
      <w:r>
        <w:t>their</w:t>
      </w:r>
      <w:r>
        <w:rPr>
          <w:spacing w:val="-57"/>
        </w:rPr>
        <w:t xml:space="preserve"> </w:t>
      </w:r>
      <w:r>
        <w:t>families in mind. In response, the Applicant has selected locations that provide ample parking</w:t>
      </w:r>
      <w:r>
        <w:rPr>
          <w:spacing w:val="1"/>
        </w:rPr>
        <w:t xml:space="preserve"> </w:t>
      </w:r>
      <w:r>
        <w:t>accessible to children with mobility impairments and has addressed space needs through new</w:t>
      </w:r>
      <w:r>
        <w:rPr>
          <w:spacing w:val="1"/>
        </w:rPr>
        <w:t xml:space="preserve"> </w:t>
      </w:r>
      <w:r>
        <w:t>construction</w:t>
      </w:r>
      <w:r>
        <w:rPr>
          <w:spacing w:val="5"/>
        </w:rPr>
        <w:t xml:space="preserve"> </w:t>
      </w:r>
      <w:r>
        <w:t>and</w:t>
      </w:r>
      <w:r>
        <w:rPr>
          <w:spacing w:val="8"/>
        </w:rPr>
        <w:t xml:space="preserve"> </w:t>
      </w:r>
      <w:r>
        <w:t>renovation</w:t>
      </w:r>
      <w:r>
        <w:rPr>
          <w:spacing w:val="5"/>
        </w:rPr>
        <w:t xml:space="preserve"> </w:t>
      </w:r>
      <w:r>
        <w:t>of</w:t>
      </w:r>
      <w:r>
        <w:rPr>
          <w:spacing w:val="5"/>
        </w:rPr>
        <w:t xml:space="preserve"> </w:t>
      </w:r>
      <w:r>
        <w:t>facilities.</w:t>
      </w:r>
      <w:r>
        <w:rPr>
          <w:spacing w:val="6"/>
        </w:rPr>
        <w:t xml:space="preserve"> </w:t>
      </w:r>
      <w:r>
        <w:t>Furthermore,</w:t>
      </w:r>
      <w:r>
        <w:rPr>
          <w:spacing w:val="5"/>
        </w:rPr>
        <w:t xml:space="preserve"> </w:t>
      </w:r>
      <w:r>
        <w:t>the</w:t>
      </w:r>
      <w:r>
        <w:rPr>
          <w:spacing w:val="7"/>
        </w:rPr>
        <w:t xml:space="preserve"> </w:t>
      </w:r>
      <w:r>
        <w:t>Proposed</w:t>
      </w:r>
      <w:r>
        <w:rPr>
          <w:spacing w:val="5"/>
        </w:rPr>
        <w:t xml:space="preserve"> </w:t>
      </w:r>
      <w:r>
        <w:t>Project</w:t>
      </w:r>
      <w:r>
        <w:rPr>
          <w:spacing w:val="9"/>
        </w:rPr>
        <w:t xml:space="preserve"> </w:t>
      </w:r>
      <w:r>
        <w:t>will</w:t>
      </w:r>
      <w:r>
        <w:rPr>
          <w:spacing w:val="5"/>
        </w:rPr>
        <w:t xml:space="preserve"> </w:t>
      </w:r>
      <w:r>
        <w:t>co-locate</w:t>
      </w:r>
      <w:r>
        <w:rPr>
          <w:spacing w:val="5"/>
        </w:rPr>
        <w:t xml:space="preserve"> </w:t>
      </w:r>
      <w:r>
        <w:t>multi-</w:t>
      </w:r>
    </w:p>
    <w:p w:rsidR="00D862F2" w:rsidRDefault="00D862F2">
      <w:pPr>
        <w:jc w:val="both"/>
        <w:sectPr w:rsidR="00D862F2">
          <w:pgSz w:w="12240" w:h="15840"/>
          <w:pgMar w:top="1340" w:right="1160" w:bottom="980" w:left="1220" w:header="722" w:footer="794" w:gutter="0"/>
          <w:cols w:space="720"/>
        </w:sectPr>
      </w:pPr>
    </w:p>
    <w:p w:rsidR="00D862F2" w:rsidRDefault="00884FE4">
      <w:pPr>
        <w:pStyle w:val="BodyText"/>
        <w:spacing w:before="88"/>
        <w:ind w:left="220" w:right="279"/>
        <w:jc w:val="both"/>
      </w:pPr>
      <w:r>
        <w:lastRenderedPageBreak/>
        <w:t>disciplinary</w:t>
      </w:r>
      <w:r>
        <w:rPr>
          <w:spacing w:val="1"/>
        </w:rPr>
        <w:t xml:space="preserve"> </w:t>
      </w:r>
      <w:r>
        <w:t>services,</w:t>
      </w:r>
      <w:r>
        <w:rPr>
          <w:spacing w:val="1"/>
        </w:rPr>
        <w:t xml:space="preserve"> </w:t>
      </w:r>
      <w:r>
        <w:t>allowing</w:t>
      </w:r>
      <w:r>
        <w:rPr>
          <w:spacing w:val="1"/>
        </w:rPr>
        <w:t xml:space="preserve"> </w:t>
      </w:r>
      <w:r>
        <w:t>patients</w:t>
      </w:r>
      <w:r>
        <w:rPr>
          <w:spacing w:val="1"/>
        </w:rPr>
        <w:t xml:space="preserve"> </w:t>
      </w:r>
      <w:r>
        <w:t>the</w:t>
      </w:r>
      <w:r>
        <w:rPr>
          <w:spacing w:val="1"/>
        </w:rPr>
        <w:t xml:space="preserve"> </w:t>
      </w:r>
      <w:r>
        <w:t>ability</w:t>
      </w:r>
      <w:r>
        <w:rPr>
          <w:spacing w:val="1"/>
        </w:rPr>
        <w:t xml:space="preserve"> </w:t>
      </w:r>
      <w:r>
        <w:t>to</w:t>
      </w:r>
      <w:r>
        <w:rPr>
          <w:spacing w:val="1"/>
        </w:rPr>
        <w:t xml:space="preserve"> </w:t>
      </w:r>
      <w:r>
        <w:t>receive</w:t>
      </w:r>
      <w:r>
        <w:rPr>
          <w:spacing w:val="1"/>
        </w:rPr>
        <w:t xml:space="preserve"> </w:t>
      </w:r>
      <w:r>
        <w:t>a</w:t>
      </w:r>
      <w:r>
        <w:rPr>
          <w:spacing w:val="1"/>
        </w:rPr>
        <w:t xml:space="preserve"> </w:t>
      </w:r>
      <w:r>
        <w:t>continuum</w:t>
      </w:r>
      <w:r>
        <w:rPr>
          <w:spacing w:val="1"/>
        </w:rPr>
        <w:t xml:space="preserve"> </w:t>
      </w:r>
      <w:r>
        <w:t>of</w:t>
      </w:r>
      <w:r>
        <w:rPr>
          <w:spacing w:val="1"/>
        </w:rPr>
        <w:t xml:space="preserve"> </w:t>
      </w:r>
      <w:r>
        <w:t>care</w:t>
      </w:r>
      <w:r>
        <w:rPr>
          <w:spacing w:val="1"/>
        </w:rPr>
        <w:t xml:space="preserve"> </w:t>
      </w:r>
      <w:r>
        <w:t>in</w:t>
      </w:r>
      <w:r>
        <w:rPr>
          <w:spacing w:val="60"/>
        </w:rPr>
        <w:t xml:space="preserve"> </w:t>
      </w:r>
      <w:r>
        <w:t>one</w:t>
      </w:r>
      <w:r>
        <w:rPr>
          <w:spacing w:val="1"/>
        </w:rPr>
        <w:t xml:space="preserve"> </w:t>
      </w:r>
      <w:r>
        <w:t>accessible</w:t>
      </w:r>
      <w:r>
        <w:rPr>
          <w:spacing w:val="-2"/>
        </w:rPr>
        <w:t xml:space="preserve"> </w:t>
      </w:r>
      <w:r>
        <w:t>location.</w:t>
      </w:r>
    </w:p>
    <w:p w:rsidR="00D862F2" w:rsidRDefault="00884FE4">
      <w:pPr>
        <w:pStyle w:val="BodyText"/>
        <w:spacing w:before="7"/>
        <w:rPr>
          <w:sz w:val="22"/>
        </w:rPr>
      </w:pPr>
      <w:r>
        <w:rPr>
          <w:noProof/>
        </w:rPr>
        <w:drawing>
          <wp:anchor distT="0" distB="0" distL="0" distR="0" simplePos="0" relativeHeight="3" behindDoc="0" locked="0" layoutInCell="1" allowOverlap="1">
            <wp:simplePos x="0" y="0"/>
            <wp:positionH relativeFrom="page">
              <wp:posOffset>914400</wp:posOffset>
            </wp:positionH>
            <wp:positionV relativeFrom="paragraph">
              <wp:posOffset>180426</wp:posOffset>
            </wp:positionV>
            <wp:extent cx="5959968" cy="3742563"/>
            <wp:effectExtent l="0" t="0" r="0" b="0"/>
            <wp:wrapTopAndBottom/>
            <wp:docPr id="1" name="image1.png" descr="Patient Orign&#10;HSA 1, 2, &amp; 6 in lightest blue&#10;HSA 3 &amp; 5 in medium blue&#10;HSA 4 in darkest blue&#10;&#10;Population Under 18&#10;Greater than 175,000&#10;175,000-275,000&#10;Less athan 275,000" title="Health Services Areas (HSAs) Map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5959968" cy="3742563"/>
                    </a:xfrm>
                    <a:prstGeom prst="rect">
                      <a:avLst/>
                    </a:prstGeom>
                  </pic:spPr>
                </pic:pic>
              </a:graphicData>
            </a:graphic>
          </wp:anchor>
        </w:drawing>
      </w:r>
    </w:p>
    <w:p w:rsidR="00D862F2" w:rsidRDefault="00884FE4">
      <w:pPr>
        <w:pStyle w:val="BodyText"/>
        <w:spacing w:before="203"/>
        <w:ind w:left="219" w:right="275"/>
        <w:jc w:val="both"/>
      </w:pPr>
      <w:r>
        <w:t>In siting the Proposed Project along major transportation routes, the Applicant intends to increase</w:t>
      </w:r>
      <w:r>
        <w:rPr>
          <w:spacing w:val="-57"/>
        </w:rPr>
        <w:t xml:space="preserve"> </w:t>
      </w:r>
      <w:r>
        <w:t>accessibility particularly to nearby underserved communities, including Brockton, Framingham,</w:t>
      </w:r>
      <w:r>
        <w:rPr>
          <w:spacing w:val="1"/>
        </w:rPr>
        <w:t xml:space="preserve"> </w:t>
      </w:r>
      <w:r>
        <w:t>Quincy and Randolph. As shown in Table 6, pediatric patients in these communities made up</w:t>
      </w:r>
      <w:r>
        <w:rPr>
          <w:spacing w:val="1"/>
        </w:rPr>
        <w:t xml:space="preserve"> </w:t>
      </w:r>
      <w:r>
        <w:t>4.7% of Boston Children’s visits in 2019. However, only 23% of ambulatory care for these</w:t>
      </w:r>
      <w:r>
        <w:rPr>
          <w:spacing w:val="1"/>
        </w:rPr>
        <w:t xml:space="preserve"> </w:t>
      </w:r>
      <w:r>
        <w:t>pediatric patients was delivered at a satellite location easily accessible to the residents of these</w:t>
      </w:r>
      <w:r>
        <w:rPr>
          <w:spacing w:val="1"/>
        </w:rPr>
        <w:t xml:space="preserve"> </w:t>
      </w:r>
      <w:r>
        <w:t xml:space="preserve">communities in 2019. </w:t>
      </w:r>
      <w:r>
        <w:rPr>
          <w:i/>
        </w:rPr>
        <w:t xml:space="preserve">See </w:t>
      </w:r>
      <w:r>
        <w:t>Table 7. The Proposed Project locations will make Boston Children’s</w:t>
      </w:r>
      <w:r>
        <w:rPr>
          <w:spacing w:val="1"/>
        </w:rPr>
        <w:t xml:space="preserve"> </w:t>
      </w:r>
      <w:r>
        <w:t>highly specialized pediatric care more accessible to the pediatric population in these underserved</w:t>
      </w:r>
      <w:r>
        <w:rPr>
          <w:spacing w:val="1"/>
        </w:rPr>
        <w:t xml:space="preserve"> </w:t>
      </w:r>
      <w:r>
        <w:t>communities.</w:t>
      </w:r>
    </w:p>
    <w:p w:rsidR="00D862F2" w:rsidRDefault="00D862F2">
      <w:pPr>
        <w:pStyle w:val="BodyText"/>
        <w:spacing w:before="8"/>
      </w:pPr>
    </w:p>
    <w:p w:rsidR="00D862F2" w:rsidRDefault="00884FE4">
      <w:pPr>
        <w:ind w:left="3632" w:right="3691"/>
        <w:jc w:val="center"/>
        <w:rPr>
          <w:rFonts w:ascii="Calibri"/>
          <w:b/>
          <w:sz w:val="20"/>
        </w:rPr>
      </w:pPr>
      <w:r>
        <w:rPr>
          <w:rFonts w:ascii="Calibri"/>
          <w:b/>
          <w:sz w:val="20"/>
        </w:rPr>
        <w:t>Table</w:t>
      </w:r>
      <w:r>
        <w:rPr>
          <w:rFonts w:ascii="Calibri"/>
          <w:b/>
          <w:spacing w:val="-2"/>
          <w:sz w:val="20"/>
        </w:rPr>
        <w:t xml:space="preserve"> </w:t>
      </w:r>
      <w:r>
        <w:rPr>
          <w:rFonts w:ascii="Calibri"/>
          <w:b/>
          <w:sz w:val="20"/>
        </w:rPr>
        <w:t>6.</w:t>
      </w:r>
      <w:r>
        <w:rPr>
          <w:rFonts w:ascii="Calibri"/>
          <w:b/>
          <w:spacing w:val="-2"/>
          <w:sz w:val="20"/>
        </w:rPr>
        <w:t xml:space="preserve"> </w:t>
      </w:r>
      <w:r>
        <w:rPr>
          <w:rFonts w:ascii="Calibri"/>
          <w:b/>
          <w:sz w:val="20"/>
        </w:rPr>
        <w:t>Visits</w:t>
      </w:r>
      <w:r>
        <w:rPr>
          <w:rFonts w:ascii="Calibri"/>
          <w:b/>
          <w:spacing w:val="-2"/>
          <w:sz w:val="20"/>
        </w:rPr>
        <w:t xml:space="preserve"> </w:t>
      </w:r>
      <w:r>
        <w:rPr>
          <w:rFonts w:ascii="Calibri"/>
          <w:b/>
          <w:sz w:val="20"/>
        </w:rPr>
        <w:t>by</w:t>
      </w:r>
      <w:r>
        <w:rPr>
          <w:rFonts w:ascii="Calibri"/>
          <w:b/>
          <w:spacing w:val="-3"/>
          <w:sz w:val="20"/>
        </w:rPr>
        <w:t xml:space="preserve"> </w:t>
      </w:r>
      <w:r>
        <w:rPr>
          <w:rFonts w:ascii="Calibri"/>
          <w:b/>
          <w:sz w:val="20"/>
        </w:rPr>
        <w:t>Community*</w:t>
      </w:r>
    </w:p>
    <w:tbl>
      <w:tblPr>
        <w:tblW w:w="0" w:type="auto"/>
        <w:tblInd w:w="1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816"/>
        <w:gridCol w:w="914"/>
        <w:gridCol w:w="1017"/>
      </w:tblGrid>
      <w:tr w:rsidR="00D862F2">
        <w:trPr>
          <w:trHeight w:val="232"/>
        </w:trPr>
        <w:tc>
          <w:tcPr>
            <w:tcW w:w="3158" w:type="dxa"/>
            <w:shd w:val="clear" w:color="auto" w:fill="2E5395"/>
          </w:tcPr>
          <w:p w:rsidR="00D862F2" w:rsidRDefault="00D862F2">
            <w:pPr>
              <w:pStyle w:val="TableParagraph"/>
              <w:jc w:val="left"/>
              <w:rPr>
                <w:rFonts w:ascii="Times New Roman"/>
                <w:sz w:val="16"/>
              </w:rPr>
            </w:pPr>
          </w:p>
        </w:tc>
        <w:tc>
          <w:tcPr>
            <w:tcW w:w="816" w:type="dxa"/>
            <w:shd w:val="clear" w:color="auto" w:fill="2E5395"/>
          </w:tcPr>
          <w:p w:rsidR="00D862F2" w:rsidRDefault="00884FE4">
            <w:pPr>
              <w:pStyle w:val="TableParagraph"/>
              <w:spacing w:before="1" w:line="211" w:lineRule="exact"/>
              <w:ind w:right="95"/>
              <w:rPr>
                <w:b/>
                <w:sz w:val="18"/>
              </w:rPr>
            </w:pPr>
            <w:r>
              <w:rPr>
                <w:b/>
                <w:color w:val="FFFFFF"/>
                <w:sz w:val="18"/>
              </w:rPr>
              <w:t>FY17</w:t>
            </w:r>
          </w:p>
        </w:tc>
        <w:tc>
          <w:tcPr>
            <w:tcW w:w="914" w:type="dxa"/>
            <w:shd w:val="clear" w:color="auto" w:fill="2E5395"/>
          </w:tcPr>
          <w:p w:rsidR="00D862F2" w:rsidRDefault="00884FE4">
            <w:pPr>
              <w:pStyle w:val="TableParagraph"/>
              <w:spacing w:before="1" w:line="211" w:lineRule="exact"/>
              <w:ind w:right="93"/>
              <w:rPr>
                <w:b/>
                <w:sz w:val="18"/>
              </w:rPr>
            </w:pPr>
            <w:r>
              <w:rPr>
                <w:b/>
                <w:color w:val="FFFFFF"/>
                <w:sz w:val="18"/>
              </w:rPr>
              <w:t>FY18</w:t>
            </w:r>
          </w:p>
        </w:tc>
        <w:tc>
          <w:tcPr>
            <w:tcW w:w="1017" w:type="dxa"/>
            <w:shd w:val="clear" w:color="auto" w:fill="2E5395"/>
          </w:tcPr>
          <w:p w:rsidR="00D862F2" w:rsidRDefault="00884FE4">
            <w:pPr>
              <w:pStyle w:val="TableParagraph"/>
              <w:spacing w:before="1" w:line="211" w:lineRule="exact"/>
              <w:ind w:right="94"/>
              <w:rPr>
                <w:b/>
                <w:sz w:val="18"/>
              </w:rPr>
            </w:pPr>
            <w:r>
              <w:rPr>
                <w:b/>
                <w:color w:val="FFFFFF"/>
                <w:sz w:val="18"/>
              </w:rPr>
              <w:t>FY19</w:t>
            </w:r>
          </w:p>
        </w:tc>
      </w:tr>
      <w:tr w:rsidR="00D862F2">
        <w:trPr>
          <w:trHeight w:val="462"/>
        </w:trPr>
        <w:tc>
          <w:tcPr>
            <w:tcW w:w="3158" w:type="dxa"/>
            <w:shd w:val="clear" w:color="auto" w:fill="D9D9D9"/>
          </w:tcPr>
          <w:p w:rsidR="00D862F2" w:rsidRDefault="00884FE4">
            <w:pPr>
              <w:pStyle w:val="TableParagraph"/>
              <w:spacing w:before="23" w:line="219" w:lineRule="exact"/>
              <w:ind w:left="107"/>
              <w:jc w:val="left"/>
              <w:rPr>
                <w:b/>
                <w:sz w:val="18"/>
              </w:rPr>
            </w:pPr>
            <w:r>
              <w:rPr>
                <w:b/>
                <w:sz w:val="18"/>
              </w:rPr>
              <w:t>Total</w:t>
            </w:r>
            <w:r>
              <w:rPr>
                <w:b/>
                <w:spacing w:val="-5"/>
                <w:sz w:val="18"/>
              </w:rPr>
              <w:t xml:space="preserve"> </w:t>
            </w:r>
            <w:r>
              <w:rPr>
                <w:b/>
                <w:sz w:val="18"/>
              </w:rPr>
              <w:t>Community</w:t>
            </w:r>
            <w:r>
              <w:rPr>
                <w:b/>
                <w:spacing w:val="-2"/>
                <w:sz w:val="18"/>
              </w:rPr>
              <w:t xml:space="preserve"> </w:t>
            </w:r>
            <w:r>
              <w:rPr>
                <w:b/>
                <w:sz w:val="18"/>
              </w:rPr>
              <w:t>Visits</w:t>
            </w:r>
          </w:p>
          <w:p w:rsidR="00D862F2" w:rsidRDefault="00884FE4">
            <w:pPr>
              <w:pStyle w:val="TableParagraph"/>
              <w:spacing w:line="201" w:lineRule="exact"/>
              <w:ind w:left="107"/>
              <w:jc w:val="left"/>
              <w:rPr>
                <w:b/>
                <w:sz w:val="18"/>
              </w:rPr>
            </w:pPr>
            <w:r>
              <w:rPr>
                <w:b/>
                <w:sz w:val="18"/>
              </w:rPr>
              <w:t>(as</w:t>
            </w:r>
            <w:r>
              <w:rPr>
                <w:b/>
                <w:spacing w:val="-2"/>
                <w:sz w:val="18"/>
              </w:rPr>
              <w:t xml:space="preserve"> </w:t>
            </w:r>
            <w:r>
              <w:rPr>
                <w:b/>
                <w:sz w:val="18"/>
              </w:rPr>
              <w:t>%</w:t>
            </w:r>
            <w:r>
              <w:rPr>
                <w:b/>
                <w:spacing w:val="-2"/>
                <w:sz w:val="18"/>
              </w:rPr>
              <w:t xml:space="preserve"> </w:t>
            </w:r>
            <w:r>
              <w:rPr>
                <w:b/>
                <w:sz w:val="18"/>
              </w:rPr>
              <w:t>of</w:t>
            </w:r>
            <w:r>
              <w:rPr>
                <w:b/>
                <w:spacing w:val="38"/>
                <w:sz w:val="18"/>
              </w:rPr>
              <w:t xml:space="preserve"> </w:t>
            </w:r>
            <w:r>
              <w:rPr>
                <w:b/>
                <w:sz w:val="18"/>
              </w:rPr>
              <w:t>Boston</w:t>
            </w:r>
            <w:r>
              <w:rPr>
                <w:b/>
                <w:spacing w:val="-3"/>
                <w:sz w:val="18"/>
              </w:rPr>
              <w:t xml:space="preserve"> </w:t>
            </w:r>
            <w:r>
              <w:rPr>
                <w:b/>
                <w:sz w:val="18"/>
              </w:rPr>
              <w:t>Children’s</w:t>
            </w:r>
            <w:r>
              <w:rPr>
                <w:b/>
                <w:spacing w:val="-2"/>
                <w:sz w:val="18"/>
              </w:rPr>
              <w:t xml:space="preserve"> </w:t>
            </w:r>
            <w:r>
              <w:rPr>
                <w:b/>
                <w:sz w:val="18"/>
              </w:rPr>
              <w:t>Total</w:t>
            </w:r>
            <w:r>
              <w:rPr>
                <w:b/>
                <w:spacing w:val="-2"/>
                <w:sz w:val="18"/>
              </w:rPr>
              <w:t xml:space="preserve"> </w:t>
            </w:r>
            <w:r>
              <w:rPr>
                <w:b/>
                <w:sz w:val="18"/>
              </w:rPr>
              <w:t>Visits)</w:t>
            </w:r>
          </w:p>
        </w:tc>
        <w:tc>
          <w:tcPr>
            <w:tcW w:w="816" w:type="dxa"/>
            <w:shd w:val="clear" w:color="auto" w:fill="D9D9D9"/>
          </w:tcPr>
          <w:p w:rsidR="00D862F2" w:rsidRDefault="00884FE4">
            <w:pPr>
              <w:pStyle w:val="TableParagraph"/>
              <w:spacing w:line="218" w:lineRule="exact"/>
              <w:ind w:left="206"/>
              <w:jc w:val="left"/>
              <w:rPr>
                <w:sz w:val="18"/>
              </w:rPr>
            </w:pPr>
            <w:r>
              <w:rPr>
                <w:sz w:val="18"/>
              </w:rPr>
              <w:t>25,327</w:t>
            </w:r>
          </w:p>
          <w:p w:rsidR="00D862F2" w:rsidRDefault="00884FE4">
            <w:pPr>
              <w:pStyle w:val="TableParagraph"/>
              <w:spacing w:line="219" w:lineRule="exact"/>
              <w:ind w:left="242"/>
              <w:jc w:val="left"/>
              <w:rPr>
                <w:sz w:val="18"/>
              </w:rPr>
            </w:pPr>
            <w:r>
              <w:rPr>
                <w:sz w:val="18"/>
              </w:rPr>
              <w:t>(4.6%)</w:t>
            </w:r>
          </w:p>
        </w:tc>
        <w:tc>
          <w:tcPr>
            <w:tcW w:w="914" w:type="dxa"/>
            <w:shd w:val="clear" w:color="auto" w:fill="D9D9D9"/>
          </w:tcPr>
          <w:p w:rsidR="00D862F2" w:rsidRDefault="00884FE4">
            <w:pPr>
              <w:pStyle w:val="TableParagraph"/>
              <w:spacing w:line="218" w:lineRule="exact"/>
              <w:ind w:left="307"/>
              <w:jc w:val="left"/>
              <w:rPr>
                <w:sz w:val="18"/>
              </w:rPr>
            </w:pPr>
            <w:r>
              <w:rPr>
                <w:sz w:val="18"/>
              </w:rPr>
              <w:t>25,314</w:t>
            </w:r>
          </w:p>
          <w:p w:rsidR="00D862F2" w:rsidRDefault="00884FE4">
            <w:pPr>
              <w:pStyle w:val="TableParagraph"/>
              <w:spacing w:line="219" w:lineRule="exact"/>
              <w:ind w:left="341"/>
              <w:jc w:val="left"/>
              <w:rPr>
                <w:sz w:val="18"/>
              </w:rPr>
            </w:pPr>
            <w:r>
              <w:rPr>
                <w:sz w:val="18"/>
              </w:rPr>
              <w:t>(4.6%)</w:t>
            </w:r>
          </w:p>
        </w:tc>
        <w:tc>
          <w:tcPr>
            <w:tcW w:w="1017" w:type="dxa"/>
            <w:shd w:val="clear" w:color="auto" w:fill="D9D9D9"/>
          </w:tcPr>
          <w:p w:rsidR="00D862F2" w:rsidRDefault="00884FE4">
            <w:pPr>
              <w:pStyle w:val="TableParagraph"/>
              <w:spacing w:line="218" w:lineRule="exact"/>
              <w:ind w:left="408"/>
              <w:jc w:val="left"/>
              <w:rPr>
                <w:sz w:val="18"/>
              </w:rPr>
            </w:pPr>
            <w:r>
              <w:rPr>
                <w:sz w:val="18"/>
              </w:rPr>
              <w:t>27,224</w:t>
            </w:r>
          </w:p>
          <w:p w:rsidR="00D862F2" w:rsidRDefault="00884FE4">
            <w:pPr>
              <w:pStyle w:val="TableParagraph"/>
              <w:spacing w:line="219" w:lineRule="exact"/>
              <w:ind w:left="444"/>
              <w:jc w:val="left"/>
              <w:rPr>
                <w:sz w:val="18"/>
              </w:rPr>
            </w:pPr>
            <w:r>
              <w:rPr>
                <w:sz w:val="18"/>
              </w:rPr>
              <w:t>(4.7%)</w:t>
            </w:r>
          </w:p>
        </w:tc>
      </w:tr>
      <w:tr w:rsidR="00D862F2">
        <w:trPr>
          <w:trHeight w:val="229"/>
        </w:trPr>
        <w:tc>
          <w:tcPr>
            <w:tcW w:w="3158" w:type="dxa"/>
          </w:tcPr>
          <w:p w:rsidR="00D862F2" w:rsidRDefault="00884FE4">
            <w:pPr>
              <w:pStyle w:val="TableParagraph"/>
              <w:spacing w:before="3" w:line="206" w:lineRule="exact"/>
              <w:ind w:left="107"/>
              <w:jc w:val="left"/>
              <w:rPr>
                <w:b/>
                <w:sz w:val="18"/>
              </w:rPr>
            </w:pPr>
            <w:r>
              <w:rPr>
                <w:b/>
                <w:color w:val="1F487C"/>
                <w:sz w:val="18"/>
              </w:rPr>
              <w:t>Brockton</w:t>
            </w:r>
          </w:p>
        </w:tc>
        <w:tc>
          <w:tcPr>
            <w:tcW w:w="816" w:type="dxa"/>
          </w:tcPr>
          <w:p w:rsidR="00D862F2" w:rsidRDefault="00884FE4">
            <w:pPr>
              <w:pStyle w:val="TableParagraph"/>
              <w:spacing w:line="210" w:lineRule="exact"/>
              <w:ind w:right="95"/>
              <w:rPr>
                <w:sz w:val="18"/>
              </w:rPr>
            </w:pPr>
            <w:r>
              <w:rPr>
                <w:sz w:val="18"/>
              </w:rPr>
              <w:t>7,567</w:t>
            </w:r>
          </w:p>
        </w:tc>
        <w:tc>
          <w:tcPr>
            <w:tcW w:w="914" w:type="dxa"/>
          </w:tcPr>
          <w:p w:rsidR="00D862F2" w:rsidRDefault="00884FE4">
            <w:pPr>
              <w:pStyle w:val="TableParagraph"/>
              <w:spacing w:line="210" w:lineRule="exact"/>
              <w:ind w:right="92"/>
              <w:rPr>
                <w:sz w:val="18"/>
              </w:rPr>
            </w:pPr>
            <w:r>
              <w:rPr>
                <w:sz w:val="18"/>
              </w:rPr>
              <w:t>7,921</w:t>
            </w:r>
          </w:p>
        </w:tc>
        <w:tc>
          <w:tcPr>
            <w:tcW w:w="1017" w:type="dxa"/>
          </w:tcPr>
          <w:p w:rsidR="00D862F2" w:rsidRDefault="00884FE4">
            <w:pPr>
              <w:pStyle w:val="TableParagraph"/>
              <w:spacing w:line="210" w:lineRule="exact"/>
              <w:ind w:right="94"/>
              <w:rPr>
                <w:sz w:val="18"/>
              </w:rPr>
            </w:pPr>
            <w:r>
              <w:rPr>
                <w:sz w:val="18"/>
              </w:rPr>
              <w:t>8,581</w:t>
            </w:r>
          </w:p>
        </w:tc>
      </w:tr>
      <w:tr w:rsidR="00D862F2">
        <w:trPr>
          <w:trHeight w:val="232"/>
        </w:trPr>
        <w:tc>
          <w:tcPr>
            <w:tcW w:w="3158" w:type="dxa"/>
          </w:tcPr>
          <w:p w:rsidR="00D862F2" w:rsidRDefault="00884FE4">
            <w:pPr>
              <w:pStyle w:val="TableParagraph"/>
              <w:spacing w:before="6" w:line="206" w:lineRule="exact"/>
              <w:ind w:left="107"/>
              <w:jc w:val="left"/>
              <w:rPr>
                <w:b/>
                <w:sz w:val="18"/>
              </w:rPr>
            </w:pPr>
            <w:r>
              <w:rPr>
                <w:b/>
                <w:color w:val="1F487C"/>
                <w:sz w:val="18"/>
              </w:rPr>
              <w:t>Framingham</w:t>
            </w:r>
          </w:p>
        </w:tc>
        <w:tc>
          <w:tcPr>
            <w:tcW w:w="816" w:type="dxa"/>
          </w:tcPr>
          <w:p w:rsidR="00D862F2" w:rsidRDefault="00884FE4">
            <w:pPr>
              <w:pStyle w:val="TableParagraph"/>
              <w:spacing w:line="212" w:lineRule="exact"/>
              <w:ind w:right="95"/>
              <w:rPr>
                <w:sz w:val="18"/>
              </w:rPr>
            </w:pPr>
            <w:r>
              <w:rPr>
                <w:sz w:val="18"/>
              </w:rPr>
              <w:t>5,620</w:t>
            </w:r>
          </w:p>
        </w:tc>
        <w:tc>
          <w:tcPr>
            <w:tcW w:w="914" w:type="dxa"/>
          </w:tcPr>
          <w:p w:rsidR="00D862F2" w:rsidRDefault="00884FE4">
            <w:pPr>
              <w:pStyle w:val="TableParagraph"/>
              <w:spacing w:line="212" w:lineRule="exact"/>
              <w:ind w:right="92"/>
              <w:rPr>
                <w:sz w:val="18"/>
              </w:rPr>
            </w:pPr>
            <w:r>
              <w:rPr>
                <w:sz w:val="18"/>
              </w:rPr>
              <w:t>5,359</w:t>
            </w:r>
          </w:p>
        </w:tc>
        <w:tc>
          <w:tcPr>
            <w:tcW w:w="1017" w:type="dxa"/>
          </w:tcPr>
          <w:p w:rsidR="00D862F2" w:rsidRDefault="00884FE4">
            <w:pPr>
              <w:pStyle w:val="TableParagraph"/>
              <w:spacing w:line="212" w:lineRule="exact"/>
              <w:ind w:right="94"/>
              <w:rPr>
                <w:sz w:val="18"/>
              </w:rPr>
            </w:pPr>
            <w:r>
              <w:rPr>
                <w:sz w:val="18"/>
              </w:rPr>
              <w:t>6,075</w:t>
            </w:r>
          </w:p>
        </w:tc>
      </w:tr>
      <w:tr w:rsidR="00D862F2">
        <w:trPr>
          <w:trHeight w:val="229"/>
        </w:trPr>
        <w:tc>
          <w:tcPr>
            <w:tcW w:w="3158" w:type="dxa"/>
          </w:tcPr>
          <w:p w:rsidR="00D862F2" w:rsidRDefault="00884FE4">
            <w:pPr>
              <w:pStyle w:val="TableParagraph"/>
              <w:spacing w:before="3" w:line="206" w:lineRule="exact"/>
              <w:ind w:left="107"/>
              <w:jc w:val="left"/>
              <w:rPr>
                <w:b/>
                <w:sz w:val="18"/>
              </w:rPr>
            </w:pPr>
            <w:r>
              <w:rPr>
                <w:b/>
                <w:color w:val="1F487C"/>
                <w:sz w:val="18"/>
              </w:rPr>
              <w:t>Quincy</w:t>
            </w:r>
          </w:p>
        </w:tc>
        <w:tc>
          <w:tcPr>
            <w:tcW w:w="816" w:type="dxa"/>
          </w:tcPr>
          <w:p w:rsidR="00D862F2" w:rsidRDefault="00884FE4">
            <w:pPr>
              <w:pStyle w:val="TableParagraph"/>
              <w:spacing w:line="210" w:lineRule="exact"/>
              <w:ind w:right="95"/>
              <w:rPr>
                <w:sz w:val="18"/>
              </w:rPr>
            </w:pPr>
            <w:r>
              <w:rPr>
                <w:sz w:val="18"/>
              </w:rPr>
              <w:t>7,893</w:t>
            </w:r>
          </w:p>
        </w:tc>
        <w:tc>
          <w:tcPr>
            <w:tcW w:w="914" w:type="dxa"/>
          </w:tcPr>
          <w:p w:rsidR="00D862F2" w:rsidRDefault="00884FE4">
            <w:pPr>
              <w:pStyle w:val="TableParagraph"/>
              <w:spacing w:line="210" w:lineRule="exact"/>
              <w:ind w:right="92"/>
              <w:rPr>
                <w:sz w:val="18"/>
              </w:rPr>
            </w:pPr>
            <w:r>
              <w:rPr>
                <w:sz w:val="18"/>
              </w:rPr>
              <w:t>7,638</w:t>
            </w:r>
          </w:p>
        </w:tc>
        <w:tc>
          <w:tcPr>
            <w:tcW w:w="1017" w:type="dxa"/>
          </w:tcPr>
          <w:p w:rsidR="00D862F2" w:rsidRDefault="00884FE4">
            <w:pPr>
              <w:pStyle w:val="TableParagraph"/>
              <w:spacing w:line="210" w:lineRule="exact"/>
              <w:ind w:right="94"/>
              <w:rPr>
                <w:sz w:val="18"/>
              </w:rPr>
            </w:pPr>
            <w:r>
              <w:rPr>
                <w:sz w:val="18"/>
              </w:rPr>
              <w:t>8,317</w:t>
            </w:r>
          </w:p>
        </w:tc>
      </w:tr>
      <w:tr w:rsidR="00D862F2">
        <w:trPr>
          <w:trHeight w:val="232"/>
        </w:trPr>
        <w:tc>
          <w:tcPr>
            <w:tcW w:w="3158" w:type="dxa"/>
          </w:tcPr>
          <w:p w:rsidR="00D862F2" w:rsidRDefault="00884FE4">
            <w:pPr>
              <w:pStyle w:val="TableParagraph"/>
              <w:spacing w:before="6" w:line="206" w:lineRule="exact"/>
              <w:ind w:left="107"/>
              <w:jc w:val="left"/>
              <w:rPr>
                <w:b/>
                <w:sz w:val="18"/>
              </w:rPr>
            </w:pPr>
            <w:r>
              <w:rPr>
                <w:b/>
                <w:color w:val="1F487C"/>
                <w:sz w:val="18"/>
              </w:rPr>
              <w:t>Randolph</w:t>
            </w:r>
          </w:p>
        </w:tc>
        <w:tc>
          <w:tcPr>
            <w:tcW w:w="816" w:type="dxa"/>
          </w:tcPr>
          <w:p w:rsidR="00D862F2" w:rsidRDefault="00884FE4">
            <w:pPr>
              <w:pStyle w:val="TableParagraph"/>
              <w:spacing w:line="212" w:lineRule="exact"/>
              <w:ind w:right="95"/>
              <w:rPr>
                <w:sz w:val="18"/>
              </w:rPr>
            </w:pPr>
            <w:r>
              <w:rPr>
                <w:sz w:val="18"/>
              </w:rPr>
              <w:t>4,247</w:t>
            </w:r>
          </w:p>
        </w:tc>
        <w:tc>
          <w:tcPr>
            <w:tcW w:w="914" w:type="dxa"/>
          </w:tcPr>
          <w:p w:rsidR="00D862F2" w:rsidRDefault="00884FE4">
            <w:pPr>
              <w:pStyle w:val="TableParagraph"/>
              <w:spacing w:line="212" w:lineRule="exact"/>
              <w:ind w:right="92"/>
              <w:rPr>
                <w:sz w:val="18"/>
              </w:rPr>
            </w:pPr>
            <w:r>
              <w:rPr>
                <w:sz w:val="18"/>
              </w:rPr>
              <w:t>4,396</w:t>
            </w:r>
          </w:p>
        </w:tc>
        <w:tc>
          <w:tcPr>
            <w:tcW w:w="1017" w:type="dxa"/>
          </w:tcPr>
          <w:p w:rsidR="00D862F2" w:rsidRDefault="00884FE4">
            <w:pPr>
              <w:pStyle w:val="TableParagraph"/>
              <w:spacing w:line="212" w:lineRule="exact"/>
              <w:ind w:right="94"/>
              <w:rPr>
                <w:sz w:val="18"/>
              </w:rPr>
            </w:pPr>
            <w:r>
              <w:rPr>
                <w:sz w:val="18"/>
              </w:rPr>
              <w:t>4,251</w:t>
            </w:r>
          </w:p>
        </w:tc>
      </w:tr>
    </w:tbl>
    <w:p w:rsidR="00D862F2" w:rsidRDefault="00884FE4">
      <w:pPr>
        <w:spacing w:before="2"/>
        <w:ind w:left="1931" w:right="3507"/>
        <w:rPr>
          <w:rFonts w:ascii="Calibri" w:hAnsi="Calibri"/>
          <w:sz w:val="18"/>
        </w:rPr>
      </w:pPr>
      <w:r>
        <w:rPr>
          <w:rFonts w:ascii="Calibri" w:hAnsi="Calibri"/>
          <w:sz w:val="18"/>
        </w:rPr>
        <w:t>*</w:t>
      </w:r>
      <w:r>
        <w:rPr>
          <w:rFonts w:ascii="Calibri" w:hAnsi="Calibri"/>
          <w:spacing w:val="-4"/>
          <w:sz w:val="18"/>
        </w:rPr>
        <w:t xml:space="preserve"> </w:t>
      </w:r>
      <w:r>
        <w:rPr>
          <w:rFonts w:ascii="Calibri" w:hAnsi="Calibri"/>
          <w:sz w:val="18"/>
        </w:rPr>
        <w:t>Includes</w:t>
      </w:r>
      <w:r>
        <w:rPr>
          <w:rFonts w:ascii="Calibri" w:hAnsi="Calibri"/>
          <w:spacing w:val="-3"/>
          <w:sz w:val="18"/>
        </w:rPr>
        <w:t xml:space="preserve"> </w:t>
      </w:r>
      <w:r>
        <w:rPr>
          <w:rFonts w:ascii="Calibri" w:hAnsi="Calibri"/>
          <w:sz w:val="18"/>
        </w:rPr>
        <w:t>physician</w:t>
      </w:r>
      <w:r>
        <w:rPr>
          <w:rFonts w:ascii="Calibri" w:hAnsi="Calibri"/>
          <w:spacing w:val="-4"/>
          <w:sz w:val="18"/>
        </w:rPr>
        <w:t xml:space="preserve"> </w:t>
      </w:r>
      <w:r>
        <w:rPr>
          <w:rFonts w:ascii="Calibri" w:hAnsi="Calibri"/>
          <w:sz w:val="18"/>
        </w:rPr>
        <w:t>office</w:t>
      </w:r>
      <w:r>
        <w:rPr>
          <w:rFonts w:ascii="Calibri" w:hAnsi="Calibri"/>
          <w:spacing w:val="-3"/>
          <w:sz w:val="18"/>
        </w:rPr>
        <w:t xml:space="preserve"> </w:t>
      </w:r>
      <w:r>
        <w:rPr>
          <w:rFonts w:ascii="Calibri" w:hAnsi="Calibri"/>
          <w:sz w:val="18"/>
        </w:rPr>
        <w:t>encounters</w:t>
      </w:r>
      <w:r>
        <w:rPr>
          <w:rFonts w:ascii="Calibri" w:hAnsi="Calibri"/>
          <w:spacing w:val="-1"/>
          <w:sz w:val="18"/>
        </w:rPr>
        <w:t xml:space="preserve"> </w:t>
      </w:r>
      <w:r>
        <w:rPr>
          <w:rFonts w:ascii="Calibri" w:hAnsi="Calibri"/>
          <w:sz w:val="18"/>
        </w:rPr>
        <w:t>in</w:t>
      </w:r>
      <w:r>
        <w:rPr>
          <w:rFonts w:ascii="Calibri" w:hAnsi="Calibri"/>
          <w:spacing w:val="-4"/>
          <w:sz w:val="18"/>
        </w:rPr>
        <w:t xml:space="preserve"> </w:t>
      </w:r>
      <w:r>
        <w:rPr>
          <w:rFonts w:ascii="Calibri" w:hAnsi="Calibri"/>
          <w:sz w:val="18"/>
        </w:rPr>
        <w:t>non-hospital</w:t>
      </w:r>
      <w:r>
        <w:rPr>
          <w:rFonts w:ascii="Calibri" w:hAnsi="Calibri"/>
          <w:spacing w:val="-1"/>
          <w:sz w:val="18"/>
        </w:rPr>
        <w:t xml:space="preserve"> </w:t>
      </w:r>
      <w:r>
        <w:rPr>
          <w:rFonts w:ascii="Calibri" w:hAnsi="Calibri"/>
          <w:sz w:val="18"/>
        </w:rPr>
        <w:t>space.</w:t>
      </w:r>
      <w:r>
        <w:rPr>
          <w:rFonts w:ascii="Calibri" w:hAnsi="Calibri"/>
          <w:spacing w:val="-38"/>
          <w:sz w:val="18"/>
        </w:rPr>
        <w:t xml:space="preserve"> </w:t>
      </w:r>
      <w:r>
        <w:rPr>
          <w:rFonts w:ascii="Calibri" w:hAnsi="Calibri"/>
          <w:sz w:val="18"/>
        </w:rPr>
        <w:t>Source:</w:t>
      </w:r>
      <w:r>
        <w:rPr>
          <w:rFonts w:ascii="Calibri" w:hAnsi="Calibri"/>
          <w:spacing w:val="-1"/>
          <w:sz w:val="18"/>
        </w:rPr>
        <w:t xml:space="preserve"> </w:t>
      </w:r>
      <w:r>
        <w:rPr>
          <w:rFonts w:ascii="Calibri" w:hAnsi="Calibri"/>
          <w:sz w:val="18"/>
        </w:rPr>
        <w:t>Boston</w:t>
      </w:r>
      <w:r>
        <w:rPr>
          <w:rFonts w:ascii="Calibri" w:hAnsi="Calibri"/>
          <w:spacing w:val="-1"/>
          <w:sz w:val="18"/>
        </w:rPr>
        <w:t xml:space="preserve"> </w:t>
      </w:r>
      <w:r>
        <w:rPr>
          <w:rFonts w:ascii="Calibri" w:hAnsi="Calibri"/>
          <w:sz w:val="18"/>
        </w:rPr>
        <w:t>Children’s</w:t>
      </w:r>
      <w:r>
        <w:rPr>
          <w:rFonts w:ascii="Calibri" w:hAnsi="Calibri"/>
          <w:spacing w:val="-1"/>
          <w:sz w:val="18"/>
        </w:rPr>
        <w:t xml:space="preserve"> </w:t>
      </w:r>
      <w:r>
        <w:rPr>
          <w:rFonts w:ascii="Calibri" w:hAnsi="Calibri"/>
          <w:sz w:val="18"/>
        </w:rPr>
        <w:t>internal</w:t>
      </w:r>
      <w:r>
        <w:rPr>
          <w:rFonts w:ascii="Calibri" w:hAnsi="Calibri"/>
          <w:spacing w:val="-1"/>
          <w:sz w:val="18"/>
        </w:rPr>
        <w:t xml:space="preserve"> </w:t>
      </w:r>
      <w:r>
        <w:rPr>
          <w:rFonts w:ascii="Calibri" w:hAnsi="Calibri"/>
          <w:sz w:val="18"/>
        </w:rPr>
        <w:t>data.</w:t>
      </w:r>
    </w:p>
    <w:p w:rsidR="00D862F2" w:rsidRDefault="00D862F2">
      <w:pPr>
        <w:rPr>
          <w:rFonts w:ascii="Calibri" w:hAnsi="Calibri"/>
          <w:sz w:val="18"/>
        </w:rPr>
        <w:sectPr w:rsidR="00D862F2">
          <w:pgSz w:w="12240" w:h="15840"/>
          <w:pgMar w:top="1340" w:right="1160" w:bottom="980" w:left="1220" w:header="722" w:footer="794" w:gutter="0"/>
          <w:cols w:space="720"/>
        </w:sectPr>
      </w:pPr>
    </w:p>
    <w:p w:rsidR="00D862F2" w:rsidRDefault="00884FE4">
      <w:pPr>
        <w:spacing w:before="95"/>
        <w:ind w:left="2792" w:right="2855"/>
        <w:jc w:val="center"/>
        <w:rPr>
          <w:rFonts w:ascii="Calibri"/>
          <w:b/>
          <w:sz w:val="20"/>
        </w:rPr>
      </w:pPr>
      <w:r>
        <w:rPr>
          <w:rFonts w:ascii="Calibri"/>
          <w:b/>
          <w:sz w:val="20"/>
        </w:rPr>
        <w:lastRenderedPageBreak/>
        <w:t>Table</w:t>
      </w:r>
      <w:r>
        <w:rPr>
          <w:rFonts w:ascii="Calibri"/>
          <w:b/>
          <w:spacing w:val="-3"/>
          <w:sz w:val="20"/>
        </w:rPr>
        <w:t xml:space="preserve"> </w:t>
      </w:r>
      <w:r>
        <w:rPr>
          <w:rFonts w:ascii="Calibri"/>
          <w:b/>
          <w:sz w:val="20"/>
        </w:rPr>
        <w:t>7.</w:t>
      </w:r>
      <w:r>
        <w:rPr>
          <w:rFonts w:ascii="Calibri"/>
          <w:b/>
          <w:spacing w:val="-3"/>
          <w:sz w:val="20"/>
        </w:rPr>
        <w:t xml:space="preserve"> </w:t>
      </w:r>
      <w:r>
        <w:rPr>
          <w:rFonts w:ascii="Calibri"/>
          <w:b/>
          <w:sz w:val="20"/>
        </w:rPr>
        <w:t>2019</w:t>
      </w:r>
      <w:r>
        <w:rPr>
          <w:rFonts w:ascii="Calibri"/>
          <w:b/>
          <w:spacing w:val="-2"/>
          <w:sz w:val="20"/>
        </w:rPr>
        <w:t xml:space="preserve"> </w:t>
      </w:r>
      <w:r>
        <w:rPr>
          <w:rFonts w:ascii="Calibri"/>
          <w:b/>
          <w:sz w:val="20"/>
        </w:rPr>
        <w:t>Visits</w:t>
      </w:r>
      <w:r>
        <w:rPr>
          <w:rFonts w:ascii="Calibri"/>
          <w:b/>
          <w:spacing w:val="-1"/>
          <w:sz w:val="20"/>
        </w:rPr>
        <w:t xml:space="preserve"> </w:t>
      </w:r>
      <w:r>
        <w:rPr>
          <w:rFonts w:ascii="Calibri"/>
          <w:b/>
          <w:sz w:val="20"/>
        </w:rPr>
        <w:t>Delivered</w:t>
      </w:r>
      <w:r>
        <w:rPr>
          <w:rFonts w:ascii="Calibri"/>
          <w:b/>
          <w:spacing w:val="-2"/>
          <w:sz w:val="20"/>
        </w:rPr>
        <w:t xml:space="preserve"> </w:t>
      </w:r>
      <w:r>
        <w:rPr>
          <w:rFonts w:ascii="Calibri"/>
          <w:b/>
          <w:sz w:val="20"/>
        </w:rPr>
        <w:t>at</w:t>
      </w:r>
      <w:r>
        <w:rPr>
          <w:rFonts w:ascii="Calibri"/>
          <w:b/>
          <w:spacing w:val="-2"/>
          <w:sz w:val="20"/>
        </w:rPr>
        <w:t xml:space="preserve"> </w:t>
      </w:r>
      <w:r>
        <w:rPr>
          <w:rFonts w:ascii="Calibri"/>
          <w:b/>
          <w:sz w:val="20"/>
        </w:rPr>
        <w:t>a</w:t>
      </w:r>
      <w:r>
        <w:rPr>
          <w:rFonts w:ascii="Calibri"/>
          <w:b/>
          <w:spacing w:val="-3"/>
          <w:sz w:val="20"/>
        </w:rPr>
        <w:t xml:space="preserve"> </w:t>
      </w:r>
      <w:r>
        <w:rPr>
          <w:rFonts w:ascii="Calibri"/>
          <w:b/>
          <w:sz w:val="20"/>
        </w:rPr>
        <w:t>Local</w:t>
      </w:r>
      <w:r>
        <w:rPr>
          <w:rFonts w:ascii="Calibri"/>
          <w:b/>
          <w:spacing w:val="-4"/>
          <w:sz w:val="20"/>
        </w:rPr>
        <w:t xml:space="preserve"> </w:t>
      </w:r>
      <w:r>
        <w:rPr>
          <w:rFonts w:ascii="Calibri"/>
          <w:b/>
          <w:sz w:val="20"/>
        </w:rPr>
        <w:t>Satellite*</w:t>
      </w:r>
    </w:p>
    <w:tbl>
      <w:tblPr>
        <w:tblW w:w="0" w:type="auto"/>
        <w:tblInd w:w="2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1080"/>
        <w:gridCol w:w="1632"/>
      </w:tblGrid>
      <w:tr w:rsidR="00D862F2">
        <w:trPr>
          <w:trHeight w:val="249"/>
        </w:trPr>
        <w:tc>
          <w:tcPr>
            <w:tcW w:w="2606" w:type="dxa"/>
            <w:shd w:val="clear" w:color="auto" w:fill="2E5395"/>
          </w:tcPr>
          <w:p w:rsidR="00D862F2" w:rsidRDefault="00D862F2">
            <w:pPr>
              <w:pStyle w:val="TableParagraph"/>
              <w:jc w:val="left"/>
              <w:rPr>
                <w:rFonts w:ascii="Times New Roman"/>
                <w:sz w:val="18"/>
              </w:rPr>
            </w:pPr>
          </w:p>
        </w:tc>
        <w:tc>
          <w:tcPr>
            <w:tcW w:w="1080" w:type="dxa"/>
            <w:shd w:val="clear" w:color="auto" w:fill="2E5395"/>
          </w:tcPr>
          <w:p w:rsidR="00D862F2" w:rsidRDefault="00884FE4">
            <w:pPr>
              <w:pStyle w:val="TableParagraph"/>
              <w:spacing w:line="219" w:lineRule="exact"/>
              <w:ind w:right="98"/>
              <w:rPr>
                <w:b/>
                <w:sz w:val="18"/>
              </w:rPr>
            </w:pPr>
            <w:r>
              <w:rPr>
                <w:b/>
                <w:color w:val="FFFFFF"/>
                <w:sz w:val="18"/>
              </w:rPr>
              <w:t>Visits</w:t>
            </w:r>
          </w:p>
        </w:tc>
        <w:tc>
          <w:tcPr>
            <w:tcW w:w="1632" w:type="dxa"/>
            <w:shd w:val="clear" w:color="auto" w:fill="2E5395"/>
          </w:tcPr>
          <w:p w:rsidR="00D862F2" w:rsidRDefault="00884FE4">
            <w:pPr>
              <w:pStyle w:val="TableParagraph"/>
              <w:spacing w:line="219" w:lineRule="exact"/>
              <w:ind w:right="100"/>
              <w:rPr>
                <w:b/>
                <w:sz w:val="18"/>
              </w:rPr>
            </w:pPr>
            <w:r>
              <w:rPr>
                <w:b/>
                <w:color w:val="FFFFFF"/>
                <w:sz w:val="18"/>
              </w:rPr>
              <w:t>%</w:t>
            </w:r>
            <w:r>
              <w:rPr>
                <w:b/>
                <w:color w:val="FFFFFF"/>
                <w:spacing w:val="-2"/>
                <w:sz w:val="18"/>
              </w:rPr>
              <w:t xml:space="preserve"> </w:t>
            </w:r>
            <w:r>
              <w:rPr>
                <w:b/>
                <w:color w:val="FFFFFF"/>
                <w:sz w:val="18"/>
              </w:rPr>
              <w:t>of</w:t>
            </w:r>
            <w:r>
              <w:rPr>
                <w:b/>
                <w:color w:val="FFFFFF"/>
                <w:spacing w:val="-1"/>
                <w:sz w:val="18"/>
              </w:rPr>
              <w:t xml:space="preserve"> </w:t>
            </w:r>
            <w:r>
              <w:rPr>
                <w:b/>
                <w:color w:val="FFFFFF"/>
                <w:sz w:val="18"/>
              </w:rPr>
              <w:t>Total</w:t>
            </w:r>
            <w:r>
              <w:rPr>
                <w:b/>
                <w:color w:val="FFFFFF"/>
                <w:spacing w:val="-2"/>
                <w:sz w:val="18"/>
              </w:rPr>
              <w:t xml:space="preserve"> </w:t>
            </w:r>
            <w:r>
              <w:rPr>
                <w:b/>
                <w:color w:val="FFFFFF"/>
                <w:sz w:val="18"/>
              </w:rPr>
              <w:t>Visits</w:t>
            </w:r>
          </w:p>
        </w:tc>
      </w:tr>
      <w:tr w:rsidR="00D862F2">
        <w:trPr>
          <w:trHeight w:val="251"/>
        </w:trPr>
        <w:tc>
          <w:tcPr>
            <w:tcW w:w="2606" w:type="dxa"/>
            <w:shd w:val="clear" w:color="auto" w:fill="D9D9D9"/>
          </w:tcPr>
          <w:p w:rsidR="00D862F2" w:rsidRDefault="00884FE4">
            <w:pPr>
              <w:pStyle w:val="TableParagraph"/>
              <w:spacing w:before="15" w:line="216" w:lineRule="exact"/>
              <w:ind w:left="107"/>
              <w:jc w:val="left"/>
              <w:rPr>
                <w:b/>
                <w:sz w:val="18"/>
              </w:rPr>
            </w:pPr>
            <w:r>
              <w:rPr>
                <w:b/>
                <w:sz w:val="18"/>
              </w:rPr>
              <w:t>Total</w:t>
            </w:r>
          </w:p>
        </w:tc>
        <w:tc>
          <w:tcPr>
            <w:tcW w:w="1080" w:type="dxa"/>
            <w:shd w:val="clear" w:color="auto" w:fill="D9D9D9"/>
          </w:tcPr>
          <w:p w:rsidR="00D862F2" w:rsidRDefault="00884FE4">
            <w:pPr>
              <w:pStyle w:val="TableParagraph"/>
              <w:spacing w:before="1"/>
              <w:ind w:right="98"/>
              <w:rPr>
                <w:sz w:val="18"/>
              </w:rPr>
            </w:pPr>
            <w:r>
              <w:rPr>
                <w:sz w:val="18"/>
              </w:rPr>
              <w:t>5,515</w:t>
            </w:r>
          </w:p>
        </w:tc>
        <w:tc>
          <w:tcPr>
            <w:tcW w:w="1632" w:type="dxa"/>
            <w:shd w:val="clear" w:color="auto" w:fill="D9D9D9"/>
          </w:tcPr>
          <w:p w:rsidR="00D862F2" w:rsidRDefault="00884FE4">
            <w:pPr>
              <w:pStyle w:val="TableParagraph"/>
              <w:spacing w:before="1"/>
              <w:ind w:right="98"/>
              <w:rPr>
                <w:sz w:val="18"/>
              </w:rPr>
            </w:pPr>
            <w:r>
              <w:rPr>
                <w:sz w:val="18"/>
              </w:rPr>
              <w:t>23%</w:t>
            </w:r>
          </w:p>
        </w:tc>
      </w:tr>
      <w:tr w:rsidR="00D862F2">
        <w:trPr>
          <w:trHeight w:val="251"/>
        </w:trPr>
        <w:tc>
          <w:tcPr>
            <w:tcW w:w="2606" w:type="dxa"/>
          </w:tcPr>
          <w:p w:rsidR="00D862F2" w:rsidRDefault="00884FE4">
            <w:pPr>
              <w:pStyle w:val="TableParagraph"/>
              <w:spacing w:before="15" w:line="216" w:lineRule="exact"/>
              <w:ind w:left="107"/>
              <w:jc w:val="left"/>
              <w:rPr>
                <w:b/>
                <w:sz w:val="18"/>
              </w:rPr>
            </w:pPr>
            <w:r>
              <w:rPr>
                <w:b/>
                <w:color w:val="1F487C"/>
                <w:sz w:val="18"/>
              </w:rPr>
              <w:t>Brockton</w:t>
            </w:r>
          </w:p>
        </w:tc>
        <w:tc>
          <w:tcPr>
            <w:tcW w:w="1080" w:type="dxa"/>
          </w:tcPr>
          <w:p w:rsidR="00D862F2" w:rsidRDefault="00884FE4">
            <w:pPr>
              <w:pStyle w:val="TableParagraph"/>
              <w:spacing w:line="219" w:lineRule="exact"/>
              <w:ind w:right="97"/>
              <w:rPr>
                <w:sz w:val="18"/>
              </w:rPr>
            </w:pPr>
            <w:r>
              <w:rPr>
                <w:sz w:val="18"/>
              </w:rPr>
              <w:t>1,351</w:t>
            </w:r>
          </w:p>
        </w:tc>
        <w:tc>
          <w:tcPr>
            <w:tcW w:w="1632" w:type="dxa"/>
          </w:tcPr>
          <w:p w:rsidR="00D862F2" w:rsidRDefault="00884FE4">
            <w:pPr>
              <w:pStyle w:val="TableParagraph"/>
              <w:spacing w:line="219" w:lineRule="exact"/>
              <w:ind w:right="98"/>
              <w:rPr>
                <w:sz w:val="18"/>
              </w:rPr>
            </w:pPr>
            <w:r>
              <w:rPr>
                <w:sz w:val="18"/>
              </w:rPr>
              <w:t>18%</w:t>
            </w:r>
          </w:p>
        </w:tc>
      </w:tr>
      <w:tr w:rsidR="00D862F2">
        <w:trPr>
          <w:trHeight w:val="251"/>
        </w:trPr>
        <w:tc>
          <w:tcPr>
            <w:tcW w:w="2606" w:type="dxa"/>
          </w:tcPr>
          <w:p w:rsidR="00D862F2" w:rsidRDefault="00884FE4">
            <w:pPr>
              <w:pStyle w:val="TableParagraph"/>
              <w:spacing w:before="15" w:line="216" w:lineRule="exact"/>
              <w:ind w:left="107"/>
              <w:jc w:val="left"/>
              <w:rPr>
                <w:b/>
                <w:sz w:val="18"/>
              </w:rPr>
            </w:pPr>
            <w:r>
              <w:rPr>
                <w:b/>
                <w:color w:val="1F487C"/>
                <w:sz w:val="18"/>
              </w:rPr>
              <w:t>Framingham</w:t>
            </w:r>
          </w:p>
        </w:tc>
        <w:tc>
          <w:tcPr>
            <w:tcW w:w="1080" w:type="dxa"/>
          </w:tcPr>
          <w:p w:rsidR="00D862F2" w:rsidRDefault="00884FE4">
            <w:pPr>
              <w:pStyle w:val="TableParagraph"/>
              <w:spacing w:line="219" w:lineRule="exact"/>
              <w:ind w:right="97"/>
              <w:rPr>
                <w:sz w:val="18"/>
              </w:rPr>
            </w:pPr>
            <w:r>
              <w:rPr>
                <w:sz w:val="18"/>
              </w:rPr>
              <w:t>2,358</w:t>
            </w:r>
          </w:p>
        </w:tc>
        <w:tc>
          <w:tcPr>
            <w:tcW w:w="1632" w:type="dxa"/>
          </w:tcPr>
          <w:p w:rsidR="00D862F2" w:rsidRDefault="00884FE4">
            <w:pPr>
              <w:pStyle w:val="TableParagraph"/>
              <w:spacing w:line="219" w:lineRule="exact"/>
              <w:ind w:right="98"/>
              <w:rPr>
                <w:sz w:val="18"/>
              </w:rPr>
            </w:pPr>
            <w:r>
              <w:rPr>
                <w:sz w:val="18"/>
              </w:rPr>
              <w:t>41%</w:t>
            </w:r>
          </w:p>
        </w:tc>
      </w:tr>
      <w:tr w:rsidR="00D862F2">
        <w:trPr>
          <w:trHeight w:val="249"/>
        </w:trPr>
        <w:tc>
          <w:tcPr>
            <w:tcW w:w="2606" w:type="dxa"/>
          </w:tcPr>
          <w:p w:rsidR="00D862F2" w:rsidRDefault="00884FE4">
            <w:pPr>
              <w:pStyle w:val="TableParagraph"/>
              <w:spacing w:before="13" w:line="216" w:lineRule="exact"/>
              <w:ind w:left="107"/>
              <w:jc w:val="left"/>
              <w:rPr>
                <w:b/>
                <w:sz w:val="18"/>
              </w:rPr>
            </w:pPr>
            <w:r>
              <w:rPr>
                <w:b/>
                <w:color w:val="1F487C"/>
                <w:sz w:val="18"/>
              </w:rPr>
              <w:t>Quincy</w:t>
            </w:r>
          </w:p>
        </w:tc>
        <w:tc>
          <w:tcPr>
            <w:tcW w:w="1080" w:type="dxa"/>
          </w:tcPr>
          <w:p w:rsidR="00D862F2" w:rsidRDefault="00884FE4">
            <w:pPr>
              <w:pStyle w:val="TableParagraph"/>
              <w:spacing w:line="219" w:lineRule="exact"/>
              <w:ind w:right="98"/>
              <w:rPr>
                <w:sz w:val="18"/>
              </w:rPr>
            </w:pPr>
            <w:r>
              <w:rPr>
                <w:sz w:val="18"/>
              </w:rPr>
              <w:t>1,422</w:t>
            </w:r>
          </w:p>
        </w:tc>
        <w:tc>
          <w:tcPr>
            <w:tcW w:w="1632" w:type="dxa"/>
          </w:tcPr>
          <w:p w:rsidR="00D862F2" w:rsidRDefault="00884FE4">
            <w:pPr>
              <w:pStyle w:val="TableParagraph"/>
              <w:spacing w:line="219" w:lineRule="exact"/>
              <w:ind w:right="98"/>
              <w:rPr>
                <w:sz w:val="18"/>
              </w:rPr>
            </w:pPr>
            <w:r>
              <w:rPr>
                <w:sz w:val="18"/>
              </w:rPr>
              <w:t>19%</w:t>
            </w:r>
          </w:p>
        </w:tc>
      </w:tr>
      <w:tr w:rsidR="00D862F2">
        <w:trPr>
          <w:trHeight w:val="251"/>
        </w:trPr>
        <w:tc>
          <w:tcPr>
            <w:tcW w:w="2606" w:type="dxa"/>
          </w:tcPr>
          <w:p w:rsidR="00D862F2" w:rsidRDefault="00884FE4">
            <w:pPr>
              <w:pStyle w:val="TableParagraph"/>
              <w:spacing w:before="15" w:line="216" w:lineRule="exact"/>
              <w:ind w:left="107"/>
              <w:jc w:val="left"/>
              <w:rPr>
                <w:b/>
                <w:sz w:val="18"/>
              </w:rPr>
            </w:pPr>
            <w:r>
              <w:rPr>
                <w:b/>
                <w:color w:val="1F487C"/>
                <w:sz w:val="18"/>
              </w:rPr>
              <w:t>Randolph</w:t>
            </w:r>
          </w:p>
        </w:tc>
        <w:tc>
          <w:tcPr>
            <w:tcW w:w="1080" w:type="dxa"/>
          </w:tcPr>
          <w:p w:rsidR="00D862F2" w:rsidRDefault="00884FE4">
            <w:pPr>
              <w:pStyle w:val="TableParagraph"/>
              <w:spacing w:before="1"/>
              <w:ind w:right="98"/>
              <w:rPr>
                <w:sz w:val="18"/>
              </w:rPr>
            </w:pPr>
            <w:r>
              <w:rPr>
                <w:sz w:val="18"/>
              </w:rPr>
              <w:t>384</w:t>
            </w:r>
          </w:p>
        </w:tc>
        <w:tc>
          <w:tcPr>
            <w:tcW w:w="1632" w:type="dxa"/>
          </w:tcPr>
          <w:p w:rsidR="00D862F2" w:rsidRDefault="00884FE4">
            <w:pPr>
              <w:pStyle w:val="TableParagraph"/>
              <w:spacing w:before="1"/>
              <w:ind w:right="98"/>
              <w:rPr>
                <w:sz w:val="18"/>
              </w:rPr>
            </w:pPr>
            <w:r>
              <w:rPr>
                <w:sz w:val="18"/>
              </w:rPr>
              <w:t>10%</w:t>
            </w:r>
          </w:p>
        </w:tc>
      </w:tr>
    </w:tbl>
    <w:p w:rsidR="00D862F2" w:rsidRDefault="00884FE4">
      <w:pPr>
        <w:spacing w:before="1"/>
        <w:ind w:left="2291" w:right="2434" w:hanging="1"/>
        <w:jc w:val="both"/>
        <w:rPr>
          <w:rFonts w:ascii="Calibri" w:hAnsi="Calibri"/>
          <w:sz w:val="18"/>
        </w:rPr>
      </w:pPr>
      <w:r>
        <w:rPr>
          <w:rFonts w:ascii="Calibri" w:hAnsi="Calibri"/>
          <w:sz w:val="18"/>
        </w:rPr>
        <w:t>* Includes physician office encounters in non-hospital space. Local</w:t>
      </w:r>
      <w:r>
        <w:rPr>
          <w:rFonts w:ascii="Calibri" w:hAnsi="Calibri"/>
          <w:spacing w:val="1"/>
          <w:sz w:val="18"/>
        </w:rPr>
        <w:t xml:space="preserve"> </w:t>
      </w:r>
      <w:r>
        <w:rPr>
          <w:rFonts w:ascii="Calibri" w:hAnsi="Calibri"/>
          <w:sz w:val="18"/>
        </w:rPr>
        <w:t>Satellites for Brockton, Quincy, and Randolph are Good Samaritan</w:t>
      </w:r>
      <w:r>
        <w:rPr>
          <w:rFonts w:ascii="Calibri" w:hAnsi="Calibri"/>
          <w:spacing w:val="1"/>
          <w:sz w:val="18"/>
        </w:rPr>
        <w:t xml:space="preserve"> </w:t>
      </w:r>
      <w:r>
        <w:rPr>
          <w:rFonts w:ascii="Calibri" w:hAnsi="Calibri"/>
          <w:sz w:val="18"/>
        </w:rPr>
        <w:t>Medical Center and the Applicant’s Weymouth facility, while Local</w:t>
      </w:r>
      <w:r>
        <w:rPr>
          <w:rFonts w:ascii="Calibri" w:hAnsi="Calibri"/>
          <w:spacing w:val="1"/>
          <w:sz w:val="18"/>
        </w:rPr>
        <w:t xml:space="preserve"> </w:t>
      </w:r>
      <w:r>
        <w:rPr>
          <w:rFonts w:ascii="Calibri" w:hAnsi="Calibri"/>
          <w:sz w:val="18"/>
        </w:rPr>
        <w:t>Satellites for Framingham are the Applicant’s Lexington and Waltham</w:t>
      </w:r>
      <w:r>
        <w:rPr>
          <w:rFonts w:ascii="Calibri" w:hAnsi="Calibri"/>
          <w:spacing w:val="1"/>
          <w:sz w:val="18"/>
        </w:rPr>
        <w:t xml:space="preserve"> </w:t>
      </w:r>
      <w:r>
        <w:rPr>
          <w:rFonts w:ascii="Calibri" w:hAnsi="Calibri"/>
          <w:sz w:val="18"/>
        </w:rPr>
        <w:t>facilities.</w:t>
      </w:r>
    </w:p>
    <w:p w:rsidR="00D862F2" w:rsidRDefault="00884FE4">
      <w:pPr>
        <w:spacing w:before="1"/>
        <w:ind w:left="2291"/>
        <w:jc w:val="both"/>
        <w:rPr>
          <w:rFonts w:ascii="Calibri" w:hAnsi="Calibri"/>
          <w:sz w:val="18"/>
        </w:rPr>
      </w:pPr>
      <w:r>
        <w:rPr>
          <w:rFonts w:ascii="Calibri" w:hAnsi="Calibri"/>
          <w:sz w:val="18"/>
        </w:rPr>
        <w:t>Source:</w:t>
      </w:r>
      <w:r>
        <w:rPr>
          <w:rFonts w:ascii="Calibri" w:hAnsi="Calibri"/>
          <w:spacing w:val="-2"/>
          <w:sz w:val="18"/>
        </w:rPr>
        <w:t xml:space="preserve"> </w:t>
      </w:r>
      <w:r>
        <w:rPr>
          <w:rFonts w:ascii="Calibri" w:hAnsi="Calibri"/>
          <w:sz w:val="18"/>
        </w:rPr>
        <w:t>Boston</w:t>
      </w:r>
      <w:r>
        <w:rPr>
          <w:rFonts w:ascii="Calibri" w:hAnsi="Calibri"/>
          <w:spacing w:val="-3"/>
          <w:sz w:val="18"/>
        </w:rPr>
        <w:t xml:space="preserve"> </w:t>
      </w:r>
      <w:r>
        <w:rPr>
          <w:rFonts w:ascii="Calibri" w:hAnsi="Calibri"/>
          <w:sz w:val="18"/>
        </w:rPr>
        <w:t>Children’s</w:t>
      </w:r>
      <w:r>
        <w:rPr>
          <w:rFonts w:ascii="Calibri" w:hAnsi="Calibri"/>
          <w:spacing w:val="-2"/>
          <w:sz w:val="18"/>
        </w:rPr>
        <w:t xml:space="preserve"> </w:t>
      </w:r>
      <w:r>
        <w:rPr>
          <w:rFonts w:ascii="Calibri" w:hAnsi="Calibri"/>
          <w:sz w:val="18"/>
        </w:rPr>
        <w:t>internal</w:t>
      </w:r>
      <w:r>
        <w:rPr>
          <w:rFonts w:ascii="Calibri" w:hAnsi="Calibri"/>
          <w:spacing w:val="-3"/>
          <w:sz w:val="18"/>
        </w:rPr>
        <w:t xml:space="preserve"> </w:t>
      </w:r>
      <w:r>
        <w:rPr>
          <w:rFonts w:ascii="Calibri" w:hAnsi="Calibri"/>
          <w:sz w:val="18"/>
        </w:rPr>
        <w:t>data.</w:t>
      </w:r>
    </w:p>
    <w:p w:rsidR="00D862F2" w:rsidRDefault="00D862F2">
      <w:pPr>
        <w:pStyle w:val="BodyText"/>
        <w:spacing w:before="1"/>
        <w:rPr>
          <w:rFonts w:ascii="Calibri"/>
          <w:sz w:val="22"/>
        </w:rPr>
      </w:pPr>
    </w:p>
    <w:p w:rsidR="00D862F2" w:rsidRDefault="00884FE4">
      <w:pPr>
        <w:pStyle w:val="BodyText"/>
        <w:ind w:left="219" w:right="276"/>
        <w:jc w:val="both"/>
      </w:pPr>
      <w:r>
        <w:t>The Proposed Project is relocating existing capacity rather than simply adding capacity. For</w:t>
      </w:r>
      <w:r>
        <w:rPr>
          <w:spacing w:val="1"/>
        </w:rPr>
        <w:t xml:space="preserve"> </w:t>
      </w:r>
      <w:r>
        <w:t>example, the Hospital intends to consolidate day surgery volume at the Waltham Facility and</w:t>
      </w:r>
      <w:r>
        <w:rPr>
          <w:spacing w:val="1"/>
        </w:rPr>
        <w:t xml:space="preserve"> </w:t>
      </w:r>
      <w:r>
        <w:t>Needham</w:t>
      </w:r>
      <w:r>
        <w:rPr>
          <w:spacing w:val="1"/>
        </w:rPr>
        <w:t xml:space="preserve"> </w:t>
      </w:r>
      <w:r>
        <w:t>Facility and</w:t>
      </w:r>
      <w:r>
        <w:rPr>
          <w:spacing w:val="1"/>
        </w:rPr>
        <w:t xml:space="preserve"> </w:t>
      </w:r>
      <w:r>
        <w:t>reduce day surgeries</w:t>
      </w:r>
      <w:r>
        <w:rPr>
          <w:spacing w:val="60"/>
        </w:rPr>
        <w:t xml:space="preserve"> </w:t>
      </w:r>
      <w:r>
        <w:t>at its Lexington location, resulting in a net increase</w:t>
      </w:r>
      <w:r>
        <w:rPr>
          <w:spacing w:val="1"/>
        </w:rPr>
        <w:t xml:space="preserve"> </w:t>
      </w:r>
      <w:r>
        <w:t>of two ORs.</w:t>
      </w:r>
      <w:hyperlink w:anchor="_bookmark7" w:history="1">
        <w:r>
          <w:rPr>
            <w:vertAlign w:val="superscript"/>
          </w:rPr>
          <w:t>8</w:t>
        </w:r>
        <w:r>
          <w:t xml:space="preserve"> </w:t>
        </w:r>
      </w:hyperlink>
      <w:r>
        <w:t>More generally, the Applicant seeks to transition less acute pediatric specialty care</w:t>
      </w:r>
      <w:r>
        <w:rPr>
          <w:spacing w:val="1"/>
        </w:rPr>
        <w:t xml:space="preserve"> </w:t>
      </w:r>
      <w:r>
        <w:t>and day surgery from the capacity-constrained Longwood campus to community locations that</w:t>
      </w:r>
      <w:r>
        <w:rPr>
          <w:spacing w:val="1"/>
        </w:rPr>
        <w:t xml:space="preserve"> </w:t>
      </w:r>
      <w:r>
        <w:t>are</w:t>
      </w:r>
      <w:r>
        <w:rPr>
          <w:spacing w:val="-2"/>
        </w:rPr>
        <w:t xml:space="preserve"> </w:t>
      </w:r>
      <w:r>
        <w:t>less costly</w:t>
      </w:r>
      <w:r>
        <w:rPr>
          <w:spacing w:val="-5"/>
        </w:rPr>
        <w:t xml:space="preserve"> </w:t>
      </w:r>
      <w:r>
        <w:t>to operate</w:t>
      </w:r>
      <w:r>
        <w:rPr>
          <w:spacing w:val="1"/>
        </w:rPr>
        <w:t xml:space="preserve"> </w:t>
      </w:r>
      <w:r>
        <w:t>and more</w:t>
      </w:r>
      <w:r>
        <w:rPr>
          <w:spacing w:val="-1"/>
        </w:rPr>
        <w:t xml:space="preserve"> </w:t>
      </w:r>
      <w:r>
        <w:t>accessible</w:t>
      </w:r>
      <w:r>
        <w:rPr>
          <w:spacing w:val="-1"/>
        </w:rPr>
        <w:t xml:space="preserve"> </w:t>
      </w:r>
      <w:r>
        <w:t>to patients.</w:t>
      </w:r>
    </w:p>
    <w:p w:rsidR="00D862F2" w:rsidRDefault="00D862F2">
      <w:pPr>
        <w:pStyle w:val="BodyText"/>
      </w:pPr>
    </w:p>
    <w:p w:rsidR="00D862F2" w:rsidRDefault="00884FE4">
      <w:pPr>
        <w:pStyle w:val="BodyText"/>
        <w:ind w:left="220"/>
        <w:jc w:val="both"/>
      </w:pPr>
      <w:r>
        <w:rPr>
          <w:u w:val="single"/>
        </w:rPr>
        <w:t>Need</w:t>
      </w:r>
      <w:r>
        <w:rPr>
          <w:spacing w:val="-1"/>
          <w:u w:val="single"/>
        </w:rPr>
        <w:t xml:space="preserve"> </w:t>
      </w:r>
      <w:r>
        <w:rPr>
          <w:u w:val="single"/>
        </w:rPr>
        <w:t>for</w:t>
      </w:r>
      <w:r>
        <w:rPr>
          <w:spacing w:val="-2"/>
          <w:u w:val="single"/>
        </w:rPr>
        <w:t xml:space="preserve"> </w:t>
      </w:r>
      <w:r>
        <w:rPr>
          <w:u w:val="single"/>
        </w:rPr>
        <w:t>Expanded</w:t>
      </w:r>
      <w:r>
        <w:rPr>
          <w:spacing w:val="-1"/>
          <w:u w:val="single"/>
        </w:rPr>
        <w:t xml:space="preserve"> </w:t>
      </w:r>
      <w:r>
        <w:rPr>
          <w:u w:val="single"/>
        </w:rPr>
        <w:t>Pediatric</w:t>
      </w:r>
      <w:r>
        <w:rPr>
          <w:spacing w:val="-2"/>
          <w:u w:val="single"/>
        </w:rPr>
        <w:t xml:space="preserve"> </w:t>
      </w:r>
      <w:r>
        <w:rPr>
          <w:u w:val="single"/>
        </w:rPr>
        <w:t>Behavioral Health</w:t>
      </w:r>
      <w:r>
        <w:rPr>
          <w:spacing w:val="1"/>
          <w:u w:val="single"/>
        </w:rPr>
        <w:t xml:space="preserve"> </w:t>
      </w:r>
      <w:r>
        <w:rPr>
          <w:u w:val="single"/>
        </w:rPr>
        <w:t>Capacity</w:t>
      </w:r>
      <w:r>
        <w:rPr>
          <w:spacing w:val="-6"/>
          <w:u w:val="single"/>
        </w:rPr>
        <w:t xml:space="preserve"> </w:t>
      </w:r>
      <w:r>
        <w:rPr>
          <w:u w:val="single"/>
        </w:rPr>
        <w:t>in</w:t>
      </w:r>
      <w:r>
        <w:rPr>
          <w:spacing w:val="-1"/>
          <w:u w:val="single"/>
        </w:rPr>
        <w:t xml:space="preserve"> </w:t>
      </w:r>
      <w:r>
        <w:rPr>
          <w:u w:val="single"/>
        </w:rPr>
        <w:t>the</w:t>
      </w:r>
      <w:r>
        <w:rPr>
          <w:spacing w:val="-1"/>
          <w:u w:val="single"/>
        </w:rPr>
        <w:t xml:space="preserve"> </w:t>
      </w:r>
      <w:r>
        <w:rPr>
          <w:u w:val="single"/>
        </w:rPr>
        <w:t>Community</w:t>
      </w:r>
    </w:p>
    <w:p w:rsidR="00D862F2" w:rsidRDefault="00D862F2">
      <w:pPr>
        <w:pStyle w:val="BodyText"/>
        <w:spacing w:before="2"/>
        <w:rPr>
          <w:sz w:val="16"/>
        </w:rPr>
      </w:pPr>
    </w:p>
    <w:p w:rsidR="00D862F2" w:rsidRDefault="00884FE4">
      <w:pPr>
        <w:pStyle w:val="BodyText"/>
        <w:spacing w:before="90"/>
        <w:ind w:left="219" w:right="273"/>
        <w:jc w:val="both"/>
      </w:pPr>
      <w:r>
        <w:rPr>
          <w:color w:val="202020"/>
        </w:rPr>
        <w:t>The Commonwealth is facing a well-known crisis in pediatric behavioral health, significantly</w:t>
      </w:r>
      <w:r>
        <w:rPr>
          <w:color w:val="202020"/>
          <w:spacing w:val="1"/>
        </w:rPr>
        <w:t xml:space="preserve"> </w:t>
      </w:r>
      <w:r>
        <w:rPr>
          <w:color w:val="202020"/>
        </w:rPr>
        <w:t>exacerbated by the COVID-19 pandemic. The COVID-19 pandemic has resulted in greater need</w:t>
      </w:r>
      <w:r>
        <w:rPr>
          <w:color w:val="202020"/>
          <w:spacing w:val="1"/>
        </w:rPr>
        <w:t xml:space="preserve"> </w:t>
      </w:r>
      <w:r>
        <w:rPr>
          <w:color w:val="202020"/>
        </w:rPr>
        <w:t>for access to inpatient adolescent and pediatric psychiatric services due to quarantine orders,</w:t>
      </w:r>
      <w:r>
        <w:rPr>
          <w:color w:val="202020"/>
          <w:spacing w:val="1"/>
        </w:rPr>
        <w:t xml:space="preserve"> </w:t>
      </w:r>
      <w:r>
        <w:rPr>
          <w:color w:val="202020"/>
        </w:rPr>
        <w:t>remote learning and destabilization of families.</w:t>
      </w:r>
      <w:hyperlink w:anchor="_bookmark8" w:history="1">
        <w:r>
          <w:rPr>
            <w:color w:val="202020"/>
            <w:vertAlign w:val="superscript"/>
          </w:rPr>
          <w:t>9</w:t>
        </w:r>
        <w:r>
          <w:rPr>
            <w:color w:val="202020"/>
          </w:rPr>
          <w:t xml:space="preserve"> </w:t>
        </w:r>
      </w:hyperlink>
      <w:r>
        <w:rPr>
          <w:color w:val="202020"/>
        </w:rPr>
        <w:t>Compared with 2019, the proportion of mental</w:t>
      </w:r>
      <w:r>
        <w:rPr>
          <w:color w:val="202020"/>
          <w:spacing w:val="1"/>
        </w:rPr>
        <w:t xml:space="preserve"> </w:t>
      </w:r>
      <w:r>
        <w:rPr>
          <w:color w:val="202020"/>
        </w:rPr>
        <w:t>health-related visits for children aged 5-11 and 12-17 years increased approximately 24% and</w:t>
      </w:r>
      <w:r>
        <w:rPr>
          <w:color w:val="202020"/>
          <w:spacing w:val="1"/>
        </w:rPr>
        <w:t xml:space="preserve"> </w:t>
      </w:r>
      <w:r>
        <w:rPr>
          <w:color w:val="202020"/>
        </w:rPr>
        <w:t>31%, respectively.</w:t>
      </w:r>
      <w:hyperlink w:anchor="_bookmark9" w:history="1">
        <w:r>
          <w:rPr>
            <w:color w:val="202020"/>
            <w:vertAlign w:val="superscript"/>
          </w:rPr>
          <w:t>10</w:t>
        </w:r>
      </w:hyperlink>
    </w:p>
    <w:p w:rsidR="00D862F2" w:rsidRDefault="00D862F2">
      <w:pPr>
        <w:pStyle w:val="BodyText"/>
      </w:pPr>
    </w:p>
    <w:p w:rsidR="00D862F2" w:rsidRDefault="00884FE4">
      <w:pPr>
        <w:pStyle w:val="BodyText"/>
        <w:ind w:left="219" w:right="272"/>
        <w:jc w:val="both"/>
      </w:pPr>
      <w:r>
        <w:rPr>
          <w:color w:val="202020"/>
        </w:rPr>
        <w:t>To meet this need, the Hospital currently operates clinically integrated programs in multiple</w:t>
      </w:r>
      <w:r>
        <w:rPr>
          <w:color w:val="202020"/>
          <w:spacing w:val="1"/>
        </w:rPr>
        <w:t xml:space="preserve"> </w:t>
      </w:r>
      <w:r>
        <w:rPr>
          <w:color w:val="202020"/>
        </w:rPr>
        <w:t>locations and across the continuum of care, from inpatient psychiatric and psychiatric emergency</w:t>
      </w:r>
      <w:r>
        <w:rPr>
          <w:color w:val="202020"/>
          <w:spacing w:val="-57"/>
        </w:rPr>
        <w:t xml:space="preserve"> </w:t>
      </w:r>
      <w:r>
        <w:rPr>
          <w:color w:val="202020"/>
        </w:rPr>
        <w:t>care, to community-based acute treatment (“CBAT”), outpatient programs, and school-based</w:t>
      </w:r>
      <w:r>
        <w:rPr>
          <w:color w:val="202020"/>
          <w:spacing w:val="1"/>
        </w:rPr>
        <w:t xml:space="preserve"> </w:t>
      </w:r>
      <w:r>
        <w:rPr>
          <w:color w:val="202020"/>
        </w:rPr>
        <w:t>programs and supports. At</w:t>
      </w:r>
      <w:r>
        <w:rPr>
          <w:color w:val="202020"/>
          <w:spacing w:val="1"/>
        </w:rPr>
        <w:t xml:space="preserve"> </w:t>
      </w:r>
      <w:r>
        <w:rPr>
          <w:color w:val="202020"/>
        </w:rPr>
        <w:t>the Waltham</w:t>
      </w:r>
      <w:r>
        <w:rPr>
          <w:color w:val="202020"/>
          <w:spacing w:val="1"/>
        </w:rPr>
        <w:t xml:space="preserve"> </w:t>
      </w:r>
      <w:r>
        <w:rPr>
          <w:color w:val="202020"/>
        </w:rPr>
        <w:t>Facility, the Hospital</w:t>
      </w:r>
      <w:r>
        <w:rPr>
          <w:color w:val="202020"/>
          <w:spacing w:val="1"/>
        </w:rPr>
        <w:t xml:space="preserve"> </w:t>
      </w:r>
      <w:r>
        <w:rPr>
          <w:color w:val="202020"/>
        </w:rPr>
        <w:t>currently operates outpatient</w:t>
      </w:r>
      <w:r>
        <w:rPr>
          <w:color w:val="202020"/>
          <w:spacing w:val="1"/>
        </w:rPr>
        <w:t xml:space="preserve"> </w:t>
      </w:r>
      <w:r>
        <w:rPr>
          <w:color w:val="202020"/>
        </w:rPr>
        <w:t>behavioral health programs, a CBAT program, and will be adding a 12-bed inpatient adolescent</w:t>
      </w:r>
      <w:r>
        <w:rPr>
          <w:color w:val="202020"/>
          <w:spacing w:val="1"/>
        </w:rPr>
        <w:t xml:space="preserve"> </w:t>
      </w:r>
      <w:r>
        <w:rPr>
          <w:color w:val="202020"/>
        </w:rPr>
        <w:t>and pediatric psychiatric unit.</w:t>
      </w:r>
      <w:hyperlink w:anchor="_bookmark10" w:history="1">
        <w:r>
          <w:rPr>
            <w:vertAlign w:val="superscript"/>
          </w:rPr>
          <w:t>11</w:t>
        </w:r>
        <w:r>
          <w:t xml:space="preserve"> </w:t>
        </w:r>
      </w:hyperlink>
      <w:r>
        <w:rPr>
          <w:color w:val="202020"/>
        </w:rPr>
        <w:t>To further meet the needs of patients and families, the Proposed</w:t>
      </w:r>
      <w:r>
        <w:rPr>
          <w:color w:val="202020"/>
          <w:spacing w:val="1"/>
        </w:rPr>
        <w:t xml:space="preserve"> </w:t>
      </w:r>
      <w:r>
        <w:rPr>
          <w:color w:val="202020"/>
        </w:rPr>
        <w:t>Project</w:t>
      </w:r>
      <w:r>
        <w:rPr>
          <w:color w:val="202020"/>
          <w:spacing w:val="1"/>
        </w:rPr>
        <w:t xml:space="preserve"> </w:t>
      </w:r>
      <w:r>
        <w:rPr>
          <w:color w:val="202020"/>
        </w:rPr>
        <w:t>will</w:t>
      </w:r>
      <w:r>
        <w:rPr>
          <w:color w:val="202020"/>
          <w:spacing w:val="1"/>
        </w:rPr>
        <w:t xml:space="preserve"> </w:t>
      </w:r>
      <w:r>
        <w:rPr>
          <w:color w:val="202020"/>
        </w:rPr>
        <w:t>allow</w:t>
      </w:r>
      <w:r>
        <w:rPr>
          <w:color w:val="202020"/>
          <w:spacing w:val="1"/>
        </w:rPr>
        <w:t xml:space="preserve"> </w:t>
      </w:r>
      <w:r>
        <w:rPr>
          <w:color w:val="202020"/>
        </w:rPr>
        <w:t>the</w:t>
      </w:r>
      <w:r>
        <w:rPr>
          <w:color w:val="202020"/>
          <w:spacing w:val="1"/>
        </w:rPr>
        <w:t xml:space="preserve"> </w:t>
      </w:r>
      <w:r>
        <w:rPr>
          <w:color w:val="202020"/>
        </w:rPr>
        <w:t>Hospital</w:t>
      </w:r>
      <w:r>
        <w:rPr>
          <w:color w:val="202020"/>
          <w:spacing w:val="1"/>
        </w:rPr>
        <w:t xml:space="preserve"> </w:t>
      </w:r>
      <w:r>
        <w:rPr>
          <w:color w:val="202020"/>
        </w:rPr>
        <w:t>to</w:t>
      </w:r>
      <w:r>
        <w:rPr>
          <w:color w:val="202020"/>
          <w:spacing w:val="1"/>
        </w:rPr>
        <w:t xml:space="preserve"> </w:t>
      </w:r>
      <w:r>
        <w:rPr>
          <w:color w:val="202020"/>
        </w:rPr>
        <w:t>add</w:t>
      </w:r>
      <w:r>
        <w:rPr>
          <w:color w:val="202020"/>
          <w:spacing w:val="1"/>
        </w:rPr>
        <w:t xml:space="preserve"> </w:t>
      </w:r>
      <w:r>
        <w:rPr>
          <w:color w:val="202020"/>
        </w:rPr>
        <w:t>a</w:t>
      </w:r>
      <w:r>
        <w:rPr>
          <w:color w:val="202020"/>
          <w:spacing w:val="1"/>
        </w:rPr>
        <w:t xml:space="preserve"> </w:t>
      </w:r>
      <w:r>
        <w:rPr>
          <w:color w:val="202020"/>
        </w:rPr>
        <w:t>med-psych</w:t>
      </w:r>
      <w:r>
        <w:rPr>
          <w:color w:val="202020"/>
          <w:spacing w:val="1"/>
        </w:rPr>
        <w:t xml:space="preserve"> </w:t>
      </w:r>
      <w:r>
        <w:rPr>
          <w:color w:val="202020"/>
        </w:rPr>
        <w:t>partial</w:t>
      </w:r>
      <w:r>
        <w:rPr>
          <w:color w:val="202020"/>
          <w:spacing w:val="1"/>
        </w:rPr>
        <w:t xml:space="preserve"> </w:t>
      </w:r>
      <w:r>
        <w:rPr>
          <w:color w:val="202020"/>
        </w:rPr>
        <w:t>hospitalization</w:t>
      </w:r>
      <w:r>
        <w:rPr>
          <w:color w:val="202020"/>
          <w:spacing w:val="1"/>
        </w:rPr>
        <w:t xml:space="preserve"> </w:t>
      </w:r>
      <w:r>
        <w:rPr>
          <w:color w:val="202020"/>
        </w:rPr>
        <w:t>program</w:t>
      </w:r>
      <w:r>
        <w:rPr>
          <w:color w:val="202020"/>
          <w:spacing w:val="1"/>
        </w:rPr>
        <w:t xml:space="preserve"> </w:t>
      </w:r>
      <w:r>
        <w:rPr>
          <w:color w:val="202020"/>
        </w:rPr>
        <w:t>at</w:t>
      </w:r>
      <w:r>
        <w:rPr>
          <w:color w:val="202020"/>
          <w:spacing w:val="60"/>
        </w:rPr>
        <w:t xml:space="preserve"> </w:t>
      </w:r>
      <w:r>
        <w:rPr>
          <w:color w:val="202020"/>
        </w:rPr>
        <w:t>the</w:t>
      </w:r>
      <w:r>
        <w:rPr>
          <w:color w:val="202020"/>
          <w:spacing w:val="1"/>
        </w:rPr>
        <w:t xml:space="preserve"> </w:t>
      </w:r>
      <w:r>
        <w:rPr>
          <w:color w:val="202020"/>
        </w:rPr>
        <w:t>Waltham</w:t>
      </w:r>
      <w:r>
        <w:rPr>
          <w:color w:val="202020"/>
          <w:spacing w:val="21"/>
        </w:rPr>
        <w:t xml:space="preserve"> </w:t>
      </w:r>
      <w:r>
        <w:rPr>
          <w:color w:val="202020"/>
        </w:rPr>
        <w:t>Facility.</w:t>
      </w:r>
      <w:r>
        <w:rPr>
          <w:color w:val="202020"/>
          <w:spacing w:val="21"/>
        </w:rPr>
        <w:t xml:space="preserve"> </w:t>
      </w:r>
      <w:r>
        <w:rPr>
          <w:color w:val="202020"/>
        </w:rPr>
        <w:t>The</w:t>
      </w:r>
      <w:r>
        <w:rPr>
          <w:color w:val="202020"/>
          <w:spacing w:val="20"/>
        </w:rPr>
        <w:t xml:space="preserve"> </w:t>
      </w:r>
      <w:r>
        <w:rPr>
          <w:color w:val="202020"/>
        </w:rPr>
        <w:t>program</w:t>
      </w:r>
      <w:r>
        <w:rPr>
          <w:color w:val="202020"/>
          <w:spacing w:val="22"/>
        </w:rPr>
        <w:t xml:space="preserve"> </w:t>
      </w:r>
      <w:r>
        <w:rPr>
          <w:color w:val="202020"/>
        </w:rPr>
        <w:t>will</w:t>
      </w:r>
      <w:r>
        <w:rPr>
          <w:color w:val="202020"/>
          <w:spacing w:val="21"/>
        </w:rPr>
        <w:t xml:space="preserve"> </w:t>
      </w:r>
      <w:r>
        <w:rPr>
          <w:color w:val="202020"/>
        </w:rPr>
        <w:t>provide</w:t>
      </w:r>
      <w:r>
        <w:rPr>
          <w:color w:val="202020"/>
          <w:spacing w:val="21"/>
        </w:rPr>
        <w:t xml:space="preserve"> </w:t>
      </w:r>
      <w:r>
        <w:rPr>
          <w:color w:val="202020"/>
        </w:rPr>
        <w:t>pediatric</w:t>
      </w:r>
      <w:r>
        <w:rPr>
          <w:color w:val="202020"/>
          <w:spacing w:val="20"/>
        </w:rPr>
        <w:t xml:space="preserve"> </w:t>
      </w:r>
      <w:r>
        <w:rPr>
          <w:color w:val="202020"/>
        </w:rPr>
        <w:t>patients</w:t>
      </w:r>
      <w:r>
        <w:rPr>
          <w:color w:val="202020"/>
          <w:spacing w:val="22"/>
        </w:rPr>
        <w:t xml:space="preserve"> </w:t>
      </w:r>
      <w:r>
        <w:rPr>
          <w:color w:val="202020"/>
        </w:rPr>
        <w:t>with</w:t>
      </w:r>
      <w:r>
        <w:rPr>
          <w:color w:val="202020"/>
          <w:spacing w:val="21"/>
        </w:rPr>
        <w:t xml:space="preserve"> </w:t>
      </w:r>
      <w:r>
        <w:rPr>
          <w:color w:val="202020"/>
        </w:rPr>
        <w:t>intensive</w:t>
      </w:r>
      <w:r>
        <w:rPr>
          <w:color w:val="202020"/>
          <w:spacing w:val="21"/>
        </w:rPr>
        <w:t xml:space="preserve"> </w:t>
      </w:r>
      <w:r>
        <w:rPr>
          <w:color w:val="202020"/>
        </w:rPr>
        <w:t>behavioral</w:t>
      </w:r>
      <w:r>
        <w:rPr>
          <w:color w:val="202020"/>
          <w:spacing w:val="22"/>
        </w:rPr>
        <w:t xml:space="preserve"> </w:t>
      </w:r>
      <w:r>
        <w:rPr>
          <w:color w:val="202020"/>
        </w:rPr>
        <w:t>health</w:t>
      </w:r>
    </w:p>
    <w:p w:rsidR="00D862F2" w:rsidRDefault="00337703">
      <w:pPr>
        <w:pStyle w:val="BodyText"/>
        <w:rPr>
          <w:sz w:val="22"/>
        </w:rPr>
      </w:pPr>
      <w:r>
        <w:rPr>
          <w:noProof/>
        </w:rPr>
        <mc:AlternateContent>
          <mc:Choice Requires="wps">
            <w:drawing>
              <wp:anchor distT="0" distB="0" distL="0" distR="0" simplePos="0" relativeHeight="487589888" behindDoc="1" locked="0" layoutInCell="1" allowOverlap="1">
                <wp:simplePos x="0" y="0"/>
                <wp:positionH relativeFrom="page">
                  <wp:posOffset>914400</wp:posOffset>
                </wp:positionH>
                <wp:positionV relativeFrom="paragraph">
                  <wp:posOffset>176530</wp:posOffset>
                </wp:positionV>
                <wp:extent cx="1828800" cy="7620"/>
                <wp:effectExtent l="0" t="0" r="0" b="11430"/>
                <wp:wrapTopAndBottom/>
                <wp:docPr id="25" name="docshape7" descr="Division Line between the main content and the footnotes" title="Divis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0334E" id="docshape7" o:spid="_x0000_s1026" alt="Title: Division - Description: Division Line between the main content and the footnotes" style="position:absolute;margin-left:1in;margin-top:13.9pt;width:2in;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" fillcolor="black" stroked="f">
                <w10:wrap type="topAndBottom" anchorx="page"/>
              </v:rect>
            </w:pict>
          </mc:Fallback>
        </mc:AlternateContent>
      </w:r>
    </w:p>
    <w:p w:rsidR="00D862F2" w:rsidRDefault="00884FE4">
      <w:pPr>
        <w:spacing w:before="103"/>
        <w:ind w:left="220" w:right="775" w:hanging="1"/>
        <w:rPr>
          <w:sz w:val="20"/>
        </w:rPr>
      </w:pPr>
      <w:bookmarkStart w:id="8" w:name="_bookmark7"/>
      <w:bookmarkEnd w:id="8"/>
      <w:r>
        <w:rPr>
          <w:sz w:val="20"/>
          <w:vertAlign w:val="superscript"/>
        </w:rPr>
        <w:t>8</w:t>
      </w:r>
      <w:r>
        <w:rPr>
          <w:sz w:val="20"/>
        </w:rPr>
        <w:t xml:space="preserve"> The four ORs in Lexington are operated jointly with Beth Israel Deaconess Medical Center under an existing</w:t>
      </w:r>
      <w:r>
        <w:rPr>
          <w:spacing w:val="-47"/>
          <w:sz w:val="20"/>
        </w:rPr>
        <w:t xml:space="preserve"> </w:t>
      </w:r>
      <w:r>
        <w:rPr>
          <w:sz w:val="20"/>
        </w:rPr>
        <w:t>arrangement</w:t>
      </w:r>
      <w:r>
        <w:rPr>
          <w:spacing w:val="-1"/>
          <w:sz w:val="20"/>
        </w:rPr>
        <w:t xml:space="preserve"> </w:t>
      </w:r>
      <w:r>
        <w:rPr>
          <w:sz w:val="20"/>
        </w:rPr>
        <w:t>approved</w:t>
      </w:r>
      <w:r>
        <w:rPr>
          <w:spacing w:val="1"/>
          <w:sz w:val="20"/>
        </w:rPr>
        <w:t xml:space="preserve"> </w:t>
      </w:r>
      <w:r>
        <w:rPr>
          <w:sz w:val="20"/>
        </w:rPr>
        <w:t>by</w:t>
      </w:r>
      <w:r>
        <w:rPr>
          <w:spacing w:val="-4"/>
          <w:sz w:val="20"/>
        </w:rPr>
        <w:t xml:space="preserve"> </w:t>
      </w:r>
      <w:r>
        <w:rPr>
          <w:sz w:val="20"/>
        </w:rPr>
        <w:t>the</w:t>
      </w:r>
      <w:r>
        <w:rPr>
          <w:spacing w:val="2"/>
          <w:sz w:val="20"/>
        </w:rPr>
        <w:t xml:space="preserve"> </w:t>
      </w:r>
      <w:r>
        <w:rPr>
          <w:sz w:val="20"/>
        </w:rPr>
        <w:t>Department of</w:t>
      </w:r>
      <w:r>
        <w:rPr>
          <w:spacing w:val="-2"/>
          <w:sz w:val="20"/>
        </w:rPr>
        <w:t xml:space="preserve"> </w:t>
      </w:r>
      <w:r>
        <w:rPr>
          <w:sz w:val="20"/>
        </w:rPr>
        <w:t>Public</w:t>
      </w:r>
      <w:r>
        <w:rPr>
          <w:spacing w:val="-1"/>
          <w:sz w:val="20"/>
        </w:rPr>
        <w:t xml:space="preserve"> </w:t>
      </w:r>
      <w:r>
        <w:rPr>
          <w:sz w:val="20"/>
        </w:rPr>
        <w:t>Health.</w:t>
      </w:r>
    </w:p>
    <w:p w:rsidR="00D862F2" w:rsidRDefault="00884FE4">
      <w:pPr>
        <w:spacing w:before="1"/>
        <w:ind w:left="220" w:right="434" w:hanging="1"/>
        <w:rPr>
          <w:sz w:val="20"/>
        </w:rPr>
      </w:pPr>
      <w:bookmarkStart w:id="9" w:name="_bookmark8"/>
      <w:bookmarkEnd w:id="9"/>
      <w:r>
        <w:rPr>
          <w:sz w:val="20"/>
          <w:vertAlign w:val="superscript"/>
        </w:rPr>
        <w:t>9</w:t>
      </w:r>
      <w:r>
        <w:rPr>
          <w:sz w:val="20"/>
        </w:rPr>
        <w:t xml:space="preserve"> </w:t>
      </w:r>
      <w:r>
        <w:rPr>
          <w:i/>
          <w:sz w:val="20"/>
        </w:rPr>
        <w:t xml:space="preserve">See </w:t>
      </w:r>
      <w:r>
        <w:rPr>
          <w:sz w:val="20"/>
        </w:rPr>
        <w:t>Karen Dineen Wagner, MD, PhD, New Findings About Children 's Mental Health During COVID-19,</w:t>
      </w:r>
      <w:r>
        <w:rPr>
          <w:spacing w:val="1"/>
          <w:sz w:val="20"/>
        </w:rPr>
        <w:t xml:space="preserve"> </w:t>
      </w:r>
      <w:r>
        <w:rPr>
          <w:sz w:val="20"/>
        </w:rPr>
        <w:t>Psychiatric Times (October 7, 2020), https://</w:t>
      </w:r>
      <w:hyperlink r:id="rId12">
        <w:r>
          <w:rPr>
            <w:sz w:val="20"/>
          </w:rPr>
          <w:t>www.psychiatrictimes.com/view/newfindings-children-mental-health-</w:t>
        </w:r>
      </w:hyperlink>
      <w:r>
        <w:rPr>
          <w:spacing w:val="-48"/>
          <w:sz w:val="20"/>
        </w:rPr>
        <w:t xml:space="preserve"> </w:t>
      </w:r>
      <w:r>
        <w:rPr>
          <w:sz w:val="20"/>
        </w:rPr>
        <w:t>covid-19.</w:t>
      </w:r>
    </w:p>
    <w:p w:rsidR="00D862F2" w:rsidRDefault="00884FE4">
      <w:pPr>
        <w:ind w:left="219" w:right="320"/>
        <w:rPr>
          <w:sz w:val="20"/>
        </w:rPr>
      </w:pPr>
      <w:bookmarkStart w:id="10" w:name="_bookmark9"/>
      <w:bookmarkEnd w:id="10"/>
      <w:r>
        <w:rPr>
          <w:sz w:val="20"/>
          <w:vertAlign w:val="superscript"/>
        </w:rPr>
        <w:t>10</w:t>
      </w:r>
      <w:r>
        <w:rPr>
          <w:sz w:val="20"/>
        </w:rPr>
        <w:t xml:space="preserve"> </w:t>
      </w:r>
      <w:r>
        <w:rPr>
          <w:i/>
          <w:sz w:val="20"/>
        </w:rPr>
        <w:t xml:space="preserve">See </w:t>
      </w:r>
      <w:r>
        <w:rPr>
          <w:sz w:val="20"/>
        </w:rPr>
        <w:t>Leeb RT, Bitsko RH, Radhakrishnan L, Martinez P, Njai R, Holland KM. Mental Health- Related Emergency</w:t>
      </w:r>
      <w:r>
        <w:rPr>
          <w:spacing w:val="-47"/>
          <w:sz w:val="20"/>
        </w:rPr>
        <w:t xml:space="preserve"> </w:t>
      </w:r>
      <w:r>
        <w:rPr>
          <w:sz w:val="20"/>
        </w:rPr>
        <w:t>Department Visits Among Children Aged &lt; 18 Years During the COVID-19 Pandemic - United States, January 1-</w:t>
      </w:r>
      <w:r>
        <w:rPr>
          <w:spacing w:val="1"/>
          <w:sz w:val="20"/>
        </w:rPr>
        <w:t xml:space="preserve"> </w:t>
      </w:r>
      <w:r>
        <w:rPr>
          <w:sz w:val="20"/>
        </w:rPr>
        <w:t>0ctober 17, 2020. MMWR Morb Mortal Wkly Rep 2020;69:1675-1680. DOI:</w:t>
      </w:r>
      <w:r>
        <w:rPr>
          <w:spacing w:val="1"/>
          <w:sz w:val="20"/>
        </w:rPr>
        <w:t xml:space="preserve"> </w:t>
      </w:r>
      <w:hyperlink r:id="rId13">
        <w:r>
          <w:rPr>
            <w:sz w:val="20"/>
          </w:rPr>
          <w:t>http://dx.doi.org/10.15585/mmwr.mm6945a3external</w:t>
        </w:r>
        <w:r>
          <w:rPr>
            <w:spacing w:val="-1"/>
            <w:sz w:val="20"/>
          </w:rPr>
          <w:t xml:space="preserve"> </w:t>
        </w:r>
      </w:hyperlink>
      <w:r>
        <w:rPr>
          <w:sz w:val="20"/>
        </w:rPr>
        <w:t>icon.</w:t>
      </w:r>
    </w:p>
    <w:p w:rsidR="00D862F2" w:rsidRDefault="00884FE4">
      <w:pPr>
        <w:ind w:left="219" w:right="710"/>
        <w:rPr>
          <w:sz w:val="20"/>
        </w:rPr>
      </w:pPr>
      <w:bookmarkStart w:id="11" w:name="_bookmark10"/>
      <w:bookmarkEnd w:id="11"/>
      <w:r>
        <w:rPr>
          <w:sz w:val="20"/>
          <w:vertAlign w:val="superscript"/>
        </w:rPr>
        <w:t>11</w:t>
      </w:r>
      <w:r>
        <w:rPr>
          <w:sz w:val="20"/>
        </w:rPr>
        <w:t xml:space="preserve"> </w:t>
      </w:r>
      <w:r>
        <w:rPr>
          <w:i/>
          <w:sz w:val="20"/>
        </w:rPr>
        <w:t xml:space="preserve">See </w:t>
      </w:r>
      <w:r>
        <w:rPr>
          <w:sz w:val="20"/>
        </w:rPr>
        <w:t>Determination of Need Approval Related to COVID-19 Letter from Lara Szent-Gyorgyi to Donna Casey</w:t>
      </w:r>
      <w:r>
        <w:rPr>
          <w:spacing w:val="-48"/>
          <w:sz w:val="20"/>
        </w:rPr>
        <w:t xml:space="preserve"> </w:t>
      </w:r>
      <w:r>
        <w:rPr>
          <w:sz w:val="20"/>
        </w:rPr>
        <w:t>dated January</w:t>
      </w:r>
      <w:r>
        <w:rPr>
          <w:spacing w:val="-4"/>
          <w:sz w:val="20"/>
        </w:rPr>
        <w:t xml:space="preserve"> </w:t>
      </w:r>
      <w:r>
        <w:rPr>
          <w:sz w:val="20"/>
        </w:rPr>
        <w:t>15,</w:t>
      </w:r>
      <w:r>
        <w:rPr>
          <w:spacing w:val="1"/>
          <w:sz w:val="20"/>
        </w:rPr>
        <w:t xml:space="preserve"> </w:t>
      </w:r>
      <w:r>
        <w:rPr>
          <w:sz w:val="20"/>
        </w:rPr>
        <w:t>2021.</w:t>
      </w:r>
    </w:p>
    <w:p w:rsidR="00D862F2" w:rsidRDefault="00D862F2">
      <w:pPr>
        <w:rPr>
          <w:sz w:val="20"/>
        </w:rPr>
        <w:sectPr w:rsidR="00D862F2">
          <w:pgSz w:w="12240" w:h="15840"/>
          <w:pgMar w:top="1340" w:right="1160" w:bottom="980" w:left="1220" w:header="722" w:footer="794" w:gutter="0"/>
          <w:cols w:space="720"/>
        </w:sectPr>
      </w:pPr>
    </w:p>
    <w:p w:rsidR="00D862F2" w:rsidRDefault="00884FE4">
      <w:pPr>
        <w:pStyle w:val="BodyText"/>
        <w:spacing w:before="88"/>
        <w:ind w:left="220" w:right="277"/>
        <w:jc w:val="both"/>
      </w:pPr>
      <w:r>
        <w:rPr>
          <w:color w:val="202020"/>
        </w:rPr>
        <w:lastRenderedPageBreak/>
        <w:t>services</w:t>
      </w:r>
      <w:r>
        <w:rPr>
          <w:color w:val="202020"/>
          <w:spacing w:val="1"/>
        </w:rPr>
        <w:t xml:space="preserve"> </w:t>
      </w:r>
      <w:r>
        <w:rPr>
          <w:color w:val="202020"/>
        </w:rPr>
        <w:t>during</w:t>
      </w:r>
      <w:r>
        <w:rPr>
          <w:color w:val="202020"/>
          <w:spacing w:val="1"/>
        </w:rPr>
        <w:t xml:space="preserve"> </w:t>
      </w:r>
      <w:r>
        <w:rPr>
          <w:color w:val="202020"/>
        </w:rPr>
        <w:t>the</w:t>
      </w:r>
      <w:r>
        <w:rPr>
          <w:color w:val="202020"/>
          <w:spacing w:val="1"/>
        </w:rPr>
        <w:t xml:space="preserve"> </w:t>
      </w:r>
      <w:r>
        <w:rPr>
          <w:color w:val="202020"/>
        </w:rPr>
        <w:t>day</w:t>
      </w:r>
      <w:r>
        <w:rPr>
          <w:color w:val="202020"/>
          <w:spacing w:val="1"/>
        </w:rPr>
        <w:t xml:space="preserve"> </w:t>
      </w:r>
      <w:r>
        <w:rPr>
          <w:color w:val="202020"/>
        </w:rPr>
        <w:t>and</w:t>
      </w:r>
      <w:r>
        <w:rPr>
          <w:color w:val="202020"/>
          <w:spacing w:val="1"/>
        </w:rPr>
        <w:t xml:space="preserve"> </w:t>
      </w:r>
      <w:r>
        <w:rPr>
          <w:color w:val="202020"/>
        </w:rPr>
        <w:t>allow</w:t>
      </w:r>
      <w:r>
        <w:rPr>
          <w:color w:val="202020"/>
          <w:spacing w:val="1"/>
        </w:rPr>
        <w:t xml:space="preserve"> </w:t>
      </w:r>
      <w:r>
        <w:rPr>
          <w:color w:val="202020"/>
        </w:rPr>
        <w:t>patients</w:t>
      </w:r>
      <w:r>
        <w:rPr>
          <w:color w:val="202020"/>
          <w:spacing w:val="1"/>
        </w:rPr>
        <w:t xml:space="preserve"> </w:t>
      </w:r>
      <w:r>
        <w:rPr>
          <w:color w:val="202020"/>
        </w:rPr>
        <w:t>to</w:t>
      </w:r>
      <w:r>
        <w:rPr>
          <w:color w:val="202020"/>
          <w:spacing w:val="1"/>
        </w:rPr>
        <w:t xml:space="preserve"> </w:t>
      </w:r>
      <w:r>
        <w:rPr>
          <w:color w:val="202020"/>
        </w:rPr>
        <w:t>return</w:t>
      </w:r>
      <w:r>
        <w:rPr>
          <w:color w:val="202020"/>
          <w:spacing w:val="1"/>
        </w:rPr>
        <w:t xml:space="preserve"> </w:t>
      </w:r>
      <w:r>
        <w:rPr>
          <w:color w:val="202020"/>
        </w:rPr>
        <w:t>home</w:t>
      </w:r>
      <w:r>
        <w:rPr>
          <w:color w:val="202020"/>
          <w:spacing w:val="1"/>
        </w:rPr>
        <w:t xml:space="preserve"> </w:t>
      </w:r>
      <w:r>
        <w:rPr>
          <w:color w:val="202020"/>
        </w:rPr>
        <w:t>in</w:t>
      </w:r>
      <w:r>
        <w:rPr>
          <w:color w:val="202020"/>
          <w:spacing w:val="1"/>
        </w:rPr>
        <w:t xml:space="preserve"> </w:t>
      </w:r>
      <w:r>
        <w:rPr>
          <w:color w:val="202020"/>
        </w:rPr>
        <w:t>the</w:t>
      </w:r>
      <w:r>
        <w:rPr>
          <w:color w:val="202020"/>
          <w:spacing w:val="1"/>
        </w:rPr>
        <w:t xml:space="preserve"> </w:t>
      </w:r>
      <w:r>
        <w:rPr>
          <w:color w:val="202020"/>
        </w:rPr>
        <w:t>evening,</w:t>
      </w:r>
      <w:r>
        <w:rPr>
          <w:color w:val="202020"/>
          <w:spacing w:val="1"/>
        </w:rPr>
        <w:t xml:space="preserve"> </w:t>
      </w:r>
      <w:r>
        <w:rPr>
          <w:color w:val="202020"/>
        </w:rPr>
        <w:t>enhancing</w:t>
      </w:r>
      <w:r>
        <w:rPr>
          <w:color w:val="202020"/>
          <w:spacing w:val="1"/>
        </w:rPr>
        <w:t xml:space="preserve"> </w:t>
      </w:r>
      <w:r>
        <w:rPr>
          <w:color w:val="202020"/>
        </w:rPr>
        <w:t>the</w:t>
      </w:r>
      <w:r>
        <w:rPr>
          <w:color w:val="202020"/>
          <w:spacing w:val="1"/>
        </w:rPr>
        <w:t xml:space="preserve"> </w:t>
      </w:r>
      <w:r>
        <w:rPr>
          <w:color w:val="202020"/>
        </w:rPr>
        <w:t>Applicant’s</w:t>
      </w:r>
      <w:r>
        <w:rPr>
          <w:color w:val="202020"/>
          <w:spacing w:val="-1"/>
        </w:rPr>
        <w:t xml:space="preserve"> </w:t>
      </w:r>
      <w:r>
        <w:rPr>
          <w:color w:val="202020"/>
        </w:rPr>
        <w:t>continuum of</w:t>
      </w:r>
      <w:r>
        <w:rPr>
          <w:color w:val="202020"/>
          <w:spacing w:val="-1"/>
        </w:rPr>
        <w:t xml:space="preserve"> </w:t>
      </w:r>
      <w:r>
        <w:rPr>
          <w:color w:val="202020"/>
        </w:rPr>
        <w:t>care</w:t>
      </w:r>
      <w:r>
        <w:rPr>
          <w:color w:val="202020"/>
          <w:spacing w:val="-1"/>
        </w:rPr>
        <w:t xml:space="preserve"> </w:t>
      </w:r>
      <w:r>
        <w:rPr>
          <w:color w:val="202020"/>
        </w:rPr>
        <w:t>for</w:t>
      </w:r>
      <w:r>
        <w:rPr>
          <w:color w:val="202020"/>
          <w:spacing w:val="-1"/>
        </w:rPr>
        <w:t xml:space="preserve"> </w:t>
      </w:r>
      <w:r>
        <w:rPr>
          <w:color w:val="202020"/>
        </w:rPr>
        <w:t>behavioral health.</w:t>
      </w:r>
    </w:p>
    <w:p w:rsidR="00D862F2" w:rsidRDefault="00D862F2">
      <w:pPr>
        <w:pStyle w:val="BodyText"/>
      </w:pPr>
    </w:p>
    <w:p w:rsidR="00D862F2" w:rsidRDefault="00884FE4">
      <w:pPr>
        <w:pStyle w:val="BodyText"/>
        <w:ind w:left="220" w:right="272"/>
        <w:jc w:val="both"/>
      </w:pPr>
      <w:r>
        <w:t>The Applicant also engaged Bailit Health to perform an evidence-based assessment of its Patient</w:t>
      </w:r>
      <w:r>
        <w:rPr>
          <w:spacing w:val="1"/>
        </w:rPr>
        <w:t xml:space="preserve"> </w:t>
      </w:r>
      <w:r>
        <w:t xml:space="preserve">Panel need </w:t>
      </w:r>
      <w:r>
        <w:rPr>
          <w:rFonts w:ascii="Book Antiqua" w:hAnsi="Book Antiqua"/>
          <w:sz w:val="22"/>
        </w:rPr>
        <w:t xml:space="preserve">(the “Bailit Report”). Among other findings, Bailit Health noted that </w:t>
      </w:r>
      <w:r>
        <w:t>the Proposed</w:t>
      </w:r>
      <w:r>
        <w:rPr>
          <w:spacing w:val="1"/>
        </w:rPr>
        <w:t xml:space="preserve"> </w:t>
      </w:r>
      <w:r>
        <w:t>Project, together with the 12-bed inpatient adolescent and pediatric psychiatric unit added to the</w:t>
      </w:r>
      <w:r>
        <w:rPr>
          <w:spacing w:val="1"/>
        </w:rPr>
        <w:t xml:space="preserve"> </w:t>
      </w:r>
      <w:r>
        <w:t>Waltham location, address a current emergency department boarding census that “consistently</w:t>
      </w:r>
      <w:r>
        <w:rPr>
          <w:spacing w:val="1"/>
        </w:rPr>
        <w:t xml:space="preserve"> </w:t>
      </w:r>
      <w:r>
        <w:t>approaches 60 patients,” and will support additional pediatric specialty med-psych services for</w:t>
      </w:r>
      <w:r>
        <w:rPr>
          <w:spacing w:val="1"/>
        </w:rPr>
        <w:t xml:space="preserve"> </w:t>
      </w:r>
      <w:r>
        <w:t>children</w:t>
      </w:r>
      <w:r>
        <w:rPr>
          <w:spacing w:val="1"/>
        </w:rPr>
        <w:t xml:space="preserve"> </w:t>
      </w:r>
      <w:r>
        <w:t>with</w:t>
      </w:r>
      <w:r>
        <w:rPr>
          <w:spacing w:val="1"/>
        </w:rPr>
        <w:t xml:space="preserve"> </w:t>
      </w:r>
      <w:r>
        <w:t>comorbid</w:t>
      </w:r>
      <w:r>
        <w:rPr>
          <w:spacing w:val="1"/>
        </w:rPr>
        <w:t xml:space="preserve"> </w:t>
      </w:r>
      <w:r>
        <w:t>behavioral</w:t>
      </w:r>
      <w:r>
        <w:rPr>
          <w:spacing w:val="1"/>
        </w:rPr>
        <w:t xml:space="preserve"> </w:t>
      </w:r>
      <w:r>
        <w:t>health</w:t>
      </w:r>
      <w:r>
        <w:rPr>
          <w:spacing w:val="1"/>
        </w:rPr>
        <w:t xml:space="preserve"> </w:t>
      </w:r>
      <w:r>
        <w:t>conditions,</w:t>
      </w:r>
      <w:r>
        <w:rPr>
          <w:spacing w:val="1"/>
        </w:rPr>
        <w:t xml:space="preserve"> </w:t>
      </w:r>
      <w:r>
        <w:t>present</w:t>
      </w:r>
      <w:r>
        <w:rPr>
          <w:spacing w:val="1"/>
        </w:rPr>
        <w:t xml:space="preserve"> </w:t>
      </w:r>
      <w:r>
        <w:t>in</w:t>
      </w:r>
      <w:r>
        <w:rPr>
          <w:spacing w:val="1"/>
        </w:rPr>
        <w:t xml:space="preserve"> </w:t>
      </w:r>
      <w:r>
        <w:t>13.2%</w:t>
      </w:r>
      <w:r>
        <w:rPr>
          <w:spacing w:val="1"/>
        </w:rPr>
        <w:t xml:space="preserve"> </w:t>
      </w:r>
      <w:r>
        <w:t>of</w:t>
      </w:r>
      <w:r>
        <w:rPr>
          <w:spacing w:val="1"/>
        </w:rPr>
        <w:t xml:space="preserve"> </w:t>
      </w:r>
      <w:r>
        <w:t>pediatric</w:t>
      </w:r>
      <w:r>
        <w:rPr>
          <w:spacing w:val="1"/>
        </w:rPr>
        <w:t xml:space="preserve"> </w:t>
      </w:r>
      <w:r>
        <w:t>hospitalizations.</w:t>
      </w:r>
      <w:r>
        <w:rPr>
          <w:spacing w:val="1"/>
        </w:rPr>
        <w:t xml:space="preserve"> </w:t>
      </w:r>
      <w:r>
        <w:t>For</w:t>
      </w:r>
      <w:r>
        <w:rPr>
          <w:spacing w:val="1"/>
        </w:rPr>
        <w:t xml:space="preserve"> </w:t>
      </w:r>
      <w:r>
        <w:t>additional</w:t>
      </w:r>
      <w:r>
        <w:rPr>
          <w:spacing w:val="1"/>
        </w:rPr>
        <w:t xml:space="preserve"> </w:t>
      </w:r>
      <w:r>
        <w:t>information</w:t>
      </w:r>
      <w:r>
        <w:rPr>
          <w:spacing w:val="1"/>
        </w:rPr>
        <w:t xml:space="preserve"> </w:t>
      </w:r>
      <w:r>
        <w:t>on</w:t>
      </w:r>
      <w:r>
        <w:rPr>
          <w:spacing w:val="1"/>
        </w:rPr>
        <w:t xml:space="preserve"> </w:t>
      </w:r>
      <w:r>
        <w:t>our</w:t>
      </w:r>
      <w:r>
        <w:rPr>
          <w:spacing w:val="1"/>
        </w:rPr>
        <w:t xml:space="preserve"> </w:t>
      </w:r>
      <w:r>
        <w:t>community-oriented</w:t>
      </w:r>
      <w:r>
        <w:rPr>
          <w:spacing w:val="1"/>
        </w:rPr>
        <w:t xml:space="preserve"> </w:t>
      </w:r>
      <w:r>
        <w:t>behavioral</w:t>
      </w:r>
      <w:r>
        <w:rPr>
          <w:spacing w:val="1"/>
        </w:rPr>
        <w:t xml:space="preserve"> </w:t>
      </w:r>
      <w:r>
        <w:t>health</w:t>
      </w:r>
      <w:r>
        <w:rPr>
          <w:spacing w:val="1"/>
        </w:rPr>
        <w:t xml:space="preserve"> </w:t>
      </w:r>
      <w:r>
        <w:t>initiatives,</w:t>
      </w:r>
      <w:r>
        <w:rPr>
          <w:spacing w:val="-1"/>
        </w:rPr>
        <w:t xml:space="preserve"> </w:t>
      </w:r>
      <w:r>
        <w:t>see</w:t>
      </w:r>
      <w:r>
        <w:rPr>
          <w:spacing w:val="-1"/>
        </w:rPr>
        <w:t xml:space="preserve"> </w:t>
      </w:r>
      <w:r>
        <w:t>Factor</w:t>
      </w:r>
      <w:r>
        <w:rPr>
          <w:spacing w:val="-1"/>
        </w:rPr>
        <w:t xml:space="preserve"> </w:t>
      </w:r>
      <w:r>
        <w:t>6 response</w:t>
      </w:r>
      <w:r>
        <w:rPr>
          <w:spacing w:val="-1"/>
        </w:rPr>
        <w:t xml:space="preserve"> </w:t>
      </w:r>
      <w:r>
        <w:t>included</w:t>
      </w:r>
      <w:r>
        <w:rPr>
          <w:spacing w:val="-1"/>
        </w:rPr>
        <w:t xml:space="preserve"> </w:t>
      </w:r>
      <w:r>
        <w:t>as</w:t>
      </w:r>
      <w:r>
        <w:rPr>
          <w:spacing w:val="2"/>
        </w:rPr>
        <w:t xml:space="preserve"> </w:t>
      </w:r>
      <w:r>
        <w:t>Attachment 6.</w:t>
      </w:r>
    </w:p>
    <w:p w:rsidR="00D862F2" w:rsidRDefault="00D862F2">
      <w:pPr>
        <w:pStyle w:val="BodyText"/>
        <w:spacing w:before="11"/>
        <w:rPr>
          <w:sz w:val="23"/>
        </w:rPr>
      </w:pPr>
    </w:p>
    <w:p w:rsidR="00D862F2" w:rsidRDefault="00884FE4">
      <w:pPr>
        <w:pStyle w:val="BodyText"/>
        <w:ind w:left="220" w:right="277"/>
        <w:jc w:val="both"/>
      </w:pPr>
      <w:r>
        <w:rPr>
          <w:u w:val="single"/>
        </w:rPr>
        <w:t>Need for Enhanced Access to Medical Specialties with Integrated Habilitative Behavioral Health</w:t>
      </w:r>
      <w:r>
        <w:rPr>
          <w:spacing w:val="-57"/>
        </w:rPr>
        <w:t xml:space="preserve"> </w:t>
      </w:r>
      <w:r>
        <w:rPr>
          <w:u w:val="single"/>
        </w:rPr>
        <w:t>Supports</w:t>
      </w:r>
    </w:p>
    <w:p w:rsidR="00D862F2" w:rsidRDefault="00D862F2">
      <w:pPr>
        <w:pStyle w:val="BodyText"/>
        <w:spacing w:before="2"/>
        <w:rPr>
          <w:sz w:val="16"/>
        </w:rPr>
      </w:pPr>
    </w:p>
    <w:p w:rsidR="00D862F2" w:rsidRDefault="00884FE4">
      <w:pPr>
        <w:pStyle w:val="BodyText"/>
        <w:spacing w:before="90"/>
        <w:ind w:left="219" w:right="275"/>
        <w:jc w:val="both"/>
      </w:pPr>
      <w:r>
        <w:rPr>
          <w:color w:val="202020"/>
        </w:rPr>
        <w:t>Many of the children and families referred to Boston Children’s are living with multiple chronic</w:t>
      </w:r>
      <w:r>
        <w:rPr>
          <w:color w:val="202020"/>
          <w:spacing w:val="1"/>
        </w:rPr>
        <w:t xml:space="preserve"> </w:t>
      </w:r>
      <w:r>
        <w:rPr>
          <w:color w:val="202020"/>
        </w:rPr>
        <w:t>conditions. Managing that medical complexity through specialized and interdisciplinary pediatric</w:t>
      </w:r>
      <w:r>
        <w:rPr>
          <w:color w:val="202020"/>
          <w:spacing w:val="-57"/>
        </w:rPr>
        <w:t xml:space="preserve"> </w:t>
      </w:r>
      <w:r>
        <w:rPr>
          <w:color w:val="202020"/>
        </w:rPr>
        <w:t>care teams is vital to maintaining and improving health outcomes and quality of life.</w:t>
      </w:r>
      <w:hyperlink w:anchor="_bookmark11" w:history="1">
        <w:r>
          <w:rPr>
            <w:vertAlign w:val="superscript"/>
          </w:rPr>
          <w:t>12</w:t>
        </w:r>
        <w:r>
          <w:t xml:space="preserve"> </w:t>
        </w:r>
      </w:hyperlink>
      <w:r>
        <w:t>This is</w:t>
      </w:r>
      <w:r>
        <w:rPr>
          <w:spacing w:val="1"/>
        </w:rPr>
        <w:t xml:space="preserve"> </w:t>
      </w:r>
      <w:r>
        <w:t>particularly true in gastroenterology, where the Hospital’s cares for approximately 18,000 unique</w:t>
      </w:r>
      <w:r>
        <w:rPr>
          <w:spacing w:val="-57"/>
        </w:rPr>
        <w:t xml:space="preserve"> </w:t>
      </w:r>
      <w:r>
        <w:t>patients annually, approximately 8% of whom suffer from inflammatory bowel disease (“IBD”)</w:t>
      </w:r>
      <w:r>
        <w:rPr>
          <w:spacing w:val="1"/>
        </w:rPr>
        <w:t xml:space="preserve"> </w:t>
      </w:r>
      <w:r>
        <w:t>and are at high risk for depression.</w:t>
      </w:r>
      <w:hyperlink w:anchor="_bookmark12" w:history="1">
        <w:r>
          <w:rPr>
            <w:vertAlign w:val="superscript"/>
          </w:rPr>
          <w:t>13</w:t>
        </w:r>
      </w:hyperlink>
      <w:r>
        <w:t xml:space="preserve"> </w:t>
      </w:r>
      <w:r>
        <w:rPr>
          <w:color w:val="202020"/>
        </w:rPr>
        <w:t>The Proposed Project will provide space to support an</w:t>
      </w:r>
      <w:r>
        <w:rPr>
          <w:color w:val="202020"/>
          <w:spacing w:val="1"/>
        </w:rPr>
        <w:t xml:space="preserve"> </w:t>
      </w:r>
      <w:r>
        <w:rPr>
          <w:color w:val="202020"/>
        </w:rPr>
        <w:t>integrated and cross-disciplinary approach to care, incorporating behavioral</w:t>
      </w:r>
      <w:r>
        <w:rPr>
          <w:color w:val="202020"/>
          <w:spacing w:val="1"/>
        </w:rPr>
        <w:t xml:space="preserve"> </w:t>
      </w:r>
      <w:r>
        <w:rPr>
          <w:color w:val="202020"/>
        </w:rPr>
        <w:t>health supports,</w:t>
      </w:r>
      <w:r>
        <w:rPr>
          <w:color w:val="202020"/>
          <w:spacing w:val="1"/>
        </w:rPr>
        <w:t xml:space="preserve"> </w:t>
      </w:r>
      <w:r>
        <w:rPr>
          <w:color w:val="202020"/>
        </w:rPr>
        <w:t>physical therapy, and occupational therapy as an integral part of the ambulatory care pathway. It</w:t>
      </w:r>
      <w:r>
        <w:rPr>
          <w:color w:val="202020"/>
          <w:spacing w:val="1"/>
        </w:rPr>
        <w:t xml:space="preserve"> </w:t>
      </w:r>
      <w:r>
        <w:rPr>
          <w:color w:val="202020"/>
        </w:rPr>
        <w:t>will</w:t>
      </w:r>
      <w:r>
        <w:rPr>
          <w:color w:val="202020"/>
          <w:spacing w:val="1"/>
        </w:rPr>
        <w:t xml:space="preserve"> </w:t>
      </w:r>
      <w:r>
        <w:rPr>
          <w:color w:val="202020"/>
        </w:rPr>
        <w:t>also</w:t>
      </w:r>
      <w:r>
        <w:rPr>
          <w:color w:val="202020"/>
          <w:spacing w:val="1"/>
        </w:rPr>
        <w:t xml:space="preserve"> </w:t>
      </w:r>
      <w:r>
        <w:rPr>
          <w:color w:val="202020"/>
        </w:rPr>
        <w:t>address</w:t>
      </w:r>
      <w:r>
        <w:rPr>
          <w:color w:val="202020"/>
          <w:spacing w:val="1"/>
        </w:rPr>
        <w:t xml:space="preserve"> </w:t>
      </w:r>
      <w:r>
        <w:rPr>
          <w:color w:val="202020"/>
        </w:rPr>
        <w:t>capacity</w:t>
      </w:r>
      <w:r>
        <w:rPr>
          <w:color w:val="202020"/>
          <w:spacing w:val="1"/>
        </w:rPr>
        <w:t xml:space="preserve"> </w:t>
      </w:r>
      <w:r>
        <w:rPr>
          <w:color w:val="202020"/>
        </w:rPr>
        <w:t>needs,</w:t>
      </w:r>
      <w:r>
        <w:rPr>
          <w:color w:val="202020"/>
          <w:spacing w:val="1"/>
        </w:rPr>
        <w:t xml:space="preserve"> </w:t>
      </w:r>
      <w:r>
        <w:rPr>
          <w:color w:val="202020"/>
        </w:rPr>
        <w:t>as</w:t>
      </w:r>
      <w:r>
        <w:rPr>
          <w:color w:val="202020"/>
          <w:spacing w:val="1"/>
        </w:rPr>
        <w:t xml:space="preserve"> </w:t>
      </w:r>
      <w:r>
        <w:rPr>
          <w:color w:val="202020"/>
        </w:rPr>
        <w:t>the</w:t>
      </w:r>
      <w:r>
        <w:rPr>
          <w:color w:val="202020"/>
          <w:spacing w:val="1"/>
        </w:rPr>
        <w:t xml:space="preserve"> </w:t>
      </w:r>
      <w:r>
        <w:rPr>
          <w:color w:val="202020"/>
        </w:rPr>
        <w:t>Bailit</w:t>
      </w:r>
      <w:r>
        <w:rPr>
          <w:color w:val="202020"/>
          <w:spacing w:val="1"/>
        </w:rPr>
        <w:t xml:space="preserve"> </w:t>
      </w:r>
      <w:r>
        <w:rPr>
          <w:color w:val="202020"/>
        </w:rPr>
        <w:t>Report</w:t>
      </w:r>
      <w:r>
        <w:rPr>
          <w:color w:val="202020"/>
          <w:spacing w:val="1"/>
        </w:rPr>
        <w:t xml:space="preserve"> </w:t>
      </w:r>
      <w:r>
        <w:rPr>
          <w:color w:val="202020"/>
        </w:rPr>
        <w:t>notes</w:t>
      </w:r>
      <w:r>
        <w:rPr>
          <w:color w:val="202020"/>
          <w:spacing w:val="1"/>
        </w:rPr>
        <w:t xml:space="preserve"> </w:t>
      </w:r>
      <w:r>
        <w:rPr>
          <w:color w:val="202020"/>
        </w:rPr>
        <w:t>that</w:t>
      </w:r>
      <w:r>
        <w:rPr>
          <w:color w:val="202020"/>
          <w:spacing w:val="1"/>
        </w:rPr>
        <w:t xml:space="preserve"> </w:t>
      </w:r>
      <w:r>
        <w:rPr>
          <w:color w:val="202020"/>
        </w:rPr>
        <w:t>pediatric</w:t>
      </w:r>
      <w:r>
        <w:rPr>
          <w:color w:val="202020"/>
          <w:spacing w:val="1"/>
        </w:rPr>
        <w:t xml:space="preserve"> </w:t>
      </w:r>
      <w:r>
        <w:rPr>
          <w:color w:val="202020"/>
        </w:rPr>
        <w:t>gastroenterology</w:t>
      </w:r>
      <w:r>
        <w:rPr>
          <w:color w:val="202020"/>
          <w:spacing w:val="-57"/>
        </w:rPr>
        <w:t xml:space="preserve"> </w:t>
      </w:r>
      <w:r>
        <w:rPr>
          <w:color w:val="202020"/>
        </w:rPr>
        <w:t>services</w:t>
      </w:r>
      <w:r>
        <w:rPr>
          <w:color w:val="202020"/>
          <w:spacing w:val="1"/>
        </w:rPr>
        <w:t xml:space="preserve"> </w:t>
      </w:r>
      <w:r>
        <w:rPr>
          <w:color w:val="202020"/>
        </w:rPr>
        <w:t>are</w:t>
      </w:r>
      <w:r>
        <w:rPr>
          <w:color w:val="202020"/>
          <w:spacing w:val="1"/>
        </w:rPr>
        <w:t xml:space="preserve"> </w:t>
      </w:r>
      <w:r>
        <w:rPr>
          <w:color w:val="202020"/>
        </w:rPr>
        <w:t>currently</w:t>
      </w:r>
      <w:r>
        <w:rPr>
          <w:color w:val="202020"/>
          <w:spacing w:val="1"/>
        </w:rPr>
        <w:t xml:space="preserve"> </w:t>
      </w:r>
      <w:r>
        <w:rPr>
          <w:color w:val="202020"/>
        </w:rPr>
        <w:t>in</w:t>
      </w:r>
      <w:r>
        <w:rPr>
          <w:color w:val="202020"/>
          <w:spacing w:val="1"/>
        </w:rPr>
        <w:t xml:space="preserve"> </w:t>
      </w:r>
      <w:r>
        <w:rPr>
          <w:color w:val="202020"/>
        </w:rPr>
        <w:t>limited</w:t>
      </w:r>
      <w:r>
        <w:rPr>
          <w:color w:val="202020"/>
          <w:spacing w:val="1"/>
        </w:rPr>
        <w:t xml:space="preserve"> </w:t>
      </w:r>
      <w:r>
        <w:rPr>
          <w:color w:val="202020"/>
        </w:rPr>
        <w:t>supply</w:t>
      </w:r>
      <w:r>
        <w:rPr>
          <w:color w:val="202020"/>
          <w:spacing w:val="1"/>
        </w:rPr>
        <w:t xml:space="preserve"> </w:t>
      </w:r>
      <w:r>
        <w:rPr>
          <w:color w:val="202020"/>
        </w:rPr>
        <w:t>in</w:t>
      </w:r>
      <w:r>
        <w:rPr>
          <w:color w:val="202020"/>
          <w:spacing w:val="1"/>
        </w:rPr>
        <w:t xml:space="preserve"> </w:t>
      </w:r>
      <w:r>
        <w:rPr>
          <w:color w:val="202020"/>
        </w:rPr>
        <w:t>Massachusetts,</w:t>
      </w:r>
      <w:r>
        <w:rPr>
          <w:color w:val="202020"/>
          <w:spacing w:val="1"/>
        </w:rPr>
        <w:t xml:space="preserve"> </w:t>
      </w:r>
      <w:r>
        <w:t>resulting</w:t>
      </w:r>
      <w:r>
        <w:rPr>
          <w:spacing w:val="1"/>
        </w:rPr>
        <w:t xml:space="preserve"> </w:t>
      </w:r>
      <w:r>
        <w:rPr>
          <w:color w:val="202020"/>
        </w:rPr>
        <w:t>in</w:t>
      </w:r>
      <w:r>
        <w:rPr>
          <w:color w:val="202020"/>
          <w:spacing w:val="1"/>
        </w:rPr>
        <w:t xml:space="preserve"> </w:t>
      </w:r>
      <w:r>
        <w:rPr>
          <w:color w:val="202020"/>
        </w:rPr>
        <w:t>long</w:t>
      </w:r>
      <w:r>
        <w:rPr>
          <w:color w:val="202020"/>
          <w:spacing w:val="1"/>
        </w:rPr>
        <w:t xml:space="preserve"> </w:t>
      </w:r>
      <w:r>
        <w:rPr>
          <w:color w:val="202020"/>
        </w:rPr>
        <w:t>wait</w:t>
      </w:r>
      <w:r>
        <w:rPr>
          <w:color w:val="202020"/>
          <w:spacing w:val="1"/>
        </w:rPr>
        <w:t xml:space="preserve"> </w:t>
      </w:r>
      <w:r>
        <w:rPr>
          <w:color w:val="202020"/>
        </w:rPr>
        <w:t>times</w:t>
      </w:r>
      <w:r>
        <w:rPr>
          <w:color w:val="202020"/>
          <w:spacing w:val="60"/>
        </w:rPr>
        <w:t xml:space="preserve"> </w:t>
      </w:r>
      <w:r>
        <w:rPr>
          <w:color w:val="202020"/>
        </w:rPr>
        <w:t>for</w:t>
      </w:r>
      <w:r>
        <w:rPr>
          <w:color w:val="202020"/>
          <w:spacing w:val="1"/>
        </w:rPr>
        <w:t xml:space="preserve"> </w:t>
      </w:r>
      <w:r>
        <w:rPr>
          <w:color w:val="202020"/>
        </w:rPr>
        <w:t>pediatric</w:t>
      </w:r>
      <w:r>
        <w:rPr>
          <w:color w:val="202020"/>
          <w:spacing w:val="1"/>
        </w:rPr>
        <w:t xml:space="preserve"> </w:t>
      </w:r>
      <w:r>
        <w:rPr>
          <w:color w:val="202020"/>
        </w:rPr>
        <w:t>patients.</w:t>
      </w:r>
      <w:r>
        <w:rPr>
          <w:color w:val="202020"/>
          <w:spacing w:val="1"/>
        </w:rPr>
        <w:t xml:space="preserve"> </w:t>
      </w:r>
      <w:r>
        <w:rPr>
          <w:color w:val="202020"/>
        </w:rPr>
        <w:t>In</w:t>
      </w:r>
      <w:r>
        <w:rPr>
          <w:color w:val="202020"/>
          <w:spacing w:val="1"/>
        </w:rPr>
        <w:t xml:space="preserve"> </w:t>
      </w:r>
      <w:r>
        <w:rPr>
          <w:color w:val="202020"/>
        </w:rPr>
        <w:t>addition,</w:t>
      </w:r>
      <w:r>
        <w:rPr>
          <w:color w:val="202020"/>
          <w:spacing w:val="1"/>
        </w:rPr>
        <w:t xml:space="preserve"> </w:t>
      </w:r>
      <w:r>
        <w:rPr>
          <w:color w:val="202020"/>
        </w:rPr>
        <w:t>the</w:t>
      </w:r>
      <w:r>
        <w:rPr>
          <w:color w:val="202020"/>
          <w:spacing w:val="1"/>
        </w:rPr>
        <w:t xml:space="preserve"> </w:t>
      </w:r>
      <w:r>
        <w:rPr>
          <w:color w:val="202020"/>
        </w:rPr>
        <w:t>planned</w:t>
      </w:r>
      <w:r>
        <w:rPr>
          <w:color w:val="202020"/>
          <w:spacing w:val="1"/>
        </w:rPr>
        <w:t xml:space="preserve"> </w:t>
      </w:r>
      <w:r>
        <w:rPr>
          <w:color w:val="202020"/>
        </w:rPr>
        <w:t>med-psych</w:t>
      </w:r>
      <w:r>
        <w:rPr>
          <w:color w:val="202020"/>
          <w:spacing w:val="1"/>
        </w:rPr>
        <w:t xml:space="preserve"> </w:t>
      </w:r>
      <w:r>
        <w:rPr>
          <w:color w:val="202020"/>
        </w:rPr>
        <w:t>partial</w:t>
      </w:r>
      <w:r>
        <w:rPr>
          <w:color w:val="202020"/>
          <w:spacing w:val="1"/>
        </w:rPr>
        <w:t xml:space="preserve"> </w:t>
      </w:r>
      <w:r>
        <w:rPr>
          <w:color w:val="202020"/>
        </w:rPr>
        <w:t>hospitalization</w:t>
      </w:r>
      <w:r>
        <w:rPr>
          <w:color w:val="202020"/>
          <w:spacing w:val="1"/>
        </w:rPr>
        <w:t xml:space="preserve"> </w:t>
      </w:r>
      <w:r>
        <w:rPr>
          <w:color w:val="202020"/>
        </w:rPr>
        <w:t>program</w:t>
      </w:r>
      <w:r>
        <w:rPr>
          <w:color w:val="202020"/>
          <w:spacing w:val="1"/>
        </w:rPr>
        <w:t xml:space="preserve"> </w:t>
      </w:r>
      <w:r>
        <w:rPr>
          <w:color w:val="202020"/>
        </w:rPr>
        <w:t>is</w:t>
      </w:r>
      <w:r>
        <w:rPr>
          <w:color w:val="202020"/>
          <w:spacing w:val="1"/>
        </w:rPr>
        <w:t xml:space="preserve"> </w:t>
      </w:r>
      <w:r>
        <w:rPr>
          <w:color w:val="202020"/>
        </w:rPr>
        <w:t>envisioned to treat conditions such as somatic symptom and related disorders, eating disorders,</w:t>
      </w:r>
      <w:r>
        <w:rPr>
          <w:color w:val="202020"/>
          <w:spacing w:val="1"/>
        </w:rPr>
        <w:t xml:space="preserve"> </w:t>
      </w:r>
      <w:r>
        <w:rPr>
          <w:color w:val="202020"/>
        </w:rPr>
        <w:t>and chronic medical illnesses (diabetes, seizures, etc.) complicated by psychiatric conditions like</w:t>
      </w:r>
      <w:r>
        <w:rPr>
          <w:color w:val="202020"/>
          <w:spacing w:val="1"/>
        </w:rPr>
        <w:t xml:space="preserve"> </w:t>
      </w:r>
      <w:r>
        <w:rPr>
          <w:color w:val="202020"/>
        </w:rPr>
        <w:t>depression,</w:t>
      </w:r>
      <w:r>
        <w:rPr>
          <w:color w:val="202020"/>
          <w:spacing w:val="-1"/>
        </w:rPr>
        <w:t xml:space="preserve"> </w:t>
      </w:r>
      <w:r>
        <w:rPr>
          <w:color w:val="202020"/>
        </w:rPr>
        <w:t>anxiety,</w:t>
      </w:r>
      <w:r>
        <w:rPr>
          <w:color w:val="202020"/>
          <w:spacing w:val="-1"/>
        </w:rPr>
        <w:t xml:space="preserve"> </w:t>
      </w:r>
      <w:r>
        <w:rPr>
          <w:color w:val="202020"/>
        </w:rPr>
        <w:t>or</w:t>
      </w:r>
      <w:r>
        <w:rPr>
          <w:color w:val="202020"/>
          <w:spacing w:val="-2"/>
        </w:rPr>
        <w:t xml:space="preserve"> </w:t>
      </w:r>
      <w:r>
        <w:rPr>
          <w:color w:val="202020"/>
        </w:rPr>
        <w:t>non-adherence</w:t>
      </w:r>
      <w:r>
        <w:rPr>
          <w:color w:val="202020"/>
          <w:spacing w:val="-2"/>
        </w:rPr>
        <w:t xml:space="preserve"> </w:t>
      </w:r>
      <w:r>
        <w:rPr>
          <w:color w:val="202020"/>
        </w:rPr>
        <w:t>(commonly</w:t>
      </w:r>
      <w:r>
        <w:rPr>
          <w:color w:val="202020"/>
          <w:spacing w:val="-4"/>
        </w:rPr>
        <w:t xml:space="preserve"> </w:t>
      </w:r>
      <w:r>
        <w:rPr>
          <w:color w:val="202020"/>
        </w:rPr>
        <w:t>experienced</w:t>
      </w:r>
      <w:r>
        <w:rPr>
          <w:color w:val="202020"/>
          <w:spacing w:val="-1"/>
        </w:rPr>
        <w:t xml:space="preserve"> </w:t>
      </w:r>
      <w:r>
        <w:rPr>
          <w:color w:val="202020"/>
        </w:rPr>
        <w:t>by</w:t>
      </w:r>
      <w:r>
        <w:rPr>
          <w:color w:val="202020"/>
          <w:spacing w:val="-1"/>
        </w:rPr>
        <w:t xml:space="preserve"> </w:t>
      </w:r>
      <w:r>
        <w:rPr>
          <w:color w:val="202020"/>
        </w:rPr>
        <w:t>youth</w:t>
      </w:r>
      <w:r>
        <w:rPr>
          <w:color w:val="202020"/>
          <w:spacing w:val="-1"/>
        </w:rPr>
        <w:t xml:space="preserve"> </w:t>
      </w:r>
      <w:r>
        <w:rPr>
          <w:color w:val="202020"/>
        </w:rPr>
        <w:t>ages</w:t>
      </w:r>
      <w:r>
        <w:rPr>
          <w:color w:val="202020"/>
          <w:spacing w:val="-1"/>
        </w:rPr>
        <w:t xml:space="preserve"> </w:t>
      </w:r>
      <w:r>
        <w:rPr>
          <w:color w:val="202020"/>
        </w:rPr>
        <w:t>12-17</w:t>
      </w:r>
      <w:r>
        <w:rPr>
          <w:color w:val="202020"/>
          <w:spacing w:val="3"/>
        </w:rPr>
        <w:t xml:space="preserve"> </w:t>
      </w:r>
      <w:r>
        <w:rPr>
          <w:color w:val="202020"/>
        </w:rPr>
        <w:t>years).</w:t>
      </w:r>
    </w:p>
    <w:p w:rsidR="00D862F2" w:rsidRDefault="00D862F2">
      <w:pPr>
        <w:pStyle w:val="BodyText"/>
      </w:pPr>
    </w:p>
    <w:p w:rsidR="00D862F2" w:rsidRDefault="00884FE4">
      <w:pPr>
        <w:pStyle w:val="BodyText"/>
        <w:ind w:left="220"/>
        <w:jc w:val="both"/>
      </w:pPr>
      <w:r>
        <w:rPr>
          <w:u w:val="single"/>
        </w:rPr>
        <w:t>Day</w:t>
      </w:r>
      <w:r>
        <w:rPr>
          <w:spacing w:val="-5"/>
          <w:u w:val="single"/>
        </w:rPr>
        <w:t xml:space="preserve"> </w:t>
      </w:r>
      <w:r>
        <w:rPr>
          <w:u w:val="single"/>
        </w:rPr>
        <w:t>Surgery</w:t>
      </w:r>
      <w:r>
        <w:rPr>
          <w:spacing w:val="-5"/>
          <w:u w:val="single"/>
        </w:rPr>
        <w:t xml:space="preserve"> </w:t>
      </w:r>
      <w:r>
        <w:rPr>
          <w:u w:val="single"/>
        </w:rPr>
        <w:t>Services</w:t>
      </w:r>
    </w:p>
    <w:p w:rsidR="00D862F2" w:rsidRDefault="00D862F2">
      <w:pPr>
        <w:pStyle w:val="BodyText"/>
        <w:spacing w:before="2"/>
        <w:rPr>
          <w:sz w:val="16"/>
        </w:rPr>
      </w:pPr>
    </w:p>
    <w:p w:rsidR="00D862F2" w:rsidRDefault="00884FE4">
      <w:pPr>
        <w:pStyle w:val="BodyText"/>
        <w:spacing w:before="90"/>
        <w:ind w:left="219" w:right="277"/>
        <w:jc w:val="both"/>
      </w:pPr>
      <w:r>
        <w:t>The day surgery programs planned for the Waltham Facility and the Needham Facility are part of</w:t>
      </w:r>
      <w:r>
        <w:rPr>
          <w:spacing w:val="-57"/>
        </w:rPr>
        <w:t xml:space="preserve"> </w:t>
      </w:r>
      <w:r>
        <w:t>a</w:t>
      </w:r>
      <w:r>
        <w:rPr>
          <w:spacing w:val="35"/>
        </w:rPr>
        <w:t xml:space="preserve"> </w:t>
      </w:r>
      <w:r>
        <w:t>single</w:t>
      </w:r>
      <w:r>
        <w:rPr>
          <w:spacing w:val="37"/>
        </w:rPr>
        <w:t xml:space="preserve"> </w:t>
      </w:r>
      <w:r>
        <w:t>coordinated</w:t>
      </w:r>
      <w:r>
        <w:rPr>
          <w:spacing w:val="37"/>
        </w:rPr>
        <w:t xml:space="preserve"> </w:t>
      </w:r>
      <w:r>
        <w:t>plan</w:t>
      </w:r>
      <w:r>
        <w:rPr>
          <w:spacing w:val="36"/>
        </w:rPr>
        <w:t xml:space="preserve"> </w:t>
      </w:r>
      <w:r>
        <w:t>to</w:t>
      </w:r>
      <w:r>
        <w:rPr>
          <w:spacing w:val="37"/>
        </w:rPr>
        <w:t xml:space="preserve"> </w:t>
      </w:r>
      <w:r>
        <w:t>better</w:t>
      </w:r>
      <w:r>
        <w:rPr>
          <w:spacing w:val="35"/>
        </w:rPr>
        <w:t xml:space="preserve"> </w:t>
      </w:r>
      <w:r>
        <w:t>address</w:t>
      </w:r>
      <w:r>
        <w:rPr>
          <w:spacing w:val="37"/>
        </w:rPr>
        <w:t xml:space="preserve"> </w:t>
      </w:r>
      <w:r>
        <w:t>the</w:t>
      </w:r>
      <w:r>
        <w:rPr>
          <w:spacing w:val="37"/>
        </w:rPr>
        <w:t xml:space="preserve"> </w:t>
      </w:r>
      <w:r>
        <w:t>unique</w:t>
      </w:r>
      <w:r>
        <w:rPr>
          <w:spacing w:val="36"/>
        </w:rPr>
        <w:t xml:space="preserve"> </w:t>
      </w:r>
      <w:r>
        <w:t>surgical</w:t>
      </w:r>
      <w:r>
        <w:rPr>
          <w:spacing w:val="36"/>
        </w:rPr>
        <w:t xml:space="preserve"> </w:t>
      </w:r>
      <w:r>
        <w:t>needs</w:t>
      </w:r>
      <w:r>
        <w:rPr>
          <w:spacing w:val="37"/>
        </w:rPr>
        <w:t xml:space="preserve"> </w:t>
      </w:r>
      <w:r>
        <w:t>of</w:t>
      </w:r>
      <w:r>
        <w:rPr>
          <w:spacing w:val="38"/>
        </w:rPr>
        <w:t xml:space="preserve"> </w:t>
      </w:r>
      <w:r>
        <w:t>pediatric</w:t>
      </w:r>
      <w:r>
        <w:rPr>
          <w:spacing w:val="36"/>
        </w:rPr>
        <w:t xml:space="preserve"> </w:t>
      </w:r>
      <w:r>
        <w:t>patients.</w:t>
      </w:r>
      <w:r>
        <w:rPr>
          <w:spacing w:val="38"/>
        </w:rPr>
        <w:t xml:space="preserve"> </w:t>
      </w:r>
      <w:r>
        <w:t>In</w:t>
      </w:r>
      <w:r>
        <w:rPr>
          <w:spacing w:val="-58"/>
        </w:rPr>
        <w:t xml:space="preserve"> </w:t>
      </w:r>
      <w:r>
        <w:t>2019, approximately 88% of day surgery visits were by patients residing outside of Boston, with</w:t>
      </w:r>
      <w:r>
        <w:rPr>
          <w:spacing w:val="1"/>
        </w:rPr>
        <w:t xml:space="preserve"> </w:t>
      </w:r>
      <w:r>
        <w:t xml:space="preserve">patients residing in the Metro West HSA accounting for nearly a third of the visits. </w:t>
      </w:r>
      <w:r>
        <w:rPr>
          <w:i/>
        </w:rPr>
        <w:t xml:space="preserve">See </w:t>
      </w:r>
      <w:r>
        <w:t>Table 2,</w:t>
      </w:r>
      <w:r>
        <w:rPr>
          <w:spacing w:val="1"/>
        </w:rPr>
        <w:t xml:space="preserve"> </w:t>
      </w:r>
      <w:r>
        <w:t>above. The Waltham Facility and the Needham Facility will thus increase accessibility for Metro</w:t>
      </w:r>
      <w:r>
        <w:rPr>
          <w:spacing w:val="1"/>
        </w:rPr>
        <w:t xml:space="preserve"> </w:t>
      </w:r>
      <w:r>
        <w:t>West HSA patients, but also for patients residing in the surrounding HSA regions given the</w:t>
      </w:r>
      <w:r>
        <w:rPr>
          <w:spacing w:val="1"/>
        </w:rPr>
        <w:t xml:space="preserve"> </w:t>
      </w:r>
      <w:r>
        <w:t>locations along major transportation corridors. As described above, these settings will reduce</w:t>
      </w:r>
      <w:r>
        <w:rPr>
          <w:spacing w:val="1"/>
        </w:rPr>
        <w:t xml:space="preserve"> </w:t>
      </w:r>
      <w:r>
        <w:t>barriers</w:t>
      </w:r>
      <w:r>
        <w:rPr>
          <w:spacing w:val="1"/>
        </w:rPr>
        <w:t xml:space="preserve"> </w:t>
      </w:r>
      <w:r>
        <w:t>for</w:t>
      </w:r>
      <w:r>
        <w:rPr>
          <w:spacing w:val="1"/>
        </w:rPr>
        <w:t xml:space="preserve"> </w:t>
      </w:r>
      <w:r>
        <w:t>patients</w:t>
      </w:r>
      <w:r>
        <w:rPr>
          <w:spacing w:val="1"/>
        </w:rPr>
        <w:t xml:space="preserve"> </w:t>
      </w:r>
      <w:r>
        <w:t>and</w:t>
      </w:r>
      <w:r>
        <w:rPr>
          <w:spacing w:val="1"/>
        </w:rPr>
        <w:t xml:space="preserve"> </w:t>
      </w:r>
      <w:r>
        <w:t>their</w:t>
      </w:r>
      <w:r>
        <w:rPr>
          <w:spacing w:val="1"/>
        </w:rPr>
        <w:t xml:space="preserve"> </w:t>
      </w:r>
      <w:r>
        <w:t>families</w:t>
      </w:r>
      <w:r>
        <w:rPr>
          <w:spacing w:val="1"/>
        </w:rPr>
        <w:t xml:space="preserve"> </w:t>
      </w:r>
      <w:r>
        <w:t>and</w:t>
      </w:r>
      <w:r>
        <w:rPr>
          <w:spacing w:val="1"/>
        </w:rPr>
        <w:t xml:space="preserve"> </w:t>
      </w:r>
      <w:r>
        <w:t>improve</w:t>
      </w:r>
      <w:r>
        <w:rPr>
          <w:spacing w:val="1"/>
        </w:rPr>
        <w:t xml:space="preserve"> </w:t>
      </w:r>
      <w:r>
        <w:t>access</w:t>
      </w:r>
      <w:r>
        <w:rPr>
          <w:spacing w:val="1"/>
        </w:rPr>
        <w:t xml:space="preserve"> </w:t>
      </w:r>
      <w:r>
        <w:t>to</w:t>
      </w:r>
      <w:r>
        <w:rPr>
          <w:spacing w:val="1"/>
        </w:rPr>
        <w:t xml:space="preserve"> </w:t>
      </w:r>
      <w:r>
        <w:t>the</w:t>
      </w:r>
      <w:r>
        <w:rPr>
          <w:spacing w:val="1"/>
        </w:rPr>
        <w:t xml:space="preserve"> </w:t>
      </w:r>
      <w:r>
        <w:t>Applicant’s</w:t>
      </w:r>
      <w:r>
        <w:rPr>
          <w:spacing w:val="60"/>
        </w:rPr>
        <w:t xml:space="preserve"> </w:t>
      </w:r>
      <w:r>
        <w:t>specialized</w:t>
      </w:r>
      <w:r>
        <w:rPr>
          <w:spacing w:val="1"/>
        </w:rPr>
        <w:t xml:space="preserve"> </w:t>
      </w:r>
      <w:r>
        <w:t>pediatric</w:t>
      </w:r>
      <w:r>
        <w:rPr>
          <w:spacing w:val="-2"/>
        </w:rPr>
        <w:t xml:space="preserve"> </w:t>
      </w:r>
      <w:r>
        <w:t>services.</w:t>
      </w:r>
    </w:p>
    <w:p w:rsidR="00D862F2" w:rsidRDefault="00D862F2">
      <w:pPr>
        <w:pStyle w:val="BodyText"/>
        <w:rPr>
          <w:sz w:val="20"/>
        </w:rPr>
      </w:pPr>
    </w:p>
    <w:p w:rsidR="00D862F2" w:rsidRDefault="00D862F2">
      <w:pPr>
        <w:pStyle w:val="BodyText"/>
        <w:rPr>
          <w:sz w:val="20"/>
        </w:rPr>
      </w:pPr>
    </w:p>
    <w:p w:rsidR="00D862F2" w:rsidRDefault="00D862F2">
      <w:pPr>
        <w:pStyle w:val="BodyText"/>
        <w:rPr>
          <w:sz w:val="20"/>
        </w:rPr>
      </w:pPr>
    </w:p>
    <w:p w:rsidR="00D862F2" w:rsidRDefault="00337703">
      <w:pPr>
        <w:pStyle w:val="BodyText"/>
        <w:spacing w:before="3"/>
        <w:rPr>
          <w:sz w:val="10"/>
        </w:rPr>
      </w:pPr>
      <w:r>
        <w:rPr>
          <w:noProof/>
        </w:rPr>
        <mc:AlternateContent>
          <mc:Choice Requires="wps">
            <w:drawing>
              <wp:anchor distT="0" distB="0" distL="0" distR="0" simplePos="0" relativeHeight="487590400" behindDoc="1" locked="0" layoutInCell="1" allowOverlap="1">
                <wp:simplePos x="0" y="0"/>
                <wp:positionH relativeFrom="page">
                  <wp:posOffset>914400</wp:posOffset>
                </wp:positionH>
                <wp:positionV relativeFrom="paragraph">
                  <wp:posOffset>90170</wp:posOffset>
                </wp:positionV>
                <wp:extent cx="1828800" cy="7620"/>
                <wp:effectExtent l="0" t="0" r="0" b="0"/>
                <wp:wrapTopAndBottom/>
                <wp:docPr id="24" name="docshape8"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49415" id="docshape8" o:spid="_x0000_s1026" alt="Title: Division Line - Description: Division Line between the main content and the footnotes" style="position:absolute;margin-left:1in;margin-top:7.1pt;width:2in;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" fillcolor="black" stroked="f">
                <w10:wrap type="topAndBottom" anchorx="page"/>
              </v:rect>
            </w:pict>
          </mc:Fallback>
        </mc:AlternateContent>
      </w:r>
    </w:p>
    <w:p w:rsidR="00D862F2" w:rsidRDefault="00884FE4">
      <w:pPr>
        <w:spacing w:before="103" w:line="229" w:lineRule="exact"/>
        <w:ind w:left="220"/>
        <w:rPr>
          <w:sz w:val="20"/>
        </w:rPr>
      </w:pPr>
      <w:bookmarkStart w:id="12" w:name="_bookmark11"/>
      <w:bookmarkEnd w:id="12"/>
      <w:r>
        <w:rPr>
          <w:sz w:val="20"/>
          <w:vertAlign w:val="superscript"/>
        </w:rPr>
        <w:t>12</w:t>
      </w:r>
      <w:r>
        <w:rPr>
          <w:spacing w:val="-4"/>
          <w:sz w:val="20"/>
        </w:rPr>
        <w:t xml:space="preserve"> </w:t>
      </w:r>
      <w:r>
        <w:rPr>
          <w:sz w:val="20"/>
        </w:rPr>
        <w:t>Comorbid</w:t>
      </w:r>
      <w:r>
        <w:rPr>
          <w:spacing w:val="-2"/>
          <w:sz w:val="20"/>
        </w:rPr>
        <w:t xml:space="preserve"> </w:t>
      </w:r>
      <w:r>
        <w:rPr>
          <w:sz w:val="20"/>
        </w:rPr>
        <w:t>behavioral</w:t>
      </w:r>
      <w:r>
        <w:rPr>
          <w:spacing w:val="-4"/>
          <w:sz w:val="20"/>
        </w:rPr>
        <w:t xml:space="preserve"> </w:t>
      </w:r>
      <w:r>
        <w:rPr>
          <w:sz w:val="20"/>
        </w:rPr>
        <w:t>health</w:t>
      </w:r>
      <w:r>
        <w:rPr>
          <w:spacing w:val="-4"/>
          <w:sz w:val="20"/>
        </w:rPr>
        <w:t xml:space="preserve"> </w:t>
      </w:r>
      <w:r>
        <w:rPr>
          <w:sz w:val="20"/>
        </w:rPr>
        <w:t>conditions</w:t>
      </w:r>
      <w:r>
        <w:rPr>
          <w:spacing w:val="-5"/>
          <w:sz w:val="20"/>
        </w:rPr>
        <w:t xml:space="preserve"> </w:t>
      </w:r>
      <w:r>
        <w:rPr>
          <w:sz w:val="20"/>
        </w:rPr>
        <w:t>are</w:t>
      </w:r>
      <w:r>
        <w:rPr>
          <w:spacing w:val="-3"/>
          <w:sz w:val="20"/>
        </w:rPr>
        <w:t xml:space="preserve"> </w:t>
      </w:r>
      <w:r>
        <w:rPr>
          <w:sz w:val="20"/>
        </w:rPr>
        <w:t>present</w:t>
      </w:r>
      <w:r>
        <w:rPr>
          <w:spacing w:val="-3"/>
          <w:sz w:val="20"/>
        </w:rPr>
        <w:t xml:space="preserve"> </w:t>
      </w:r>
      <w:r>
        <w:rPr>
          <w:sz w:val="20"/>
        </w:rPr>
        <w:t>in</w:t>
      </w:r>
      <w:r>
        <w:rPr>
          <w:spacing w:val="-5"/>
          <w:sz w:val="20"/>
        </w:rPr>
        <w:t xml:space="preserve"> </w:t>
      </w:r>
      <w:r>
        <w:rPr>
          <w:sz w:val="20"/>
        </w:rPr>
        <w:t>13.2%</w:t>
      </w:r>
      <w:r>
        <w:rPr>
          <w:spacing w:val="-3"/>
          <w:sz w:val="20"/>
        </w:rPr>
        <w:t xml:space="preserve"> </w:t>
      </w:r>
      <w:r>
        <w:rPr>
          <w:sz w:val="20"/>
        </w:rPr>
        <w:t>of</w:t>
      </w:r>
      <w:r>
        <w:rPr>
          <w:spacing w:val="-5"/>
          <w:sz w:val="20"/>
        </w:rPr>
        <w:t xml:space="preserve"> </w:t>
      </w:r>
      <w:r>
        <w:rPr>
          <w:sz w:val="20"/>
        </w:rPr>
        <w:t>pediatric</w:t>
      </w:r>
      <w:r>
        <w:rPr>
          <w:spacing w:val="-4"/>
          <w:sz w:val="20"/>
        </w:rPr>
        <w:t xml:space="preserve"> </w:t>
      </w:r>
      <w:r>
        <w:rPr>
          <w:sz w:val="20"/>
        </w:rPr>
        <w:t>hospitalizations.</w:t>
      </w:r>
    </w:p>
    <w:p w:rsidR="00D862F2" w:rsidRDefault="00884FE4">
      <w:pPr>
        <w:ind w:left="219" w:right="320"/>
        <w:rPr>
          <w:sz w:val="20"/>
        </w:rPr>
      </w:pPr>
      <w:bookmarkStart w:id="13" w:name="_bookmark12"/>
      <w:bookmarkEnd w:id="13"/>
      <w:r>
        <w:rPr>
          <w:sz w:val="20"/>
          <w:vertAlign w:val="superscript"/>
        </w:rPr>
        <w:t>13</w:t>
      </w:r>
      <w:r>
        <w:rPr>
          <w:spacing w:val="-3"/>
          <w:sz w:val="20"/>
        </w:rPr>
        <w:t xml:space="preserve"> </w:t>
      </w:r>
      <w:r>
        <w:rPr>
          <w:sz w:val="20"/>
        </w:rPr>
        <w:t>For</w:t>
      </w:r>
      <w:r>
        <w:rPr>
          <w:spacing w:val="-2"/>
          <w:sz w:val="20"/>
        </w:rPr>
        <w:t xml:space="preserve"> </w:t>
      </w:r>
      <w:r>
        <w:rPr>
          <w:sz w:val="20"/>
        </w:rPr>
        <w:t>example,</w:t>
      </w:r>
      <w:r>
        <w:rPr>
          <w:spacing w:val="-2"/>
          <w:sz w:val="20"/>
        </w:rPr>
        <w:t xml:space="preserve"> </w:t>
      </w:r>
      <w:r>
        <w:rPr>
          <w:sz w:val="20"/>
        </w:rPr>
        <w:t>for</w:t>
      </w:r>
      <w:r>
        <w:rPr>
          <w:spacing w:val="-2"/>
          <w:sz w:val="20"/>
        </w:rPr>
        <w:t xml:space="preserve"> </w:t>
      </w:r>
      <w:r>
        <w:rPr>
          <w:sz w:val="20"/>
        </w:rPr>
        <w:t>patients</w:t>
      </w:r>
      <w:r>
        <w:rPr>
          <w:spacing w:val="-2"/>
          <w:sz w:val="20"/>
        </w:rPr>
        <w:t xml:space="preserve"> </w:t>
      </w:r>
      <w:r>
        <w:rPr>
          <w:color w:val="202020"/>
          <w:sz w:val="20"/>
        </w:rPr>
        <w:t>with</w:t>
      </w:r>
      <w:r>
        <w:rPr>
          <w:color w:val="202020"/>
          <w:spacing w:val="-4"/>
          <w:sz w:val="20"/>
        </w:rPr>
        <w:t xml:space="preserve"> </w:t>
      </w:r>
      <w:r>
        <w:rPr>
          <w:color w:val="202020"/>
          <w:sz w:val="20"/>
        </w:rPr>
        <w:t>inflammatory</w:t>
      </w:r>
      <w:r>
        <w:rPr>
          <w:color w:val="202020"/>
          <w:spacing w:val="-7"/>
          <w:sz w:val="20"/>
        </w:rPr>
        <w:t xml:space="preserve"> </w:t>
      </w:r>
      <w:r>
        <w:rPr>
          <w:color w:val="202020"/>
          <w:sz w:val="20"/>
        </w:rPr>
        <w:t>bowel</w:t>
      </w:r>
      <w:r>
        <w:rPr>
          <w:color w:val="202020"/>
          <w:spacing w:val="-3"/>
          <w:sz w:val="20"/>
        </w:rPr>
        <w:t xml:space="preserve"> </w:t>
      </w:r>
      <w:r>
        <w:rPr>
          <w:color w:val="202020"/>
          <w:sz w:val="20"/>
        </w:rPr>
        <w:t>disease (“IBD”),</w:t>
      </w:r>
      <w:r>
        <w:rPr>
          <w:color w:val="202020"/>
          <w:spacing w:val="-2"/>
          <w:sz w:val="20"/>
        </w:rPr>
        <w:t xml:space="preserve"> </w:t>
      </w:r>
      <w:r>
        <w:rPr>
          <w:color w:val="202020"/>
          <w:sz w:val="20"/>
        </w:rPr>
        <w:t>a</w:t>
      </w:r>
      <w:r>
        <w:rPr>
          <w:color w:val="202020"/>
          <w:spacing w:val="-3"/>
          <w:sz w:val="20"/>
        </w:rPr>
        <w:t xml:space="preserve"> </w:t>
      </w:r>
      <w:r>
        <w:rPr>
          <w:color w:val="202020"/>
          <w:sz w:val="20"/>
        </w:rPr>
        <w:t>chronic</w:t>
      </w:r>
      <w:r>
        <w:rPr>
          <w:color w:val="202020"/>
          <w:spacing w:val="-3"/>
          <w:sz w:val="20"/>
        </w:rPr>
        <w:t xml:space="preserve"> </w:t>
      </w:r>
      <w:r>
        <w:rPr>
          <w:color w:val="202020"/>
          <w:sz w:val="20"/>
        </w:rPr>
        <w:t>inflammatory</w:t>
      </w:r>
      <w:r>
        <w:rPr>
          <w:color w:val="202020"/>
          <w:spacing w:val="-6"/>
          <w:sz w:val="20"/>
        </w:rPr>
        <w:t xml:space="preserve"> </w:t>
      </w:r>
      <w:r>
        <w:rPr>
          <w:color w:val="202020"/>
          <w:sz w:val="20"/>
        </w:rPr>
        <w:t>disorder</w:t>
      </w:r>
      <w:r>
        <w:rPr>
          <w:color w:val="202020"/>
          <w:spacing w:val="-2"/>
          <w:sz w:val="20"/>
        </w:rPr>
        <w:t xml:space="preserve"> </w:t>
      </w:r>
      <w:r>
        <w:rPr>
          <w:color w:val="202020"/>
          <w:sz w:val="20"/>
        </w:rPr>
        <w:t>of</w:t>
      </w:r>
      <w:r>
        <w:rPr>
          <w:color w:val="202020"/>
          <w:spacing w:val="-5"/>
          <w:sz w:val="20"/>
        </w:rPr>
        <w:t xml:space="preserve"> </w:t>
      </w:r>
      <w:r>
        <w:rPr>
          <w:color w:val="202020"/>
          <w:sz w:val="20"/>
        </w:rPr>
        <w:t>the</w:t>
      </w:r>
      <w:r>
        <w:rPr>
          <w:color w:val="202020"/>
          <w:spacing w:val="-47"/>
          <w:sz w:val="20"/>
        </w:rPr>
        <w:t xml:space="preserve"> </w:t>
      </w:r>
      <w:r>
        <w:rPr>
          <w:color w:val="202020"/>
          <w:sz w:val="20"/>
        </w:rPr>
        <w:t>digestive</w:t>
      </w:r>
      <w:r>
        <w:rPr>
          <w:color w:val="202020"/>
          <w:spacing w:val="-1"/>
          <w:sz w:val="20"/>
        </w:rPr>
        <w:t xml:space="preserve"> </w:t>
      </w:r>
      <w:r>
        <w:rPr>
          <w:color w:val="202020"/>
          <w:sz w:val="20"/>
        </w:rPr>
        <w:t>tract, depression</w:t>
      </w:r>
      <w:r>
        <w:rPr>
          <w:color w:val="202020"/>
          <w:spacing w:val="-2"/>
          <w:sz w:val="20"/>
        </w:rPr>
        <w:t xml:space="preserve"> </w:t>
      </w:r>
      <w:r>
        <w:rPr>
          <w:color w:val="202020"/>
          <w:sz w:val="20"/>
        </w:rPr>
        <w:t>rates</w:t>
      </w:r>
      <w:r>
        <w:rPr>
          <w:color w:val="202020"/>
          <w:spacing w:val="-2"/>
          <w:sz w:val="20"/>
        </w:rPr>
        <w:t xml:space="preserve"> </w:t>
      </w:r>
      <w:r>
        <w:rPr>
          <w:color w:val="202020"/>
          <w:sz w:val="20"/>
        </w:rPr>
        <w:t>as</w:t>
      </w:r>
      <w:r>
        <w:rPr>
          <w:color w:val="202020"/>
          <w:spacing w:val="-1"/>
          <w:sz w:val="20"/>
        </w:rPr>
        <w:t xml:space="preserve"> </w:t>
      </w:r>
      <w:r>
        <w:rPr>
          <w:color w:val="202020"/>
          <w:sz w:val="20"/>
        </w:rPr>
        <w:t>high</w:t>
      </w:r>
      <w:r>
        <w:rPr>
          <w:color w:val="202020"/>
          <w:spacing w:val="-2"/>
          <w:sz w:val="20"/>
        </w:rPr>
        <w:t xml:space="preserve"> </w:t>
      </w:r>
      <w:r>
        <w:rPr>
          <w:color w:val="202020"/>
          <w:sz w:val="20"/>
        </w:rPr>
        <w:t>as</w:t>
      </w:r>
      <w:r>
        <w:rPr>
          <w:color w:val="202020"/>
          <w:spacing w:val="-2"/>
          <w:sz w:val="20"/>
        </w:rPr>
        <w:t xml:space="preserve"> </w:t>
      </w:r>
      <w:r>
        <w:rPr>
          <w:color w:val="202020"/>
          <w:sz w:val="20"/>
        </w:rPr>
        <w:t>25%</w:t>
      </w:r>
      <w:r>
        <w:rPr>
          <w:color w:val="202020"/>
          <w:spacing w:val="-1"/>
          <w:sz w:val="20"/>
        </w:rPr>
        <w:t xml:space="preserve"> </w:t>
      </w:r>
      <w:r>
        <w:rPr>
          <w:color w:val="202020"/>
          <w:sz w:val="20"/>
        </w:rPr>
        <w:t>have been</w:t>
      </w:r>
      <w:r>
        <w:rPr>
          <w:color w:val="202020"/>
          <w:spacing w:val="-2"/>
          <w:sz w:val="20"/>
        </w:rPr>
        <w:t xml:space="preserve"> </w:t>
      </w:r>
      <w:r>
        <w:rPr>
          <w:color w:val="202020"/>
          <w:sz w:val="20"/>
        </w:rPr>
        <w:t>reported in</w:t>
      </w:r>
      <w:r>
        <w:rPr>
          <w:color w:val="202020"/>
          <w:spacing w:val="-2"/>
          <w:sz w:val="20"/>
        </w:rPr>
        <w:t xml:space="preserve"> </w:t>
      </w:r>
      <w:r>
        <w:rPr>
          <w:color w:val="202020"/>
          <w:sz w:val="20"/>
        </w:rPr>
        <w:t>adolescent patients.</w:t>
      </w:r>
    </w:p>
    <w:p w:rsidR="00D862F2" w:rsidRDefault="00D862F2">
      <w:pPr>
        <w:rPr>
          <w:sz w:val="20"/>
        </w:rPr>
        <w:sectPr w:rsidR="00D862F2">
          <w:pgSz w:w="12240" w:h="15840"/>
          <w:pgMar w:top="1340" w:right="1160" w:bottom="980" w:left="1220" w:header="722" w:footer="794" w:gutter="0"/>
          <w:cols w:space="720"/>
        </w:sectPr>
      </w:pPr>
    </w:p>
    <w:p w:rsidR="00D862F2" w:rsidRDefault="00884FE4">
      <w:pPr>
        <w:pStyle w:val="BodyText"/>
        <w:spacing w:before="88"/>
        <w:ind w:left="220" w:right="273"/>
        <w:jc w:val="both"/>
      </w:pPr>
      <w:r>
        <w:lastRenderedPageBreak/>
        <w:t xml:space="preserve">Pediatric surgical care is different from adult care in meaningful ways, </w:t>
      </w:r>
      <w:r>
        <w:rPr>
          <w:i/>
        </w:rPr>
        <w:t xml:space="preserve">i.e. </w:t>
      </w:r>
      <w:r>
        <w:t>differences in body</w:t>
      </w:r>
      <w:r>
        <w:rPr>
          <w:spacing w:val="1"/>
        </w:rPr>
        <w:t xml:space="preserve"> </w:t>
      </w:r>
      <w:r>
        <w:t>size and shape, mental and behavioral abilities, and dependence on family and caregivers. This is</w:t>
      </w:r>
      <w:r>
        <w:rPr>
          <w:spacing w:val="-57"/>
        </w:rPr>
        <w:t xml:space="preserve"> </w:t>
      </w:r>
      <w:r>
        <w:t>particularly true with respect to pediatric anesthesia. For example, the Hospital is a pioneer in</w:t>
      </w:r>
      <w:r>
        <w:rPr>
          <w:spacing w:val="1"/>
        </w:rPr>
        <w:t xml:space="preserve"> </w:t>
      </w:r>
      <w:r>
        <w:t>pediatric regional anesthesia—</w:t>
      </w:r>
      <w:r>
        <w:rPr>
          <w:i/>
        </w:rPr>
        <w:t>i.e.</w:t>
      </w:r>
      <w:r>
        <w:t>, selective “blocking” or numbing of extremities, whole body</w:t>
      </w:r>
      <w:r>
        <w:rPr>
          <w:spacing w:val="1"/>
        </w:rPr>
        <w:t xml:space="preserve"> </w:t>
      </w:r>
      <w:r>
        <w:t>parts or body zones—that allows surgery to proceed without a general anesthetic, reduces opiate</w:t>
      </w:r>
      <w:r>
        <w:rPr>
          <w:spacing w:val="1"/>
        </w:rPr>
        <w:t xml:space="preserve"> </w:t>
      </w:r>
      <w:r>
        <w:t>exposure, and increases surgical efficiency. In cases when general anesthesia is necessary, care is</w:t>
      </w:r>
      <w:r>
        <w:rPr>
          <w:spacing w:val="-57"/>
        </w:rPr>
        <w:t xml:space="preserve"> </w:t>
      </w:r>
      <w:r>
        <w:t>delivered by specifically trained pediatric anesthesiologists. In addition, the Hospital’s pediatric</w:t>
      </w:r>
      <w:r>
        <w:rPr>
          <w:spacing w:val="1"/>
        </w:rPr>
        <w:t xml:space="preserve"> </w:t>
      </w:r>
      <w:r>
        <w:t>specialists utilize pain management techniques such as sending patients home with indwelling</w:t>
      </w:r>
      <w:r>
        <w:rPr>
          <w:spacing w:val="1"/>
        </w:rPr>
        <w:t xml:space="preserve"> </w:t>
      </w:r>
      <w:r>
        <w:t>regional catheters that continually infuse local anesthetic drugs, converting two- to three-day</w:t>
      </w:r>
      <w:r>
        <w:rPr>
          <w:spacing w:val="1"/>
        </w:rPr>
        <w:t xml:space="preserve"> </w:t>
      </w:r>
      <w:r>
        <w:t>inpatient stays into day surgeries that can be performed in the community. Continued innovation</w:t>
      </w:r>
      <w:r>
        <w:rPr>
          <w:spacing w:val="1"/>
        </w:rPr>
        <w:t xml:space="preserve"> </w:t>
      </w:r>
      <w:r>
        <w:t>is</w:t>
      </w:r>
      <w:r>
        <w:rPr>
          <w:spacing w:val="-1"/>
        </w:rPr>
        <w:t xml:space="preserve"> </w:t>
      </w:r>
      <w:r>
        <w:t>expected to allow</w:t>
      </w:r>
      <w:r>
        <w:rPr>
          <w:spacing w:val="-1"/>
        </w:rPr>
        <w:t xml:space="preserve"> </w:t>
      </w:r>
      <w:r>
        <w:t>more</w:t>
      </w:r>
      <w:r>
        <w:rPr>
          <w:spacing w:val="-1"/>
        </w:rPr>
        <w:t xml:space="preserve"> </w:t>
      </w:r>
      <w:r>
        <w:t>surgical cases</w:t>
      </w:r>
      <w:r>
        <w:rPr>
          <w:spacing w:val="-1"/>
        </w:rPr>
        <w:t xml:space="preserve"> </w:t>
      </w:r>
      <w:r>
        <w:t>to be</w:t>
      </w:r>
      <w:r>
        <w:rPr>
          <w:spacing w:val="-1"/>
        </w:rPr>
        <w:t xml:space="preserve"> </w:t>
      </w:r>
      <w:r>
        <w:t>handled as day</w:t>
      </w:r>
      <w:r>
        <w:rPr>
          <w:spacing w:val="-5"/>
        </w:rPr>
        <w:t xml:space="preserve"> </w:t>
      </w:r>
      <w:r>
        <w:t>surgeries.</w:t>
      </w:r>
    </w:p>
    <w:p w:rsidR="00D862F2" w:rsidRDefault="00D862F2">
      <w:pPr>
        <w:pStyle w:val="BodyText"/>
      </w:pPr>
    </w:p>
    <w:p w:rsidR="00D862F2" w:rsidRDefault="00884FE4">
      <w:pPr>
        <w:pStyle w:val="BodyText"/>
        <w:ind w:left="220"/>
        <w:jc w:val="both"/>
      </w:pPr>
      <w:r>
        <w:rPr>
          <w:u w:val="single"/>
        </w:rPr>
        <w:t>Imaging</w:t>
      </w:r>
      <w:r>
        <w:rPr>
          <w:spacing w:val="-6"/>
          <w:u w:val="single"/>
        </w:rPr>
        <w:t xml:space="preserve"> </w:t>
      </w:r>
      <w:r>
        <w:rPr>
          <w:u w:val="single"/>
        </w:rPr>
        <w:t>Services</w:t>
      </w:r>
    </w:p>
    <w:p w:rsidR="00D862F2" w:rsidRDefault="00D862F2">
      <w:pPr>
        <w:pStyle w:val="BodyText"/>
        <w:spacing w:before="2"/>
        <w:rPr>
          <w:sz w:val="16"/>
        </w:rPr>
      </w:pPr>
    </w:p>
    <w:p w:rsidR="00D862F2" w:rsidRDefault="00884FE4">
      <w:pPr>
        <w:pStyle w:val="BodyText"/>
        <w:spacing w:before="90"/>
        <w:ind w:left="219" w:right="275"/>
        <w:jc w:val="both"/>
      </w:pPr>
      <w:r>
        <w:t>Pediatric-focused</w:t>
      </w:r>
      <w:r>
        <w:rPr>
          <w:spacing w:val="1"/>
        </w:rPr>
        <w:t xml:space="preserve"> </w:t>
      </w:r>
      <w:r>
        <w:t>MRI</w:t>
      </w:r>
      <w:r>
        <w:rPr>
          <w:spacing w:val="1"/>
        </w:rPr>
        <w:t xml:space="preserve"> </w:t>
      </w:r>
      <w:r>
        <w:t>has</w:t>
      </w:r>
      <w:r>
        <w:rPr>
          <w:spacing w:val="1"/>
        </w:rPr>
        <w:t xml:space="preserve"> </w:t>
      </w:r>
      <w:r>
        <w:t>become</w:t>
      </w:r>
      <w:r>
        <w:rPr>
          <w:spacing w:val="1"/>
        </w:rPr>
        <w:t xml:space="preserve"> </w:t>
      </w:r>
      <w:r>
        <w:t>a</w:t>
      </w:r>
      <w:r>
        <w:rPr>
          <w:spacing w:val="1"/>
        </w:rPr>
        <w:t xml:space="preserve"> </w:t>
      </w:r>
      <w:r>
        <w:t>central</w:t>
      </w:r>
      <w:r>
        <w:rPr>
          <w:spacing w:val="1"/>
        </w:rPr>
        <w:t xml:space="preserve"> </w:t>
      </w:r>
      <w:r>
        <w:t>tool</w:t>
      </w:r>
      <w:r>
        <w:rPr>
          <w:spacing w:val="1"/>
        </w:rPr>
        <w:t xml:space="preserve"> </w:t>
      </w:r>
      <w:r>
        <w:t>in</w:t>
      </w:r>
      <w:r>
        <w:rPr>
          <w:spacing w:val="1"/>
        </w:rPr>
        <w:t xml:space="preserve"> </w:t>
      </w:r>
      <w:r>
        <w:t>diagnosis,</w:t>
      </w:r>
      <w:r>
        <w:rPr>
          <w:spacing w:val="1"/>
        </w:rPr>
        <w:t xml:space="preserve"> </w:t>
      </w:r>
      <w:r>
        <w:t>surgical</w:t>
      </w:r>
      <w:r>
        <w:rPr>
          <w:spacing w:val="1"/>
        </w:rPr>
        <w:t xml:space="preserve"> </w:t>
      </w:r>
      <w:r>
        <w:t>management,</w:t>
      </w:r>
      <w:r>
        <w:rPr>
          <w:spacing w:val="1"/>
        </w:rPr>
        <w:t xml:space="preserve"> </w:t>
      </w:r>
      <w:r>
        <w:t>and</w:t>
      </w:r>
      <w:r>
        <w:rPr>
          <w:spacing w:val="1"/>
        </w:rPr>
        <w:t xml:space="preserve"> </w:t>
      </w:r>
      <w:r>
        <w:t>treatment efficacy assessment for a large number of conditions across much of the pediatric</w:t>
      </w:r>
      <w:r>
        <w:rPr>
          <w:spacing w:val="1"/>
        </w:rPr>
        <w:t xml:space="preserve"> </w:t>
      </w:r>
      <w:r>
        <w:t>disease spectrum. Over the last several years, the Applicant has made a concerted effort to</w:t>
      </w:r>
      <w:r>
        <w:rPr>
          <w:spacing w:val="1"/>
        </w:rPr>
        <w:t xml:space="preserve"> </w:t>
      </w:r>
      <w:r>
        <w:t>transition pediatric scanning away from modalities that use ionizing radiation (</w:t>
      </w:r>
      <w:r>
        <w:rPr>
          <w:i/>
        </w:rPr>
        <w:t xml:space="preserve">e.g. </w:t>
      </w:r>
      <w:r>
        <w:t>computerized</w:t>
      </w:r>
      <w:r>
        <w:rPr>
          <w:spacing w:val="1"/>
        </w:rPr>
        <w:t xml:space="preserve"> </w:t>
      </w:r>
      <w:r>
        <w:t>tomography</w:t>
      </w:r>
      <w:r>
        <w:rPr>
          <w:spacing w:val="1"/>
        </w:rPr>
        <w:t xml:space="preserve"> </w:t>
      </w:r>
      <w:r>
        <w:t>(“CT”)</w:t>
      </w:r>
      <w:r>
        <w:rPr>
          <w:spacing w:val="1"/>
        </w:rPr>
        <w:t xml:space="preserve"> </w:t>
      </w:r>
      <w:r>
        <w:t>scans)</w:t>
      </w:r>
      <w:r>
        <w:rPr>
          <w:spacing w:val="1"/>
        </w:rPr>
        <w:t xml:space="preserve"> </w:t>
      </w:r>
      <w:r>
        <w:t>towards</w:t>
      </w:r>
      <w:r>
        <w:rPr>
          <w:spacing w:val="1"/>
        </w:rPr>
        <w:t xml:space="preserve"> </w:t>
      </w:r>
      <w:r>
        <w:t>those</w:t>
      </w:r>
      <w:r>
        <w:rPr>
          <w:spacing w:val="1"/>
        </w:rPr>
        <w:t xml:space="preserve"> </w:t>
      </w:r>
      <w:r>
        <w:t>that</w:t>
      </w:r>
      <w:r>
        <w:rPr>
          <w:spacing w:val="1"/>
        </w:rPr>
        <w:t xml:space="preserve"> </w:t>
      </w:r>
      <w:r>
        <w:t>do</w:t>
      </w:r>
      <w:r>
        <w:rPr>
          <w:spacing w:val="1"/>
        </w:rPr>
        <w:t xml:space="preserve"> </w:t>
      </w:r>
      <w:r>
        <w:t>not</w:t>
      </w:r>
      <w:r>
        <w:rPr>
          <w:spacing w:val="1"/>
        </w:rPr>
        <w:t xml:space="preserve"> </w:t>
      </w:r>
      <w:r>
        <w:t>(</w:t>
      </w:r>
      <w:r>
        <w:rPr>
          <w:i/>
        </w:rPr>
        <w:t>e.g.</w:t>
      </w:r>
      <w:r>
        <w:rPr>
          <w:i/>
          <w:spacing w:val="1"/>
        </w:rPr>
        <w:t xml:space="preserve"> </w:t>
      </w:r>
      <w:r>
        <w:t>MRIs).</w:t>
      </w:r>
      <w:r>
        <w:rPr>
          <w:spacing w:val="1"/>
        </w:rPr>
        <w:t xml:space="preserve"> </w:t>
      </w:r>
      <w:r>
        <w:t>For</w:t>
      </w:r>
      <w:r>
        <w:rPr>
          <w:spacing w:val="1"/>
        </w:rPr>
        <w:t xml:space="preserve"> </w:t>
      </w:r>
      <w:r>
        <w:t>example,</w:t>
      </w:r>
      <w:r>
        <w:rPr>
          <w:spacing w:val="1"/>
        </w:rPr>
        <w:t xml:space="preserve"> </w:t>
      </w:r>
      <w:r>
        <w:t>clinical</w:t>
      </w:r>
      <w:r>
        <w:rPr>
          <w:spacing w:val="1"/>
        </w:rPr>
        <w:t xml:space="preserve"> </w:t>
      </w:r>
      <w:r>
        <w:t>indications</w:t>
      </w:r>
      <w:r>
        <w:rPr>
          <w:spacing w:val="1"/>
        </w:rPr>
        <w:t xml:space="preserve"> </w:t>
      </w:r>
      <w:r>
        <w:t>that</w:t>
      </w:r>
      <w:r>
        <w:rPr>
          <w:spacing w:val="1"/>
        </w:rPr>
        <w:t xml:space="preserve"> </w:t>
      </w:r>
      <w:r>
        <w:t>have</w:t>
      </w:r>
      <w:r>
        <w:rPr>
          <w:spacing w:val="1"/>
        </w:rPr>
        <w:t xml:space="preserve"> </w:t>
      </w:r>
      <w:r>
        <w:t>shifted</w:t>
      </w:r>
      <w:r>
        <w:rPr>
          <w:spacing w:val="1"/>
        </w:rPr>
        <w:t xml:space="preserve"> </w:t>
      </w:r>
      <w:r>
        <w:t>towards</w:t>
      </w:r>
      <w:r>
        <w:rPr>
          <w:spacing w:val="1"/>
        </w:rPr>
        <w:t xml:space="preserve"> </w:t>
      </w:r>
      <w:r>
        <w:t>MRI</w:t>
      </w:r>
      <w:r>
        <w:rPr>
          <w:spacing w:val="1"/>
        </w:rPr>
        <w:t xml:space="preserve"> </w:t>
      </w:r>
      <w:r>
        <w:t>include</w:t>
      </w:r>
      <w:r>
        <w:rPr>
          <w:spacing w:val="1"/>
        </w:rPr>
        <w:t xml:space="preserve"> </w:t>
      </w:r>
      <w:r>
        <w:t>imaging</w:t>
      </w:r>
      <w:r>
        <w:rPr>
          <w:spacing w:val="1"/>
        </w:rPr>
        <w:t xml:space="preserve"> </w:t>
      </w:r>
      <w:r>
        <w:t>of</w:t>
      </w:r>
      <w:r>
        <w:rPr>
          <w:spacing w:val="1"/>
        </w:rPr>
        <w:t xml:space="preserve"> </w:t>
      </w:r>
      <w:r>
        <w:t>children</w:t>
      </w:r>
      <w:r>
        <w:rPr>
          <w:spacing w:val="1"/>
        </w:rPr>
        <w:t xml:space="preserve"> </w:t>
      </w:r>
      <w:r>
        <w:t>with</w:t>
      </w:r>
      <w:r>
        <w:rPr>
          <w:spacing w:val="1"/>
        </w:rPr>
        <w:t xml:space="preserve"> </w:t>
      </w:r>
      <w:r>
        <w:t>new</w:t>
      </w:r>
      <w:r>
        <w:rPr>
          <w:spacing w:val="1"/>
        </w:rPr>
        <w:t xml:space="preserve"> </w:t>
      </w:r>
      <w:r>
        <w:t>onset</w:t>
      </w:r>
      <w:r>
        <w:rPr>
          <w:spacing w:val="60"/>
        </w:rPr>
        <w:t xml:space="preserve"> </w:t>
      </w:r>
      <w:r>
        <w:t>of</w:t>
      </w:r>
      <w:r>
        <w:rPr>
          <w:spacing w:val="1"/>
        </w:rPr>
        <w:t xml:space="preserve"> </w:t>
      </w:r>
      <w:r>
        <w:t>seizures, newborns in need of neuroimaging, imaging of children with IBD, and imaging of</w:t>
      </w:r>
      <w:r>
        <w:rPr>
          <w:spacing w:val="1"/>
        </w:rPr>
        <w:t xml:space="preserve"> </w:t>
      </w:r>
      <w:r>
        <w:t>children with appendicitis. For children in particular, this shift reduces their lifetime dose of</w:t>
      </w:r>
      <w:r>
        <w:rPr>
          <w:spacing w:val="1"/>
        </w:rPr>
        <w:t xml:space="preserve"> </w:t>
      </w:r>
      <w:r>
        <w:t>ionizing radiation. Further, the Proposed Project will add two 3T MRI units, which allow for</w:t>
      </w:r>
      <w:r>
        <w:rPr>
          <w:spacing w:val="1"/>
        </w:rPr>
        <w:t xml:space="preserve"> </w:t>
      </w:r>
      <w:r>
        <w:t>faster</w:t>
      </w:r>
      <w:r>
        <w:rPr>
          <w:spacing w:val="-2"/>
        </w:rPr>
        <w:t xml:space="preserve"> </w:t>
      </w:r>
      <w:r>
        <w:t>scans</w:t>
      </w:r>
      <w:r>
        <w:rPr>
          <w:spacing w:val="-1"/>
        </w:rPr>
        <w:t xml:space="preserve"> </w:t>
      </w:r>
      <w:r>
        <w:t>and higher</w:t>
      </w:r>
      <w:r>
        <w:rPr>
          <w:spacing w:val="-2"/>
        </w:rPr>
        <w:t xml:space="preserve"> </w:t>
      </w:r>
      <w:r>
        <w:t>image</w:t>
      </w:r>
      <w:r>
        <w:rPr>
          <w:spacing w:val="-2"/>
        </w:rPr>
        <w:t xml:space="preserve"> </w:t>
      </w:r>
      <w:r>
        <w:t>resolution than</w:t>
      </w:r>
      <w:r>
        <w:rPr>
          <w:spacing w:val="-1"/>
        </w:rPr>
        <w:t xml:space="preserve"> </w:t>
      </w:r>
      <w:r>
        <w:t>more</w:t>
      </w:r>
      <w:r>
        <w:rPr>
          <w:spacing w:val="-2"/>
        </w:rPr>
        <w:t xml:space="preserve"> </w:t>
      </w:r>
      <w:r>
        <w:t>commonly</w:t>
      </w:r>
      <w:r>
        <w:rPr>
          <w:spacing w:val="-5"/>
        </w:rPr>
        <w:t xml:space="preserve"> </w:t>
      </w:r>
      <w:r>
        <w:t>used</w:t>
      </w:r>
      <w:r>
        <w:rPr>
          <w:spacing w:val="-1"/>
        </w:rPr>
        <w:t xml:space="preserve"> </w:t>
      </w:r>
      <w:r>
        <w:t>machines</w:t>
      </w:r>
      <w:r>
        <w:rPr>
          <w:spacing w:val="-1"/>
        </w:rPr>
        <w:t xml:space="preserve"> </w:t>
      </w:r>
      <w:r>
        <w:t>in the</w:t>
      </w:r>
      <w:r>
        <w:rPr>
          <w:spacing w:val="-2"/>
        </w:rPr>
        <w:t xml:space="preserve"> </w:t>
      </w:r>
      <w:r>
        <w:t>community.</w:t>
      </w:r>
    </w:p>
    <w:p w:rsidR="00D862F2" w:rsidRDefault="00D862F2">
      <w:pPr>
        <w:pStyle w:val="BodyText"/>
      </w:pPr>
    </w:p>
    <w:p w:rsidR="00D862F2" w:rsidRDefault="00884FE4">
      <w:pPr>
        <w:pStyle w:val="BodyText"/>
        <w:ind w:left="219" w:right="274"/>
        <w:jc w:val="both"/>
      </w:pPr>
      <w:r>
        <w:t>The MRI needs of pediatric patients are unique: MRI coils designed to fit smaller bodies and</w:t>
      </w:r>
      <w:r>
        <w:rPr>
          <w:spacing w:val="1"/>
        </w:rPr>
        <w:t xml:space="preserve"> </w:t>
      </w:r>
      <w:r>
        <w:t>bodies of different body shapes and locations across a range of patients from infants to adult-</w:t>
      </w:r>
      <w:r>
        <w:rPr>
          <w:spacing w:val="1"/>
        </w:rPr>
        <w:t xml:space="preserve"> </w:t>
      </w:r>
      <w:r>
        <w:t>sized adolescents; customized motion-correction software that compensates for pediatric patients</w:t>
      </w:r>
      <w:r>
        <w:rPr>
          <w:spacing w:val="-57"/>
        </w:rPr>
        <w:t xml:space="preserve"> </w:t>
      </w:r>
      <w:r>
        <w:t>unable to stay still; availability of behavioral health staff able to manage the needs of children</w:t>
      </w:r>
      <w:r>
        <w:rPr>
          <w:spacing w:val="1"/>
        </w:rPr>
        <w:t xml:space="preserve"> </w:t>
      </w:r>
      <w:r>
        <w:t>with behavioral health challenges. Through this specialized equipment and pediatric tailored</w:t>
      </w:r>
      <w:r>
        <w:rPr>
          <w:spacing w:val="1"/>
        </w:rPr>
        <w:t xml:space="preserve"> </w:t>
      </w:r>
      <w:r>
        <w:t>protocols, the Hospital can reduce the need for anesthesia and avoid the need for repeat studies.</w:t>
      </w:r>
      <w:r>
        <w:rPr>
          <w:spacing w:val="1"/>
        </w:rPr>
        <w:t xml:space="preserve"> </w:t>
      </w:r>
      <w:r>
        <w:t>For example, in an internal review of repeat imaging studies, the Hospital found that 84% of</w:t>
      </w:r>
      <w:r>
        <w:rPr>
          <w:spacing w:val="1"/>
        </w:rPr>
        <w:t xml:space="preserve"> </w:t>
      </w:r>
      <w:r>
        <w:t>pediatric patients who received an MRI for epilepsy in the community needed to have a repeat</w:t>
      </w:r>
      <w:r>
        <w:rPr>
          <w:spacing w:val="1"/>
        </w:rPr>
        <w:t xml:space="preserve"> </w:t>
      </w:r>
      <w:r>
        <w:t>MRI prior</w:t>
      </w:r>
      <w:r>
        <w:rPr>
          <w:spacing w:val="1"/>
        </w:rPr>
        <w:t xml:space="preserve"> </w:t>
      </w:r>
      <w:r>
        <w:t>to</w:t>
      </w:r>
      <w:r>
        <w:rPr>
          <w:spacing w:val="1"/>
        </w:rPr>
        <w:t xml:space="preserve"> </w:t>
      </w:r>
      <w:r>
        <w:t>assessment</w:t>
      </w:r>
      <w:r>
        <w:rPr>
          <w:spacing w:val="1"/>
        </w:rPr>
        <w:t xml:space="preserve"> </w:t>
      </w:r>
      <w:r>
        <w:t>and</w:t>
      </w:r>
      <w:r>
        <w:rPr>
          <w:spacing w:val="1"/>
        </w:rPr>
        <w:t xml:space="preserve"> </w:t>
      </w:r>
      <w:r>
        <w:t>treatment</w:t>
      </w:r>
      <w:r>
        <w:rPr>
          <w:spacing w:val="1"/>
        </w:rPr>
        <w:t xml:space="preserve"> </w:t>
      </w:r>
      <w:r>
        <w:t>at</w:t>
      </w:r>
      <w:r>
        <w:rPr>
          <w:spacing w:val="1"/>
        </w:rPr>
        <w:t xml:space="preserve"> </w:t>
      </w:r>
      <w:r>
        <w:t>the</w:t>
      </w:r>
      <w:r>
        <w:rPr>
          <w:spacing w:val="1"/>
        </w:rPr>
        <w:t xml:space="preserve"> </w:t>
      </w:r>
      <w:r>
        <w:t>Hospital</w:t>
      </w:r>
      <w:r>
        <w:rPr>
          <w:spacing w:val="1"/>
        </w:rPr>
        <w:t xml:space="preserve"> </w:t>
      </w:r>
      <w:r>
        <w:t>due</w:t>
      </w:r>
      <w:r>
        <w:rPr>
          <w:spacing w:val="1"/>
        </w:rPr>
        <w:t xml:space="preserve"> </w:t>
      </w:r>
      <w:r>
        <w:t>to</w:t>
      </w:r>
      <w:r>
        <w:rPr>
          <w:spacing w:val="1"/>
        </w:rPr>
        <w:t xml:space="preserve"> </w:t>
      </w:r>
      <w:r>
        <w:t>the</w:t>
      </w:r>
      <w:r>
        <w:rPr>
          <w:spacing w:val="1"/>
        </w:rPr>
        <w:t xml:space="preserve"> </w:t>
      </w:r>
      <w:r>
        <w:t>outside</w:t>
      </w:r>
      <w:r>
        <w:rPr>
          <w:spacing w:val="1"/>
        </w:rPr>
        <w:t xml:space="preserve"> </w:t>
      </w:r>
      <w:r>
        <w:t>exam</w:t>
      </w:r>
      <w:r>
        <w:rPr>
          <w:spacing w:val="1"/>
        </w:rPr>
        <w:t xml:space="preserve"> </w:t>
      </w:r>
      <w:r>
        <w:t>providing</w:t>
      </w:r>
      <w:r>
        <w:rPr>
          <w:spacing w:val="1"/>
        </w:rPr>
        <w:t xml:space="preserve"> </w:t>
      </w:r>
      <w:r>
        <w:t>insufficient detail to assess for a potentially surgically treatable lesion. Given the significant</w:t>
      </w:r>
      <w:r>
        <w:rPr>
          <w:spacing w:val="1"/>
        </w:rPr>
        <w:t xml:space="preserve"> </w:t>
      </w:r>
      <w:r>
        <w:t>variation</w:t>
      </w:r>
      <w:r>
        <w:rPr>
          <w:spacing w:val="1"/>
        </w:rPr>
        <w:t xml:space="preserve"> </w:t>
      </w:r>
      <w:r>
        <w:t>in</w:t>
      </w:r>
      <w:r>
        <w:rPr>
          <w:spacing w:val="1"/>
        </w:rPr>
        <w:t xml:space="preserve"> </w:t>
      </w:r>
      <w:r>
        <w:t>conditions,</w:t>
      </w:r>
      <w:r>
        <w:rPr>
          <w:spacing w:val="1"/>
        </w:rPr>
        <w:t xml:space="preserve"> </w:t>
      </w:r>
      <w:r>
        <w:t>including</w:t>
      </w:r>
      <w:r>
        <w:rPr>
          <w:spacing w:val="1"/>
        </w:rPr>
        <w:t xml:space="preserve"> </w:t>
      </w:r>
      <w:r>
        <w:t>congenital</w:t>
      </w:r>
      <w:r>
        <w:rPr>
          <w:spacing w:val="1"/>
        </w:rPr>
        <w:t xml:space="preserve"> </w:t>
      </w:r>
      <w:r>
        <w:t>conditions,</w:t>
      </w:r>
      <w:r>
        <w:rPr>
          <w:spacing w:val="1"/>
        </w:rPr>
        <w:t xml:space="preserve"> </w:t>
      </w:r>
      <w:r>
        <w:t>present</w:t>
      </w:r>
      <w:r>
        <w:rPr>
          <w:spacing w:val="1"/>
        </w:rPr>
        <w:t xml:space="preserve"> </w:t>
      </w:r>
      <w:r>
        <w:t>for</w:t>
      </w:r>
      <w:r>
        <w:rPr>
          <w:spacing w:val="1"/>
        </w:rPr>
        <w:t xml:space="preserve"> </w:t>
      </w:r>
      <w:r>
        <w:t>pediatric</w:t>
      </w:r>
      <w:r>
        <w:rPr>
          <w:spacing w:val="1"/>
        </w:rPr>
        <w:t xml:space="preserve"> </w:t>
      </w:r>
      <w:r>
        <w:t>patients</w:t>
      </w:r>
      <w:r>
        <w:rPr>
          <w:spacing w:val="1"/>
        </w:rPr>
        <w:t xml:space="preserve"> </w:t>
      </w:r>
      <w:r>
        <w:t>as</w:t>
      </w:r>
      <w:r>
        <w:rPr>
          <w:spacing w:val="1"/>
        </w:rPr>
        <w:t xml:space="preserve"> </w:t>
      </w:r>
      <w:r>
        <w:t>compared to adult patients, and the unique challenges to interpreting MRI scans for pediatric</w:t>
      </w:r>
      <w:r>
        <w:rPr>
          <w:spacing w:val="1"/>
        </w:rPr>
        <w:t xml:space="preserve"> </w:t>
      </w:r>
      <w:r>
        <w:t>patients,</w:t>
      </w:r>
      <w:r>
        <w:rPr>
          <w:spacing w:val="-1"/>
        </w:rPr>
        <w:t xml:space="preserve"> </w:t>
      </w:r>
      <w:r>
        <w:t>higher</w:t>
      </w:r>
      <w:r>
        <w:rPr>
          <w:spacing w:val="-1"/>
        </w:rPr>
        <w:t xml:space="preserve"> </w:t>
      </w:r>
      <w:r>
        <w:t>resolution</w:t>
      </w:r>
      <w:r>
        <w:rPr>
          <w:spacing w:val="-1"/>
        </w:rPr>
        <w:t xml:space="preserve"> </w:t>
      </w:r>
      <w:r>
        <w:t>imaging</w:t>
      </w:r>
      <w:r>
        <w:rPr>
          <w:spacing w:val="-3"/>
        </w:rPr>
        <w:t xml:space="preserve"> </w:t>
      </w:r>
      <w:r>
        <w:t>and specialized</w:t>
      </w:r>
      <w:r>
        <w:rPr>
          <w:spacing w:val="-1"/>
        </w:rPr>
        <w:t xml:space="preserve"> </w:t>
      </w:r>
      <w:r>
        <w:t>radiology</w:t>
      </w:r>
      <w:r>
        <w:rPr>
          <w:spacing w:val="-5"/>
        </w:rPr>
        <w:t xml:space="preserve"> </w:t>
      </w:r>
      <w:r>
        <w:t>training</w:t>
      </w:r>
      <w:r>
        <w:rPr>
          <w:spacing w:val="-1"/>
        </w:rPr>
        <w:t xml:space="preserve"> </w:t>
      </w:r>
      <w:r>
        <w:t>are</w:t>
      </w:r>
      <w:r>
        <w:rPr>
          <w:spacing w:val="-1"/>
        </w:rPr>
        <w:t xml:space="preserve"> </w:t>
      </w:r>
      <w:r>
        <w:t>necessary.</w:t>
      </w:r>
    </w:p>
    <w:p w:rsidR="00D862F2" w:rsidRDefault="00D862F2">
      <w:pPr>
        <w:pStyle w:val="BodyText"/>
      </w:pPr>
    </w:p>
    <w:p w:rsidR="00D862F2" w:rsidRDefault="00884FE4">
      <w:pPr>
        <w:pStyle w:val="BodyText"/>
        <w:spacing w:before="1"/>
        <w:ind w:left="219" w:right="273"/>
        <w:jc w:val="both"/>
      </w:pPr>
      <w:r>
        <w:t>There are limited dedicated pediatric MRI options in the community outside of those at existing</w:t>
      </w:r>
      <w:r>
        <w:rPr>
          <w:spacing w:val="1"/>
        </w:rPr>
        <w:t xml:space="preserve"> </w:t>
      </w:r>
      <w:r>
        <w:t>Hospital</w:t>
      </w:r>
      <w:r>
        <w:rPr>
          <w:spacing w:val="1"/>
        </w:rPr>
        <w:t xml:space="preserve"> </w:t>
      </w:r>
      <w:r>
        <w:t>satellite</w:t>
      </w:r>
      <w:r>
        <w:rPr>
          <w:spacing w:val="1"/>
        </w:rPr>
        <w:t xml:space="preserve"> </w:t>
      </w:r>
      <w:r>
        <w:t>locations,</w:t>
      </w:r>
      <w:r>
        <w:rPr>
          <w:spacing w:val="1"/>
        </w:rPr>
        <w:t xml:space="preserve"> </w:t>
      </w:r>
      <w:r>
        <w:t>and</w:t>
      </w:r>
      <w:r>
        <w:rPr>
          <w:spacing w:val="1"/>
        </w:rPr>
        <w:t xml:space="preserve"> </w:t>
      </w:r>
      <w:r>
        <w:t>the</w:t>
      </w:r>
      <w:r>
        <w:rPr>
          <w:spacing w:val="1"/>
        </w:rPr>
        <w:t xml:space="preserve"> </w:t>
      </w:r>
      <w:r>
        <w:t>Applicant</w:t>
      </w:r>
      <w:r>
        <w:rPr>
          <w:spacing w:val="1"/>
        </w:rPr>
        <w:t xml:space="preserve"> </w:t>
      </w:r>
      <w:r>
        <w:t>is</w:t>
      </w:r>
      <w:r>
        <w:rPr>
          <w:spacing w:val="1"/>
        </w:rPr>
        <w:t xml:space="preserve"> </w:t>
      </w:r>
      <w:r>
        <w:t>the</w:t>
      </w:r>
      <w:r>
        <w:rPr>
          <w:spacing w:val="1"/>
        </w:rPr>
        <w:t xml:space="preserve"> </w:t>
      </w:r>
      <w:r>
        <w:t>primary</w:t>
      </w:r>
      <w:r>
        <w:rPr>
          <w:spacing w:val="1"/>
        </w:rPr>
        <w:t xml:space="preserve"> </w:t>
      </w:r>
      <w:r>
        <w:t>source</w:t>
      </w:r>
      <w:r>
        <w:rPr>
          <w:spacing w:val="1"/>
        </w:rPr>
        <w:t xml:space="preserve"> </w:t>
      </w:r>
      <w:r>
        <w:t>of</w:t>
      </w:r>
      <w:r>
        <w:rPr>
          <w:spacing w:val="1"/>
        </w:rPr>
        <w:t xml:space="preserve"> </w:t>
      </w:r>
      <w:r>
        <w:t>pediatric</w:t>
      </w:r>
      <w:r>
        <w:rPr>
          <w:spacing w:val="1"/>
        </w:rPr>
        <w:t xml:space="preserve"> </w:t>
      </w:r>
      <w:r>
        <w:t>imaging</w:t>
      </w:r>
      <w:r>
        <w:rPr>
          <w:spacing w:val="1"/>
        </w:rPr>
        <w:t xml:space="preserve"> </w:t>
      </w:r>
      <w:r>
        <w:t>specialists</w:t>
      </w:r>
      <w:r>
        <w:rPr>
          <w:spacing w:val="40"/>
        </w:rPr>
        <w:t xml:space="preserve"> </w:t>
      </w:r>
      <w:r>
        <w:t>and</w:t>
      </w:r>
      <w:r>
        <w:rPr>
          <w:spacing w:val="39"/>
        </w:rPr>
        <w:t xml:space="preserve"> </w:t>
      </w:r>
      <w:r>
        <w:t>subspecialists</w:t>
      </w:r>
      <w:r>
        <w:rPr>
          <w:spacing w:val="40"/>
        </w:rPr>
        <w:t xml:space="preserve"> </w:t>
      </w:r>
      <w:r>
        <w:t>in</w:t>
      </w:r>
      <w:r>
        <w:rPr>
          <w:spacing w:val="39"/>
        </w:rPr>
        <w:t xml:space="preserve"> </w:t>
      </w:r>
      <w:r>
        <w:t>the</w:t>
      </w:r>
      <w:r>
        <w:rPr>
          <w:spacing w:val="38"/>
        </w:rPr>
        <w:t xml:space="preserve"> </w:t>
      </w:r>
      <w:r>
        <w:t>Commonwealth.</w:t>
      </w:r>
      <w:r>
        <w:rPr>
          <w:spacing w:val="39"/>
        </w:rPr>
        <w:t xml:space="preserve"> </w:t>
      </w:r>
      <w:r>
        <w:t>Thus,</w:t>
      </w:r>
      <w:r>
        <w:rPr>
          <w:spacing w:val="39"/>
        </w:rPr>
        <w:t xml:space="preserve"> </w:t>
      </w:r>
      <w:r>
        <w:t>pediatric</w:t>
      </w:r>
      <w:r>
        <w:rPr>
          <w:spacing w:val="38"/>
        </w:rPr>
        <w:t xml:space="preserve"> </w:t>
      </w:r>
      <w:r>
        <w:t>patients</w:t>
      </w:r>
      <w:r>
        <w:rPr>
          <w:spacing w:val="40"/>
        </w:rPr>
        <w:t xml:space="preserve"> </w:t>
      </w:r>
      <w:r>
        <w:t>in</w:t>
      </w:r>
      <w:r>
        <w:rPr>
          <w:spacing w:val="40"/>
        </w:rPr>
        <w:t xml:space="preserve"> </w:t>
      </w:r>
      <w:r>
        <w:t>need</w:t>
      </w:r>
      <w:r>
        <w:rPr>
          <w:spacing w:val="39"/>
        </w:rPr>
        <w:t xml:space="preserve"> </w:t>
      </w:r>
      <w:r>
        <w:t>of</w:t>
      </w:r>
      <w:r>
        <w:rPr>
          <w:spacing w:val="41"/>
        </w:rPr>
        <w:t xml:space="preserve"> </w:t>
      </w:r>
      <w:r>
        <w:t>MRI</w:t>
      </w:r>
      <w:r>
        <w:rPr>
          <w:spacing w:val="-58"/>
        </w:rPr>
        <w:t xml:space="preserve"> </w:t>
      </w:r>
      <w:r>
        <w:t>have to choose whether to undergo imaging at adult-focused facilities which may be closer and</w:t>
      </w:r>
      <w:r>
        <w:rPr>
          <w:spacing w:val="1"/>
        </w:rPr>
        <w:t xml:space="preserve"> </w:t>
      </w:r>
      <w:r>
        <w:t>more accessible to them, or traveling for an exam at an existing Hospital location. The Proposed</w:t>
      </w:r>
      <w:r>
        <w:rPr>
          <w:spacing w:val="1"/>
        </w:rPr>
        <w:t xml:space="preserve"> </w:t>
      </w:r>
      <w:r>
        <w:t>Project will add two MRI units in HSA 4, which accounted for a third of the Applicant’s MRI</w:t>
      </w:r>
      <w:r>
        <w:rPr>
          <w:spacing w:val="1"/>
        </w:rPr>
        <w:t xml:space="preserve"> </w:t>
      </w:r>
      <w:r>
        <w:t>encounters</w:t>
      </w:r>
      <w:r>
        <w:rPr>
          <w:spacing w:val="13"/>
        </w:rPr>
        <w:t xml:space="preserve"> </w:t>
      </w:r>
      <w:r>
        <w:t>in</w:t>
      </w:r>
      <w:r>
        <w:rPr>
          <w:spacing w:val="13"/>
        </w:rPr>
        <w:t xml:space="preserve"> </w:t>
      </w:r>
      <w:r>
        <w:t>2019.</w:t>
      </w:r>
      <w:r>
        <w:rPr>
          <w:spacing w:val="13"/>
        </w:rPr>
        <w:t xml:space="preserve"> </w:t>
      </w:r>
      <w:r>
        <w:rPr>
          <w:i/>
        </w:rPr>
        <w:t>See</w:t>
      </w:r>
      <w:r>
        <w:rPr>
          <w:i/>
          <w:spacing w:val="12"/>
        </w:rPr>
        <w:t xml:space="preserve"> </w:t>
      </w:r>
      <w:r>
        <w:t>Table</w:t>
      </w:r>
      <w:r>
        <w:rPr>
          <w:spacing w:val="13"/>
        </w:rPr>
        <w:t xml:space="preserve"> </w:t>
      </w:r>
      <w:r>
        <w:t>2.</w:t>
      </w:r>
      <w:r>
        <w:rPr>
          <w:spacing w:val="13"/>
        </w:rPr>
        <w:t xml:space="preserve"> </w:t>
      </w:r>
      <w:r>
        <w:t>Thus,</w:t>
      </w:r>
      <w:r>
        <w:rPr>
          <w:spacing w:val="13"/>
        </w:rPr>
        <w:t xml:space="preserve"> </w:t>
      </w:r>
      <w:r>
        <w:t>siting</w:t>
      </w:r>
      <w:r>
        <w:rPr>
          <w:spacing w:val="11"/>
        </w:rPr>
        <w:t xml:space="preserve"> </w:t>
      </w:r>
      <w:r>
        <w:t>the</w:t>
      </w:r>
      <w:r>
        <w:rPr>
          <w:spacing w:val="12"/>
        </w:rPr>
        <w:t xml:space="preserve"> </w:t>
      </w:r>
      <w:r>
        <w:t>proposed</w:t>
      </w:r>
      <w:r>
        <w:rPr>
          <w:spacing w:val="14"/>
        </w:rPr>
        <w:t xml:space="preserve"> </w:t>
      </w:r>
      <w:r>
        <w:t>MRI</w:t>
      </w:r>
      <w:r>
        <w:rPr>
          <w:spacing w:val="7"/>
        </w:rPr>
        <w:t xml:space="preserve"> </w:t>
      </w:r>
      <w:r>
        <w:t>units</w:t>
      </w:r>
      <w:r>
        <w:rPr>
          <w:spacing w:val="13"/>
        </w:rPr>
        <w:t xml:space="preserve"> </w:t>
      </w:r>
      <w:r>
        <w:t>at</w:t>
      </w:r>
      <w:r>
        <w:rPr>
          <w:spacing w:val="13"/>
        </w:rPr>
        <w:t xml:space="preserve"> </w:t>
      </w:r>
      <w:r>
        <w:t>the</w:t>
      </w:r>
      <w:r>
        <w:rPr>
          <w:spacing w:val="13"/>
        </w:rPr>
        <w:t xml:space="preserve"> </w:t>
      </w:r>
      <w:r>
        <w:t>Weymouth</w:t>
      </w:r>
      <w:r>
        <w:rPr>
          <w:spacing w:val="13"/>
        </w:rPr>
        <w:t xml:space="preserve"> </w:t>
      </w:r>
      <w:r>
        <w:t>Facility</w:t>
      </w:r>
    </w:p>
    <w:p w:rsidR="00D862F2" w:rsidRDefault="00D862F2">
      <w:pPr>
        <w:jc w:val="both"/>
        <w:sectPr w:rsidR="00D862F2">
          <w:pgSz w:w="12240" w:h="15840"/>
          <w:pgMar w:top="1340" w:right="1160" w:bottom="980" w:left="1220" w:header="722" w:footer="794" w:gutter="0"/>
          <w:cols w:space="720"/>
        </w:sectPr>
      </w:pPr>
    </w:p>
    <w:p w:rsidR="00D862F2" w:rsidRDefault="00884FE4">
      <w:pPr>
        <w:pStyle w:val="BodyText"/>
        <w:spacing w:before="88"/>
        <w:ind w:left="220"/>
      </w:pPr>
      <w:r>
        <w:lastRenderedPageBreak/>
        <w:t>and</w:t>
      </w:r>
      <w:r>
        <w:rPr>
          <w:spacing w:val="13"/>
        </w:rPr>
        <w:t xml:space="preserve"> </w:t>
      </w:r>
      <w:r>
        <w:t>the</w:t>
      </w:r>
      <w:r>
        <w:rPr>
          <w:spacing w:val="12"/>
        </w:rPr>
        <w:t xml:space="preserve"> </w:t>
      </w:r>
      <w:r>
        <w:t>Needham</w:t>
      </w:r>
      <w:r>
        <w:rPr>
          <w:spacing w:val="13"/>
        </w:rPr>
        <w:t xml:space="preserve"> </w:t>
      </w:r>
      <w:r>
        <w:t>Facility</w:t>
      </w:r>
      <w:r>
        <w:rPr>
          <w:spacing w:val="10"/>
        </w:rPr>
        <w:t xml:space="preserve"> </w:t>
      </w:r>
      <w:r>
        <w:t>will</w:t>
      </w:r>
      <w:r>
        <w:rPr>
          <w:spacing w:val="16"/>
        </w:rPr>
        <w:t xml:space="preserve"> </w:t>
      </w:r>
      <w:r>
        <w:t>enhance</w:t>
      </w:r>
      <w:r>
        <w:rPr>
          <w:spacing w:val="12"/>
        </w:rPr>
        <w:t xml:space="preserve"> </w:t>
      </w:r>
      <w:r>
        <w:t>access</w:t>
      </w:r>
      <w:r>
        <w:rPr>
          <w:spacing w:val="13"/>
        </w:rPr>
        <w:t xml:space="preserve"> </w:t>
      </w:r>
      <w:r>
        <w:t>to</w:t>
      </w:r>
      <w:r>
        <w:rPr>
          <w:spacing w:val="15"/>
        </w:rPr>
        <w:t xml:space="preserve"> </w:t>
      </w:r>
      <w:r>
        <w:t>pediatric-focused</w:t>
      </w:r>
      <w:r>
        <w:rPr>
          <w:spacing w:val="13"/>
        </w:rPr>
        <w:t xml:space="preserve"> </w:t>
      </w:r>
      <w:r>
        <w:t>MRIs</w:t>
      </w:r>
      <w:r>
        <w:rPr>
          <w:spacing w:val="16"/>
        </w:rPr>
        <w:t xml:space="preserve"> </w:t>
      </w:r>
      <w:r>
        <w:t>in</w:t>
      </w:r>
      <w:r>
        <w:rPr>
          <w:spacing w:val="14"/>
        </w:rPr>
        <w:t xml:space="preserve"> </w:t>
      </w:r>
      <w:r>
        <w:t>the</w:t>
      </w:r>
      <w:r>
        <w:rPr>
          <w:spacing w:val="12"/>
        </w:rPr>
        <w:t xml:space="preserve"> </w:t>
      </w:r>
      <w:r>
        <w:t>community</w:t>
      </w:r>
      <w:r>
        <w:rPr>
          <w:spacing w:val="11"/>
        </w:rPr>
        <w:t xml:space="preserve"> </w:t>
      </w:r>
      <w:r>
        <w:t>and</w:t>
      </w:r>
      <w:r>
        <w:rPr>
          <w:spacing w:val="-57"/>
        </w:rPr>
        <w:t xml:space="preserve"> </w:t>
      </w:r>
      <w:r>
        <w:t>satisfy</w:t>
      </w:r>
      <w:r>
        <w:rPr>
          <w:spacing w:val="-6"/>
        </w:rPr>
        <w:t xml:space="preserve"> </w:t>
      </w:r>
      <w:r>
        <w:t>existing</w:t>
      </w:r>
      <w:r>
        <w:rPr>
          <w:spacing w:val="-3"/>
        </w:rPr>
        <w:t xml:space="preserve"> </w:t>
      </w:r>
      <w:r>
        <w:t>and future</w:t>
      </w:r>
      <w:r>
        <w:rPr>
          <w:spacing w:val="-1"/>
        </w:rPr>
        <w:t xml:space="preserve"> </w:t>
      </w:r>
      <w:r>
        <w:t>Patient Panel needs.</w:t>
      </w:r>
    </w:p>
    <w:p w:rsidR="00D862F2" w:rsidRDefault="00D862F2">
      <w:pPr>
        <w:pStyle w:val="BodyText"/>
      </w:pPr>
    </w:p>
    <w:p w:rsidR="00D862F2" w:rsidRDefault="00884FE4">
      <w:pPr>
        <w:pStyle w:val="BodyText"/>
        <w:ind w:left="220"/>
      </w:pPr>
      <w:r>
        <w:rPr>
          <w:color w:val="202020"/>
          <w:u w:val="single" w:color="202020"/>
        </w:rPr>
        <w:t>Need</w:t>
      </w:r>
      <w:r>
        <w:rPr>
          <w:color w:val="202020"/>
          <w:spacing w:val="-2"/>
          <w:u w:val="single" w:color="202020"/>
        </w:rPr>
        <w:t xml:space="preserve"> </w:t>
      </w:r>
      <w:r>
        <w:rPr>
          <w:color w:val="202020"/>
          <w:u w:val="single" w:color="202020"/>
        </w:rPr>
        <w:t>for</w:t>
      </w:r>
      <w:r>
        <w:rPr>
          <w:color w:val="202020"/>
          <w:spacing w:val="-2"/>
          <w:u w:val="single" w:color="202020"/>
        </w:rPr>
        <w:t xml:space="preserve"> </w:t>
      </w:r>
      <w:r>
        <w:rPr>
          <w:color w:val="202020"/>
          <w:u w:val="single" w:color="202020"/>
        </w:rPr>
        <w:t>Other</w:t>
      </w:r>
      <w:r>
        <w:rPr>
          <w:color w:val="202020"/>
          <w:spacing w:val="-2"/>
          <w:u w:val="single" w:color="202020"/>
        </w:rPr>
        <w:t xml:space="preserve"> </w:t>
      </w:r>
      <w:r>
        <w:rPr>
          <w:color w:val="202020"/>
          <w:u w:val="single" w:color="202020"/>
        </w:rPr>
        <w:t>Pediatric Specialty</w:t>
      </w:r>
      <w:r>
        <w:rPr>
          <w:color w:val="202020"/>
          <w:spacing w:val="-6"/>
          <w:u w:val="single" w:color="202020"/>
        </w:rPr>
        <w:t xml:space="preserve"> </w:t>
      </w:r>
      <w:r>
        <w:rPr>
          <w:color w:val="202020"/>
          <w:u w:val="single" w:color="202020"/>
        </w:rPr>
        <w:t>Care</w:t>
      </w:r>
    </w:p>
    <w:p w:rsidR="00D862F2" w:rsidRDefault="00D862F2">
      <w:pPr>
        <w:pStyle w:val="BodyText"/>
        <w:spacing w:before="2"/>
        <w:rPr>
          <w:sz w:val="16"/>
        </w:rPr>
      </w:pPr>
    </w:p>
    <w:p w:rsidR="00D862F2" w:rsidRDefault="00884FE4">
      <w:pPr>
        <w:pStyle w:val="BodyText"/>
        <w:spacing w:before="90"/>
        <w:ind w:left="220" w:right="273"/>
        <w:jc w:val="both"/>
      </w:pPr>
      <w:r>
        <w:t>The Applicant has also observed a need for enhanced community access to certain other pediatric</w:t>
      </w:r>
      <w:r>
        <w:rPr>
          <w:spacing w:val="-57"/>
        </w:rPr>
        <w:t xml:space="preserve"> </w:t>
      </w:r>
      <w:r>
        <w:t>specialties as well, with the Proposed Project siting such services in a community setting rather</w:t>
      </w:r>
      <w:r>
        <w:rPr>
          <w:spacing w:val="1"/>
        </w:rPr>
        <w:t xml:space="preserve"> </w:t>
      </w:r>
      <w:r>
        <w:t>than at the Longwood Medical Area. For example, the Bailit Report found that the Proposed</w:t>
      </w:r>
      <w:r>
        <w:rPr>
          <w:spacing w:val="1"/>
        </w:rPr>
        <w:t xml:space="preserve"> </w:t>
      </w:r>
      <w:r>
        <w:t>Project’s planned expansion of ophthalmology care in the community will improve health equity</w:t>
      </w:r>
      <w:r>
        <w:rPr>
          <w:spacing w:val="1"/>
        </w:rPr>
        <w:t xml:space="preserve"> </w:t>
      </w:r>
      <w:r>
        <w:t>for children in low-income and minority communities, for which services are limited. Lowering</w:t>
      </w:r>
      <w:r>
        <w:rPr>
          <w:spacing w:val="1"/>
        </w:rPr>
        <w:t xml:space="preserve"> </w:t>
      </w:r>
      <w:r>
        <w:t>barriers and improving access to pediatric ophthalmology is expected to reduce preventable</w:t>
      </w:r>
      <w:r>
        <w:rPr>
          <w:spacing w:val="1"/>
        </w:rPr>
        <w:t xml:space="preserve"> </w:t>
      </w:r>
      <w:r>
        <w:t>vision loss in the pediatric population—which also facilitates school performance for children</w:t>
      </w:r>
      <w:r>
        <w:rPr>
          <w:spacing w:val="1"/>
        </w:rPr>
        <w:t xml:space="preserve"> </w:t>
      </w:r>
      <w:r>
        <w:t>who</w:t>
      </w:r>
      <w:r>
        <w:rPr>
          <w:spacing w:val="1"/>
        </w:rPr>
        <w:t xml:space="preserve"> </w:t>
      </w:r>
      <w:r>
        <w:t>are</w:t>
      </w:r>
      <w:r>
        <w:rPr>
          <w:spacing w:val="1"/>
        </w:rPr>
        <w:t xml:space="preserve"> </w:t>
      </w:r>
      <w:r>
        <w:t>better</w:t>
      </w:r>
      <w:r>
        <w:rPr>
          <w:spacing w:val="1"/>
        </w:rPr>
        <w:t xml:space="preserve"> </w:t>
      </w:r>
      <w:r>
        <w:t>able</w:t>
      </w:r>
      <w:r>
        <w:rPr>
          <w:spacing w:val="1"/>
        </w:rPr>
        <w:t xml:space="preserve"> </w:t>
      </w:r>
      <w:r>
        <w:t>to</w:t>
      </w:r>
      <w:r>
        <w:rPr>
          <w:spacing w:val="1"/>
        </w:rPr>
        <w:t xml:space="preserve"> </w:t>
      </w:r>
      <w:r>
        <w:t>see</w:t>
      </w:r>
      <w:r>
        <w:rPr>
          <w:spacing w:val="1"/>
        </w:rPr>
        <w:t xml:space="preserve"> </w:t>
      </w:r>
      <w:r>
        <w:t>whiteboards</w:t>
      </w:r>
      <w:r>
        <w:rPr>
          <w:spacing w:val="1"/>
        </w:rPr>
        <w:t xml:space="preserve"> </w:t>
      </w:r>
      <w:r>
        <w:t>and</w:t>
      </w:r>
      <w:r>
        <w:rPr>
          <w:spacing w:val="1"/>
        </w:rPr>
        <w:t xml:space="preserve"> </w:t>
      </w:r>
      <w:r>
        <w:t>blackboards.</w:t>
      </w:r>
      <w:r>
        <w:rPr>
          <w:spacing w:val="1"/>
        </w:rPr>
        <w:t xml:space="preserve"> </w:t>
      </w:r>
      <w:r>
        <w:t>The</w:t>
      </w:r>
      <w:r>
        <w:rPr>
          <w:spacing w:val="1"/>
        </w:rPr>
        <w:t xml:space="preserve"> </w:t>
      </w:r>
      <w:r>
        <w:t>Hospital’s</w:t>
      </w:r>
      <w:r>
        <w:rPr>
          <w:spacing w:val="1"/>
        </w:rPr>
        <w:t xml:space="preserve"> </w:t>
      </w:r>
      <w:r>
        <w:t>Ophthalmology</w:t>
      </w:r>
      <w:r>
        <w:rPr>
          <w:spacing w:val="1"/>
        </w:rPr>
        <w:t xml:space="preserve"> </w:t>
      </w:r>
      <w:r>
        <w:t>Department’s</w:t>
      </w:r>
      <w:r>
        <w:rPr>
          <w:spacing w:val="1"/>
        </w:rPr>
        <w:t xml:space="preserve"> </w:t>
      </w:r>
      <w:r>
        <w:t>retrospective</w:t>
      </w:r>
      <w:r>
        <w:rPr>
          <w:spacing w:val="1"/>
        </w:rPr>
        <w:t xml:space="preserve"> </w:t>
      </w:r>
      <w:r>
        <w:t>review</w:t>
      </w:r>
      <w:r>
        <w:rPr>
          <w:spacing w:val="1"/>
        </w:rPr>
        <w:t xml:space="preserve"> </w:t>
      </w:r>
      <w:r>
        <w:t>of</w:t>
      </w:r>
      <w:r>
        <w:rPr>
          <w:spacing w:val="1"/>
        </w:rPr>
        <w:t xml:space="preserve"> </w:t>
      </w:r>
      <w:r>
        <w:t>referrals</w:t>
      </w:r>
      <w:r>
        <w:rPr>
          <w:spacing w:val="1"/>
        </w:rPr>
        <w:t xml:space="preserve"> </w:t>
      </w:r>
      <w:r>
        <w:t>between</w:t>
      </w:r>
      <w:r>
        <w:rPr>
          <w:spacing w:val="1"/>
        </w:rPr>
        <w:t xml:space="preserve"> </w:t>
      </w:r>
      <w:r>
        <w:t>January</w:t>
      </w:r>
      <w:r>
        <w:rPr>
          <w:spacing w:val="1"/>
        </w:rPr>
        <w:t xml:space="preserve"> </w:t>
      </w:r>
      <w:r>
        <w:t>2016</w:t>
      </w:r>
      <w:r>
        <w:rPr>
          <w:spacing w:val="1"/>
        </w:rPr>
        <w:t xml:space="preserve"> </w:t>
      </w:r>
      <w:r>
        <w:t>and</w:t>
      </w:r>
      <w:r>
        <w:rPr>
          <w:spacing w:val="1"/>
        </w:rPr>
        <w:t xml:space="preserve"> </w:t>
      </w:r>
      <w:r>
        <w:t>March</w:t>
      </w:r>
      <w:r>
        <w:rPr>
          <w:spacing w:val="1"/>
        </w:rPr>
        <w:t xml:space="preserve"> </w:t>
      </w:r>
      <w:r>
        <w:t>2020</w:t>
      </w:r>
      <w:r>
        <w:rPr>
          <w:spacing w:val="1"/>
        </w:rPr>
        <w:t xml:space="preserve"> </w:t>
      </w:r>
      <w:r>
        <w:t>for</w:t>
      </w:r>
      <w:r>
        <w:rPr>
          <w:spacing w:val="1"/>
        </w:rPr>
        <w:t xml:space="preserve"> </w:t>
      </w:r>
      <w:r>
        <w:t>children with non-traumatic ophthalmic emergencies found that 16.7% of referrals had a lag time</w:t>
      </w:r>
      <w:r>
        <w:rPr>
          <w:spacing w:val="-57"/>
        </w:rPr>
        <w:t xml:space="preserve"> </w:t>
      </w:r>
      <w:r>
        <w:t>greater than seven days between appointment request and clinic date in children less than 8 years</w:t>
      </w:r>
      <w:r>
        <w:rPr>
          <w:spacing w:val="-57"/>
        </w:rPr>
        <w:t xml:space="preserve"> </w:t>
      </w:r>
      <w:r>
        <w:t>old. The Proposed Project will expand ophthalmology services with the Needham Facility, and</w:t>
      </w:r>
      <w:r>
        <w:rPr>
          <w:spacing w:val="1"/>
        </w:rPr>
        <w:t xml:space="preserve"> </w:t>
      </w:r>
      <w:r>
        <w:t>seek to address these lag times. Additionally, the Proposed Project will facilitate expansion of</w:t>
      </w:r>
      <w:r>
        <w:rPr>
          <w:spacing w:val="1"/>
        </w:rPr>
        <w:t xml:space="preserve"> </w:t>
      </w:r>
      <w:r>
        <w:t>pediatric</w:t>
      </w:r>
      <w:r>
        <w:rPr>
          <w:spacing w:val="35"/>
        </w:rPr>
        <w:t xml:space="preserve"> </w:t>
      </w:r>
      <w:r>
        <w:t>sleep</w:t>
      </w:r>
      <w:r>
        <w:rPr>
          <w:spacing w:val="37"/>
        </w:rPr>
        <w:t xml:space="preserve"> </w:t>
      </w:r>
      <w:r>
        <w:t>services</w:t>
      </w:r>
      <w:r>
        <w:rPr>
          <w:spacing w:val="40"/>
        </w:rPr>
        <w:t xml:space="preserve"> </w:t>
      </w:r>
      <w:r>
        <w:t>for</w:t>
      </w:r>
      <w:r>
        <w:rPr>
          <w:spacing w:val="36"/>
        </w:rPr>
        <w:t xml:space="preserve"> </w:t>
      </w:r>
      <w:r>
        <w:t>the</w:t>
      </w:r>
      <w:r>
        <w:rPr>
          <w:spacing w:val="36"/>
        </w:rPr>
        <w:t xml:space="preserve"> </w:t>
      </w:r>
      <w:r>
        <w:t>only</w:t>
      </w:r>
      <w:r>
        <w:rPr>
          <w:spacing w:val="35"/>
        </w:rPr>
        <w:t xml:space="preserve"> </w:t>
      </w:r>
      <w:r>
        <w:t>pediatric</w:t>
      </w:r>
      <w:r>
        <w:rPr>
          <w:spacing w:val="38"/>
        </w:rPr>
        <w:t xml:space="preserve"> </w:t>
      </w:r>
      <w:r>
        <w:t>sleep</w:t>
      </w:r>
      <w:r>
        <w:rPr>
          <w:spacing w:val="37"/>
        </w:rPr>
        <w:t xml:space="preserve"> </w:t>
      </w:r>
      <w:r>
        <w:t>program</w:t>
      </w:r>
      <w:r>
        <w:rPr>
          <w:spacing w:val="37"/>
        </w:rPr>
        <w:t xml:space="preserve"> </w:t>
      </w:r>
      <w:r>
        <w:t>in</w:t>
      </w:r>
      <w:r>
        <w:rPr>
          <w:spacing w:val="39"/>
        </w:rPr>
        <w:t xml:space="preserve"> </w:t>
      </w:r>
      <w:r>
        <w:t>New</w:t>
      </w:r>
      <w:r>
        <w:rPr>
          <w:spacing w:val="39"/>
        </w:rPr>
        <w:t xml:space="preserve"> </w:t>
      </w:r>
      <w:r>
        <w:t>England,</w:t>
      </w:r>
      <w:r>
        <w:rPr>
          <w:spacing w:val="39"/>
        </w:rPr>
        <w:t xml:space="preserve"> </w:t>
      </w:r>
      <w:r>
        <w:t>addressing</w:t>
      </w:r>
      <w:r>
        <w:rPr>
          <w:spacing w:val="37"/>
        </w:rPr>
        <w:t xml:space="preserve"> </w:t>
      </w:r>
      <w:r>
        <w:t>the</w:t>
      </w:r>
      <w:r>
        <w:rPr>
          <w:spacing w:val="-58"/>
        </w:rPr>
        <w:t xml:space="preserve"> </w:t>
      </w:r>
      <w:r>
        <w:t>need for a child in the Commonwealth to drive as far as 94 miles for sleep medicine care as</w:t>
      </w:r>
      <w:r>
        <w:rPr>
          <w:spacing w:val="1"/>
        </w:rPr>
        <w:t xml:space="preserve"> </w:t>
      </w:r>
      <w:r>
        <w:t>reported by the American Academy of Pediatrics.</w:t>
      </w:r>
      <w:hyperlink w:anchor="_bookmark13" w:history="1">
        <w:r>
          <w:rPr>
            <w:vertAlign w:val="superscript"/>
          </w:rPr>
          <w:t>14</w:t>
        </w:r>
      </w:hyperlink>
      <w:r>
        <w:t xml:space="preserve"> As the Bailit Report notes that up to 50</w:t>
      </w:r>
      <w:r>
        <w:rPr>
          <w:spacing w:val="1"/>
        </w:rPr>
        <w:t xml:space="preserve"> </w:t>
      </w:r>
      <w:r>
        <w:t>percent</w:t>
      </w:r>
      <w:r>
        <w:rPr>
          <w:spacing w:val="1"/>
        </w:rPr>
        <w:t xml:space="preserve"> </w:t>
      </w:r>
      <w:r>
        <w:t>of children have a sleep disorder, the Proposed Project</w:t>
      </w:r>
      <w:r>
        <w:rPr>
          <w:spacing w:val="1"/>
        </w:rPr>
        <w:t xml:space="preserve"> </w:t>
      </w:r>
      <w:r>
        <w:t>will</w:t>
      </w:r>
      <w:r>
        <w:rPr>
          <w:spacing w:val="1"/>
        </w:rPr>
        <w:t xml:space="preserve"> </w:t>
      </w:r>
      <w:r>
        <w:t>provide greater access</w:t>
      </w:r>
      <w:r>
        <w:rPr>
          <w:spacing w:val="1"/>
        </w:rPr>
        <w:t xml:space="preserve"> </w:t>
      </w:r>
      <w:r>
        <w:t>pediatric sleep services to communities that typically have limited access to such care. The</w:t>
      </w:r>
      <w:r>
        <w:rPr>
          <w:spacing w:val="1"/>
        </w:rPr>
        <w:t xml:space="preserve"> </w:t>
      </w:r>
      <w:r>
        <w:t>Applicant anticipates that providing these services in the community setting will improve access</w:t>
      </w:r>
      <w:r>
        <w:rPr>
          <w:spacing w:val="1"/>
        </w:rPr>
        <w:t xml:space="preserve"> </w:t>
      </w:r>
      <w:r>
        <w:t>for</w:t>
      </w:r>
      <w:r>
        <w:rPr>
          <w:spacing w:val="-2"/>
        </w:rPr>
        <w:t xml:space="preserve"> </w:t>
      </w:r>
      <w:r>
        <w:t>its patients requiring specialized pediatric</w:t>
      </w:r>
      <w:r>
        <w:rPr>
          <w:spacing w:val="-1"/>
        </w:rPr>
        <w:t xml:space="preserve"> </w:t>
      </w:r>
      <w:r>
        <w:t>care.</w:t>
      </w:r>
    </w:p>
    <w:p w:rsidR="00D862F2" w:rsidRDefault="00D862F2">
      <w:pPr>
        <w:pStyle w:val="BodyText"/>
        <w:spacing w:before="5"/>
      </w:pPr>
    </w:p>
    <w:p w:rsidR="00D862F2" w:rsidRDefault="00884FE4">
      <w:pPr>
        <w:ind w:left="220"/>
        <w:jc w:val="both"/>
        <w:rPr>
          <w:b/>
          <w:sz w:val="24"/>
        </w:rPr>
      </w:pPr>
      <w:r>
        <w:rPr>
          <w:b/>
          <w:sz w:val="24"/>
          <w:u w:val="single"/>
        </w:rPr>
        <w:t>F1.a.iii</w:t>
      </w:r>
      <w:r>
        <w:rPr>
          <w:b/>
          <w:spacing w:val="54"/>
          <w:sz w:val="24"/>
          <w:u w:val="single"/>
        </w:rPr>
        <w:t xml:space="preserve"> </w:t>
      </w:r>
      <w:r>
        <w:rPr>
          <w:b/>
          <w:sz w:val="24"/>
          <w:u w:val="single"/>
        </w:rPr>
        <w:t>Competition:</w:t>
      </w:r>
    </w:p>
    <w:p w:rsidR="00D862F2" w:rsidRDefault="00884FE4" w:rsidP="002C14E1">
      <w:pPr>
        <w:pStyle w:val="BodyText"/>
      </w:pPr>
      <w:r>
        <w:t>Provide evidence that the Proposed Project will compete on the basis of price, total</w:t>
      </w:r>
      <w:r>
        <w:rPr>
          <w:spacing w:val="1"/>
        </w:rPr>
        <w:t xml:space="preserve"> </w:t>
      </w:r>
      <w:r>
        <w:t>medical</w:t>
      </w:r>
      <w:r>
        <w:rPr>
          <w:spacing w:val="1"/>
        </w:rPr>
        <w:t xml:space="preserve"> </w:t>
      </w:r>
      <w:r>
        <w:t>expenses,</w:t>
      </w:r>
      <w:r>
        <w:rPr>
          <w:spacing w:val="1"/>
        </w:rPr>
        <w:t xml:space="preserve"> </w:t>
      </w:r>
      <w:r>
        <w:t>provider</w:t>
      </w:r>
      <w:r>
        <w:rPr>
          <w:spacing w:val="1"/>
        </w:rPr>
        <w:t xml:space="preserve"> </w:t>
      </w:r>
      <w:r>
        <w:t>costs</w:t>
      </w:r>
      <w:r>
        <w:rPr>
          <w:spacing w:val="1"/>
        </w:rPr>
        <w:t xml:space="preserve"> </w:t>
      </w:r>
      <w:r>
        <w:t>and</w:t>
      </w:r>
      <w:r>
        <w:rPr>
          <w:spacing w:val="1"/>
        </w:rPr>
        <w:t xml:space="preserve"> </w:t>
      </w:r>
      <w:r>
        <w:t>other</w:t>
      </w:r>
      <w:r>
        <w:rPr>
          <w:spacing w:val="1"/>
        </w:rPr>
        <w:t xml:space="preserve"> </w:t>
      </w:r>
      <w:r>
        <w:t>recognized</w:t>
      </w:r>
      <w:r>
        <w:rPr>
          <w:spacing w:val="1"/>
        </w:rPr>
        <w:t xml:space="preserve"> </w:t>
      </w:r>
      <w:r>
        <w:t>measures</w:t>
      </w:r>
      <w:r>
        <w:rPr>
          <w:spacing w:val="1"/>
        </w:rPr>
        <w:t xml:space="preserve"> </w:t>
      </w:r>
      <w:r>
        <w:t>of</w:t>
      </w:r>
      <w:r>
        <w:rPr>
          <w:spacing w:val="1"/>
        </w:rPr>
        <w:t xml:space="preserve"> </w:t>
      </w:r>
      <w:r>
        <w:t>health</w:t>
      </w:r>
      <w:r>
        <w:rPr>
          <w:spacing w:val="1"/>
        </w:rPr>
        <w:t xml:space="preserve"> </w:t>
      </w:r>
      <w:r>
        <w:t>care</w:t>
      </w:r>
      <w:r>
        <w:rPr>
          <w:spacing w:val="-57"/>
        </w:rPr>
        <w:t xml:space="preserve"> </w:t>
      </w:r>
      <w:r>
        <w:t>spending.</w:t>
      </w:r>
      <w:r>
        <w:rPr>
          <w:spacing w:val="1"/>
        </w:rPr>
        <w:t xml:space="preserve"> </w:t>
      </w:r>
      <w:r>
        <w:t>When responding to this question, please consider Factor 4. Financial</w:t>
      </w:r>
      <w:r>
        <w:rPr>
          <w:spacing w:val="1"/>
        </w:rPr>
        <w:t xml:space="preserve"> </w:t>
      </w:r>
      <w:r>
        <w:t>Feasibility</w:t>
      </w:r>
      <w:r>
        <w:rPr>
          <w:spacing w:val="-1"/>
        </w:rPr>
        <w:t xml:space="preserve"> </w:t>
      </w:r>
      <w:r>
        <w:t>and Reasonableness of</w:t>
      </w:r>
      <w:r>
        <w:rPr>
          <w:spacing w:val="1"/>
        </w:rPr>
        <w:t xml:space="preserve"> </w:t>
      </w:r>
      <w:r>
        <w:t>Costs.</w:t>
      </w:r>
    </w:p>
    <w:p w:rsidR="00D862F2" w:rsidRDefault="00D862F2">
      <w:pPr>
        <w:pStyle w:val="BodyText"/>
        <w:spacing w:before="7"/>
        <w:rPr>
          <w:b/>
          <w:sz w:val="23"/>
        </w:rPr>
      </w:pPr>
    </w:p>
    <w:p w:rsidR="00D862F2" w:rsidRDefault="00884FE4">
      <w:pPr>
        <w:pStyle w:val="BodyText"/>
        <w:ind w:left="220" w:right="273"/>
        <w:jc w:val="both"/>
      </w:pPr>
      <w:r>
        <w:t>The Applicant believes that the Proposed Project will be competitive in the market given the</w:t>
      </w:r>
      <w:r>
        <w:rPr>
          <w:spacing w:val="1"/>
        </w:rPr>
        <w:t xml:space="preserve"> </w:t>
      </w:r>
      <w:r>
        <w:t>specialized nature of the pediatric services it provides. The Hospital’s contracted third party rate</w:t>
      </w:r>
      <w:r>
        <w:rPr>
          <w:spacing w:val="1"/>
        </w:rPr>
        <w:t xml:space="preserve"> </w:t>
      </w:r>
      <w:r>
        <w:t>increase has not exceeded the cost growth benchmark in any year since the adoption of Chapter</w:t>
      </w:r>
      <w:r>
        <w:rPr>
          <w:spacing w:val="1"/>
        </w:rPr>
        <w:t xml:space="preserve"> </w:t>
      </w:r>
      <w:r>
        <w:t>224, consistent with the conditions set forth in the Applicant’s DoN Project #4-3C47 approval</w:t>
      </w:r>
      <w:r>
        <w:rPr>
          <w:spacing w:val="1"/>
        </w:rPr>
        <w:t xml:space="preserve"> </w:t>
      </w:r>
      <w:r>
        <w:t>letter dated October 27, 2016. The Applicant provides highly specialized pediatric services that</w:t>
      </w:r>
      <w:r>
        <w:rPr>
          <w:spacing w:val="1"/>
        </w:rPr>
        <w:t xml:space="preserve"> </w:t>
      </w:r>
      <w:r>
        <w:t>are qualitatively different from adult services offered by other health systems or community</w:t>
      </w:r>
      <w:r>
        <w:rPr>
          <w:spacing w:val="1"/>
        </w:rPr>
        <w:t xml:space="preserve"> </w:t>
      </w:r>
      <w:r>
        <w:t>hospitals. Furthermore, these capabilities are not widely available in the community, as a recent</w:t>
      </w:r>
      <w:r>
        <w:rPr>
          <w:spacing w:val="1"/>
        </w:rPr>
        <w:t xml:space="preserve"> </w:t>
      </w:r>
      <w:r>
        <w:t>JAMA Pediatrics article noted that, with the exception of four outlier academic medical centers,</w:t>
      </w:r>
      <w:r>
        <w:rPr>
          <w:spacing w:val="1"/>
        </w:rPr>
        <w:t xml:space="preserve"> </w:t>
      </w:r>
      <w:r>
        <w:t>most hospitals in the Commonwealth were able to provide care for less than 40% of all pediatric</w:t>
      </w:r>
      <w:r>
        <w:rPr>
          <w:spacing w:val="1"/>
        </w:rPr>
        <w:t xml:space="preserve"> </w:t>
      </w:r>
      <w:r>
        <w:t>patients that presented in their emergency departments.</w:t>
      </w:r>
      <w:hyperlink w:anchor="_bookmark14" w:history="1">
        <w:r>
          <w:rPr>
            <w:vertAlign w:val="superscript"/>
          </w:rPr>
          <w:t>15</w:t>
        </w:r>
        <w:r>
          <w:t xml:space="preserve"> </w:t>
        </w:r>
      </w:hyperlink>
      <w:r>
        <w:t>Additionally, the Applicant received</w:t>
      </w:r>
      <w:r>
        <w:rPr>
          <w:spacing w:val="1"/>
        </w:rPr>
        <w:t xml:space="preserve"> </w:t>
      </w:r>
      <w:r>
        <w:t>approximately</w:t>
      </w:r>
      <w:r>
        <w:rPr>
          <w:spacing w:val="18"/>
        </w:rPr>
        <w:t xml:space="preserve"> </w:t>
      </w:r>
      <w:r>
        <w:t>500</w:t>
      </w:r>
      <w:r>
        <w:rPr>
          <w:spacing w:val="23"/>
        </w:rPr>
        <w:t xml:space="preserve"> </w:t>
      </w:r>
      <w:r>
        <w:t>transfers</w:t>
      </w:r>
      <w:r>
        <w:rPr>
          <w:spacing w:val="23"/>
        </w:rPr>
        <w:t xml:space="preserve"> </w:t>
      </w:r>
      <w:r>
        <w:t>in</w:t>
      </w:r>
      <w:r>
        <w:rPr>
          <w:spacing w:val="23"/>
        </w:rPr>
        <w:t xml:space="preserve"> </w:t>
      </w:r>
      <w:r>
        <w:t>2019</w:t>
      </w:r>
      <w:r>
        <w:rPr>
          <w:spacing w:val="25"/>
        </w:rPr>
        <w:t xml:space="preserve"> </w:t>
      </w:r>
      <w:r>
        <w:t>from</w:t>
      </w:r>
      <w:r>
        <w:rPr>
          <w:spacing w:val="25"/>
        </w:rPr>
        <w:t xml:space="preserve"> </w:t>
      </w:r>
      <w:r>
        <w:t>academic</w:t>
      </w:r>
      <w:r>
        <w:rPr>
          <w:spacing w:val="22"/>
        </w:rPr>
        <w:t xml:space="preserve"> </w:t>
      </w:r>
      <w:r>
        <w:t>medical</w:t>
      </w:r>
      <w:r>
        <w:rPr>
          <w:spacing w:val="23"/>
        </w:rPr>
        <w:t xml:space="preserve"> </w:t>
      </w:r>
      <w:r>
        <w:t>centers</w:t>
      </w:r>
      <w:r>
        <w:rPr>
          <w:spacing w:val="25"/>
        </w:rPr>
        <w:t xml:space="preserve"> </w:t>
      </w:r>
      <w:r>
        <w:t>in</w:t>
      </w:r>
      <w:r>
        <w:rPr>
          <w:spacing w:val="23"/>
        </w:rPr>
        <w:t xml:space="preserve"> </w:t>
      </w:r>
      <w:r>
        <w:t>the</w:t>
      </w:r>
      <w:r>
        <w:rPr>
          <w:spacing w:val="21"/>
        </w:rPr>
        <w:t xml:space="preserve"> </w:t>
      </w:r>
      <w:r>
        <w:t>Commonwealth</w:t>
      </w:r>
      <w:r>
        <w:rPr>
          <w:spacing w:val="23"/>
        </w:rPr>
        <w:t xml:space="preserve"> </w:t>
      </w:r>
      <w:r>
        <w:t>for</w:t>
      </w:r>
    </w:p>
    <w:p w:rsidR="00D862F2" w:rsidRDefault="00337703">
      <w:pPr>
        <w:pStyle w:val="BodyText"/>
        <w:rPr>
          <w:sz w:val="23"/>
        </w:rPr>
      </w:pPr>
      <w:r>
        <w:rPr>
          <w:noProof/>
        </w:rPr>
        <mc:AlternateContent>
          <mc:Choice Requires="wps">
            <w:drawing>
              <wp:anchor distT="0" distB="0" distL="0" distR="0" simplePos="0" relativeHeight="487590912" behindDoc="1" locked="0" layoutInCell="1" allowOverlap="1">
                <wp:simplePos x="0" y="0"/>
                <wp:positionH relativeFrom="page">
                  <wp:posOffset>914400</wp:posOffset>
                </wp:positionH>
                <wp:positionV relativeFrom="paragraph">
                  <wp:posOffset>183515</wp:posOffset>
                </wp:positionV>
                <wp:extent cx="1828800" cy="7620"/>
                <wp:effectExtent l="0" t="0" r="0" b="11430"/>
                <wp:wrapTopAndBottom/>
                <wp:docPr id="23" name="docshape9"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2AAB1" id="docshape9" o:spid="_x0000_s1026" alt="Title: Division Line - Description: Division Line between the main content and the footnotes" style="position:absolute;margin-left:1in;margin-top:14.45pt;width:2in;height:.6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" fillcolor="black" stroked="f">
                <w10:wrap type="topAndBottom" anchorx="page"/>
              </v:rect>
            </w:pict>
          </mc:Fallback>
        </mc:AlternateContent>
      </w:r>
    </w:p>
    <w:p w:rsidR="00D862F2" w:rsidRDefault="00884FE4">
      <w:pPr>
        <w:spacing w:before="103"/>
        <w:ind w:left="220" w:right="353" w:hanging="1"/>
        <w:rPr>
          <w:sz w:val="20"/>
        </w:rPr>
      </w:pPr>
      <w:bookmarkStart w:id="14" w:name="_bookmark13"/>
      <w:bookmarkEnd w:id="14"/>
      <w:r>
        <w:rPr>
          <w:sz w:val="20"/>
          <w:vertAlign w:val="superscript"/>
        </w:rPr>
        <w:t>14</w:t>
      </w:r>
      <w:r>
        <w:rPr>
          <w:sz w:val="20"/>
        </w:rPr>
        <w:t xml:space="preserve"> </w:t>
      </w:r>
      <w:r>
        <w:rPr>
          <w:i/>
          <w:sz w:val="20"/>
        </w:rPr>
        <w:t xml:space="preserve">See </w:t>
      </w:r>
      <w:r>
        <w:rPr>
          <w:sz w:val="20"/>
        </w:rPr>
        <w:t>Pediatric Subspecialty Shortages Fact Sheets, American Academy of Pediatrics,</w:t>
      </w:r>
      <w:r>
        <w:rPr>
          <w:spacing w:val="1"/>
          <w:sz w:val="20"/>
        </w:rPr>
        <w:t xml:space="preserve"> </w:t>
      </w:r>
      <w:hyperlink r:id="rId14">
        <w:r>
          <w:rPr>
            <w:color w:val="0000FF"/>
            <w:spacing w:val="-1"/>
            <w:sz w:val="20"/>
            <w:u w:val="single" w:color="0000FF"/>
          </w:rPr>
          <w:t>https://downloads.aap.org/AAP/PDF/Advocacy/Massachusetts_SubspecialtyFactSheet.pdf</w:t>
        </w:r>
      </w:hyperlink>
    </w:p>
    <w:p w:rsidR="00D862F2" w:rsidRDefault="00884FE4">
      <w:pPr>
        <w:spacing w:line="228" w:lineRule="exact"/>
        <w:ind w:left="220"/>
        <w:rPr>
          <w:sz w:val="20"/>
        </w:rPr>
      </w:pPr>
      <w:bookmarkStart w:id="15" w:name="_bookmark14"/>
      <w:bookmarkEnd w:id="15"/>
      <w:r>
        <w:rPr>
          <w:sz w:val="20"/>
          <w:vertAlign w:val="superscript"/>
        </w:rPr>
        <w:t>15</w:t>
      </w:r>
      <w:r>
        <w:rPr>
          <w:spacing w:val="-4"/>
          <w:sz w:val="20"/>
        </w:rPr>
        <w:t xml:space="preserve"> </w:t>
      </w:r>
      <w:r>
        <w:rPr>
          <w:i/>
          <w:sz w:val="20"/>
        </w:rPr>
        <w:t>See</w:t>
      </w:r>
      <w:r>
        <w:rPr>
          <w:i/>
          <w:spacing w:val="-3"/>
          <w:sz w:val="20"/>
        </w:rPr>
        <w:t xml:space="preserve"> </w:t>
      </w:r>
      <w:r>
        <w:rPr>
          <w:sz w:val="20"/>
        </w:rPr>
        <w:t>“Availability</w:t>
      </w:r>
      <w:r>
        <w:rPr>
          <w:spacing w:val="-7"/>
          <w:sz w:val="20"/>
        </w:rPr>
        <w:t xml:space="preserve"> </w:t>
      </w:r>
      <w:r>
        <w:rPr>
          <w:sz w:val="20"/>
        </w:rPr>
        <w:t>of</w:t>
      </w:r>
      <w:r>
        <w:rPr>
          <w:spacing w:val="-5"/>
          <w:sz w:val="20"/>
        </w:rPr>
        <w:t xml:space="preserve"> </w:t>
      </w:r>
      <w:r>
        <w:rPr>
          <w:sz w:val="20"/>
        </w:rPr>
        <w:t>Definitive</w:t>
      </w:r>
      <w:r>
        <w:rPr>
          <w:spacing w:val="-3"/>
          <w:sz w:val="20"/>
        </w:rPr>
        <w:t xml:space="preserve"> </w:t>
      </w:r>
      <w:r>
        <w:rPr>
          <w:sz w:val="20"/>
        </w:rPr>
        <w:t>Hospital</w:t>
      </w:r>
      <w:r>
        <w:rPr>
          <w:spacing w:val="-3"/>
          <w:sz w:val="20"/>
        </w:rPr>
        <w:t xml:space="preserve"> </w:t>
      </w:r>
      <w:r>
        <w:rPr>
          <w:sz w:val="20"/>
        </w:rPr>
        <w:t>Care</w:t>
      </w:r>
      <w:r>
        <w:rPr>
          <w:spacing w:val="-3"/>
          <w:sz w:val="20"/>
        </w:rPr>
        <w:t xml:space="preserve"> </w:t>
      </w:r>
      <w:r>
        <w:rPr>
          <w:sz w:val="20"/>
        </w:rPr>
        <w:t>for</w:t>
      </w:r>
      <w:r>
        <w:rPr>
          <w:spacing w:val="-2"/>
          <w:sz w:val="20"/>
        </w:rPr>
        <w:t xml:space="preserve"> </w:t>
      </w:r>
      <w:r>
        <w:rPr>
          <w:sz w:val="20"/>
        </w:rPr>
        <w:t>Children,” JAMA</w:t>
      </w:r>
      <w:r>
        <w:rPr>
          <w:spacing w:val="-5"/>
          <w:sz w:val="20"/>
        </w:rPr>
        <w:t xml:space="preserve"> </w:t>
      </w:r>
      <w:r>
        <w:rPr>
          <w:sz w:val="20"/>
        </w:rPr>
        <w:t>Pediatrics</w:t>
      </w:r>
      <w:r>
        <w:rPr>
          <w:spacing w:val="-4"/>
          <w:sz w:val="20"/>
        </w:rPr>
        <w:t xml:space="preserve"> </w:t>
      </w:r>
      <w:r>
        <w:rPr>
          <w:sz w:val="20"/>
        </w:rPr>
        <w:t>(published online</w:t>
      </w:r>
      <w:r>
        <w:rPr>
          <w:spacing w:val="-3"/>
          <w:sz w:val="20"/>
        </w:rPr>
        <w:t xml:space="preserve"> </w:t>
      </w:r>
      <w:r>
        <w:rPr>
          <w:sz w:val="20"/>
        </w:rPr>
        <w:t>July</w:t>
      </w:r>
      <w:r>
        <w:rPr>
          <w:spacing w:val="-4"/>
          <w:sz w:val="20"/>
        </w:rPr>
        <w:t xml:space="preserve"> </w:t>
      </w:r>
      <w:r>
        <w:rPr>
          <w:sz w:val="20"/>
        </w:rPr>
        <w:t>10,</w:t>
      </w:r>
      <w:r>
        <w:rPr>
          <w:spacing w:val="-2"/>
          <w:sz w:val="20"/>
        </w:rPr>
        <w:t xml:space="preserve"> </w:t>
      </w:r>
      <w:r>
        <w:rPr>
          <w:sz w:val="20"/>
        </w:rPr>
        <w:t>2017).</w:t>
      </w:r>
    </w:p>
    <w:p w:rsidR="00D862F2" w:rsidRDefault="00D862F2">
      <w:pPr>
        <w:spacing w:line="228" w:lineRule="exact"/>
        <w:rPr>
          <w:sz w:val="20"/>
        </w:rPr>
        <w:sectPr w:rsidR="00D862F2">
          <w:pgSz w:w="12240" w:h="15840"/>
          <w:pgMar w:top="1340" w:right="1160" w:bottom="980" w:left="1220" w:header="722" w:footer="794" w:gutter="0"/>
          <w:cols w:space="720"/>
        </w:sectPr>
      </w:pPr>
    </w:p>
    <w:p w:rsidR="00D862F2" w:rsidRDefault="00884FE4">
      <w:pPr>
        <w:pStyle w:val="BodyText"/>
        <w:spacing w:before="88"/>
        <w:ind w:left="220" w:right="272"/>
        <w:jc w:val="both"/>
      </w:pPr>
      <w:r>
        <w:lastRenderedPageBreak/>
        <w:t>care that such centers were otherwise unable to provide. Thus, the Applicant has worked to</w:t>
      </w:r>
      <w:r>
        <w:rPr>
          <w:spacing w:val="1"/>
        </w:rPr>
        <w:t xml:space="preserve"> </w:t>
      </w:r>
      <w:r>
        <w:t>improve access in the community through staffing other community hospitals, as well as other</w:t>
      </w:r>
      <w:r>
        <w:rPr>
          <w:spacing w:val="1"/>
        </w:rPr>
        <w:t xml:space="preserve"> </w:t>
      </w:r>
      <w:r>
        <w:t>initiatives such as making available orthopedics consultations to reduce unnecessary emergency</w:t>
      </w:r>
      <w:r>
        <w:rPr>
          <w:spacing w:val="1"/>
        </w:rPr>
        <w:t xml:space="preserve"> </w:t>
      </w:r>
      <w:r>
        <w:t>department</w:t>
      </w:r>
      <w:r>
        <w:rPr>
          <w:spacing w:val="-1"/>
        </w:rPr>
        <w:t xml:space="preserve"> </w:t>
      </w:r>
      <w:r>
        <w:t>visits.</w:t>
      </w:r>
    </w:p>
    <w:p w:rsidR="00D862F2" w:rsidRDefault="00D862F2">
      <w:pPr>
        <w:pStyle w:val="BodyText"/>
      </w:pPr>
    </w:p>
    <w:p w:rsidR="00D862F2" w:rsidRDefault="00884FE4">
      <w:pPr>
        <w:pStyle w:val="BodyText"/>
        <w:ind w:left="220" w:right="275"/>
        <w:jc w:val="both"/>
      </w:pPr>
      <w:r>
        <w:t>The</w:t>
      </w:r>
      <w:r>
        <w:rPr>
          <w:spacing w:val="53"/>
        </w:rPr>
        <w:t xml:space="preserve"> </w:t>
      </w:r>
      <w:r>
        <w:t>Applicant’s</w:t>
      </w:r>
      <w:r>
        <w:rPr>
          <w:spacing w:val="55"/>
        </w:rPr>
        <w:t xml:space="preserve"> </w:t>
      </w:r>
      <w:r>
        <w:t>MassHealth</w:t>
      </w:r>
      <w:r>
        <w:rPr>
          <w:spacing w:val="54"/>
        </w:rPr>
        <w:t xml:space="preserve"> </w:t>
      </w:r>
      <w:r>
        <w:t>accountable</w:t>
      </w:r>
      <w:r>
        <w:rPr>
          <w:spacing w:val="54"/>
        </w:rPr>
        <w:t xml:space="preserve"> </w:t>
      </w:r>
      <w:r>
        <w:t>care</w:t>
      </w:r>
      <w:r>
        <w:rPr>
          <w:spacing w:val="53"/>
        </w:rPr>
        <w:t xml:space="preserve"> </w:t>
      </w:r>
      <w:r>
        <w:t>organization</w:t>
      </w:r>
      <w:r>
        <w:rPr>
          <w:spacing w:val="55"/>
        </w:rPr>
        <w:t xml:space="preserve"> </w:t>
      </w:r>
      <w:r>
        <w:t>(“ACO”),</w:t>
      </w:r>
      <w:r>
        <w:rPr>
          <w:spacing w:val="54"/>
        </w:rPr>
        <w:t xml:space="preserve"> </w:t>
      </w:r>
      <w:r>
        <w:t>the</w:t>
      </w:r>
      <w:r>
        <w:rPr>
          <w:spacing w:val="54"/>
        </w:rPr>
        <w:t xml:space="preserve"> </w:t>
      </w:r>
      <w:r>
        <w:t>Boston</w:t>
      </w:r>
      <w:r>
        <w:rPr>
          <w:spacing w:val="54"/>
        </w:rPr>
        <w:t xml:space="preserve"> </w:t>
      </w:r>
      <w:r>
        <w:t>Children’s</w:t>
      </w:r>
      <w:r>
        <w:rPr>
          <w:spacing w:val="-57"/>
        </w:rPr>
        <w:t xml:space="preserve"> </w:t>
      </w:r>
      <w:r>
        <w:t>ACO (“BCH ACO”), serves approximately 20% of all pediatric MassHealth ACO enrollees, the</w:t>
      </w:r>
      <w:r>
        <w:rPr>
          <w:spacing w:val="1"/>
        </w:rPr>
        <w:t xml:space="preserve"> </w:t>
      </w:r>
      <w:r>
        <w:t>highest percentage among MassHealth ACOs. It is the only statewide ACO dedicated to serving</w:t>
      </w:r>
      <w:r>
        <w:rPr>
          <w:spacing w:val="1"/>
        </w:rPr>
        <w:t xml:space="preserve"> </w:t>
      </w:r>
      <w:r>
        <w:t>children and adolescents. As of June 30, 2020, BCH ACO membership had grown to 111,328</w:t>
      </w:r>
      <w:r>
        <w:rPr>
          <w:spacing w:val="1"/>
        </w:rPr>
        <w:t xml:space="preserve"> </w:t>
      </w:r>
      <w:r>
        <w:t>members. In general, BCH ACO takes on 75% of the risk for the plan. Thus, the Applicant is</w:t>
      </w:r>
      <w:r>
        <w:rPr>
          <w:spacing w:val="1"/>
        </w:rPr>
        <w:t xml:space="preserve"> </w:t>
      </w:r>
      <w:r>
        <w:t>increasingly</w:t>
      </w:r>
      <w:r>
        <w:rPr>
          <w:spacing w:val="-6"/>
        </w:rPr>
        <w:t xml:space="preserve"> </w:t>
      </w:r>
      <w:r>
        <w:t>aligned with</w:t>
      </w:r>
      <w:r>
        <w:rPr>
          <w:spacing w:val="2"/>
        </w:rPr>
        <w:t xml:space="preserve"> </w:t>
      </w:r>
      <w:r>
        <w:t>the</w:t>
      </w:r>
      <w:r>
        <w:rPr>
          <w:spacing w:val="-2"/>
        </w:rPr>
        <w:t xml:space="preserve"> </w:t>
      </w:r>
      <w:r>
        <w:t>Commonwealth’s cost containment</w:t>
      </w:r>
      <w:r>
        <w:rPr>
          <w:spacing w:val="-1"/>
        </w:rPr>
        <w:t xml:space="preserve"> </w:t>
      </w:r>
      <w:r>
        <w:t>goals.</w:t>
      </w:r>
    </w:p>
    <w:p w:rsidR="00D862F2" w:rsidRDefault="00D862F2">
      <w:pPr>
        <w:pStyle w:val="BodyText"/>
      </w:pPr>
    </w:p>
    <w:p w:rsidR="00D862F2" w:rsidRDefault="00884FE4">
      <w:pPr>
        <w:pStyle w:val="BodyText"/>
        <w:ind w:left="219" w:right="273"/>
        <w:jc w:val="both"/>
      </w:pPr>
      <w:r>
        <w:t>The Proposed Project is intended to preserve and enhance existing access to the Applicant’s</w:t>
      </w:r>
      <w:r>
        <w:rPr>
          <w:spacing w:val="1"/>
        </w:rPr>
        <w:t xml:space="preserve"> </w:t>
      </w:r>
      <w:r>
        <w:t>services</w:t>
      </w:r>
      <w:r>
        <w:rPr>
          <w:spacing w:val="1"/>
        </w:rPr>
        <w:t xml:space="preserve"> </w:t>
      </w:r>
      <w:r>
        <w:t>in</w:t>
      </w:r>
      <w:r>
        <w:rPr>
          <w:spacing w:val="1"/>
        </w:rPr>
        <w:t xml:space="preserve"> </w:t>
      </w:r>
      <w:r>
        <w:t>the</w:t>
      </w:r>
      <w:r>
        <w:rPr>
          <w:spacing w:val="1"/>
        </w:rPr>
        <w:t xml:space="preserve"> </w:t>
      </w:r>
      <w:r>
        <w:t>community.</w:t>
      </w:r>
      <w:r>
        <w:rPr>
          <w:spacing w:val="1"/>
        </w:rPr>
        <w:t xml:space="preserve"> </w:t>
      </w:r>
      <w:r>
        <w:t>For</w:t>
      </w:r>
      <w:r>
        <w:rPr>
          <w:spacing w:val="1"/>
        </w:rPr>
        <w:t xml:space="preserve"> </w:t>
      </w:r>
      <w:r>
        <w:t>example,</w:t>
      </w:r>
      <w:r>
        <w:rPr>
          <w:spacing w:val="1"/>
        </w:rPr>
        <w:t xml:space="preserve"> </w:t>
      </w:r>
      <w:r>
        <w:t>the</w:t>
      </w:r>
      <w:r>
        <w:rPr>
          <w:spacing w:val="1"/>
        </w:rPr>
        <w:t xml:space="preserve"> </w:t>
      </w:r>
      <w:r>
        <w:t>Weymouth</w:t>
      </w:r>
      <w:r>
        <w:rPr>
          <w:spacing w:val="1"/>
        </w:rPr>
        <w:t xml:space="preserve"> </w:t>
      </w:r>
      <w:r>
        <w:t>Facility is</w:t>
      </w:r>
      <w:r>
        <w:rPr>
          <w:spacing w:val="1"/>
        </w:rPr>
        <w:t xml:space="preserve"> </w:t>
      </w:r>
      <w:r>
        <w:t>in</w:t>
      </w:r>
      <w:r>
        <w:rPr>
          <w:spacing w:val="1"/>
        </w:rPr>
        <w:t xml:space="preserve"> </w:t>
      </w:r>
      <w:r>
        <w:t>part</w:t>
      </w:r>
      <w:r>
        <w:rPr>
          <w:spacing w:val="1"/>
        </w:rPr>
        <w:t xml:space="preserve"> </w:t>
      </w:r>
      <w:r>
        <w:t>a</w:t>
      </w:r>
      <w:r>
        <w:rPr>
          <w:spacing w:val="60"/>
        </w:rPr>
        <w:t xml:space="preserve"> </w:t>
      </w:r>
      <w:r>
        <w:t>relocation</w:t>
      </w:r>
      <w:r>
        <w:rPr>
          <w:spacing w:val="60"/>
        </w:rPr>
        <w:t xml:space="preserve"> </w:t>
      </w:r>
      <w:r>
        <w:t>of</w:t>
      </w:r>
      <w:r>
        <w:rPr>
          <w:spacing w:val="-57"/>
        </w:rPr>
        <w:t xml:space="preserve"> </w:t>
      </w:r>
      <w:r>
        <w:t>services currently being provided in Weymouth by the Applicant’s physicians. The consolidation</w:t>
      </w:r>
      <w:r>
        <w:rPr>
          <w:spacing w:val="-57"/>
        </w:rPr>
        <w:t xml:space="preserve"> </w:t>
      </w:r>
      <w:r>
        <w:t>of day surgery services at the Waltham Facility and the Needham Facility, as noted above, will</w:t>
      </w:r>
      <w:r>
        <w:rPr>
          <w:spacing w:val="1"/>
        </w:rPr>
        <w:t xml:space="preserve"> </w:t>
      </w:r>
      <w:r>
        <w:t>achieve economies of scale. The Proposed Project will also support the provision of more timely,</w:t>
      </w:r>
      <w:r>
        <w:rPr>
          <w:spacing w:val="-57"/>
        </w:rPr>
        <w:t xml:space="preserve"> </w:t>
      </w:r>
      <w:r>
        <w:t>accessible,</w:t>
      </w:r>
      <w:r>
        <w:rPr>
          <w:spacing w:val="1"/>
        </w:rPr>
        <w:t xml:space="preserve"> </w:t>
      </w:r>
      <w:r>
        <w:t>and</w:t>
      </w:r>
      <w:r>
        <w:rPr>
          <w:spacing w:val="1"/>
        </w:rPr>
        <w:t xml:space="preserve"> </w:t>
      </w:r>
      <w:r>
        <w:t>cost-effective</w:t>
      </w:r>
      <w:r>
        <w:rPr>
          <w:spacing w:val="1"/>
        </w:rPr>
        <w:t xml:space="preserve"> </w:t>
      </w:r>
      <w:r>
        <w:t>care</w:t>
      </w:r>
      <w:r>
        <w:rPr>
          <w:spacing w:val="1"/>
        </w:rPr>
        <w:t xml:space="preserve"> </w:t>
      </w:r>
      <w:r>
        <w:t>for</w:t>
      </w:r>
      <w:r>
        <w:rPr>
          <w:spacing w:val="1"/>
        </w:rPr>
        <w:t xml:space="preserve"> </w:t>
      </w:r>
      <w:r>
        <w:t>lower-acuity</w:t>
      </w:r>
      <w:r>
        <w:rPr>
          <w:spacing w:val="1"/>
        </w:rPr>
        <w:t xml:space="preserve"> </w:t>
      </w:r>
      <w:r>
        <w:t>patients</w:t>
      </w:r>
      <w:r>
        <w:rPr>
          <w:spacing w:val="1"/>
        </w:rPr>
        <w:t xml:space="preserve"> </w:t>
      </w:r>
      <w:r>
        <w:t>not</w:t>
      </w:r>
      <w:r>
        <w:rPr>
          <w:spacing w:val="1"/>
        </w:rPr>
        <w:t xml:space="preserve"> </w:t>
      </w:r>
      <w:r>
        <w:t>requiring</w:t>
      </w:r>
      <w:r>
        <w:rPr>
          <w:spacing w:val="1"/>
        </w:rPr>
        <w:t xml:space="preserve"> </w:t>
      </w:r>
      <w:r>
        <w:t>treatment</w:t>
      </w:r>
      <w:r>
        <w:rPr>
          <w:spacing w:val="1"/>
        </w:rPr>
        <w:t xml:space="preserve"> </w:t>
      </w:r>
      <w:r>
        <w:t>at</w:t>
      </w:r>
      <w:r>
        <w:rPr>
          <w:spacing w:val="1"/>
        </w:rPr>
        <w:t xml:space="preserve"> </w:t>
      </w:r>
      <w:r>
        <w:t>the</w:t>
      </w:r>
      <w:r>
        <w:rPr>
          <w:spacing w:val="1"/>
        </w:rPr>
        <w:t xml:space="preserve"> </w:t>
      </w:r>
      <w:r>
        <w:t>Hospital’s main campus. For the most commonly used procedures in the operating rooms and the</w:t>
      </w:r>
      <w:r>
        <w:rPr>
          <w:spacing w:val="-57"/>
        </w:rPr>
        <w:t xml:space="preserve"> </w:t>
      </w:r>
      <w:r>
        <w:t>MRI, the Hospital is competitively priced with regard to community hospitals. In addition, the</w:t>
      </w:r>
      <w:r>
        <w:rPr>
          <w:spacing w:val="1"/>
        </w:rPr>
        <w:t xml:space="preserve"> </w:t>
      </w:r>
      <w:r>
        <w:t>Hospital’s rate for MRIs is twenty percent (20%) lower than Boston rates. Furthermore, the</w:t>
      </w:r>
      <w:r>
        <w:rPr>
          <w:spacing w:val="1"/>
        </w:rPr>
        <w:t xml:space="preserve"> </w:t>
      </w:r>
      <w:r>
        <w:t>Hospital’s utilization of specialized techniques for pediatric anesthesia may lower cost of care as</w:t>
      </w:r>
      <w:r>
        <w:rPr>
          <w:spacing w:val="1"/>
        </w:rPr>
        <w:t xml:space="preserve"> </w:t>
      </w:r>
      <w:r>
        <w:t>new</w:t>
      </w:r>
      <w:r>
        <w:rPr>
          <w:spacing w:val="1"/>
        </w:rPr>
        <w:t xml:space="preserve"> </w:t>
      </w:r>
      <w:r>
        <w:t>regional</w:t>
      </w:r>
      <w:r>
        <w:rPr>
          <w:spacing w:val="1"/>
        </w:rPr>
        <w:t xml:space="preserve"> </w:t>
      </w:r>
      <w:r>
        <w:t>anesthesia</w:t>
      </w:r>
      <w:r>
        <w:rPr>
          <w:spacing w:val="1"/>
        </w:rPr>
        <w:t xml:space="preserve"> </w:t>
      </w:r>
      <w:r>
        <w:t>and</w:t>
      </w:r>
      <w:r>
        <w:rPr>
          <w:spacing w:val="1"/>
        </w:rPr>
        <w:t xml:space="preserve"> </w:t>
      </w:r>
      <w:r>
        <w:t>catheter</w:t>
      </w:r>
      <w:r>
        <w:rPr>
          <w:spacing w:val="1"/>
        </w:rPr>
        <w:t xml:space="preserve"> </w:t>
      </w:r>
      <w:r>
        <w:t>insertions</w:t>
      </w:r>
      <w:r>
        <w:rPr>
          <w:spacing w:val="1"/>
        </w:rPr>
        <w:t xml:space="preserve"> </w:t>
      </w:r>
      <w:r>
        <w:t>allow</w:t>
      </w:r>
      <w:r>
        <w:rPr>
          <w:spacing w:val="1"/>
        </w:rPr>
        <w:t xml:space="preserve"> </w:t>
      </w:r>
      <w:r>
        <w:t>children</w:t>
      </w:r>
      <w:r>
        <w:rPr>
          <w:spacing w:val="1"/>
        </w:rPr>
        <w:t xml:space="preserve"> </w:t>
      </w:r>
      <w:r>
        <w:t>to</w:t>
      </w:r>
      <w:r>
        <w:rPr>
          <w:spacing w:val="1"/>
        </w:rPr>
        <w:t xml:space="preserve"> </w:t>
      </w:r>
      <w:r>
        <w:t>return</w:t>
      </w:r>
      <w:r>
        <w:rPr>
          <w:spacing w:val="1"/>
        </w:rPr>
        <w:t xml:space="preserve"> </w:t>
      </w:r>
      <w:r>
        <w:t>home</w:t>
      </w:r>
      <w:r>
        <w:rPr>
          <w:spacing w:val="1"/>
        </w:rPr>
        <w:t xml:space="preserve"> </w:t>
      </w:r>
      <w:r>
        <w:t>immediately</w:t>
      </w:r>
      <w:r>
        <w:rPr>
          <w:spacing w:val="-57"/>
        </w:rPr>
        <w:t xml:space="preserve"> </w:t>
      </w:r>
      <w:r>
        <w:t>following invasive procedures and surgery, thus eliminating the costs of a two-day inpatient stay.</w:t>
      </w:r>
      <w:r>
        <w:rPr>
          <w:spacing w:val="-57"/>
        </w:rPr>
        <w:t xml:space="preserve"> </w:t>
      </w:r>
      <w:r>
        <w:t>The Proposed Project will expand and/or enhance access to pediatric specialty services at the</w:t>
      </w:r>
      <w:r>
        <w:rPr>
          <w:spacing w:val="1"/>
        </w:rPr>
        <w:t xml:space="preserve"> </w:t>
      </w:r>
      <w:r>
        <w:t>Applicant’s existing locations and address existing demand for pediatric-specific services, which</w:t>
      </w:r>
      <w:r>
        <w:rPr>
          <w:spacing w:val="1"/>
        </w:rPr>
        <w:t xml:space="preserve"> </w:t>
      </w:r>
      <w:r>
        <w:t>may result in offsetting the need for other and/or additional services that would be required if</w:t>
      </w:r>
      <w:r>
        <w:rPr>
          <w:spacing w:val="1"/>
        </w:rPr>
        <w:t xml:space="preserve"> </w:t>
      </w:r>
      <w:r>
        <w:t>clinically</w:t>
      </w:r>
      <w:r>
        <w:rPr>
          <w:spacing w:val="-6"/>
        </w:rPr>
        <w:t xml:space="preserve"> </w:t>
      </w:r>
      <w:r>
        <w:t>appropriate</w:t>
      </w:r>
      <w:r>
        <w:rPr>
          <w:spacing w:val="1"/>
        </w:rPr>
        <w:t xml:space="preserve"> </w:t>
      </w:r>
      <w:r>
        <w:t>care</w:t>
      </w:r>
      <w:r>
        <w:rPr>
          <w:spacing w:val="-1"/>
        </w:rPr>
        <w:t xml:space="preserve"> </w:t>
      </w:r>
      <w:r>
        <w:t>were</w:t>
      </w:r>
      <w:r>
        <w:rPr>
          <w:spacing w:val="-1"/>
        </w:rPr>
        <w:t xml:space="preserve"> </w:t>
      </w:r>
      <w:r>
        <w:t>delayed.</w:t>
      </w:r>
    </w:p>
    <w:p w:rsidR="00D862F2" w:rsidRDefault="00D862F2">
      <w:pPr>
        <w:pStyle w:val="BodyText"/>
        <w:spacing w:before="10"/>
        <w:rPr>
          <w:sz w:val="25"/>
        </w:rPr>
      </w:pPr>
    </w:p>
    <w:p w:rsidR="00D862F2" w:rsidRDefault="00884FE4">
      <w:pPr>
        <w:spacing w:before="1"/>
        <w:ind w:left="220"/>
        <w:jc w:val="both"/>
        <w:rPr>
          <w:b/>
          <w:sz w:val="24"/>
        </w:rPr>
      </w:pPr>
      <w:r>
        <w:rPr>
          <w:b/>
          <w:sz w:val="24"/>
          <w:u w:val="single"/>
        </w:rPr>
        <w:t>F1.b.i</w:t>
      </w:r>
      <w:r>
        <w:rPr>
          <w:b/>
          <w:spacing w:val="58"/>
          <w:sz w:val="24"/>
          <w:u w:val="single"/>
        </w:rPr>
        <w:t xml:space="preserve"> </w:t>
      </w:r>
      <w:r>
        <w:rPr>
          <w:b/>
          <w:sz w:val="24"/>
          <w:u w:val="single"/>
        </w:rPr>
        <w:t>Public</w:t>
      </w:r>
      <w:r>
        <w:rPr>
          <w:b/>
          <w:spacing w:val="-3"/>
          <w:sz w:val="24"/>
          <w:u w:val="single"/>
        </w:rPr>
        <w:t xml:space="preserve"> </w:t>
      </w:r>
      <w:r>
        <w:rPr>
          <w:b/>
          <w:sz w:val="24"/>
          <w:u w:val="single"/>
        </w:rPr>
        <w:t>Health</w:t>
      </w:r>
      <w:r>
        <w:rPr>
          <w:b/>
          <w:spacing w:val="-1"/>
          <w:sz w:val="24"/>
          <w:u w:val="single"/>
        </w:rPr>
        <w:t xml:space="preserve"> </w:t>
      </w:r>
      <w:r>
        <w:rPr>
          <w:b/>
          <w:sz w:val="24"/>
          <w:u w:val="single"/>
        </w:rPr>
        <w:t>Value/Evidence</w:t>
      </w:r>
      <w:r>
        <w:rPr>
          <w:b/>
          <w:spacing w:val="-3"/>
          <w:sz w:val="24"/>
          <w:u w:val="single"/>
        </w:rPr>
        <w:t xml:space="preserve"> </w:t>
      </w:r>
      <w:r>
        <w:rPr>
          <w:b/>
          <w:sz w:val="24"/>
          <w:u w:val="single"/>
        </w:rPr>
        <w:t>Based</w:t>
      </w:r>
    </w:p>
    <w:p w:rsidR="00D862F2" w:rsidRDefault="00884FE4" w:rsidP="002C14E1">
      <w:pPr>
        <w:pStyle w:val="BodyText"/>
      </w:pPr>
      <w:r>
        <w:t>Provide</w:t>
      </w:r>
      <w:r>
        <w:rPr>
          <w:spacing w:val="28"/>
        </w:rPr>
        <w:t xml:space="preserve"> </w:t>
      </w:r>
      <w:r>
        <w:t>information</w:t>
      </w:r>
      <w:r>
        <w:rPr>
          <w:spacing w:val="30"/>
        </w:rPr>
        <w:t xml:space="preserve"> </w:t>
      </w:r>
      <w:r>
        <w:t>on</w:t>
      </w:r>
      <w:r>
        <w:rPr>
          <w:spacing w:val="30"/>
        </w:rPr>
        <w:t xml:space="preserve"> </w:t>
      </w:r>
      <w:r>
        <w:t>the</w:t>
      </w:r>
      <w:r>
        <w:rPr>
          <w:spacing w:val="28"/>
        </w:rPr>
        <w:t xml:space="preserve"> </w:t>
      </w:r>
      <w:r>
        <w:t>evidence-base</w:t>
      </w:r>
      <w:r>
        <w:rPr>
          <w:spacing w:val="28"/>
        </w:rPr>
        <w:t xml:space="preserve"> </w:t>
      </w:r>
      <w:r>
        <w:t>for</w:t>
      </w:r>
      <w:r>
        <w:rPr>
          <w:spacing w:val="28"/>
        </w:rPr>
        <w:t xml:space="preserve"> </w:t>
      </w:r>
      <w:r>
        <w:t>the</w:t>
      </w:r>
      <w:r>
        <w:rPr>
          <w:spacing w:val="28"/>
        </w:rPr>
        <w:t xml:space="preserve"> </w:t>
      </w:r>
      <w:r>
        <w:t>Proposed</w:t>
      </w:r>
      <w:r>
        <w:rPr>
          <w:spacing w:val="30"/>
        </w:rPr>
        <w:t xml:space="preserve"> </w:t>
      </w:r>
      <w:r>
        <w:t>Project.</w:t>
      </w:r>
      <w:r>
        <w:rPr>
          <w:spacing w:val="1"/>
        </w:rPr>
        <w:t xml:space="preserve"> </w:t>
      </w:r>
      <w:r>
        <w:t>That</w:t>
      </w:r>
      <w:r>
        <w:rPr>
          <w:spacing w:val="28"/>
        </w:rPr>
        <w:t xml:space="preserve"> </w:t>
      </w:r>
      <w:r>
        <w:t>is,</w:t>
      </w:r>
      <w:r>
        <w:rPr>
          <w:spacing w:val="29"/>
        </w:rPr>
        <w:t xml:space="preserve"> </w:t>
      </w:r>
      <w:r>
        <w:t>how</w:t>
      </w:r>
      <w:r>
        <w:rPr>
          <w:spacing w:val="-57"/>
        </w:rPr>
        <w:t xml:space="preserve"> </w:t>
      </w:r>
      <w:r>
        <w:t>does</w:t>
      </w:r>
      <w:r>
        <w:rPr>
          <w:spacing w:val="-1"/>
        </w:rPr>
        <w:t xml:space="preserve"> </w:t>
      </w:r>
      <w:r>
        <w:t>the</w:t>
      </w:r>
      <w:r>
        <w:rPr>
          <w:spacing w:val="-2"/>
        </w:rPr>
        <w:t xml:space="preserve"> </w:t>
      </w:r>
      <w:r>
        <w:t>Proposed</w:t>
      </w:r>
      <w:r>
        <w:rPr>
          <w:spacing w:val="1"/>
        </w:rPr>
        <w:t xml:space="preserve"> </w:t>
      </w:r>
      <w:r>
        <w:t>Project</w:t>
      </w:r>
      <w:r>
        <w:rPr>
          <w:spacing w:val="-2"/>
        </w:rPr>
        <w:t xml:space="preserve"> </w:t>
      </w:r>
      <w:r>
        <w:t>address the</w:t>
      </w:r>
      <w:r>
        <w:rPr>
          <w:spacing w:val="-2"/>
        </w:rPr>
        <w:t xml:space="preserve"> </w:t>
      </w:r>
      <w:r>
        <w:t>Need</w:t>
      </w:r>
      <w:r>
        <w:rPr>
          <w:spacing w:val="1"/>
        </w:rPr>
        <w:t xml:space="preserve"> </w:t>
      </w:r>
      <w:r>
        <w:t>that</w:t>
      </w:r>
      <w:r>
        <w:rPr>
          <w:spacing w:val="-2"/>
        </w:rPr>
        <w:t xml:space="preserve"> </w:t>
      </w:r>
      <w:r>
        <w:t>Applicant</w:t>
      </w:r>
      <w:r>
        <w:rPr>
          <w:spacing w:val="-1"/>
        </w:rPr>
        <w:t xml:space="preserve"> </w:t>
      </w:r>
      <w:r>
        <w:t>has</w:t>
      </w:r>
      <w:r>
        <w:rPr>
          <w:spacing w:val="-1"/>
        </w:rPr>
        <w:t xml:space="preserve"> </w:t>
      </w:r>
      <w:r>
        <w:t>identified.</w:t>
      </w:r>
    </w:p>
    <w:p w:rsidR="00D862F2" w:rsidRDefault="00D862F2">
      <w:pPr>
        <w:pStyle w:val="BodyText"/>
        <w:spacing w:before="6"/>
        <w:rPr>
          <w:b/>
          <w:sz w:val="23"/>
        </w:rPr>
      </w:pPr>
    </w:p>
    <w:p w:rsidR="00D862F2" w:rsidRDefault="00884FE4">
      <w:pPr>
        <w:pStyle w:val="BodyText"/>
        <w:ind w:left="220" w:right="279"/>
        <w:jc w:val="both"/>
      </w:pPr>
      <w:r>
        <w:t>As noted above in F1.a.i and F1.a.ii, the Proposed Project is intended to provide space and</w:t>
      </w:r>
      <w:r>
        <w:rPr>
          <w:spacing w:val="1"/>
        </w:rPr>
        <w:t xml:space="preserve"> </w:t>
      </w:r>
      <w:r>
        <w:t>capacity in order to improve access for patients and their families to pediatric specialty care that</w:t>
      </w:r>
      <w:r>
        <w:rPr>
          <w:spacing w:val="1"/>
        </w:rPr>
        <w:t xml:space="preserve"> </w:t>
      </w:r>
      <w:r>
        <w:t>can</w:t>
      </w:r>
      <w:r>
        <w:rPr>
          <w:spacing w:val="1"/>
        </w:rPr>
        <w:t xml:space="preserve"> </w:t>
      </w:r>
      <w:r>
        <w:t>be</w:t>
      </w:r>
      <w:r>
        <w:rPr>
          <w:spacing w:val="1"/>
        </w:rPr>
        <w:t xml:space="preserve"> </w:t>
      </w:r>
      <w:r>
        <w:t>safely</w:t>
      </w:r>
      <w:r>
        <w:rPr>
          <w:spacing w:val="1"/>
        </w:rPr>
        <w:t xml:space="preserve"> </w:t>
      </w:r>
      <w:r>
        <w:t>and</w:t>
      </w:r>
      <w:r>
        <w:rPr>
          <w:spacing w:val="1"/>
        </w:rPr>
        <w:t xml:space="preserve"> </w:t>
      </w:r>
      <w:r>
        <w:t>effectively</w:t>
      </w:r>
      <w:r>
        <w:rPr>
          <w:spacing w:val="1"/>
        </w:rPr>
        <w:t xml:space="preserve"> </w:t>
      </w:r>
      <w:r>
        <w:t>provided</w:t>
      </w:r>
      <w:r>
        <w:rPr>
          <w:spacing w:val="1"/>
        </w:rPr>
        <w:t xml:space="preserve"> </w:t>
      </w:r>
      <w:r>
        <w:t>in</w:t>
      </w:r>
      <w:r>
        <w:rPr>
          <w:spacing w:val="1"/>
        </w:rPr>
        <w:t xml:space="preserve"> </w:t>
      </w:r>
      <w:r>
        <w:t>community</w:t>
      </w:r>
      <w:r>
        <w:rPr>
          <w:spacing w:val="1"/>
        </w:rPr>
        <w:t xml:space="preserve"> </w:t>
      </w:r>
      <w:r>
        <w:t>settings—including,</w:t>
      </w:r>
      <w:r>
        <w:rPr>
          <w:spacing w:val="1"/>
        </w:rPr>
        <w:t xml:space="preserve"> </w:t>
      </w:r>
      <w:r>
        <w:t>among</w:t>
      </w:r>
      <w:r>
        <w:rPr>
          <w:spacing w:val="60"/>
        </w:rPr>
        <w:t xml:space="preserve"> </w:t>
      </w:r>
      <w:r>
        <w:t>others,</w:t>
      </w:r>
      <w:r>
        <w:rPr>
          <w:spacing w:val="1"/>
        </w:rPr>
        <w:t xml:space="preserve"> </w:t>
      </w:r>
      <w:r>
        <w:t>pediatric behavioral health, gastroenterology, orthopedics, ophthalmology, and sleep medicine.</w:t>
      </w:r>
      <w:r>
        <w:rPr>
          <w:spacing w:val="1"/>
        </w:rPr>
        <w:t xml:space="preserve"> </w:t>
      </w:r>
      <w:r>
        <w:t>These services by definition address both time-sensitive acute needs (like gastroenterology) and</w:t>
      </w:r>
      <w:r>
        <w:rPr>
          <w:spacing w:val="1"/>
        </w:rPr>
        <w:t xml:space="preserve"> </w:t>
      </w:r>
      <w:r>
        <w:t>the ongoing, lifetime care need of children with chronic or congenital conditions. Among major</w:t>
      </w:r>
      <w:r>
        <w:rPr>
          <w:spacing w:val="1"/>
        </w:rPr>
        <w:t xml:space="preserve"> </w:t>
      </w:r>
      <w:r>
        <w:t>academic medical centers (“AMCs”) in Boston, Boston Children’s treated 73% of the pediatric</w:t>
      </w:r>
      <w:r>
        <w:rPr>
          <w:spacing w:val="1"/>
        </w:rPr>
        <w:t xml:space="preserve"> </w:t>
      </w:r>
      <w:r>
        <w:t>patients with cases in the top two categories of severity in 2017 and 2018 combined. Such</w:t>
      </w:r>
      <w:r>
        <w:rPr>
          <w:spacing w:val="1"/>
        </w:rPr>
        <w:t xml:space="preserve"> </w:t>
      </w:r>
      <w:r>
        <w:t>interventions</w:t>
      </w:r>
      <w:r>
        <w:rPr>
          <w:spacing w:val="-1"/>
        </w:rPr>
        <w:t xml:space="preserve"> </w:t>
      </w:r>
      <w:r>
        <w:t>may</w:t>
      </w:r>
      <w:r>
        <w:rPr>
          <w:spacing w:val="-5"/>
        </w:rPr>
        <w:t xml:space="preserve"> </w:t>
      </w:r>
      <w:r>
        <w:t>offer</w:t>
      </w:r>
      <w:r>
        <w:rPr>
          <w:spacing w:val="-1"/>
        </w:rPr>
        <w:t xml:space="preserve"> </w:t>
      </w:r>
      <w:r>
        <w:t>a</w:t>
      </w:r>
      <w:r>
        <w:rPr>
          <w:spacing w:val="1"/>
        </w:rPr>
        <w:t xml:space="preserve"> </w:t>
      </w:r>
      <w:r>
        <w:t>lifetime</w:t>
      </w:r>
      <w:r>
        <w:rPr>
          <w:spacing w:val="-1"/>
        </w:rPr>
        <w:t xml:space="preserve"> </w:t>
      </w:r>
      <w:r>
        <w:t>of</w:t>
      </w:r>
      <w:r>
        <w:rPr>
          <w:spacing w:val="-1"/>
        </w:rPr>
        <w:t xml:space="preserve"> </w:t>
      </w:r>
      <w:r>
        <w:t>health benefits.</w:t>
      </w:r>
    </w:p>
    <w:p w:rsidR="00D862F2" w:rsidRDefault="00D862F2">
      <w:pPr>
        <w:pStyle w:val="BodyText"/>
      </w:pPr>
    </w:p>
    <w:p w:rsidR="00D862F2" w:rsidRDefault="00884FE4">
      <w:pPr>
        <w:pStyle w:val="BodyText"/>
        <w:spacing w:before="1"/>
        <w:ind w:left="220" w:right="279"/>
        <w:jc w:val="both"/>
      </w:pPr>
      <w:r>
        <w:t>The Proposed Project will add much-needed capacity closer to where more of the Applicant’s</w:t>
      </w:r>
      <w:r>
        <w:rPr>
          <w:spacing w:val="1"/>
        </w:rPr>
        <w:t xml:space="preserve"> </w:t>
      </w:r>
      <w:r>
        <w:t>patients live, as seen in Table 1 and Table 2 above, by siting locations near major transportation</w:t>
      </w:r>
      <w:r>
        <w:rPr>
          <w:spacing w:val="1"/>
        </w:rPr>
        <w:t xml:space="preserve"> </w:t>
      </w:r>
      <w:r>
        <w:t>routes</w:t>
      </w:r>
      <w:r>
        <w:rPr>
          <w:spacing w:val="29"/>
        </w:rPr>
        <w:t xml:space="preserve"> </w:t>
      </w:r>
      <w:r>
        <w:t>to</w:t>
      </w:r>
      <w:r>
        <w:rPr>
          <w:spacing w:val="30"/>
        </w:rPr>
        <w:t xml:space="preserve"> </w:t>
      </w:r>
      <w:r>
        <w:t>provide</w:t>
      </w:r>
      <w:r>
        <w:rPr>
          <w:spacing w:val="29"/>
        </w:rPr>
        <w:t xml:space="preserve"> </w:t>
      </w:r>
      <w:r>
        <w:t>“gateways</w:t>
      </w:r>
      <w:r>
        <w:rPr>
          <w:spacing w:val="30"/>
        </w:rPr>
        <w:t xml:space="preserve"> </w:t>
      </w:r>
      <w:r>
        <w:t>to</w:t>
      </w:r>
      <w:r>
        <w:rPr>
          <w:spacing w:val="30"/>
        </w:rPr>
        <w:t xml:space="preserve"> </w:t>
      </w:r>
      <w:r>
        <w:t>access”</w:t>
      </w:r>
      <w:r>
        <w:rPr>
          <w:spacing w:val="29"/>
        </w:rPr>
        <w:t xml:space="preserve"> </w:t>
      </w:r>
      <w:r>
        <w:t>as</w:t>
      </w:r>
      <w:r>
        <w:rPr>
          <w:spacing w:val="30"/>
        </w:rPr>
        <w:t xml:space="preserve"> </w:t>
      </w:r>
      <w:r>
        <w:t>mentioned</w:t>
      </w:r>
      <w:r>
        <w:rPr>
          <w:spacing w:val="30"/>
        </w:rPr>
        <w:t xml:space="preserve"> </w:t>
      </w:r>
      <w:r>
        <w:t>above.</w:t>
      </w:r>
      <w:r>
        <w:rPr>
          <w:spacing w:val="30"/>
        </w:rPr>
        <w:t xml:space="preserve"> </w:t>
      </w:r>
      <w:r>
        <w:t>The</w:t>
      </w:r>
      <w:r>
        <w:rPr>
          <w:spacing w:val="31"/>
        </w:rPr>
        <w:t xml:space="preserve"> </w:t>
      </w:r>
      <w:r>
        <w:t>Applicant</w:t>
      </w:r>
      <w:r>
        <w:rPr>
          <w:spacing w:val="30"/>
        </w:rPr>
        <w:t xml:space="preserve"> </w:t>
      </w:r>
      <w:r>
        <w:t>is</w:t>
      </w:r>
      <w:r>
        <w:rPr>
          <w:spacing w:val="30"/>
        </w:rPr>
        <w:t xml:space="preserve"> </w:t>
      </w:r>
      <w:r>
        <w:t>currently</w:t>
      </w:r>
      <w:r>
        <w:rPr>
          <w:spacing w:val="25"/>
        </w:rPr>
        <w:t xml:space="preserve"> </w:t>
      </w:r>
      <w:r>
        <w:t>in</w:t>
      </w:r>
      <w:r>
        <w:rPr>
          <w:spacing w:val="30"/>
        </w:rPr>
        <w:t xml:space="preserve"> </w:t>
      </w:r>
      <w:r>
        <w:t>the</w:t>
      </w:r>
    </w:p>
    <w:p w:rsidR="00D862F2" w:rsidRDefault="00D862F2">
      <w:pPr>
        <w:jc w:val="both"/>
        <w:sectPr w:rsidR="00D862F2">
          <w:pgSz w:w="12240" w:h="15840"/>
          <w:pgMar w:top="1340" w:right="1160" w:bottom="980" w:left="1220" w:header="722" w:footer="794" w:gutter="0"/>
          <w:cols w:space="720"/>
        </w:sectPr>
      </w:pPr>
    </w:p>
    <w:p w:rsidR="00D862F2" w:rsidRDefault="00884FE4">
      <w:pPr>
        <w:pStyle w:val="BodyText"/>
        <w:spacing w:before="88"/>
        <w:ind w:left="219" w:right="272"/>
        <w:jc w:val="both"/>
      </w:pPr>
      <w:r>
        <w:lastRenderedPageBreak/>
        <w:t>process of adding inpatient psychiatric beds at its Waltham location, and the Proposed Project</w:t>
      </w:r>
      <w:r>
        <w:rPr>
          <w:spacing w:val="1"/>
        </w:rPr>
        <w:t xml:space="preserve"> </w:t>
      </w:r>
      <w:r>
        <w:t>will fill in the continuum of care offerings with its med-psych partial hospitalization program.</w:t>
      </w:r>
      <w:r>
        <w:rPr>
          <w:spacing w:val="1"/>
        </w:rPr>
        <w:t xml:space="preserve"> </w:t>
      </w:r>
      <w:r>
        <w:t>The Proposed Project will address gastroenterology capabilities at the Needham Facility, which</w:t>
      </w:r>
      <w:r>
        <w:rPr>
          <w:spacing w:val="1"/>
        </w:rPr>
        <w:t xml:space="preserve"> </w:t>
      </w:r>
      <w:r>
        <w:t>will be staffed with interdisciplinary care teams and supported by other co-located services,</w:t>
      </w:r>
      <w:r>
        <w:rPr>
          <w:spacing w:val="1"/>
        </w:rPr>
        <w:t xml:space="preserve"> </w:t>
      </w:r>
      <w:r>
        <w:t>including behavioral health. The Needham Facility will provide a more accessible and less costly</w:t>
      </w:r>
      <w:r>
        <w:rPr>
          <w:spacing w:val="-57"/>
        </w:rPr>
        <w:t xml:space="preserve"> </w:t>
      </w:r>
      <w:r>
        <w:t>location for certain procedures currently performed in the Longwood Medical Area and will</w:t>
      </w:r>
      <w:r>
        <w:rPr>
          <w:spacing w:val="1"/>
        </w:rPr>
        <w:t xml:space="preserve"> </w:t>
      </w:r>
      <w:r>
        <w:t>consolidate</w:t>
      </w:r>
      <w:r>
        <w:rPr>
          <w:spacing w:val="1"/>
        </w:rPr>
        <w:t xml:space="preserve"> </w:t>
      </w:r>
      <w:r>
        <w:t>day surgery</w:t>
      </w:r>
      <w:r>
        <w:rPr>
          <w:spacing w:val="1"/>
        </w:rPr>
        <w:t xml:space="preserve"> </w:t>
      </w:r>
      <w:r>
        <w:t>to</w:t>
      </w:r>
      <w:r>
        <w:rPr>
          <w:spacing w:val="1"/>
        </w:rPr>
        <w:t xml:space="preserve"> </w:t>
      </w:r>
      <w:r>
        <w:t>achieve</w:t>
      </w:r>
      <w:r>
        <w:rPr>
          <w:spacing w:val="1"/>
        </w:rPr>
        <w:t xml:space="preserve"> </w:t>
      </w:r>
      <w:r>
        <w:t>economies</w:t>
      </w:r>
      <w:r>
        <w:rPr>
          <w:spacing w:val="1"/>
        </w:rPr>
        <w:t xml:space="preserve"> </w:t>
      </w:r>
      <w:r>
        <w:t>of</w:t>
      </w:r>
      <w:r>
        <w:rPr>
          <w:spacing w:val="1"/>
        </w:rPr>
        <w:t xml:space="preserve"> </w:t>
      </w:r>
      <w:r>
        <w:t>scale.</w:t>
      </w:r>
      <w:r>
        <w:rPr>
          <w:spacing w:val="1"/>
        </w:rPr>
        <w:t xml:space="preserve"> </w:t>
      </w:r>
      <w:r>
        <w:t>The</w:t>
      </w:r>
      <w:r>
        <w:rPr>
          <w:spacing w:val="1"/>
        </w:rPr>
        <w:t xml:space="preserve"> </w:t>
      </w:r>
      <w:r>
        <w:t>Proposed</w:t>
      </w:r>
      <w:r>
        <w:rPr>
          <w:spacing w:val="1"/>
        </w:rPr>
        <w:t xml:space="preserve"> </w:t>
      </w:r>
      <w:r>
        <w:t>Project</w:t>
      </w:r>
      <w:r>
        <w:rPr>
          <w:spacing w:val="1"/>
        </w:rPr>
        <w:t xml:space="preserve"> </w:t>
      </w:r>
      <w:r>
        <w:t>will</w:t>
      </w:r>
      <w:r>
        <w:rPr>
          <w:spacing w:val="1"/>
        </w:rPr>
        <w:t xml:space="preserve"> </w:t>
      </w:r>
      <w:r>
        <w:t>provide</w:t>
      </w:r>
      <w:r>
        <w:rPr>
          <w:spacing w:val="1"/>
        </w:rPr>
        <w:t xml:space="preserve"> </w:t>
      </w:r>
      <w:r>
        <w:t>specialized pediatric MRI capabilities with the addition of two 3T MRI units that will support a</w:t>
      </w:r>
      <w:r>
        <w:rPr>
          <w:spacing w:val="1"/>
        </w:rPr>
        <w:t xml:space="preserve"> </w:t>
      </w:r>
      <w:r>
        <w:t>more sophisticated approach to imaging, the benefits of which are more fully described above in</w:t>
      </w:r>
      <w:r>
        <w:rPr>
          <w:spacing w:val="1"/>
        </w:rPr>
        <w:t xml:space="preserve"> </w:t>
      </w:r>
      <w:r>
        <w:t>Factor F1.a.ii. In addition, it will provide increased accessibility to other pediatric specialty</w:t>
      </w:r>
      <w:r>
        <w:rPr>
          <w:spacing w:val="1"/>
        </w:rPr>
        <w:t xml:space="preserve"> </w:t>
      </w:r>
      <w:r>
        <w:t>services, such as sleep, ophthalmology, and physical and occupational therapy, lowering barriers</w:t>
      </w:r>
      <w:r>
        <w:rPr>
          <w:spacing w:val="1"/>
        </w:rPr>
        <w:t xml:space="preserve"> </w:t>
      </w:r>
      <w:r>
        <w:t>to care presented by obtaining care at the Longwood Medical Area or in less optimal adult</w:t>
      </w:r>
      <w:r>
        <w:rPr>
          <w:spacing w:val="1"/>
        </w:rPr>
        <w:t xml:space="preserve"> </w:t>
      </w:r>
      <w:r>
        <w:t>settings.</w:t>
      </w:r>
    </w:p>
    <w:p w:rsidR="00D862F2" w:rsidRDefault="00D862F2">
      <w:pPr>
        <w:pStyle w:val="BodyText"/>
        <w:spacing w:before="10"/>
        <w:rPr>
          <w:sz w:val="25"/>
        </w:rPr>
      </w:pPr>
    </w:p>
    <w:p w:rsidR="00D862F2" w:rsidRDefault="00884FE4">
      <w:pPr>
        <w:ind w:left="220"/>
        <w:jc w:val="both"/>
        <w:rPr>
          <w:b/>
          <w:sz w:val="24"/>
        </w:rPr>
      </w:pPr>
      <w:r>
        <w:rPr>
          <w:b/>
          <w:sz w:val="24"/>
          <w:u w:val="single"/>
        </w:rPr>
        <w:t>F1.b.ii</w:t>
      </w:r>
      <w:r>
        <w:rPr>
          <w:b/>
          <w:spacing w:val="56"/>
          <w:sz w:val="24"/>
          <w:u w:val="single"/>
        </w:rPr>
        <w:t xml:space="preserve"> </w:t>
      </w:r>
      <w:r>
        <w:rPr>
          <w:b/>
          <w:sz w:val="24"/>
          <w:u w:val="single"/>
        </w:rPr>
        <w:t>Public</w:t>
      </w:r>
      <w:r>
        <w:rPr>
          <w:b/>
          <w:spacing w:val="-3"/>
          <w:sz w:val="24"/>
          <w:u w:val="single"/>
        </w:rPr>
        <w:t xml:space="preserve"> </w:t>
      </w:r>
      <w:r>
        <w:rPr>
          <w:b/>
          <w:sz w:val="24"/>
          <w:u w:val="single"/>
        </w:rPr>
        <w:t>Health</w:t>
      </w:r>
      <w:r>
        <w:rPr>
          <w:b/>
          <w:spacing w:val="-1"/>
          <w:sz w:val="24"/>
          <w:u w:val="single"/>
        </w:rPr>
        <w:t xml:space="preserve"> </w:t>
      </w:r>
      <w:r>
        <w:rPr>
          <w:b/>
          <w:sz w:val="24"/>
          <w:u w:val="single"/>
        </w:rPr>
        <w:t>Value/Outcome</w:t>
      </w:r>
      <w:r>
        <w:rPr>
          <w:b/>
          <w:spacing w:val="-3"/>
          <w:sz w:val="24"/>
          <w:u w:val="single"/>
        </w:rPr>
        <w:t xml:space="preserve"> </w:t>
      </w:r>
      <w:r>
        <w:rPr>
          <w:b/>
          <w:sz w:val="24"/>
          <w:u w:val="single"/>
        </w:rPr>
        <w:t>Oriented:</w:t>
      </w:r>
    </w:p>
    <w:p w:rsidR="00D862F2" w:rsidRDefault="00884FE4" w:rsidP="002C14E1">
      <w:pPr>
        <w:pStyle w:val="BodyText"/>
      </w:pPr>
      <w:r>
        <w:t>Describe the impact of the Proposed Project and how the Applicant will assess such</w:t>
      </w:r>
      <w:r>
        <w:rPr>
          <w:spacing w:val="1"/>
        </w:rPr>
        <w:t xml:space="preserve"> </w:t>
      </w:r>
      <w:r>
        <w:t>impact.</w:t>
      </w:r>
      <w:r>
        <w:rPr>
          <w:spacing w:val="1"/>
        </w:rPr>
        <w:t xml:space="preserve"> </w:t>
      </w:r>
      <w:r>
        <w:t>Provide projections demonstrating how the Proposed Project will improve</w:t>
      </w:r>
      <w:r>
        <w:rPr>
          <w:spacing w:val="1"/>
        </w:rPr>
        <w:t xml:space="preserve"> </w:t>
      </w:r>
      <w:r>
        <w:t>health outcomes, quality of life, or health equity.</w:t>
      </w:r>
      <w:r>
        <w:rPr>
          <w:spacing w:val="1"/>
        </w:rPr>
        <w:t xml:space="preserve"> </w:t>
      </w:r>
      <w:r>
        <w:t>Only measures that can be tracked</w:t>
      </w:r>
      <w:r>
        <w:rPr>
          <w:spacing w:val="-57"/>
        </w:rPr>
        <w:t xml:space="preserve"> </w:t>
      </w:r>
      <w:r>
        <w:t>and</w:t>
      </w:r>
      <w:r>
        <w:rPr>
          <w:spacing w:val="-1"/>
        </w:rPr>
        <w:t xml:space="preserve"> </w:t>
      </w:r>
      <w:r>
        <w:t>reported</w:t>
      </w:r>
      <w:r>
        <w:rPr>
          <w:spacing w:val="1"/>
        </w:rPr>
        <w:t xml:space="preserve"> </w:t>
      </w:r>
      <w:r>
        <w:t>over</w:t>
      </w:r>
      <w:r>
        <w:rPr>
          <w:spacing w:val="-1"/>
        </w:rPr>
        <w:t xml:space="preserve"> </w:t>
      </w:r>
      <w:r>
        <w:t>time</w:t>
      </w:r>
      <w:r>
        <w:rPr>
          <w:spacing w:val="1"/>
        </w:rPr>
        <w:t xml:space="preserve"> </w:t>
      </w:r>
      <w:r>
        <w:t>should</w:t>
      </w:r>
      <w:r>
        <w:rPr>
          <w:spacing w:val="-2"/>
        </w:rPr>
        <w:t xml:space="preserve"> </w:t>
      </w:r>
      <w:r>
        <w:t>be</w:t>
      </w:r>
      <w:r>
        <w:rPr>
          <w:spacing w:val="-1"/>
        </w:rPr>
        <w:t xml:space="preserve"> </w:t>
      </w:r>
      <w:r>
        <w:t>utilized.</w:t>
      </w:r>
    </w:p>
    <w:p w:rsidR="00D862F2" w:rsidRDefault="00D862F2">
      <w:pPr>
        <w:pStyle w:val="BodyText"/>
        <w:spacing w:before="7"/>
        <w:rPr>
          <w:b/>
          <w:sz w:val="23"/>
        </w:rPr>
      </w:pPr>
    </w:p>
    <w:p w:rsidR="00D862F2" w:rsidRDefault="00884FE4">
      <w:pPr>
        <w:pStyle w:val="BodyText"/>
        <w:ind w:left="220" w:right="276"/>
        <w:jc w:val="both"/>
      </w:pPr>
      <w:r>
        <w:t>The Applicant</w:t>
      </w:r>
      <w:r>
        <w:rPr>
          <w:spacing w:val="1"/>
        </w:rPr>
        <w:t xml:space="preserve"> </w:t>
      </w:r>
      <w:r>
        <w:t>anticipates</w:t>
      </w:r>
      <w:r>
        <w:rPr>
          <w:spacing w:val="1"/>
        </w:rPr>
        <w:t xml:space="preserve"> </w:t>
      </w:r>
      <w:r>
        <w:t>that</w:t>
      </w:r>
      <w:r>
        <w:rPr>
          <w:spacing w:val="1"/>
        </w:rPr>
        <w:t xml:space="preserve"> </w:t>
      </w:r>
      <w:r>
        <w:t>the Proposed Project</w:t>
      </w:r>
      <w:r>
        <w:rPr>
          <w:spacing w:val="1"/>
        </w:rPr>
        <w:t xml:space="preserve"> </w:t>
      </w:r>
      <w:r>
        <w:t>will</w:t>
      </w:r>
      <w:r>
        <w:rPr>
          <w:spacing w:val="1"/>
        </w:rPr>
        <w:t xml:space="preserve"> </w:t>
      </w:r>
      <w:r>
        <w:t>provide its</w:t>
      </w:r>
      <w:r>
        <w:rPr>
          <w:spacing w:val="1"/>
        </w:rPr>
        <w:t xml:space="preserve"> </w:t>
      </w:r>
      <w:r>
        <w:t>patients</w:t>
      </w:r>
      <w:r>
        <w:rPr>
          <w:spacing w:val="60"/>
        </w:rPr>
        <w:t xml:space="preserve"> </w:t>
      </w:r>
      <w:r>
        <w:t>with improved</w:t>
      </w:r>
      <w:r>
        <w:rPr>
          <w:spacing w:val="1"/>
        </w:rPr>
        <w:t xml:space="preserve"> </w:t>
      </w:r>
      <w:r>
        <w:t>health outcomes, quality of life and access to pediatric specialty services as more fully discussed</w:t>
      </w:r>
      <w:r>
        <w:rPr>
          <w:spacing w:val="1"/>
        </w:rPr>
        <w:t xml:space="preserve"> </w:t>
      </w:r>
      <w:r>
        <w:t>in Factor F1.a.ii. To assess the impact of the Proposed Project, the Applicant will track the</w:t>
      </w:r>
      <w:r>
        <w:rPr>
          <w:spacing w:val="1"/>
        </w:rPr>
        <w:t xml:space="preserve"> </w:t>
      </w:r>
      <w:r>
        <w:t>following</w:t>
      </w:r>
      <w:r>
        <w:rPr>
          <w:spacing w:val="-4"/>
        </w:rPr>
        <w:t xml:space="preserve"> </w:t>
      </w:r>
      <w:r>
        <w:t>metrics:</w:t>
      </w:r>
    </w:p>
    <w:p w:rsidR="00D862F2" w:rsidRDefault="00D862F2">
      <w:pPr>
        <w:pStyle w:val="BodyText"/>
      </w:pPr>
    </w:p>
    <w:p w:rsidR="00D862F2" w:rsidRDefault="00884FE4">
      <w:pPr>
        <w:pStyle w:val="ListParagraph"/>
        <w:numPr>
          <w:ilvl w:val="0"/>
          <w:numId w:val="5"/>
        </w:numPr>
        <w:tabs>
          <w:tab w:val="left" w:pos="940"/>
        </w:tabs>
        <w:ind w:right="358"/>
        <w:rPr>
          <w:sz w:val="24"/>
        </w:rPr>
      </w:pPr>
      <w:r>
        <w:rPr>
          <w:sz w:val="24"/>
        </w:rPr>
        <w:t>The proportion (per 1,000 patients) of children and families in non-Boston HSAs that are</w:t>
      </w:r>
      <w:r>
        <w:rPr>
          <w:spacing w:val="-57"/>
          <w:sz w:val="24"/>
        </w:rPr>
        <w:t xml:space="preserve"> </w:t>
      </w:r>
      <w:r>
        <w:rPr>
          <w:sz w:val="24"/>
        </w:rPr>
        <w:t>able</w:t>
      </w:r>
      <w:r>
        <w:rPr>
          <w:spacing w:val="-2"/>
          <w:sz w:val="24"/>
        </w:rPr>
        <w:t xml:space="preserve"> </w:t>
      </w:r>
      <w:r>
        <w:rPr>
          <w:sz w:val="24"/>
        </w:rPr>
        <w:t>to obtain the</w:t>
      </w:r>
      <w:r>
        <w:rPr>
          <w:spacing w:val="-1"/>
          <w:sz w:val="24"/>
        </w:rPr>
        <w:t xml:space="preserve"> </w:t>
      </w:r>
      <w:r>
        <w:rPr>
          <w:sz w:val="24"/>
        </w:rPr>
        <w:t>Applicant’s pediatric</w:t>
      </w:r>
      <w:r>
        <w:rPr>
          <w:spacing w:val="-1"/>
          <w:sz w:val="24"/>
        </w:rPr>
        <w:t xml:space="preserve"> </w:t>
      </w:r>
      <w:r>
        <w:rPr>
          <w:sz w:val="24"/>
        </w:rPr>
        <w:t>specialty</w:t>
      </w:r>
      <w:r>
        <w:rPr>
          <w:spacing w:val="-5"/>
          <w:sz w:val="24"/>
        </w:rPr>
        <w:t xml:space="preserve"> </w:t>
      </w:r>
      <w:r>
        <w:rPr>
          <w:sz w:val="24"/>
        </w:rPr>
        <w:t>care.</w:t>
      </w:r>
    </w:p>
    <w:p w:rsidR="00D862F2" w:rsidRDefault="00D862F2">
      <w:pPr>
        <w:pStyle w:val="BodyText"/>
        <w:spacing w:before="10"/>
        <w:rPr>
          <w:sz w:val="20"/>
        </w:rPr>
      </w:pPr>
    </w:p>
    <w:p w:rsidR="00D862F2" w:rsidRDefault="00884FE4">
      <w:pPr>
        <w:pStyle w:val="ListParagraph"/>
        <w:numPr>
          <w:ilvl w:val="0"/>
          <w:numId w:val="5"/>
        </w:numPr>
        <w:tabs>
          <w:tab w:val="left" w:pos="940"/>
        </w:tabs>
        <w:rPr>
          <w:sz w:val="24"/>
        </w:rPr>
      </w:pPr>
      <w:r>
        <w:rPr>
          <w:sz w:val="24"/>
        </w:rPr>
        <w:t>The</w:t>
      </w:r>
      <w:r>
        <w:rPr>
          <w:spacing w:val="-3"/>
          <w:sz w:val="24"/>
        </w:rPr>
        <w:t xml:space="preserve"> </w:t>
      </w:r>
      <w:r>
        <w:rPr>
          <w:sz w:val="24"/>
        </w:rPr>
        <w:t>number</w:t>
      </w:r>
      <w:r>
        <w:rPr>
          <w:spacing w:val="-2"/>
          <w:sz w:val="24"/>
        </w:rPr>
        <w:t xml:space="preserve"> </w:t>
      </w:r>
      <w:r>
        <w:rPr>
          <w:sz w:val="24"/>
        </w:rPr>
        <w:t>of</w:t>
      </w:r>
      <w:r>
        <w:rPr>
          <w:spacing w:val="-2"/>
          <w:sz w:val="24"/>
        </w:rPr>
        <w:t xml:space="preserve"> </w:t>
      </w:r>
      <w:r>
        <w:rPr>
          <w:sz w:val="24"/>
        </w:rPr>
        <w:t>patients</w:t>
      </w:r>
      <w:r>
        <w:rPr>
          <w:spacing w:val="-1"/>
          <w:sz w:val="24"/>
        </w:rPr>
        <w:t xml:space="preserve"> </w:t>
      </w:r>
      <w:r>
        <w:rPr>
          <w:sz w:val="24"/>
        </w:rPr>
        <w:t>each</w:t>
      </w:r>
      <w:r>
        <w:rPr>
          <w:spacing w:val="3"/>
          <w:sz w:val="24"/>
        </w:rPr>
        <w:t xml:space="preserve"> </w:t>
      </w:r>
      <w:r>
        <w:rPr>
          <w:sz w:val="24"/>
        </w:rPr>
        <w:t>year</w:t>
      </w:r>
      <w:r>
        <w:rPr>
          <w:spacing w:val="-3"/>
          <w:sz w:val="24"/>
        </w:rPr>
        <w:t xml:space="preserve"> </w:t>
      </w:r>
      <w:r>
        <w:rPr>
          <w:sz w:val="24"/>
        </w:rPr>
        <w:t>who</w:t>
      </w:r>
      <w:r>
        <w:rPr>
          <w:spacing w:val="-2"/>
          <w:sz w:val="24"/>
        </w:rPr>
        <w:t xml:space="preserve"> </w:t>
      </w:r>
      <w:r>
        <w:rPr>
          <w:sz w:val="24"/>
        </w:rPr>
        <w:t>obtain</w:t>
      </w:r>
      <w:r>
        <w:rPr>
          <w:spacing w:val="-1"/>
          <w:sz w:val="24"/>
        </w:rPr>
        <w:t xml:space="preserve"> </w:t>
      </w:r>
      <w:r>
        <w:rPr>
          <w:sz w:val="24"/>
        </w:rPr>
        <w:t>the following</w:t>
      </w:r>
      <w:r>
        <w:rPr>
          <w:spacing w:val="-4"/>
          <w:sz w:val="24"/>
        </w:rPr>
        <w:t xml:space="preserve"> </w:t>
      </w:r>
      <w:r>
        <w:rPr>
          <w:sz w:val="24"/>
        </w:rPr>
        <w:t>services</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community:</w:t>
      </w:r>
    </w:p>
    <w:p w:rsidR="00D862F2" w:rsidRDefault="00D862F2">
      <w:pPr>
        <w:pStyle w:val="BodyText"/>
        <w:spacing w:before="10"/>
        <w:rPr>
          <w:sz w:val="20"/>
        </w:rPr>
      </w:pPr>
    </w:p>
    <w:p w:rsidR="00D862F2" w:rsidRDefault="00884FE4">
      <w:pPr>
        <w:pStyle w:val="ListParagraph"/>
        <w:numPr>
          <w:ilvl w:val="1"/>
          <w:numId w:val="5"/>
        </w:numPr>
        <w:tabs>
          <w:tab w:val="left" w:pos="1660"/>
        </w:tabs>
        <w:rPr>
          <w:sz w:val="24"/>
        </w:rPr>
      </w:pPr>
      <w:r>
        <w:rPr>
          <w:sz w:val="24"/>
        </w:rPr>
        <w:t>outpatient</w:t>
      </w:r>
      <w:r>
        <w:rPr>
          <w:spacing w:val="-2"/>
          <w:sz w:val="24"/>
        </w:rPr>
        <w:t xml:space="preserve"> </w:t>
      </w:r>
      <w:r>
        <w:rPr>
          <w:sz w:val="24"/>
        </w:rPr>
        <w:t>behavioral</w:t>
      </w:r>
      <w:r>
        <w:rPr>
          <w:spacing w:val="-1"/>
          <w:sz w:val="24"/>
        </w:rPr>
        <w:t xml:space="preserve"> </w:t>
      </w:r>
      <w:r>
        <w:rPr>
          <w:sz w:val="24"/>
        </w:rPr>
        <w:t>health</w:t>
      </w:r>
      <w:r>
        <w:rPr>
          <w:spacing w:val="-1"/>
          <w:sz w:val="24"/>
        </w:rPr>
        <w:t xml:space="preserve"> </w:t>
      </w:r>
      <w:r>
        <w:rPr>
          <w:sz w:val="24"/>
        </w:rPr>
        <w:t>services,</w:t>
      </w:r>
      <w:r>
        <w:rPr>
          <w:spacing w:val="-1"/>
          <w:sz w:val="24"/>
        </w:rPr>
        <w:t xml:space="preserve"> </w:t>
      </w:r>
      <w:r>
        <w:rPr>
          <w:sz w:val="24"/>
        </w:rPr>
        <w:t>including</w:t>
      </w:r>
      <w:r>
        <w:rPr>
          <w:spacing w:val="-5"/>
          <w:sz w:val="24"/>
        </w:rPr>
        <w:t xml:space="preserve"> </w:t>
      </w:r>
      <w:r>
        <w:rPr>
          <w:sz w:val="24"/>
        </w:rPr>
        <w:t>partial</w:t>
      </w:r>
      <w:r>
        <w:rPr>
          <w:spacing w:val="-1"/>
          <w:sz w:val="24"/>
        </w:rPr>
        <w:t xml:space="preserve"> </w:t>
      </w:r>
      <w:r>
        <w:rPr>
          <w:sz w:val="24"/>
        </w:rPr>
        <w:t>hospitalization;</w:t>
      </w:r>
    </w:p>
    <w:p w:rsidR="00D862F2" w:rsidRDefault="00D862F2">
      <w:pPr>
        <w:pStyle w:val="BodyText"/>
        <w:spacing w:before="10"/>
        <w:rPr>
          <w:sz w:val="20"/>
        </w:rPr>
      </w:pPr>
    </w:p>
    <w:p w:rsidR="00D862F2" w:rsidRDefault="00884FE4">
      <w:pPr>
        <w:pStyle w:val="ListParagraph"/>
        <w:numPr>
          <w:ilvl w:val="1"/>
          <w:numId w:val="5"/>
        </w:numPr>
        <w:tabs>
          <w:tab w:val="left" w:pos="1660"/>
        </w:tabs>
        <w:rPr>
          <w:sz w:val="24"/>
        </w:rPr>
      </w:pPr>
      <w:r>
        <w:rPr>
          <w:sz w:val="24"/>
        </w:rPr>
        <w:t>gastroenterology</w:t>
      </w:r>
      <w:r>
        <w:rPr>
          <w:spacing w:val="-6"/>
          <w:sz w:val="24"/>
        </w:rPr>
        <w:t xml:space="preserve"> </w:t>
      </w:r>
      <w:r>
        <w:rPr>
          <w:sz w:val="24"/>
        </w:rPr>
        <w:t>services;</w:t>
      </w:r>
      <w:r>
        <w:rPr>
          <w:spacing w:val="-1"/>
          <w:sz w:val="24"/>
        </w:rPr>
        <w:t xml:space="preserve"> </w:t>
      </w:r>
      <w:r>
        <w:rPr>
          <w:sz w:val="24"/>
        </w:rPr>
        <w:t>and</w:t>
      </w:r>
    </w:p>
    <w:p w:rsidR="00D862F2" w:rsidRDefault="00D862F2">
      <w:pPr>
        <w:pStyle w:val="BodyText"/>
        <w:spacing w:before="10"/>
        <w:rPr>
          <w:sz w:val="20"/>
        </w:rPr>
      </w:pPr>
    </w:p>
    <w:p w:rsidR="00D862F2" w:rsidRDefault="00884FE4">
      <w:pPr>
        <w:pStyle w:val="ListParagraph"/>
        <w:numPr>
          <w:ilvl w:val="1"/>
          <w:numId w:val="5"/>
        </w:numPr>
        <w:tabs>
          <w:tab w:val="left" w:pos="1660"/>
        </w:tabs>
        <w:rPr>
          <w:sz w:val="24"/>
        </w:rPr>
      </w:pPr>
      <w:r>
        <w:rPr>
          <w:sz w:val="24"/>
        </w:rPr>
        <w:t>specialized</w:t>
      </w:r>
      <w:r>
        <w:rPr>
          <w:spacing w:val="-3"/>
          <w:sz w:val="24"/>
        </w:rPr>
        <w:t xml:space="preserve"> </w:t>
      </w:r>
      <w:r>
        <w:rPr>
          <w:sz w:val="24"/>
        </w:rPr>
        <w:t>pediatric</w:t>
      </w:r>
      <w:r>
        <w:rPr>
          <w:spacing w:val="-3"/>
          <w:sz w:val="24"/>
        </w:rPr>
        <w:t xml:space="preserve"> </w:t>
      </w:r>
      <w:r>
        <w:rPr>
          <w:sz w:val="24"/>
        </w:rPr>
        <w:t>MRIs.</w:t>
      </w:r>
    </w:p>
    <w:p w:rsidR="00D862F2" w:rsidRDefault="00D862F2">
      <w:pPr>
        <w:pStyle w:val="BodyText"/>
        <w:spacing w:before="10"/>
        <w:rPr>
          <w:sz w:val="20"/>
        </w:rPr>
      </w:pPr>
    </w:p>
    <w:p w:rsidR="00D862F2" w:rsidRDefault="00884FE4">
      <w:pPr>
        <w:pStyle w:val="ListParagraph"/>
        <w:numPr>
          <w:ilvl w:val="0"/>
          <w:numId w:val="5"/>
        </w:numPr>
        <w:tabs>
          <w:tab w:val="left" w:pos="940"/>
        </w:tabs>
        <w:ind w:right="1701"/>
        <w:rPr>
          <w:sz w:val="24"/>
        </w:rPr>
      </w:pPr>
      <w:r>
        <w:rPr>
          <w:sz w:val="24"/>
        </w:rPr>
        <w:t>The</w:t>
      </w:r>
      <w:r>
        <w:rPr>
          <w:spacing w:val="-3"/>
          <w:sz w:val="24"/>
        </w:rPr>
        <w:t xml:space="preserve"> </w:t>
      </w:r>
      <w:r>
        <w:rPr>
          <w:sz w:val="24"/>
        </w:rPr>
        <w:t>number</w:t>
      </w:r>
      <w:r>
        <w:rPr>
          <w:spacing w:val="-3"/>
          <w:sz w:val="24"/>
        </w:rPr>
        <w:t xml:space="preserve"> </w:t>
      </w:r>
      <w:r>
        <w:rPr>
          <w:sz w:val="24"/>
        </w:rPr>
        <w:t>of</w:t>
      </w:r>
      <w:r>
        <w:rPr>
          <w:spacing w:val="-2"/>
          <w:sz w:val="24"/>
        </w:rPr>
        <w:t xml:space="preserve"> </w:t>
      </w:r>
      <w:r>
        <w:rPr>
          <w:sz w:val="24"/>
        </w:rPr>
        <w:t>pediatric</w:t>
      </w:r>
      <w:r>
        <w:rPr>
          <w:spacing w:val="-1"/>
          <w:sz w:val="24"/>
        </w:rPr>
        <w:t xml:space="preserve"> </w:t>
      </w:r>
      <w:r>
        <w:rPr>
          <w:sz w:val="24"/>
        </w:rPr>
        <w:t>depression</w:t>
      </w:r>
      <w:r>
        <w:rPr>
          <w:spacing w:val="-2"/>
          <w:sz w:val="24"/>
        </w:rPr>
        <w:t xml:space="preserve"> </w:t>
      </w:r>
      <w:r>
        <w:rPr>
          <w:sz w:val="24"/>
        </w:rPr>
        <w:t>screenings</w:t>
      </w:r>
      <w:r>
        <w:rPr>
          <w:spacing w:val="-1"/>
          <w:sz w:val="24"/>
        </w:rPr>
        <w:t xml:space="preserve"> </w:t>
      </w:r>
      <w:r>
        <w:rPr>
          <w:sz w:val="24"/>
        </w:rPr>
        <w:t>performed</w:t>
      </w:r>
      <w:r>
        <w:rPr>
          <w:spacing w:val="-2"/>
          <w:sz w:val="24"/>
        </w:rPr>
        <w:t xml:space="preserve"> </w:t>
      </w:r>
      <w:r>
        <w:rPr>
          <w:sz w:val="24"/>
        </w:rPr>
        <w:t>for</w:t>
      </w:r>
      <w:r>
        <w:rPr>
          <w:spacing w:val="-2"/>
          <w:sz w:val="24"/>
        </w:rPr>
        <w:t xml:space="preserve"> </w:t>
      </w:r>
      <w:r>
        <w:rPr>
          <w:sz w:val="24"/>
        </w:rPr>
        <w:t>children with</w:t>
      </w:r>
      <w:r>
        <w:rPr>
          <w:spacing w:val="-57"/>
          <w:sz w:val="24"/>
        </w:rPr>
        <w:t xml:space="preserve"> </w:t>
      </w:r>
      <w:r>
        <w:rPr>
          <w:sz w:val="24"/>
        </w:rPr>
        <w:t>gastrointestinal</w:t>
      </w:r>
      <w:r>
        <w:rPr>
          <w:spacing w:val="-1"/>
          <w:sz w:val="24"/>
        </w:rPr>
        <w:t xml:space="preserve"> </w:t>
      </w:r>
      <w:r>
        <w:rPr>
          <w:sz w:val="24"/>
        </w:rPr>
        <w:t>disorders.</w:t>
      </w:r>
    </w:p>
    <w:p w:rsidR="00D862F2" w:rsidRDefault="00D862F2">
      <w:pPr>
        <w:pStyle w:val="BodyText"/>
        <w:spacing w:before="10"/>
        <w:rPr>
          <w:sz w:val="20"/>
        </w:rPr>
      </w:pPr>
    </w:p>
    <w:p w:rsidR="00D862F2" w:rsidRDefault="00884FE4">
      <w:pPr>
        <w:pStyle w:val="ListParagraph"/>
        <w:numPr>
          <w:ilvl w:val="0"/>
          <w:numId w:val="5"/>
        </w:numPr>
        <w:tabs>
          <w:tab w:val="left" w:pos="940"/>
        </w:tabs>
        <w:ind w:right="655"/>
        <w:rPr>
          <w:sz w:val="24"/>
        </w:rPr>
      </w:pPr>
      <w:r>
        <w:rPr>
          <w:sz w:val="24"/>
        </w:rPr>
        <w:t>The</w:t>
      </w:r>
      <w:r>
        <w:rPr>
          <w:spacing w:val="-3"/>
          <w:sz w:val="24"/>
        </w:rPr>
        <w:t xml:space="preserve"> </w:t>
      </w:r>
      <w:r>
        <w:rPr>
          <w:sz w:val="24"/>
        </w:rPr>
        <w:t>number</w:t>
      </w:r>
      <w:r>
        <w:rPr>
          <w:spacing w:val="-2"/>
          <w:sz w:val="24"/>
        </w:rPr>
        <w:t xml:space="preserve"> </w:t>
      </w:r>
      <w:r>
        <w:rPr>
          <w:sz w:val="24"/>
        </w:rPr>
        <w:t>of emergency</w:t>
      </w:r>
      <w:r>
        <w:rPr>
          <w:spacing w:val="-4"/>
          <w:sz w:val="24"/>
        </w:rPr>
        <w:t xml:space="preserve"> </w:t>
      </w:r>
      <w:r>
        <w:rPr>
          <w:sz w:val="24"/>
        </w:rPr>
        <w:t>department</w:t>
      </w:r>
      <w:r>
        <w:rPr>
          <w:spacing w:val="-2"/>
          <w:sz w:val="24"/>
        </w:rPr>
        <w:t xml:space="preserve"> </w:t>
      </w:r>
      <w:r>
        <w:rPr>
          <w:sz w:val="24"/>
        </w:rPr>
        <w:t>visits</w:t>
      </w:r>
      <w:r>
        <w:rPr>
          <w:spacing w:val="-1"/>
          <w:sz w:val="24"/>
        </w:rPr>
        <w:t xml:space="preserve"> </w:t>
      </w:r>
      <w:r>
        <w:rPr>
          <w:sz w:val="24"/>
        </w:rPr>
        <w:t>and</w:t>
      </w:r>
      <w:r>
        <w:rPr>
          <w:spacing w:val="-1"/>
          <w:sz w:val="24"/>
        </w:rPr>
        <w:t xml:space="preserve"> </w:t>
      </w:r>
      <w:r>
        <w:rPr>
          <w:sz w:val="24"/>
        </w:rPr>
        <w:t>hospitalizations</w:t>
      </w:r>
      <w:r>
        <w:rPr>
          <w:spacing w:val="-2"/>
          <w:sz w:val="24"/>
        </w:rPr>
        <w:t xml:space="preserve"> </w:t>
      </w:r>
      <w:r>
        <w:rPr>
          <w:sz w:val="24"/>
        </w:rPr>
        <w:t>at</w:t>
      </w:r>
      <w:r>
        <w:rPr>
          <w:spacing w:val="-1"/>
          <w:sz w:val="24"/>
        </w:rPr>
        <w:t xml:space="preserve"> </w:t>
      </w:r>
      <w:r>
        <w:rPr>
          <w:sz w:val="24"/>
        </w:rPr>
        <w:t>Boston</w:t>
      </w:r>
      <w:r>
        <w:rPr>
          <w:spacing w:val="-4"/>
          <w:sz w:val="24"/>
        </w:rPr>
        <w:t xml:space="preserve"> </w:t>
      </w:r>
      <w:r>
        <w:rPr>
          <w:sz w:val="24"/>
        </w:rPr>
        <w:t>Children’s</w:t>
      </w:r>
      <w:r>
        <w:rPr>
          <w:spacing w:val="-57"/>
          <w:sz w:val="24"/>
        </w:rPr>
        <w:t xml:space="preserve"> </w:t>
      </w:r>
      <w:r>
        <w:rPr>
          <w:sz w:val="24"/>
        </w:rPr>
        <w:t>due</w:t>
      </w:r>
      <w:r>
        <w:rPr>
          <w:spacing w:val="-2"/>
          <w:sz w:val="24"/>
        </w:rPr>
        <w:t xml:space="preserve"> </w:t>
      </w:r>
      <w:r>
        <w:rPr>
          <w:sz w:val="24"/>
        </w:rPr>
        <w:t>to asthma</w:t>
      </w:r>
      <w:r>
        <w:rPr>
          <w:spacing w:val="-1"/>
          <w:sz w:val="24"/>
        </w:rPr>
        <w:t xml:space="preserve"> </w:t>
      </w:r>
      <w:r>
        <w:rPr>
          <w:sz w:val="24"/>
        </w:rPr>
        <w:t>as stratified by</w:t>
      </w:r>
      <w:r>
        <w:rPr>
          <w:spacing w:val="-5"/>
          <w:sz w:val="24"/>
        </w:rPr>
        <w:t xml:space="preserve"> </w:t>
      </w:r>
      <w:r>
        <w:rPr>
          <w:sz w:val="24"/>
        </w:rPr>
        <w:t>race.</w:t>
      </w:r>
    </w:p>
    <w:p w:rsidR="00D862F2" w:rsidRDefault="00D862F2">
      <w:pPr>
        <w:pStyle w:val="BodyText"/>
        <w:spacing w:before="10"/>
        <w:rPr>
          <w:sz w:val="20"/>
        </w:rPr>
      </w:pPr>
    </w:p>
    <w:p w:rsidR="00D862F2" w:rsidRDefault="00884FE4">
      <w:pPr>
        <w:pStyle w:val="ListParagraph"/>
        <w:numPr>
          <w:ilvl w:val="0"/>
          <w:numId w:val="5"/>
        </w:numPr>
        <w:tabs>
          <w:tab w:val="left" w:pos="940"/>
        </w:tabs>
        <w:ind w:right="665"/>
        <w:rPr>
          <w:sz w:val="24"/>
        </w:rPr>
      </w:pPr>
      <w:r>
        <w:rPr>
          <w:sz w:val="24"/>
        </w:rPr>
        <w:t>The</w:t>
      </w:r>
      <w:r>
        <w:rPr>
          <w:spacing w:val="-2"/>
          <w:sz w:val="24"/>
        </w:rPr>
        <w:t xml:space="preserve"> </w:t>
      </w:r>
      <w:r>
        <w:rPr>
          <w:sz w:val="24"/>
        </w:rPr>
        <w:t>number</w:t>
      </w:r>
      <w:r>
        <w:rPr>
          <w:spacing w:val="-1"/>
          <w:sz w:val="24"/>
        </w:rPr>
        <w:t xml:space="preserve"> </w:t>
      </w:r>
      <w:r>
        <w:rPr>
          <w:sz w:val="24"/>
        </w:rPr>
        <w:t>of</w:t>
      </w:r>
      <w:r>
        <w:rPr>
          <w:spacing w:val="-2"/>
          <w:sz w:val="24"/>
        </w:rPr>
        <w:t xml:space="preserve"> </w:t>
      </w:r>
      <w:r>
        <w:rPr>
          <w:sz w:val="24"/>
        </w:rPr>
        <w:t>patients who obtain</w:t>
      </w:r>
      <w:r>
        <w:rPr>
          <w:spacing w:val="-1"/>
          <w:sz w:val="24"/>
        </w:rPr>
        <w:t xml:space="preserve"> </w:t>
      </w:r>
      <w:r>
        <w:rPr>
          <w:sz w:val="24"/>
        </w:rPr>
        <w:t>day</w:t>
      </w:r>
      <w:r>
        <w:rPr>
          <w:spacing w:val="-5"/>
          <w:sz w:val="24"/>
        </w:rPr>
        <w:t xml:space="preserve"> </w:t>
      </w:r>
      <w:r>
        <w:rPr>
          <w:sz w:val="24"/>
        </w:rPr>
        <w:t>surgery</w:t>
      </w:r>
      <w:r>
        <w:rPr>
          <w:spacing w:val="-5"/>
          <w:sz w:val="24"/>
        </w:rPr>
        <w:t xml:space="preserve"> </w:t>
      </w:r>
      <w:r>
        <w:rPr>
          <w:sz w:val="24"/>
        </w:rPr>
        <w:t>at</w:t>
      </w:r>
      <w:r>
        <w:rPr>
          <w:spacing w:val="-1"/>
          <w:sz w:val="24"/>
        </w:rPr>
        <w:t xml:space="preserve"> </w:t>
      </w:r>
      <w:r>
        <w:rPr>
          <w:sz w:val="24"/>
        </w:rPr>
        <w:t>the</w:t>
      </w:r>
      <w:r>
        <w:rPr>
          <w:spacing w:val="-1"/>
          <w:sz w:val="24"/>
        </w:rPr>
        <w:t xml:space="preserve"> </w:t>
      </w:r>
      <w:r>
        <w:rPr>
          <w:sz w:val="24"/>
        </w:rPr>
        <w:t>Waltham</w:t>
      </w:r>
      <w:r>
        <w:rPr>
          <w:spacing w:val="-1"/>
          <w:sz w:val="24"/>
        </w:rPr>
        <w:t xml:space="preserve"> </w:t>
      </w:r>
      <w:r>
        <w:rPr>
          <w:sz w:val="24"/>
        </w:rPr>
        <w:t>Facility</w:t>
      </w:r>
      <w:r>
        <w:rPr>
          <w:spacing w:val="-5"/>
          <w:sz w:val="24"/>
        </w:rPr>
        <w:t xml:space="preserve"> </w:t>
      </w:r>
      <w:r>
        <w:rPr>
          <w:sz w:val="24"/>
        </w:rPr>
        <w:t>and Needham</w:t>
      </w:r>
      <w:r>
        <w:rPr>
          <w:spacing w:val="-57"/>
          <w:sz w:val="24"/>
        </w:rPr>
        <w:t xml:space="preserve"> </w:t>
      </w:r>
      <w:r>
        <w:rPr>
          <w:sz w:val="24"/>
        </w:rPr>
        <w:t>Facility.</w:t>
      </w:r>
    </w:p>
    <w:p w:rsidR="00D862F2" w:rsidRDefault="00D862F2">
      <w:pPr>
        <w:rPr>
          <w:sz w:val="24"/>
        </w:rPr>
        <w:sectPr w:rsidR="00D862F2">
          <w:pgSz w:w="12240" w:h="15840"/>
          <w:pgMar w:top="1340" w:right="1160" w:bottom="980" w:left="1220" w:header="722" w:footer="794" w:gutter="0"/>
          <w:cols w:space="720"/>
        </w:sectPr>
      </w:pPr>
    </w:p>
    <w:p w:rsidR="00D862F2" w:rsidRDefault="00884FE4">
      <w:pPr>
        <w:spacing w:before="93"/>
        <w:ind w:left="220"/>
        <w:jc w:val="both"/>
        <w:rPr>
          <w:b/>
          <w:sz w:val="24"/>
        </w:rPr>
      </w:pPr>
      <w:r>
        <w:rPr>
          <w:b/>
          <w:sz w:val="24"/>
          <w:u w:val="single"/>
        </w:rPr>
        <w:lastRenderedPageBreak/>
        <w:t>F1.b.iii</w:t>
      </w:r>
      <w:r>
        <w:rPr>
          <w:b/>
          <w:spacing w:val="55"/>
          <w:sz w:val="24"/>
          <w:u w:val="single"/>
        </w:rPr>
        <w:t xml:space="preserve"> </w:t>
      </w:r>
      <w:r>
        <w:rPr>
          <w:b/>
          <w:sz w:val="24"/>
          <w:u w:val="single"/>
        </w:rPr>
        <w:t>Public</w:t>
      </w:r>
      <w:r>
        <w:rPr>
          <w:b/>
          <w:spacing w:val="-3"/>
          <w:sz w:val="24"/>
          <w:u w:val="single"/>
        </w:rPr>
        <w:t xml:space="preserve"> </w:t>
      </w:r>
      <w:r>
        <w:rPr>
          <w:b/>
          <w:sz w:val="24"/>
          <w:u w:val="single"/>
        </w:rPr>
        <w:t>Health</w:t>
      </w:r>
      <w:r>
        <w:rPr>
          <w:b/>
          <w:spacing w:val="-3"/>
          <w:sz w:val="24"/>
          <w:u w:val="single"/>
        </w:rPr>
        <w:t xml:space="preserve"> </w:t>
      </w:r>
      <w:r>
        <w:rPr>
          <w:b/>
          <w:sz w:val="24"/>
          <w:u w:val="single"/>
        </w:rPr>
        <w:t>Value/Health</w:t>
      </w:r>
      <w:r>
        <w:rPr>
          <w:b/>
          <w:spacing w:val="-2"/>
          <w:sz w:val="24"/>
          <w:u w:val="single"/>
        </w:rPr>
        <w:t xml:space="preserve"> </w:t>
      </w:r>
      <w:r>
        <w:rPr>
          <w:b/>
          <w:sz w:val="24"/>
          <w:u w:val="single"/>
        </w:rPr>
        <w:t>Equity</w:t>
      </w:r>
      <w:r>
        <w:rPr>
          <w:b/>
          <w:spacing w:val="-2"/>
          <w:sz w:val="24"/>
          <w:u w:val="single"/>
        </w:rPr>
        <w:t xml:space="preserve"> </w:t>
      </w:r>
      <w:r>
        <w:rPr>
          <w:b/>
          <w:sz w:val="24"/>
          <w:u w:val="single"/>
        </w:rPr>
        <w:t>Focused:</w:t>
      </w:r>
    </w:p>
    <w:p w:rsidR="00D862F2" w:rsidRDefault="00884FE4" w:rsidP="002C14E1">
      <w:pPr>
        <w:pStyle w:val="BodyText"/>
      </w:pPr>
      <w:r>
        <w:t>For Proposed Projects addressing health inequities identified within the Applicant's</w:t>
      </w:r>
      <w:r>
        <w:rPr>
          <w:spacing w:val="1"/>
        </w:rPr>
        <w:t xml:space="preserve"> </w:t>
      </w:r>
      <w:r>
        <w:t>description of the Proposed Project's need-base, please justify how the Proposed</w:t>
      </w:r>
      <w:r>
        <w:rPr>
          <w:spacing w:val="1"/>
        </w:rPr>
        <w:t xml:space="preserve"> </w:t>
      </w:r>
      <w:r>
        <w:t>Project will reduce the health inequity, including the operational components (e.g.</w:t>
      </w:r>
      <w:r>
        <w:rPr>
          <w:spacing w:val="1"/>
        </w:rPr>
        <w:t xml:space="preserve"> </w:t>
      </w:r>
      <w:r>
        <w:t>culturally competent staffing). For Proposed Projects not specifically addressing a</w:t>
      </w:r>
      <w:r>
        <w:rPr>
          <w:spacing w:val="1"/>
        </w:rPr>
        <w:t xml:space="preserve"> </w:t>
      </w:r>
      <w:r>
        <w:t>health disparity or inequity, please provide information about specific actions the</w:t>
      </w:r>
      <w:r>
        <w:rPr>
          <w:spacing w:val="1"/>
        </w:rPr>
        <w:t xml:space="preserve"> </w:t>
      </w:r>
      <w:r>
        <w:t>Applicant is and will take to ensure equal access to the health benefits created by the</w:t>
      </w:r>
      <w:r>
        <w:rPr>
          <w:spacing w:val="-57"/>
        </w:rPr>
        <w:t xml:space="preserve"> </w:t>
      </w:r>
      <w:r>
        <w:t>Proposed</w:t>
      </w:r>
      <w:r>
        <w:rPr>
          <w:spacing w:val="2"/>
        </w:rPr>
        <w:t xml:space="preserve"> </w:t>
      </w:r>
      <w:r>
        <w:t>Project</w:t>
      </w:r>
      <w:r>
        <w:rPr>
          <w:spacing w:val="-2"/>
        </w:rPr>
        <w:t xml:space="preserve"> </w:t>
      </w:r>
      <w:r>
        <w:t>and</w:t>
      </w:r>
      <w:r>
        <w:rPr>
          <w:spacing w:val="-1"/>
        </w:rPr>
        <w:t xml:space="preserve"> </w:t>
      </w:r>
      <w:r>
        <w:t>how</w:t>
      </w:r>
      <w:r>
        <w:rPr>
          <w:spacing w:val="1"/>
        </w:rPr>
        <w:t xml:space="preserve"> </w:t>
      </w:r>
      <w:r>
        <w:t>these</w:t>
      </w:r>
      <w:r>
        <w:rPr>
          <w:spacing w:val="-2"/>
        </w:rPr>
        <w:t xml:space="preserve"> </w:t>
      </w:r>
      <w:r>
        <w:t>actions</w:t>
      </w:r>
      <w:r>
        <w:rPr>
          <w:spacing w:val="-1"/>
        </w:rPr>
        <w:t xml:space="preserve"> </w:t>
      </w:r>
      <w:r>
        <w:t>will promote</w:t>
      </w:r>
      <w:r>
        <w:rPr>
          <w:spacing w:val="-2"/>
        </w:rPr>
        <w:t xml:space="preserve"> </w:t>
      </w:r>
      <w:r>
        <w:t>health</w:t>
      </w:r>
      <w:r>
        <w:rPr>
          <w:spacing w:val="-1"/>
        </w:rPr>
        <w:t xml:space="preserve"> </w:t>
      </w:r>
      <w:r>
        <w:t>equity.</w:t>
      </w:r>
    </w:p>
    <w:p w:rsidR="00D862F2" w:rsidRDefault="00D862F2">
      <w:pPr>
        <w:pStyle w:val="BodyText"/>
        <w:spacing w:before="6"/>
        <w:rPr>
          <w:b/>
          <w:sz w:val="23"/>
        </w:rPr>
      </w:pPr>
    </w:p>
    <w:p w:rsidR="00D862F2" w:rsidRDefault="00884FE4">
      <w:pPr>
        <w:pStyle w:val="BodyText"/>
        <w:ind w:left="219" w:right="273"/>
        <w:jc w:val="both"/>
      </w:pPr>
      <w:r>
        <w:t>The</w:t>
      </w:r>
      <w:r>
        <w:rPr>
          <w:spacing w:val="1"/>
        </w:rPr>
        <w:t xml:space="preserve"> </w:t>
      </w:r>
      <w:r>
        <w:t>Hospital</w:t>
      </w:r>
      <w:r>
        <w:rPr>
          <w:spacing w:val="1"/>
        </w:rPr>
        <w:t xml:space="preserve"> </w:t>
      </w:r>
      <w:r>
        <w:t>anticipates</w:t>
      </w:r>
      <w:r>
        <w:rPr>
          <w:spacing w:val="1"/>
        </w:rPr>
        <w:t xml:space="preserve"> </w:t>
      </w:r>
      <w:r>
        <w:t>that</w:t>
      </w:r>
      <w:r>
        <w:rPr>
          <w:spacing w:val="1"/>
        </w:rPr>
        <w:t xml:space="preserve"> </w:t>
      </w:r>
      <w:r>
        <w:t>the</w:t>
      </w:r>
      <w:r>
        <w:rPr>
          <w:spacing w:val="1"/>
        </w:rPr>
        <w:t xml:space="preserve"> </w:t>
      </w:r>
      <w:r>
        <w:t>Proposed</w:t>
      </w:r>
      <w:r>
        <w:rPr>
          <w:spacing w:val="1"/>
        </w:rPr>
        <w:t xml:space="preserve"> </w:t>
      </w:r>
      <w:r>
        <w:t>Project</w:t>
      </w:r>
      <w:r>
        <w:rPr>
          <w:spacing w:val="1"/>
        </w:rPr>
        <w:t xml:space="preserve"> </w:t>
      </w:r>
      <w:r>
        <w:t>will</w:t>
      </w:r>
      <w:r>
        <w:rPr>
          <w:spacing w:val="1"/>
        </w:rPr>
        <w:t xml:space="preserve"> </w:t>
      </w:r>
      <w:r>
        <w:t>reduce</w:t>
      </w:r>
      <w:r>
        <w:rPr>
          <w:spacing w:val="1"/>
        </w:rPr>
        <w:t xml:space="preserve"> </w:t>
      </w:r>
      <w:r>
        <w:t>health</w:t>
      </w:r>
      <w:r>
        <w:rPr>
          <w:spacing w:val="1"/>
        </w:rPr>
        <w:t xml:space="preserve"> </w:t>
      </w:r>
      <w:r>
        <w:t>inequity</w:t>
      </w:r>
      <w:r>
        <w:rPr>
          <w:spacing w:val="1"/>
        </w:rPr>
        <w:t xml:space="preserve"> </w:t>
      </w:r>
      <w:r>
        <w:t>and</w:t>
      </w:r>
      <w:r>
        <w:rPr>
          <w:spacing w:val="60"/>
        </w:rPr>
        <w:t xml:space="preserve"> </w:t>
      </w:r>
      <w:r>
        <w:t>health</w:t>
      </w:r>
      <w:r>
        <w:rPr>
          <w:spacing w:val="1"/>
        </w:rPr>
        <w:t xml:space="preserve"> </w:t>
      </w:r>
      <w:r>
        <w:t>disparity by reducing barriers children and their families outside of Boston face in obtaining</w:t>
      </w:r>
      <w:r>
        <w:rPr>
          <w:spacing w:val="1"/>
        </w:rPr>
        <w:t xml:space="preserve"> </w:t>
      </w:r>
      <w:r>
        <w:t>world-class</w:t>
      </w:r>
      <w:r>
        <w:rPr>
          <w:spacing w:val="1"/>
        </w:rPr>
        <w:t xml:space="preserve"> </w:t>
      </w:r>
      <w:r>
        <w:t>pediatric</w:t>
      </w:r>
      <w:r>
        <w:rPr>
          <w:spacing w:val="1"/>
        </w:rPr>
        <w:t xml:space="preserve"> </w:t>
      </w:r>
      <w:r>
        <w:t>care.</w:t>
      </w:r>
      <w:r>
        <w:rPr>
          <w:spacing w:val="1"/>
        </w:rPr>
        <w:t xml:space="preserve"> </w:t>
      </w:r>
      <w:r>
        <w:t>According</w:t>
      </w:r>
      <w:r>
        <w:rPr>
          <w:spacing w:val="1"/>
        </w:rPr>
        <w:t xml:space="preserve"> </w:t>
      </w:r>
      <w:r>
        <w:t>to</w:t>
      </w:r>
      <w:r>
        <w:rPr>
          <w:spacing w:val="1"/>
        </w:rPr>
        <w:t xml:space="preserve"> </w:t>
      </w:r>
      <w:r>
        <w:t>Boston</w:t>
      </w:r>
      <w:r>
        <w:rPr>
          <w:spacing w:val="1"/>
        </w:rPr>
        <w:t xml:space="preserve"> </w:t>
      </w:r>
      <w:r>
        <w:t>Children’s</w:t>
      </w:r>
      <w:r>
        <w:rPr>
          <w:spacing w:val="1"/>
        </w:rPr>
        <w:t xml:space="preserve"> </w:t>
      </w:r>
      <w:r>
        <w:t>BCH</w:t>
      </w:r>
      <w:r>
        <w:rPr>
          <w:spacing w:val="1"/>
        </w:rPr>
        <w:t xml:space="preserve"> </w:t>
      </w:r>
      <w:r>
        <w:t>ACO</w:t>
      </w:r>
      <w:r>
        <w:rPr>
          <w:spacing w:val="1"/>
        </w:rPr>
        <w:t xml:space="preserve"> </w:t>
      </w:r>
      <w:r>
        <w:t>Briefing</w:t>
      </w:r>
      <w:r>
        <w:rPr>
          <w:spacing w:val="1"/>
        </w:rPr>
        <w:t xml:space="preserve"> </w:t>
      </w:r>
      <w:r>
        <w:t>Book,</w:t>
      </w:r>
      <w:r>
        <w:rPr>
          <w:spacing w:val="1"/>
        </w:rPr>
        <w:t xml:space="preserve"> </w:t>
      </w:r>
      <w:r>
        <w:t>approximately</w:t>
      </w:r>
      <w:r>
        <w:rPr>
          <w:spacing w:val="1"/>
        </w:rPr>
        <w:t xml:space="preserve"> </w:t>
      </w:r>
      <w:r>
        <w:t>40%</w:t>
      </w:r>
      <w:r>
        <w:rPr>
          <w:spacing w:val="1"/>
        </w:rPr>
        <w:t xml:space="preserve"> </w:t>
      </w:r>
      <w:r>
        <w:t>of</w:t>
      </w:r>
      <w:r>
        <w:rPr>
          <w:spacing w:val="1"/>
        </w:rPr>
        <w:t xml:space="preserve"> </w:t>
      </w:r>
      <w:r>
        <w:t>children</w:t>
      </w:r>
      <w:r>
        <w:rPr>
          <w:spacing w:val="1"/>
        </w:rPr>
        <w:t xml:space="preserve"> </w:t>
      </w:r>
      <w:r>
        <w:t>and</w:t>
      </w:r>
      <w:r>
        <w:rPr>
          <w:spacing w:val="1"/>
        </w:rPr>
        <w:t xml:space="preserve"> </w:t>
      </w:r>
      <w:r>
        <w:t>young</w:t>
      </w:r>
      <w:r>
        <w:rPr>
          <w:spacing w:val="1"/>
        </w:rPr>
        <w:t xml:space="preserve"> </w:t>
      </w:r>
      <w:r>
        <w:t>adults</w:t>
      </w:r>
      <w:r>
        <w:rPr>
          <w:spacing w:val="1"/>
        </w:rPr>
        <w:t xml:space="preserve"> </w:t>
      </w:r>
      <w:r>
        <w:t>in</w:t>
      </w:r>
      <w:r>
        <w:rPr>
          <w:spacing w:val="1"/>
        </w:rPr>
        <w:t xml:space="preserve"> </w:t>
      </w:r>
      <w:r>
        <w:t>the</w:t>
      </w:r>
      <w:r>
        <w:rPr>
          <w:spacing w:val="1"/>
        </w:rPr>
        <w:t xml:space="preserve"> </w:t>
      </w:r>
      <w:r>
        <w:t>Commonwealth</w:t>
      </w:r>
      <w:r>
        <w:rPr>
          <w:spacing w:val="1"/>
        </w:rPr>
        <w:t xml:space="preserve"> </w:t>
      </w:r>
      <w:r>
        <w:t>are</w:t>
      </w:r>
      <w:r>
        <w:rPr>
          <w:spacing w:val="1"/>
        </w:rPr>
        <w:t xml:space="preserve"> </w:t>
      </w:r>
      <w:r>
        <w:t>covered</w:t>
      </w:r>
      <w:r>
        <w:rPr>
          <w:spacing w:val="1"/>
        </w:rPr>
        <w:t xml:space="preserve"> </w:t>
      </w:r>
      <w:r>
        <w:t>by</w:t>
      </w:r>
      <w:r>
        <w:rPr>
          <w:spacing w:val="1"/>
        </w:rPr>
        <w:t xml:space="preserve"> </w:t>
      </w:r>
      <w:r>
        <w:t>MassHealth. The Proposed Project will provide</w:t>
      </w:r>
      <w:r>
        <w:rPr>
          <w:spacing w:val="60"/>
        </w:rPr>
        <w:t xml:space="preserve"> </w:t>
      </w:r>
      <w:r>
        <w:t>needed services to MassHealth patients. As</w:t>
      </w:r>
      <w:r>
        <w:rPr>
          <w:spacing w:val="1"/>
        </w:rPr>
        <w:t xml:space="preserve"> </w:t>
      </w:r>
      <w:r>
        <w:t>noted</w:t>
      </w:r>
      <w:r>
        <w:rPr>
          <w:spacing w:val="1"/>
        </w:rPr>
        <w:t xml:space="preserve"> </w:t>
      </w:r>
      <w:r>
        <w:t>in</w:t>
      </w:r>
      <w:r>
        <w:rPr>
          <w:spacing w:val="1"/>
        </w:rPr>
        <w:t xml:space="preserve"> </w:t>
      </w:r>
      <w:r>
        <w:t>Factor</w:t>
      </w:r>
      <w:r>
        <w:rPr>
          <w:spacing w:val="1"/>
        </w:rPr>
        <w:t xml:space="preserve"> </w:t>
      </w:r>
      <w:r>
        <w:t>F1a.i</w:t>
      </w:r>
      <w:r>
        <w:rPr>
          <w:spacing w:val="1"/>
        </w:rPr>
        <w:t xml:space="preserve"> </w:t>
      </w:r>
      <w:r>
        <w:t>above,</w:t>
      </w:r>
      <w:r>
        <w:rPr>
          <w:spacing w:val="1"/>
        </w:rPr>
        <w:t xml:space="preserve"> </w:t>
      </w:r>
      <w:r>
        <w:t>38.2%</w:t>
      </w:r>
      <w:r>
        <w:rPr>
          <w:spacing w:val="1"/>
        </w:rPr>
        <w:t xml:space="preserve"> </w:t>
      </w:r>
      <w:r>
        <w:t>of</w:t>
      </w:r>
      <w:r>
        <w:rPr>
          <w:spacing w:val="1"/>
        </w:rPr>
        <w:t xml:space="preserve"> </w:t>
      </w:r>
      <w:r>
        <w:t>the</w:t>
      </w:r>
      <w:r>
        <w:rPr>
          <w:spacing w:val="1"/>
        </w:rPr>
        <w:t xml:space="preserve"> </w:t>
      </w:r>
      <w:r>
        <w:t>Hospital’s</w:t>
      </w:r>
      <w:r>
        <w:rPr>
          <w:spacing w:val="1"/>
        </w:rPr>
        <w:t xml:space="preserve"> </w:t>
      </w:r>
      <w:r>
        <w:t>patients</w:t>
      </w:r>
      <w:r>
        <w:rPr>
          <w:spacing w:val="1"/>
        </w:rPr>
        <w:t xml:space="preserve"> </w:t>
      </w:r>
      <w:r>
        <w:t>in</w:t>
      </w:r>
      <w:r>
        <w:rPr>
          <w:spacing w:val="1"/>
        </w:rPr>
        <w:t xml:space="preserve"> </w:t>
      </w:r>
      <w:r>
        <w:t>2019</w:t>
      </w:r>
      <w:r>
        <w:rPr>
          <w:spacing w:val="1"/>
        </w:rPr>
        <w:t xml:space="preserve"> </w:t>
      </w:r>
      <w:r>
        <w:t>received</w:t>
      </w:r>
      <w:r>
        <w:rPr>
          <w:spacing w:val="60"/>
        </w:rPr>
        <w:t xml:space="preserve"> </w:t>
      </w:r>
      <w:r>
        <w:t>insurance</w:t>
      </w:r>
      <w:r>
        <w:rPr>
          <w:spacing w:val="1"/>
        </w:rPr>
        <w:t xml:space="preserve"> </w:t>
      </w:r>
      <w:r>
        <w:t>coverage through MassHealth. The Applicant continues to develop and track health disparity</w:t>
      </w:r>
      <w:r>
        <w:rPr>
          <w:spacing w:val="1"/>
        </w:rPr>
        <w:t xml:space="preserve"> </w:t>
      </w:r>
      <w:r>
        <w:t>metrics, particularly with regard to its BCH ACO. The Applicant is in the process of collecting</w:t>
      </w:r>
      <w:r>
        <w:rPr>
          <w:spacing w:val="1"/>
        </w:rPr>
        <w:t xml:space="preserve"> </w:t>
      </w:r>
      <w:r>
        <w:t>and</w:t>
      </w:r>
      <w:r>
        <w:rPr>
          <w:spacing w:val="1"/>
        </w:rPr>
        <w:t xml:space="preserve"> </w:t>
      </w:r>
      <w:r>
        <w:t>analyzing</w:t>
      </w:r>
      <w:r>
        <w:rPr>
          <w:spacing w:val="1"/>
        </w:rPr>
        <w:t xml:space="preserve"> </w:t>
      </w:r>
      <w:r>
        <w:t>data</w:t>
      </w:r>
      <w:r>
        <w:rPr>
          <w:spacing w:val="1"/>
        </w:rPr>
        <w:t xml:space="preserve"> </w:t>
      </w:r>
      <w:r>
        <w:t>regarding</w:t>
      </w:r>
      <w:r>
        <w:rPr>
          <w:spacing w:val="1"/>
        </w:rPr>
        <w:t xml:space="preserve"> </w:t>
      </w:r>
      <w:r>
        <w:t>health</w:t>
      </w:r>
      <w:r>
        <w:rPr>
          <w:spacing w:val="1"/>
        </w:rPr>
        <w:t xml:space="preserve"> </w:t>
      </w:r>
      <w:r>
        <w:t>disparities</w:t>
      </w:r>
      <w:r>
        <w:rPr>
          <w:spacing w:val="1"/>
        </w:rPr>
        <w:t xml:space="preserve"> </w:t>
      </w:r>
      <w:r>
        <w:t>and</w:t>
      </w:r>
      <w:r>
        <w:rPr>
          <w:spacing w:val="1"/>
        </w:rPr>
        <w:t xml:space="preserve"> </w:t>
      </w:r>
      <w:r>
        <w:t>access</w:t>
      </w:r>
      <w:r>
        <w:rPr>
          <w:spacing w:val="1"/>
        </w:rPr>
        <w:t xml:space="preserve"> </w:t>
      </w:r>
      <w:r>
        <w:t>to</w:t>
      </w:r>
      <w:r>
        <w:rPr>
          <w:spacing w:val="1"/>
        </w:rPr>
        <w:t xml:space="preserve"> </w:t>
      </w:r>
      <w:r>
        <w:t>care</w:t>
      </w:r>
      <w:r>
        <w:rPr>
          <w:spacing w:val="1"/>
        </w:rPr>
        <w:t xml:space="preserve"> </w:t>
      </w:r>
      <w:r>
        <w:t>by</w:t>
      </w:r>
      <w:r>
        <w:rPr>
          <w:spacing w:val="1"/>
        </w:rPr>
        <w:t xml:space="preserve"> </w:t>
      </w:r>
      <w:r>
        <w:t>race,</w:t>
      </w:r>
      <w:r>
        <w:rPr>
          <w:spacing w:val="1"/>
        </w:rPr>
        <w:t xml:space="preserve"> </w:t>
      </w:r>
      <w:r>
        <w:t>ethnicity</w:t>
      </w:r>
      <w:r>
        <w:rPr>
          <w:spacing w:val="60"/>
        </w:rPr>
        <w:t xml:space="preserve"> </w:t>
      </w:r>
      <w:r>
        <w:t>and</w:t>
      </w:r>
      <w:r>
        <w:rPr>
          <w:spacing w:val="1"/>
        </w:rPr>
        <w:t xml:space="preserve"> </w:t>
      </w:r>
      <w:r>
        <w:t>language, including as it relates to population health priorities such as obesity and asthma. For</w:t>
      </w:r>
      <w:r>
        <w:rPr>
          <w:spacing w:val="1"/>
        </w:rPr>
        <w:t xml:space="preserve"> </w:t>
      </w:r>
      <w:r>
        <w:t>example, preliminary analysis of MRI missed care opportunities by the Hospital’s Office of</w:t>
      </w:r>
      <w:r>
        <w:rPr>
          <w:spacing w:val="1"/>
        </w:rPr>
        <w:t xml:space="preserve"> </w:t>
      </w:r>
      <w:r>
        <w:t>Health Equity and Inclusion demonstrated that Black and Latino children were over 50% more</w:t>
      </w:r>
      <w:r>
        <w:rPr>
          <w:spacing w:val="1"/>
        </w:rPr>
        <w:t xml:space="preserve"> </w:t>
      </w:r>
      <w:r>
        <w:t>likely to have missed an MRI when compared to white children, and those who live in areas of</w:t>
      </w:r>
      <w:r>
        <w:rPr>
          <w:spacing w:val="1"/>
        </w:rPr>
        <w:t xml:space="preserve"> </w:t>
      </w:r>
      <w:r>
        <w:t>high social vulnerability were 30% more likely to have a missed an MRI. With this analysis, the</w:t>
      </w:r>
      <w:r>
        <w:rPr>
          <w:spacing w:val="1"/>
        </w:rPr>
        <w:t xml:space="preserve"> </w:t>
      </w:r>
      <w:r>
        <w:t>Hospital began a study to determine if transportation barriers present the primary problem. The</w:t>
      </w:r>
      <w:r>
        <w:rPr>
          <w:spacing w:val="1"/>
        </w:rPr>
        <w:t xml:space="preserve"> </w:t>
      </w:r>
      <w:r>
        <w:t>Proposed Project’s</w:t>
      </w:r>
      <w:r>
        <w:rPr>
          <w:spacing w:val="60"/>
        </w:rPr>
        <w:t xml:space="preserve"> </w:t>
      </w:r>
      <w:r>
        <w:t>addition of two MRI units is an intervention targeted at reducing missed</w:t>
      </w:r>
      <w:r>
        <w:rPr>
          <w:spacing w:val="1"/>
        </w:rPr>
        <w:t xml:space="preserve"> </w:t>
      </w:r>
      <w:r>
        <w:t>MRIs</w:t>
      </w:r>
      <w:r>
        <w:rPr>
          <w:spacing w:val="-1"/>
        </w:rPr>
        <w:t xml:space="preserve"> </w:t>
      </w:r>
      <w:r>
        <w:t>by</w:t>
      </w:r>
      <w:r>
        <w:rPr>
          <w:spacing w:val="-5"/>
        </w:rPr>
        <w:t xml:space="preserve"> </w:t>
      </w:r>
      <w:r>
        <w:t>making</w:t>
      </w:r>
      <w:r>
        <w:rPr>
          <w:spacing w:val="-3"/>
        </w:rPr>
        <w:t xml:space="preserve"> </w:t>
      </w:r>
      <w:r>
        <w:t>them more</w:t>
      </w:r>
      <w:r>
        <w:rPr>
          <w:spacing w:val="-1"/>
        </w:rPr>
        <w:t xml:space="preserve"> </w:t>
      </w:r>
      <w:r>
        <w:t>accessible</w:t>
      </w:r>
      <w:r>
        <w:rPr>
          <w:spacing w:val="-1"/>
        </w:rPr>
        <w:t xml:space="preserve"> </w:t>
      </w:r>
      <w:r>
        <w:t>in the</w:t>
      </w:r>
      <w:r>
        <w:rPr>
          <w:spacing w:val="-1"/>
        </w:rPr>
        <w:t xml:space="preserve"> </w:t>
      </w:r>
      <w:r>
        <w:t>community.</w:t>
      </w:r>
    </w:p>
    <w:p w:rsidR="00D862F2" w:rsidRDefault="00D862F2">
      <w:pPr>
        <w:pStyle w:val="BodyText"/>
        <w:spacing w:before="1"/>
      </w:pPr>
    </w:p>
    <w:p w:rsidR="00D862F2" w:rsidRDefault="00884FE4">
      <w:pPr>
        <w:pStyle w:val="BodyText"/>
        <w:ind w:left="219" w:right="272"/>
        <w:jc w:val="both"/>
      </w:pPr>
      <w:r>
        <w:t>At</w:t>
      </w:r>
      <w:r>
        <w:rPr>
          <w:spacing w:val="1"/>
        </w:rPr>
        <w:t xml:space="preserve"> </w:t>
      </w:r>
      <w:r>
        <w:t>the</w:t>
      </w:r>
      <w:r>
        <w:rPr>
          <w:spacing w:val="1"/>
        </w:rPr>
        <w:t xml:space="preserve"> </w:t>
      </w:r>
      <w:r>
        <w:t>Proposed</w:t>
      </w:r>
      <w:r>
        <w:rPr>
          <w:spacing w:val="1"/>
        </w:rPr>
        <w:t xml:space="preserve"> </w:t>
      </w:r>
      <w:r>
        <w:t>Project</w:t>
      </w:r>
      <w:r>
        <w:rPr>
          <w:spacing w:val="1"/>
        </w:rPr>
        <w:t xml:space="preserve"> </w:t>
      </w:r>
      <w:r>
        <w:t>locations,</w:t>
      </w:r>
      <w:r>
        <w:rPr>
          <w:spacing w:val="1"/>
        </w:rPr>
        <w:t xml:space="preserve"> </w:t>
      </w:r>
      <w:r>
        <w:t>and</w:t>
      </w:r>
      <w:r>
        <w:rPr>
          <w:spacing w:val="1"/>
        </w:rPr>
        <w:t xml:space="preserve"> </w:t>
      </w:r>
      <w:r>
        <w:t>consistent</w:t>
      </w:r>
      <w:r>
        <w:rPr>
          <w:spacing w:val="1"/>
        </w:rPr>
        <w:t xml:space="preserve"> </w:t>
      </w:r>
      <w:r>
        <w:t>with</w:t>
      </w:r>
      <w:r>
        <w:rPr>
          <w:spacing w:val="1"/>
        </w:rPr>
        <w:t xml:space="preserve"> </w:t>
      </w:r>
      <w:r>
        <w:t>all</w:t>
      </w:r>
      <w:r>
        <w:rPr>
          <w:spacing w:val="1"/>
        </w:rPr>
        <w:t xml:space="preserve"> </w:t>
      </w:r>
      <w:r>
        <w:t>of</w:t>
      </w:r>
      <w:r>
        <w:rPr>
          <w:spacing w:val="1"/>
        </w:rPr>
        <w:t xml:space="preserve"> </w:t>
      </w:r>
      <w:r>
        <w:t>the</w:t>
      </w:r>
      <w:r>
        <w:rPr>
          <w:spacing w:val="1"/>
        </w:rPr>
        <w:t xml:space="preserve"> </w:t>
      </w:r>
      <w:r>
        <w:t>Applicant’s</w:t>
      </w:r>
      <w:r>
        <w:rPr>
          <w:spacing w:val="1"/>
        </w:rPr>
        <w:t xml:space="preserve"> </w:t>
      </w:r>
      <w:r>
        <w:t>facilities,</w:t>
      </w:r>
      <w:r>
        <w:rPr>
          <w:spacing w:val="1"/>
        </w:rPr>
        <w:t xml:space="preserve"> </w:t>
      </w:r>
      <w:r>
        <w:t>the</w:t>
      </w:r>
      <w:r>
        <w:rPr>
          <w:spacing w:val="-57"/>
        </w:rPr>
        <w:t xml:space="preserve"> </w:t>
      </w:r>
      <w:r>
        <w:t>Applicant will make available interpreters in more than 35 languages to assist patients and</w:t>
      </w:r>
      <w:r>
        <w:rPr>
          <w:spacing w:val="1"/>
        </w:rPr>
        <w:t xml:space="preserve"> </w:t>
      </w:r>
      <w:r>
        <w:t>families through Interpreter Services. In 2020, the BCH ACO launched an interpreter services</w:t>
      </w:r>
      <w:r>
        <w:rPr>
          <w:spacing w:val="1"/>
        </w:rPr>
        <w:t xml:space="preserve"> </w:t>
      </w:r>
      <w:r>
        <w:t>pilot program that is currently spreading to all primary care practices, providing culturally and</w:t>
      </w:r>
      <w:r>
        <w:rPr>
          <w:spacing w:val="1"/>
        </w:rPr>
        <w:t xml:space="preserve"> </w:t>
      </w:r>
      <w:r>
        <w:t>linguistically appropriate services. The Hospital continues to examine barriers to access faced by</w:t>
      </w:r>
      <w:r>
        <w:rPr>
          <w:spacing w:val="1"/>
        </w:rPr>
        <w:t xml:space="preserve"> </w:t>
      </w:r>
      <w:r>
        <w:t>patients</w:t>
      </w:r>
      <w:r>
        <w:rPr>
          <w:spacing w:val="1"/>
        </w:rPr>
        <w:t xml:space="preserve"> </w:t>
      </w:r>
      <w:r>
        <w:t>and</w:t>
      </w:r>
      <w:r>
        <w:rPr>
          <w:spacing w:val="1"/>
        </w:rPr>
        <w:t xml:space="preserve"> </w:t>
      </w:r>
      <w:r>
        <w:t>their</w:t>
      </w:r>
      <w:r>
        <w:rPr>
          <w:spacing w:val="1"/>
        </w:rPr>
        <w:t xml:space="preserve"> </w:t>
      </w:r>
      <w:r>
        <w:t>families,</w:t>
      </w:r>
      <w:r>
        <w:rPr>
          <w:spacing w:val="1"/>
        </w:rPr>
        <w:t xml:space="preserve"> </w:t>
      </w:r>
      <w:r>
        <w:t>particularly</w:t>
      </w:r>
      <w:r>
        <w:rPr>
          <w:spacing w:val="1"/>
        </w:rPr>
        <w:t xml:space="preserve"> </w:t>
      </w:r>
      <w:r>
        <w:t>with</w:t>
      </w:r>
      <w:r>
        <w:rPr>
          <w:spacing w:val="1"/>
        </w:rPr>
        <w:t xml:space="preserve"> </w:t>
      </w:r>
      <w:r>
        <w:t>regard</w:t>
      </w:r>
      <w:r>
        <w:rPr>
          <w:spacing w:val="1"/>
        </w:rPr>
        <w:t xml:space="preserve"> </w:t>
      </w:r>
      <w:r>
        <w:t>to</w:t>
      </w:r>
      <w:r>
        <w:rPr>
          <w:spacing w:val="1"/>
        </w:rPr>
        <w:t xml:space="preserve"> </w:t>
      </w:r>
      <w:r>
        <w:t>transportation</w:t>
      </w:r>
      <w:r>
        <w:rPr>
          <w:spacing w:val="1"/>
        </w:rPr>
        <w:t xml:space="preserve"> </w:t>
      </w:r>
      <w:r>
        <w:t>to</w:t>
      </w:r>
      <w:r>
        <w:rPr>
          <w:spacing w:val="1"/>
        </w:rPr>
        <w:t xml:space="preserve"> </w:t>
      </w:r>
      <w:r>
        <w:t>appointments</w:t>
      </w:r>
      <w:r>
        <w:rPr>
          <w:spacing w:val="1"/>
        </w:rPr>
        <w:t xml:space="preserve"> </w:t>
      </w:r>
      <w:r>
        <w:t>and</w:t>
      </w:r>
      <w:r>
        <w:rPr>
          <w:spacing w:val="1"/>
        </w:rPr>
        <w:t xml:space="preserve"> </w:t>
      </w:r>
      <w:r>
        <w:t>language</w:t>
      </w:r>
      <w:r>
        <w:rPr>
          <w:spacing w:val="-2"/>
        </w:rPr>
        <w:t xml:space="preserve"> </w:t>
      </w:r>
      <w:r>
        <w:t>access as solicited through</w:t>
      </w:r>
      <w:r>
        <w:rPr>
          <w:spacing w:val="-1"/>
        </w:rPr>
        <w:t xml:space="preserve"> </w:t>
      </w:r>
      <w:r>
        <w:t>community</w:t>
      </w:r>
      <w:r>
        <w:rPr>
          <w:spacing w:val="-5"/>
        </w:rPr>
        <w:t xml:space="preserve"> </w:t>
      </w:r>
      <w:r>
        <w:t>engagement forums.</w:t>
      </w:r>
    </w:p>
    <w:p w:rsidR="00D862F2" w:rsidRDefault="00D862F2">
      <w:pPr>
        <w:pStyle w:val="BodyText"/>
      </w:pPr>
    </w:p>
    <w:p w:rsidR="00D862F2" w:rsidRDefault="00884FE4">
      <w:pPr>
        <w:pStyle w:val="BodyText"/>
        <w:ind w:left="220" w:right="274"/>
        <w:jc w:val="both"/>
      </w:pPr>
      <w:r>
        <w:t>In addition, the Applicant continues its efforts to promote health equity by making training and</w:t>
      </w:r>
      <w:r>
        <w:rPr>
          <w:spacing w:val="1"/>
        </w:rPr>
        <w:t xml:space="preserve"> </w:t>
      </w:r>
      <w:r>
        <w:t>work experience available to underrepresented groups, engaging in local hiring and workforce</w:t>
      </w:r>
      <w:r>
        <w:rPr>
          <w:spacing w:val="1"/>
        </w:rPr>
        <w:t xml:space="preserve"> </w:t>
      </w:r>
      <w:r>
        <w:t>development that reflects the surrounding community. Studies have shown that clinical care</w:t>
      </w:r>
      <w:r>
        <w:rPr>
          <w:spacing w:val="1"/>
        </w:rPr>
        <w:t xml:space="preserve"> </w:t>
      </w:r>
      <w:r>
        <w:t>outcomes</w:t>
      </w:r>
      <w:r>
        <w:rPr>
          <w:spacing w:val="1"/>
        </w:rPr>
        <w:t xml:space="preserve"> </w:t>
      </w:r>
      <w:r>
        <w:t>for</w:t>
      </w:r>
      <w:r>
        <w:rPr>
          <w:spacing w:val="1"/>
        </w:rPr>
        <w:t xml:space="preserve"> </w:t>
      </w:r>
      <w:r>
        <w:t>underrepresented</w:t>
      </w:r>
      <w:r>
        <w:rPr>
          <w:spacing w:val="1"/>
        </w:rPr>
        <w:t xml:space="preserve"> </w:t>
      </w:r>
      <w:r>
        <w:t>minorities</w:t>
      </w:r>
      <w:r>
        <w:rPr>
          <w:spacing w:val="1"/>
        </w:rPr>
        <w:t xml:space="preserve"> </w:t>
      </w:r>
      <w:r>
        <w:t>may benefit</w:t>
      </w:r>
      <w:r>
        <w:rPr>
          <w:spacing w:val="1"/>
        </w:rPr>
        <w:t xml:space="preserve"> </w:t>
      </w:r>
      <w:r>
        <w:t>from</w:t>
      </w:r>
      <w:r>
        <w:rPr>
          <w:spacing w:val="1"/>
        </w:rPr>
        <w:t xml:space="preserve"> </w:t>
      </w:r>
      <w:r>
        <w:t>patient-physician</w:t>
      </w:r>
      <w:r>
        <w:rPr>
          <w:spacing w:val="60"/>
        </w:rPr>
        <w:t xml:space="preserve"> </w:t>
      </w:r>
      <w:r>
        <w:t>concordance.</w:t>
      </w:r>
      <w:hyperlink w:anchor="_bookmark15" w:history="1">
        <w:r>
          <w:rPr>
            <w:vertAlign w:val="superscript"/>
          </w:rPr>
          <w:t>16</w:t>
        </w:r>
      </w:hyperlink>
      <w:r>
        <w:rPr>
          <w:spacing w:val="-57"/>
        </w:rPr>
        <w:t xml:space="preserve"> </w:t>
      </w:r>
      <w:r>
        <w:t>The Hospital’s “Building Careers in Health and STEM” program is a career pipeline program for</w:t>
      </w:r>
      <w:r>
        <w:rPr>
          <w:spacing w:val="-57"/>
        </w:rPr>
        <w:t xml:space="preserve"> </w:t>
      </w:r>
      <w:r>
        <w:t>high school students with the goal of increasing the number of underrepresented minority and/or</w:t>
      </w:r>
      <w:r>
        <w:rPr>
          <w:spacing w:val="1"/>
        </w:rPr>
        <w:t xml:space="preserve"> </w:t>
      </w:r>
      <w:r>
        <w:t>first-generation prospective college students in health-related careers, including nursing. The</w:t>
      </w:r>
      <w:r>
        <w:rPr>
          <w:spacing w:val="1"/>
        </w:rPr>
        <w:t xml:space="preserve"> </w:t>
      </w:r>
      <w:r>
        <w:t>Hospital’s</w:t>
      </w:r>
      <w:r>
        <w:rPr>
          <w:spacing w:val="16"/>
        </w:rPr>
        <w:t xml:space="preserve"> </w:t>
      </w:r>
      <w:r>
        <w:t>COACH</w:t>
      </w:r>
      <w:r>
        <w:rPr>
          <w:spacing w:val="15"/>
        </w:rPr>
        <w:t xml:space="preserve"> </w:t>
      </w:r>
      <w:r>
        <w:t>(Community,</w:t>
      </w:r>
      <w:r>
        <w:rPr>
          <w:spacing w:val="16"/>
        </w:rPr>
        <w:t xml:space="preserve"> </w:t>
      </w:r>
      <w:r>
        <w:t>Opportunities,</w:t>
      </w:r>
      <w:r>
        <w:rPr>
          <w:spacing w:val="16"/>
        </w:rPr>
        <w:t xml:space="preserve"> </w:t>
      </w:r>
      <w:r>
        <w:t>and</w:t>
      </w:r>
      <w:r>
        <w:rPr>
          <w:spacing w:val="16"/>
        </w:rPr>
        <w:t xml:space="preserve"> </w:t>
      </w:r>
      <w:r>
        <w:t>Advancement</w:t>
      </w:r>
      <w:r>
        <w:rPr>
          <w:spacing w:val="16"/>
        </w:rPr>
        <w:t xml:space="preserve"> </w:t>
      </w:r>
      <w:r>
        <w:t>at</w:t>
      </w:r>
      <w:r>
        <w:rPr>
          <w:spacing w:val="19"/>
        </w:rPr>
        <w:t xml:space="preserve"> </w:t>
      </w:r>
      <w:r>
        <w:t>Children’s</w:t>
      </w:r>
      <w:r>
        <w:rPr>
          <w:spacing w:val="16"/>
        </w:rPr>
        <w:t xml:space="preserve"> </w:t>
      </w:r>
      <w:r>
        <w:t>Hospital)</w:t>
      </w:r>
    </w:p>
    <w:p w:rsidR="00D862F2" w:rsidRDefault="00337703">
      <w:pPr>
        <w:pStyle w:val="BodyText"/>
        <w:rPr>
          <w:sz w:val="23"/>
        </w:rPr>
      </w:pPr>
      <w:r>
        <w:rPr>
          <w:noProof/>
        </w:rPr>
        <mc:AlternateContent>
          <mc:Choice Requires="wps">
            <w:drawing>
              <wp:anchor distT="0" distB="0" distL="0" distR="0" simplePos="0" relativeHeight="487591424" behindDoc="1" locked="0" layoutInCell="1" allowOverlap="1">
                <wp:simplePos x="0" y="0"/>
                <wp:positionH relativeFrom="page">
                  <wp:posOffset>914400</wp:posOffset>
                </wp:positionH>
                <wp:positionV relativeFrom="paragraph">
                  <wp:posOffset>183515</wp:posOffset>
                </wp:positionV>
                <wp:extent cx="1828800" cy="7620"/>
                <wp:effectExtent l="0" t="0" r="0" b="11430"/>
                <wp:wrapTopAndBottom/>
                <wp:docPr id="22" name="docshape10"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112FF" id="docshape10" o:spid="_x0000_s1026" alt="Title: Division Line - Description: Division Line between the main content and the footnotes" style="position:absolute;margin-left:1in;margin-top:14.45pt;width:2in;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" fillcolor="black" stroked="f">
                <w10:wrap type="topAndBottom" anchorx="page"/>
              </v:rect>
            </w:pict>
          </mc:Fallback>
        </mc:AlternateContent>
      </w:r>
    </w:p>
    <w:p w:rsidR="00D862F2" w:rsidRDefault="00884FE4">
      <w:pPr>
        <w:spacing w:before="103"/>
        <w:ind w:left="220" w:right="390" w:hanging="1"/>
        <w:jc w:val="both"/>
        <w:rPr>
          <w:sz w:val="20"/>
        </w:rPr>
      </w:pPr>
      <w:bookmarkStart w:id="16" w:name="_bookmark15"/>
      <w:bookmarkEnd w:id="16"/>
      <w:r>
        <w:rPr>
          <w:sz w:val="20"/>
          <w:vertAlign w:val="superscript"/>
        </w:rPr>
        <w:t>16</w:t>
      </w:r>
      <w:r>
        <w:rPr>
          <w:sz w:val="20"/>
        </w:rPr>
        <w:t xml:space="preserve"> </w:t>
      </w:r>
      <w:r>
        <w:rPr>
          <w:i/>
          <w:sz w:val="20"/>
        </w:rPr>
        <w:t xml:space="preserve">See </w:t>
      </w:r>
      <w:r>
        <w:rPr>
          <w:sz w:val="20"/>
        </w:rPr>
        <w:t>Physician–patient racial concordance and disparities in birthing mortality for newborns, Brad N. Greenwood,</w:t>
      </w:r>
      <w:r>
        <w:rPr>
          <w:spacing w:val="-47"/>
          <w:sz w:val="20"/>
        </w:rPr>
        <w:t xml:space="preserve"> </w:t>
      </w:r>
      <w:r>
        <w:rPr>
          <w:sz w:val="20"/>
        </w:rPr>
        <w:t>Rachel R. Hardeman, Laura Huang, Aaron Sojourner, Proceedings of the National Academy of Sciences Sep 2020,</w:t>
      </w:r>
      <w:r>
        <w:rPr>
          <w:spacing w:val="-47"/>
          <w:sz w:val="20"/>
        </w:rPr>
        <w:t xml:space="preserve"> </w:t>
      </w:r>
      <w:r>
        <w:rPr>
          <w:sz w:val="20"/>
        </w:rPr>
        <w:t>117 (35)</w:t>
      </w:r>
      <w:r>
        <w:rPr>
          <w:spacing w:val="-2"/>
          <w:sz w:val="20"/>
        </w:rPr>
        <w:t xml:space="preserve"> </w:t>
      </w:r>
      <w:r>
        <w:rPr>
          <w:sz w:val="20"/>
        </w:rPr>
        <w:t>21194-21200; DOI:</w:t>
      </w:r>
      <w:r>
        <w:rPr>
          <w:spacing w:val="-3"/>
          <w:sz w:val="20"/>
        </w:rPr>
        <w:t xml:space="preserve"> </w:t>
      </w:r>
      <w:r>
        <w:rPr>
          <w:sz w:val="20"/>
        </w:rPr>
        <w:t>10.1073/pnas.1913405117</w:t>
      </w:r>
    </w:p>
    <w:p w:rsidR="00D862F2" w:rsidRDefault="00D862F2">
      <w:pPr>
        <w:jc w:val="both"/>
        <w:rPr>
          <w:sz w:val="20"/>
        </w:rPr>
        <w:sectPr w:rsidR="00D862F2">
          <w:pgSz w:w="12240" w:h="15840"/>
          <w:pgMar w:top="1340" w:right="1160" w:bottom="980" w:left="1220" w:header="722" w:footer="794" w:gutter="0"/>
          <w:cols w:space="720"/>
        </w:sectPr>
      </w:pPr>
    </w:p>
    <w:p w:rsidR="00D862F2" w:rsidRDefault="00884FE4">
      <w:pPr>
        <w:pStyle w:val="BodyText"/>
        <w:spacing w:before="88"/>
        <w:ind w:left="219" w:right="270"/>
        <w:jc w:val="both"/>
      </w:pPr>
      <w:r>
        <w:lastRenderedPageBreak/>
        <w:t>Internship Program also places Boston-area high school students in positions in clinical and</w:t>
      </w:r>
      <w:r>
        <w:rPr>
          <w:spacing w:val="1"/>
        </w:rPr>
        <w:t xml:space="preserve"> </w:t>
      </w:r>
      <w:r>
        <w:t>administrative</w:t>
      </w:r>
      <w:r>
        <w:rPr>
          <w:spacing w:val="1"/>
        </w:rPr>
        <w:t xml:space="preserve"> </w:t>
      </w:r>
      <w:r>
        <w:t>areas</w:t>
      </w:r>
      <w:r>
        <w:rPr>
          <w:spacing w:val="1"/>
        </w:rPr>
        <w:t xml:space="preserve"> </w:t>
      </w:r>
      <w:r>
        <w:t>across</w:t>
      </w:r>
      <w:r>
        <w:rPr>
          <w:spacing w:val="1"/>
        </w:rPr>
        <w:t xml:space="preserve"> </w:t>
      </w:r>
      <w:r>
        <w:t>the</w:t>
      </w:r>
      <w:r>
        <w:rPr>
          <w:spacing w:val="1"/>
        </w:rPr>
        <w:t xml:space="preserve"> </w:t>
      </w:r>
      <w:r>
        <w:t>Hospital</w:t>
      </w:r>
      <w:r>
        <w:rPr>
          <w:spacing w:val="1"/>
        </w:rPr>
        <w:t xml:space="preserve"> </w:t>
      </w:r>
      <w:r>
        <w:t>and</w:t>
      </w:r>
      <w:r>
        <w:rPr>
          <w:spacing w:val="1"/>
        </w:rPr>
        <w:t xml:space="preserve"> </w:t>
      </w:r>
      <w:r>
        <w:t>provides</w:t>
      </w:r>
      <w:r>
        <w:rPr>
          <w:spacing w:val="1"/>
        </w:rPr>
        <w:t xml:space="preserve"> </w:t>
      </w:r>
      <w:r>
        <w:t>professional</w:t>
      </w:r>
      <w:r>
        <w:rPr>
          <w:spacing w:val="1"/>
        </w:rPr>
        <w:t xml:space="preserve"> </w:t>
      </w:r>
      <w:r>
        <w:t>development</w:t>
      </w:r>
      <w:r>
        <w:rPr>
          <w:spacing w:val="1"/>
        </w:rPr>
        <w:t xml:space="preserve"> </w:t>
      </w:r>
      <w:r>
        <w:t>workshops.</w:t>
      </w:r>
      <w:r>
        <w:rPr>
          <w:spacing w:val="-57"/>
        </w:rPr>
        <w:t xml:space="preserve"> </w:t>
      </w:r>
      <w:r>
        <w:t>Furthermore,</w:t>
      </w:r>
      <w:r>
        <w:rPr>
          <w:spacing w:val="1"/>
        </w:rPr>
        <w:t xml:space="preserve"> </w:t>
      </w:r>
      <w:r>
        <w:t>the</w:t>
      </w:r>
      <w:r>
        <w:rPr>
          <w:spacing w:val="1"/>
        </w:rPr>
        <w:t xml:space="preserve"> </w:t>
      </w:r>
      <w:r>
        <w:t>Hospital</w:t>
      </w:r>
      <w:r>
        <w:rPr>
          <w:spacing w:val="1"/>
        </w:rPr>
        <w:t xml:space="preserve"> </w:t>
      </w:r>
      <w:r>
        <w:t>administers</w:t>
      </w:r>
      <w:r>
        <w:rPr>
          <w:spacing w:val="1"/>
        </w:rPr>
        <w:t xml:space="preserve"> </w:t>
      </w:r>
      <w:r>
        <w:t>a</w:t>
      </w:r>
      <w:r>
        <w:rPr>
          <w:spacing w:val="1"/>
        </w:rPr>
        <w:t xml:space="preserve"> </w:t>
      </w:r>
      <w:r>
        <w:t>program</w:t>
      </w:r>
      <w:r>
        <w:rPr>
          <w:spacing w:val="1"/>
        </w:rPr>
        <w:t xml:space="preserve"> </w:t>
      </w:r>
      <w:r>
        <w:t>that</w:t>
      </w:r>
      <w:r>
        <w:rPr>
          <w:spacing w:val="1"/>
        </w:rPr>
        <w:t xml:space="preserve"> </w:t>
      </w:r>
      <w:r>
        <w:t>employs</w:t>
      </w:r>
      <w:r>
        <w:rPr>
          <w:spacing w:val="1"/>
        </w:rPr>
        <w:t xml:space="preserve"> </w:t>
      </w:r>
      <w:r>
        <w:t>undergraduate</w:t>
      </w:r>
      <w:r>
        <w:rPr>
          <w:spacing w:val="1"/>
        </w:rPr>
        <w:t xml:space="preserve"> </w:t>
      </w:r>
      <w:r>
        <w:t>pre-medical</w:t>
      </w:r>
      <w:r>
        <w:rPr>
          <w:spacing w:val="1"/>
        </w:rPr>
        <w:t xml:space="preserve"> </w:t>
      </w:r>
      <w:r>
        <w:t>students</w:t>
      </w:r>
      <w:r>
        <w:rPr>
          <w:spacing w:val="1"/>
        </w:rPr>
        <w:t xml:space="preserve"> </w:t>
      </w:r>
      <w:r>
        <w:t>from</w:t>
      </w:r>
      <w:r>
        <w:rPr>
          <w:spacing w:val="1"/>
        </w:rPr>
        <w:t xml:space="preserve"> </w:t>
      </w:r>
      <w:r>
        <w:t>backgrounds</w:t>
      </w:r>
      <w:r>
        <w:rPr>
          <w:spacing w:val="1"/>
        </w:rPr>
        <w:t xml:space="preserve"> </w:t>
      </w:r>
      <w:r>
        <w:t>underrepresented</w:t>
      </w:r>
      <w:r>
        <w:rPr>
          <w:spacing w:val="1"/>
        </w:rPr>
        <w:t xml:space="preserve"> </w:t>
      </w:r>
      <w:r>
        <w:t>in</w:t>
      </w:r>
      <w:r>
        <w:rPr>
          <w:spacing w:val="1"/>
        </w:rPr>
        <w:t xml:space="preserve"> </w:t>
      </w:r>
      <w:r>
        <w:t>medicine</w:t>
      </w:r>
      <w:r>
        <w:rPr>
          <w:spacing w:val="1"/>
        </w:rPr>
        <w:t xml:space="preserve"> </w:t>
      </w:r>
      <w:r>
        <w:t>as</w:t>
      </w:r>
      <w:r>
        <w:rPr>
          <w:spacing w:val="1"/>
        </w:rPr>
        <w:t xml:space="preserve"> </w:t>
      </w:r>
      <w:r>
        <w:t>medical</w:t>
      </w:r>
      <w:r>
        <w:rPr>
          <w:spacing w:val="1"/>
        </w:rPr>
        <w:t xml:space="preserve"> </w:t>
      </w:r>
      <w:r>
        <w:t>scribes</w:t>
      </w:r>
      <w:r>
        <w:rPr>
          <w:spacing w:val="1"/>
        </w:rPr>
        <w:t xml:space="preserve"> </w:t>
      </w:r>
      <w:r>
        <w:t>with</w:t>
      </w:r>
      <w:r>
        <w:rPr>
          <w:spacing w:val="1"/>
        </w:rPr>
        <w:t xml:space="preserve"> </w:t>
      </w:r>
      <w:r>
        <w:t>faculty</w:t>
      </w:r>
      <w:r>
        <w:rPr>
          <w:spacing w:val="1"/>
        </w:rPr>
        <w:t xml:space="preserve"> </w:t>
      </w:r>
      <w:r>
        <w:t>mentorship. As part of Boston Children’s, the Proposed Project facilities will further support</w:t>
      </w:r>
      <w:r>
        <w:rPr>
          <w:spacing w:val="1"/>
        </w:rPr>
        <w:t xml:space="preserve"> </w:t>
      </w:r>
      <w:r>
        <w:t>these</w:t>
      </w:r>
      <w:r>
        <w:rPr>
          <w:spacing w:val="-2"/>
        </w:rPr>
        <w:t xml:space="preserve"> </w:t>
      </w:r>
      <w:r>
        <w:t>initiatives to promote</w:t>
      </w:r>
      <w:r>
        <w:rPr>
          <w:spacing w:val="-1"/>
        </w:rPr>
        <w:t xml:space="preserve"> </w:t>
      </w:r>
      <w:r>
        <w:t>health equity.</w:t>
      </w:r>
    </w:p>
    <w:p w:rsidR="00D862F2" w:rsidRDefault="00D862F2">
      <w:pPr>
        <w:pStyle w:val="BodyText"/>
      </w:pPr>
    </w:p>
    <w:p w:rsidR="00D862F2" w:rsidRDefault="00884FE4">
      <w:pPr>
        <w:pStyle w:val="BodyText"/>
        <w:ind w:left="219" w:right="277"/>
        <w:jc w:val="both"/>
      </w:pPr>
      <w:r>
        <w:t>In 2020, the Hospital’s leaders released a Declaration on Equity, Diversity, and Inclusivity,</w:t>
      </w:r>
      <w:r>
        <w:rPr>
          <w:spacing w:val="1"/>
        </w:rPr>
        <w:t xml:space="preserve"> </w:t>
      </w:r>
      <w:r>
        <w:t>establishing six goals that prioritize health equity, which will apply to the Proposed Project.</w:t>
      </w:r>
      <w:r>
        <w:rPr>
          <w:spacing w:val="1"/>
        </w:rPr>
        <w:t xml:space="preserve"> </w:t>
      </w:r>
      <w:r>
        <w:t>Among</w:t>
      </w:r>
      <w:r>
        <w:rPr>
          <w:spacing w:val="1"/>
        </w:rPr>
        <w:t xml:space="preserve"> </w:t>
      </w:r>
      <w:r>
        <w:t>the</w:t>
      </w:r>
      <w:r>
        <w:rPr>
          <w:spacing w:val="1"/>
        </w:rPr>
        <w:t xml:space="preserve"> </w:t>
      </w:r>
      <w:r>
        <w:t>stated</w:t>
      </w:r>
      <w:r>
        <w:rPr>
          <w:spacing w:val="1"/>
        </w:rPr>
        <w:t xml:space="preserve"> </w:t>
      </w:r>
      <w:r>
        <w:t>goals,</w:t>
      </w:r>
      <w:r>
        <w:rPr>
          <w:spacing w:val="1"/>
        </w:rPr>
        <w:t xml:space="preserve"> </w:t>
      </w:r>
      <w:r>
        <w:t>the</w:t>
      </w:r>
      <w:r>
        <w:rPr>
          <w:spacing w:val="1"/>
        </w:rPr>
        <w:t xml:space="preserve"> </w:t>
      </w:r>
      <w:r>
        <w:t>Hospital</w:t>
      </w:r>
      <w:r>
        <w:rPr>
          <w:spacing w:val="1"/>
        </w:rPr>
        <w:t xml:space="preserve"> </w:t>
      </w:r>
      <w:r>
        <w:t>committed</w:t>
      </w:r>
      <w:r>
        <w:rPr>
          <w:spacing w:val="1"/>
        </w:rPr>
        <w:t xml:space="preserve"> </w:t>
      </w:r>
      <w:r>
        <w:t>to</w:t>
      </w:r>
      <w:r>
        <w:rPr>
          <w:spacing w:val="1"/>
        </w:rPr>
        <w:t xml:space="preserve"> </w:t>
      </w:r>
      <w:r>
        <w:t>an</w:t>
      </w:r>
      <w:r>
        <w:rPr>
          <w:spacing w:val="1"/>
        </w:rPr>
        <w:t xml:space="preserve"> </w:t>
      </w:r>
      <w:r>
        <w:t>inclusive</w:t>
      </w:r>
      <w:r>
        <w:rPr>
          <w:spacing w:val="1"/>
        </w:rPr>
        <w:t xml:space="preserve"> </w:t>
      </w:r>
      <w:r>
        <w:t>environment,</w:t>
      </w:r>
      <w:r>
        <w:rPr>
          <w:spacing w:val="1"/>
        </w:rPr>
        <w:t xml:space="preserve"> </w:t>
      </w:r>
      <w:r>
        <w:t>a</w:t>
      </w:r>
      <w:r>
        <w:rPr>
          <w:spacing w:val="1"/>
        </w:rPr>
        <w:t xml:space="preserve"> </w:t>
      </w:r>
      <w:r>
        <w:t>diverse</w:t>
      </w:r>
      <w:r>
        <w:rPr>
          <w:spacing w:val="1"/>
        </w:rPr>
        <w:t xml:space="preserve"> </w:t>
      </w:r>
      <w:r>
        <w:t>workforce, eliminating structural racism, advancing culturally effective pediatric care delivery,</w:t>
      </w:r>
      <w:r>
        <w:rPr>
          <w:spacing w:val="1"/>
        </w:rPr>
        <w:t xml:space="preserve"> </w:t>
      </w:r>
      <w:r>
        <w:t>eliminating child health</w:t>
      </w:r>
      <w:r>
        <w:rPr>
          <w:spacing w:val="1"/>
        </w:rPr>
        <w:t xml:space="preserve"> </w:t>
      </w:r>
      <w:r>
        <w:t>disparities, and developing and tracking metrics</w:t>
      </w:r>
      <w:r>
        <w:rPr>
          <w:spacing w:val="60"/>
        </w:rPr>
        <w:t xml:space="preserve"> </w:t>
      </w:r>
      <w:r>
        <w:t>for equity, diversity,</w:t>
      </w:r>
      <w:r>
        <w:rPr>
          <w:spacing w:val="1"/>
        </w:rPr>
        <w:t xml:space="preserve"> </w:t>
      </w:r>
      <w:r>
        <w:t>and inclusion. Furthermore, the Hospital takes part in national collaborations to advance health</w:t>
      </w:r>
      <w:r>
        <w:rPr>
          <w:spacing w:val="1"/>
        </w:rPr>
        <w:t xml:space="preserve"> </w:t>
      </w:r>
      <w:r>
        <w:t>equity and close health care disparities, including with the Pediatric Health Equity Collaborative</w:t>
      </w:r>
      <w:r>
        <w:rPr>
          <w:spacing w:val="1"/>
        </w:rPr>
        <w:t xml:space="preserve"> </w:t>
      </w:r>
      <w:r>
        <w:t>and</w:t>
      </w:r>
      <w:r>
        <w:rPr>
          <w:spacing w:val="-1"/>
        </w:rPr>
        <w:t xml:space="preserve"> </w:t>
      </w:r>
      <w:r>
        <w:t>Solutions for</w:t>
      </w:r>
      <w:r>
        <w:rPr>
          <w:spacing w:val="-1"/>
        </w:rPr>
        <w:t xml:space="preserve"> </w:t>
      </w:r>
      <w:r>
        <w:t>Patient Safety.</w:t>
      </w:r>
    </w:p>
    <w:p w:rsidR="00D862F2" w:rsidRDefault="00D862F2">
      <w:pPr>
        <w:pStyle w:val="BodyText"/>
        <w:spacing w:before="10"/>
        <w:rPr>
          <w:sz w:val="25"/>
        </w:rPr>
      </w:pPr>
    </w:p>
    <w:p w:rsidR="00D862F2" w:rsidRDefault="00884FE4">
      <w:pPr>
        <w:ind w:left="220"/>
        <w:jc w:val="both"/>
        <w:rPr>
          <w:b/>
          <w:sz w:val="24"/>
        </w:rPr>
      </w:pPr>
      <w:r>
        <w:rPr>
          <w:b/>
          <w:sz w:val="24"/>
          <w:u w:val="single"/>
        </w:rPr>
        <w:t>F1.b.iv</w:t>
      </w:r>
      <w:r>
        <w:rPr>
          <w:b/>
          <w:spacing w:val="57"/>
          <w:sz w:val="24"/>
          <w:u w:val="single"/>
        </w:rPr>
        <w:t xml:space="preserve"> </w:t>
      </w:r>
      <w:r>
        <w:rPr>
          <w:b/>
          <w:sz w:val="24"/>
          <w:u w:val="single"/>
        </w:rPr>
        <w:t>Public</w:t>
      </w:r>
      <w:r>
        <w:rPr>
          <w:b/>
          <w:spacing w:val="-3"/>
          <w:sz w:val="24"/>
          <w:u w:val="single"/>
        </w:rPr>
        <w:t xml:space="preserve"> </w:t>
      </w:r>
      <w:r>
        <w:rPr>
          <w:b/>
          <w:sz w:val="24"/>
          <w:u w:val="single"/>
        </w:rPr>
        <w:t>Health</w:t>
      </w:r>
      <w:r>
        <w:rPr>
          <w:b/>
          <w:spacing w:val="-3"/>
          <w:sz w:val="24"/>
          <w:u w:val="single"/>
        </w:rPr>
        <w:t xml:space="preserve"> </w:t>
      </w:r>
      <w:r>
        <w:rPr>
          <w:b/>
          <w:sz w:val="24"/>
          <w:u w:val="single"/>
        </w:rPr>
        <w:t>Value/Health</w:t>
      </w:r>
      <w:r>
        <w:rPr>
          <w:b/>
          <w:spacing w:val="-2"/>
          <w:sz w:val="24"/>
          <w:u w:val="single"/>
        </w:rPr>
        <w:t xml:space="preserve"> </w:t>
      </w:r>
      <w:r>
        <w:rPr>
          <w:b/>
          <w:sz w:val="24"/>
          <w:u w:val="single"/>
        </w:rPr>
        <w:t>Equity</w:t>
      </w:r>
      <w:r>
        <w:rPr>
          <w:b/>
          <w:spacing w:val="-2"/>
          <w:sz w:val="24"/>
          <w:u w:val="single"/>
        </w:rPr>
        <w:t xml:space="preserve"> </w:t>
      </w:r>
      <w:r>
        <w:rPr>
          <w:b/>
          <w:sz w:val="24"/>
          <w:u w:val="single"/>
        </w:rPr>
        <w:t>Focused:</w:t>
      </w:r>
    </w:p>
    <w:p w:rsidR="00D862F2" w:rsidRDefault="00884FE4" w:rsidP="002C14E1">
      <w:pPr>
        <w:pStyle w:val="BodyText"/>
      </w:pPr>
      <w:r>
        <w:t>Provide additional information to demonstrate that the Proposed Project will result</w:t>
      </w:r>
      <w:r>
        <w:rPr>
          <w:spacing w:val="1"/>
        </w:rPr>
        <w:t xml:space="preserve"> </w:t>
      </w:r>
      <w:r>
        <w:t>in improved health outcomes and quality of life of the Applicant’s existing Patient</w:t>
      </w:r>
      <w:r>
        <w:rPr>
          <w:spacing w:val="1"/>
        </w:rPr>
        <w:t xml:space="preserve"> </w:t>
      </w:r>
      <w:r>
        <w:t>Panel,</w:t>
      </w:r>
      <w:r>
        <w:rPr>
          <w:spacing w:val="-1"/>
        </w:rPr>
        <w:t xml:space="preserve"> </w:t>
      </w:r>
      <w:r>
        <w:t>while</w:t>
      </w:r>
      <w:r>
        <w:rPr>
          <w:spacing w:val="-1"/>
        </w:rPr>
        <w:t xml:space="preserve"> </w:t>
      </w:r>
      <w:r>
        <w:t>providing</w:t>
      </w:r>
      <w:r>
        <w:rPr>
          <w:spacing w:val="-3"/>
        </w:rPr>
        <w:t xml:space="preserve"> </w:t>
      </w:r>
      <w:r>
        <w:t>reasonable</w:t>
      </w:r>
      <w:r>
        <w:rPr>
          <w:spacing w:val="-2"/>
        </w:rPr>
        <w:t xml:space="preserve"> </w:t>
      </w:r>
      <w:r>
        <w:t>assurances of</w:t>
      </w:r>
      <w:r>
        <w:rPr>
          <w:spacing w:val="1"/>
        </w:rPr>
        <w:t xml:space="preserve"> </w:t>
      </w:r>
      <w:r>
        <w:t>health</w:t>
      </w:r>
      <w:r>
        <w:rPr>
          <w:spacing w:val="-1"/>
        </w:rPr>
        <w:t xml:space="preserve"> </w:t>
      </w:r>
      <w:r>
        <w:t>equity.</w:t>
      </w:r>
    </w:p>
    <w:p w:rsidR="00D862F2" w:rsidRDefault="00D862F2">
      <w:pPr>
        <w:pStyle w:val="BodyText"/>
        <w:spacing w:before="7"/>
        <w:rPr>
          <w:b/>
          <w:sz w:val="23"/>
        </w:rPr>
      </w:pPr>
    </w:p>
    <w:p w:rsidR="00D862F2" w:rsidRDefault="00884FE4">
      <w:pPr>
        <w:pStyle w:val="BodyText"/>
        <w:ind w:left="220" w:right="275"/>
        <w:jc w:val="both"/>
      </w:pPr>
      <w:r>
        <w:t>The</w:t>
      </w:r>
      <w:r>
        <w:rPr>
          <w:spacing w:val="1"/>
        </w:rPr>
        <w:t xml:space="preserve"> </w:t>
      </w:r>
      <w:r>
        <w:t>Proposed</w:t>
      </w:r>
      <w:r>
        <w:rPr>
          <w:spacing w:val="1"/>
        </w:rPr>
        <w:t xml:space="preserve"> </w:t>
      </w:r>
      <w:r>
        <w:t>Project</w:t>
      </w:r>
      <w:r>
        <w:rPr>
          <w:spacing w:val="1"/>
        </w:rPr>
        <w:t xml:space="preserve"> </w:t>
      </w:r>
      <w:r>
        <w:t>aims</w:t>
      </w:r>
      <w:r>
        <w:rPr>
          <w:spacing w:val="1"/>
        </w:rPr>
        <w:t xml:space="preserve"> </w:t>
      </w:r>
      <w:r>
        <w:t>to</w:t>
      </w:r>
      <w:r>
        <w:rPr>
          <w:spacing w:val="1"/>
        </w:rPr>
        <w:t xml:space="preserve"> </w:t>
      </w:r>
      <w:r>
        <w:t>expand</w:t>
      </w:r>
      <w:r>
        <w:rPr>
          <w:spacing w:val="1"/>
        </w:rPr>
        <w:t xml:space="preserve"> </w:t>
      </w:r>
      <w:r>
        <w:t>timely</w:t>
      </w:r>
      <w:r>
        <w:rPr>
          <w:spacing w:val="1"/>
        </w:rPr>
        <w:t xml:space="preserve"> </w:t>
      </w:r>
      <w:r>
        <w:t>access</w:t>
      </w:r>
      <w:r>
        <w:rPr>
          <w:spacing w:val="1"/>
        </w:rPr>
        <w:t xml:space="preserve"> </w:t>
      </w:r>
      <w:r>
        <w:t>to</w:t>
      </w:r>
      <w:r>
        <w:rPr>
          <w:spacing w:val="1"/>
        </w:rPr>
        <w:t xml:space="preserve"> </w:t>
      </w:r>
      <w:r>
        <w:t>certain</w:t>
      </w:r>
      <w:r>
        <w:rPr>
          <w:spacing w:val="1"/>
        </w:rPr>
        <w:t xml:space="preserve"> </w:t>
      </w:r>
      <w:r>
        <w:t>pediatric</w:t>
      </w:r>
      <w:r>
        <w:rPr>
          <w:spacing w:val="1"/>
        </w:rPr>
        <w:t xml:space="preserve"> </w:t>
      </w:r>
      <w:r>
        <w:t>specialty</w:t>
      </w:r>
      <w:r>
        <w:rPr>
          <w:spacing w:val="1"/>
        </w:rPr>
        <w:t xml:space="preserve"> </w:t>
      </w:r>
      <w:r>
        <w:t>services,</w:t>
      </w:r>
      <w:r>
        <w:rPr>
          <w:spacing w:val="-57"/>
        </w:rPr>
        <w:t xml:space="preserve"> </w:t>
      </w:r>
      <w:r>
        <w:t>including</w:t>
      </w:r>
      <w:r>
        <w:rPr>
          <w:spacing w:val="1"/>
        </w:rPr>
        <w:t xml:space="preserve"> </w:t>
      </w:r>
      <w:r>
        <w:t>behavioral</w:t>
      </w:r>
      <w:r>
        <w:rPr>
          <w:spacing w:val="1"/>
        </w:rPr>
        <w:t xml:space="preserve"> </w:t>
      </w:r>
      <w:r>
        <w:t>health,</w:t>
      </w:r>
      <w:r>
        <w:rPr>
          <w:spacing w:val="1"/>
        </w:rPr>
        <w:t xml:space="preserve"> </w:t>
      </w:r>
      <w:r>
        <w:t>ambulatory</w:t>
      </w:r>
      <w:r>
        <w:rPr>
          <w:spacing w:val="1"/>
        </w:rPr>
        <w:t xml:space="preserve"> </w:t>
      </w:r>
      <w:r>
        <w:t>surgery,</w:t>
      </w:r>
      <w:r>
        <w:rPr>
          <w:spacing w:val="1"/>
        </w:rPr>
        <w:t xml:space="preserve"> </w:t>
      </w:r>
      <w:r>
        <w:t>and</w:t>
      </w:r>
      <w:r>
        <w:rPr>
          <w:spacing w:val="1"/>
        </w:rPr>
        <w:t xml:space="preserve"> </w:t>
      </w:r>
      <w:r>
        <w:t>radiology.</w:t>
      </w:r>
      <w:r>
        <w:rPr>
          <w:spacing w:val="1"/>
        </w:rPr>
        <w:t xml:space="preserve"> </w:t>
      </w:r>
      <w:r>
        <w:t>By</w:t>
      </w:r>
      <w:r>
        <w:rPr>
          <w:spacing w:val="1"/>
        </w:rPr>
        <w:t xml:space="preserve"> </w:t>
      </w:r>
      <w:r>
        <w:t>co-locating</w:t>
      </w:r>
      <w:r>
        <w:rPr>
          <w:spacing w:val="1"/>
        </w:rPr>
        <w:t xml:space="preserve"> </w:t>
      </w:r>
      <w:r>
        <w:t>its</w:t>
      </w:r>
      <w:r>
        <w:rPr>
          <w:spacing w:val="1"/>
        </w:rPr>
        <w:t xml:space="preserve"> </w:t>
      </w:r>
      <w:r>
        <w:t>multi-</w:t>
      </w:r>
      <w:r>
        <w:rPr>
          <w:spacing w:val="1"/>
        </w:rPr>
        <w:t xml:space="preserve"> </w:t>
      </w:r>
      <w:r>
        <w:t>disciplinary services in the community, the Proposed Project will further coordination of care</w:t>
      </w:r>
      <w:r>
        <w:rPr>
          <w:spacing w:val="1"/>
        </w:rPr>
        <w:t xml:space="preserve"> </w:t>
      </w:r>
      <w:r>
        <w:t>efforts at locations that may be more accessible to patients and their families. The Applicant</w:t>
      </w:r>
      <w:r>
        <w:rPr>
          <w:spacing w:val="1"/>
        </w:rPr>
        <w:t xml:space="preserve"> </w:t>
      </w:r>
      <w:r>
        <w:t>anticipates that enhanced access to these services will allow for timely treatment, which may</w:t>
      </w:r>
      <w:r>
        <w:rPr>
          <w:spacing w:val="1"/>
        </w:rPr>
        <w:t xml:space="preserve"> </w:t>
      </w:r>
      <w:r>
        <w:t>result</w:t>
      </w:r>
      <w:r>
        <w:rPr>
          <w:spacing w:val="1"/>
        </w:rPr>
        <w:t xml:space="preserve"> </w:t>
      </w:r>
      <w:r>
        <w:t>in</w:t>
      </w:r>
      <w:r>
        <w:rPr>
          <w:spacing w:val="1"/>
        </w:rPr>
        <w:t xml:space="preserve"> </w:t>
      </w:r>
      <w:r>
        <w:t>fewer</w:t>
      </w:r>
      <w:r>
        <w:rPr>
          <w:spacing w:val="1"/>
        </w:rPr>
        <w:t xml:space="preserve"> </w:t>
      </w:r>
      <w:r>
        <w:t>complications</w:t>
      </w:r>
      <w:r>
        <w:rPr>
          <w:spacing w:val="1"/>
        </w:rPr>
        <w:t xml:space="preserve"> </w:t>
      </w:r>
      <w:r>
        <w:t>and</w:t>
      </w:r>
      <w:r>
        <w:rPr>
          <w:spacing w:val="1"/>
        </w:rPr>
        <w:t xml:space="preserve"> </w:t>
      </w:r>
      <w:r>
        <w:t>thus</w:t>
      </w:r>
      <w:r>
        <w:rPr>
          <w:spacing w:val="1"/>
        </w:rPr>
        <w:t xml:space="preserve"> </w:t>
      </w:r>
      <w:r>
        <w:t>improved</w:t>
      </w:r>
      <w:r>
        <w:rPr>
          <w:spacing w:val="1"/>
        </w:rPr>
        <w:t xml:space="preserve"> </w:t>
      </w:r>
      <w:r>
        <w:t>health</w:t>
      </w:r>
      <w:r>
        <w:rPr>
          <w:spacing w:val="1"/>
        </w:rPr>
        <w:t xml:space="preserve"> </w:t>
      </w:r>
      <w:r>
        <w:t>and</w:t>
      </w:r>
      <w:r>
        <w:rPr>
          <w:spacing w:val="1"/>
        </w:rPr>
        <w:t xml:space="preserve"> </w:t>
      </w:r>
      <w:r>
        <w:t>quality</w:t>
      </w:r>
      <w:r>
        <w:rPr>
          <w:spacing w:val="1"/>
        </w:rPr>
        <w:t xml:space="preserve"> </w:t>
      </w:r>
      <w:r>
        <w:t>of</w:t>
      </w:r>
      <w:r>
        <w:rPr>
          <w:spacing w:val="1"/>
        </w:rPr>
        <w:t xml:space="preserve"> </w:t>
      </w:r>
      <w:r>
        <w:t>life</w:t>
      </w:r>
      <w:r>
        <w:rPr>
          <w:spacing w:val="1"/>
        </w:rPr>
        <w:t xml:space="preserve"> </w:t>
      </w:r>
      <w:r>
        <w:t>outcomes.</w:t>
      </w:r>
      <w:r>
        <w:rPr>
          <w:spacing w:val="1"/>
        </w:rPr>
        <w:t xml:space="preserve"> </w:t>
      </w:r>
      <w:r>
        <w:t>For</w:t>
      </w:r>
      <w:r>
        <w:rPr>
          <w:spacing w:val="1"/>
        </w:rPr>
        <w:t xml:space="preserve"> </w:t>
      </w:r>
      <w:r>
        <w:t>example, the Applicant’s Growth &amp; Nutrition Program at the Needham Facility will expand</w:t>
      </w:r>
      <w:r>
        <w:rPr>
          <w:spacing w:val="1"/>
        </w:rPr>
        <w:t xml:space="preserve"> </w:t>
      </w:r>
      <w:r>
        <w:t>access to lower income families of diverse backgrounds without the barrier of traveling to the</w:t>
      </w:r>
      <w:r>
        <w:rPr>
          <w:spacing w:val="1"/>
        </w:rPr>
        <w:t xml:space="preserve"> </w:t>
      </w:r>
      <w:r>
        <w:t>Longwood</w:t>
      </w:r>
      <w:r>
        <w:rPr>
          <w:spacing w:val="-1"/>
        </w:rPr>
        <w:t xml:space="preserve"> </w:t>
      </w:r>
      <w:r>
        <w:t>Medical Area.</w:t>
      </w:r>
    </w:p>
    <w:p w:rsidR="00D862F2" w:rsidRDefault="00D862F2">
      <w:pPr>
        <w:pStyle w:val="BodyText"/>
      </w:pPr>
    </w:p>
    <w:p w:rsidR="00D862F2" w:rsidRDefault="00884FE4">
      <w:pPr>
        <w:pStyle w:val="BodyText"/>
        <w:ind w:left="220" w:right="274"/>
        <w:jc w:val="both"/>
      </w:pPr>
      <w:r>
        <w:t>The Applicant will continue to promote health equity and access to its specialized pediatric</w:t>
      </w:r>
      <w:r>
        <w:rPr>
          <w:spacing w:val="1"/>
        </w:rPr>
        <w:t xml:space="preserve"> </w:t>
      </w:r>
      <w:r>
        <w:t>services,</w:t>
      </w:r>
      <w:r>
        <w:rPr>
          <w:spacing w:val="1"/>
        </w:rPr>
        <w:t xml:space="preserve"> </w:t>
      </w:r>
      <w:r>
        <w:t>consistent</w:t>
      </w:r>
      <w:r>
        <w:rPr>
          <w:spacing w:val="1"/>
        </w:rPr>
        <w:t xml:space="preserve"> </w:t>
      </w:r>
      <w:r>
        <w:t>with</w:t>
      </w:r>
      <w:r>
        <w:rPr>
          <w:spacing w:val="1"/>
        </w:rPr>
        <w:t xml:space="preserve"> </w:t>
      </w:r>
      <w:r>
        <w:t>its</w:t>
      </w:r>
      <w:r>
        <w:rPr>
          <w:spacing w:val="1"/>
        </w:rPr>
        <w:t xml:space="preserve"> </w:t>
      </w:r>
      <w:r>
        <w:t>ongoing</w:t>
      </w:r>
      <w:r>
        <w:rPr>
          <w:spacing w:val="1"/>
        </w:rPr>
        <w:t xml:space="preserve"> </w:t>
      </w:r>
      <w:r>
        <w:t>efforts.</w:t>
      </w:r>
      <w:r>
        <w:rPr>
          <w:spacing w:val="1"/>
        </w:rPr>
        <w:t xml:space="preserve"> </w:t>
      </w:r>
      <w:r>
        <w:t>The</w:t>
      </w:r>
      <w:r>
        <w:rPr>
          <w:spacing w:val="1"/>
        </w:rPr>
        <w:t xml:space="preserve"> </w:t>
      </w:r>
      <w:r>
        <w:t>Applicant’s</w:t>
      </w:r>
      <w:r>
        <w:rPr>
          <w:spacing w:val="1"/>
        </w:rPr>
        <w:t xml:space="preserve"> </w:t>
      </w:r>
      <w:r>
        <w:t>Patient</w:t>
      </w:r>
      <w:r>
        <w:rPr>
          <w:spacing w:val="1"/>
        </w:rPr>
        <w:t xml:space="preserve"> </w:t>
      </w:r>
      <w:r>
        <w:t>Panel</w:t>
      </w:r>
      <w:r>
        <w:rPr>
          <w:spacing w:val="1"/>
        </w:rPr>
        <w:t xml:space="preserve"> </w:t>
      </w:r>
      <w:r>
        <w:t>is</w:t>
      </w:r>
      <w:r>
        <w:rPr>
          <w:spacing w:val="1"/>
        </w:rPr>
        <w:t xml:space="preserve"> </w:t>
      </w:r>
      <w:r>
        <w:t>that</w:t>
      </w:r>
      <w:r>
        <w:rPr>
          <w:spacing w:val="1"/>
        </w:rPr>
        <w:t xml:space="preserve"> </w:t>
      </w:r>
      <w:r>
        <w:t>of</w:t>
      </w:r>
      <w:r>
        <w:rPr>
          <w:spacing w:val="1"/>
        </w:rPr>
        <w:t xml:space="preserve"> </w:t>
      </w:r>
      <w:r>
        <w:t>the</w:t>
      </w:r>
      <w:r>
        <w:rPr>
          <w:spacing w:val="1"/>
        </w:rPr>
        <w:t xml:space="preserve"> </w:t>
      </w:r>
      <w:r>
        <w:t>Commonwealth, including with respect to race and socioeconomic status as demonstrated in the</w:t>
      </w:r>
      <w:r>
        <w:rPr>
          <w:spacing w:val="1"/>
        </w:rPr>
        <w:t xml:space="preserve"> </w:t>
      </w:r>
      <w:r>
        <w:t>charts below. This is true across the Applicant’s locations, and the Applicant expects it to be true</w:t>
      </w:r>
      <w:r>
        <w:rPr>
          <w:spacing w:val="1"/>
        </w:rPr>
        <w:t xml:space="preserve"> </w:t>
      </w:r>
      <w:r>
        <w:t>at</w:t>
      </w:r>
      <w:r>
        <w:rPr>
          <w:spacing w:val="1"/>
        </w:rPr>
        <w:t xml:space="preserve"> </w:t>
      </w:r>
      <w:r>
        <w:t>the</w:t>
      </w:r>
      <w:r>
        <w:rPr>
          <w:spacing w:val="1"/>
        </w:rPr>
        <w:t xml:space="preserve"> </w:t>
      </w:r>
      <w:r>
        <w:t>facilities</w:t>
      </w:r>
      <w:r>
        <w:rPr>
          <w:spacing w:val="1"/>
        </w:rPr>
        <w:t xml:space="preserve"> </w:t>
      </w:r>
      <w:r>
        <w:t>involved</w:t>
      </w:r>
      <w:r>
        <w:rPr>
          <w:spacing w:val="1"/>
        </w:rPr>
        <w:t xml:space="preserve"> </w:t>
      </w:r>
      <w:r>
        <w:t>in</w:t>
      </w:r>
      <w:r>
        <w:rPr>
          <w:spacing w:val="1"/>
        </w:rPr>
        <w:t xml:space="preserve"> </w:t>
      </w:r>
      <w:r>
        <w:t>the</w:t>
      </w:r>
      <w:r>
        <w:rPr>
          <w:spacing w:val="1"/>
        </w:rPr>
        <w:t xml:space="preserve"> </w:t>
      </w:r>
      <w:r>
        <w:t>Proposed</w:t>
      </w:r>
      <w:r>
        <w:rPr>
          <w:spacing w:val="1"/>
        </w:rPr>
        <w:t xml:space="preserve"> </w:t>
      </w:r>
      <w:r>
        <w:t>Project.</w:t>
      </w:r>
      <w:r>
        <w:rPr>
          <w:spacing w:val="1"/>
        </w:rPr>
        <w:t xml:space="preserve"> </w:t>
      </w:r>
      <w:r>
        <w:t>Increasing</w:t>
      </w:r>
      <w:r>
        <w:rPr>
          <w:spacing w:val="1"/>
        </w:rPr>
        <w:t xml:space="preserve"> </w:t>
      </w:r>
      <w:r>
        <w:t>the</w:t>
      </w:r>
      <w:r>
        <w:rPr>
          <w:spacing w:val="1"/>
        </w:rPr>
        <w:t xml:space="preserve"> </w:t>
      </w:r>
      <w:r>
        <w:t>accessibility</w:t>
      </w:r>
      <w:r>
        <w:rPr>
          <w:spacing w:val="1"/>
        </w:rPr>
        <w:t xml:space="preserve"> </w:t>
      </w:r>
      <w:r>
        <w:t>of</w:t>
      </w:r>
      <w:r>
        <w:rPr>
          <w:spacing w:val="60"/>
        </w:rPr>
        <w:t xml:space="preserve"> </w:t>
      </w:r>
      <w:r>
        <w:t>pediatric</w:t>
      </w:r>
      <w:r>
        <w:rPr>
          <w:spacing w:val="1"/>
        </w:rPr>
        <w:t xml:space="preserve"> </w:t>
      </w:r>
      <w:r>
        <w:t>specialty care, including at community settings that are easy to travel to, navigate, and park at,</w:t>
      </w:r>
      <w:r>
        <w:rPr>
          <w:spacing w:val="1"/>
        </w:rPr>
        <w:t xml:space="preserve"> </w:t>
      </w:r>
      <w:r>
        <w:t>should</w:t>
      </w:r>
      <w:r>
        <w:rPr>
          <w:spacing w:val="-1"/>
        </w:rPr>
        <w:t xml:space="preserve"> </w:t>
      </w:r>
      <w:r>
        <w:t>serve</w:t>
      </w:r>
      <w:r>
        <w:rPr>
          <w:spacing w:val="-1"/>
        </w:rPr>
        <w:t xml:space="preserve"> </w:t>
      </w:r>
      <w:r>
        <w:t>to reduce</w:t>
      </w:r>
      <w:r>
        <w:rPr>
          <w:spacing w:val="-1"/>
        </w:rPr>
        <w:t xml:space="preserve"> </w:t>
      </w:r>
      <w:r>
        <w:t>health disparities</w:t>
      </w:r>
      <w:r>
        <w:rPr>
          <w:spacing w:val="-1"/>
        </w:rPr>
        <w:t xml:space="preserve"> </w:t>
      </w:r>
      <w:r>
        <w:t>and improve</w:t>
      </w:r>
      <w:r>
        <w:rPr>
          <w:spacing w:val="-1"/>
        </w:rPr>
        <w:t xml:space="preserve"> </w:t>
      </w:r>
      <w:r>
        <w:t>health equity.</w:t>
      </w:r>
    </w:p>
    <w:p w:rsidR="00D862F2" w:rsidRDefault="00D862F2">
      <w:pPr>
        <w:jc w:val="both"/>
        <w:sectPr w:rsidR="00D862F2">
          <w:pgSz w:w="12240" w:h="15840"/>
          <w:pgMar w:top="1340" w:right="1160" w:bottom="980" w:left="1220" w:header="722" w:footer="794" w:gutter="0"/>
          <w:cols w:space="720"/>
        </w:sectPr>
      </w:pPr>
    </w:p>
    <w:p w:rsidR="00D862F2" w:rsidRDefault="00D862F2">
      <w:pPr>
        <w:pStyle w:val="BodyText"/>
        <w:spacing w:before="1"/>
        <w:rPr>
          <w:sz w:val="21"/>
        </w:rPr>
      </w:pPr>
    </w:p>
    <w:p w:rsidR="00D862F2" w:rsidRDefault="00884FE4">
      <w:pPr>
        <w:pStyle w:val="BodyText"/>
        <w:ind w:left="462"/>
        <w:rPr>
          <w:sz w:val="20"/>
        </w:rPr>
      </w:pPr>
      <w:r>
        <w:rPr>
          <w:noProof/>
          <w:sz w:val="20"/>
        </w:rPr>
        <w:drawing>
          <wp:inline distT="0" distB="0" distL="0" distR="0">
            <wp:extent cx="5641063" cy="3187636"/>
            <wp:effectExtent l="0" t="0" r="0" b="0"/>
            <wp:docPr id="3" name="image2.png" descr="Massachusetts:&#10;Asian, non-Hispanic: 7%&#10;Black, non-Hispanic: 9%&#10;Hispanic: 19%&#10;White, non-Hispanic: 60%&#10;Other, non-Hispanic: 1%&#10;Multiracial, non-Hispanic: 4%&#10;&#10;Boston Children's&#10;Asian, non-Hispanic: 4%&#10;Black, non-Hispanic: 10%&#10;Hispanic: 16%&#10;White, non-Hispanic: 60%&#10;Other, non-Hispanic: 7%&#10;Multiracial, non-Hispanic: 2%&#10;&#10;&#10;Boston Children's-This bar represents patient encounter data&#10;Asian, non-Hispanic: 4%&#10;Black, non-Hispanic: 11%&#10;Hispanic: 19%&#10;White, non-Hispanic: 57%&#10;Other, non-Hispanic: 8%&#10;Multiracial, non-Hispanic: 2%&#10;&#10;Sources: 2020 KIDS COUNT Data Book, Annie E. Casey Foundation; Boston Children's internall data&#10;&#10;Note: The first two bars (Massachusetts and Boston Children's) represent census/unique patient data&#10;&#10;Third bar is Boston Children's that represents patient encounter data&#10;" title="Bar Graph of Race/Ethnicity data for Massachusetts children (2019) and Boston Children's Massachusetts patients (FY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5641063" cy="3187636"/>
                    </a:xfrm>
                    <a:prstGeom prst="rect">
                      <a:avLst/>
                    </a:prstGeom>
                  </pic:spPr>
                </pic:pic>
              </a:graphicData>
            </a:graphic>
          </wp:inline>
        </w:drawing>
      </w:r>
    </w:p>
    <w:p w:rsidR="00D862F2" w:rsidRDefault="00884FE4">
      <w:pPr>
        <w:pStyle w:val="BodyText"/>
        <w:spacing w:before="5"/>
        <w:rPr>
          <w:sz w:val="26"/>
        </w:rPr>
      </w:pPr>
      <w:r>
        <w:rPr>
          <w:noProof/>
        </w:rPr>
        <w:drawing>
          <wp:anchor distT="0" distB="0" distL="0" distR="0" simplePos="0" relativeHeight="8" behindDoc="0" locked="0" layoutInCell="1" allowOverlap="1">
            <wp:simplePos x="0" y="0"/>
            <wp:positionH relativeFrom="page">
              <wp:posOffset>914400</wp:posOffset>
            </wp:positionH>
            <wp:positionV relativeFrom="paragraph">
              <wp:posOffset>208798</wp:posOffset>
            </wp:positionV>
            <wp:extent cx="5954611" cy="254917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5954611" cy="2549175"/>
                    </a:xfrm>
                    <a:prstGeom prst="rect">
                      <a:avLst/>
                    </a:prstGeom>
                  </pic:spPr>
                </pic:pic>
              </a:graphicData>
            </a:graphic>
          </wp:anchor>
        </w:drawing>
      </w:r>
    </w:p>
    <w:p w:rsidR="00D862F2" w:rsidRDefault="00D862F2">
      <w:pPr>
        <w:pStyle w:val="BodyText"/>
        <w:rPr>
          <w:sz w:val="20"/>
        </w:rPr>
      </w:pPr>
    </w:p>
    <w:p w:rsidR="00D862F2" w:rsidRDefault="00D862F2">
      <w:pPr>
        <w:pStyle w:val="BodyText"/>
        <w:spacing w:before="3"/>
        <w:rPr>
          <w:sz w:val="18"/>
        </w:rPr>
      </w:pPr>
    </w:p>
    <w:p w:rsidR="00D862F2" w:rsidRDefault="00D862F2">
      <w:pPr>
        <w:rPr>
          <w:sz w:val="18"/>
        </w:rPr>
        <w:sectPr w:rsidR="00D862F2">
          <w:pgSz w:w="12240" w:h="15840"/>
          <w:pgMar w:top="1340" w:right="1160" w:bottom="980" w:left="1220" w:header="722" w:footer="794" w:gutter="0"/>
          <w:cols w:space="720"/>
        </w:sectPr>
      </w:pPr>
    </w:p>
    <w:p w:rsidR="00D862F2" w:rsidRDefault="00884FE4">
      <w:pPr>
        <w:spacing w:before="90"/>
        <w:ind w:left="220"/>
        <w:rPr>
          <w:b/>
          <w:sz w:val="24"/>
        </w:rPr>
      </w:pPr>
      <w:r>
        <w:rPr>
          <w:b/>
          <w:spacing w:val="-1"/>
          <w:sz w:val="24"/>
          <w:u w:val="single"/>
        </w:rPr>
        <w:t>F1.c</w:t>
      </w:r>
    </w:p>
    <w:p w:rsidR="00D862F2" w:rsidRDefault="00884FE4">
      <w:pPr>
        <w:spacing w:before="9"/>
        <w:rPr>
          <w:b/>
          <w:sz w:val="31"/>
        </w:rPr>
      </w:pPr>
      <w:r>
        <w:br w:type="column"/>
      </w:r>
    </w:p>
    <w:p w:rsidR="00D862F2" w:rsidRDefault="00884FE4" w:rsidP="002C14E1">
      <w:pPr>
        <w:pStyle w:val="BodyText"/>
      </w:pPr>
      <w:r>
        <w:t>Provide evidence that the Proposed Project will operate efficiently and effectively by</w:t>
      </w:r>
      <w:r>
        <w:rPr>
          <w:spacing w:val="-57"/>
        </w:rPr>
        <w:t xml:space="preserve"> </w:t>
      </w:r>
      <w:r>
        <w:t>furthering and improving continuity and coordination of care for the Applicant’s</w:t>
      </w:r>
      <w:r>
        <w:rPr>
          <w:spacing w:val="1"/>
        </w:rPr>
        <w:t xml:space="preserve"> </w:t>
      </w:r>
      <w:r>
        <w:t>Patient Panel, including, how the Proposed Project will create or ensure appropriate</w:t>
      </w:r>
      <w:r>
        <w:rPr>
          <w:spacing w:val="-57"/>
        </w:rPr>
        <w:t xml:space="preserve"> </w:t>
      </w:r>
      <w:r>
        <w:t>linkages</w:t>
      </w:r>
      <w:r>
        <w:rPr>
          <w:spacing w:val="-1"/>
        </w:rPr>
        <w:t xml:space="preserve"> </w:t>
      </w:r>
      <w:r>
        <w:t>to patients’</w:t>
      </w:r>
      <w:r>
        <w:rPr>
          <w:spacing w:val="-1"/>
        </w:rPr>
        <w:t xml:space="preserve"> </w:t>
      </w:r>
      <w:r>
        <w:t>primary care</w:t>
      </w:r>
      <w:r>
        <w:rPr>
          <w:spacing w:val="-1"/>
        </w:rPr>
        <w:t xml:space="preserve"> </w:t>
      </w:r>
      <w:r>
        <w:t>services.</w:t>
      </w:r>
    </w:p>
    <w:p w:rsidR="00D862F2" w:rsidRDefault="00D862F2">
      <w:pPr>
        <w:sectPr w:rsidR="00D862F2">
          <w:type w:val="continuous"/>
          <w:pgSz w:w="12240" w:h="15840"/>
          <w:pgMar w:top="1340" w:right="1160" w:bottom="980" w:left="1220" w:header="722" w:footer="794" w:gutter="0"/>
          <w:cols w:num="2" w:space="720" w:equalWidth="0">
            <w:col w:w="651" w:space="69"/>
            <w:col w:w="9140"/>
          </w:cols>
        </w:sectPr>
      </w:pPr>
    </w:p>
    <w:p w:rsidR="00D862F2" w:rsidRDefault="00D862F2">
      <w:pPr>
        <w:pStyle w:val="BodyText"/>
        <w:spacing w:before="8"/>
        <w:rPr>
          <w:b/>
          <w:sz w:val="15"/>
        </w:rPr>
      </w:pPr>
    </w:p>
    <w:p w:rsidR="00D862F2" w:rsidRDefault="00884FE4">
      <w:pPr>
        <w:pStyle w:val="BodyText"/>
        <w:spacing w:before="90"/>
        <w:ind w:left="219" w:right="276"/>
        <w:jc w:val="both"/>
      </w:pPr>
      <w:r>
        <w:t>The Proposed Project will enhance community access to the Applicant’s integrated pediatric</w:t>
      </w:r>
      <w:r>
        <w:rPr>
          <w:spacing w:val="1"/>
        </w:rPr>
        <w:t xml:space="preserve"> </w:t>
      </w:r>
      <w:r>
        <w:t>delivery system comprising pediatric inpatient medical and surgical care, intensive care and</w:t>
      </w:r>
      <w:r>
        <w:rPr>
          <w:spacing w:val="1"/>
        </w:rPr>
        <w:t xml:space="preserve"> </w:t>
      </w:r>
      <w:r>
        <w:t>neonatal</w:t>
      </w:r>
      <w:r>
        <w:rPr>
          <w:spacing w:val="1"/>
        </w:rPr>
        <w:t xml:space="preserve"> </w:t>
      </w:r>
      <w:r>
        <w:t>intensive</w:t>
      </w:r>
      <w:r>
        <w:rPr>
          <w:spacing w:val="1"/>
        </w:rPr>
        <w:t xml:space="preserve"> </w:t>
      </w:r>
      <w:r>
        <w:t>care,</w:t>
      </w:r>
      <w:r>
        <w:rPr>
          <w:spacing w:val="1"/>
        </w:rPr>
        <w:t xml:space="preserve"> </w:t>
      </w:r>
      <w:r>
        <w:t>emergency</w:t>
      </w:r>
      <w:r>
        <w:rPr>
          <w:spacing w:val="1"/>
        </w:rPr>
        <w:t xml:space="preserve"> </w:t>
      </w:r>
      <w:r>
        <w:t>services,</w:t>
      </w:r>
      <w:r>
        <w:rPr>
          <w:spacing w:val="1"/>
        </w:rPr>
        <w:t xml:space="preserve"> </w:t>
      </w:r>
      <w:r>
        <w:t>and</w:t>
      </w:r>
      <w:r>
        <w:rPr>
          <w:spacing w:val="1"/>
        </w:rPr>
        <w:t xml:space="preserve"> </w:t>
      </w:r>
      <w:r>
        <w:t>more</w:t>
      </w:r>
      <w:r>
        <w:rPr>
          <w:spacing w:val="1"/>
        </w:rPr>
        <w:t xml:space="preserve"> </w:t>
      </w:r>
      <w:r>
        <w:t>than</w:t>
      </w:r>
      <w:r>
        <w:rPr>
          <w:spacing w:val="1"/>
        </w:rPr>
        <w:t xml:space="preserve"> </w:t>
      </w:r>
      <w:r>
        <w:t>150</w:t>
      </w:r>
      <w:r>
        <w:rPr>
          <w:spacing w:val="1"/>
        </w:rPr>
        <w:t xml:space="preserve"> </w:t>
      </w:r>
      <w:r>
        <w:t>ambulatory</w:t>
      </w:r>
      <w:r>
        <w:rPr>
          <w:spacing w:val="1"/>
        </w:rPr>
        <w:t xml:space="preserve"> </w:t>
      </w:r>
      <w:r>
        <w:t>programs</w:t>
      </w:r>
      <w:r>
        <w:rPr>
          <w:spacing w:val="1"/>
        </w:rPr>
        <w:t xml:space="preserve"> </w:t>
      </w:r>
      <w:r>
        <w:t>and</w:t>
      </w:r>
      <w:r>
        <w:rPr>
          <w:spacing w:val="1"/>
        </w:rPr>
        <w:t xml:space="preserve"> </w:t>
      </w:r>
      <w:r>
        <w:t>services.</w:t>
      </w:r>
      <w:r>
        <w:rPr>
          <w:spacing w:val="11"/>
        </w:rPr>
        <w:t xml:space="preserve"> </w:t>
      </w:r>
      <w:r>
        <w:t>The</w:t>
      </w:r>
      <w:r>
        <w:rPr>
          <w:spacing w:val="11"/>
        </w:rPr>
        <w:t xml:space="preserve"> </w:t>
      </w:r>
      <w:r>
        <w:t>Applicant</w:t>
      </w:r>
      <w:r>
        <w:rPr>
          <w:spacing w:val="12"/>
        </w:rPr>
        <w:t xml:space="preserve"> </w:t>
      </w:r>
      <w:r>
        <w:t>provides</w:t>
      </w:r>
      <w:r>
        <w:rPr>
          <w:spacing w:val="12"/>
        </w:rPr>
        <w:t xml:space="preserve"> </w:t>
      </w:r>
      <w:r>
        <w:t>primary</w:t>
      </w:r>
      <w:r>
        <w:rPr>
          <w:spacing w:val="9"/>
        </w:rPr>
        <w:t xml:space="preserve"> </w:t>
      </w:r>
      <w:r>
        <w:t>care</w:t>
      </w:r>
      <w:r>
        <w:rPr>
          <w:spacing w:val="13"/>
        </w:rPr>
        <w:t xml:space="preserve"> </w:t>
      </w:r>
      <w:r>
        <w:t>services</w:t>
      </w:r>
      <w:r>
        <w:rPr>
          <w:spacing w:val="12"/>
        </w:rPr>
        <w:t xml:space="preserve"> </w:t>
      </w:r>
      <w:r>
        <w:t>directly,</w:t>
      </w:r>
      <w:r>
        <w:rPr>
          <w:spacing w:val="12"/>
        </w:rPr>
        <w:t xml:space="preserve"> </w:t>
      </w:r>
      <w:r>
        <w:t>through</w:t>
      </w:r>
      <w:r>
        <w:rPr>
          <w:spacing w:val="12"/>
        </w:rPr>
        <w:t xml:space="preserve"> </w:t>
      </w:r>
      <w:r>
        <w:t>the</w:t>
      </w:r>
      <w:r>
        <w:rPr>
          <w:spacing w:val="13"/>
        </w:rPr>
        <w:t xml:space="preserve"> </w:t>
      </w:r>
      <w:r>
        <w:t>primary</w:t>
      </w:r>
      <w:r>
        <w:rPr>
          <w:spacing w:val="9"/>
        </w:rPr>
        <w:t xml:space="preserve"> </w:t>
      </w:r>
      <w:r>
        <w:t>care</w:t>
      </w:r>
    </w:p>
    <w:p w:rsidR="00D862F2" w:rsidRDefault="00D862F2">
      <w:pPr>
        <w:jc w:val="both"/>
        <w:sectPr w:rsidR="00D862F2">
          <w:type w:val="continuous"/>
          <w:pgSz w:w="12240" w:h="15840"/>
          <w:pgMar w:top="1340" w:right="1160" w:bottom="980" w:left="1220" w:header="722" w:footer="794" w:gutter="0"/>
          <w:cols w:space="720"/>
        </w:sectPr>
      </w:pPr>
    </w:p>
    <w:p w:rsidR="00D862F2" w:rsidRDefault="00884FE4">
      <w:pPr>
        <w:pStyle w:val="BodyText"/>
        <w:spacing w:before="88"/>
        <w:ind w:left="220" w:right="278"/>
        <w:jc w:val="both"/>
      </w:pPr>
      <w:r>
        <w:lastRenderedPageBreak/>
        <w:t>alliance, and through BCH ACO. Primary care is provided directly at its primary care center,</w:t>
      </w:r>
      <w:r>
        <w:rPr>
          <w:spacing w:val="1"/>
        </w:rPr>
        <w:t xml:space="preserve"> </w:t>
      </w:r>
      <w:r>
        <w:t>Childrens Hospital Primary Care Center, and through the PPOC, a network of more than 400</w:t>
      </w:r>
      <w:r>
        <w:rPr>
          <w:spacing w:val="1"/>
        </w:rPr>
        <w:t xml:space="preserve"> </w:t>
      </w:r>
      <w:r>
        <w:t>licensed health care professionals devoted exclusively to pediatric primary care in collaboration</w:t>
      </w:r>
      <w:r>
        <w:rPr>
          <w:spacing w:val="1"/>
        </w:rPr>
        <w:t xml:space="preserve"> </w:t>
      </w:r>
      <w:r>
        <w:t>with Hospital specialists. The BCH ACO, with over 500 primary care providers at over 100</w:t>
      </w:r>
      <w:r>
        <w:rPr>
          <w:spacing w:val="1"/>
        </w:rPr>
        <w:t xml:space="preserve"> </w:t>
      </w:r>
      <w:r>
        <w:t>locations</w:t>
      </w:r>
      <w:r>
        <w:rPr>
          <w:spacing w:val="1"/>
        </w:rPr>
        <w:t xml:space="preserve"> </w:t>
      </w:r>
      <w:r>
        <w:t>across</w:t>
      </w:r>
      <w:r>
        <w:rPr>
          <w:spacing w:val="1"/>
        </w:rPr>
        <w:t xml:space="preserve"> </w:t>
      </w:r>
      <w:r>
        <w:t>the</w:t>
      </w:r>
      <w:r>
        <w:rPr>
          <w:spacing w:val="1"/>
        </w:rPr>
        <w:t xml:space="preserve"> </w:t>
      </w:r>
      <w:r>
        <w:t>Commonwealth,</w:t>
      </w:r>
      <w:r>
        <w:rPr>
          <w:spacing w:val="1"/>
        </w:rPr>
        <w:t xml:space="preserve"> </w:t>
      </w:r>
      <w:r>
        <w:t>provides</w:t>
      </w:r>
      <w:r>
        <w:rPr>
          <w:spacing w:val="1"/>
        </w:rPr>
        <w:t xml:space="preserve"> </w:t>
      </w:r>
      <w:r>
        <w:t>primary</w:t>
      </w:r>
      <w:r>
        <w:rPr>
          <w:spacing w:val="1"/>
        </w:rPr>
        <w:t xml:space="preserve"> </w:t>
      </w:r>
      <w:r>
        <w:t>care</w:t>
      </w:r>
      <w:r>
        <w:rPr>
          <w:spacing w:val="1"/>
        </w:rPr>
        <w:t xml:space="preserve"> </w:t>
      </w:r>
      <w:r>
        <w:t>services</w:t>
      </w:r>
      <w:r>
        <w:rPr>
          <w:spacing w:val="1"/>
        </w:rPr>
        <w:t xml:space="preserve"> </w:t>
      </w:r>
      <w:r>
        <w:t>for</w:t>
      </w:r>
      <w:r>
        <w:rPr>
          <w:spacing w:val="1"/>
        </w:rPr>
        <w:t xml:space="preserve"> </w:t>
      </w:r>
      <w:r>
        <w:t>nearly</w:t>
      </w:r>
      <w:r>
        <w:rPr>
          <w:spacing w:val="1"/>
        </w:rPr>
        <w:t xml:space="preserve"> </w:t>
      </w:r>
      <w:r>
        <w:t>20%</w:t>
      </w:r>
      <w:r>
        <w:rPr>
          <w:spacing w:val="1"/>
        </w:rPr>
        <w:t xml:space="preserve"> </w:t>
      </w:r>
      <w:r>
        <w:t>of</w:t>
      </w:r>
      <w:r>
        <w:rPr>
          <w:spacing w:val="1"/>
        </w:rPr>
        <w:t xml:space="preserve"> </w:t>
      </w:r>
      <w:r>
        <w:t>all</w:t>
      </w:r>
      <w:r>
        <w:rPr>
          <w:spacing w:val="-57"/>
        </w:rPr>
        <w:t xml:space="preserve"> </w:t>
      </w:r>
      <w:r>
        <w:t>children</w:t>
      </w:r>
      <w:r>
        <w:rPr>
          <w:spacing w:val="-1"/>
        </w:rPr>
        <w:t xml:space="preserve"> </w:t>
      </w:r>
      <w:r>
        <w:t>and</w:t>
      </w:r>
      <w:r>
        <w:rPr>
          <w:spacing w:val="4"/>
        </w:rPr>
        <w:t xml:space="preserve"> </w:t>
      </w:r>
      <w:r>
        <w:t>young</w:t>
      </w:r>
      <w:r>
        <w:rPr>
          <w:spacing w:val="-3"/>
        </w:rPr>
        <w:t xml:space="preserve"> </w:t>
      </w:r>
      <w:r>
        <w:t>adults enrolled in ACOs.</w:t>
      </w:r>
    </w:p>
    <w:p w:rsidR="00D862F2" w:rsidRDefault="00D862F2">
      <w:pPr>
        <w:pStyle w:val="BodyText"/>
      </w:pPr>
    </w:p>
    <w:p w:rsidR="00D862F2" w:rsidRDefault="00884FE4">
      <w:pPr>
        <w:pStyle w:val="BodyText"/>
        <w:ind w:left="220" w:right="280"/>
        <w:jc w:val="both"/>
      </w:pPr>
      <w:r>
        <w:t>The Applicant engages with various community health partners and network affiliates, as seen</w:t>
      </w:r>
      <w:r>
        <w:rPr>
          <w:spacing w:val="1"/>
        </w:rPr>
        <w:t xml:space="preserve"> </w:t>
      </w:r>
      <w:r>
        <w:t>below,</w:t>
      </w:r>
      <w:r>
        <w:rPr>
          <w:spacing w:val="-1"/>
        </w:rPr>
        <w:t xml:space="preserve"> </w:t>
      </w:r>
      <w:r>
        <w:t>in</w:t>
      </w:r>
      <w:r>
        <w:rPr>
          <w:spacing w:val="-1"/>
        </w:rPr>
        <w:t xml:space="preserve"> </w:t>
      </w:r>
      <w:r>
        <w:t>order</w:t>
      </w:r>
      <w:r>
        <w:rPr>
          <w:spacing w:val="-1"/>
        </w:rPr>
        <w:t xml:space="preserve"> </w:t>
      </w:r>
      <w:r>
        <w:t>to</w:t>
      </w:r>
      <w:r>
        <w:rPr>
          <w:spacing w:val="-1"/>
        </w:rPr>
        <w:t xml:space="preserve"> </w:t>
      </w:r>
      <w:r>
        <w:t>provide</w:t>
      </w:r>
      <w:r>
        <w:rPr>
          <w:spacing w:val="-2"/>
        </w:rPr>
        <w:t xml:space="preserve"> </w:t>
      </w:r>
      <w:r>
        <w:t>its specialized</w:t>
      </w:r>
      <w:r>
        <w:rPr>
          <w:spacing w:val="-1"/>
        </w:rPr>
        <w:t xml:space="preserve"> </w:t>
      </w:r>
      <w:r>
        <w:t>pediatric services to</w:t>
      </w:r>
      <w:r>
        <w:rPr>
          <w:spacing w:val="-1"/>
        </w:rPr>
        <w:t xml:space="preserve"> </w:t>
      </w:r>
      <w:r>
        <w:t>patients</w:t>
      </w:r>
      <w:r>
        <w:rPr>
          <w:spacing w:val="-1"/>
        </w:rPr>
        <w:t xml:space="preserve"> </w:t>
      </w:r>
      <w:r>
        <w:t>and their</w:t>
      </w:r>
      <w:r>
        <w:rPr>
          <w:spacing w:val="-2"/>
        </w:rPr>
        <w:t xml:space="preserve"> </w:t>
      </w:r>
      <w:r>
        <w:t>families.</w:t>
      </w:r>
    </w:p>
    <w:p w:rsidR="00D862F2" w:rsidRDefault="00884FE4">
      <w:pPr>
        <w:pStyle w:val="BodyText"/>
        <w:spacing w:before="7"/>
        <w:rPr>
          <w:sz w:val="22"/>
        </w:rPr>
      </w:pPr>
      <w:r>
        <w:rPr>
          <w:noProof/>
        </w:rPr>
        <w:drawing>
          <wp:anchor distT="0" distB="0" distL="0" distR="0" simplePos="0" relativeHeight="9" behindDoc="0" locked="0" layoutInCell="1" allowOverlap="1">
            <wp:simplePos x="0" y="0"/>
            <wp:positionH relativeFrom="page">
              <wp:posOffset>914400</wp:posOffset>
            </wp:positionH>
            <wp:positionV relativeFrom="paragraph">
              <wp:posOffset>180530</wp:posOffset>
            </wp:positionV>
            <wp:extent cx="5906465" cy="2258949"/>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5906465" cy="2258949"/>
                    </a:xfrm>
                    <a:prstGeom prst="rect">
                      <a:avLst/>
                    </a:prstGeom>
                  </pic:spPr>
                </pic:pic>
              </a:graphicData>
            </a:graphic>
          </wp:anchor>
        </w:drawing>
      </w:r>
    </w:p>
    <w:p w:rsidR="00D862F2" w:rsidRDefault="00D862F2">
      <w:pPr>
        <w:pStyle w:val="BodyText"/>
        <w:spacing w:before="3"/>
        <w:rPr>
          <w:sz w:val="25"/>
        </w:rPr>
      </w:pPr>
    </w:p>
    <w:p w:rsidR="00D862F2" w:rsidRDefault="00884FE4">
      <w:pPr>
        <w:pStyle w:val="BodyText"/>
        <w:spacing w:before="1"/>
        <w:ind w:left="220" w:right="277"/>
        <w:jc w:val="both"/>
      </w:pPr>
      <w:r>
        <w:t>Through the Proposed Project, the Hospital will continue to implement its coordinated and</w:t>
      </w:r>
      <w:r>
        <w:rPr>
          <w:spacing w:val="1"/>
        </w:rPr>
        <w:t xml:space="preserve"> </w:t>
      </w:r>
      <w:r>
        <w:t>integrated care models. It will co-locate multi-disciplinary services, including through integration</w:t>
      </w:r>
      <w:r>
        <w:rPr>
          <w:spacing w:val="-57"/>
        </w:rPr>
        <w:t xml:space="preserve"> </w:t>
      </w:r>
      <w:r>
        <w:t>of</w:t>
      </w:r>
      <w:r>
        <w:rPr>
          <w:spacing w:val="1"/>
        </w:rPr>
        <w:t xml:space="preserve"> </w:t>
      </w:r>
      <w:r>
        <w:t>behavioral</w:t>
      </w:r>
      <w:r>
        <w:rPr>
          <w:spacing w:val="1"/>
        </w:rPr>
        <w:t xml:space="preserve"> </w:t>
      </w:r>
      <w:r>
        <w:t>health</w:t>
      </w:r>
      <w:r>
        <w:rPr>
          <w:spacing w:val="1"/>
        </w:rPr>
        <w:t xml:space="preserve"> </w:t>
      </w:r>
      <w:r>
        <w:t>services</w:t>
      </w:r>
      <w:r>
        <w:rPr>
          <w:spacing w:val="1"/>
        </w:rPr>
        <w:t xml:space="preserve"> </w:t>
      </w:r>
      <w:r>
        <w:t>throughout</w:t>
      </w:r>
      <w:r>
        <w:rPr>
          <w:spacing w:val="1"/>
        </w:rPr>
        <w:t xml:space="preserve"> </w:t>
      </w:r>
      <w:r>
        <w:t>departments.</w:t>
      </w:r>
      <w:r>
        <w:rPr>
          <w:spacing w:val="1"/>
        </w:rPr>
        <w:t xml:space="preserve"> </w:t>
      </w:r>
      <w:r>
        <w:t>It</w:t>
      </w:r>
      <w:r>
        <w:rPr>
          <w:spacing w:val="1"/>
        </w:rPr>
        <w:t xml:space="preserve"> </w:t>
      </w:r>
      <w:r>
        <w:t>is</w:t>
      </w:r>
      <w:r>
        <w:rPr>
          <w:spacing w:val="1"/>
        </w:rPr>
        <w:t xml:space="preserve"> </w:t>
      </w:r>
      <w:r>
        <w:t>also</w:t>
      </w:r>
      <w:r>
        <w:rPr>
          <w:spacing w:val="1"/>
        </w:rPr>
        <w:t xml:space="preserve"> </w:t>
      </w:r>
      <w:r>
        <w:t>intended</w:t>
      </w:r>
      <w:r>
        <w:rPr>
          <w:spacing w:val="1"/>
        </w:rPr>
        <w:t xml:space="preserve"> </w:t>
      </w:r>
      <w:r>
        <w:t>to</w:t>
      </w:r>
      <w:r>
        <w:rPr>
          <w:spacing w:val="1"/>
        </w:rPr>
        <w:t xml:space="preserve"> </w:t>
      </w:r>
      <w:r>
        <w:t>increase</w:t>
      </w:r>
      <w:r>
        <w:rPr>
          <w:spacing w:val="1"/>
        </w:rPr>
        <w:t xml:space="preserve"> </w:t>
      </w:r>
      <w:r>
        <w:t>the</w:t>
      </w:r>
      <w:r>
        <w:rPr>
          <w:spacing w:val="1"/>
        </w:rPr>
        <w:t xml:space="preserve"> </w:t>
      </w:r>
      <w:r>
        <w:t>availability</w:t>
      </w:r>
      <w:r>
        <w:rPr>
          <w:spacing w:val="8"/>
        </w:rPr>
        <w:t xml:space="preserve"> </w:t>
      </w:r>
      <w:r>
        <w:t>of</w:t>
      </w:r>
      <w:r>
        <w:rPr>
          <w:spacing w:val="12"/>
        </w:rPr>
        <w:t xml:space="preserve"> </w:t>
      </w:r>
      <w:r>
        <w:t>same-day</w:t>
      </w:r>
      <w:r>
        <w:rPr>
          <w:spacing w:val="11"/>
        </w:rPr>
        <w:t xml:space="preserve"> </w:t>
      </w:r>
      <w:r>
        <w:t>coordinated</w:t>
      </w:r>
      <w:r>
        <w:rPr>
          <w:spacing w:val="15"/>
        </w:rPr>
        <w:t xml:space="preserve"> </w:t>
      </w:r>
      <w:r>
        <w:t>care</w:t>
      </w:r>
      <w:r>
        <w:rPr>
          <w:spacing w:val="12"/>
        </w:rPr>
        <w:t xml:space="preserve"> </w:t>
      </w:r>
      <w:r>
        <w:t>in</w:t>
      </w:r>
      <w:r>
        <w:rPr>
          <w:spacing w:val="14"/>
        </w:rPr>
        <w:t xml:space="preserve"> </w:t>
      </w:r>
      <w:r>
        <w:t>the</w:t>
      </w:r>
      <w:r>
        <w:rPr>
          <w:spacing w:val="12"/>
        </w:rPr>
        <w:t xml:space="preserve"> </w:t>
      </w:r>
      <w:r>
        <w:t>community,</w:t>
      </w:r>
      <w:r>
        <w:rPr>
          <w:spacing w:val="15"/>
        </w:rPr>
        <w:t xml:space="preserve"> </w:t>
      </w:r>
      <w:r>
        <w:t>and</w:t>
      </w:r>
      <w:r>
        <w:rPr>
          <w:spacing w:val="13"/>
        </w:rPr>
        <w:t xml:space="preserve"> </w:t>
      </w:r>
      <w:r>
        <w:t>improve</w:t>
      </w:r>
      <w:r>
        <w:rPr>
          <w:spacing w:val="15"/>
        </w:rPr>
        <w:t xml:space="preserve"> </w:t>
      </w:r>
      <w:r>
        <w:t>the</w:t>
      </w:r>
      <w:r>
        <w:rPr>
          <w:spacing w:val="12"/>
        </w:rPr>
        <w:t xml:space="preserve"> </w:t>
      </w:r>
      <w:r>
        <w:t>ability</w:t>
      </w:r>
      <w:r>
        <w:rPr>
          <w:spacing w:val="9"/>
        </w:rPr>
        <w:t xml:space="preserve"> </w:t>
      </w:r>
      <w:r>
        <w:t>of</w:t>
      </w:r>
      <w:r>
        <w:rPr>
          <w:spacing w:val="15"/>
        </w:rPr>
        <w:t xml:space="preserve"> </w:t>
      </w:r>
      <w:r>
        <w:t>families</w:t>
      </w:r>
      <w:r>
        <w:rPr>
          <w:spacing w:val="-58"/>
        </w:rPr>
        <w:t xml:space="preserve"> </w:t>
      </w:r>
      <w:r>
        <w:t>to schedule multiple appointments with care team members on the same day at the same location</w:t>
      </w:r>
      <w:r>
        <w:rPr>
          <w:spacing w:val="1"/>
        </w:rPr>
        <w:t xml:space="preserve"> </w:t>
      </w:r>
      <w:r>
        <w:t>(also</w:t>
      </w:r>
      <w:r>
        <w:rPr>
          <w:spacing w:val="-1"/>
        </w:rPr>
        <w:t xml:space="preserve"> </w:t>
      </w:r>
      <w:r>
        <w:t>helping</w:t>
      </w:r>
      <w:r>
        <w:rPr>
          <w:spacing w:val="-3"/>
        </w:rPr>
        <w:t xml:space="preserve"> </w:t>
      </w:r>
      <w:r>
        <w:t>to reduce</w:t>
      </w:r>
      <w:r>
        <w:rPr>
          <w:spacing w:val="-1"/>
        </w:rPr>
        <w:t xml:space="preserve"> </w:t>
      </w:r>
      <w:r>
        <w:t>missed school days).</w:t>
      </w:r>
    </w:p>
    <w:p w:rsidR="00D862F2" w:rsidRDefault="00D862F2">
      <w:pPr>
        <w:pStyle w:val="BodyText"/>
        <w:spacing w:before="4"/>
        <w:rPr>
          <w:sz w:val="16"/>
        </w:rPr>
      </w:pPr>
    </w:p>
    <w:p w:rsidR="00D862F2" w:rsidRDefault="00D862F2">
      <w:pPr>
        <w:rPr>
          <w:sz w:val="16"/>
        </w:rPr>
        <w:sectPr w:rsidR="00D862F2">
          <w:pgSz w:w="12240" w:h="15840"/>
          <w:pgMar w:top="1340" w:right="1160" w:bottom="980" w:left="1220" w:header="722" w:footer="794" w:gutter="0"/>
          <w:cols w:space="720"/>
        </w:sectPr>
      </w:pPr>
    </w:p>
    <w:p w:rsidR="00D862F2" w:rsidRDefault="00884FE4">
      <w:pPr>
        <w:spacing w:before="90"/>
        <w:ind w:left="220"/>
        <w:rPr>
          <w:b/>
          <w:sz w:val="24"/>
        </w:rPr>
      </w:pPr>
      <w:r>
        <w:rPr>
          <w:b/>
          <w:spacing w:val="-1"/>
          <w:sz w:val="24"/>
          <w:u w:val="single"/>
        </w:rPr>
        <w:t>F1.d</w:t>
      </w:r>
    </w:p>
    <w:p w:rsidR="00D862F2" w:rsidRDefault="00884FE4">
      <w:pPr>
        <w:spacing w:before="9"/>
        <w:rPr>
          <w:b/>
          <w:sz w:val="31"/>
        </w:rPr>
      </w:pPr>
      <w:r>
        <w:br w:type="column"/>
      </w:r>
    </w:p>
    <w:p w:rsidR="00D862F2" w:rsidRDefault="00884FE4" w:rsidP="002C14E1">
      <w:pPr>
        <w:pStyle w:val="BodyText"/>
      </w:pPr>
      <w:r>
        <w:t>Provide evidence of consultation, both prior to and after the Filing Date, with all</w:t>
      </w:r>
      <w:r>
        <w:rPr>
          <w:spacing w:val="1"/>
        </w:rPr>
        <w:t xml:space="preserve"> </w:t>
      </w:r>
      <w:r>
        <w:t>Government</w:t>
      </w:r>
      <w:r>
        <w:rPr>
          <w:spacing w:val="1"/>
        </w:rPr>
        <w:t xml:space="preserve"> </w:t>
      </w:r>
      <w:r>
        <w:t>Agencies</w:t>
      </w:r>
      <w:r>
        <w:rPr>
          <w:spacing w:val="1"/>
        </w:rPr>
        <w:t xml:space="preserve"> </w:t>
      </w:r>
      <w:r>
        <w:t>with</w:t>
      </w:r>
      <w:r>
        <w:rPr>
          <w:spacing w:val="1"/>
        </w:rPr>
        <w:t xml:space="preserve"> </w:t>
      </w:r>
      <w:r>
        <w:t>relevant</w:t>
      </w:r>
      <w:r>
        <w:rPr>
          <w:spacing w:val="1"/>
        </w:rPr>
        <w:t xml:space="preserve"> </w:t>
      </w:r>
      <w:r>
        <w:t>licensure,</w:t>
      </w:r>
      <w:r>
        <w:rPr>
          <w:spacing w:val="1"/>
        </w:rPr>
        <w:t xml:space="preserve"> </w:t>
      </w:r>
      <w:r>
        <w:t>certification,</w:t>
      </w:r>
      <w:r>
        <w:rPr>
          <w:spacing w:val="1"/>
        </w:rPr>
        <w:t xml:space="preserve"> </w:t>
      </w:r>
      <w:r>
        <w:t>or</w:t>
      </w:r>
      <w:r>
        <w:rPr>
          <w:spacing w:val="1"/>
        </w:rPr>
        <w:t xml:space="preserve"> </w:t>
      </w:r>
      <w:r>
        <w:t>other</w:t>
      </w:r>
      <w:r>
        <w:rPr>
          <w:spacing w:val="1"/>
        </w:rPr>
        <w:t xml:space="preserve"> </w:t>
      </w:r>
      <w:r>
        <w:t>regulatory</w:t>
      </w:r>
      <w:r>
        <w:rPr>
          <w:spacing w:val="-57"/>
        </w:rPr>
        <w:t xml:space="preserve"> </w:t>
      </w:r>
      <w:r>
        <w:t>oversight</w:t>
      </w:r>
      <w:r>
        <w:rPr>
          <w:spacing w:val="-2"/>
        </w:rPr>
        <w:t xml:space="preserve"> </w:t>
      </w:r>
      <w:r>
        <w:t>of</w:t>
      </w:r>
      <w:r>
        <w:rPr>
          <w:spacing w:val="1"/>
        </w:rPr>
        <w:t xml:space="preserve"> </w:t>
      </w:r>
      <w:r>
        <w:t>the</w:t>
      </w:r>
      <w:r>
        <w:rPr>
          <w:spacing w:val="-1"/>
        </w:rPr>
        <w:t xml:space="preserve"> </w:t>
      </w:r>
      <w:r>
        <w:t>Applicant</w:t>
      </w:r>
      <w:r>
        <w:rPr>
          <w:spacing w:val="-2"/>
        </w:rPr>
        <w:t xml:space="preserve"> </w:t>
      </w:r>
      <w:r>
        <w:t>or</w:t>
      </w:r>
      <w:r>
        <w:rPr>
          <w:spacing w:val="-1"/>
        </w:rPr>
        <w:t xml:space="preserve"> </w:t>
      </w:r>
      <w:r>
        <w:t>the</w:t>
      </w:r>
      <w:r>
        <w:rPr>
          <w:spacing w:val="1"/>
        </w:rPr>
        <w:t xml:space="preserve"> </w:t>
      </w:r>
      <w:r>
        <w:t>Proposed</w:t>
      </w:r>
      <w:r>
        <w:rPr>
          <w:spacing w:val="2"/>
        </w:rPr>
        <w:t xml:space="preserve"> </w:t>
      </w:r>
      <w:r>
        <w:t>Project.</w:t>
      </w:r>
    </w:p>
    <w:p w:rsidR="00D862F2" w:rsidRDefault="00D862F2">
      <w:pPr>
        <w:sectPr w:rsidR="00D862F2">
          <w:type w:val="continuous"/>
          <w:pgSz w:w="12240" w:h="15840"/>
          <w:pgMar w:top="1340" w:right="1160" w:bottom="980" w:left="1220" w:header="722" w:footer="794" w:gutter="0"/>
          <w:cols w:num="2" w:space="720" w:equalWidth="0">
            <w:col w:w="678" w:space="42"/>
            <w:col w:w="9140"/>
          </w:cols>
        </w:sectPr>
      </w:pPr>
    </w:p>
    <w:p w:rsidR="00D862F2" w:rsidRDefault="00D862F2">
      <w:pPr>
        <w:pStyle w:val="BodyText"/>
        <w:spacing w:before="8"/>
        <w:rPr>
          <w:b/>
          <w:sz w:val="15"/>
        </w:rPr>
      </w:pPr>
    </w:p>
    <w:p w:rsidR="00D862F2" w:rsidRDefault="00884FE4">
      <w:pPr>
        <w:pStyle w:val="BodyText"/>
        <w:spacing w:before="90"/>
        <w:ind w:left="220" w:right="277"/>
        <w:jc w:val="both"/>
      </w:pPr>
      <w:r>
        <w:t>Throughout the planning and development of the Proposed Project, the Hospital has sought, and</w:t>
      </w:r>
      <w:r>
        <w:rPr>
          <w:spacing w:val="1"/>
        </w:rPr>
        <w:t xml:space="preserve"> </w:t>
      </w:r>
      <w:r>
        <w:t>continues</w:t>
      </w:r>
      <w:r>
        <w:rPr>
          <w:spacing w:val="1"/>
        </w:rPr>
        <w:t xml:space="preserve"> </w:t>
      </w:r>
      <w:r>
        <w:t>to</w:t>
      </w:r>
      <w:r>
        <w:rPr>
          <w:spacing w:val="1"/>
        </w:rPr>
        <w:t xml:space="preserve"> </w:t>
      </w:r>
      <w:r>
        <w:t>seek,</w:t>
      </w:r>
      <w:r>
        <w:rPr>
          <w:spacing w:val="1"/>
        </w:rPr>
        <w:t xml:space="preserve"> </w:t>
      </w:r>
      <w:r>
        <w:t>discussions</w:t>
      </w:r>
      <w:r>
        <w:rPr>
          <w:spacing w:val="1"/>
        </w:rPr>
        <w:t xml:space="preserve"> </w:t>
      </w:r>
      <w:r>
        <w:t>with</w:t>
      </w:r>
      <w:r>
        <w:rPr>
          <w:spacing w:val="1"/>
        </w:rPr>
        <w:t xml:space="preserve"> </w:t>
      </w:r>
      <w:r>
        <w:t>individuals</w:t>
      </w:r>
      <w:r>
        <w:rPr>
          <w:spacing w:val="1"/>
        </w:rPr>
        <w:t xml:space="preserve"> </w:t>
      </w:r>
      <w:r>
        <w:t>at</w:t>
      </w:r>
      <w:r>
        <w:rPr>
          <w:spacing w:val="1"/>
        </w:rPr>
        <w:t xml:space="preserve"> </w:t>
      </w:r>
      <w:r>
        <w:t>various</w:t>
      </w:r>
      <w:r>
        <w:rPr>
          <w:spacing w:val="1"/>
        </w:rPr>
        <w:t xml:space="preserve"> </w:t>
      </w:r>
      <w:r>
        <w:t>regulatory</w:t>
      </w:r>
      <w:r>
        <w:rPr>
          <w:spacing w:val="1"/>
        </w:rPr>
        <w:t xml:space="preserve"> </w:t>
      </w:r>
      <w:r>
        <w:t>agencies</w:t>
      </w:r>
      <w:r>
        <w:rPr>
          <w:spacing w:val="1"/>
        </w:rPr>
        <w:t xml:space="preserve"> </w:t>
      </w:r>
      <w:r>
        <w:t>within</w:t>
      </w:r>
      <w:r>
        <w:rPr>
          <w:spacing w:val="1"/>
        </w:rPr>
        <w:t xml:space="preserve"> </w:t>
      </w:r>
      <w:r>
        <w:t>the</w:t>
      </w:r>
      <w:r>
        <w:rPr>
          <w:spacing w:val="1"/>
        </w:rPr>
        <w:t xml:space="preserve"> </w:t>
      </w:r>
      <w:r>
        <w:t>Commonwealth. The following individuals are some of those with whom the Applicant has</w:t>
      </w:r>
      <w:r>
        <w:rPr>
          <w:spacing w:val="1"/>
        </w:rPr>
        <w:t xml:space="preserve"> </w:t>
      </w:r>
      <w:r>
        <w:t>consulted</w:t>
      </w:r>
      <w:r>
        <w:rPr>
          <w:spacing w:val="-1"/>
        </w:rPr>
        <w:t xml:space="preserve"> </w:t>
      </w:r>
      <w:r>
        <w:t>regarding</w:t>
      </w:r>
      <w:r>
        <w:rPr>
          <w:spacing w:val="-3"/>
        </w:rPr>
        <w:t xml:space="preserve"> </w:t>
      </w:r>
      <w:r>
        <w:t>the</w:t>
      </w:r>
      <w:r>
        <w:rPr>
          <w:spacing w:val="-1"/>
        </w:rPr>
        <w:t xml:space="preserve"> </w:t>
      </w:r>
      <w:r>
        <w:t>Proposed Project:</w:t>
      </w:r>
    </w:p>
    <w:p w:rsidR="00D862F2" w:rsidRDefault="00884FE4">
      <w:pPr>
        <w:pStyle w:val="ListParagraph"/>
        <w:numPr>
          <w:ilvl w:val="0"/>
          <w:numId w:val="4"/>
        </w:numPr>
        <w:tabs>
          <w:tab w:val="left" w:pos="940"/>
        </w:tabs>
        <w:spacing w:before="123"/>
        <w:ind w:left="939" w:right="280"/>
        <w:jc w:val="both"/>
        <w:rPr>
          <w:sz w:val="24"/>
        </w:rPr>
      </w:pPr>
      <w:r>
        <w:rPr>
          <w:sz w:val="24"/>
        </w:rPr>
        <w:t>Executive Office of Health and Human Services: Marylou Sudders and Lauren Peters,</w:t>
      </w:r>
      <w:r>
        <w:rPr>
          <w:spacing w:val="1"/>
          <w:sz w:val="24"/>
        </w:rPr>
        <w:t xml:space="preserve"> </w:t>
      </w:r>
      <w:r>
        <w:rPr>
          <w:sz w:val="24"/>
        </w:rPr>
        <w:t>Esq.</w:t>
      </w:r>
    </w:p>
    <w:p w:rsidR="00D862F2" w:rsidRDefault="00884FE4">
      <w:pPr>
        <w:pStyle w:val="ListParagraph"/>
        <w:numPr>
          <w:ilvl w:val="0"/>
          <w:numId w:val="4"/>
        </w:numPr>
        <w:tabs>
          <w:tab w:val="left" w:pos="940"/>
        </w:tabs>
        <w:spacing w:before="123" w:line="237" w:lineRule="auto"/>
        <w:ind w:left="939" w:right="278"/>
        <w:jc w:val="both"/>
        <w:rPr>
          <w:sz w:val="24"/>
        </w:rPr>
      </w:pPr>
      <w:r>
        <w:rPr>
          <w:sz w:val="24"/>
        </w:rPr>
        <w:t>Department of Public Health and Office of Health Equity: Lynn Conover, Lucy Clarke,</w:t>
      </w:r>
      <w:r>
        <w:rPr>
          <w:spacing w:val="1"/>
          <w:sz w:val="24"/>
        </w:rPr>
        <w:t xml:space="preserve"> </w:t>
      </w:r>
      <w:r>
        <w:rPr>
          <w:sz w:val="24"/>
        </w:rPr>
        <w:t>Nazmim Bhuiya, Lara Szent-Georgi, Ben Wood, Jennica Allen, and Rebecca Rodman,</w:t>
      </w:r>
      <w:r>
        <w:rPr>
          <w:spacing w:val="1"/>
          <w:sz w:val="24"/>
        </w:rPr>
        <w:t xml:space="preserve"> </w:t>
      </w:r>
      <w:r>
        <w:rPr>
          <w:sz w:val="24"/>
        </w:rPr>
        <w:t>Esq.</w:t>
      </w:r>
    </w:p>
    <w:p w:rsidR="00D862F2" w:rsidRDefault="00D862F2">
      <w:pPr>
        <w:spacing w:line="237" w:lineRule="auto"/>
        <w:jc w:val="both"/>
        <w:rPr>
          <w:sz w:val="24"/>
        </w:rPr>
        <w:sectPr w:rsidR="00D862F2">
          <w:type w:val="continuous"/>
          <w:pgSz w:w="12240" w:h="15840"/>
          <w:pgMar w:top="1340" w:right="1160" w:bottom="980" w:left="1220" w:header="722" w:footer="794" w:gutter="0"/>
          <w:cols w:space="720"/>
        </w:sectPr>
      </w:pPr>
    </w:p>
    <w:p w:rsidR="00D862F2" w:rsidRDefault="00884FE4">
      <w:pPr>
        <w:pStyle w:val="ListParagraph"/>
        <w:numPr>
          <w:ilvl w:val="0"/>
          <w:numId w:val="4"/>
        </w:numPr>
        <w:tabs>
          <w:tab w:val="left" w:pos="940"/>
        </w:tabs>
        <w:spacing w:before="92" w:line="237" w:lineRule="auto"/>
        <w:ind w:right="279"/>
        <w:jc w:val="both"/>
        <w:rPr>
          <w:sz w:val="24"/>
        </w:rPr>
      </w:pPr>
      <w:r>
        <w:rPr>
          <w:sz w:val="24"/>
        </w:rPr>
        <w:lastRenderedPageBreak/>
        <w:t>Health Policy Commission: David Seltz, Stuart Altman, Lois Johnson, Esq., Kate Mills,</w:t>
      </w:r>
      <w:r>
        <w:rPr>
          <w:spacing w:val="1"/>
          <w:sz w:val="24"/>
        </w:rPr>
        <w:t xml:space="preserve"> </w:t>
      </w:r>
      <w:r>
        <w:rPr>
          <w:sz w:val="24"/>
        </w:rPr>
        <w:t>Esq.</w:t>
      </w:r>
    </w:p>
    <w:p w:rsidR="00D862F2" w:rsidRDefault="00884FE4">
      <w:pPr>
        <w:pStyle w:val="ListParagraph"/>
        <w:numPr>
          <w:ilvl w:val="0"/>
          <w:numId w:val="4"/>
        </w:numPr>
        <w:tabs>
          <w:tab w:val="left" w:pos="940"/>
        </w:tabs>
        <w:spacing w:before="125" w:line="237" w:lineRule="auto"/>
        <w:ind w:left="939" w:right="279"/>
        <w:jc w:val="both"/>
        <w:rPr>
          <w:sz w:val="24"/>
        </w:rPr>
      </w:pPr>
      <w:r>
        <w:rPr>
          <w:sz w:val="24"/>
        </w:rPr>
        <w:t>Massachusetts Attorney General’s Office: Maura Healey, Esq., Mary Freeley, Esq., Eric</w:t>
      </w:r>
      <w:r>
        <w:rPr>
          <w:spacing w:val="1"/>
          <w:sz w:val="24"/>
        </w:rPr>
        <w:t xml:space="preserve"> </w:t>
      </w:r>
      <w:r>
        <w:rPr>
          <w:sz w:val="24"/>
        </w:rPr>
        <w:t>Gold, Esq., Gabrielle Viator, Esq., Caitlin Cosman, Jacob Kemp and Sandra Wolitzky,</w:t>
      </w:r>
      <w:r>
        <w:rPr>
          <w:spacing w:val="1"/>
          <w:sz w:val="24"/>
        </w:rPr>
        <w:t xml:space="preserve"> </w:t>
      </w:r>
      <w:r>
        <w:rPr>
          <w:sz w:val="24"/>
        </w:rPr>
        <w:t>Esq.</w:t>
      </w:r>
    </w:p>
    <w:p w:rsidR="00D862F2" w:rsidRDefault="00884FE4">
      <w:pPr>
        <w:pStyle w:val="ListParagraph"/>
        <w:numPr>
          <w:ilvl w:val="0"/>
          <w:numId w:val="4"/>
        </w:numPr>
        <w:tabs>
          <w:tab w:val="left" w:pos="940"/>
        </w:tabs>
        <w:spacing w:before="124"/>
        <w:jc w:val="both"/>
        <w:rPr>
          <w:sz w:val="24"/>
        </w:rPr>
      </w:pPr>
      <w:r>
        <w:rPr>
          <w:sz w:val="24"/>
        </w:rPr>
        <w:t>MassHealth:</w:t>
      </w:r>
      <w:r>
        <w:rPr>
          <w:spacing w:val="-4"/>
          <w:sz w:val="24"/>
        </w:rPr>
        <w:t xml:space="preserve"> </w:t>
      </w:r>
      <w:r>
        <w:rPr>
          <w:sz w:val="24"/>
        </w:rPr>
        <w:t>Amanda</w:t>
      </w:r>
      <w:r>
        <w:rPr>
          <w:spacing w:val="-3"/>
          <w:sz w:val="24"/>
        </w:rPr>
        <w:t xml:space="preserve"> </w:t>
      </w:r>
      <w:r>
        <w:rPr>
          <w:sz w:val="24"/>
        </w:rPr>
        <w:t>Cassel-Kraft</w:t>
      </w:r>
    </w:p>
    <w:p w:rsidR="00D862F2" w:rsidRDefault="00884FE4">
      <w:pPr>
        <w:pStyle w:val="ListParagraph"/>
        <w:numPr>
          <w:ilvl w:val="0"/>
          <w:numId w:val="4"/>
        </w:numPr>
        <w:tabs>
          <w:tab w:val="left" w:pos="940"/>
        </w:tabs>
        <w:spacing w:before="119"/>
        <w:jc w:val="both"/>
        <w:rPr>
          <w:sz w:val="24"/>
        </w:rPr>
      </w:pPr>
      <w:r>
        <w:rPr>
          <w:sz w:val="24"/>
        </w:rPr>
        <w:t>Department</w:t>
      </w:r>
      <w:r>
        <w:rPr>
          <w:spacing w:val="-2"/>
          <w:sz w:val="24"/>
        </w:rPr>
        <w:t xml:space="preserve"> </w:t>
      </w:r>
      <w:r>
        <w:rPr>
          <w:sz w:val="24"/>
        </w:rPr>
        <w:t>of</w:t>
      </w:r>
      <w:r>
        <w:rPr>
          <w:spacing w:val="-2"/>
          <w:sz w:val="24"/>
        </w:rPr>
        <w:t xml:space="preserve"> </w:t>
      </w:r>
      <w:r>
        <w:rPr>
          <w:sz w:val="24"/>
        </w:rPr>
        <w:t>Mental</w:t>
      </w:r>
      <w:r>
        <w:rPr>
          <w:spacing w:val="-2"/>
          <w:sz w:val="24"/>
        </w:rPr>
        <w:t xml:space="preserve"> </w:t>
      </w:r>
      <w:r>
        <w:rPr>
          <w:sz w:val="24"/>
        </w:rPr>
        <w:t>Health:</w:t>
      </w:r>
      <w:r>
        <w:rPr>
          <w:spacing w:val="-1"/>
          <w:sz w:val="24"/>
        </w:rPr>
        <w:t xml:space="preserve"> </w:t>
      </w:r>
      <w:r>
        <w:rPr>
          <w:sz w:val="24"/>
        </w:rPr>
        <w:t>Brook</w:t>
      </w:r>
      <w:r>
        <w:rPr>
          <w:spacing w:val="-2"/>
          <w:sz w:val="24"/>
        </w:rPr>
        <w:t xml:space="preserve"> </w:t>
      </w:r>
      <w:r>
        <w:rPr>
          <w:sz w:val="24"/>
        </w:rPr>
        <w:t>Doyle</w:t>
      </w:r>
    </w:p>
    <w:p w:rsidR="00D862F2" w:rsidRDefault="00D862F2">
      <w:pPr>
        <w:pStyle w:val="BodyText"/>
        <w:spacing w:before="9"/>
        <w:rPr>
          <w:sz w:val="34"/>
        </w:rPr>
      </w:pPr>
    </w:p>
    <w:p w:rsidR="00D862F2" w:rsidRDefault="00884FE4">
      <w:pPr>
        <w:ind w:left="220"/>
        <w:jc w:val="both"/>
        <w:rPr>
          <w:b/>
          <w:sz w:val="24"/>
        </w:rPr>
      </w:pPr>
      <w:r>
        <w:rPr>
          <w:b/>
          <w:sz w:val="24"/>
          <w:u w:val="single"/>
        </w:rPr>
        <w:t>F1.e.i</w:t>
      </w:r>
      <w:r>
        <w:rPr>
          <w:b/>
          <w:spacing w:val="38"/>
          <w:sz w:val="24"/>
          <w:u w:val="single"/>
        </w:rPr>
        <w:t xml:space="preserve"> </w:t>
      </w:r>
      <w:r>
        <w:rPr>
          <w:b/>
          <w:sz w:val="24"/>
          <w:u w:val="single"/>
        </w:rPr>
        <w:t>Process</w:t>
      </w:r>
      <w:r>
        <w:rPr>
          <w:b/>
          <w:spacing w:val="-3"/>
          <w:sz w:val="24"/>
          <w:u w:val="single"/>
        </w:rPr>
        <w:t xml:space="preserve"> </w:t>
      </w:r>
      <w:r>
        <w:rPr>
          <w:b/>
          <w:sz w:val="24"/>
          <w:u w:val="single"/>
        </w:rPr>
        <w:t>for</w:t>
      </w:r>
      <w:r>
        <w:rPr>
          <w:b/>
          <w:spacing w:val="-3"/>
          <w:sz w:val="24"/>
          <w:u w:val="single"/>
        </w:rPr>
        <w:t xml:space="preserve"> </w:t>
      </w:r>
      <w:r>
        <w:rPr>
          <w:b/>
          <w:sz w:val="24"/>
          <w:u w:val="single"/>
        </w:rPr>
        <w:t>Determining</w:t>
      </w:r>
      <w:r>
        <w:rPr>
          <w:b/>
          <w:spacing w:val="-2"/>
          <w:sz w:val="24"/>
          <w:u w:val="single"/>
        </w:rPr>
        <w:t xml:space="preserve"> </w:t>
      </w:r>
      <w:r>
        <w:rPr>
          <w:b/>
          <w:sz w:val="24"/>
          <w:u w:val="single"/>
        </w:rPr>
        <w:t>Need/Evidence</w:t>
      </w:r>
      <w:r>
        <w:rPr>
          <w:b/>
          <w:spacing w:val="-3"/>
          <w:sz w:val="24"/>
          <w:u w:val="single"/>
        </w:rPr>
        <w:t xml:space="preserve"> </w:t>
      </w:r>
      <w:r>
        <w:rPr>
          <w:b/>
          <w:sz w:val="24"/>
          <w:u w:val="single"/>
        </w:rPr>
        <w:t>of</w:t>
      </w:r>
      <w:r>
        <w:rPr>
          <w:b/>
          <w:spacing w:val="-1"/>
          <w:sz w:val="24"/>
          <w:u w:val="single"/>
        </w:rPr>
        <w:t xml:space="preserve"> </w:t>
      </w:r>
      <w:r>
        <w:rPr>
          <w:b/>
          <w:sz w:val="24"/>
          <w:u w:val="single"/>
        </w:rPr>
        <w:t>Community</w:t>
      </w:r>
      <w:r>
        <w:rPr>
          <w:b/>
          <w:spacing w:val="-3"/>
          <w:sz w:val="24"/>
          <w:u w:val="single"/>
        </w:rPr>
        <w:t xml:space="preserve"> </w:t>
      </w:r>
      <w:r>
        <w:rPr>
          <w:b/>
          <w:sz w:val="24"/>
          <w:u w:val="single"/>
        </w:rPr>
        <w:t>Engagement</w:t>
      </w:r>
    </w:p>
    <w:p w:rsidR="00D862F2" w:rsidRDefault="00884FE4" w:rsidP="002C14E1">
      <w:pPr>
        <w:pStyle w:val="BodyText"/>
      </w:pPr>
      <w:r>
        <w:t>For</w:t>
      </w:r>
      <w:r>
        <w:rPr>
          <w:spacing w:val="1"/>
        </w:rPr>
        <w:t xml:space="preserve"> </w:t>
      </w:r>
      <w:r>
        <w:t>assistance</w:t>
      </w:r>
      <w:r>
        <w:rPr>
          <w:spacing w:val="1"/>
        </w:rPr>
        <w:t xml:space="preserve"> </w:t>
      </w:r>
      <w:r>
        <w:t>in</w:t>
      </w:r>
      <w:r>
        <w:rPr>
          <w:spacing w:val="1"/>
        </w:rPr>
        <w:t xml:space="preserve"> </w:t>
      </w:r>
      <w:r>
        <w:t>responding</w:t>
      </w:r>
      <w:r>
        <w:rPr>
          <w:spacing w:val="1"/>
        </w:rPr>
        <w:t xml:space="preserve"> </w:t>
      </w:r>
      <w:r>
        <w:t>to</w:t>
      </w:r>
      <w:r>
        <w:rPr>
          <w:spacing w:val="1"/>
        </w:rPr>
        <w:t xml:space="preserve"> </w:t>
      </w:r>
      <w:r>
        <w:t>this</w:t>
      </w:r>
      <w:r>
        <w:rPr>
          <w:spacing w:val="1"/>
        </w:rPr>
        <w:t xml:space="preserve"> </w:t>
      </w:r>
      <w:r>
        <w:t>portion</w:t>
      </w:r>
      <w:r>
        <w:rPr>
          <w:spacing w:val="1"/>
        </w:rPr>
        <w:t xml:space="preserve"> </w:t>
      </w:r>
      <w:r>
        <w:t>of</w:t>
      </w:r>
      <w:r>
        <w:rPr>
          <w:spacing w:val="1"/>
        </w:rPr>
        <w:t xml:space="preserve"> </w:t>
      </w:r>
      <w:r>
        <w:t>the</w:t>
      </w:r>
      <w:r>
        <w:rPr>
          <w:spacing w:val="1"/>
        </w:rPr>
        <w:t xml:space="preserve"> </w:t>
      </w:r>
      <w:r>
        <w:t>Application,</w:t>
      </w:r>
      <w:r>
        <w:rPr>
          <w:spacing w:val="1"/>
        </w:rPr>
        <w:t xml:space="preserve"> </w:t>
      </w:r>
      <w:r>
        <w:t>Applicant</w:t>
      </w:r>
      <w:r>
        <w:rPr>
          <w:spacing w:val="1"/>
        </w:rPr>
        <w:t xml:space="preserve"> </w:t>
      </w:r>
      <w:r>
        <w:t>is</w:t>
      </w:r>
      <w:r>
        <w:rPr>
          <w:spacing w:val="1"/>
        </w:rPr>
        <w:t xml:space="preserve"> </w:t>
      </w:r>
      <w:r>
        <w:t>encouraged to review Community Engagement Standards for Community Health</w:t>
      </w:r>
      <w:r>
        <w:rPr>
          <w:spacing w:val="1"/>
        </w:rPr>
        <w:t xml:space="preserve"> </w:t>
      </w:r>
      <w:r>
        <w:t>Planning Guideline.</w:t>
      </w:r>
      <w:r>
        <w:rPr>
          <w:spacing w:val="1"/>
        </w:rPr>
        <w:t xml:space="preserve"> </w:t>
      </w:r>
      <w:r>
        <w:t>With respect to the existing Patient Panel, please describe the</w:t>
      </w:r>
      <w:r>
        <w:rPr>
          <w:spacing w:val="1"/>
        </w:rPr>
        <w:t xml:space="preserve"> </w:t>
      </w:r>
      <w:r>
        <w:t>process</w:t>
      </w:r>
      <w:r>
        <w:rPr>
          <w:spacing w:val="-2"/>
        </w:rPr>
        <w:t xml:space="preserve"> </w:t>
      </w:r>
      <w:r>
        <w:t>through</w:t>
      </w:r>
      <w:r>
        <w:rPr>
          <w:spacing w:val="-1"/>
        </w:rPr>
        <w:t xml:space="preserve"> </w:t>
      </w:r>
      <w:r>
        <w:t>which</w:t>
      </w:r>
      <w:r>
        <w:rPr>
          <w:spacing w:val="-4"/>
        </w:rPr>
        <w:t xml:space="preserve"> </w:t>
      </w:r>
      <w:r>
        <w:t>Applicant</w:t>
      </w:r>
      <w:r>
        <w:rPr>
          <w:spacing w:val="-2"/>
        </w:rPr>
        <w:t xml:space="preserve"> </w:t>
      </w:r>
      <w:r>
        <w:t>determined</w:t>
      </w:r>
      <w:r>
        <w:rPr>
          <w:spacing w:val="-1"/>
        </w:rPr>
        <w:t xml:space="preserve"> </w:t>
      </w:r>
      <w:r>
        <w:t>the</w:t>
      </w:r>
      <w:r>
        <w:rPr>
          <w:spacing w:val="-2"/>
        </w:rPr>
        <w:t xml:space="preserve"> </w:t>
      </w:r>
      <w:r>
        <w:t>need for</w:t>
      </w:r>
      <w:r>
        <w:rPr>
          <w:spacing w:val="-3"/>
        </w:rPr>
        <w:t xml:space="preserve"> </w:t>
      </w:r>
      <w:r>
        <w:t>the</w:t>
      </w:r>
      <w:r>
        <w:rPr>
          <w:spacing w:val="-2"/>
        </w:rPr>
        <w:t xml:space="preserve"> </w:t>
      </w:r>
      <w:r>
        <w:t>Proposed</w:t>
      </w:r>
      <w:r>
        <w:rPr>
          <w:spacing w:val="-1"/>
        </w:rPr>
        <w:t xml:space="preserve"> </w:t>
      </w:r>
      <w:r>
        <w:t>Project.</w:t>
      </w:r>
    </w:p>
    <w:p w:rsidR="00D862F2" w:rsidRDefault="00D862F2">
      <w:pPr>
        <w:pStyle w:val="BodyText"/>
        <w:spacing w:before="7"/>
        <w:rPr>
          <w:b/>
          <w:sz w:val="23"/>
        </w:rPr>
      </w:pPr>
    </w:p>
    <w:p w:rsidR="00D862F2" w:rsidRDefault="00884FE4">
      <w:pPr>
        <w:pStyle w:val="BodyText"/>
        <w:ind w:left="219" w:right="273"/>
        <w:jc w:val="both"/>
      </w:pPr>
      <w:r>
        <w:t>The</w:t>
      </w:r>
      <w:r>
        <w:rPr>
          <w:spacing w:val="1"/>
        </w:rPr>
        <w:t xml:space="preserve"> </w:t>
      </w:r>
      <w:r>
        <w:t>Hospital,</w:t>
      </w:r>
      <w:r>
        <w:rPr>
          <w:spacing w:val="1"/>
        </w:rPr>
        <w:t xml:space="preserve"> </w:t>
      </w:r>
      <w:r>
        <w:t>through</w:t>
      </w:r>
      <w:r>
        <w:rPr>
          <w:spacing w:val="1"/>
        </w:rPr>
        <w:t xml:space="preserve"> </w:t>
      </w:r>
      <w:r>
        <w:t>its</w:t>
      </w:r>
      <w:r>
        <w:rPr>
          <w:spacing w:val="1"/>
        </w:rPr>
        <w:t xml:space="preserve"> </w:t>
      </w:r>
      <w:r>
        <w:t>Board</w:t>
      </w:r>
      <w:r>
        <w:rPr>
          <w:spacing w:val="1"/>
        </w:rPr>
        <w:t xml:space="preserve"> </w:t>
      </w:r>
      <w:r>
        <w:t>of</w:t>
      </w:r>
      <w:r>
        <w:rPr>
          <w:spacing w:val="1"/>
        </w:rPr>
        <w:t xml:space="preserve"> </w:t>
      </w:r>
      <w:r>
        <w:t>Directors,</w:t>
      </w:r>
      <w:r>
        <w:rPr>
          <w:spacing w:val="1"/>
        </w:rPr>
        <w:t xml:space="preserve"> </w:t>
      </w:r>
      <w:r>
        <w:t>engaged</w:t>
      </w:r>
      <w:r>
        <w:rPr>
          <w:spacing w:val="1"/>
        </w:rPr>
        <w:t xml:space="preserve"> </w:t>
      </w:r>
      <w:r>
        <w:t>in</w:t>
      </w:r>
      <w:r>
        <w:rPr>
          <w:spacing w:val="1"/>
        </w:rPr>
        <w:t xml:space="preserve"> </w:t>
      </w:r>
      <w:r>
        <w:t>a</w:t>
      </w:r>
      <w:r>
        <w:rPr>
          <w:spacing w:val="1"/>
        </w:rPr>
        <w:t xml:space="preserve"> </w:t>
      </w:r>
      <w:r>
        <w:t>multi-year</w:t>
      </w:r>
      <w:r>
        <w:rPr>
          <w:spacing w:val="1"/>
        </w:rPr>
        <w:t xml:space="preserve"> </w:t>
      </w:r>
      <w:r>
        <w:t>planning process</w:t>
      </w:r>
      <w:r>
        <w:rPr>
          <w:spacing w:val="1"/>
        </w:rPr>
        <w:t xml:space="preserve"> </w:t>
      </w:r>
      <w:r>
        <w:t>in</w:t>
      </w:r>
      <w:r>
        <w:rPr>
          <w:spacing w:val="1"/>
        </w:rPr>
        <w:t xml:space="preserve"> </w:t>
      </w:r>
      <w:r>
        <w:t>connection with the Proposed Project. As a part of that process, Boston Children’s has consulted</w:t>
      </w:r>
      <w:r>
        <w:rPr>
          <w:spacing w:val="1"/>
        </w:rPr>
        <w:t xml:space="preserve"> </w:t>
      </w:r>
      <w:r>
        <w:t>with</w:t>
      </w:r>
      <w:r>
        <w:rPr>
          <w:spacing w:val="1"/>
        </w:rPr>
        <w:t xml:space="preserve"> </w:t>
      </w:r>
      <w:r>
        <w:t>senior</w:t>
      </w:r>
      <w:r>
        <w:rPr>
          <w:spacing w:val="1"/>
        </w:rPr>
        <w:t xml:space="preserve"> </w:t>
      </w:r>
      <w:r>
        <w:t>physician</w:t>
      </w:r>
      <w:r>
        <w:rPr>
          <w:spacing w:val="1"/>
        </w:rPr>
        <w:t xml:space="preserve"> </w:t>
      </w:r>
      <w:r>
        <w:t>leaders,</w:t>
      </w:r>
      <w:r>
        <w:rPr>
          <w:spacing w:val="1"/>
        </w:rPr>
        <w:t xml:space="preserve"> </w:t>
      </w:r>
      <w:r>
        <w:t>state</w:t>
      </w:r>
      <w:r>
        <w:rPr>
          <w:spacing w:val="1"/>
        </w:rPr>
        <w:t xml:space="preserve"> </w:t>
      </w:r>
      <w:r>
        <w:t>and</w:t>
      </w:r>
      <w:r>
        <w:rPr>
          <w:spacing w:val="1"/>
        </w:rPr>
        <w:t xml:space="preserve"> </w:t>
      </w:r>
      <w:r>
        <w:t>local</w:t>
      </w:r>
      <w:r>
        <w:rPr>
          <w:spacing w:val="1"/>
        </w:rPr>
        <w:t xml:space="preserve"> </w:t>
      </w:r>
      <w:r>
        <w:t>agencies</w:t>
      </w:r>
      <w:r>
        <w:rPr>
          <w:spacing w:val="1"/>
        </w:rPr>
        <w:t xml:space="preserve"> </w:t>
      </w:r>
      <w:r>
        <w:t>and</w:t>
      </w:r>
      <w:r>
        <w:rPr>
          <w:spacing w:val="1"/>
        </w:rPr>
        <w:t xml:space="preserve"> </w:t>
      </w:r>
      <w:r>
        <w:t>officials,</w:t>
      </w:r>
      <w:r>
        <w:rPr>
          <w:spacing w:val="1"/>
        </w:rPr>
        <w:t xml:space="preserve"> </w:t>
      </w:r>
      <w:r>
        <w:t>including</w:t>
      </w:r>
      <w:r>
        <w:rPr>
          <w:spacing w:val="1"/>
        </w:rPr>
        <w:t xml:space="preserve"> </w:t>
      </w:r>
      <w:r>
        <w:t>local</w:t>
      </w:r>
      <w:r>
        <w:rPr>
          <w:spacing w:val="1"/>
        </w:rPr>
        <w:t xml:space="preserve"> </w:t>
      </w:r>
      <w:r>
        <w:t>health</w:t>
      </w:r>
      <w:r>
        <w:rPr>
          <w:spacing w:val="-57"/>
        </w:rPr>
        <w:t xml:space="preserve"> </w:t>
      </w:r>
      <w:r>
        <w:t>departments, other providers and provider organizations, community groups, specialty disease</w:t>
      </w:r>
      <w:r>
        <w:rPr>
          <w:spacing w:val="1"/>
        </w:rPr>
        <w:t xml:space="preserve"> </w:t>
      </w:r>
      <w:r>
        <w:t>and</w:t>
      </w:r>
      <w:r>
        <w:rPr>
          <w:spacing w:val="1"/>
        </w:rPr>
        <w:t xml:space="preserve"> </w:t>
      </w:r>
      <w:r>
        <w:t>advocacy</w:t>
      </w:r>
      <w:r>
        <w:rPr>
          <w:spacing w:val="1"/>
        </w:rPr>
        <w:t xml:space="preserve"> </w:t>
      </w:r>
      <w:r>
        <w:t>groups,</w:t>
      </w:r>
      <w:r>
        <w:rPr>
          <w:spacing w:val="1"/>
        </w:rPr>
        <w:t xml:space="preserve"> </w:t>
      </w:r>
      <w:r>
        <w:t>and</w:t>
      </w:r>
      <w:r>
        <w:rPr>
          <w:spacing w:val="1"/>
        </w:rPr>
        <w:t xml:space="preserve"> </w:t>
      </w:r>
      <w:r>
        <w:t>patient</w:t>
      </w:r>
      <w:r>
        <w:rPr>
          <w:spacing w:val="1"/>
        </w:rPr>
        <w:t xml:space="preserve"> </w:t>
      </w:r>
      <w:r>
        <w:t>groups.</w:t>
      </w:r>
      <w:r>
        <w:rPr>
          <w:spacing w:val="1"/>
        </w:rPr>
        <w:t xml:space="preserve"> </w:t>
      </w:r>
      <w:r>
        <w:t>In</w:t>
      </w:r>
      <w:r>
        <w:rPr>
          <w:spacing w:val="1"/>
        </w:rPr>
        <w:t xml:space="preserve"> </w:t>
      </w:r>
      <w:r>
        <w:t>conducting</w:t>
      </w:r>
      <w:r>
        <w:rPr>
          <w:spacing w:val="1"/>
        </w:rPr>
        <w:t xml:space="preserve"> </w:t>
      </w:r>
      <w:r>
        <w:t>local</w:t>
      </w:r>
      <w:r>
        <w:rPr>
          <w:spacing w:val="1"/>
        </w:rPr>
        <w:t xml:space="preserve"> </w:t>
      </w:r>
      <w:r>
        <w:t>outreach,</w:t>
      </w:r>
      <w:r>
        <w:rPr>
          <w:spacing w:val="1"/>
        </w:rPr>
        <w:t xml:space="preserve"> </w:t>
      </w:r>
      <w:r>
        <w:t>the</w:t>
      </w:r>
      <w:r>
        <w:rPr>
          <w:spacing w:val="1"/>
        </w:rPr>
        <w:t xml:space="preserve"> </w:t>
      </w:r>
      <w:r>
        <w:t>Hospital,</w:t>
      </w:r>
      <w:r>
        <w:rPr>
          <w:spacing w:val="1"/>
        </w:rPr>
        <w:t xml:space="preserve"> </w:t>
      </w:r>
      <w:r>
        <w:t>with</w:t>
      </w:r>
      <w:r>
        <w:rPr>
          <w:spacing w:val="-57"/>
        </w:rPr>
        <w:t xml:space="preserve"> </w:t>
      </w:r>
      <w:r>
        <w:t>assistance from Bailit Health, utilized Census data to identify target communities for community</w:t>
      </w:r>
      <w:r>
        <w:rPr>
          <w:spacing w:val="1"/>
        </w:rPr>
        <w:t xml:space="preserve"> </w:t>
      </w:r>
      <w:r>
        <w:t>engagement.</w:t>
      </w:r>
      <w:r>
        <w:rPr>
          <w:spacing w:val="1"/>
        </w:rPr>
        <w:t xml:space="preserve"> </w:t>
      </w:r>
      <w:r>
        <w:t>Specifically, the cities and towns surrounding Needham and Weymouth were</w:t>
      </w:r>
      <w:r>
        <w:rPr>
          <w:spacing w:val="1"/>
        </w:rPr>
        <w:t xml:space="preserve"> </w:t>
      </w:r>
      <w:r>
        <w:t>identified as having a high percentage of families with persons under 18, of persons in poverty</w:t>
      </w:r>
      <w:r>
        <w:rPr>
          <w:spacing w:val="1"/>
        </w:rPr>
        <w:t xml:space="preserve"> </w:t>
      </w:r>
      <w:r>
        <w:t>and/or</w:t>
      </w:r>
      <w:r>
        <w:rPr>
          <w:spacing w:val="-2"/>
        </w:rPr>
        <w:t xml:space="preserve"> </w:t>
      </w:r>
      <w:r>
        <w:t>persons who identify</w:t>
      </w:r>
      <w:r>
        <w:rPr>
          <w:spacing w:val="-5"/>
        </w:rPr>
        <w:t xml:space="preserve"> </w:t>
      </w:r>
      <w:r>
        <w:t>as</w:t>
      </w:r>
      <w:r>
        <w:rPr>
          <w:spacing w:val="2"/>
        </w:rPr>
        <w:t xml:space="preserve"> </w:t>
      </w:r>
      <w:r>
        <w:t>Black,</w:t>
      </w:r>
      <w:r>
        <w:rPr>
          <w:spacing w:val="-1"/>
        </w:rPr>
        <w:t xml:space="preserve"> </w:t>
      </w:r>
      <w:r>
        <w:t>Asian or</w:t>
      </w:r>
      <w:r>
        <w:rPr>
          <w:spacing w:val="1"/>
        </w:rPr>
        <w:t xml:space="preserve"> </w:t>
      </w:r>
      <w:r>
        <w:t>Hispanic/Latino.</w:t>
      </w:r>
    </w:p>
    <w:p w:rsidR="00D862F2" w:rsidRDefault="00D862F2">
      <w:pPr>
        <w:pStyle w:val="BodyText"/>
        <w:spacing w:before="5"/>
        <w:rPr>
          <w:sz w:val="16"/>
        </w:rPr>
      </w:pPr>
    </w:p>
    <w:p w:rsidR="00D862F2" w:rsidRDefault="00884FE4">
      <w:pPr>
        <w:pStyle w:val="Heading3"/>
        <w:spacing w:before="90"/>
        <w:ind w:left="219"/>
        <w:jc w:val="left"/>
      </w:pPr>
      <w:r>
        <w:t>F1.e.ii</w:t>
      </w:r>
    </w:p>
    <w:p w:rsidR="00D862F2" w:rsidRDefault="00884FE4">
      <w:pPr>
        <w:ind w:left="939" w:right="275"/>
        <w:jc w:val="both"/>
        <w:rPr>
          <w:b/>
          <w:sz w:val="24"/>
        </w:rPr>
      </w:pPr>
      <w:r>
        <w:rPr>
          <w:b/>
          <w:sz w:val="24"/>
        </w:rPr>
        <w:t>Please provide evidence of sound Community Engagement and consultation through</w:t>
      </w:r>
      <w:r>
        <w:rPr>
          <w:b/>
          <w:spacing w:val="-57"/>
          <w:sz w:val="24"/>
        </w:rPr>
        <w:t xml:space="preserve"> </w:t>
      </w:r>
      <w:r>
        <w:rPr>
          <w:b/>
          <w:sz w:val="24"/>
        </w:rPr>
        <w:t>the</w:t>
      </w:r>
      <w:r>
        <w:rPr>
          <w:b/>
          <w:spacing w:val="1"/>
          <w:sz w:val="24"/>
        </w:rPr>
        <w:t xml:space="preserve"> </w:t>
      </w:r>
      <w:r>
        <w:rPr>
          <w:b/>
          <w:sz w:val="24"/>
        </w:rPr>
        <w:t>development</w:t>
      </w:r>
      <w:r>
        <w:rPr>
          <w:b/>
          <w:spacing w:val="1"/>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Proposed</w:t>
      </w:r>
      <w:r>
        <w:rPr>
          <w:b/>
          <w:spacing w:val="1"/>
          <w:sz w:val="24"/>
        </w:rPr>
        <w:t xml:space="preserve"> </w:t>
      </w:r>
      <w:r>
        <w:rPr>
          <w:b/>
          <w:sz w:val="24"/>
        </w:rPr>
        <w:t>Project.</w:t>
      </w:r>
      <w:r>
        <w:rPr>
          <w:b/>
          <w:spacing w:val="1"/>
          <w:sz w:val="24"/>
        </w:rPr>
        <w:t xml:space="preserve"> </w:t>
      </w:r>
      <w:r>
        <w:rPr>
          <w:b/>
          <w:sz w:val="24"/>
        </w:rPr>
        <w:t>A</w:t>
      </w:r>
      <w:r>
        <w:rPr>
          <w:b/>
          <w:spacing w:val="1"/>
          <w:sz w:val="24"/>
        </w:rPr>
        <w:t xml:space="preserve"> </w:t>
      </w:r>
      <w:r>
        <w:rPr>
          <w:b/>
          <w:sz w:val="24"/>
        </w:rPr>
        <w:t>successful</w:t>
      </w:r>
      <w:r>
        <w:rPr>
          <w:b/>
          <w:spacing w:val="1"/>
          <w:sz w:val="24"/>
        </w:rPr>
        <w:t xml:space="preserve"> </w:t>
      </w:r>
      <w:r>
        <w:rPr>
          <w:b/>
          <w:sz w:val="24"/>
        </w:rPr>
        <w:t>Applicant</w:t>
      </w:r>
      <w:r>
        <w:rPr>
          <w:b/>
          <w:spacing w:val="1"/>
          <w:sz w:val="24"/>
        </w:rPr>
        <w:t xml:space="preserve"> </w:t>
      </w:r>
      <w:r>
        <w:rPr>
          <w:b/>
          <w:sz w:val="24"/>
        </w:rPr>
        <w:t>will,</w:t>
      </w:r>
      <w:r>
        <w:rPr>
          <w:b/>
          <w:spacing w:val="1"/>
          <w:sz w:val="24"/>
        </w:rPr>
        <w:t xml:space="preserve"> </w:t>
      </w:r>
      <w:r>
        <w:rPr>
          <w:b/>
          <w:sz w:val="24"/>
        </w:rPr>
        <w:t>at</w:t>
      </w:r>
      <w:r>
        <w:rPr>
          <w:b/>
          <w:spacing w:val="60"/>
          <w:sz w:val="24"/>
        </w:rPr>
        <w:t xml:space="preserve"> </w:t>
      </w:r>
      <w:r>
        <w:rPr>
          <w:b/>
          <w:sz w:val="24"/>
        </w:rPr>
        <w:t>a</w:t>
      </w:r>
      <w:r>
        <w:rPr>
          <w:b/>
          <w:spacing w:val="1"/>
          <w:sz w:val="24"/>
        </w:rPr>
        <w:t xml:space="preserve"> </w:t>
      </w:r>
      <w:r>
        <w:rPr>
          <w:b/>
          <w:sz w:val="24"/>
        </w:rPr>
        <w:t>minimum, describe the process whereby the “Public Health Value” of the Proposed</w:t>
      </w:r>
      <w:r>
        <w:rPr>
          <w:b/>
          <w:spacing w:val="1"/>
          <w:sz w:val="24"/>
        </w:rPr>
        <w:t xml:space="preserve"> </w:t>
      </w:r>
      <w:r>
        <w:rPr>
          <w:b/>
          <w:sz w:val="24"/>
        </w:rPr>
        <w:t>Project was considered, and will describe the Community Engagement Process as it</w:t>
      </w:r>
      <w:r>
        <w:rPr>
          <w:b/>
          <w:spacing w:val="1"/>
          <w:sz w:val="24"/>
        </w:rPr>
        <w:t xml:space="preserve"> </w:t>
      </w:r>
      <w:r>
        <w:rPr>
          <w:b/>
          <w:sz w:val="24"/>
        </w:rPr>
        <w:t>occurred</w:t>
      </w:r>
      <w:r>
        <w:rPr>
          <w:b/>
          <w:spacing w:val="1"/>
          <w:sz w:val="24"/>
        </w:rPr>
        <w:t xml:space="preserve"> </w:t>
      </w:r>
      <w:r>
        <w:rPr>
          <w:b/>
          <w:sz w:val="24"/>
        </w:rPr>
        <w:t>and</w:t>
      </w:r>
      <w:r>
        <w:rPr>
          <w:b/>
          <w:spacing w:val="1"/>
          <w:sz w:val="24"/>
        </w:rPr>
        <w:t xml:space="preserve"> </w:t>
      </w:r>
      <w:r>
        <w:rPr>
          <w:b/>
          <w:sz w:val="24"/>
        </w:rPr>
        <w:t>is</w:t>
      </w:r>
      <w:r>
        <w:rPr>
          <w:b/>
          <w:spacing w:val="1"/>
          <w:sz w:val="24"/>
        </w:rPr>
        <w:t xml:space="preserve"> </w:t>
      </w:r>
      <w:r>
        <w:rPr>
          <w:b/>
          <w:sz w:val="24"/>
        </w:rPr>
        <w:t>occurring</w:t>
      </w:r>
      <w:r>
        <w:rPr>
          <w:b/>
          <w:spacing w:val="1"/>
          <w:sz w:val="24"/>
        </w:rPr>
        <w:t xml:space="preserve"> </w:t>
      </w:r>
      <w:r>
        <w:rPr>
          <w:b/>
          <w:sz w:val="24"/>
        </w:rPr>
        <w:t>currently</w:t>
      </w:r>
      <w:r>
        <w:rPr>
          <w:b/>
          <w:spacing w:val="1"/>
          <w:sz w:val="24"/>
        </w:rPr>
        <w:t xml:space="preserve"> </w:t>
      </w:r>
      <w:r>
        <w:rPr>
          <w:b/>
          <w:sz w:val="24"/>
        </w:rPr>
        <w:t>in,</w:t>
      </w:r>
      <w:r>
        <w:rPr>
          <w:b/>
          <w:spacing w:val="1"/>
          <w:sz w:val="24"/>
        </w:rPr>
        <w:t xml:space="preserve"> </w:t>
      </w:r>
      <w:r>
        <w:rPr>
          <w:b/>
          <w:sz w:val="24"/>
        </w:rPr>
        <w:t>at</w:t>
      </w:r>
      <w:r>
        <w:rPr>
          <w:b/>
          <w:spacing w:val="1"/>
          <w:sz w:val="24"/>
        </w:rPr>
        <w:t xml:space="preserve"> </w:t>
      </w:r>
      <w:r>
        <w:rPr>
          <w:b/>
          <w:sz w:val="24"/>
        </w:rPr>
        <w:t>least,</w:t>
      </w:r>
      <w:r>
        <w:rPr>
          <w:b/>
          <w:spacing w:val="1"/>
          <w:sz w:val="24"/>
        </w:rPr>
        <w:t xml:space="preserve"> </w:t>
      </w:r>
      <w:r>
        <w:rPr>
          <w:b/>
          <w:sz w:val="24"/>
        </w:rPr>
        <w:t>the</w:t>
      </w:r>
      <w:r>
        <w:rPr>
          <w:b/>
          <w:spacing w:val="1"/>
          <w:sz w:val="24"/>
        </w:rPr>
        <w:t xml:space="preserve"> </w:t>
      </w:r>
      <w:r>
        <w:rPr>
          <w:b/>
          <w:sz w:val="24"/>
        </w:rPr>
        <w:t>following</w:t>
      </w:r>
      <w:r>
        <w:rPr>
          <w:b/>
          <w:spacing w:val="61"/>
          <w:sz w:val="24"/>
        </w:rPr>
        <w:t xml:space="preserve"> </w:t>
      </w:r>
      <w:r>
        <w:rPr>
          <w:b/>
          <w:sz w:val="24"/>
        </w:rPr>
        <w:t>contexts:</w:t>
      </w:r>
      <w:r>
        <w:rPr>
          <w:b/>
          <w:spacing w:val="1"/>
          <w:sz w:val="24"/>
        </w:rPr>
        <w:t xml:space="preserve"> </w:t>
      </w:r>
      <w:r>
        <w:rPr>
          <w:b/>
          <w:sz w:val="24"/>
        </w:rPr>
        <w:t>Identification of Patient Panel Need; Design/Selection of DoN Project in response to</w:t>
      </w:r>
      <w:r>
        <w:rPr>
          <w:b/>
          <w:spacing w:val="1"/>
          <w:sz w:val="24"/>
        </w:rPr>
        <w:t xml:space="preserve"> </w:t>
      </w:r>
      <w:r>
        <w:rPr>
          <w:b/>
          <w:sz w:val="24"/>
        </w:rPr>
        <w:t>“Patient</w:t>
      </w:r>
      <w:r>
        <w:rPr>
          <w:b/>
          <w:spacing w:val="-1"/>
          <w:sz w:val="24"/>
        </w:rPr>
        <w:t xml:space="preserve"> </w:t>
      </w:r>
      <w:r>
        <w:rPr>
          <w:b/>
          <w:sz w:val="24"/>
        </w:rPr>
        <w:t>Panel”</w:t>
      </w:r>
      <w:r>
        <w:rPr>
          <w:b/>
          <w:spacing w:val="-2"/>
          <w:sz w:val="24"/>
        </w:rPr>
        <w:t xml:space="preserve"> </w:t>
      </w:r>
      <w:r>
        <w:rPr>
          <w:b/>
          <w:sz w:val="24"/>
        </w:rPr>
        <w:t>need;</w:t>
      </w:r>
      <w:r>
        <w:rPr>
          <w:b/>
          <w:spacing w:val="-3"/>
          <w:sz w:val="24"/>
        </w:rPr>
        <w:t xml:space="preserve"> </w:t>
      </w:r>
      <w:r>
        <w:rPr>
          <w:b/>
          <w:sz w:val="24"/>
        </w:rPr>
        <w:t>and</w:t>
      </w:r>
      <w:r>
        <w:rPr>
          <w:b/>
          <w:spacing w:val="-2"/>
          <w:sz w:val="24"/>
        </w:rPr>
        <w:t xml:space="preserve"> </w:t>
      </w:r>
      <w:r>
        <w:rPr>
          <w:b/>
          <w:sz w:val="24"/>
        </w:rPr>
        <w:t>Linking</w:t>
      </w:r>
      <w:r>
        <w:rPr>
          <w:b/>
          <w:spacing w:val="-3"/>
          <w:sz w:val="24"/>
        </w:rPr>
        <w:t xml:space="preserve"> </w:t>
      </w:r>
      <w:r>
        <w:rPr>
          <w:b/>
          <w:sz w:val="24"/>
        </w:rPr>
        <w:t>the</w:t>
      </w:r>
      <w:r>
        <w:rPr>
          <w:b/>
          <w:spacing w:val="-2"/>
          <w:sz w:val="24"/>
        </w:rPr>
        <w:t xml:space="preserve"> </w:t>
      </w:r>
      <w:r>
        <w:rPr>
          <w:b/>
          <w:sz w:val="24"/>
        </w:rPr>
        <w:t>Proposed</w:t>
      </w:r>
      <w:r>
        <w:rPr>
          <w:b/>
          <w:spacing w:val="-2"/>
          <w:sz w:val="24"/>
        </w:rPr>
        <w:t xml:space="preserve"> </w:t>
      </w:r>
      <w:r>
        <w:rPr>
          <w:b/>
          <w:sz w:val="24"/>
        </w:rPr>
        <w:t>Project</w:t>
      </w:r>
      <w:r>
        <w:rPr>
          <w:b/>
          <w:spacing w:val="-1"/>
          <w:sz w:val="24"/>
        </w:rPr>
        <w:t xml:space="preserve"> </w:t>
      </w:r>
      <w:r>
        <w:rPr>
          <w:b/>
          <w:sz w:val="24"/>
        </w:rPr>
        <w:t>to</w:t>
      </w:r>
      <w:r>
        <w:rPr>
          <w:b/>
          <w:spacing w:val="-2"/>
          <w:sz w:val="24"/>
        </w:rPr>
        <w:t xml:space="preserve"> </w:t>
      </w:r>
      <w:r>
        <w:rPr>
          <w:b/>
          <w:sz w:val="24"/>
        </w:rPr>
        <w:t>“Public</w:t>
      </w:r>
      <w:r>
        <w:rPr>
          <w:b/>
          <w:spacing w:val="-3"/>
          <w:sz w:val="24"/>
        </w:rPr>
        <w:t xml:space="preserve"> </w:t>
      </w:r>
      <w:r>
        <w:rPr>
          <w:b/>
          <w:sz w:val="24"/>
        </w:rPr>
        <w:t>Health</w:t>
      </w:r>
      <w:r>
        <w:rPr>
          <w:b/>
          <w:spacing w:val="-1"/>
          <w:sz w:val="24"/>
        </w:rPr>
        <w:t xml:space="preserve"> </w:t>
      </w:r>
      <w:r>
        <w:rPr>
          <w:b/>
          <w:sz w:val="24"/>
        </w:rPr>
        <w:t>Value”.</w:t>
      </w:r>
    </w:p>
    <w:p w:rsidR="00D862F2" w:rsidRDefault="00D862F2">
      <w:pPr>
        <w:pStyle w:val="BodyText"/>
        <w:spacing w:before="9"/>
        <w:rPr>
          <w:b/>
          <w:sz w:val="15"/>
        </w:rPr>
      </w:pPr>
    </w:p>
    <w:p w:rsidR="00D862F2" w:rsidRDefault="00884FE4">
      <w:pPr>
        <w:pStyle w:val="BodyText"/>
        <w:spacing w:before="90"/>
        <w:ind w:left="219" w:right="275"/>
        <w:jc w:val="both"/>
      </w:pPr>
      <w:r>
        <w:t>This Application is the result of a lengthy and ongoing planning and community engagement</w:t>
      </w:r>
      <w:r>
        <w:rPr>
          <w:spacing w:val="1"/>
        </w:rPr>
        <w:t xml:space="preserve"> </w:t>
      </w:r>
      <w:r>
        <w:t>process centered on Boston Children’s mission of providing the highest quality health care, being</w:t>
      </w:r>
      <w:r>
        <w:rPr>
          <w:spacing w:val="-57"/>
        </w:rPr>
        <w:t xml:space="preserve"> </w:t>
      </w:r>
      <w:r>
        <w:t>a leader in research and discovery, educating the next generation of leaders in health care, and</w:t>
      </w:r>
      <w:r>
        <w:rPr>
          <w:spacing w:val="1"/>
        </w:rPr>
        <w:t xml:space="preserve"> </w:t>
      </w:r>
      <w:r>
        <w:t>enhancing the health and well-being of the children and families in the local community. For the</w:t>
      </w:r>
      <w:r>
        <w:rPr>
          <w:spacing w:val="1"/>
        </w:rPr>
        <w:t xml:space="preserve"> </w:t>
      </w:r>
      <w:r>
        <w:t>Applicant, the process of establishing public health value is inextricably linked to pursuit of the</w:t>
      </w:r>
      <w:r>
        <w:rPr>
          <w:spacing w:val="1"/>
        </w:rPr>
        <w:t xml:space="preserve"> </w:t>
      </w:r>
      <w:r>
        <w:t>foregoing mission. Throughout the development of the Proposed Project, the Applicant, guided</w:t>
      </w:r>
      <w:r>
        <w:rPr>
          <w:spacing w:val="1"/>
        </w:rPr>
        <w:t xml:space="preserve"> </w:t>
      </w:r>
      <w:r>
        <w:t>by its Board of Directors, has been continuously evaluating projects that best further this mission</w:t>
      </w:r>
      <w:r>
        <w:rPr>
          <w:spacing w:val="-57"/>
        </w:rPr>
        <w:t xml:space="preserve"> </w:t>
      </w:r>
      <w:r>
        <w:t>and,</w:t>
      </w:r>
      <w:r>
        <w:rPr>
          <w:spacing w:val="-1"/>
        </w:rPr>
        <w:t xml:space="preserve"> </w:t>
      </w:r>
      <w:r>
        <w:t>as discussed further in F5.a.i below, considered</w:t>
      </w:r>
      <w:r>
        <w:rPr>
          <w:spacing w:val="-1"/>
        </w:rPr>
        <w:t xml:space="preserve"> </w:t>
      </w:r>
      <w:r>
        <w:t>a</w:t>
      </w:r>
      <w:r>
        <w:rPr>
          <w:spacing w:val="-1"/>
        </w:rPr>
        <w:t xml:space="preserve"> </w:t>
      </w:r>
      <w:r>
        <w:t>number</w:t>
      </w:r>
      <w:r>
        <w:rPr>
          <w:spacing w:val="-1"/>
        </w:rPr>
        <w:t xml:space="preserve"> </w:t>
      </w:r>
      <w:r>
        <w:t>of</w:t>
      </w:r>
      <w:r>
        <w:rPr>
          <w:spacing w:val="-2"/>
        </w:rPr>
        <w:t xml:space="preserve"> </w:t>
      </w:r>
      <w:r>
        <w:t>alternatives.</w:t>
      </w:r>
    </w:p>
    <w:p w:rsidR="00D862F2" w:rsidRDefault="00D862F2">
      <w:pPr>
        <w:pStyle w:val="BodyText"/>
      </w:pPr>
    </w:p>
    <w:p w:rsidR="00D862F2" w:rsidRDefault="00884FE4">
      <w:pPr>
        <w:pStyle w:val="BodyText"/>
        <w:ind w:left="219" w:right="274"/>
        <w:jc w:val="both"/>
      </w:pPr>
      <w:r>
        <w:t>The</w:t>
      </w:r>
      <w:r>
        <w:rPr>
          <w:spacing w:val="1"/>
        </w:rPr>
        <w:t xml:space="preserve"> </w:t>
      </w:r>
      <w:r>
        <w:t>Hospital</w:t>
      </w:r>
      <w:r>
        <w:rPr>
          <w:spacing w:val="1"/>
        </w:rPr>
        <w:t xml:space="preserve"> </w:t>
      </w:r>
      <w:r>
        <w:t>has</w:t>
      </w:r>
      <w:r>
        <w:rPr>
          <w:spacing w:val="1"/>
        </w:rPr>
        <w:t xml:space="preserve"> </w:t>
      </w:r>
      <w:r>
        <w:t>presented</w:t>
      </w:r>
      <w:r>
        <w:rPr>
          <w:spacing w:val="1"/>
        </w:rPr>
        <w:t xml:space="preserve"> </w:t>
      </w:r>
      <w:r>
        <w:t>its</w:t>
      </w:r>
      <w:r>
        <w:rPr>
          <w:spacing w:val="1"/>
        </w:rPr>
        <w:t xml:space="preserve"> </w:t>
      </w:r>
      <w:r>
        <w:t>Proposed</w:t>
      </w:r>
      <w:r>
        <w:rPr>
          <w:spacing w:val="1"/>
        </w:rPr>
        <w:t xml:space="preserve"> </w:t>
      </w:r>
      <w:r>
        <w:t>Project</w:t>
      </w:r>
      <w:r>
        <w:rPr>
          <w:spacing w:val="1"/>
        </w:rPr>
        <w:t xml:space="preserve"> </w:t>
      </w:r>
      <w:r>
        <w:t>and</w:t>
      </w:r>
      <w:r>
        <w:rPr>
          <w:spacing w:val="1"/>
        </w:rPr>
        <w:t xml:space="preserve"> </w:t>
      </w:r>
      <w:r>
        <w:t>solicited</w:t>
      </w:r>
      <w:r>
        <w:rPr>
          <w:spacing w:val="1"/>
        </w:rPr>
        <w:t xml:space="preserve"> </w:t>
      </w:r>
      <w:r>
        <w:t>feedback</w:t>
      </w:r>
      <w:r>
        <w:rPr>
          <w:spacing w:val="1"/>
        </w:rPr>
        <w:t xml:space="preserve"> </w:t>
      </w:r>
      <w:r>
        <w:t>at</w:t>
      </w:r>
      <w:r>
        <w:rPr>
          <w:spacing w:val="60"/>
        </w:rPr>
        <w:t xml:space="preserve"> </w:t>
      </w:r>
      <w:r>
        <w:t>existing</w:t>
      </w:r>
      <w:r>
        <w:rPr>
          <w:spacing w:val="60"/>
        </w:rPr>
        <w:t xml:space="preserve"> </w:t>
      </w:r>
      <w:r>
        <w:t>internal</w:t>
      </w:r>
      <w:r>
        <w:rPr>
          <w:spacing w:val="-57"/>
        </w:rPr>
        <w:t xml:space="preserve"> </w:t>
      </w:r>
      <w:r>
        <w:t>venues</w:t>
      </w:r>
      <w:r>
        <w:rPr>
          <w:spacing w:val="7"/>
        </w:rPr>
        <w:t xml:space="preserve"> </w:t>
      </w:r>
      <w:r>
        <w:t>for</w:t>
      </w:r>
      <w:r>
        <w:rPr>
          <w:spacing w:val="6"/>
        </w:rPr>
        <w:t xml:space="preserve"> </w:t>
      </w:r>
      <w:r>
        <w:t>patient</w:t>
      </w:r>
      <w:r>
        <w:rPr>
          <w:spacing w:val="8"/>
        </w:rPr>
        <w:t xml:space="preserve"> </w:t>
      </w:r>
      <w:r>
        <w:t>engagement</w:t>
      </w:r>
      <w:r>
        <w:rPr>
          <w:spacing w:val="8"/>
        </w:rPr>
        <w:t xml:space="preserve"> </w:t>
      </w:r>
      <w:r>
        <w:t>within</w:t>
      </w:r>
      <w:r>
        <w:rPr>
          <w:spacing w:val="7"/>
        </w:rPr>
        <w:t xml:space="preserve"> </w:t>
      </w:r>
      <w:r>
        <w:t>the</w:t>
      </w:r>
      <w:r>
        <w:rPr>
          <w:spacing w:val="6"/>
        </w:rPr>
        <w:t xml:space="preserve"> </w:t>
      </w:r>
      <w:r>
        <w:t>Hospital.</w:t>
      </w:r>
      <w:r>
        <w:rPr>
          <w:spacing w:val="10"/>
        </w:rPr>
        <w:t xml:space="preserve"> </w:t>
      </w:r>
      <w:r>
        <w:t>In</w:t>
      </w:r>
      <w:r>
        <w:rPr>
          <w:spacing w:val="7"/>
        </w:rPr>
        <w:t xml:space="preserve"> </w:t>
      </w:r>
      <w:r>
        <w:t>particular,</w:t>
      </w:r>
      <w:r>
        <w:rPr>
          <w:spacing w:val="7"/>
        </w:rPr>
        <w:t xml:space="preserve"> </w:t>
      </w:r>
      <w:r>
        <w:t>it</w:t>
      </w:r>
      <w:r>
        <w:rPr>
          <w:spacing w:val="8"/>
        </w:rPr>
        <w:t xml:space="preserve"> </w:t>
      </w:r>
      <w:r>
        <w:t>has</w:t>
      </w:r>
      <w:r>
        <w:rPr>
          <w:spacing w:val="7"/>
        </w:rPr>
        <w:t xml:space="preserve"> </w:t>
      </w:r>
      <w:r>
        <w:t>engaged</w:t>
      </w:r>
      <w:r>
        <w:rPr>
          <w:spacing w:val="8"/>
        </w:rPr>
        <w:t xml:space="preserve"> </w:t>
      </w:r>
      <w:r>
        <w:t>with</w:t>
      </w:r>
      <w:r>
        <w:rPr>
          <w:spacing w:val="7"/>
        </w:rPr>
        <w:t xml:space="preserve"> </w:t>
      </w:r>
      <w:r>
        <w:t>the</w:t>
      </w:r>
    </w:p>
    <w:p w:rsidR="00D862F2" w:rsidRDefault="00D862F2">
      <w:pPr>
        <w:jc w:val="both"/>
        <w:sectPr w:rsidR="00D862F2">
          <w:pgSz w:w="12240" w:h="15840"/>
          <w:pgMar w:top="1340" w:right="1160" w:bottom="980" w:left="1220" w:header="722" w:footer="794" w:gutter="0"/>
          <w:cols w:space="720"/>
        </w:sectPr>
      </w:pPr>
    </w:p>
    <w:p w:rsidR="00D862F2" w:rsidRDefault="00884FE4">
      <w:pPr>
        <w:pStyle w:val="BodyText"/>
        <w:spacing w:before="88"/>
        <w:ind w:left="219" w:right="277"/>
        <w:jc w:val="both"/>
      </w:pPr>
      <w:r>
        <w:lastRenderedPageBreak/>
        <w:t>Hospital’s Family Advisory Council and the BCH ACO Patient Family Advisory Committee.</w:t>
      </w:r>
      <w:r>
        <w:rPr>
          <w:spacing w:val="1"/>
        </w:rPr>
        <w:t xml:space="preserve"> </w:t>
      </w:r>
      <w:r>
        <w:t>Additionally, the Applicant has consulted patient advocacy groups organized around particular</w:t>
      </w:r>
      <w:r>
        <w:rPr>
          <w:spacing w:val="1"/>
        </w:rPr>
        <w:t xml:space="preserve"> </w:t>
      </w:r>
      <w:r>
        <w:t>conditions, including Children’s Mental Health Campaign partners such as the Massachusetts</w:t>
      </w:r>
      <w:r>
        <w:rPr>
          <w:spacing w:val="1"/>
        </w:rPr>
        <w:t xml:space="preserve"> </w:t>
      </w:r>
      <w:r>
        <w:t>Association for Mental Health and the Massachusetts Society for the Prevention of Cruelty to</w:t>
      </w:r>
      <w:r>
        <w:rPr>
          <w:spacing w:val="1"/>
        </w:rPr>
        <w:t xml:space="preserve"> </w:t>
      </w:r>
      <w:r>
        <w:t>Children, to hear about their constituencies’ concerns with access to pediatric specialty care in</w:t>
      </w:r>
      <w:r>
        <w:rPr>
          <w:spacing w:val="1"/>
        </w:rPr>
        <w:t xml:space="preserve"> </w:t>
      </w:r>
      <w:r>
        <w:t>Massachusetts.</w:t>
      </w:r>
    </w:p>
    <w:p w:rsidR="00D862F2" w:rsidRDefault="00D862F2">
      <w:pPr>
        <w:pStyle w:val="BodyText"/>
      </w:pPr>
    </w:p>
    <w:p w:rsidR="00D862F2" w:rsidRDefault="00884FE4">
      <w:pPr>
        <w:pStyle w:val="BodyText"/>
        <w:ind w:left="219" w:right="274"/>
        <w:jc w:val="both"/>
      </w:pPr>
      <w:r>
        <w:t>The Hospital has also performed outreach to the health departments in communities in which the</w:t>
      </w:r>
      <w:r>
        <w:rPr>
          <w:spacing w:val="1"/>
        </w:rPr>
        <w:t xml:space="preserve"> </w:t>
      </w:r>
      <w:r>
        <w:t>Proposed Project sites are located, as well as to surrounding municipalities identified by Bailit as</w:t>
      </w:r>
      <w:r>
        <w:rPr>
          <w:spacing w:val="1"/>
        </w:rPr>
        <w:t xml:space="preserve"> </w:t>
      </w:r>
      <w:r>
        <w:t>having a high percentage of families with persons under 18 years, of persons in poverty and/or</w:t>
      </w:r>
      <w:r>
        <w:rPr>
          <w:spacing w:val="1"/>
        </w:rPr>
        <w:t xml:space="preserve"> </w:t>
      </w:r>
      <w:r>
        <w:t>persons who identify as Black, Asian or Hispanic/Latino.</w:t>
      </w:r>
      <w:r>
        <w:rPr>
          <w:spacing w:val="1"/>
        </w:rPr>
        <w:t xml:space="preserve"> </w:t>
      </w:r>
      <w:r>
        <w:t>Outreach and follow-up to these health</w:t>
      </w:r>
      <w:r>
        <w:rPr>
          <w:spacing w:val="-57"/>
        </w:rPr>
        <w:t xml:space="preserve"> </w:t>
      </w:r>
      <w:r>
        <w:t>departments is ongoing, as local public health departments continue to focus efforts on response</w:t>
      </w:r>
      <w:r>
        <w:rPr>
          <w:spacing w:val="1"/>
        </w:rPr>
        <w:t xml:space="preserve"> </w:t>
      </w:r>
      <w:r>
        <w:t>to</w:t>
      </w:r>
      <w:r>
        <w:rPr>
          <w:spacing w:val="1"/>
        </w:rPr>
        <w:t xml:space="preserve"> </w:t>
      </w:r>
      <w:r>
        <w:t>the</w:t>
      </w:r>
      <w:r>
        <w:rPr>
          <w:spacing w:val="1"/>
        </w:rPr>
        <w:t xml:space="preserve"> </w:t>
      </w:r>
      <w:r>
        <w:t>COVID-19</w:t>
      </w:r>
      <w:r>
        <w:rPr>
          <w:spacing w:val="1"/>
        </w:rPr>
        <w:t xml:space="preserve"> </w:t>
      </w:r>
      <w:r>
        <w:t>pandemic</w:t>
      </w:r>
      <w:r>
        <w:rPr>
          <w:spacing w:val="1"/>
        </w:rPr>
        <w:t xml:space="preserve"> </w:t>
      </w:r>
      <w:r>
        <w:t>in</w:t>
      </w:r>
      <w:r>
        <w:rPr>
          <w:spacing w:val="1"/>
        </w:rPr>
        <w:t xml:space="preserve"> </w:t>
      </w:r>
      <w:r>
        <w:t>their</w:t>
      </w:r>
      <w:r>
        <w:rPr>
          <w:spacing w:val="1"/>
        </w:rPr>
        <w:t xml:space="preserve"> </w:t>
      </w:r>
      <w:r>
        <w:t>communities.</w:t>
      </w:r>
      <w:r>
        <w:rPr>
          <w:spacing w:val="1"/>
        </w:rPr>
        <w:t xml:space="preserve"> </w:t>
      </w:r>
      <w:r>
        <w:t>Consistent</w:t>
      </w:r>
      <w:r>
        <w:rPr>
          <w:spacing w:val="1"/>
        </w:rPr>
        <w:t xml:space="preserve"> </w:t>
      </w:r>
      <w:r>
        <w:t>with</w:t>
      </w:r>
      <w:r>
        <w:rPr>
          <w:spacing w:val="1"/>
        </w:rPr>
        <w:t xml:space="preserve"> </w:t>
      </w:r>
      <w:r>
        <w:t>discussions</w:t>
      </w:r>
      <w:r>
        <w:rPr>
          <w:spacing w:val="1"/>
        </w:rPr>
        <w:t xml:space="preserve"> </w:t>
      </w:r>
      <w:r>
        <w:t>with</w:t>
      </w:r>
      <w:r>
        <w:rPr>
          <w:spacing w:val="1"/>
        </w:rPr>
        <w:t xml:space="preserve"> </w:t>
      </w:r>
      <w:r>
        <w:t>the</w:t>
      </w:r>
      <w:r>
        <w:rPr>
          <w:spacing w:val="1"/>
        </w:rPr>
        <w:t xml:space="preserve"> </w:t>
      </w:r>
      <w:r>
        <w:t>Department of Public Health, the Applicant has focused its outreach in the Brockton, Randolph,</w:t>
      </w:r>
      <w:r>
        <w:rPr>
          <w:spacing w:val="1"/>
        </w:rPr>
        <w:t xml:space="preserve"> </w:t>
      </w:r>
      <w:r>
        <w:t>Quincy, and Framingham communities, recognizing the siting of the Proposed Project along</w:t>
      </w:r>
      <w:r>
        <w:rPr>
          <w:spacing w:val="1"/>
        </w:rPr>
        <w:t xml:space="preserve"> </w:t>
      </w:r>
      <w:r>
        <w:t>major transportation access points for patients in these communities. In addition, the Applicant</w:t>
      </w:r>
      <w:r>
        <w:rPr>
          <w:spacing w:val="1"/>
        </w:rPr>
        <w:t xml:space="preserve"> </w:t>
      </w:r>
      <w:r>
        <w:t>has reached out to primary care provider entities with referring relationships to the Hospital,</w:t>
      </w:r>
      <w:r>
        <w:rPr>
          <w:spacing w:val="1"/>
        </w:rPr>
        <w:t xml:space="preserve"> </w:t>
      </w:r>
      <w:r>
        <w:t>including the PPOC with its statewide reach and Atrius Health, to understand their perspectives</w:t>
      </w:r>
      <w:r>
        <w:rPr>
          <w:spacing w:val="1"/>
        </w:rPr>
        <w:t xml:space="preserve"> </w:t>
      </w:r>
      <w:r>
        <w:t>on</w:t>
      </w:r>
      <w:r>
        <w:rPr>
          <w:spacing w:val="-1"/>
        </w:rPr>
        <w:t xml:space="preserve"> </w:t>
      </w:r>
      <w:r>
        <w:t>patient access and identify</w:t>
      </w:r>
      <w:r>
        <w:rPr>
          <w:spacing w:val="-5"/>
        </w:rPr>
        <w:t xml:space="preserve"> </w:t>
      </w:r>
      <w:r>
        <w:t>opportunities to be</w:t>
      </w:r>
      <w:r>
        <w:rPr>
          <w:spacing w:val="-2"/>
        </w:rPr>
        <w:t xml:space="preserve"> </w:t>
      </w:r>
      <w:r>
        <w:t>responsive</w:t>
      </w:r>
      <w:r>
        <w:rPr>
          <w:spacing w:val="-1"/>
        </w:rPr>
        <w:t xml:space="preserve"> </w:t>
      </w:r>
      <w:r>
        <w:t>to issues voiced.</w:t>
      </w:r>
    </w:p>
    <w:p w:rsidR="00D862F2" w:rsidRDefault="00D862F2">
      <w:pPr>
        <w:pStyle w:val="BodyText"/>
      </w:pPr>
    </w:p>
    <w:p w:rsidR="00D862F2" w:rsidRDefault="00884FE4">
      <w:pPr>
        <w:pStyle w:val="BodyText"/>
        <w:ind w:left="219" w:right="277"/>
        <w:jc w:val="both"/>
      </w:pPr>
      <w:r>
        <w:t>The following includes some of the outreach initiatives Boston Children’s has taken to date or</w:t>
      </w:r>
      <w:r>
        <w:rPr>
          <w:spacing w:val="1"/>
        </w:rPr>
        <w:t xml:space="preserve"> </w:t>
      </w:r>
      <w:r>
        <w:t>plans</w:t>
      </w:r>
      <w:r>
        <w:rPr>
          <w:spacing w:val="-1"/>
        </w:rPr>
        <w:t xml:space="preserve"> </w:t>
      </w:r>
      <w:r>
        <w:t>to take</w:t>
      </w:r>
      <w:r>
        <w:rPr>
          <w:spacing w:val="-1"/>
        </w:rPr>
        <w:t xml:space="preserve"> </w:t>
      </w:r>
      <w:r>
        <w:t>throughout the</w:t>
      </w:r>
      <w:r>
        <w:rPr>
          <w:spacing w:val="-1"/>
        </w:rPr>
        <w:t xml:space="preserve"> </w:t>
      </w:r>
      <w:r>
        <w:t>development of</w:t>
      </w:r>
      <w:r>
        <w:rPr>
          <w:spacing w:val="-2"/>
        </w:rPr>
        <w:t xml:space="preserve"> </w:t>
      </w:r>
      <w:r>
        <w:t>the</w:t>
      </w:r>
      <w:r>
        <w:rPr>
          <w:spacing w:val="-1"/>
        </w:rPr>
        <w:t xml:space="preserve"> </w:t>
      </w:r>
      <w:r>
        <w:t>Proposed Project:</w:t>
      </w:r>
    </w:p>
    <w:p w:rsidR="00D862F2" w:rsidRDefault="00884FE4">
      <w:pPr>
        <w:pStyle w:val="ListParagraph"/>
        <w:numPr>
          <w:ilvl w:val="0"/>
          <w:numId w:val="4"/>
        </w:numPr>
        <w:tabs>
          <w:tab w:val="left" w:pos="940"/>
        </w:tabs>
        <w:spacing w:before="122"/>
        <w:ind w:left="939" w:right="277"/>
        <w:jc w:val="both"/>
        <w:rPr>
          <w:sz w:val="24"/>
        </w:rPr>
      </w:pPr>
      <w:r>
        <w:rPr>
          <w:sz w:val="24"/>
        </w:rPr>
        <w:t>Municipality outreach directed toward local health departments with staff welcomed to</w:t>
      </w:r>
      <w:r>
        <w:rPr>
          <w:spacing w:val="1"/>
          <w:sz w:val="24"/>
        </w:rPr>
        <w:t xml:space="preserve"> </w:t>
      </w:r>
      <w:r>
        <w:rPr>
          <w:sz w:val="24"/>
        </w:rPr>
        <w:t>include</w:t>
      </w:r>
      <w:r>
        <w:rPr>
          <w:spacing w:val="1"/>
          <w:sz w:val="24"/>
        </w:rPr>
        <w:t xml:space="preserve"> </w:t>
      </w:r>
      <w:r>
        <w:rPr>
          <w:sz w:val="24"/>
        </w:rPr>
        <w:t>other</w:t>
      </w:r>
      <w:r>
        <w:rPr>
          <w:spacing w:val="1"/>
          <w:sz w:val="24"/>
        </w:rPr>
        <w:t xml:space="preserve"> </w:t>
      </w:r>
      <w:r>
        <w:rPr>
          <w:sz w:val="24"/>
        </w:rPr>
        <w:t>local</w:t>
      </w:r>
      <w:r>
        <w:rPr>
          <w:spacing w:val="1"/>
          <w:sz w:val="24"/>
        </w:rPr>
        <w:t xml:space="preserve"> </w:t>
      </w:r>
      <w:r>
        <w:rPr>
          <w:sz w:val="24"/>
        </w:rPr>
        <w:t>leaders</w:t>
      </w:r>
      <w:r>
        <w:rPr>
          <w:spacing w:val="1"/>
          <w:sz w:val="24"/>
        </w:rPr>
        <w:t xml:space="preserve"> </w:t>
      </w:r>
      <w:r>
        <w:rPr>
          <w:sz w:val="24"/>
        </w:rPr>
        <w:t>with</w:t>
      </w:r>
      <w:r>
        <w:rPr>
          <w:spacing w:val="1"/>
          <w:sz w:val="24"/>
        </w:rPr>
        <w:t xml:space="preserve"> </w:t>
      </w:r>
      <w:r>
        <w:rPr>
          <w:sz w:val="24"/>
        </w:rPr>
        <w:t>relevant</w:t>
      </w:r>
      <w:r>
        <w:rPr>
          <w:spacing w:val="1"/>
          <w:sz w:val="24"/>
        </w:rPr>
        <w:t xml:space="preserve"> </w:t>
      </w:r>
      <w:r>
        <w:rPr>
          <w:sz w:val="24"/>
        </w:rPr>
        <w:t>perspectives</w:t>
      </w:r>
      <w:r>
        <w:rPr>
          <w:spacing w:val="1"/>
          <w:sz w:val="24"/>
        </w:rPr>
        <w:t xml:space="preserve"> </w:t>
      </w:r>
      <w:r>
        <w:rPr>
          <w:sz w:val="24"/>
        </w:rPr>
        <w:t>on</w:t>
      </w:r>
      <w:r>
        <w:rPr>
          <w:spacing w:val="1"/>
          <w:sz w:val="24"/>
        </w:rPr>
        <w:t xml:space="preserve"> </w:t>
      </w:r>
      <w:r>
        <w:rPr>
          <w:sz w:val="24"/>
        </w:rPr>
        <w:t>children’s</w:t>
      </w:r>
      <w:r>
        <w:rPr>
          <w:spacing w:val="1"/>
          <w:sz w:val="24"/>
        </w:rPr>
        <w:t xml:space="preserve"> </w:t>
      </w:r>
      <w:r>
        <w:rPr>
          <w:sz w:val="24"/>
        </w:rPr>
        <w:t>health,</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representatives from the school system. The Applicant has met with representatives from</w:t>
      </w:r>
      <w:r>
        <w:rPr>
          <w:spacing w:val="1"/>
          <w:sz w:val="24"/>
        </w:rPr>
        <w:t xml:space="preserve"> </w:t>
      </w:r>
      <w:r>
        <w:rPr>
          <w:sz w:val="24"/>
        </w:rPr>
        <w:t>Waltham,</w:t>
      </w:r>
      <w:r>
        <w:rPr>
          <w:spacing w:val="-3"/>
          <w:sz w:val="24"/>
        </w:rPr>
        <w:t xml:space="preserve"> </w:t>
      </w:r>
      <w:r>
        <w:rPr>
          <w:sz w:val="24"/>
        </w:rPr>
        <w:t>Needham,</w:t>
      </w:r>
      <w:r>
        <w:rPr>
          <w:spacing w:val="-2"/>
          <w:sz w:val="24"/>
        </w:rPr>
        <w:t xml:space="preserve"> </w:t>
      </w:r>
      <w:r>
        <w:rPr>
          <w:sz w:val="24"/>
        </w:rPr>
        <w:t>Weymouth,</w:t>
      </w:r>
      <w:r>
        <w:rPr>
          <w:spacing w:val="-2"/>
          <w:sz w:val="24"/>
        </w:rPr>
        <w:t xml:space="preserve"> </w:t>
      </w:r>
      <w:r>
        <w:rPr>
          <w:sz w:val="24"/>
        </w:rPr>
        <w:t>Framingham,</w:t>
      </w:r>
      <w:r>
        <w:rPr>
          <w:spacing w:val="-2"/>
          <w:sz w:val="24"/>
        </w:rPr>
        <w:t xml:space="preserve"> </w:t>
      </w:r>
      <w:r>
        <w:rPr>
          <w:sz w:val="24"/>
        </w:rPr>
        <w:t>Brockton,</w:t>
      </w:r>
      <w:r>
        <w:rPr>
          <w:spacing w:val="-2"/>
          <w:sz w:val="24"/>
        </w:rPr>
        <w:t xml:space="preserve"> </w:t>
      </w:r>
      <w:r>
        <w:rPr>
          <w:sz w:val="24"/>
        </w:rPr>
        <w:t>Randolph,</w:t>
      </w:r>
      <w:r>
        <w:rPr>
          <w:spacing w:val="-2"/>
          <w:sz w:val="24"/>
        </w:rPr>
        <w:t xml:space="preserve"> </w:t>
      </w:r>
      <w:r>
        <w:rPr>
          <w:sz w:val="24"/>
        </w:rPr>
        <w:t>Quincy, and</w:t>
      </w:r>
      <w:r>
        <w:rPr>
          <w:spacing w:val="-2"/>
          <w:sz w:val="24"/>
        </w:rPr>
        <w:t xml:space="preserve"> </w:t>
      </w:r>
      <w:r>
        <w:rPr>
          <w:sz w:val="24"/>
        </w:rPr>
        <w:t>Milton.</w:t>
      </w:r>
    </w:p>
    <w:p w:rsidR="00D862F2" w:rsidRDefault="00884FE4">
      <w:pPr>
        <w:pStyle w:val="ListParagraph"/>
        <w:numPr>
          <w:ilvl w:val="0"/>
          <w:numId w:val="4"/>
        </w:numPr>
        <w:tabs>
          <w:tab w:val="left" w:pos="940"/>
        </w:tabs>
        <w:spacing w:before="121" w:line="237" w:lineRule="auto"/>
        <w:ind w:left="939" w:right="278"/>
        <w:jc w:val="both"/>
        <w:rPr>
          <w:sz w:val="24"/>
        </w:rPr>
      </w:pPr>
      <w:r>
        <w:rPr>
          <w:sz w:val="24"/>
        </w:rPr>
        <w:t>Presentation</w:t>
      </w:r>
      <w:r>
        <w:rPr>
          <w:spacing w:val="1"/>
          <w:sz w:val="24"/>
        </w:rPr>
        <w:t xml:space="preserve"> </w:t>
      </w:r>
      <w:r>
        <w:rPr>
          <w:sz w:val="24"/>
        </w:rPr>
        <w:t>and</w:t>
      </w:r>
      <w:r>
        <w:rPr>
          <w:spacing w:val="1"/>
          <w:sz w:val="24"/>
        </w:rPr>
        <w:t xml:space="preserve"> </w:t>
      </w:r>
      <w:r>
        <w:rPr>
          <w:sz w:val="24"/>
        </w:rPr>
        <w:t>discussion</w:t>
      </w:r>
      <w:r>
        <w:rPr>
          <w:spacing w:val="1"/>
          <w:sz w:val="24"/>
        </w:rPr>
        <w:t xml:space="preserve"> </w:t>
      </w:r>
      <w:r>
        <w:rPr>
          <w:sz w:val="24"/>
        </w:rPr>
        <w:t>at</w:t>
      </w:r>
      <w:r>
        <w:rPr>
          <w:spacing w:val="1"/>
          <w:sz w:val="24"/>
        </w:rPr>
        <w:t xml:space="preserve"> </w:t>
      </w:r>
      <w:r>
        <w:rPr>
          <w:sz w:val="24"/>
        </w:rPr>
        <w:t>the BCH</w:t>
      </w:r>
      <w:r>
        <w:rPr>
          <w:spacing w:val="1"/>
          <w:sz w:val="24"/>
        </w:rPr>
        <w:t xml:space="preserve"> </w:t>
      </w:r>
      <w:r>
        <w:rPr>
          <w:sz w:val="24"/>
        </w:rPr>
        <w:t>ACO</w:t>
      </w:r>
      <w:r>
        <w:rPr>
          <w:spacing w:val="1"/>
          <w:sz w:val="24"/>
        </w:rPr>
        <w:t xml:space="preserve"> </w:t>
      </w:r>
      <w:r>
        <w:rPr>
          <w:sz w:val="24"/>
        </w:rPr>
        <w:t>Patient</w:t>
      </w:r>
      <w:r>
        <w:rPr>
          <w:spacing w:val="1"/>
          <w:sz w:val="24"/>
        </w:rPr>
        <w:t xml:space="preserve"> </w:t>
      </w:r>
      <w:r>
        <w:rPr>
          <w:sz w:val="24"/>
        </w:rPr>
        <w:t>and</w:t>
      </w:r>
      <w:r>
        <w:rPr>
          <w:spacing w:val="1"/>
          <w:sz w:val="24"/>
        </w:rPr>
        <w:t xml:space="preserve"> </w:t>
      </w:r>
      <w:r>
        <w:rPr>
          <w:sz w:val="24"/>
        </w:rPr>
        <w:t>Family Advisory Council</w:t>
      </w:r>
      <w:r>
        <w:rPr>
          <w:spacing w:val="1"/>
          <w:sz w:val="24"/>
        </w:rPr>
        <w:t xml:space="preserve"> </w:t>
      </w:r>
      <w:r>
        <w:rPr>
          <w:sz w:val="24"/>
        </w:rPr>
        <w:t>meeting</w:t>
      </w:r>
      <w:r>
        <w:rPr>
          <w:spacing w:val="-4"/>
          <w:sz w:val="24"/>
        </w:rPr>
        <w:t xml:space="preserve"> </w:t>
      </w:r>
      <w:r>
        <w:rPr>
          <w:sz w:val="24"/>
        </w:rPr>
        <w:t>on December</w:t>
      </w:r>
      <w:r>
        <w:rPr>
          <w:spacing w:val="-2"/>
          <w:sz w:val="24"/>
        </w:rPr>
        <w:t xml:space="preserve"> </w:t>
      </w:r>
      <w:r>
        <w:rPr>
          <w:sz w:val="24"/>
        </w:rPr>
        <w:t>30, 2020,</w:t>
      </w:r>
      <w:r>
        <w:rPr>
          <w:spacing w:val="-1"/>
          <w:sz w:val="24"/>
        </w:rPr>
        <w:t xml:space="preserve"> </w:t>
      </w:r>
      <w:r>
        <w:rPr>
          <w:sz w:val="24"/>
        </w:rPr>
        <w:t>as well</w:t>
      </w:r>
      <w:r>
        <w:rPr>
          <w:spacing w:val="-1"/>
          <w:sz w:val="24"/>
        </w:rPr>
        <w:t xml:space="preserve"> </w:t>
      </w:r>
      <w:r>
        <w:rPr>
          <w:sz w:val="24"/>
        </w:rPr>
        <w:t>as a</w:t>
      </w:r>
      <w:r>
        <w:rPr>
          <w:spacing w:val="-2"/>
          <w:sz w:val="24"/>
        </w:rPr>
        <w:t xml:space="preserve"> </w:t>
      </w:r>
      <w:r>
        <w:rPr>
          <w:sz w:val="24"/>
        </w:rPr>
        <w:t>plan to</w:t>
      </w:r>
      <w:r>
        <w:rPr>
          <w:spacing w:val="-1"/>
          <w:sz w:val="24"/>
        </w:rPr>
        <w:t xml:space="preserve"> </w:t>
      </w:r>
      <w:r>
        <w:rPr>
          <w:sz w:val="24"/>
        </w:rPr>
        <w:t>follow</w:t>
      </w:r>
      <w:r>
        <w:rPr>
          <w:spacing w:val="-1"/>
          <w:sz w:val="24"/>
        </w:rPr>
        <w:t xml:space="preserve"> </w:t>
      </w:r>
      <w:r>
        <w:rPr>
          <w:sz w:val="24"/>
        </w:rPr>
        <w:t>up</w:t>
      </w:r>
      <w:r>
        <w:rPr>
          <w:spacing w:val="-1"/>
          <w:sz w:val="24"/>
        </w:rPr>
        <w:t xml:space="preserve"> </w:t>
      </w:r>
      <w:r>
        <w:rPr>
          <w:sz w:val="24"/>
        </w:rPr>
        <w:t>at the</w:t>
      </w:r>
      <w:r>
        <w:rPr>
          <w:spacing w:val="-2"/>
          <w:sz w:val="24"/>
        </w:rPr>
        <w:t xml:space="preserve"> </w:t>
      </w:r>
      <w:r>
        <w:rPr>
          <w:sz w:val="24"/>
        </w:rPr>
        <w:t>April</w:t>
      </w:r>
      <w:r>
        <w:rPr>
          <w:spacing w:val="2"/>
          <w:sz w:val="24"/>
        </w:rPr>
        <w:t xml:space="preserve"> </w:t>
      </w:r>
      <w:r>
        <w:rPr>
          <w:sz w:val="24"/>
        </w:rPr>
        <w:t>meeting.</w:t>
      </w:r>
    </w:p>
    <w:p w:rsidR="00D862F2" w:rsidRDefault="00884FE4">
      <w:pPr>
        <w:pStyle w:val="ListParagraph"/>
        <w:numPr>
          <w:ilvl w:val="0"/>
          <w:numId w:val="4"/>
        </w:numPr>
        <w:tabs>
          <w:tab w:val="left" w:pos="940"/>
        </w:tabs>
        <w:spacing w:before="125" w:line="237" w:lineRule="auto"/>
        <w:ind w:left="939" w:right="280"/>
        <w:jc w:val="both"/>
        <w:rPr>
          <w:sz w:val="24"/>
        </w:rPr>
      </w:pPr>
      <w:r>
        <w:rPr>
          <w:sz w:val="24"/>
        </w:rPr>
        <w:t>Presentation and discussion with the Hospital’s Family Advisory Council on March 16,</w:t>
      </w:r>
      <w:r>
        <w:rPr>
          <w:spacing w:val="1"/>
          <w:sz w:val="24"/>
        </w:rPr>
        <w:t xml:space="preserve"> </w:t>
      </w:r>
      <w:r>
        <w:rPr>
          <w:sz w:val="24"/>
        </w:rPr>
        <w:t>2021.</w:t>
      </w:r>
    </w:p>
    <w:p w:rsidR="00D862F2" w:rsidRDefault="00884FE4">
      <w:pPr>
        <w:pStyle w:val="ListParagraph"/>
        <w:numPr>
          <w:ilvl w:val="0"/>
          <w:numId w:val="4"/>
        </w:numPr>
        <w:tabs>
          <w:tab w:val="left" w:pos="940"/>
        </w:tabs>
        <w:spacing w:before="124" w:line="237" w:lineRule="auto"/>
        <w:ind w:left="939" w:right="273"/>
        <w:jc w:val="both"/>
        <w:rPr>
          <w:sz w:val="24"/>
        </w:rPr>
      </w:pPr>
      <w:r>
        <w:rPr>
          <w:sz w:val="24"/>
        </w:rPr>
        <w:t>Presentation</w:t>
      </w:r>
      <w:r>
        <w:rPr>
          <w:spacing w:val="1"/>
          <w:sz w:val="24"/>
        </w:rPr>
        <w:t xml:space="preserve"> </w:t>
      </w:r>
      <w:r>
        <w:rPr>
          <w:sz w:val="24"/>
        </w:rPr>
        <w:t>and</w:t>
      </w:r>
      <w:r>
        <w:rPr>
          <w:spacing w:val="1"/>
          <w:sz w:val="24"/>
        </w:rPr>
        <w:t xml:space="preserve"> </w:t>
      </w:r>
      <w:r>
        <w:rPr>
          <w:sz w:val="24"/>
        </w:rPr>
        <w:t>discussion</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Applicant’s</w:t>
      </w:r>
      <w:r>
        <w:rPr>
          <w:spacing w:val="1"/>
          <w:sz w:val="24"/>
        </w:rPr>
        <w:t xml:space="preserve"> </w:t>
      </w:r>
      <w:r>
        <w:rPr>
          <w:sz w:val="24"/>
        </w:rPr>
        <w:t>Board</w:t>
      </w:r>
      <w:r>
        <w:rPr>
          <w:spacing w:val="1"/>
          <w:sz w:val="24"/>
        </w:rPr>
        <w:t xml:space="preserve"> </w:t>
      </w:r>
      <w:r>
        <w:rPr>
          <w:sz w:val="24"/>
        </w:rPr>
        <w:t>Committee</w:t>
      </w:r>
      <w:r>
        <w:rPr>
          <w:spacing w:val="1"/>
          <w:sz w:val="24"/>
        </w:rPr>
        <w:t xml:space="preserve"> </w:t>
      </w:r>
      <w:r>
        <w:rPr>
          <w:sz w:val="24"/>
        </w:rPr>
        <w:t>on</w:t>
      </w:r>
      <w:r>
        <w:rPr>
          <w:spacing w:val="60"/>
          <w:sz w:val="24"/>
        </w:rPr>
        <w:t xml:space="preserve"> </w:t>
      </w:r>
      <w:r>
        <w:rPr>
          <w:sz w:val="24"/>
        </w:rPr>
        <w:t>Community</w:t>
      </w:r>
      <w:r>
        <w:rPr>
          <w:spacing w:val="1"/>
          <w:sz w:val="24"/>
        </w:rPr>
        <w:t xml:space="preserve"> </w:t>
      </w:r>
      <w:r>
        <w:rPr>
          <w:sz w:val="24"/>
        </w:rPr>
        <w:t>Health</w:t>
      </w:r>
      <w:r>
        <w:rPr>
          <w:spacing w:val="-1"/>
          <w:sz w:val="24"/>
        </w:rPr>
        <w:t xml:space="preserve"> </w:t>
      </w:r>
      <w:r>
        <w:rPr>
          <w:sz w:val="24"/>
        </w:rPr>
        <w:t>on March 6, 2020, September</w:t>
      </w:r>
      <w:r>
        <w:rPr>
          <w:spacing w:val="-1"/>
          <w:sz w:val="24"/>
        </w:rPr>
        <w:t xml:space="preserve"> </w:t>
      </w:r>
      <w:r>
        <w:rPr>
          <w:sz w:val="24"/>
        </w:rPr>
        <w:t>18, 2020, and June</w:t>
      </w:r>
      <w:r>
        <w:rPr>
          <w:spacing w:val="-1"/>
          <w:sz w:val="24"/>
        </w:rPr>
        <w:t xml:space="preserve"> </w:t>
      </w:r>
      <w:r>
        <w:rPr>
          <w:sz w:val="24"/>
        </w:rPr>
        <w:t>11, 2021.</w:t>
      </w:r>
    </w:p>
    <w:p w:rsidR="00D862F2" w:rsidRDefault="00884FE4">
      <w:pPr>
        <w:pStyle w:val="ListParagraph"/>
        <w:numPr>
          <w:ilvl w:val="0"/>
          <w:numId w:val="4"/>
        </w:numPr>
        <w:tabs>
          <w:tab w:val="left" w:pos="940"/>
        </w:tabs>
        <w:spacing w:before="123"/>
        <w:ind w:left="939" w:right="278"/>
        <w:jc w:val="both"/>
        <w:rPr>
          <w:sz w:val="24"/>
        </w:rPr>
      </w:pPr>
      <w:r>
        <w:rPr>
          <w:sz w:val="24"/>
        </w:rPr>
        <w:t>Provider community outreach to the Boston Children’s primary care providers (PPOC),</w:t>
      </w:r>
      <w:r>
        <w:rPr>
          <w:spacing w:val="1"/>
          <w:sz w:val="24"/>
        </w:rPr>
        <w:t xml:space="preserve"> </w:t>
      </w:r>
      <w:r>
        <w:rPr>
          <w:sz w:val="24"/>
        </w:rPr>
        <w:t>Atrius</w:t>
      </w:r>
      <w:r>
        <w:rPr>
          <w:spacing w:val="1"/>
          <w:sz w:val="24"/>
        </w:rPr>
        <w:t xml:space="preserve"> </w:t>
      </w:r>
      <w:r>
        <w:rPr>
          <w:sz w:val="24"/>
        </w:rPr>
        <w:t>Health,</w:t>
      </w:r>
      <w:r>
        <w:rPr>
          <w:spacing w:val="1"/>
          <w:sz w:val="24"/>
        </w:rPr>
        <w:t xml:space="preserve"> </w:t>
      </w:r>
      <w:r>
        <w:rPr>
          <w:sz w:val="24"/>
        </w:rPr>
        <w:t>Massachusetts</w:t>
      </w:r>
      <w:r>
        <w:rPr>
          <w:spacing w:val="1"/>
          <w:sz w:val="24"/>
        </w:rPr>
        <w:t xml:space="preserve"> </w:t>
      </w:r>
      <w:r>
        <w:rPr>
          <w:sz w:val="24"/>
        </w:rPr>
        <w:t>League</w:t>
      </w:r>
      <w:r>
        <w:rPr>
          <w:spacing w:val="1"/>
          <w:sz w:val="24"/>
        </w:rPr>
        <w:t xml:space="preserve"> </w:t>
      </w:r>
      <w:r>
        <w:rPr>
          <w:sz w:val="24"/>
        </w:rPr>
        <w:t>of</w:t>
      </w:r>
      <w:r>
        <w:rPr>
          <w:spacing w:val="1"/>
          <w:sz w:val="24"/>
        </w:rPr>
        <w:t xml:space="preserve"> </w:t>
      </w:r>
      <w:r>
        <w:rPr>
          <w:sz w:val="24"/>
        </w:rPr>
        <w:t>Community</w:t>
      </w:r>
      <w:r>
        <w:rPr>
          <w:spacing w:val="1"/>
          <w:sz w:val="24"/>
        </w:rPr>
        <w:t xml:space="preserve"> </w:t>
      </w:r>
      <w:r>
        <w:rPr>
          <w:sz w:val="24"/>
        </w:rPr>
        <w:t>Health</w:t>
      </w:r>
      <w:r>
        <w:rPr>
          <w:spacing w:val="1"/>
          <w:sz w:val="24"/>
        </w:rPr>
        <w:t xml:space="preserve"> </w:t>
      </w:r>
      <w:r>
        <w:rPr>
          <w:sz w:val="24"/>
        </w:rPr>
        <w:t>Centers</w:t>
      </w:r>
      <w:r>
        <w:rPr>
          <w:spacing w:val="1"/>
          <w:sz w:val="24"/>
        </w:rPr>
        <w:t xml:space="preserve"> </w:t>
      </w:r>
      <w:r>
        <w:rPr>
          <w:sz w:val="24"/>
        </w:rPr>
        <w:t>and</w:t>
      </w:r>
      <w:r>
        <w:rPr>
          <w:spacing w:val="1"/>
          <w:sz w:val="24"/>
        </w:rPr>
        <w:t xml:space="preserve"> </w:t>
      </w:r>
      <w:r>
        <w:rPr>
          <w:sz w:val="24"/>
        </w:rPr>
        <w:t>individual</w:t>
      </w:r>
      <w:r>
        <w:rPr>
          <w:spacing w:val="1"/>
          <w:sz w:val="24"/>
        </w:rPr>
        <w:t xml:space="preserve"> </w:t>
      </w:r>
      <w:r>
        <w:rPr>
          <w:sz w:val="24"/>
        </w:rPr>
        <w:t>members, Beth Israel Lahey Health, Beth Israel – Needham, South Shore Hospital, and</w:t>
      </w:r>
      <w:r>
        <w:rPr>
          <w:spacing w:val="1"/>
          <w:sz w:val="24"/>
        </w:rPr>
        <w:t xml:space="preserve"> </w:t>
      </w:r>
      <w:r>
        <w:rPr>
          <w:sz w:val="24"/>
        </w:rPr>
        <w:t>Shields</w:t>
      </w:r>
      <w:r>
        <w:rPr>
          <w:spacing w:val="-1"/>
          <w:sz w:val="24"/>
        </w:rPr>
        <w:t xml:space="preserve"> </w:t>
      </w:r>
      <w:r>
        <w:rPr>
          <w:sz w:val="24"/>
        </w:rPr>
        <w:t>MRI,</w:t>
      </w:r>
      <w:r>
        <w:rPr>
          <w:spacing w:val="2"/>
          <w:sz w:val="24"/>
        </w:rPr>
        <w:t xml:space="preserve"> </w:t>
      </w:r>
      <w:r>
        <w:rPr>
          <w:sz w:val="24"/>
        </w:rPr>
        <w:t>as</w:t>
      </w:r>
      <w:r>
        <w:rPr>
          <w:spacing w:val="-1"/>
          <w:sz w:val="24"/>
        </w:rPr>
        <w:t xml:space="preserve"> </w:t>
      </w:r>
      <w:r>
        <w:rPr>
          <w:sz w:val="24"/>
        </w:rPr>
        <w:t>well as the</w:t>
      </w:r>
      <w:r>
        <w:rPr>
          <w:spacing w:val="-2"/>
          <w:sz w:val="24"/>
        </w:rPr>
        <w:t xml:space="preserve"> </w:t>
      </w:r>
      <w:r>
        <w:rPr>
          <w:sz w:val="24"/>
        </w:rPr>
        <w:t>Massachusetts Hospital Association.</w:t>
      </w:r>
    </w:p>
    <w:p w:rsidR="00D862F2" w:rsidRDefault="00884FE4">
      <w:pPr>
        <w:pStyle w:val="ListParagraph"/>
        <w:numPr>
          <w:ilvl w:val="0"/>
          <w:numId w:val="4"/>
        </w:numPr>
        <w:tabs>
          <w:tab w:val="left" w:pos="940"/>
        </w:tabs>
        <w:spacing w:before="123" w:line="237" w:lineRule="auto"/>
        <w:ind w:left="939" w:right="279"/>
        <w:jc w:val="both"/>
        <w:rPr>
          <w:sz w:val="24"/>
        </w:rPr>
      </w:pPr>
      <w:r>
        <w:rPr>
          <w:sz w:val="24"/>
        </w:rPr>
        <w:t>Patient</w:t>
      </w:r>
      <w:r>
        <w:rPr>
          <w:spacing w:val="1"/>
          <w:sz w:val="24"/>
        </w:rPr>
        <w:t xml:space="preserve"> </w:t>
      </w:r>
      <w:r>
        <w:rPr>
          <w:sz w:val="24"/>
        </w:rPr>
        <w:t>advocacy</w:t>
      </w:r>
      <w:r>
        <w:rPr>
          <w:spacing w:val="1"/>
          <w:sz w:val="24"/>
        </w:rPr>
        <w:t xml:space="preserve"> </w:t>
      </w:r>
      <w:r>
        <w:rPr>
          <w:sz w:val="24"/>
        </w:rPr>
        <w:t>outreach</w:t>
      </w:r>
      <w:r>
        <w:rPr>
          <w:spacing w:val="1"/>
          <w:sz w:val="24"/>
        </w:rPr>
        <w:t xml:space="preserve"> </w:t>
      </w:r>
      <w:r>
        <w:rPr>
          <w:sz w:val="24"/>
        </w:rPr>
        <w:t>to</w:t>
      </w:r>
      <w:r>
        <w:rPr>
          <w:spacing w:val="1"/>
          <w:sz w:val="24"/>
        </w:rPr>
        <w:t xml:space="preserve"> </w:t>
      </w:r>
      <w:r>
        <w:rPr>
          <w:sz w:val="24"/>
        </w:rPr>
        <w:t>Children’s</w:t>
      </w:r>
      <w:r>
        <w:rPr>
          <w:spacing w:val="1"/>
          <w:sz w:val="24"/>
        </w:rPr>
        <w:t xml:space="preserve"> </w:t>
      </w:r>
      <w:r>
        <w:rPr>
          <w:sz w:val="24"/>
        </w:rPr>
        <w:t>Mental</w:t>
      </w:r>
      <w:r>
        <w:rPr>
          <w:spacing w:val="1"/>
          <w:sz w:val="24"/>
        </w:rPr>
        <w:t xml:space="preserve"> </w:t>
      </w:r>
      <w:r>
        <w:rPr>
          <w:sz w:val="24"/>
        </w:rPr>
        <w:t>Health</w:t>
      </w:r>
      <w:r>
        <w:rPr>
          <w:spacing w:val="1"/>
          <w:sz w:val="24"/>
        </w:rPr>
        <w:t xml:space="preserve"> </w:t>
      </w:r>
      <w:r>
        <w:rPr>
          <w:sz w:val="24"/>
        </w:rPr>
        <w:t>Campaign</w:t>
      </w:r>
      <w:r>
        <w:rPr>
          <w:spacing w:val="1"/>
          <w:sz w:val="24"/>
        </w:rPr>
        <w:t xml:space="preserve"> </w:t>
      </w:r>
      <w:r>
        <w:rPr>
          <w:sz w:val="24"/>
        </w:rPr>
        <w:t>partners</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Crohn’s</w:t>
      </w:r>
      <w:r>
        <w:rPr>
          <w:spacing w:val="-1"/>
          <w:sz w:val="24"/>
        </w:rPr>
        <w:t xml:space="preserve"> </w:t>
      </w:r>
      <w:r>
        <w:rPr>
          <w:sz w:val="24"/>
        </w:rPr>
        <w:t>and Colitis Foundation.</w:t>
      </w:r>
    </w:p>
    <w:p w:rsidR="00D862F2" w:rsidRDefault="00884FE4">
      <w:pPr>
        <w:pStyle w:val="ListParagraph"/>
        <w:numPr>
          <w:ilvl w:val="0"/>
          <w:numId w:val="4"/>
        </w:numPr>
        <w:tabs>
          <w:tab w:val="left" w:pos="940"/>
        </w:tabs>
        <w:spacing w:before="125" w:line="237" w:lineRule="auto"/>
        <w:ind w:left="939" w:right="279"/>
        <w:jc w:val="both"/>
        <w:rPr>
          <w:sz w:val="24"/>
        </w:rPr>
      </w:pPr>
      <w:r>
        <w:rPr>
          <w:sz w:val="24"/>
        </w:rPr>
        <w:t>Numerous Community/Human Service Organizations in target communities (</w:t>
      </w:r>
      <w:r>
        <w:rPr>
          <w:i/>
          <w:sz w:val="24"/>
        </w:rPr>
        <w:t>e.g.</w:t>
      </w:r>
      <w:r>
        <w:rPr>
          <w:sz w:val="24"/>
        </w:rPr>
        <w:t>, Boys</w:t>
      </w:r>
      <w:r>
        <w:rPr>
          <w:spacing w:val="1"/>
          <w:sz w:val="24"/>
        </w:rPr>
        <w:t xml:space="preserve"> </w:t>
      </w:r>
      <w:r>
        <w:rPr>
          <w:sz w:val="24"/>
        </w:rPr>
        <w:t>and</w:t>
      </w:r>
      <w:r>
        <w:rPr>
          <w:spacing w:val="1"/>
          <w:sz w:val="24"/>
        </w:rPr>
        <w:t xml:space="preserve"> </w:t>
      </w:r>
      <w:r>
        <w:rPr>
          <w:sz w:val="24"/>
        </w:rPr>
        <w:t>Girls</w:t>
      </w:r>
      <w:r>
        <w:rPr>
          <w:spacing w:val="1"/>
          <w:sz w:val="24"/>
        </w:rPr>
        <w:t xml:space="preserve"> </w:t>
      </w:r>
      <w:r>
        <w:rPr>
          <w:sz w:val="24"/>
        </w:rPr>
        <w:t>Clubs,</w:t>
      </w:r>
      <w:r>
        <w:rPr>
          <w:spacing w:val="1"/>
          <w:sz w:val="24"/>
        </w:rPr>
        <w:t xml:space="preserve"> </w:t>
      </w:r>
      <w:r>
        <w:rPr>
          <w:sz w:val="24"/>
        </w:rPr>
        <w:t>YMCA/YWCA,</w:t>
      </w:r>
      <w:r>
        <w:rPr>
          <w:spacing w:val="1"/>
          <w:sz w:val="24"/>
        </w:rPr>
        <w:t xml:space="preserve"> </w:t>
      </w:r>
      <w:r>
        <w:rPr>
          <w:sz w:val="24"/>
        </w:rPr>
        <w:t>CAP</w:t>
      </w:r>
      <w:r>
        <w:rPr>
          <w:spacing w:val="1"/>
          <w:sz w:val="24"/>
        </w:rPr>
        <w:t xml:space="preserve"> </w:t>
      </w:r>
      <w:r>
        <w:rPr>
          <w:sz w:val="24"/>
        </w:rPr>
        <w:t>Agencies,</w:t>
      </w:r>
      <w:r>
        <w:rPr>
          <w:spacing w:val="1"/>
          <w:sz w:val="24"/>
        </w:rPr>
        <w:t xml:space="preserve"> </w:t>
      </w:r>
      <w:r>
        <w:rPr>
          <w:sz w:val="24"/>
        </w:rPr>
        <w:t>interfaith</w:t>
      </w:r>
      <w:r>
        <w:rPr>
          <w:spacing w:val="1"/>
          <w:sz w:val="24"/>
        </w:rPr>
        <w:t xml:space="preserve"> </w:t>
      </w:r>
      <w:r>
        <w:rPr>
          <w:sz w:val="24"/>
        </w:rPr>
        <w:t>organizations,</w:t>
      </w:r>
      <w:r>
        <w:rPr>
          <w:spacing w:val="1"/>
          <w:sz w:val="24"/>
        </w:rPr>
        <w:t xml:space="preserve"> </w:t>
      </w:r>
      <w:r>
        <w:rPr>
          <w:sz w:val="24"/>
        </w:rPr>
        <w:t>and</w:t>
      </w:r>
      <w:r>
        <w:rPr>
          <w:spacing w:val="1"/>
          <w:sz w:val="24"/>
        </w:rPr>
        <w:t xml:space="preserve"> </w:t>
      </w:r>
      <w:r>
        <w:rPr>
          <w:sz w:val="24"/>
        </w:rPr>
        <w:t>multicultural</w:t>
      </w:r>
      <w:r>
        <w:rPr>
          <w:spacing w:val="-1"/>
          <w:sz w:val="24"/>
        </w:rPr>
        <w:t xml:space="preserve"> </w:t>
      </w:r>
      <w:r>
        <w:rPr>
          <w:sz w:val="24"/>
        </w:rPr>
        <w:t>organizations).</w:t>
      </w:r>
    </w:p>
    <w:p w:rsidR="00D862F2" w:rsidRDefault="00884FE4">
      <w:pPr>
        <w:pStyle w:val="BodyText"/>
        <w:spacing w:before="123"/>
        <w:ind w:left="219" w:right="278"/>
        <w:jc w:val="both"/>
      </w:pPr>
      <w:r>
        <w:t>Following the filing of this Application, Boston Children’s plans to continue its outreach efforts</w:t>
      </w:r>
      <w:r>
        <w:rPr>
          <w:spacing w:val="1"/>
        </w:rPr>
        <w:t xml:space="preserve"> </w:t>
      </w:r>
      <w:r>
        <w:t>regarding</w:t>
      </w:r>
      <w:r>
        <w:rPr>
          <w:spacing w:val="-4"/>
        </w:rPr>
        <w:t xml:space="preserve"> </w:t>
      </w:r>
      <w:r>
        <w:t>the</w:t>
      </w:r>
      <w:r>
        <w:rPr>
          <w:spacing w:val="-1"/>
        </w:rPr>
        <w:t xml:space="preserve"> </w:t>
      </w:r>
      <w:r>
        <w:t>Proposed Project.</w:t>
      </w:r>
    </w:p>
    <w:p w:rsidR="00D862F2" w:rsidRDefault="00D862F2">
      <w:pPr>
        <w:jc w:val="both"/>
        <w:sectPr w:rsidR="00D862F2">
          <w:pgSz w:w="12240" w:h="15840"/>
          <w:pgMar w:top="1340" w:right="1160" w:bottom="980" w:left="1220" w:header="722" w:footer="794" w:gutter="0"/>
          <w:cols w:space="720"/>
        </w:sectPr>
      </w:pPr>
    </w:p>
    <w:p w:rsidR="00D862F2" w:rsidRDefault="00D862F2">
      <w:pPr>
        <w:pStyle w:val="BodyText"/>
        <w:spacing w:before="3"/>
      </w:pPr>
    </w:p>
    <w:p w:rsidR="00D862F2" w:rsidRDefault="00884FE4">
      <w:pPr>
        <w:spacing w:before="90"/>
        <w:ind w:left="220"/>
        <w:rPr>
          <w:b/>
          <w:sz w:val="24"/>
        </w:rPr>
      </w:pPr>
      <w:r>
        <w:rPr>
          <w:b/>
          <w:sz w:val="24"/>
          <w:u w:val="single"/>
        </w:rPr>
        <w:t>Factor</w:t>
      </w:r>
      <w:r>
        <w:rPr>
          <w:b/>
          <w:spacing w:val="-3"/>
          <w:sz w:val="24"/>
          <w:u w:val="single"/>
        </w:rPr>
        <w:t xml:space="preserve"> </w:t>
      </w:r>
      <w:r>
        <w:rPr>
          <w:b/>
          <w:sz w:val="24"/>
          <w:u w:val="single"/>
        </w:rPr>
        <w:t>2:</w:t>
      </w:r>
      <w:r>
        <w:rPr>
          <w:b/>
          <w:spacing w:val="57"/>
          <w:sz w:val="24"/>
          <w:u w:val="single"/>
        </w:rPr>
        <w:t xml:space="preserve"> </w:t>
      </w:r>
      <w:r>
        <w:rPr>
          <w:b/>
          <w:sz w:val="24"/>
          <w:u w:val="single"/>
        </w:rPr>
        <w:t>Health</w:t>
      </w:r>
      <w:r>
        <w:rPr>
          <w:b/>
          <w:spacing w:val="-2"/>
          <w:sz w:val="24"/>
          <w:u w:val="single"/>
        </w:rPr>
        <w:t xml:space="preserve"> </w:t>
      </w:r>
      <w:r>
        <w:rPr>
          <w:b/>
          <w:sz w:val="24"/>
          <w:u w:val="single"/>
        </w:rPr>
        <w:t>Priorities</w:t>
      </w:r>
    </w:p>
    <w:p w:rsidR="00D862F2" w:rsidRDefault="00D862F2">
      <w:pPr>
        <w:pStyle w:val="BodyText"/>
        <w:spacing w:before="7"/>
        <w:rPr>
          <w:b/>
          <w:sz w:val="17"/>
        </w:rPr>
      </w:pPr>
    </w:p>
    <w:p w:rsidR="00D862F2" w:rsidRDefault="00884FE4" w:rsidP="002C14E1">
      <w:pPr>
        <w:pStyle w:val="BodyText"/>
      </w:pPr>
      <w:r>
        <w:t>Addresses the impact of the Proposed Project on health more broadly (that is, beyond the</w:t>
      </w:r>
      <w:r>
        <w:rPr>
          <w:spacing w:val="1"/>
        </w:rPr>
        <w:t xml:space="preserve"> </w:t>
      </w:r>
      <w:r>
        <w:t>Patient</w:t>
      </w:r>
      <w:r>
        <w:rPr>
          <w:spacing w:val="1"/>
        </w:rPr>
        <w:t xml:space="preserve"> </w:t>
      </w:r>
      <w:r>
        <w:t>Panel)</w:t>
      </w:r>
      <w:r>
        <w:rPr>
          <w:spacing w:val="1"/>
        </w:rPr>
        <w:t xml:space="preserve"> </w:t>
      </w:r>
      <w:r>
        <w:t>requiring</w:t>
      </w:r>
      <w:r>
        <w:rPr>
          <w:spacing w:val="1"/>
        </w:rPr>
        <w:t xml:space="preserve"> </w:t>
      </w:r>
      <w:r>
        <w:t>the</w:t>
      </w:r>
      <w:r>
        <w:rPr>
          <w:spacing w:val="1"/>
        </w:rPr>
        <w:t xml:space="preserve"> </w:t>
      </w:r>
      <w:r>
        <w:t>Applicant</w:t>
      </w:r>
      <w:r>
        <w:rPr>
          <w:spacing w:val="1"/>
        </w:rPr>
        <w:t xml:space="preserve"> </w:t>
      </w:r>
      <w:r>
        <w:t>demonstrate</w:t>
      </w:r>
      <w:r>
        <w:rPr>
          <w:spacing w:val="1"/>
        </w:rPr>
        <w:t xml:space="preserve"> </w:t>
      </w:r>
      <w:r>
        <w:t>that</w:t>
      </w:r>
      <w:r>
        <w:rPr>
          <w:spacing w:val="1"/>
        </w:rPr>
        <w:t xml:space="preserve"> </w:t>
      </w:r>
      <w:r>
        <w:t>the</w:t>
      </w:r>
      <w:r>
        <w:rPr>
          <w:spacing w:val="1"/>
        </w:rPr>
        <w:t xml:space="preserve"> </w:t>
      </w:r>
      <w:r>
        <w:t>Proposed</w:t>
      </w:r>
      <w:r>
        <w:rPr>
          <w:spacing w:val="1"/>
        </w:rPr>
        <w:t xml:space="preserve"> </w:t>
      </w:r>
      <w:r>
        <w:t>Project</w:t>
      </w:r>
      <w:r>
        <w:rPr>
          <w:spacing w:val="1"/>
        </w:rPr>
        <w:t xml:space="preserve"> </w:t>
      </w:r>
      <w:r>
        <w:t>will</w:t>
      </w:r>
      <w:r>
        <w:rPr>
          <w:spacing w:val="1"/>
        </w:rPr>
        <w:t xml:space="preserve"> </w:t>
      </w:r>
      <w:r>
        <w:t>meaningfully contribute to Commonwealth’s goals for cost containment, improved public</w:t>
      </w:r>
      <w:r>
        <w:rPr>
          <w:spacing w:val="1"/>
        </w:rPr>
        <w:t xml:space="preserve"> </w:t>
      </w:r>
      <w:r>
        <w:t>health</w:t>
      </w:r>
      <w:r>
        <w:rPr>
          <w:spacing w:val="-1"/>
        </w:rPr>
        <w:t xml:space="preserve"> </w:t>
      </w:r>
      <w:r>
        <w:t>outcomes, and delivery system</w:t>
      </w:r>
      <w:r>
        <w:rPr>
          <w:spacing w:val="-1"/>
        </w:rPr>
        <w:t xml:space="preserve"> </w:t>
      </w:r>
      <w:r>
        <w:t>transformation.</w:t>
      </w:r>
    </w:p>
    <w:p w:rsidR="00D862F2" w:rsidRDefault="00D862F2">
      <w:pPr>
        <w:pStyle w:val="BodyText"/>
        <w:spacing w:before="5"/>
        <w:rPr>
          <w:b/>
          <w:sz w:val="25"/>
        </w:rPr>
      </w:pPr>
    </w:p>
    <w:p w:rsidR="00D862F2" w:rsidRDefault="00884FE4">
      <w:pPr>
        <w:ind w:left="220"/>
        <w:jc w:val="both"/>
        <w:rPr>
          <w:b/>
          <w:sz w:val="24"/>
        </w:rPr>
      </w:pPr>
      <w:r>
        <w:rPr>
          <w:b/>
          <w:sz w:val="24"/>
          <w:u w:val="single"/>
        </w:rPr>
        <w:t>F2.a.</w:t>
      </w:r>
      <w:r>
        <w:rPr>
          <w:b/>
          <w:spacing w:val="56"/>
          <w:sz w:val="24"/>
          <w:u w:val="single"/>
        </w:rPr>
        <w:t xml:space="preserve"> </w:t>
      </w:r>
      <w:r>
        <w:rPr>
          <w:b/>
          <w:sz w:val="24"/>
          <w:u w:val="single"/>
        </w:rPr>
        <w:t>Cost</w:t>
      </w:r>
      <w:r>
        <w:rPr>
          <w:b/>
          <w:spacing w:val="-2"/>
          <w:sz w:val="24"/>
          <w:u w:val="single"/>
        </w:rPr>
        <w:t xml:space="preserve"> </w:t>
      </w:r>
      <w:r>
        <w:rPr>
          <w:b/>
          <w:sz w:val="24"/>
          <w:u w:val="single"/>
        </w:rPr>
        <w:t>Containment:</w:t>
      </w:r>
    </w:p>
    <w:p w:rsidR="00D862F2" w:rsidRDefault="00884FE4" w:rsidP="002C14E1">
      <w:pPr>
        <w:pStyle w:val="BodyText"/>
      </w:pPr>
      <w:r>
        <w:t>Using objective data, please describe for each new or expanded service, how the</w:t>
      </w:r>
      <w:r>
        <w:rPr>
          <w:spacing w:val="1"/>
        </w:rPr>
        <w:t xml:space="preserve"> </w:t>
      </w:r>
      <w:r>
        <w:t>Proposed Project will meaningfully contribute to the Commonwealth’s goals for cost</w:t>
      </w:r>
      <w:r>
        <w:rPr>
          <w:spacing w:val="-57"/>
        </w:rPr>
        <w:t xml:space="preserve"> </w:t>
      </w:r>
      <w:r>
        <w:t>containment.</w:t>
      </w:r>
    </w:p>
    <w:p w:rsidR="00D862F2" w:rsidRDefault="00D862F2">
      <w:pPr>
        <w:pStyle w:val="BodyText"/>
        <w:spacing w:before="7"/>
        <w:rPr>
          <w:b/>
          <w:sz w:val="23"/>
        </w:rPr>
      </w:pPr>
    </w:p>
    <w:p w:rsidR="00D862F2" w:rsidRDefault="00884FE4">
      <w:pPr>
        <w:pStyle w:val="BodyText"/>
        <w:ind w:left="220" w:right="275"/>
        <w:jc w:val="both"/>
      </w:pPr>
      <w:r>
        <w:t>As</w:t>
      </w:r>
      <w:r>
        <w:rPr>
          <w:spacing w:val="1"/>
        </w:rPr>
        <w:t xml:space="preserve"> </w:t>
      </w:r>
      <w:r>
        <w:t>with</w:t>
      </w:r>
      <w:r>
        <w:rPr>
          <w:spacing w:val="1"/>
        </w:rPr>
        <w:t xml:space="preserve"> </w:t>
      </w:r>
      <w:r>
        <w:t>health</w:t>
      </w:r>
      <w:r>
        <w:rPr>
          <w:spacing w:val="1"/>
        </w:rPr>
        <w:t xml:space="preserve"> </w:t>
      </w:r>
      <w:r>
        <w:t>outcomes,</w:t>
      </w:r>
      <w:r>
        <w:rPr>
          <w:spacing w:val="1"/>
        </w:rPr>
        <w:t xml:space="preserve"> </w:t>
      </w:r>
      <w:r>
        <w:t>Boston</w:t>
      </w:r>
      <w:r>
        <w:rPr>
          <w:spacing w:val="1"/>
        </w:rPr>
        <w:t xml:space="preserve"> </w:t>
      </w:r>
      <w:r>
        <w:t>Children’s</w:t>
      </w:r>
      <w:r>
        <w:rPr>
          <w:spacing w:val="1"/>
        </w:rPr>
        <w:t xml:space="preserve"> </w:t>
      </w:r>
      <w:r>
        <w:t>takes</w:t>
      </w:r>
      <w:r>
        <w:rPr>
          <w:spacing w:val="1"/>
        </w:rPr>
        <w:t xml:space="preserve"> </w:t>
      </w:r>
      <w:r>
        <w:t>a</w:t>
      </w:r>
      <w:r>
        <w:rPr>
          <w:spacing w:val="1"/>
        </w:rPr>
        <w:t xml:space="preserve"> </w:t>
      </w:r>
      <w:r>
        <w:t>long-term</w:t>
      </w:r>
      <w:r>
        <w:rPr>
          <w:spacing w:val="1"/>
        </w:rPr>
        <w:t xml:space="preserve"> </w:t>
      </w:r>
      <w:r>
        <w:t>view</w:t>
      </w:r>
      <w:r>
        <w:rPr>
          <w:spacing w:val="1"/>
        </w:rPr>
        <w:t xml:space="preserve"> </w:t>
      </w:r>
      <w:r>
        <w:t>of</w:t>
      </w:r>
      <w:r>
        <w:rPr>
          <w:spacing w:val="1"/>
        </w:rPr>
        <w:t xml:space="preserve"> </w:t>
      </w:r>
      <w:r>
        <w:t>promoting</w:t>
      </w:r>
      <w:r>
        <w:rPr>
          <w:spacing w:val="1"/>
        </w:rPr>
        <w:t xml:space="preserve"> </w:t>
      </w:r>
      <w:r>
        <w:t>the</w:t>
      </w:r>
      <w:r>
        <w:rPr>
          <w:spacing w:val="1"/>
        </w:rPr>
        <w:t xml:space="preserve"> </w:t>
      </w:r>
      <w:r>
        <w:t>Commonwealth’s goals for cost containment, improved health outcomes, and delivery system</w:t>
      </w:r>
      <w:r>
        <w:rPr>
          <w:spacing w:val="1"/>
        </w:rPr>
        <w:t xml:space="preserve"> </w:t>
      </w:r>
      <w:r>
        <w:t>transformation. Providing access to specialized pediatric care, to treatment plans that include the</w:t>
      </w:r>
      <w:r>
        <w:rPr>
          <w:spacing w:val="1"/>
        </w:rPr>
        <w:t xml:space="preserve"> </w:t>
      </w:r>
      <w:r>
        <w:t>whole family, and to better and more consistent care of chronic or complex medical conditions</w:t>
      </w:r>
      <w:r>
        <w:rPr>
          <w:spacing w:val="1"/>
        </w:rPr>
        <w:t xml:space="preserve"> </w:t>
      </w:r>
      <w:r>
        <w:t>are all investments in avoiding or containing total medical expenses for decades to come. By</w:t>
      </w:r>
      <w:r>
        <w:rPr>
          <w:spacing w:val="1"/>
        </w:rPr>
        <w:t xml:space="preserve"> </w:t>
      </w:r>
      <w:r>
        <w:t>providing</w:t>
      </w:r>
      <w:r>
        <w:rPr>
          <w:spacing w:val="1"/>
        </w:rPr>
        <w:t xml:space="preserve"> </w:t>
      </w:r>
      <w:r>
        <w:t>timely</w:t>
      </w:r>
      <w:r>
        <w:rPr>
          <w:spacing w:val="1"/>
        </w:rPr>
        <w:t xml:space="preserve"> </w:t>
      </w:r>
      <w:r>
        <w:t>and</w:t>
      </w:r>
      <w:r>
        <w:rPr>
          <w:spacing w:val="1"/>
        </w:rPr>
        <w:t xml:space="preserve"> </w:t>
      </w:r>
      <w:r>
        <w:t>appropriate</w:t>
      </w:r>
      <w:r>
        <w:rPr>
          <w:spacing w:val="1"/>
        </w:rPr>
        <w:t xml:space="preserve"> </w:t>
      </w:r>
      <w:r>
        <w:t>ambulatory</w:t>
      </w:r>
      <w:r>
        <w:rPr>
          <w:spacing w:val="1"/>
        </w:rPr>
        <w:t xml:space="preserve"> </w:t>
      </w:r>
      <w:r>
        <w:t>care</w:t>
      </w:r>
      <w:r>
        <w:rPr>
          <w:spacing w:val="1"/>
        </w:rPr>
        <w:t xml:space="preserve"> </w:t>
      </w:r>
      <w:r>
        <w:t>to</w:t>
      </w:r>
      <w:r>
        <w:rPr>
          <w:spacing w:val="1"/>
        </w:rPr>
        <w:t xml:space="preserve"> </w:t>
      </w:r>
      <w:r>
        <w:t>complex</w:t>
      </w:r>
      <w:r>
        <w:rPr>
          <w:spacing w:val="1"/>
        </w:rPr>
        <w:t xml:space="preserve"> </w:t>
      </w:r>
      <w:r>
        <w:t>medical</w:t>
      </w:r>
      <w:r>
        <w:rPr>
          <w:spacing w:val="1"/>
        </w:rPr>
        <w:t xml:space="preserve"> </w:t>
      </w:r>
      <w:r>
        <w:t>populations,</w:t>
      </w:r>
      <w:r>
        <w:rPr>
          <w:spacing w:val="1"/>
        </w:rPr>
        <w:t xml:space="preserve"> </w:t>
      </w:r>
      <w:r>
        <w:t>Boston</w:t>
      </w:r>
      <w:r>
        <w:rPr>
          <w:spacing w:val="-57"/>
        </w:rPr>
        <w:t xml:space="preserve"> </w:t>
      </w:r>
      <w:r>
        <w:t>Children’s reduces the need for other more difficult and expensive downstream care that may</w:t>
      </w:r>
      <w:r>
        <w:rPr>
          <w:spacing w:val="1"/>
        </w:rPr>
        <w:t xml:space="preserve"> </w:t>
      </w:r>
      <w:r>
        <w:t>result from clinically appropriate care that is delayed. In addition, Boston Children’s anticipates</w:t>
      </w:r>
      <w:r>
        <w:rPr>
          <w:spacing w:val="1"/>
        </w:rPr>
        <w:t xml:space="preserve"> </w:t>
      </w:r>
      <w:r>
        <w:t>that improving access to its services in the community and closer to patients and their families</w:t>
      </w:r>
      <w:r>
        <w:rPr>
          <w:spacing w:val="1"/>
        </w:rPr>
        <w:t xml:space="preserve"> </w:t>
      </w:r>
      <w:r>
        <w:t>will provide cost savings for patients and payors. For example, by shifting certain procedures</w:t>
      </w:r>
      <w:r>
        <w:rPr>
          <w:spacing w:val="1"/>
        </w:rPr>
        <w:t xml:space="preserve"> </w:t>
      </w:r>
      <w:r>
        <w:t>from the Longwood Medical Area to the Needham Facility, the Applicant expects to reduce</w:t>
      </w:r>
      <w:r>
        <w:rPr>
          <w:spacing w:val="1"/>
        </w:rPr>
        <w:t xml:space="preserve"> </w:t>
      </w:r>
      <w:r>
        <w:t>traffic and parking cost for patients, and also reduce costs for third-party payors and MassHealth.</w:t>
      </w:r>
      <w:r>
        <w:rPr>
          <w:spacing w:val="-57"/>
        </w:rPr>
        <w:t xml:space="preserve"> </w:t>
      </w:r>
      <w:r>
        <w:t>It will allow the Hospital to move care from the more expensive tertiary and quaternary setting to</w:t>
      </w:r>
      <w:r>
        <w:rPr>
          <w:spacing w:val="-57"/>
        </w:rPr>
        <w:t xml:space="preserve"> </w:t>
      </w:r>
      <w:r>
        <w:t>a</w:t>
      </w:r>
      <w:r>
        <w:rPr>
          <w:spacing w:val="1"/>
        </w:rPr>
        <w:t xml:space="preserve"> </w:t>
      </w:r>
      <w:r>
        <w:t>more</w:t>
      </w:r>
      <w:r>
        <w:rPr>
          <w:spacing w:val="1"/>
        </w:rPr>
        <w:t xml:space="preserve"> </w:t>
      </w:r>
      <w:r>
        <w:t>efficient,</w:t>
      </w:r>
      <w:r>
        <w:rPr>
          <w:spacing w:val="1"/>
        </w:rPr>
        <w:t xml:space="preserve"> </w:t>
      </w:r>
      <w:r>
        <w:t>cost-effective</w:t>
      </w:r>
      <w:r>
        <w:rPr>
          <w:spacing w:val="1"/>
        </w:rPr>
        <w:t xml:space="preserve"> </w:t>
      </w:r>
      <w:r>
        <w:t>site.</w:t>
      </w:r>
      <w:r>
        <w:rPr>
          <w:spacing w:val="1"/>
        </w:rPr>
        <w:t xml:space="preserve"> </w:t>
      </w:r>
      <w:r>
        <w:t>Certain</w:t>
      </w:r>
      <w:r>
        <w:rPr>
          <w:spacing w:val="1"/>
        </w:rPr>
        <w:t xml:space="preserve"> </w:t>
      </w:r>
      <w:r>
        <w:t>services,</w:t>
      </w:r>
      <w:r>
        <w:rPr>
          <w:spacing w:val="1"/>
        </w:rPr>
        <w:t xml:space="preserve"> </w:t>
      </w:r>
      <w:r>
        <w:t>such</w:t>
      </w:r>
      <w:r>
        <w:rPr>
          <w:spacing w:val="1"/>
        </w:rPr>
        <w:t xml:space="preserve"> </w:t>
      </w:r>
      <w:r>
        <w:t>as</w:t>
      </w:r>
      <w:r>
        <w:rPr>
          <w:spacing w:val="1"/>
        </w:rPr>
        <w:t xml:space="preserve"> </w:t>
      </w:r>
      <w:r>
        <w:t>endoscopy,</w:t>
      </w:r>
      <w:r>
        <w:rPr>
          <w:spacing w:val="1"/>
        </w:rPr>
        <w:t xml:space="preserve"> </w:t>
      </w:r>
      <w:r>
        <w:t>performed</w:t>
      </w:r>
      <w:r>
        <w:rPr>
          <w:spacing w:val="1"/>
        </w:rPr>
        <w:t xml:space="preserve"> </w:t>
      </w:r>
      <w:r>
        <w:t>in</w:t>
      </w:r>
      <w:r>
        <w:rPr>
          <w:spacing w:val="1"/>
        </w:rPr>
        <w:t xml:space="preserve"> </w:t>
      </w:r>
      <w:r>
        <w:t>an</w:t>
      </w:r>
      <w:r>
        <w:rPr>
          <w:spacing w:val="1"/>
        </w:rPr>
        <w:t xml:space="preserve"> </w:t>
      </w:r>
      <w:r>
        <w:t>ambulatory facility rather than a full-service hospital can be done more efficiently and at lower</w:t>
      </w:r>
      <w:r>
        <w:rPr>
          <w:spacing w:val="1"/>
        </w:rPr>
        <w:t xml:space="preserve"> </w:t>
      </w:r>
      <w:r>
        <w:t>cost. Additionally, as described in Factor F1.a.ii, increased access to pediatric-tailored imaging</w:t>
      </w:r>
      <w:r>
        <w:rPr>
          <w:spacing w:val="1"/>
        </w:rPr>
        <w:t xml:space="preserve"> </w:t>
      </w:r>
      <w:r>
        <w:t>protocols with the addition of two MRI units in the community may reduce the need for repeat</w:t>
      </w:r>
      <w:r>
        <w:rPr>
          <w:spacing w:val="1"/>
        </w:rPr>
        <w:t xml:space="preserve"> </w:t>
      </w:r>
      <w:r>
        <w:t>imaging.</w:t>
      </w:r>
    </w:p>
    <w:p w:rsidR="00D862F2" w:rsidRDefault="00D862F2">
      <w:pPr>
        <w:pStyle w:val="BodyText"/>
      </w:pPr>
    </w:p>
    <w:p w:rsidR="00D862F2" w:rsidRDefault="00884FE4">
      <w:pPr>
        <w:pStyle w:val="BodyText"/>
        <w:spacing w:before="1"/>
        <w:ind w:left="220" w:right="276"/>
        <w:jc w:val="both"/>
      </w:pPr>
      <w:r>
        <w:t>Furthermore, as shown in Table 3 above, in 2019 MassHealth reflected 38.2% of the payor mix.</w:t>
      </w:r>
      <w:r>
        <w:rPr>
          <w:spacing w:val="1"/>
        </w:rPr>
        <w:t xml:space="preserve"> </w:t>
      </w:r>
      <w:r>
        <w:t>The BCH ACO serves approximately 20% of all pediatric enrollees in ACOs, and as is takes on</w:t>
      </w:r>
      <w:r>
        <w:rPr>
          <w:spacing w:val="1"/>
        </w:rPr>
        <w:t xml:space="preserve"> </w:t>
      </w:r>
      <w:r>
        <w:t>75% of the risk of the plan, the Applicant is at risk for increases in total medical spending. In</w:t>
      </w:r>
      <w:r>
        <w:rPr>
          <w:spacing w:val="1"/>
        </w:rPr>
        <w:t xml:space="preserve"> </w:t>
      </w:r>
      <w:r>
        <w:t>addition, the Hospital’s contracted third party rate increase has not exceeded the cost growth</w:t>
      </w:r>
      <w:r>
        <w:rPr>
          <w:spacing w:val="1"/>
        </w:rPr>
        <w:t xml:space="preserve"> </w:t>
      </w:r>
      <w:r>
        <w:t>benchmark in any year since the adoption of Chapter 224. The Applicant anticipates that the</w:t>
      </w:r>
      <w:r>
        <w:rPr>
          <w:spacing w:val="1"/>
        </w:rPr>
        <w:t xml:space="preserve"> </w:t>
      </w:r>
      <w:r>
        <w:t>Proposed</w:t>
      </w:r>
      <w:r>
        <w:rPr>
          <w:spacing w:val="41"/>
        </w:rPr>
        <w:t xml:space="preserve"> </w:t>
      </w:r>
      <w:r>
        <w:t>Project</w:t>
      </w:r>
      <w:r>
        <w:rPr>
          <w:spacing w:val="42"/>
        </w:rPr>
        <w:t xml:space="preserve"> </w:t>
      </w:r>
      <w:r>
        <w:t>will</w:t>
      </w:r>
      <w:r>
        <w:rPr>
          <w:spacing w:val="42"/>
        </w:rPr>
        <w:t xml:space="preserve"> </w:t>
      </w:r>
      <w:r>
        <w:t>have</w:t>
      </w:r>
      <w:r>
        <w:rPr>
          <w:spacing w:val="41"/>
        </w:rPr>
        <w:t xml:space="preserve"> </w:t>
      </w:r>
      <w:r>
        <w:t>no</w:t>
      </w:r>
      <w:r>
        <w:rPr>
          <w:spacing w:val="42"/>
        </w:rPr>
        <w:t xml:space="preserve"> </w:t>
      </w:r>
      <w:r>
        <w:t>material</w:t>
      </w:r>
      <w:r>
        <w:rPr>
          <w:spacing w:val="42"/>
        </w:rPr>
        <w:t xml:space="preserve"> </w:t>
      </w:r>
      <w:r>
        <w:t>adverse</w:t>
      </w:r>
      <w:r>
        <w:rPr>
          <w:spacing w:val="43"/>
        </w:rPr>
        <w:t xml:space="preserve"> </w:t>
      </w:r>
      <w:r>
        <w:t>impact</w:t>
      </w:r>
      <w:r>
        <w:rPr>
          <w:spacing w:val="41"/>
        </w:rPr>
        <w:t xml:space="preserve"> </w:t>
      </w:r>
      <w:r>
        <w:t>on</w:t>
      </w:r>
      <w:r>
        <w:rPr>
          <w:spacing w:val="42"/>
        </w:rPr>
        <w:t xml:space="preserve"> </w:t>
      </w:r>
      <w:r>
        <w:t>the</w:t>
      </w:r>
      <w:r>
        <w:rPr>
          <w:spacing w:val="41"/>
        </w:rPr>
        <w:t xml:space="preserve"> </w:t>
      </w:r>
      <w:r>
        <w:t>Commonwealth’s</w:t>
      </w:r>
      <w:r>
        <w:rPr>
          <w:spacing w:val="42"/>
        </w:rPr>
        <w:t xml:space="preserve"> </w:t>
      </w:r>
      <w:r>
        <w:t>objective</w:t>
      </w:r>
      <w:r>
        <w:rPr>
          <w:spacing w:val="41"/>
        </w:rPr>
        <w:t xml:space="preserve"> </w:t>
      </w:r>
      <w:r>
        <w:t>to</w:t>
      </w:r>
      <w:r>
        <w:rPr>
          <w:spacing w:val="-58"/>
        </w:rPr>
        <w:t xml:space="preserve"> </w:t>
      </w:r>
      <w:r>
        <w:t>meet</w:t>
      </w:r>
      <w:r>
        <w:rPr>
          <w:spacing w:val="-1"/>
        </w:rPr>
        <w:t xml:space="preserve"> </w:t>
      </w:r>
      <w:r>
        <w:t>its cost containment goals.</w:t>
      </w:r>
    </w:p>
    <w:p w:rsidR="00D862F2" w:rsidRDefault="00D862F2">
      <w:pPr>
        <w:pStyle w:val="BodyText"/>
        <w:rPr>
          <w:sz w:val="26"/>
        </w:rPr>
      </w:pPr>
    </w:p>
    <w:p w:rsidR="00D862F2" w:rsidRDefault="00D862F2">
      <w:pPr>
        <w:pStyle w:val="BodyText"/>
        <w:spacing w:before="10"/>
        <w:rPr>
          <w:sz w:val="23"/>
        </w:rPr>
      </w:pPr>
    </w:p>
    <w:p w:rsidR="00D862F2" w:rsidRDefault="00884FE4">
      <w:pPr>
        <w:ind w:left="220"/>
        <w:jc w:val="both"/>
        <w:rPr>
          <w:b/>
          <w:sz w:val="24"/>
        </w:rPr>
      </w:pPr>
      <w:r>
        <w:rPr>
          <w:b/>
          <w:sz w:val="24"/>
          <w:u w:val="single"/>
        </w:rPr>
        <w:t>F2.b.</w:t>
      </w:r>
      <w:r>
        <w:rPr>
          <w:b/>
          <w:spacing w:val="57"/>
          <w:sz w:val="24"/>
          <w:u w:val="single"/>
        </w:rPr>
        <w:t xml:space="preserve"> </w:t>
      </w:r>
      <w:r>
        <w:rPr>
          <w:b/>
          <w:sz w:val="24"/>
          <w:u w:val="single"/>
        </w:rPr>
        <w:t>Public</w:t>
      </w:r>
      <w:r>
        <w:rPr>
          <w:b/>
          <w:spacing w:val="-4"/>
          <w:sz w:val="24"/>
          <w:u w:val="single"/>
        </w:rPr>
        <w:t xml:space="preserve"> </w:t>
      </w:r>
      <w:r>
        <w:rPr>
          <w:b/>
          <w:sz w:val="24"/>
          <w:u w:val="single"/>
        </w:rPr>
        <w:t>Health</w:t>
      </w:r>
      <w:r>
        <w:rPr>
          <w:b/>
          <w:spacing w:val="-2"/>
          <w:sz w:val="24"/>
          <w:u w:val="single"/>
        </w:rPr>
        <w:t xml:space="preserve"> </w:t>
      </w:r>
      <w:r>
        <w:rPr>
          <w:b/>
          <w:sz w:val="24"/>
          <w:u w:val="single"/>
        </w:rPr>
        <w:t>Outcomes:</w:t>
      </w:r>
    </w:p>
    <w:p w:rsidR="00D862F2" w:rsidRDefault="00884FE4" w:rsidP="002C14E1">
      <w:pPr>
        <w:pStyle w:val="BodyText"/>
      </w:pPr>
      <w:r>
        <w:t>Describe, as relevant, for each new or expanded service, how the Proposed Project</w:t>
      </w:r>
      <w:r>
        <w:rPr>
          <w:spacing w:val="1"/>
        </w:rPr>
        <w:t xml:space="preserve"> </w:t>
      </w:r>
      <w:r>
        <w:t>will</w:t>
      </w:r>
      <w:r>
        <w:rPr>
          <w:spacing w:val="-3"/>
        </w:rPr>
        <w:t xml:space="preserve"> </w:t>
      </w:r>
      <w:r>
        <w:t>improve</w:t>
      </w:r>
      <w:r>
        <w:rPr>
          <w:spacing w:val="-1"/>
        </w:rPr>
        <w:t xml:space="preserve"> </w:t>
      </w:r>
      <w:r>
        <w:t>public</w:t>
      </w:r>
      <w:r>
        <w:rPr>
          <w:spacing w:val="-1"/>
        </w:rPr>
        <w:t xml:space="preserve"> </w:t>
      </w:r>
      <w:r>
        <w:t>health outcomes.</w:t>
      </w:r>
    </w:p>
    <w:p w:rsidR="00D862F2" w:rsidRDefault="00D862F2">
      <w:pPr>
        <w:sectPr w:rsidR="00D862F2">
          <w:pgSz w:w="12240" w:h="15840"/>
          <w:pgMar w:top="1340" w:right="1160" w:bottom="980" w:left="1220" w:header="722" w:footer="794" w:gutter="0"/>
          <w:cols w:space="720"/>
        </w:sectPr>
      </w:pPr>
    </w:p>
    <w:p w:rsidR="00D862F2" w:rsidRDefault="00884FE4">
      <w:pPr>
        <w:pStyle w:val="BodyText"/>
        <w:spacing w:before="88"/>
        <w:ind w:left="219" w:right="275"/>
        <w:jc w:val="both"/>
      </w:pPr>
      <w:r>
        <w:lastRenderedPageBreak/>
        <w:t>As with cost containment, Boston Children’s takes a long-term view of public health outcomes,</w:t>
      </w:r>
      <w:r>
        <w:rPr>
          <w:spacing w:val="1"/>
        </w:rPr>
        <w:t xml:space="preserve"> </w:t>
      </w:r>
      <w:r>
        <w:t>providing</w:t>
      </w:r>
      <w:r>
        <w:rPr>
          <w:spacing w:val="41"/>
        </w:rPr>
        <w:t xml:space="preserve"> </w:t>
      </w:r>
      <w:r>
        <w:t>specialized</w:t>
      </w:r>
      <w:r>
        <w:rPr>
          <w:spacing w:val="44"/>
        </w:rPr>
        <w:t xml:space="preserve"> </w:t>
      </w:r>
      <w:r>
        <w:t>services</w:t>
      </w:r>
      <w:r>
        <w:rPr>
          <w:spacing w:val="44"/>
        </w:rPr>
        <w:t xml:space="preserve"> </w:t>
      </w:r>
      <w:r>
        <w:t>responsive</w:t>
      </w:r>
      <w:r>
        <w:rPr>
          <w:spacing w:val="43"/>
        </w:rPr>
        <w:t xml:space="preserve"> </w:t>
      </w:r>
      <w:r>
        <w:t>to</w:t>
      </w:r>
      <w:r>
        <w:rPr>
          <w:spacing w:val="44"/>
        </w:rPr>
        <w:t xml:space="preserve"> </w:t>
      </w:r>
      <w:r>
        <w:t>the</w:t>
      </w:r>
      <w:r>
        <w:rPr>
          <w:spacing w:val="46"/>
        </w:rPr>
        <w:t xml:space="preserve"> </w:t>
      </w:r>
      <w:r>
        <w:t>needs</w:t>
      </w:r>
      <w:r>
        <w:rPr>
          <w:spacing w:val="44"/>
        </w:rPr>
        <w:t xml:space="preserve"> </w:t>
      </w:r>
      <w:r>
        <w:t>of</w:t>
      </w:r>
      <w:r>
        <w:rPr>
          <w:spacing w:val="45"/>
        </w:rPr>
        <w:t xml:space="preserve"> </w:t>
      </w:r>
      <w:r>
        <w:t>children</w:t>
      </w:r>
      <w:r>
        <w:rPr>
          <w:spacing w:val="44"/>
        </w:rPr>
        <w:t xml:space="preserve"> </w:t>
      </w:r>
      <w:r>
        <w:t>with</w:t>
      </w:r>
      <w:r>
        <w:rPr>
          <w:spacing w:val="47"/>
        </w:rPr>
        <w:t xml:space="preserve"> </w:t>
      </w:r>
      <w:r>
        <w:t>conditions</w:t>
      </w:r>
      <w:r>
        <w:rPr>
          <w:spacing w:val="44"/>
        </w:rPr>
        <w:t xml:space="preserve"> </w:t>
      </w:r>
      <w:r>
        <w:t>that</w:t>
      </w:r>
      <w:r>
        <w:rPr>
          <w:spacing w:val="45"/>
        </w:rPr>
        <w:t xml:space="preserve"> </w:t>
      </w:r>
      <w:r>
        <w:t>often</w:t>
      </w:r>
      <w:r>
        <w:rPr>
          <w:spacing w:val="-58"/>
        </w:rPr>
        <w:t xml:space="preserve"> </w:t>
      </w:r>
      <w:r>
        <w:t>could not have been prevented. However, such services, through timely intervention and ongoing</w:t>
      </w:r>
      <w:r>
        <w:rPr>
          <w:spacing w:val="-57"/>
        </w:rPr>
        <w:t xml:space="preserve"> </w:t>
      </w:r>
      <w:r>
        <w:t>supportive</w:t>
      </w:r>
      <w:r>
        <w:rPr>
          <w:spacing w:val="1"/>
        </w:rPr>
        <w:t xml:space="preserve"> </w:t>
      </w:r>
      <w:r>
        <w:t>care,</w:t>
      </w:r>
      <w:r>
        <w:rPr>
          <w:spacing w:val="1"/>
        </w:rPr>
        <w:t xml:space="preserve"> </w:t>
      </w:r>
      <w:r>
        <w:t>can</w:t>
      </w:r>
      <w:r>
        <w:rPr>
          <w:spacing w:val="1"/>
        </w:rPr>
        <w:t xml:space="preserve"> </w:t>
      </w:r>
      <w:r>
        <w:t>mitigate</w:t>
      </w:r>
      <w:r>
        <w:rPr>
          <w:spacing w:val="1"/>
        </w:rPr>
        <w:t xml:space="preserve"> </w:t>
      </w:r>
      <w:r>
        <w:t>the</w:t>
      </w:r>
      <w:r>
        <w:rPr>
          <w:spacing w:val="1"/>
        </w:rPr>
        <w:t xml:space="preserve"> </w:t>
      </w:r>
      <w:r>
        <w:t>impact</w:t>
      </w:r>
      <w:r>
        <w:rPr>
          <w:spacing w:val="1"/>
        </w:rPr>
        <w:t xml:space="preserve"> </w:t>
      </w:r>
      <w:r>
        <w:t>of</w:t>
      </w:r>
      <w:r>
        <w:rPr>
          <w:spacing w:val="1"/>
        </w:rPr>
        <w:t xml:space="preserve"> </w:t>
      </w:r>
      <w:r>
        <w:t>such</w:t>
      </w:r>
      <w:r>
        <w:rPr>
          <w:spacing w:val="1"/>
        </w:rPr>
        <w:t xml:space="preserve"> </w:t>
      </w:r>
      <w:r>
        <w:t>conditions</w:t>
      </w:r>
      <w:r>
        <w:rPr>
          <w:spacing w:val="1"/>
        </w:rPr>
        <w:t xml:space="preserve"> </w:t>
      </w:r>
      <w:r>
        <w:t>and</w:t>
      </w:r>
      <w:r>
        <w:rPr>
          <w:spacing w:val="1"/>
        </w:rPr>
        <w:t xml:space="preserve"> </w:t>
      </w:r>
      <w:r>
        <w:t>help</w:t>
      </w:r>
      <w:r>
        <w:rPr>
          <w:spacing w:val="1"/>
        </w:rPr>
        <w:t xml:space="preserve"> </w:t>
      </w:r>
      <w:r>
        <w:t>children</w:t>
      </w:r>
      <w:r>
        <w:rPr>
          <w:spacing w:val="1"/>
        </w:rPr>
        <w:t xml:space="preserve"> </w:t>
      </w:r>
      <w:r>
        <w:t>become</w:t>
      </w:r>
      <w:r>
        <w:rPr>
          <w:spacing w:val="1"/>
        </w:rPr>
        <w:t xml:space="preserve"> </w:t>
      </w:r>
      <w:r>
        <w:t>the</w:t>
      </w:r>
      <w:r>
        <w:rPr>
          <w:spacing w:val="-57"/>
        </w:rPr>
        <w:t xml:space="preserve"> </w:t>
      </w:r>
      <w:r>
        <w:t>healthiest adults they can be. The Proposed Project addresses a clear and demonstrated need in</w:t>
      </w:r>
      <w:r>
        <w:rPr>
          <w:spacing w:val="1"/>
        </w:rPr>
        <w:t xml:space="preserve"> </w:t>
      </w:r>
      <w:r>
        <w:t>the Commonwealth for expanded pediatric specialty care in the community. It will improve</w:t>
      </w:r>
      <w:r>
        <w:rPr>
          <w:spacing w:val="1"/>
        </w:rPr>
        <w:t xml:space="preserve"> </w:t>
      </w:r>
      <w:r>
        <w:t>public health outcomes by providing accessible locations and facilities in the community for</w:t>
      </w:r>
      <w:r>
        <w:rPr>
          <w:spacing w:val="1"/>
        </w:rPr>
        <w:t xml:space="preserve"> </w:t>
      </w:r>
      <w:r>
        <w:t>patients and their families to received specialized pediatric services. The creation of a med-psych</w:t>
      </w:r>
      <w:r>
        <w:rPr>
          <w:spacing w:val="-57"/>
        </w:rPr>
        <w:t xml:space="preserve"> </w:t>
      </w:r>
      <w:r>
        <w:t>partial hospitalization program will address the gap in services for a vulnerable population of</w:t>
      </w:r>
      <w:r>
        <w:rPr>
          <w:spacing w:val="1"/>
        </w:rPr>
        <w:t xml:space="preserve"> </w:t>
      </w:r>
      <w:r>
        <w:t>patients with comorbid medical and psychiatric conditions. The Proposed Project will support a</w:t>
      </w:r>
      <w:r>
        <w:rPr>
          <w:spacing w:val="1"/>
        </w:rPr>
        <w:t xml:space="preserve"> </w:t>
      </w:r>
      <w:r>
        <w:rPr>
          <w:color w:val="202020"/>
        </w:rPr>
        <w:t>cross-disciplinary</w:t>
      </w:r>
      <w:r>
        <w:rPr>
          <w:color w:val="202020"/>
          <w:spacing w:val="1"/>
        </w:rPr>
        <w:t xml:space="preserve"> </w:t>
      </w:r>
      <w:r>
        <w:rPr>
          <w:color w:val="202020"/>
        </w:rPr>
        <w:t>approach</w:t>
      </w:r>
      <w:r>
        <w:rPr>
          <w:color w:val="202020"/>
          <w:spacing w:val="1"/>
        </w:rPr>
        <w:t xml:space="preserve"> </w:t>
      </w:r>
      <w:r>
        <w:rPr>
          <w:color w:val="202020"/>
        </w:rPr>
        <w:t>to</w:t>
      </w:r>
      <w:r>
        <w:rPr>
          <w:color w:val="202020"/>
          <w:spacing w:val="1"/>
        </w:rPr>
        <w:t xml:space="preserve"> </w:t>
      </w:r>
      <w:r>
        <w:rPr>
          <w:color w:val="202020"/>
        </w:rPr>
        <w:t>care,</w:t>
      </w:r>
      <w:r>
        <w:rPr>
          <w:color w:val="202020"/>
          <w:spacing w:val="1"/>
        </w:rPr>
        <w:t xml:space="preserve"> </w:t>
      </w:r>
      <w:r>
        <w:rPr>
          <w:color w:val="202020"/>
        </w:rPr>
        <w:t>incorporating</w:t>
      </w:r>
      <w:r>
        <w:rPr>
          <w:color w:val="202020"/>
          <w:spacing w:val="1"/>
        </w:rPr>
        <w:t xml:space="preserve"> </w:t>
      </w:r>
      <w:r>
        <w:rPr>
          <w:color w:val="202020"/>
        </w:rPr>
        <w:t>behavioral</w:t>
      </w:r>
      <w:r>
        <w:rPr>
          <w:color w:val="202020"/>
          <w:spacing w:val="1"/>
        </w:rPr>
        <w:t xml:space="preserve"> </w:t>
      </w:r>
      <w:r>
        <w:rPr>
          <w:color w:val="202020"/>
        </w:rPr>
        <w:t>health</w:t>
      </w:r>
      <w:r>
        <w:rPr>
          <w:color w:val="202020"/>
          <w:spacing w:val="60"/>
        </w:rPr>
        <w:t xml:space="preserve"> </w:t>
      </w:r>
      <w:r>
        <w:rPr>
          <w:color w:val="202020"/>
        </w:rPr>
        <w:t>supports</w:t>
      </w:r>
      <w:r>
        <w:rPr>
          <w:color w:val="202020"/>
          <w:spacing w:val="60"/>
        </w:rPr>
        <w:t xml:space="preserve"> </w:t>
      </w:r>
      <w:r>
        <w:rPr>
          <w:color w:val="202020"/>
        </w:rPr>
        <w:t>throughout</w:t>
      </w:r>
      <w:r>
        <w:rPr>
          <w:color w:val="202020"/>
          <w:spacing w:val="1"/>
        </w:rPr>
        <w:t xml:space="preserve"> </w:t>
      </w:r>
      <w:r>
        <w:rPr>
          <w:color w:val="202020"/>
        </w:rPr>
        <w:t xml:space="preserve">services, including gastroenterology. </w:t>
      </w:r>
      <w:r>
        <w:t>In addition, access to ambulatory surgery care by trained</w:t>
      </w:r>
      <w:r>
        <w:rPr>
          <w:spacing w:val="1"/>
        </w:rPr>
        <w:t xml:space="preserve"> </w:t>
      </w:r>
      <w:r>
        <w:t>pediatric specialists may result in improved outcomes for children, as further described in Factor</w:t>
      </w:r>
      <w:r>
        <w:rPr>
          <w:spacing w:val="1"/>
        </w:rPr>
        <w:t xml:space="preserve"> </w:t>
      </w:r>
      <w:r>
        <w:t>F1.a.ii. The Proposed Project’s addition of two MRI units will improve timely access to imaging</w:t>
      </w:r>
      <w:r>
        <w:rPr>
          <w:spacing w:val="1"/>
        </w:rPr>
        <w:t xml:space="preserve"> </w:t>
      </w:r>
      <w:r>
        <w:t>services specifically attuned to pediatric needs and which may reduce a patient’s lifetime dose of</w:t>
      </w:r>
      <w:r>
        <w:rPr>
          <w:spacing w:val="1"/>
        </w:rPr>
        <w:t xml:space="preserve"> </w:t>
      </w:r>
      <w:r>
        <w:t>ionizing radiation. The Proposed Project will also make certain other pediatric specialty services,</w:t>
      </w:r>
      <w:r>
        <w:rPr>
          <w:spacing w:val="-57"/>
        </w:rPr>
        <w:t xml:space="preserve"> </w:t>
      </w:r>
      <w:r>
        <w:t>such as sleep and ophthalmology services, available in a community care setting, thus making</w:t>
      </w:r>
      <w:r>
        <w:rPr>
          <w:spacing w:val="1"/>
        </w:rPr>
        <w:t xml:space="preserve"> </w:t>
      </w:r>
      <w:r>
        <w:t>them</w:t>
      </w:r>
      <w:r>
        <w:rPr>
          <w:spacing w:val="-1"/>
        </w:rPr>
        <w:t xml:space="preserve"> </w:t>
      </w:r>
      <w:r>
        <w:t>more</w:t>
      </w:r>
      <w:r>
        <w:rPr>
          <w:spacing w:val="-1"/>
        </w:rPr>
        <w:t xml:space="preserve"> </w:t>
      </w:r>
      <w:r>
        <w:t>accessible</w:t>
      </w:r>
      <w:r>
        <w:rPr>
          <w:spacing w:val="-2"/>
        </w:rPr>
        <w:t xml:space="preserve"> </w:t>
      </w:r>
      <w:r>
        <w:t>and thereby</w:t>
      </w:r>
      <w:r>
        <w:rPr>
          <w:spacing w:val="-5"/>
        </w:rPr>
        <w:t xml:space="preserve"> </w:t>
      </w:r>
      <w:r>
        <w:t>improving</w:t>
      </w:r>
      <w:r>
        <w:rPr>
          <w:spacing w:val="-4"/>
        </w:rPr>
        <w:t xml:space="preserve"> </w:t>
      </w:r>
      <w:r>
        <w:t>public</w:t>
      </w:r>
      <w:r>
        <w:rPr>
          <w:spacing w:val="-1"/>
        </w:rPr>
        <w:t xml:space="preserve"> </w:t>
      </w:r>
      <w:r>
        <w:t>health</w:t>
      </w:r>
      <w:r>
        <w:rPr>
          <w:spacing w:val="-1"/>
        </w:rPr>
        <w:t xml:space="preserve"> </w:t>
      </w:r>
      <w:r>
        <w:t>outcomes as</w:t>
      </w:r>
      <w:r>
        <w:rPr>
          <w:spacing w:val="-1"/>
        </w:rPr>
        <w:t xml:space="preserve"> </w:t>
      </w:r>
      <w:r>
        <w:t>discussed earlier.</w:t>
      </w:r>
    </w:p>
    <w:p w:rsidR="00D862F2" w:rsidRDefault="00D862F2">
      <w:pPr>
        <w:pStyle w:val="BodyText"/>
        <w:spacing w:before="5"/>
      </w:pPr>
    </w:p>
    <w:p w:rsidR="00D862F2" w:rsidRDefault="00884FE4">
      <w:pPr>
        <w:ind w:left="220"/>
        <w:jc w:val="both"/>
        <w:rPr>
          <w:b/>
          <w:sz w:val="24"/>
        </w:rPr>
      </w:pPr>
      <w:r>
        <w:rPr>
          <w:b/>
          <w:sz w:val="24"/>
          <w:u w:val="single"/>
        </w:rPr>
        <w:t>F2.c.</w:t>
      </w:r>
      <w:r>
        <w:rPr>
          <w:b/>
          <w:spacing w:val="57"/>
          <w:sz w:val="24"/>
          <w:u w:val="single"/>
        </w:rPr>
        <w:t xml:space="preserve"> </w:t>
      </w:r>
      <w:r>
        <w:rPr>
          <w:b/>
          <w:sz w:val="24"/>
          <w:u w:val="single"/>
        </w:rPr>
        <w:t>Delivery</w:t>
      </w:r>
      <w:r>
        <w:rPr>
          <w:b/>
          <w:spacing w:val="-2"/>
          <w:sz w:val="24"/>
          <w:u w:val="single"/>
        </w:rPr>
        <w:t xml:space="preserve"> </w:t>
      </w:r>
      <w:r>
        <w:rPr>
          <w:b/>
          <w:sz w:val="24"/>
          <w:u w:val="single"/>
        </w:rPr>
        <w:t>System</w:t>
      </w:r>
      <w:r>
        <w:rPr>
          <w:b/>
          <w:spacing w:val="-3"/>
          <w:sz w:val="24"/>
          <w:u w:val="single"/>
        </w:rPr>
        <w:t xml:space="preserve"> </w:t>
      </w:r>
      <w:r>
        <w:rPr>
          <w:b/>
          <w:sz w:val="24"/>
          <w:u w:val="single"/>
        </w:rPr>
        <w:t>Transformation</w:t>
      </w:r>
    </w:p>
    <w:p w:rsidR="00D862F2" w:rsidRDefault="00884FE4" w:rsidP="002C14E1">
      <w:pPr>
        <w:pStyle w:val="BodyText"/>
      </w:pPr>
      <w:r>
        <w:t>Because the integration of social services and community based expertise is central</w:t>
      </w:r>
      <w:r>
        <w:rPr>
          <w:spacing w:val="1"/>
        </w:rPr>
        <w:t xml:space="preserve"> </w:t>
      </w:r>
      <w:r>
        <w:t>to goal of delivery system transformation, discuss how the needs of their patient</w:t>
      </w:r>
      <w:r>
        <w:rPr>
          <w:spacing w:val="1"/>
        </w:rPr>
        <w:t xml:space="preserve"> </w:t>
      </w:r>
      <w:r>
        <w:t>panel have been assessed and linkages to social services organizations have been</w:t>
      </w:r>
      <w:r>
        <w:rPr>
          <w:spacing w:val="1"/>
        </w:rPr>
        <w:t xml:space="preserve"> </w:t>
      </w:r>
      <w:r>
        <w:t>created and how the social determinants of health have been incorporated into care</w:t>
      </w:r>
      <w:r>
        <w:rPr>
          <w:spacing w:val="1"/>
        </w:rPr>
        <w:t xml:space="preserve"> </w:t>
      </w:r>
      <w:r>
        <w:t>planning.</w:t>
      </w:r>
    </w:p>
    <w:p w:rsidR="00D862F2" w:rsidRDefault="00D862F2">
      <w:pPr>
        <w:pStyle w:val="BodyText"/>
        <w:spacing w:before="7"/>
        <w:rPr>
          <w:b/>
          <w:sz w:val="23"/>
        </w:rPr>
      </w:pPr>
    </w:p>
    <w:p w:rsidR="00D862F2" w:rsidRDefault="00884FE4">
      <w:pPr>
        <w:pStyle w:val="BodyText"/>
        <w:ind w:left="219" w:right="273"/>
        <w:jc w:val="both"/>
      </w:pPr>
      <w:r>
        <w:t>Boston</w:t>
      </w:r>
      <w:r>
        <w:rPr>
          <w:spacing w:val="1"/>
        </w:rPr>
        <w:t xml:space="preserve"> </w:t>
      </w:r>
      <w:r>
        <w:t>Children’s</w:t>
      </w:r>
      <w:r>
        <w:rPr>
          <w:spacing w:val="1"/>
        </w:rPr>
        <w:t xml:space="preserve"> </w:t>
      </w:r>
      <w:r>
        <w:t>has</w:t>
      </w:r>
      <w:r>
        <w:rPr>
          <w:spacing w:val="1"/>
        </w:rPr>
        <w:t xml:space="preserve"> </w:t>
      </w:r>
      <w:r>
        <w:t>an</w:t>
      </w:r>
      <w:r>
        <w:rPr>
          <w:spacing w:val="1"/>
        </w:rPr>
        <w:t xml:space="preserve"> </w:t>
      </w:r>
      <w:r>
        <w:t>established</w:t>
      </w:r>
      <w:r>
        <w:rPr>
          <w:spacing w:val="1"/>
        </w:rPr>
        <w:t xml:space="preserve"> </w:t>
      </w:r>
      <w:r>
        <w:t>community</w:t>
      </w:r>
      <w:r>
        <w:rPr>
          <w:spacing w:val="1"/>
        </w:rPr>
        <w:t xml:space="preserve"> </w:t>
      </w:r>
      <w:r>
        <w:t>health</w:t>
      </w:r>
      <w:r>
        <w:rPr>
          <w:spacing w:val="1"/>
        </w:rPr>
        <w:t xml:space="preserve"> </w:t>
      </w:r>
      <w:r>
        <w:t>mission</w:t>
      </w:r>
      <w:r>
        <w:rPr>
          <w:spacing w:val="1"/>
        </w:rPr>
        <w:t xml:space="preserve"> </w:t>
      </w:r>
      <w:r>
        <w:t>and</w:t>
      </w:r>
      <w:r>
        <w:rPr>
          <w:spacing w:val="1"/>
        </w:rPr>
        <w:t xml:space="preserve"> </w:t>
      </w:r>
      <w:r>
        <w:t>invests</w:t>
      </w:r>
      <w:r>
        <w:rPr>
          <w:spacing w:val="1"/>
        </w:rPr>
        <w:t xml:space="preserve"> </w:t>
      </w:r>
      <w:r>
        <w:t>heavily</w:t>
      </w:r>
      <w:r>
        <w:rPr>
          <w:spacing w:val="1"/>
        </w:rPr>
        <w:t xml:space="preserve"> </w:t>
      </w:r>
      <w:r>
        <w:t>in</w:t>
      </w:r>
      <w:r>
        <w:rPr>
          <w:spacing w:val="1"/>
        </w:rPr>
        <w:t xml:space="preserve"> </w:t>
      </w:r>
      <w:r>
        <w:t>establishing linkages with community partners and social services organizations, as well as</w:t>
      </w:r>
      <w:r>
        <w:rPr>
          <w:spacing w:val="1"/>
        </w:rPr>
        <w:t xml:space="preserve"> </w:t>
      </w:r>
      <w:r>
        <w:t>developing programs targeted at addressing health care social determinants of health.</w:t>
      </w:r>
      <w:r>
        <w:rPr>
          <w:spacing w:val="60"/>
        </w:rPr>
        <w:t xml:space="preserve"> </w:t>
      </w:r>
      <w:r>
        <w:t>Through</w:t>
      </w:r>
      <w:r>
        <w:rPr>
          <w:spacing w:val="1"/>
        </w:rPr>
        <w:t xml:space="preserve"> </w:t>
      </w:r>
      <w:r>
        <w:t>the BCH ACO, which, as of June 30, 2020, had a membership of over 110,000 members, Boston</w:t>
      </w:r>
      <w:r>
        <w:rPr>
          <w:spacing w:val="1"/>
        </w:rPr>
        <w:t xml:space="preserve"> </w:t>
      </w:r>
      <w:r>
        <w:t>Children’s supports initiatives to promote health equity by reducing social barriers to optimal</w:t>
      </w:r>
      <w:r>
        <w:rPr>
          <w:spacing w:val="1"/>
        </w:rPr>
        <w:t xml:space="preserve"> </w:t>
      </w:r>
      <w:r>
        <w:t>health and well-being, including in primary focus areas of population management, behavioral</w:t>
      </w:r>
      <w:r>
        <w:rPr>
          <w:spacing w:val="1"/>
        </w:rPr>
        <w:t xml:space="preserve"> </w:t>
      </w:r>
      <w:r>
        <w:t>health, asthma management, response to social needs, complex care, and regional support. For</w:t>
      </w:r>
      <w:r>
        <w:rPr>
          <w:spacing w:val="1"/>
        </w:rPr>
        <w:t xml:space="preserve"> </w:t>
      </w:r>
      <w:r>
        <w:t>example,</w:t>
      </w:r>
      <w:r>
        <w:rPr>
          <w:spacing w:val="1"/>
        </w:rPr>
        <w:t xml:space="preserve"> </w:t>
      </w:r>
      <w:r>
        <w:t>the</w:t>
      </w:r>
      <w:r>
        <w:rPr>
          <w:spacing w:val="1"/>
        </w:rPr>
        <w:t xml:space="preserve"> </w:t>
      </w:r>
      <w:r>
        <w:t>PPOC</w:t>
      </w:r>
      <w:r>
        <w:rPr>
          <w:spacing w:val="1"/>
        </w:rPr>
        <w:t xml:space="preserve"> </w:t>
      </w:r>
      <w:r>
        <w:t>has embedded</w:t>
      </w:r>
      <w:r>
        <w:rPr>
          <w:spacing w:val="1"/>
        </w:rPr>
        <w:t xml:space="preserve"> </w:t>
      </w:r>
      <w:r>
        <w:t>its</w:t>
      </w:r>
      <w:r>
        <w:rPr>
          <w:spacing w:val="1"/>
        </w:rPr>
        <w:t xml:space="preserve"> </w:t>
      </w:r>
      <w:r>
        <w:t>Health</w:t>
      </w:r>
      <w:r>
        <w:rPr>
          <w:spacing w:val="1"/>
        </w:rPr>
        <w:t xml:space="preserve"> </w:t>
      </w:r>
      <w:r>
        <w:t>Needs</w:t>
      </w:r>
      <w:r>
        <w:rPr>
          <w:spacing w:val="1"/>
        </w:rPr>
        <w:t xml:space="preserve"> </w:t>
      </w:r>
      <w:r>
        <w:t>Assessment</w:t>
      </w:r>
      <w:r>
        <w:rPr>
          <w:spacing w:val="1"/>
        </w:rPr>
        <w:t xml:space="preserve"> </w:t>
      </w:r>
      <w:r>
        <w:t>into</w:t>
      </w:r>
      <w:r>
        <w:rPr>
          <w:spacing w:val="1"/>
        </w:rPr>
        <w:t xml:space="preserve"> </w:t>
      </w:r>
      <w:r>
        <w:t>its</w:t>
      </w:r>
      <w:r>
        <w:rPr>
          <w:spacing w:val="1"/>
        </w:rPr>
        <w:t xml:space="preserve"> </w:t>
      </w:r>
      <w:r>
        <w:t>electronic</w:t>
      </w:r>
      <w:r>
        <w:rPr>
          <w:spacing w:val="60"/>
        </w:rPr>
        <w:t xml:space="preserve"> </w:t>
      </w:r>
      <w:r>
        <w:t>medical</w:t>
      </w:r>
      <w:r>
        <w:rPr>
          <w:spacing w:val="-57"/>
        </w:rPr>
        <w:t xml:space="preserve"> </w:t>
      </w:r>
      <w:r>
        <w:t>record to facilitate screening for health-related social needs, steadily increasing screening rates</w:t>
      </w:r>
      <w:r>
        <w:rPr>
          <w:spacing w:val="1"/>
        </w:rPr>
        <w:t xml:space="preserve"> </w:t>
      </w:r>
      <w:r>
        <w:t>across PPOC practices and informing BCH ACO of the prevalence of identified needs so that</w:t>
      </w:r>
      <w:r>
        <w:rPr>
          <w:spacing w:val="1"/>
        </w:rPr>
        <w:t xml:space="preserve"> </w:t>
      </w:r>
      <w:r>
        <w:t>resources</w:t>
      </w:r>
      <w:r>
        <w:rPr>
          <w:spacing w:val="1"/>
        </w:rPr>
        <w:t xml:space="preserve"> </w:t>
      </w:r>
      <w:r>
        <w:t>could</w:t>
      </w:r>
      <w:r>
        <w:rPr>
          <w:spacing w:val="1"/>
        </w:rPr>
        <w:t xml:space="preserve"> </w:t>
      </w:r>
      <w:r>
        <w:t>be</w:t>
      </w:r>
      <w:r>
        <w:rPr>
          <w:spacing w:val="1"/>
        </w:rPr>
        <w:t xml:space="preserve"> </w:t>
      </w:r>
      <w:r>
        <w:t>referred.</w:t>
      </w:r>
      <w:r>
        <w:rPr>
          <w:spacing w:val="1"/>
        </w:rPr>
        <w:t xml:space="preserve"> </w:t>
      </w:r>
      <w:r>
        <w:t>The</w:t>
      </w:r>
      <w:r>
        <w:rPr>
          <w:spacing w:val="1"/>
        </w:rPr>
        <w:t xml:space="preserve"> </w:t>
      </w:r>
      <w:r>
        <w:t>Proposed</w:t>
      </w:r>
      <w:r>
        <w:rPr>
          <w:spacing w:val="1"/>
        </w:rPr>
        <w:t xml:space="preserve"> </w:t>
      </w:r>
      <w:r>
        <w:t>Project</w:t>
      </w:r>
      <w:r>
        <w:rPr>
          <w:spacing w:val="1"/>
        </w:rPr>
        <w:t xml:space="preserve"> </w:t>
      </w:r>
      <w:r>
        <w:t>will</w:t>
      </w:r>
      <w:r>
        <w:rPr>
          <w:spacing w:val="1"/>
        </w:rPr>
        <w:t xml:space="preserve"> </w:t>
      </w:r>
      <w:r>
        <w:t>further</w:t>
      </w:r>
      <w:r>
        <w:rPr>
          <w:spacing w:val="1"/>
        </w:rPr>
        <w:t xml:space="preserve"> </w:t>
      </w:r>
      <w:r>
        <w:t>BCH</w:t>
      </w:r>
      <w:r>
        <w:rPr>
          <w:spacing w:val="1"/>
        </w:rPr>
        <w:t xml:space="preserve"> </w:t>
      </w:r>
      <w:r>
        <w:t>ACO</w:t>
      </w:r>
      <w:r>
        <w:rPr>
          <w:spacing w:val="1"/>
        </w:rPr>
        <w:t xml:space="preserve"> </w:t>
      </w:r>
      <w:r>
        <w:t>efforts</w:t>
      </w:r>
      <w:r>
        <w:rPr>
          <w:spacing w:val="60"/>
        </w:rPr>
        <w:t xml:space="preserve"> </w:t>
      </w:r>
      <w:r>
        <w:t>in</w:t>
      </w:r>
      <w:r>
        <w:rPr>
          <w:spacing w:val="60"/>
        </w:rPr>
        <w:t xml:space="preserve"> </w:t>
      </w:r>
      <w:r>
        <w:t>these</w:t>
      </w:r>
      <w:r>
        <w:rPr>
          <w:spacing w:val="-57"/>
        </w:rPr>
        <w:t xml:space="preserve"> </w:t>
      </w:r>
      <w:r>
        <w:t>primary focus areas, particularly behavioral health and complex care, and will provide a level of</w:t>
      </w:r>
      <w:r>
        <w:rPr>
          <w:spacing w:val="1"/>
        </w:rPr>
        <w:t xml:space="preserve"> </w:t>
      </w:r>
      <w:r>
        <w:t>coordinated</w:t>
      </w:r>
      <w:r>
        <w:rPr>
          <w:spacing w:val="1"/>
        </w:rPr>
        <w:t xml:space="preserve"> </w:t>
      </w:r>
      <w:r>
        <w:t>care</w:t>
      </w:r>
      <w:r>
        <w:rPr>
          <w:spacing w:val="1"/>
        </w:rPr>
        <w:t xml:space="preserve"> </w:t>
      </w:r>
      <w:r>
        <w:t>through</w:t>
      </w:r>
      <w:r>
        <w:rPr>
          <w:spacing w:val="1"/>
        </w:rPr>
        <w:t xml:space="preserve"> </w:t>
      </w:r>
      <w:r>
        <w:t>the</w:t>
      </w:r>
      <w:r>
        <w:rPr>
          <w:spacing w:val="1"/>
        </w:rPr>
        <w:t xml:space="preserve"> </w:t>
      </w:r>
      <w:r>
        <w:t>co-location</w:t>
      </w:r>
      <w:r>
        <w:rPr>
          <w:spacing w:val="1"/>
        </w:rPr>
        <w:t xml:space="preserve"> </w:t>
      </w:r>
      <w:r>
        <w:t>of</w:t>
      </w:r>
      <w:r>
        <w:rPr>
          <w:spacing w:val="1"/>
        </w:rPr>
        <w:t xml:space="preserve"> </w:t>
      </w:r>
      <w:r>
        <w:t>multi-specialty</w:t>
      </w:r>
      <w:r>
        <w:rPr>
          <w:spacing w:val="1"/>
        </w:rPr>
        <w:t xml:space="preserve"> </w:t>
      </w:r>
      <w:r>
        <w:t>services</w:t>
      </w:r>
      <w:r>
        <w:rPr>
          <w:spacing w:val="1"/>
        </w:rPr>
        <w:t xml:space="preserve"> </w:t>
      </w:r>
      <w:r>
        <w:t>with</w:t>
      </w:r>
      <w:r>
        <w:rPr>
          <w:spacing w:val="1"/>
        </w:rPr>
        <w:t xml:space="preserve"> </w:t>
      </w:r>
      <w:r>
        <w:t>diagnostic</w:t>
      </w:r>
      <w:r>
        <w:rPr>
          <w:spacing w:val="1"/>
        </w:rPr>
        <w:t xml:space="preserve"> </w:t>
      </w:r>
      <w:r>
        <w:t>and</w:t>
      </w:r>
      <w:r>
        <w:rPr>
          <w:spacing w:val="1"/>
        </w:rPr>
        <w:t xml:space="preserve"> </w:t>
      </w:r>
      <w:r>
        <w:t>therapeutic services that will provide greater integration of behavioral health services.</w:t>
      </w:r>
      <w:r>
        <w:rPr>
          <w:spacing w:val="1"/>
        </w:rPr>
        <w:t xml:space="preserve"> </w:t>
      </w:r>
      <w:r>
        <w:t>The</w:t>
      </w:r>
      <w:r>
        <w:rPr>
          <w:spacing w:val="1"/>
        </w:rPr>
        <w:t xml:space="preserve"> </w:t>
      </w:r>
      <w:r>
        <w:t>Proposed</w:t>
      </w:r>
      <w:r>
        <w:rPr>
          <w:spacing w:val="1"/>
        </w:rPr>
        <w:t xml:space="preserve"> </w:t>
      </w:r>
      <w:r>
        <w:t>Project</w:t>
      </w:r>
      <w:r>
        <w:rPr>
          <w:spacing w:val="1"/>
        </w:rPr>
        <w:t xml:space="preserve"> </w:t>
      </w:r>
      <w:r>
        <w:t>will</w:t>
      </w:r>
      <w:r>
        <w:rPr>
          <w:spacing w:val="1"/>
        </w:rPr>
        <w:t xml:space="preserve"> </w:t>
      </w:r>
      <w:r>
        <w:t>allow</w:t>
      </w:r>
      <w:r>
        <w:rPr>
          <w:spacing w:val="1"/>
        </w:rPr>
        <w:t xml:space="preserve"> </w:t>
      </w:r>
      <w:r>
        <w:t>the</w:t>
      </w:r>
      <w:r>
        <w:rPr>
          <w:spacing w:val="1"/>
        </w:rPr>
        <w:t xml:space="preserve"> </w:t>
      </w:r>
      <w:r>
        <w:t>Hospital</w:t>
      </w:r>
      <w:r>
        <w:rPr>
          <w:spacing w:val="1"/>
        </w:rPr>
        <w:t xml:space="preserve"> </w:t>
      </w:r>
      <w:r>
        <w:t>to</w:t>
      </w:r>
      <w:r>
        <w:rPr>
          <w:spacing w:val="1"/>
        </w:rPr>
        <w:t xml:space="preserve"> </w:t>
      </w:r>
      <w:r>
        <w:t>broaden</w:t>
      </w:r>
      <w:r>
        <w:rPr>
          <w:spacing w:val="1"/>
        </w:rPr>
        <w:t xml:space="preserve"> </w:t>
      </w:r>
      <w:r>
        <w:t>its</w:t>
      </w:r>
      <w:r>
        <w:rPr>
          <w:spacing w:val="1"/>
        </w:rPr>
        <w:t xml:space="preserve"> </w:t>
      </w:r>
      <w:r>
        <w:t>engagement</w:t>
      </w:r>
      <w:r>
        <w:rPr>
          <w:spacing w:val="1"/>
        </w:rPr>
        <w:t xml:space="preserve"> </w:t>
      </w:r>
      <w:r>
        <w:t>with</w:t>
      </w:r>
      <w:r>
        <w:rPr>
          <w:spacing w:val="1"/>
        </w:rPr>
        <w:t xml:space="preserve"> </w:t>
      </w:r>
      <w:r>
        <w:t>community</w:t>
      </w:r>
      <w:r>
        <w:rPr>
          <w:spacing w:val="1"/>
        </w:rPr>
        <w:t xml:space="preserve"> </w:t>
      </w:r>
      <w:r>
        <w:t>organizations outside of Boston, provide greater accessibility to its services and improve patient</w:t>
      </w:r>
      <w:r>
        <w:rPr>
          <w:spacing w:val="1"/>
        </w:rPr>
        <w:t xml:space="preserve"> </w:t>
      </w:r>
      <w:r>
        <w:t>outreach.</w:t>
      </w:r>
    </w:p>
    <w:p w:rsidR="00D862F2" w:rsidRDefault="00D862F2">
      <w:pPr>
        <w:pStyle w:val="BodyText"/>
      </w:pPr>
    </w:p>
    <w:p w:rsidR="00D862F2" w:rsidRDefault="00884FE4">
      <w:pPr>
        <w:pStyle w:val="BodyText"/>
        <w:ind w:left="220" w:right="276"/>
        <w:jc w:val="both"/>
      </w:pPr>
      <w:r>
        <w:t>In addition, through its Flexible Services Program, BCH ACO launched one Nutrition Support</w:t>
      </w:r>
      <w:r>
        <w:rPr>
          <w:spacing w:val="1"/>
        </w:rPr>
        <w:t xml:space="preserve"> </w:t>
      </w:r>
      <w:r>
        <w:t>program</w:t>
      </w:r>
      <w:r>
        <w:rPr>
          <w:spacing w:val="9"/>
        </w:rPr>
        <w:t xml:space="preserve"> </w:t>
      </w:r>
      <w:r>
        <w:t>and</w:t>
      </w:r>
      <w:r>
        <w:rPr>
          <w:spacing w:val="6"/>
        </w:rPr>
        <w:t xml:space="preserve"> </w:t>
      </w:r>
      <w:r>
        <w:t>two</w:t>
      </w:r>
      <w:r>
        <w:rPr>
          <w:spacing w:val="8"/>
        </w:rPr>
        <w:t xml:space="preserve"> </w:t>
      </w:r>
      <w:r>
        <w:t>Housing</w:t>
      </w:r>
      <w:r>
        <w:rPr>
          <w:spacing w:val="4"/>
        </w:rPr>
        <w:t xml:space="preserve"> </w:t>
      </w:r>
      <w:r>
        <w:t>Support</w:t>
      </w:r>
      <w:r>
        <w:rPr>
          <w:spacing w:val="9"/>
        </w:rPr>
        <w:t xml:space="preserve"> </w:t>
      </w:r>
      <w:r>
        <w:t>programs</w:t>
      </w:r>
      <w:r>
        <w:rPr>
          <w:spacing w:val="6"/>
        </w:rPr>
        <w:t xml:space="preserve"> </w:t>
      </w:r>
      <w:r>
        <w:t>in</w:t>
      </w:r>
      <w:r>
        <w:rPr>
          <w:spacing w:val="6"/>
        </w:rPr>
        <w:t xml:space="preserve"> </w:t>
      </w:r>
      <w:r>
        <w:t>2020,</w:t>
      </w:r>
      <w:r>
        <w:rPr>
          <w:spacing w:val="7"/>
        </w:rPr>
        <w:t xml:space="preserve"> </w:t>
      </w:r>
      <w:r>
        <w:t>and</w:t>
      </w:r>
      <w:r>
        <w:rPr>
          <w:spacing w:val="6"/>
        </w:rPr>
        <w:t xml:space="preserve"> </w:t>
      </w:r>
      <w:r>
        <w:t>developed</w:t>
      </w:r>
      <w:r>
        <w:rPr>
          <w:spacing w:val="8"/>
        </w:rPr>
        <w:t xml:space="preserve"> </w:t>
      </w:r>
      <w:r>
        <w:t>a</w:t>
      </w:r>
      <w:r>
        <w:rPr>
          <w:spacing w:val="7"/>
        </w:rPr>
        <w:t xml:space="preserve"> </w:t>
      </w:r>
      <w:r>
        <w:t>second</w:t>
      </w:r>
      <w:r>
        <w:rPr>
          <w:spacing w:val="7"/>
        </w:rPr>
        <w:t xml:space="preserve"> </w:t>
      </w:r>
      <w:r>
        <w:t>Nutrition</w:t>
      </w:r>
      <w:r>
        <w:rPr>
          <w:spacing w:val="6"/>
        </w:rPr>
        <w:t xml:space="preserve"> </w:t>
      </w:r>
      <w:r>
        <w:t>Support</w:t>
      </w:r>
    </w:p>
    <w:p w:rsidR="00D862F2" w:rsidRDefault="00D862F2">
      <w:pPr>
        <w:jc w:val="both"/>
        <w:sectPr w:rsidR="00D862F2">
          <w:pgSz w:w="12240" w:h="15840"/>
          <w:pgMar w:top="1340" w:right="1160" w:bottom="980" w:left="1220" w:header="722" w:footer="794" w:gutter="0"/>
          <w:cols w:space="720"/>
        </w:sectPr>
      </w:pPr>
    </w:p>
    <w:p w:rsidR="00D862F2" w:rsidRDefault="00884FE4">
      <w:pPr>
        <w:pStyle w:val="BodyText"/>
        <w:spacing w:before="88"/>
        <w:ind w:left="220" w:right="273"/>
        <w:jc w:val="both"/>
      </w:pPr>
      <w:r>
        <w:lastRenderedPageBreak/>
        <w:t>program</w:t>
      </w:r>
      <w:r>
        <w:rPr>
          <w:spacing w:val="46"/>
        </w:rPr>
        <w:t xml:space="preserve"> </w:t>
      </w:r>
      <w:r>
        <w:t>that</w:t>
      </w:r>
      <w:r>
        <w:rPr>
          <w:spacing w:val="46"/>
        </w:rPr>
        <w:t xml:space="preserve"> </w:t>
      </w:r>
      <w:r>
        <w:t>will</w:t>
      </w:r>
      <w:r>
        <w:rPr>
          <w:spacing w:val="46"/>
        </w:rPr>
        <w:t xml:space="preserve"> </w:t>
      </w:r>
      <w:r>
        <w:t>launch</w:t>
      </w:r>
      <w:r>
        <w:rPr>
          <w:spacing w:val="46"/>
        </w:rPr>
        <w:t xml:space="preserve"> </w:t>
      </w:r>
      <w:r>
        <w:t>in</w:t>
      </w:r>
      <w:r>
        <w:rPr>
          <w:spacing w:val="46"/>
        </w:rPr>
        <w:t xml:space="preserve"> </w:t>
      </w:r>
      <w:r>
        <w:t>2021.</w:t>
      </w:r>
      <w:r>
        <w:rPr>
          <w:spacing w:val="46"/>
        </w:rPr>
        <w:t xml:space="preserve"> </w:t>
      </w:r>
      <w:r>
        <w:t>These</w:t>
      </w:r>
      <w:r>
        <w:rPr>
          <w:spacing w:val="45"/>
        </w:rPr>
        <w:t xml:space="preserve"> </w:t>
      </w:r>
      <w:r>
        <w:t>programs</w:t>
      </w:r>
      <w:r>
        <w:rPr>
          <w:spacing w:val="46"/>
        </w:rPr>
        <w:t xml:space="preserve"> </w:t>
      </w:r>
      <w:r>
        <w:t>respond</w:t>
      </w:r>
      <w:r>
        <w:rPr>
          <w:spacing w:val="47"/>
        </w:rPr>
        <w:t xml:space="preserve"> </w:t>
      </w:r>
      <w:r>
        <w:t>to</w:t>
      </w:r>
      <w:r>
        <w:rPr>
          <w:spacing w:val="46"/>
        </w:rPr>
        <w:t xml:space="preserve"> </w:t>
      </w:r>
      <w:r>
        <w:t>patients’</w:t>
      </w:r>
      <w:r>
        <w:rPr>
          <w:spacing w:val="45"/>
        </w:rPr>
        <w:t xml:space="preserve"> </w:t>
      </w:r>
      <w:r>
        <w:t>health</w:t>
      </w:r>
      <w:r>
        <w:rPr>
          <w:spacing w:val="46"/>
        </w:rPr>
        <w:t xml:space="preserve"> </w:t>
      </w:r>
      <w:r>
        <w:t>related</w:t>
      </w:r>
      <w:r>
        <w:rPr>
          <w:spacing w:val="46"/>
        </w:rPr>
        <w:t xml:space="preserve"> </w:t>
      </w:r>
      <w:r>
        <w:t>social</w:t>
      </w:r>
      <w:r>
        <w:rPr>
          <w:spacing w:val="-58"/>
        </w:rPr>
        <w:t xml:space="preserve"> </w:t>
      </w:r>
      <w:r>
        <w:t>needs, including food insecurity and/or housing instability, through links to community-based</w:t>
      </w:r>
      <w:r>
        <w:rPr>
          <w:spacing w:val="1"/>
        </w:rPr>
        <w:t xml:space="preserve"> </w:t>
      </w:r>
      <w:r>
        <w:t>organizations that can help address such needs. The BCH ACO’s program with community</w:t>
      </w:r>
      <w:r>
        <w:rPr>
          <w:spacing w:val="1"/>
        </w:rPr>
        <w:t xml:space="preserve"> </w:t>
      </w:r>
      <w:r>
        <w:t>partners coordinates children with certain qualifying levels of complexity, either medical or</w:t>
      </w:r>
      <w:r>
        <w:rPr>
          <w:spacing w:val="1"/>
        </w:rPr>
        <w:t xml:space="preserve"> </w:t>
      </w:r>
      <w:r>
        <w:t>social, with community-based organizations that can provide additional case management. As</w:t>
      </w:r>
      <w:r>
        <w:rPr>
          <w:spacing w:val="1"/>
        </w:rPr>
        <w:t xml:space="preserve"> </w:t>
      </w:r>
      <w:r>
        <w:t>part of Boston Children’s, the Proposed Project will be included in its efforts to link patients to</w:t>
      </w:r>
      <w:r>
        <w:rPr>
          <w:spacing w:val="1"/>
        </w:rPr>
        <w:t xml:space="preserve"> </w:t>
      </w:r>
      <w:r>
        <w:t>social</w:t>
      </w:r>
      <w:r>
        <w:rPr>
          <w:spacing w:val="-1"/>
        </w:rPr>
        <w:t xml:space="preserve"> </w:t>
      </w:r>
      <w:r>
        <w:t>services organizations and community</w:t>
      </w:r>
      <w:r>
        <w:rPr>
          <w:spacing w:val="-5"/>
        </w:rPr>
        <w:t xml:space="preserve"> </w:t>
      </w:r>
      <w:r>
        <w:t>based expertise.</w:t>
      </w:r>
    </w:p>
    <w:p w:rsidR="00D862F2" w:rsidRDefault="00D862F2">
      <w:pPr>
        <w:pStyle w:val="BodyText"/>
      </w:pPr>
    </w:p>
    <w:p w:rsidR="00D862F2" w:rsidRDefault="00884FE4">
      <w:pPr>
        <w:pStyle w:val="BodyText"/>
        <w:ind w:left="220" w:right="273"/>
        <w:jc w:val="both"/>
      </w:pPr>
      <w:r>
        <w:t>Every three years, the Applicant conducts a comprehensive community health needs assessment.</w:t>
      </w:r>
      <w:r>
        <w:rPr>
          <w:spacing w:val="1"/>
        </w:rPr>
        <w:t xml:space="preserve"> </w:t>
      </w:r>
      <w:r>
        <w:t>The</w:t>
      </w:r>
      <w:r>
        <w:rPr>
          <w:spacing w:val="1"/>
        </w:rPr>
        <w:t xml:space="preserve"> </w:t>
      </w:r>
      <w:r>
        <w:t>Applicant’s</w:t>
      </w:r>
      <w:r>
        <w:rPr>
          <w:spacing w:val="1"/>
        </w:rPr>
        <w:t xml:space="preserve"> </w:t>
      </w:r>
      <w:r>
        <w:t>most</w:t>
      </w:r>
      <w:r>
        <w:rPr>
          <w:spacing w:val="1"/>
        </w:rPr>
        <w:t xml:space="preserve"> </w:t>
      </w:r>
      <w:r>
        <w:t>recent</w:t>
      </w:r>
      <w:r>
        <w:rPr>
          <w:spacing w:val="1"/>
        </w:rPr>
        <w:t xml:space="preserve"> </w:t>
      </w:r>
      <w:r>
        <w:t>assessment</w:t>
      </w:r>
      <w:r>
        <w:rPr>
          <w:spacing w:val="1"/>
        </w:rPr>
        <w:t xml:space="preserve"> </w:t>
      </w:r>
      <w:r>
        <w:t>was</w:t>
      </w:r>
      <w:r>
        <w:rPr>
          <w:spacing w:val="1"/>
        </w:rPr>
        <w:t xml:space="preserve"> </w:t>
      </w:r>
      <w:r>
        <w:t>performed</w:t>
      </w:r>
      <w:r>
        <w:rPr>
          <w:spacing w:val="1"/>
        </w:rPr>
        <w:t xml:space="preserve"> </w:t>
      </w:r>
      <w:r>
        <w:t>in</w:t>
      </w:r>
      <w:r>
        <w:rPr>
          <w:spacing w:val="1"/>
        </w:rPr>
        <w:t xml:space="preserve"> </w:t>
      </w:r>
      <w:r>
        <w:t>2019.</w:t>
      </w:r>
      <w:r>
        <w:rPr>
          <w:spacing w:val="1"/>
        </w:rPr>
        <w:t xml:space="preserve"> </w:t>
      </w:r>
      <w:r>
        <w:t>The</w:t>
      </w:r>
      <w:r>
        <w:rPr>
          <w:spacing w:val="1"/>
        </w:rPr>
        <w:t xml:space="preserve"> </w:t>
      </w:r>
      <w:r>
        <w:t>key</w:t>
      </w:r>
      <w:r>
        <w:rPr>
          <w:spacing w:val="1"/>
        </w:rPr>
        <w:t xml:space="preserve"> </w:t>
      </w:r>
      <w:r>
        <w:t>themes</w:t>
      </w:r>
      <w:r>
        <w:rPr>
          <w:spacing w:val="1"/>
        </w:rPr>
        <w:t xml:space="preserve"> </w:t>
      </w:r>
      <w:r>
        <w:t>of</w:t>
      </w:r>
      <w:r>
        <w:rPr>
          <w:spacing w:val="1"/>
        </w:rPr>
        <w:t xml:space="preserve"> </w:t>
      </w:r>
      <w:r>
        <w:t>the</w:t>
      </w:r>
      <w:r>
        <w:rPr>
          <w:spacing w:val="1"/>
        </w:rPr>
        <w:t xml:space="preserve"> </w:t>
      </w:r>
      <w:r>
        <w:t>assessment</w:t>
      </w:r>
      <w:r>
        <w:rPr>
          <w:spacing w:val="1"/>
        </w:rPr>
        <w:t xml:space="preserve"> </w:t>
      </w:r>
      <w:r>
        <w:t>include</w:t>
      </w:r>
      <w:r>
        <w:rPr>
          <w:spacing w:val="1"/>
        </w:rPr>
        <w:t xml:space="preserve"> </w:t>
      </w:r>
      <w:r>
        <w:t>how</w:t>
      </w:r>
      <w:r>
        <w:rPr>
          <w:spacing w:val="1"/>
        </w:rPr>
        <w:t xml:space="preserve"> </w:t>
      </w:r>
      <w:r>
        <w:t>poverty impacts</w:t>
      </w:r>
      <w:r>
        <w:rPr>
          <w:spacing w:val="1"/>
        </w:rPr>
        <w:t xml:space="preserve"> </w:t>
      </w:r>
      <w:r>
        <w:t>child</w:t>
      </w:r>
      <w:r>
        <w:rPr>
          <w:spacing w:val="1"/>
        </w:rPr>
        <w:t xml:space="preserve"> </w:t>
      </w:r>
      <w:r>
        <w:t>and</w:t>
      </w:r>
      <w:r>
        <w:rPr>
          <w:spacing w:val="1"/>
        </w:rPr>
        <w:t xml:space="preserve"> </w:t>
      </w:r>
      <w:r>
        <w:t>community health,</w:t>
      </w:r>
      <w:r>
        <w:rPr>
          <w:spacing w:val="1"/>
        </w:rPr>
        <w:t xml:space="preserve"> </w:t>
      </w:r>
      <w:r>
        <w:t>access</w:t>
      </w:r>
      <w:r>
        <w:rPr>
          <w:spacing w:val="1"/>
        </w:rPr>
        <w:t xml:space="preserve"> </w:t>
      </w:r>
      <w:r>
        <w:t>to</w:t>
      </w:r>
      <w:r>
        <w:rPr>
          <w:spacing w:val="1"/>
        </w:rPr>
        <w:t xml:space="preserve"> </w:t>
      </w:r>
      <w:r>
        <w:t>stable</w:t>
      </w:r>
      <w:r>
        <w:rPr>
          <w:spacing w:val="1"/>
        </w:rPr>
        <w:t xml:space="preserve"> </w:t>
      </w:r>
      <w:r>
        <w:t>and</w:t>
      </w:r>
      <w:r>
        <w:rPr>
          <w:spacing w:val="1"/>
        </w:rPr>
        <w:t xml:space="preserve"> </w:t>
      </w:r>
      <w:r>
        <w:t>affordable housing, concerns about food access and insecurity, and the importance of prevention</w:t>
      </w:r>
      <w:r>
        <w:rPr>
          <w:spacing w:val="1"/>
        </w:rPr>
        <w:t xml:space="preserve"> </w:t>
      </w:r>
      <w:r>
        <w:t>and</w:t>
      </w:r>
      <w:r>
        <w:rPr>
          <w:spacing w:val="13"/>
        </w:rPr>
        <w:t xml:space="preserve"> </w:t>
      </w:r>
      <w:r>
        <w:t>focus</w:t>
      </w:r>
      <w:r>
        <w:rPr>
          <w:spacing w:val="16"/>
        </w:rPr>
        <w:t xml:space="preserve"> </w:t>
      </w:r>
      <w:r>
        <w:t>on</w:t>
      </w:r>
      <w:r>
        <w:rPr>
          <w:spacing w:val="14"/>
        </w:rPr>
        <w:t xml:space="preserve"> </w:t>
      </w:r>
      <w:r>
        <w:t>early</w:t>
      </w:r>
      <w:r>
        <w:rPr>
          <w:spacing w:val="11"/>
        </w:rPr>
        <w:t xml:space="preserve"> </w:t>
      </w:r>
      <w:r>
        <w:t>childhood.</w:t>
      </w:r>
      <w:r>
        <w:rPr>
          <w:spacing w:val="13"/>
        </w:rPr>
        <w:t xml:space="preserve"> </w:t>
      </w:r>
      <w:r>
        <w:t>The</w:t>
      </w:r>
      <w:r>
        <w:rPr>
          <w:spacing w:val="13"/>
        </w:rPr>
        <w:t xml:space="preserve"> </w:t>
      </w:r>
      <w:r>
        <w:t>Applicant’s</w:t>
      </w:r>
      <w:r>
        <w:rPr>
          <w:spacing w:val="13"/>
        </w:rPr>
        <w:t xml:space="preserve"> </w:t>
      </w:r>
      <w:r>
        <w:t>2019</w:t>
      </w:r>
      <w:r>
        <w:rPr>
          <w:spacing w:val="13"/>
        </w:rPr>
        <w:t xml:space="preserve"> </w:t>
      </w:r>
      <w:r>
        <w:t>assessment</w:t>
      </w:r>
      <w:r>
        <w:rPr>
          <w:spacing w:val="14"/>
        </w:rPr>
        <w:t xml:space="preserve"> </w:t>
      </w:r>
      <w:r>
        <w:t>indicates</w:t>
      </w:r>
      <w:r>
        <w:rPr>
          <w:spacing w:val="16"/>
        </w:rPr>
        <w:t xml:space="preserve"> </w:t>
      </w:r>
      <w:r>
        <w:t>that</w:t>
      </w:r>
      <w:r>
        <w:rPr>
          <w:spacing w:val="13"/>
        </w:rPr>
        <w:t xml:space="preserve"> </w:t>
      </w:r>
      <w:r>
        <w:t>families</w:t>
      </w:r>
      <w:r>
        <w:rPr>
          <w:spacing w:val="14"/>
        </w:rPr>
        <w:t xml:space="preserve"> </w:t>
      </w:r>
      <w:r>
        <w:t>continue</w:t>
      </w:r>
      <w:r>
        <w:rPr>
          <w:spacing w:val="-58"/>
        </w:rPr>
        <w:t xml:space="preserve"> </w:t>
      </w:r>
      <w:r>
        <w:t>to be concerned with heath issues around asthma, obesity, and mental/behavioral health. The</w:t>
      </w:r>
      <w:r>
        <w:rPr>
          <w:spacing w:val="1"/>
        </w:rPr>
        <w:t xml:space="preserve"> </w:t>
      </w:r>
      <w:r>
        <w:t>assessment’s</w:t>
      </w:r>
      <w:r>
        <w:rPr>
          <w:spacing w:val="1"/>
        </w:rPr>
        <w:t xml:space="preserve"> </w:t>
      </w:r>
      <w:r>
        <w:t>findings</w:t>
      </w:r>
      <w:r>
        <w:rPr>
          <w:spacing w:val="1"/>
        </w:rPr>
        <w:t xml:space="preserve"> </w:t>
      </w:r>
      <w:r>
        <w:t>have</w:t>
      </w:r>
      <w:r>
        <w:rPr>
          <w:spacing w:val="1"/>
        </w:rPr>
        <w:t xml:space="preserve"> </w:t>
      </w:r>
      <w:r>
        <w:t>informed</w:t>
      </w:r>
      <w:r>
        <w:rPr>
          <w:spacing w:val="1"/>
        </w:rPr>
        <w:t xml:space="preserve"> </w:t>
      </w:r>
      <w:r>
        <w:t>the</w:t>
      </w:r>
      <w:r>
        <w:rPr>
          <w:spacing w:val="1"/>
        </w:rPr>
        <w:t xml:space="preserve"> </w:t>
      </w:r>
      <w:r>
        <w:t>Applicant’s</w:t>
      </w:r>
      <w:r>
        <w:rPr>
          <w:spacing w:val="1"/>
        </w:rPr>
        <w:t xml:space="preserve"> </w:t>
      </w:r>
      <w:r>
        <w:t>Strategic</w:t>
      </w:r>
      <w:r>
        <w:rPr>
          <w:spacing w:val="1"/>
        </w:rPr>
        <w:t xml:space="preserve"> </w:t>
      </w:r>
      <w:r>
        <w:t>Implementation</w:t>
      </w:r>
      <w:r>
        <w:rPr>
          <w:spacing w:val="1"/>
        </w:rPr>
        <w:t xml:space="preserve"> </w:t>
      </w:r>
      <w:r>
        <w:t>Plan,</w:t>
      </w:r>
      <w:r>
        <w:rPr>
          <w:spacing w:val="1"/>
        </w:rPr>
        <w:t xml:space="preserve"> </w:t>
      </w:r>
      <w:r>
        <w:t>which</w:t>
      </w:r>
      <w:r>
        <w:rPr>
          <w:spacing w:val="1"/>
        </w:rPr>
        <w:t xml:space="preserve"> </w:t>
      </w:r>
      <w:r>
        <w:t>outlines how resources will be used and how it will partner with others to improve community</w:t>
      </w:r>
      <w:r>
        <w:rPr>
          <w:spacing w:val="1"/>
        </w:rPr>
        <w:t xml:space="preserve"> </w:t>
      </w:r>
      <w:r>
        <w:t>health. The chart included below sets forth the goals and objectives of the Hospital’s Community</w:t>
      </w:r>
      <w:r>
        <w:rPr>
          <w:spacing w:val="-57"/>
        </w:rPr>
        <w:t xml:space="preserve"> </w:t>
      </w:r>
      <w:r>
        <w:t>Health</w:t>
      </w:r>
      <w:r>
        <w:rPr>
          <w:spacing w:val="-1"/>
        </w:rPr>
        <w:t xml:space="preserve"> </w:t>
      </w:r>
      <w:r>
        <w:t>Strategic</w:t>
      </w:r>
      <w:r>
        <w:rPr>
          <w:spacing w:val="1"/>
        </w:rPr>
        <w:t xml:space="preserve"> </w:t>
      </w:r>
      <w:r>
        <w:t>Implementation Plan of</w:t>
      </w:r>
      <w:r>
        <w:rPr>
          <w:spacing w:val="-2"/>
        </w:rPr>
        <w:t xml:space="preserve"> </w:t>
      </w:r>
      <w:r>
        <w:t>December</w:t>
      </w:r>
      <w:r>
        <w:rPr>
          <w:spacing w:val="-1"/>
        </w:rPr>
        <w:t xml:space="preserve"> </w:t>
      </w:r>
      <w:r>
        <w:t>2019.</w:t>
      </w:r>
    </w:p>
    <w:p w:rsidR="00D862F2" w:rsidRDefault="00884FE4">
      <w:pPr>
        <w:pStyle w:val="BodyText"/>
        <w:spacing w:before="7"/>
        <w:rPr>
          <w:sz w:val="22"/>
        </w:rPr>
      </w:pPr>
      <w:r>
        <w:rPr>
          <w:noProof/>
        </w:rPr>
        <w:drawing>
          <wp:anchor distT="0" distB="0" distL="0" distR="0" simplePos="0" relativeHeight="10" behindDoc="0" locked="0" layoutInCell="1" allowOverlap="1">
            <wp:simplePos x="0" y="0"/>
            <wp:positionH relativeFrom="page">
              <wp:posOffset>914400</wp:posOffset>
            </wp:positionH>
            <wp:positionV relativeFrom="paragraph">
              <wp:posOffset>180664</wp:posOffset>
            </wp:positionV>
            <wp:extent cx="5891806" cy="3442144"/>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5891806" cy="3442144"/>
                    </a:xfrm>
                    <a:prstGeom prst="rect">
                      <a:avLst/>
                    </a:prstGeom>
                  </pic:spPr>
                </pic:pic>
              </a:graphicData>
            </a:graphic>
          </wp:anchor>
        </w:drawing>
      </w:r>
    </w:p>
    <w:p w:rsidR="00D862F2" w:rsidRDefault="00D862F2">
      <w:pPr>
        <w:sectPr w:rsidR="00D862F2">
          <w:pgSz w:w="12240" w:h="15840"/>
          <w:pgMar w:top="1340" w:right="1160" w:bottom="980" w:left="1220" w:header="722" w:footer="794" w:gutter="0"/>
          <w:cols w:space="720"/>
        </w:sectPr>
      </w:pPr>
    </w:p>
    <w:p w:rsidR="00D862F2" w:rsidRDefault="00884FE4">
      <w:pPr>
        <w:spacing w:before="93"/>
        <w:ind w:left="220"/>
        <w:rPr>
          <w:b/>
          <w:sz w:val="24"/>
        </w:rPr>
      </w:pPr>
      <w:r>
        <w:rPr>
          <w:b/>
          <w:sz w:val="24"/>
          <w:u w:val="single"/>
        </w:rPr>
        <w:lastRenderedPageBreak/>
        <w:t>Factor</w:t>
      </w:r>
      <w:r>
        <w:rPr>
          <w:b/>
          <w:spacing w:val="-2"/>
          <w:sz w:val="24"/>
          <w:u w:val="single"/>
        </w:rPr>
        <w:t xml:space="preserve"> </w:t>
      </w:r>
      <w:r>
        <w:rPr>
          <w:b/>
          <w:sz w:val="24"/>
          <w:u w:val="single"/>
        </w:rPr>
        <w:t>5:</w:t>
      </w:r>
      <w:r>
        <w:rPr>
          <w:b/>
          <w:spacing w:val="59"/>
          <w:sz w:val="24"/>
          <w:u w:val="single"/>
        </w:rPr>
        <w:t xml:space="preserve"> </w:t>
      </w:r>
      <w:r>
        <w:rPr>
          <w:b/>
          <w:sz w:val="24"/>
          <w:u w:val="single"/>
        </w:rPr>
        <w:t>Relative Merit</w:t>
      </w:r>
    </w:p>
    <w:p w:rsidR="00D862F2" w:rsidRDefault="00D862F2">
      <w:pPr>
        <w:pStyle w:val="BodyText"/>
        <w:spacing w:before="7"/>
        <w:rPr>
          <w:b/>
          <w:sz w:val="17"/>
        </w:rPr>
      </w:pPr>
    </w:p>
    <w:p w:rsidR="00D862F2" w:rsidRDefault="00884FE4">
      <w:pPr>
        <w:pStyle w:val="Heading3"/>
        <w:spacing w:before="90"/>
        <w:jc w:val="left"/>
      </w:pPr>
      <w:r>
        <w:t>F5.a.i</w:t>
      </w:r>
    </w:p>
    <w:p w:rsidR="00D862F2" w:rsidRDefault="00884FE4">
      <w:pPr>
        <w:ind w:left="939" w:right="278"/>
        <w:jc w:val="both"/>
        <w:rPr>
          <w:b/>
          <w:sz w:val="24"/>
        </w:rPr>
      </w:pPr>
      <w:r>
        <w:rPr>
          <w:b/>
          <w:sz w:val="24"/>
        </w:rPr>
        <w:t>Describe the process of analysis and the conclusion that the Proposed Project, on</w:t>
      </w:r>
      <w:r>
        <w:rPr>
          <w:b/>
          <w:spacing w:val="1"/>
          <w:sz w:val="24"/>
        </w:rPr>
        <w:t xml:space="preserve"> </w:t>
      </w:r>
      <w:r>
        <w:rPr>
          <w:b/>
          <w:sz w:val="24"/>
        </w:rPr>
        <w:t>balance, is superior to alternative and substitutive methods for meeting the existing</w:t>
      </w:r>
      <w:r>
        <w:rPr>
          <w:b/>
          <w:spacing w:val="1"/>
          <w:sz w:val="24"/>
        </w:rPr>
        <w:t xml:space="preserve"> </w:t>
      </w:r>
      <w:r>
        <w:rPr>
          <w:b/>
          <w:sz w:val="24"/>
        </w:rPr>
        <w:t>Patient Panel needs as those have been identified by the Applicant pursuant to 105</w:t>
      </w:r>
      <w:r>
        <w:rPr>
          <w:b/>
          <w:spacing w:val="1"/>
          <w:sz w:val="24"/>
        </w:rPr>
        <w:t xml:space="preserve"> </w:t>
      </w:r>
      <w:r>
        <w:rPr>
          <w:b/>
          <w:sz w:val="24"/>
        </w:rPr>
        <w:t>CMR 100.210(A)(1).</w:t>
      </w:r>
      <w:r>
        <w:rPr>
          <w:b/>
          <w:spacing w:val="1"/>
          <w:sz w:val="24"/>
        </w:rPr>
        <w:t xml:space="preserve"> </w:t>
      </w:r>
      <w:r>
        <w:rPr>
          <w:b/>
          <w:sz w:val="24"/>
        </w:rPr>
        <w:t>When conducting this evaluation and articulating the relative</w:t>
      </w:r>
      <w:r>
        <w:rPr>
          <w:b/>
          <w:spacing w:val="1"/>
          <w:sz w:val="24"/>
        </w:rPr>
        <w:t xml:space="preserve"> </w:t>
      </w:r>
      <w:r>
        <w:rPr>
          <w:b/>
          <w:sz w:val="24"/>
        </w:rPr>
        <w:t>merit determination, Applicant shall take into account, at a minimum, the quality,</w:t>
      </w:r>
      <w:r>
        <w:rPr>
          <w:b/>
          <w:spacing w:val="1"/>
          <w:sz w:val="24"/>
        </w:rPr>
        <w:t xml:space="preserve"> </w:t>
      </w:r>
      <w:r>
        <w:rPr>
          <w:b/>
          <w:sz w:val="24"/>
        </w:rPr>
        <w:t>efficiency,</w:t>
      </w:r>
      <w:r>
        <w:rPr>
          <w:b/>
          <w:spacing w:val="1"/>
          <w:sz w:val="24"/>
        </w:rPr>
        <w:t xml:space="preserve"> </w:t>
      </w:r>
      <w:r>
        <w:rPr>
          <w:b/>
          <w:sz w:val="24"/>
        </w:rPr>
        <w:t>and</w:t>
      </w:r>
      <w:r>
        <w:rPr>
          <w:b/>
          <w:spacing w:val="1"/>
          <w:sz w:val="24"/>
        </w:rPr>
        <w:t xml:space="preserve"> </w:t>
      </w:r>
      <w:r>
        <w:rPr>
          <w:b/>
          <w:sz w:val="24"/>
        </w:rPr>
        <w:t>capital</w:t>
      </w:r>
      <w:r>
        <w:rPr>
          <w:b/>
          <w:spacing w:val="1"/>
          <w:sz w:val="24"/>
        </w:rPr>
        <w:t xml:space="preserve"> </w:t>
      </w:r>
      <w:r>
        <w:rPr>
          <w:b/>
          <w:sz w:val="24"/>
        </w:rPr>
        <w:t>and</w:t>
      </w:r>
      <w:r>
        <w:rPr>
          <w:b/>
          <w:spacing w:val="1"/>
          <w:sz w:val="24"/>
        </w:rPr>
        <w:t xml:space="preserve"> </w:t>
      </w:r>
      <w:r>
        <w:rPr>
          <w:b/>
          <w:sz w:val="24"/>
        </w:rPr>
        <w:t>operating</w:t>
      </w:r>
      <w:r>
        <w:rPr>
          <w:b/>
          <w:spacing w:val="1"/>
          <w:sz w:val="24"/>
        </w:rPr>
        <w:t xml:space="preserve"> </w:t>
      </w:r>
      <w:r>
        <w:rPr>
          <w:b/>
          <w:sz w:val="24"/>
        </w:rPr>
        <w:t>costs</w:t>
      </w:r>
      <w:r>
        <w:rPr>
          <w:b/>
          <w:spacing w:val="1"/>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Proposed</w:t>
      </w:r>
      <w:r>
        <w:rPr>
          <w:b/>
          <w:spacing w:val="1"/>
          <w:sz w:val="24"/>
        </w:rPr>
        <w:t xml:space="preserve"> </w:t>
      </w:r>
      <w:r>
        <w:rPr>
          <w:b/>
          <w:sz w:val="24"/>
        </w:rPr>
        <w:t>Project</w:t>
      </w:r>
      <w:r>
        <w:rPr>
          <w:b/>
          <w:spacing w:val="1"/>
          <w:sz w:val="24"/>
        </w:rPr>
        <w:t xml:space="preserve"> </w:t>
      </w:r>
      <w:r>
        <w:rPr>
          <w:b/>
          <w:sz w:val="24"/>
        </w:rPr>
        <w:t>relative</w:t>
      </w:r>
      <w:r>
        <w:rPr>
          <w:b/>
          <w:spacing w:val="1"/>
          <w:sz w:val="24"/>
        </w:rPr>
        <w:t xml:space="preserve"> </w:t>
      </w:r>
      <w:r>
        <w:rPr>
          <w:b/>
          <w:sz w:val="24"/>
        </w:rPr>
        <w:t>to</w:t>
      </w:r>
      <w:r>
        <w:rPr>
          <w:b/>
          <w:spacing w:val="1"/>
          <w:sz w:val="24"/>
        </w:rPr>
        <w:t xml:space="preserve"> </w:t>
      </w:r>
      <w:r>
        <w:rPr>
          <w:b/>
          <w:sz w:val="24"/>
        </w:rPr>
        <w:t>potential alternatives or substitutes, including alternative evidence-based strategies</w:t>
      </w:r>
      <w:r>
        <w:rPr>
          <w:b/>
          <w:spacing w:val="1"/>
          <w:sz w:val="24"/>
        </w:rPr>
        <w:t xml:space="preserve"> </w:t>
      </w:r>
      <w:r>
        <w:rPr>
          <w:b/>
          <w:sz w:val="24"/>
        </w:rPr>
        <w:t>and</w:t>
      </w:r>
      <w:r>
        <w:rPr>
          <w:b/>
          <w:spacing w:val="-1"/>
          <w:sz w:val="24"/>
        </w:rPr>
        <w:t xml:space="preserve"> </w:t>
      </w:r>
      <w:r>
        <w:rPr>
          <w:b/>
          <w:sz w:val="24"/>
        </w:rPr>
        <w:t>public</w:t>
      </w:r>
      <w:r>
        <w:rPr>
          <w:b/>
          <w:spacing w:val="-1"/>
          <w:sz w:val="24"/>
        </w:rPr>
        <w:t xml:space="preserve"> </w:t>
      </w:r>
      <w:r>
        <w:rPr>
          <w:b/>
          <w:sz w:val="24"/>
        </w:rPr>
        <w:t>health interventions.</w:t>
      </w:r>
    </w:p>
    <w:p w:rsidR="00D862F2" w:rsidRDefault="00D862F2">
      <w:pPr>
        <w:pStyle w:val="BodyText"/>
        <w:spacing w:before="3"/>
        <w:rPr>
          <w:b/>
          <w:sz w:val="17"/>
        </w:rPr>
      </w:pPr>
    </w:p>
    <w:p w:rsidR="00D862F2" w:rsidRDefault="00884FE4">
      <w:pPr>
        <w:pStyle w:val="BodyText"/>
        <w:spacing w:before="90"/>
        <w:ind w:left="219" w:right="273"/>
        <w:jc w:val="both"/>
      </w:pPr>
      <w:r>
        <w:t>The Applicant has an existing ambulatory footprint in the community that it has consciously</w:t>
      </w:r>
      <w:r>
        <w:rPr>
          <w:spacing w:val="1"/>
        </w:rPr>
        <w:t xml:space="preserve"> </w:t>
      </w:r>
      <w:r>
        <w:t>developed in recent</w:t>
      </w:r>
      <w:r>
        <w:rPr>
          <w:spacing w:val="1"/>
        </w:rPr>
        <w:t xml:space="preserve"> </w:t>
      </w:r>
      <w:r>
        <w:t>decades to provide comprehensive care designed to meet</w:t>
      </w:r>
      <w:r>
        <w:rPr>
          <w:spacing w:val="1"/>
        </w:rPr>
        <w:t xml:space="preserve"> </w:t>
      </w:r>
      <w:r>
        <w:t>the needs of</w:t>
      </w:r>
      <w:r>
        <w:rPr>
          <w:spacing w:val="1"/>
        </w:rPr>
        <w:t xml:space="preserve"> </w:t>
      </w:r>
      <w:r>
        <w:t>children.</w:t>
      </w:r>
      <w:r>
        <w:rPr>
          <w:spacing w:val="1"/>
        </w:rPr>
        <w:t xml:space="preserve"> </w:t>
      </w:r>
      <w:r>
        <w:t>As</w:t>
      </w:r>
      <w:r>
        <w:rPr>
          <w:spacing w:val="1"/>
        </w:rPr>
        <w:t xml:space="preserve"> </w:t>
      </w:r>
      <w:r>
        <w:t>discussed</w:t>
      </w:r>
      <w:r>
        <w:rPr>
          <w:spacing w:val="1"/>
        </w:rPr>
        <w:t xml:space="preserve"> </w:t>
      </w:r>
      <w:r>
        <w:t>in</w:t>
      </w:r>
      <w:r>
        <w:rPr>
          <w:spacing w:val="1"/>
        </w:rPr>
        <w:t xml:space="preserve"> </w:t>
      </w:r>
      <w:r>
        <w:t>F1.a.ii,</w:t>
      </w:r>
      <w:r>
        <w:rPr>
          <w:spacing w:val="1"/>
        </w:rPr>
        <w:t xml:space="preserve"> </w:t>
      </w:r>
      <w:r>
        <w:t>there</w:t>
      </w:r>
      <w:r>
        <w:rPr>
          <w:spacing w:val="1"/>
        </w:rPr>
        <w:t xml:space="preserve"> </w:t>
      </w:r>
      <w:r>
        <w:t>is</w:t>
      </w:r>
      <w:r>
        <w:rPr>
          <w:spacing w:val="1"/>
        </w:rPr>
        <w:t xml:space="preserve"> </w:t>
      </w:r>
      <w:r>
        <w:t>a</w:t>
      </w:r>
      <w:r>
        <w:rPr>
          <w:spacing w:val="1"/>
        </w:rPr>
        <w:t xml:space="preserve"> </w:t>
      </w:r>
      <w:r>
        <w:t>demonstrated</w:t>
      </w:r>
      <w:r>
        <w:rPr>
          <w:spacing w:val="1"/>
        </w:rPr>
        <w:t xml:space="preserve"> </w:t>
      </w:r>
      <w:r>
        <w:t>need</w:t>
      </w:r>
      <w:r>
        <w:rPr>
          <w:spacing w:val="1"/>
        </w:rPr>
        <w:t xml:space="preserve"> </w:t>
      </w:r>
      <w:r>
        <w:t>in</w:t>
      </w:r>
      <w:r>
        <w:rPr>
          <w:spacing w:val="1"/>
        </w:rPr>
        <w:t xml:space="preserve"> </w:t>
      </w:r>
      <w:r>
        <w:t>the</w:t>
      </w:r>
      <w:r>
        <w:rPr>
          <w:spacing w:val="1"/>
        </w:rPr>
        <w:t xml:space="preserve"> </w:t>
      </w:r>
      <w:r>
        <w:t>Commonwealth</w:t>
      </w:r>
      <w:r>
        <w:rPr>
          <w:spacing w:val="60"/>
        </w:rPr>
        <w:t xml:space="preserve"> </w:t>
      </w:r>
      <w:r>
        <w:t>for</w:t>
      </w:r>
      <w:r>
        <w:rPr>
          <w:spacing w:val="1"/>
        </w:rPr>
        <w:t xml:space="preserve"> </w:t>
      </w:r>
      <w:r>
        <w:t>enhanced pediatric services, including behavioral health, gastroenterology and behavioral health,</w:t>
      </w:r>
      <w:r>
        <w:rPr>
          <w:spacing w:val="1"/>
        </w:rPr>
        <w:t xml:space="preserve"> </w:t>
      </w:r>
      <w:r>
        <w:t>day surgery, imaging, and other specialties. In regard to the Waltham Facility and the Needham</w:t>
      </w:r>
      <w:r>
        <w:rPr>
          <w:spacing w:val="1"/>
        </w:rPr>
        <w:t xml:space="preserve"> </w:t>
      </w:r>
      <w:r>
        <w:t>Facility, the Applicant has evaluated a plethora of different options over the past five years to</w:t>
      </w:r>
      <w:r>
        <w:rPr>
          <w:spacing w:val="1"/>
        </w:rPr>
        <w:t xml:space="preserve"> </w:t>
      </w:r>
      <w:r>
        <w:t>meet the evolving needs of its Patient Panel. The Waltham Facility and the Weymouth Facility</w:t>
      </w:r>
      <w:r>
        <w:rPr>
          <w:spacing w:val="1"/>
        </w:rPr>
        <w:t xml:space="preserve"> </w:t>
      </w:r>
      <w:r>
        <w:t>were</w:t>
      </w:r>
      <w:r>
        <w:rPr>
          <w:spacing w:val="1"/>
        </w:rPr>
        <w:t xml:space="preserve"> </w:t>
      </w:r>
      <w:r>
        <w:t>selected for</w:t>
      </w:r>
      <w:r>
        <w:rPr>
          <w:spacing w:val="60"/>
        </w:rPr>
        <w:t xml:space="preserve"> </w:t>
      </w:r>
      <w:r>
        <w:t>the addition of the MRI units as they provide the best access to the most</w:t>
      </w:r>
      <w:r>
        <w:rPr>
          <w:spacing w:val="1"/>
        </w:rPr>
        <w:t xml:space="preserve"> </w:t>
      </w:r>
      <w:r>
        <w:t>patients residing in the community, particularly in the Metro West communities from which a</w:t>
      </w:r>
      <w:r>
        <w:rPr>
          <w:spacing w:val="1"/>
        </w:rPr>
        <w:t xml:space="preserve"> </w:t>
      </w:r>
      <w:r>
        <w:t>third of the Applicant’s MRI volume resides. With the Proposed Project, the Applicant will</w:t>
      </w:r>
      <w:r>
        <w:rPr>
          <w:spacing w:val="1"/>
        </w:rPr>
        <w:t xml:space="preserve"> </w:t>
      </w:r>
      <w:r>
        <w:t>provide pediatric focused diagnostic and therapeutic services that currently do not exist in the</w:t>
      </w:r>
      <w:r>
        <w:rPr>
          <w:spacing w:val="1"/>
        </w:rPr>
        <w:t xml:space="preserve"> </w:t>
      </w:r>
      <w:r>
        <w:t>proposed</w:t>
      </w:r>
      <w:r>
        <w:rPr>
          <w:spacing w:val="-1"/>
        </w:rPr>
        <w:t xml:space="preserve"> </w:t>
      </w:r>
      <w:r>
        <w:t>Weymouth service</w:t>
      </w:r>
      <w:r>
        <w:rPr>
          <w:spacing w:val="-1"/>
        </w:rPr>
        <w:t xml:space="preserve"> </w:t>
      </w:r>
      <w:r>
        <w:t>area.</w:t>
      </w:r>
    </w:p>
    <w:p w:rsidR="00D862F2" w:rsidRDefault="00D862F2">
      <w:pPr>
        <w:pStyle w:val="BodyText"/>
      </w:pPr>
    </w:p>
    <w:p w:rsidR="00D862F2" w:rsidRDefault="00884FE4">
      <w:pPr>
        <w:pStyle w:val="BodyText"/>
        <w:ind w:left="219" w:right="273"/>
        <w:jc w:val="both"/>
      </w:pPr>
      <w:r>
        <w:t>With respect to the aspects of the Proposed Project relating to the Waltham Facility and the</w:t>
      </w:r>
      <w:r>
        <w:rPr>
          <w:spacing w:val="1"/>
        </w:rPr>
        <w:t xml:space="preserve"> </w:t>
      </w:r>
      <w:r>
        <w:t>Needham Facility, the Hospital conducted a detailed evaluation of two alternatives (summarized</w:t>
      </w:r>
      <w:r>
        <w:rPr>
          <w:spacing w:val="1"/>
        </w:rPr>
        <w:t xml:space="preserve"> </w:t>
      </w:r>
      <w:r>
        <w:t>in the table below). The Hospital considered an eight-story addition to the Waltham Facility’s</w:t>
      </w:r>
      <w:r>
        <w:rPr>
          <w:spacing w:val="1"/>
        </w:rPr>
        <w:t xml:space="preserve"> </w:t>
      </w:r>
      <w:r>
        <w:t>campus, although that alternative would have cost $460 million alone. Another possible addition</w:t>
      </w:r>
      <w:r>
        <w:rPr>
          <w:spacing w:val="1"/>
        </w:rPr>
        <w:t xml:space="preserve"> </w:t>
      </w:r>
      <w:r>
        <w:t>design was considered as well, costing approximately $600 million. Both alternative proposals</w:t>
      </w:r>
      <w:r>
        <w:rPr>
          <w:spacing w:val="1"/>
        </w:rPr>
        <w:t xml:space="preserve"> </w:t>
      </w:r>
      <w:r>
        <w:t>would have resulted in a less operationally efficient design and faced significant challenges in</w:t>
      </w:r>
      <w:r>
        <w:rPr>
          <w:spacing w:val="1"/>
        </w:rPr>
        <w:t xml:space="preserve"> </w:t>
      </w:r>
      <w:r>
        <w:t>obtaining requisite local approvals.</w:t>
      </w:r>
      <w:r>
        <w:rPr>
          <w:spacing w:val="1"/>
        </w:rPr>
        <w:t xml:space="preserve"> </w:t>
      </w:r>
      <w:r>
        <w:t>Further, as the needs of its Patient Panel grew beyond initial</w:t>
      </w:r>
      <w:r>
        <w:rPr>
          <w:spacing w:val="1"/>
        </w:rPr>
        <w:t xml:space="preserve"> </w:t>
      </w:r>
      <w:r>
        <w:t>projections, the Hospital recognized that expansion on the Waltham Facility campus alone would</w:t>
      </w:r>
      <w:r>
        <w:rPr>
          <w:spacing w:val="-57"/>
        </w:rPr>
        <w:t xml:space="preserve"> </w:t>
      </w:r>
      <w:r>
        <w:t>not adequately accommodate those needs. The Applicant then evaluated a series of other real</w:t>
      </w:r>
      <w:r>
        <w:rPr>
          <w:spacing w:val="1"/>
        </w:rPr>
        <w:t xml:space="preserve"> </w:t>
      </w:r>
      <w:r>
        <w:t>estate options</w:t>
      </w:r>
      <w:r>
        <w:rPr>
          <w:spacing w:val="1"/>
        </w:rPr>
        <w:t xml:space="preserve"> </w:t>
      </w:r>
      <w:r>
        <w:t>in the</w:t>
      </w:r>
      <w:r>
        <w:rPr>
          <w:spacing w:val="1"/>
        </w:rPr>
        <w:t xml:space="preserve"> </w:t>
      </w:r>
      <w:r>
        <w:t>general</w:t>
      </w:r>
      <w:r>
        <w:rPr>
          <w:spacing w:val="1"/>
        </w:rPr>
        <w:t xml:space="preserve"> </w:t>
      </w:r>
      <w:r>
        <w:t>metro</w:t>
      </w:r>
      <w:r>
        <w:rPr>
          <w:spacing w:val="1"/>
        </w:rPr>
        <w:t xml:space="preserve"> </w:t>
      </w:r>
      <w:r>
        <w:t>west</w:t>
      </w:r>
      <w:r>
        <w:rPr>
          <w:spacing w:val="1"/>
        </w:rPr>
        <w:t xml:space="preserve"> </w:t>
      </w:r>
      <w:r>
        <w:t>area based on accessibility to</w:t>
      </w:r>
      <w:r>
        <w:rPr>
          <w:spacing w:val="60"/>
        </w:rPr>
        <w:t xml:space="preserve"> </w:t>
      </w:r>
      <w:r>
        <w:t>major transportation</w:t>
      </w:r>
      <w:r>
        <w:rPr>
          <w:spacing w:val="1"/>
        </w:rPr>
        <w:t xml:space="preserve"> </w:t>
      </w:r>
      <w:r>
        <w:t>routes, space costs, and size of facility and determined that the Needham Facility coupled with</w:t>
      </w:r>
      <w:r>
        <w:rPr>
          <w:spacing w:val="1"/>
        </w:rPr>
        <w:t xml:space="preserve"> </w:t>
      </w:r>
      <w:r>
        <w:t>the renovation of the Waltham Facility would best meet the needs of its patients, and that the</w:t>
      </w:r>
      <w:r>
        <w:rPr>
          <w:spacing w:val="1"/>
        </w:rPr>
        <w:t xml:space="preserve"> </w:t>
      </w:r>
      <w:r>
        <w:t>financial feasibility of the Proposed Project depends on completion of both the Waltham Facility</w:t>
      </w:r>
      <w:r>
        <w:rPr>
          <w:spacing w:val="1"/>
        </w:rPr>
        <w:t xml:space="preserve"> </w:t>
      </w:r>
      <w:r>
        <w:t>and</w:t>
      </w:r>
      <w:r>
        <w:rPr>
          <w:spacing w:val="-1"/>
        </w:rPr>
        <w:t xml:space="preserve"> </w:t>
      </w:r>
      <w:r>
        <w:t>the</w:t>
      </w:r>
      <w:r>
        <w:rPr>
          <w:spacing w:val="-1"/>
        </w:rPr>
        <w:t xml:space="preserve"> </w:t>
      </w:r>
      <w:r>
        <w:t>Needham Facility.</w:t>
      </w:r>
    </w:p>
    <w:p w:rsidR="00D862F2" w:rsidRDefault="00D862F2">
      <w:pPr>
        <w:jc w:val="both"/>
        <w:sectPr w:rsidR="00D862F2">
          <w:pgSz w:w="12240" w:h="15840"/>
          <w:pgMar w:top="1340" w:right="1160" w:bottom="980" w:left="1220" w:header="722" w:footer="794" w:gutter="0"/>
          <w:cols w:space="720"/>
        </w:sectPr>
      </w:pPr>
    </w:p>
    <w:p w:rsidR="00D862F2" w:rsidRDefault="00884FE4">
      <w:pPr>
        <w:pStyle w:val="BodyText"/>
        <w:spacing w:before="88"/>
        <w:ind w:left="2792" w:right="2849"/>
        <w:jc w:val="center"/>
      </w:pPr>
      <w:r>
        <w:rPr>
          <w:u w:val="single"/>
        </w:rPr>
        <w:lastRenderedPageBreak/>
        <w:t>Waltham</w:t>
      </w:r>
      <w:r>
        <w:rPr>
          <w:spacing w:val="-2"/>
          <w:u w:val="single"/>
        </w:rPr>
        <w:t xml:space="preserve"> </w:t>
      </w:r>
      <w:r>
        <w:rPr>
          <w:u w:val="single"/>
        </w:rPr>
        <w:t>Facility</w:t>
      </w:r>
      <w:r>
        <w:rPr>
          <w:spacing w:val="-6"/>
          <w:u w:val="single"/>
        </w:rPr>
        <w:t xml:space="preserve"> </w:t>
      </w:r>
      <w:r>
        <w:rPr>
          <w:u w:val="single"/>
        </w:rPr>
        <w:t>and</w:t>
      </w:r>
      <w:r>
        <w:rPr>
          <w:spacing w:val="1"/>
          <w:u w:val="single"/>
        </w:rPr>
        <w:t xml:space="preserve"> </w:t>
      </w:r>
      <w:r>
        <w:rPr>
          <w:u w:val="single"/>
        </w:rPr>
        <w:t>Needham</w:t>
      </w:r>
      <w:r>
        <w:rPr>
          <w:spacing w:val="-1"/>
          <w:u w:val="single"/>
        </w:rPr>
        <w:t xml:space="preserve"> </w:t>
      </w:r>
      <w:r>
        <w:rPr>
          <w:u w:val="single"/>
        </w:rPr>
        <w:t>Facility</w:t>
      </w:r>
    </w:p>
    <w:p w:rsidR="00D862F2" w:rsidRDefault="00D862F2">
      <w:pPr>
        <w:pStyle w:val="BodyText"/>
        <w:spacing w:before="8"/>
      </w:pPr>
    </w:p>
    <w:tbl>
      <w:tblPr>
        <w:tblW w:w="0" w:type="auto"/>
        <w:tblInd w:w="4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90"/>
        <w:gridCol w:w="2500"/>
        <w:gridCol w:w="2507"/>
        <w:gridCol w:w="2490"/>
      </w:tblGrid>
      <w:tr w:rsidR="00D862F2">
        <w:trPr>
          <w:trHeight w:val="229"/>
        </w:trPr>
        <w:tc>
          <w:tcPr>
            <w:tcW w:w="1490" w:type="dxa"/>
            <w:tcBorders>
              <w:top w:val="nil"/>
              <w:left w:val="nil"/>
            </w:tcBorders>
          </w:tcPr>
          <w:p w:rsidR="00D862F2" w:rsidRDefault="00D862F2">
            <w:pPr>
              <w:pStyle w:val="TableParagraph"/>
              <w:jc w:val="left"/>
              <w:rPr>
                <w:rFonts w:ascii="Times New Roman"/>
                <w:sz w:val="16"/>
              </w:rPr>
            </w:pPr>
          </w:p>
        </w:tc>
        <w:tc>
          <w:tcPr>
            <w:tcW w:w="2500" w:type="dxa"/>
            <w:shd w:val="clear" w:color="auto" w:fill="365F91"/>
          </w:tcPr>
          <w:p w:rsidR="00D862F2" w:rsidRDefault="00884FE4">
            <w:pPr>
              <w:pStyle w:val="TableParagraph"/>
              <w:spacing w:line="210" w:lineRule="exact"/>
              <w:ind w:left="118" w:right="97"/>
              <w:jc w:val="center"/>
              <w:rPr>
                <w:rFonts w:ascii="Times New Roman"/>
                <w:sz w:val="20"/>
              </w:rPr>
            </w:pPr>
            <w:r>
              <w:rPr>
                <w:rFonts w:ascii="Times New Roman"/>
                <w:color w:val="FFFFFF"/>
                <w:sz w:val="20"/>
              </w:rPr>
              <w:t>Proposed</w:t>
            </w:r>
            <w:r>
              <w:rPr>
                <w:rFonts w:ascii="Times New Roman"/>
                <w:color w:val="FFFFFF"/>
                <w:spacing w:val="-2"/>
                <w:sz w:val="20"/>
              </w:rPr>
              <w:t xml:space="preserve"> </w:t>
            </w:r>
            <w:r>
              <w:rPr>
                <w:rFonts w:ascii="Times New Roman"/>
                <w:color w:val="FFFFFF"/>
                <w:sz w:val="20"/>
              </w:rPr>
              <w:t>Project</w:t>
            </w:r>
          </w:p>
        </w:tc>
        <w:tc>
          <w:tcPr>
            <w:tcW w:w="2507" w:type="dxa"/>
            <w:shd w:val="clear" w:color="auto" w:fill="365F91"/>
          </w:tcPr>
          <w:p w:rsidR="00D862F2" w:rsidRDefault="00884FE4">
            <w:pPr>
              <w:pStyle w:val="TableParagraph"/>
              <w:spacing w:line="210" w:lineRule="exact"/>
              <w:ind w:left="119" w:right="98"/>
              <w:jc w:val="center"/>
              <w:rPr>
                <w:rFonts w:ascii="Times New Roman"/>
                <w:sz w:val="20"/>
              </w:rPr>
            </w:pPr>
            <w:r>
              <w:rPr>
                <w:rFonts w:ascii="Times New Roman"/>
                <w:color w:val="FFFFFF"/>
                <w:sz w:val="20"/>
              </w:rPr>
              <w:t>Alternative</w:t>
            </w:r>
            <w:r>
              <w:rPr>
                <w:rFonts w:ascii="Times New Roman"/>
                <w:color w:val="FFFFFF"/>
                <w:spacing w:val="-4"/>
                <w:sz w:val="20"/>
              </w:rPr>
              <w:t xml:space="preserve"> </w:t>
            </w:r>
            <w:r>
              <w:rPr>
                <w:rFonts w:ascii="Times New Roman"/>
                <w:color w:val="FFFFFF"/>
                <w:sz w:val="20"/>
              </w:rPr>
              <w:t>#1</w:t>
            </w:r>
          </w:p>
        </w:tc>
        <w:tc>
          <w:tcPr>
            <w:tcW w:w="2490" w:type="dxa"/>
            <w:shd w:val="clear" w:color="auto" w:fill="365F91"/>
          </w:tcPr>
          <w:p w:rsidR="00D862F2" w:rsidRDefault="00884FE4">
            <w:pPr>
              <w:pStyle w:val="TableParagraph"/>
              <w:spacing w:line="210" w:lineRule="exact"/>
              <w:ind w:left="162" w:right="141"/>
              <w:jc w:val="center"/>
              <w:rPr>
                <w:rFonts w:ascii="Times New Roman"/>
                <w:sz w:val="20"/>
              </w:rPr>
            </w:pPr>
            <w:r>
              <w:rPr>
                <w:rFonts w:ascii="Times New Roman"/>
                <w:color w:val="FFFFFF"/>
                <w:sz w:val="20"/>
              </w:rPr>
              <w:t>Alternative</w:t>
            </w:r>
            <w:r>
              <w:rPr>
                <w:rFonts w:ascii="Times New Roman"/>
                <w:color w:val="FFFFFF"/>
                <w:spacing w:val="-4"/>
                <w:sz w:val="20"/>
              </w:rPr>
              <w:t xml:space="preserve"> </w:t>
            </w:r>
            <w:r>
              <w:rPr>
                <w:rFonts w:ascii="Times New Roman"/>
                <w:color w:val="FFFFFF"/>
                <w:sz w:val="20"/>
              </w:rPr>
              <w:t>#2</w:t>
            </w:r>
          </w:p>
        </w:tc>
      </w:tr>
      <w:tr w:rsidR="00D862F2">
        <w:trPr>
          <w:trHeight w:val="1151"/>
        </w:trPr>
        <w:tc>
          <w:tcPr>
            <w:tcW w:w="1490" w:type="dxa"/>
            <w:shd w:val="clear" w:color="auto" w:fill="365F91"/>
          </w:tcPr>
          <w:p w:rsidR="00D862F2" w:rsidRDefault="00884FE4">
            <w:pPr>
              <w:pStyle w:val="TableParagraph"/>
              <w:spacing w:line="223" w:lineRule="exact"/>
              <w:ind w:left="107"/>
              <w:jc w:val="left"/>
              <w:rPr>
                <w:rFonts w:ascii="Times New Roman"/>
                <w:sz w:val="20"/>
              </w:rPr>
            </w:pPr>
            <w:r>
              <w:rPr>
                <w:rFonts w:ascii="Times New Roman"/>
                <w:color w:val="FFFFFF"/>
                <w:sz w:val="20"/>
              </w:rPr>
              <w:t>Description</w:t>
            </w:r>
          </w:p>
        </w:tc>
        <w:tc>
          <w:tcPr>
            <w:tcW w:w="2500" w:type="dxa"/>
          </w:tcPr>
          <w:p w:rsidR="00D862F2" w:rsidRDefault="00884FE4">
            <w:pPr>
              <w:pStyle w:val="TableParagraph"/>
              <w:ind w:left="170" w:right="148" w:hanging="1"/>
              <w:jc w:val="center"/>
              <w:rPr>
                <w:rFonts w:ascii="Times New Roman"/>
                <w:sz w:val="20"/>
              </w:rPr>
            </w:pPr>
            <w:r>
              <w:rPr>
                <w:rFonts w:ascii="Times New Roman"/>
                <w:sz w:val="20"/>
              </w:rPr>
              <w:t>78,395 GSF of renovation</w:t>
            </w:r>
            <w:r>
              <w:rPr>
                <w:rFonts w:ascii="Times New Roman"/>
                <w:spacing w:val="1"/>
                <w:sz w:val="20"/>
              </w:rPr>
              <w:t xml:space="preserve"> </w:t>
            </w:r>
            <w:r>
              <w:rPr>
                <w:rFonts w:ascii="Times New Roman"/>
                <w:sz w:val="20"/>
              </w:rPr>
              <w:t>within existing Waltham</w:t>
            </w:r>
            <w:r>
              <w:rPr>
                <w:rFonts w:ascii="Times New Roman"/>
                <w:spacing w:val="1"/>
                <w:sz w:val="20"/>
              </w:rPr>
              <w:t xml:space="preserve"> </w:t>
            </w:r>
            <w:r>
              <w:rPr>
                <w:rFonts w:ascii="Times New Roman"/>
                <w:sz w:val="20"/>
              </w:rPr>
              <w:t>facility</w:t>
            </w:r>
            <w:r>
              <w:rPr>
                <w:rFonts w:ascii="Times New Roman"/>
                <w:spacing w:val="-6"/>
                <w:sz w:val="20"/>
              </w:rPr>
              <w:t xml:space="preserve"> </w:t>
            </w:r>
            <w:r>
              <w:rPr>
                <w:rFonts w:ascii="Times New Roman"/>
                <w:sz w:val="20"/>
              </w:rPr>
              <w:t>and</w:t>
            </w:r>
            <w:r>
              <w:rPr>
                <w:rFonts w:ascii="Times New Roman"/>
                <w:spacing w:val="-3"/>
                <w:sz w:val="20"/>
              </w:rPr>
              <w:t xml:space="preserve"> </w:t>
            </w:r>
            <w:r>
              <w:rPr>
                <w:rFonts w:ascii="Times New Roman"/>
                <w:sz w:val="20"/>
              </w:rPr>
              <w:t>construction</w:t>
            </w:r>
            <w:r>
              <w:rPr>
                <w:rFonts w:ascii="Times New Roman"/>
                <w:spacing w:val="-5"/>
                <w:sz w:val="20"/>
              </w:rPr>
              <w:t xml:space="preserve"> </w:t>
            </w:r>
            <w:r>
              <w:rPr>
                <w:rFonts w:ascii="Times New Roman"/>
                <w:sz w:val="20"/>
              </w:rPr>
              <w:t>of</w:t>
            </w:r>
          </w:p>
          <w:p w:rsidR="00D862F2" w:rsidRDefault="00884FE4">
            <w:pPr>
              <w:pStyle w:val="TableParagraph"/>
              <w:spacing w:line="230" w:lineRule="atLeast"/>
              <w:ind w:left="118" w:right="92"/>
              <w:jc w:val="center"/>
              <w:rPr>
                <w:rFonts w:ascii="Times New Roman"/>
                <w:sz w:val="20"/>
              </w:rPr>
            </w:pPr>
            <w:r>
              <w:rPr>
                <w:rFonts w:ascii="Times New Roman"/>
                <w:sz w:val="20"/>
              </w:rPr>
              <w:t>224,000 GSF Needham</w:t>
            </w:r>
            <w:r>
              <w:rPr>
                <w:rFonts w:ascii="Times New Roman"/>
                <w:spacing w:val="-47"/>
                <w:sz w:val="20"/>
              </w:rPr>
              <w:t xml:space="preserve"> </w:t>
            </w:r>
            <w:r>
              <w:rPr>
                <w:rFonts w:ascii="Times New Roman"/>
                <w:sz w:val="20"/>
              </w:rPr>
              <w:t>Facility.</w:t>
            </w:r>
            <w:r>
              <w:rPr>
                <w:rFonts w:ascii="Times New Roman"/>
                <w:sz w:val="20"/>
                <w:vertAlign w:val="superscript"/>
              </w:rPr>
              <w:t>*</w:t>
            </w:r>
          </w:p>
        </w:tc>
        <w:tc>
          <w:tcPr>
            <w:tcW w:w="2507" w:type="dxa"/>
          </w:tcPr>
          <w:p w:rsidR="00D862F2" w:rsidRDefault="00884FE4">
            <w:pPr>
              <w:pStyle w:val="TableParagraph"/>
              <w:ind w:left="123" w:right="95"/>
              <w:jc w:val="center"/>
              <w:rPr>
                <w:rFonts w:ascii="Times New Roman"/>
                <w:sz w:val="20"/>
              </w:rPr>
            </w:pPr>
            <w:r>
              <w:rPr>
                <w:rFonts w:ascii="Times New Roman"/>
                <w:sz w:val="20"/>
              </w:rPr>
              <w:t>Addition of eight-story</w:t>
            </w:r>
            <w:r>
              <w:rPr>
                <w:rFonts w:ascii="Times New Roman"/>
                <w:spacing w:val="-48"/>
                <w:sz w:val="20"/>
              </w:rPr>
              <w:t xml:space="preserve"> </w:t>
            </w:r>
            <w:r>
              <w:rPr>
                <w:rFonts w:ascii="Times New Roman"/>
                <w:sz w:val="20"/>
              </w:rPr>
              <w:t>building to Waltham</w:t>
            </w:r>
            <w:r>
              <w:rPr>
                <w:rFonts w:ascii="Times New Roman"/>
                <w:spacing w:val="1"/>
                <w:sz w:val="20"/>
              </w:rPr>
              <w:t xml:space="preserve"> </w:t>
            </w:r>
            <w:r>
              <w:rPr>
                <w:rFonts w:ascii="Times New Roman"/>
                <w:sz w:val="20"/>
              </w:rPr>
              <w:t>campus.</w:t>
            </w:r>
          </w:p>
        </w:tc>
        <w:tc>
          <w:tcPr>
            <w:tcW w:w="2490" w:type="dxa"/>
          </w:tcPr>
          <w:p w:rsidR="00D862F2" w:rsidRDefault="00884FE4">
            <w:pPr>
              <w:pStyle w:val="TableParagraph"/>
              <w:ind w:left="162" w:right="141"/>
              <w:jc w:val="center"/>
              <w:rPr>
                <w:rFonts w:ascii="Times New Roman"/>
                <w:sz w:val="20"/>
              </w:rPr>
            </w:pPr>
            <w:r>
              <w:rPr>
                <w:rFonts w:ascii="Times New Roman"/>
                <w:sz w:val="20"/>
              </w:rPr>
              <w:t>Renovation of existing</w:t>
            </w:r>
            <w:r>
              <w:rPr>
                <w:rFonts w:ascii="Times New Roman"/>
                <w:spacing w:val="1"/>
                <w:sz w:val="20"/>
              </w:rPr>
              <w:t xml:space="preserve"> </w:t>
            </w:r>
            <w:r>
              <w:rPr>
                <w:rFonts w:ascii="Times New Roman"/>
                <w:sz w:val="20"/>
              </w:rPr>
              <w:t>Waltham facility and</w:t>
            </w:r>
            <w:r>
              <w:rPr>
                <w:rFonts w:ascii="Times New Roman"/>
                <w:spacing w:val="1"/>
                <w:sz w:val="20"/>
              </w:rPr>
              <w:t xml:space="preserve"> </w:t>
            </w:r>
            <w:r>
              <w:rPr>
                <w:rFonts w:ascii="Times New Roman"/>
                <w:sz w:val="20"/>
              </w:rPr>
              <w:t>leasing</w:t>
            </w:r>
            <w:r>
              <w:rPr>
                <w:rFonts w:ascii="Times New Roman"/>
                <w:spacing w:val="-4"/>
                <w:sz w:val="20"/>
              </w:rPr>
              <w:t xml:space="preserve"> </w:t>
            </w:r>
            <w:r>
              <w:rPr>
                <w:rFonts w:ascii="Times New Roman"/>
                <w:sz w:val="20"/>
              </w:rPr>
              <w:t>and</w:t>
            </w:r>
            <w:r>
              <w:rPr>
                <w:rFonts w:ascii="Times New Roman"/>
                <w:spacing w:val="-2"/>
                <w:sz w:val="20"/>
              </w:rPr>
              <w:t xml:space="preserve"> </w:t>
            </w:r>
            <w:r>
              <w:rPr>
                <w:rFonts w:ascii="Times New Roman"/>
                <w:sz w:val="20"/>
              </w:rPr>
              <w:t>renovation</w:t>
            </w:r>
            <w:r>
              <w:rPr>
                <w:rFonts w:ascii="Times New Roman"/>
                <w:spacing w:val="-3"/>
                <w:sz w:val="20"/>
              </w:rPr>
              <w:t xml:space="preserve"> </w:t>
            </w:r>
            <w:r>
              <w:rPr>
                <w:rFonts w:ascii="Times New Roman"/>
                <w:sz w:val="20"/>
              </w:rPr>
              <w:t>of</w:t>
            </w:r>
            <w:r>
              <w:rPr>
                <w:rFonts w:ascii="Times New Roman"/>
                <w:spacing w:val="-5"/>
                <w:sz w:val="20"/>
              </w:rPr>
              <w:t xml:space="preserve"> </w:t>
            </w:r>
            <w:r>
              <w:rPr>
                <w:rFonts w:ascii="Times New Roman"/>
                <w:sz w:val="20"/>
              </w:rPr>
              <w:t>a</w:t>
            </w:r>
            <w:r>
              <w:rPr>
                <w:rFonts w:ascii="Times New Roman"/>
                <w:spacing w:val="-47"/>
                <w:sz w:val="20"/>
              </w:rPr>
              <w:t xml:space="preserve"> </w:t>
            </w:r>
            <w:r>
              <w:rPr>
                <w:rFonts w:ascii="Times New Roman"/>
                <w:sz w:val="20"/>
              </w:rPr>
              <w:t>building</w:t>
            </w:r>
            <w:r>
              <w:rPr>
                <w:rFonts w:ascii="Times New Roman"/>
                <w:spacing w:val="-2"/>
                <w:sz w:val="20"/>
              </w:rPr>
              <w:t xml:space="preserve"> </w:t>
            </w:r>
            <w:r>
              <w:rPr>
                <w:rFonts w:ascii="Times New Roman"/>
                <w:sz w:val="20"/>
              </w:rPr>
              <w:t>in</w:t>
            </w:r>
            <w:r>
              <w:rPr>
                <w:rFonts w:ascii="Times New Roman"/>
                <w:spacing w:val="-2"/>
                <w:sz w:val="20"/>
              </w:rPr>
              <w:t xml:space="preserve"> </w:t>
            </w:r>
            <w:r>
              <w:rPr>
                <w:rFonts w:ascii="Times New Roman"/>
                <w:sz w:val="20"/>
              </w:rPr>
              <w:t>Needham</w:t>
            </w:r>
          </w:p>
        </w:tc>
      </w:tr>
      <w:tr w:rsidR="00D862F2">
        <w:trPr>
          <w:trHeight w:val="229"/>
        </w:trPr>
        <w:tc>
          <w:tcPr>
            <w:tcW w:w="1490" w:type="dxa"/>
            <w:shd w:val="clear" w:color="auto" w:fill="365F91"/>
          </w:tcPr>
          <w:p w:rsidR="00D862F2" w:rsidRDefault="00884FE4">
            <w:pPr>
              <w:pStyle w:val="TableParagraph"/>
              <w:spacing w:line="210" w:lineRule="exact"/>
              <w:ind w:left="107"/>
              <w:jc w:val="left"/>
              <w:rPr>
                <w:rFonts w:ascii="Times New Roman"/>
                <w:sz w:val="20"/>
              </w:rPr>
            </w:pPr>
            <w:r>
              <w:rPr>
                <w:rFonts w:ascii="Times New Roman"/>
                <w:color w:val="FFFFFF"/>
                <w:sz w:val="20"/>
              </w:rPr>
              <w:t>Quality</w:t>
            </w:r>
          </w:p>
        </w:tc>
        <w:tc>
          <w:tcPr>
            <w:tcW w:w="2500" w:type="dxa"/>
          </w:tcPr>
          <w:p w:rsidR="00D862F2" w:rsidRDefault="00884FE4">
            <w:pPr>
              <w:pStyle w:val="TableParagraph"/>
              <w:spacing w:line="210" w:lineRule="exact"/>
              <w:ind w:left="118" w:right="100"/>
              <w:jc w:val="center"/>
              <w:rPr>
                <w:rFonts w:ascii="Times New Roman"/>
                <w:sz w:val="20"/>
              </w:rPr>
            </w:pPr>
            <w:r>
              <w:rPr>
                <w:rFonts w:ascii="Times New Roman"/>
                <w:sz w:val="20"/>
              </w:rPr>
              <w:t>Comparable</w:t>
            </w:r>
          </w:p>
        </w:tc>
        <w:tc>
          <w:tcPr>
            <w:tcW w:w="2507" w:type="dxa"/>
          </w:tcPr>
          <w:p w:rsidR="00D862F2" w:rsidRDefault="00884FE4">
            <w:pPr>
              <w:pStyle w:val="TableParagraph"/>
              <w:spacing w:line="210" w:lineRule="exact"/>
              <w:ind w:left="120" w:right="98"/>
              <w:jc w:val="center"/>
              <w:rPr>
                <w:rFonts w:ascii="Times New Roman"/>
                <w:sz w:val="20"/>
              </w:rPr>
            </w:pPr>
            <w:r>
              <w:rPr>
                <w:rFonts w:ascii="Times New Roman"/>
                <w:sz w:val="20"/>
              </w:rPr>
              <w:t>Comparable</w:t>
            </w:r>
          </w:p>
        </w:tc>
        <w:tc>
          <w:tcPr>
            <w:tcW w:w="2490" w:type="dxa"/>
          </w:tcPr>
          <w:p w:rsidR="00D862F2" w:rsidRDefault="00884FE4">
            <w:pPr>
              <w:pStyle w:val="TableParagraph"/>
              <w:spacing w:line="210" w:lineRule="exact"/>
              <w:ind w:left="162" w:right="140"/>
              <w:jc w:val="center"/>
              <w:rPr>
                <w:rFonts w:ascii="Times New Roman"/>
                <w:sz w:val="20"/>
              </w:rPr>
            </w:pPr>
            <w:r>
              <w:rPr>
                <w:rFonts w:ascii="Times New Roman"/>
                <w:sz w:val="20"/>
              </w:rPr>
              <w:t>Comparable</w:t>
            </w:r>
          </w:p>
        </w:tc>
      </w:tr>
      <w:tr w:rsidR="00D862F2">
        <w:trPr>
          <w:trHeight w:val="918"/>
        </w:trPr>
        <w:tc>
          <w:tcPr>
            <w:tcW w:w="1490" w:type="dxa"/>
            <w:shd w:val="clear" w:color="auto" w:fill="365F91"/>
          </w:tcPr>
          <w:p w:rsidR="00D862F2" w:rsidRDefault="00884FE4">
            <w:pPr>
              <w:pStyle w:val="TableParagraph"/>
              <w:spacing w:line="223" w:lineRule="exact"/>
              <w:ind w:left="107"/>
              <w:jc w:val="left"/>
              <w:rPr>
                <w:rFonts w:ascii="Times New Roman"/>
                <w:sz w:val="20"/>
              </w:rPr>
            </w:pPr>
            <w:r>
              <w:rPr>
                <w:rFonts w:ascii="Times New Roman"/>
                <w:color w:val="FFFFFF"/>
                <w:sz w:val="20"/>
              </w:rPr>
              <w:t>Efficiency</w:t>
            </w:r>
          </w:p>
        </w:tc>
        <w:tc>
          <w:tcPr>
            <w:tcW w:w="2500" w:type="dxa"/>
          </w:tcPr>
          <w:p w:rsidR="00D862F2" w:rsidRDefault="00884FE4">
            <w:pPr>
              <w:pStyle w:val="TableParagraph"/>
              <w:spacing w:line="223" w:lineRule="exact"/>
              <w:ind w:left="118" w:right="100"/>
              <w:jc w:val="center"/>
              <w:rPr>
                <w:rFonts w:ascii="Times New Roman"/>
                <w:sz w:val="20"/>
              </w:rPr>
            </w:pPr>
            <w:r>
              <w:rPr>
                <w:rFonts w:ascii="Times New Roman"/>
                <w:sz w:val="20"/>
              </w:rPr>
              <w:t>Most</w:t>
            </w:r>
            <w:r>
              <w:rPr>
                <w:rFonts w:ascii="Times New Roman"/>
                <w:spacing w:val="-4"/>
                <w:sz w:val="20"/>
              </w:rPr>
              <w:t xml:space="preserve"> </w:t>
            </w:r>
            <w:r>
              <w:rPr>
                <w:rFonts w:ascii="Times New Roman"/>
                <w:sz w:val="20"/>
              </w:rPr>
              <w:t>operationally</w:t>
            </w:r>
            <w:r>
              <w:rPr>
                <w:rFonts w:ascii="Times New Roman"/>
                <w:spacing w:val="-8"/>
                <w:sz w:val="20"/>
              </w:rPr>
              <w:t xml:space="preserve"> </w:t>
            </w:r>
            <w:r>
              <w:rPr>
                <w:rFonts w:ascii="Times New Roman"/>
                <w:sz w:val="20"/>
              </w:rPr>
              <w:t>efficient</w:t>
            </w:r>
          </w:p>
        </w:tc>
        <w:tc>
          <w:tcPr>
            <w:tcW w:w="2507" w:type="dxa"/>
          </w:tcPr>
          <w:p w:rsidR="00D862F2" w:rsidRDefault="00884FE4">
            <w:pPr>
              <w:pStyle w:val="TableParagraph"/>
              <w:ind w:left="123" w:right="98"/>
              <w:jc w:val="center"/>
              <w:rPr>
                <w:rFonts w:ascii="Times New Roman"/>
                <w:sz w:val="20"/>
              </w:rPr>
            </w:pPr>
            <w:r>
              <w:rPr>
                <w:rFonts w:ascii="Times New Roman"/>
                <w:sz w:val="20"/>
              </w:rPr>
              <w:t>Less</w:t>
            </w:r>
            <w:r>
              <w:rPr>
                <w:rFonts w:ascii="Times New Roman"/>
                <w:spacing w:val="-8"/>
                <w:sz w:val="20"/>
              </w:rPr>
              <w:t xml:space="preserve"> </w:t>
            </w:r>
            <w:r>
              <w:rPr>
                <w:rFonts w:ascii="Times New Roman"/>
                <w:sz w:val="20"/>
              </w:rPr>
              <w:t>Operationally</w:t>
            </w:r>
            <w:r>
              <w:rPr>
                <w:rFonts w:ascii="Times New Roman"/>
                <w:spacing w:val="-7"/>
                <w:sz w:val="20"/>
              </w:rPr>
              <w:t xml:space="preserve"> </w:t>
            </w:r>
            <w:r>
              <w:rPr>
                <w:rFonts w:ascii="Times New Roman"/>
                <w:sz w:val="20"/>
              </w:rPr>
              <w:t>Efficient</w:t>
            </w:r>
            <w:r>
              <w:rPr>
                <w:rFonts w:ascii="Times New Roman"/>
                <w:spacing w:val="-47"/>
                <w:sz w:val="20"/>
              </w:rPr>
              <w:t xml:space="preserve"> </w:t>
            </w:r>
            <w:r>
              <w:rPr>
                <w:rFonts w:ascii="Times New Roman"/>
                <w:sz w:val="20"/>
              </w:rPr>
              <w:t>Design</w:t>
            </w:r>
            <w:r>
              <w:rPr>
                <w:rFonts w:ascii="Times New Roman"/>
                <w:spacing w:val="-2"/>
                <w:sz w:val="20"/>
              </w:rPr>
              <w:t xml:space="preserve"> </w:t>
            </w:r>
            <w:r>
              <w:rPr>
                <w:rFonts w:ascii="Times New Roman"/>
                <w:sz w:val="20"/>
              </w:rPr>
              <w:t>(and significant</w:t>
            </w:r>
          </w:p>
          <w:p w:rsidR="00D862F2" w:rsidRDefault="00884FE4">
            <w:pPr>
              <w:pStyle w:val="TableParagraph"/>
              <w:spacing w:line="230" w:lineRule="atLeast"/>
              <w:ind w:left="123" w:right="96"/>
              <w:jc w:val="center"/>
              <w:rPr>
                <w:rFonts w:ascii="Times New Roman"/>
                <w:sz w:val="20"/>
              </w:rPr>
            </w:pPr>
            <w:r>
              <w:rPr>
                <w:rFonts w:ascii="Times New Roman"/>
                <w:sz w:val="20"/>
              </w:rPr>
              <w:t>challenges expected in</w:t>
            </w:r>
            <w:r>
              <w:rPr>
                <w:rFonts w:ascii="Times New Roman"/>
                <w:spacing w:val="1"/>
                <w:sz w:val="20"/>
              </w:rPr>
              <w:t xml:space="preserve"> </w:t>
            </w:r>
            <w:r>
              <w:rPr>
                <w:rFonts w:ascii="Times New Roman"/>
                <w:sz w:val="20"/>
              </w:rPr>
              <w:t>obtaining</w:t>
            </w:r>
            <w:r>
              <w:rPr>
                <w:rFonts w:ascii="Times New Roman"/>
                <w:spacing w:val="-6"/>
                <w:sz w:val="20"/>
              </w:rPr>
              <w:t xml:space="preserve"> </w:t>
            </w:r>
            <w:r>
              <w:rPr>
                <w:rFonts w:ascii="Times New Roman"/>
                <w:sz w:val="20"/>
              </w:rPr>
              <w:t>local</w:t>
            </w:r>
            <w:r>
              <w:rPr>
                <w:rFonts w:ascii="Times New Roman"/>
                <w:spacing w:val="-5"/>
                <w:sz w:val="20"/>
              </w:rPr>
              <w:t xml:space="preserve"> </w:t>
            </w:r>
            <w:r>
              <w:rPr>
                <w:rFonts w:ascii="Times New Roman"/>
                <w:sz w:val="20"/>
              </w:rPr>
              <w:t>approvals)</w:t>
            </w:r>
          </w:p>
        </w:tc>
        <w:tc>
          <w:tcPr>
            <w:tcW w:w="2490" w:type="dxa"/>
          </w:tcPr>
          <w:p w:rsidR="00D862F2" w:rsidRDefault="00884FE4">
            <w:pPr>
              <w:pStyle w:val="TableParagraph"/>
              <w:ind w:left="407" w:right="92" w:hanging="286"/>
              <w:jc w:val="left"/>
              <w:rPr>
                <w:rFonts w:ascii="Times New Roman"/>
                <w:sz w:val="20"/>
              </w:rPr>
            </w:pPr>
            <w:r>
              <w:rPr>
                <w:rFonts w:ascii="Times New Roman"/>
                <w:sz w:val="20"/>
              </w:rPr>
              <w:t>N/A</w:t>
            </w:r>
            <w:r>
              <w:rPr>
                <w:rFonts w:ascii="Times New Roman"/>
                <w:spacing w:val="-6"/>
                <w:sz w:val="20"/>
              </w:rPr>
              <w:t xml:space="preserve"> </w:t>
            </w:r>
            <w:r>
              <w:rPr>
                <w:rFonts w:ascii="Times New Roman"/>
                <w:sz w:val="20"/>
              </w:rPr>
              <w:t>(deemed</w:t>
            </w:r>
            <w:r>
              <w:rPr>
                <w:rFonts w:ascii="Times New Roman"/>
                <w:spacing w:val="-3"/>
                <w:sz w:val="20"/>
              </w:rPr>
              <w:t xml:space="preserve"> </w:t>
            </w:r>
            <w:r>
              <w:rPr>
                <w:rFonts w:ascii="Times New Roman"/>
                <w:sz w:val="20"/>
              </w:rPr>
              <w:t>infeasible</w:t>
            </w:r>
            <w:r>
              <w:rPr>
                <w:rFonts w:ascii="Times New Roman"/>
                <w:spacing w:val="-4"/>
                <w:sz w:val="20"/>
              </w:rPr>
              <w:t xml:space="preserve"> </w:t>
            </w:r>
            <w:r>
              <w:rPr>
                <w:rFonts w:ascii="Times New Roman"/>
                <w:sz w:val="20"/>
              </w:rPr>
              <w:t>due</w:t>
            </w:r>
            <w:r>
              <w:rPr>
                <w:rFonts w:ascii="Times New Roman"/>
                <w:spacing w:val="-47"/>
                <w:sz w:val="20"/>
              </w:rPr>
              <w:t xml:space="preserve"> </w:t>
            </w:r>
            <w:r>
              <w:rPr>
                <w:rFonts w:ascii="Times New Roman"/>
                <w:sz w:val="20"/>
              </w:rPr>
              <w:t>to</w:t>
            </w:r>
            <w:r>
              <w:rPr>
                <w:rFonts w:ascii="Times New Roman"/>
                <w:spacing w:val="-1"/>
                <w:sz w:val="20"/>
              </w:rPr>
              <w:t xml:space="preserve"> </w:t>
            </w:r>
            <w:r>
              <w:rPr>
                <w:rFonts w:ascii="Times New Roman"/>
                <w:sz w:val="20"/>
              </w:rPr>
              <w:t>height</w:t>
            </w:r>
            <w:r>
              <w:rPr>
                <w:rFonts w:ascii="Times New Roman"/>
                <w:spacing w:val="-2"/>
                <w:sz w:val="20"/>
              </w:rPr>
              <w:t xml:space="preserve"> </w:t>
            </w:r>
            <w:r>
              <w:rPr>
                <w:rFonts w:ascii="Times New Roman"/>
                <w:sz w:val="20"/>
              </w:rPr>
              <w:t>limitations)</w:t>
            </w:r>
          </w:p>
        </w:tc>
      </w:tr>
      <w:tr w:rsidR="00D862F2">
        <w:trPr>
          <w:trHeight w:val="690"/>
        </w:trPr>
        <w:tc>
          <w:tcPr>
            <w:tcW w:w="1490" w:type="dxa"/>
            <w:shd w:val="clear" w:color="auto" w:fill="365F91"/>
          </w:tcPr>
          <w:p w:rsidR="00D862F2" w:rsidRDefault="00884FE4">
            <w:pPr>
              <w:pStyle w:val="TableParagraph"/>
              <w:spacing w:line="224" w:lineRule="exact"/>
              <w:ind w:left="107"/>
              <w:jc w:val="left"/>
              <w:rPr>
                <w:rFonts w:ascii="Times New Roman"/>
                <w:sz w:val="20"/>
              </w:rPr>
            </w:pPr>
            <w:r>
              <w:rPr>
                <w:rFonts w:ascii="Times New Roman"/>
                <w:color w:val="FFFFFF"/>
                <w:sz w:val="20"/>
              </w:rPr>
              <w:t>Costs</w:t>
            </w:r>
          </w:p>
        </w:tc>
        <w:tc>
          <w:tcPr>
            <w:tcW w:w="2500" w:type="dxa"/>
          </w:tcPr>
          <w:p w:rsidR="00D862F2" w:rsidRDefault="00884FE4">
            <w:pPr>
              <w:pStyle w:val="TableParagraph"/>
              <w:spacing w:line="224" w:lineRule="exact"/>
              <w:ind w:left="470" w:hanging="39"/>
              <w:jc w:val="left"/>
              <w:rPr>
                <w:rFonts w:ascii="Times New Roman"/>
                <w:sz w:val="20"/>
              </w:rPr>
            </w:pPr>
            <w:r>
              <w:rPr>
                <w:rFonts w:ascii="Times New Roman"/>
                <w:sz w:val="20"/>
              </w:rPr>
              <w:t>Lowest</w:t>
            </w:r>
            <w:r>
              <w:rPr>
                <w:rFonts w:ascii="Times New Roman"/>
                <w:spacing w:val="-2"/>
                <w:sz w:val="20"/>
              </w:rPr>
              <w:t xml:space="preserve"> </w:t>
            </w:r>
            <w:r>
              <w:rPr>
                <w:rFonts w:ascii="Times New Roman"/>
                <w:sz w:val="20"/>
              </w:rPr>
              <w:t>Capital</w:t>
            </w:r>
            <w:r>
              <w:rPr>
                <w:rFonts w:ascii="Times New Roman"/>
                <w:spacing w:val="-3"/>
                <w:sz w:val="20"/>
              </w:rPr>
              <w:t xml:space="preserve"> </w:t>
            </w:r>
            <w:r>
              <w:rPr>
                <w:rFonts w:ascii="Times New Roman"/>
                <w:sz w:val="20"/>
              </w:rPr>
              <w:t>Cost</w:t>
            </w:r>
          </w:p>
          <w:p w:rsidR="00D862F2" w:rsidRDefault="00884FE4">
            <w:pPr>
              <w:pStyle w:val="TableParagraph"/>
              <w:spacing w:line="228" w:lineRule="exact"/>
              <w:ind w:left="900" w:right="429" w:hanging="430"/>
              <w:jc w:val="left"/>
              <w:rPr>
                <w:rFonts w:ascii="Times New Roman"/>
                <w:sz w:val="20"/>
              </w:rPr>
            </w:pPr>
            <w:r>
              <w:rPr>
                <w:rFonts w:ascii="Times New Roman"/>
                <w:sz w:val="20"/>
              </w:rPr>
              <w:t>Most Operationally</w:t>
            </w:r>
            <w:r>
              <w:rPr>
                <w:rFonts w:ascii="Times New Roman"/>
                <w:spacing w:val="-47"/>
                <w:sz w:val="20"/>
              </w:rPr>
              <w:t xml:space="preserve"> </w:t>
            </w:r>
            <w:r>
              <w:rPr>
                <w:rFonts w:ascii="Times New Roman"/>
                <w:sz w:val="20"/>
              </w:rPr>
              <w:t>Efficient</w:t>
            </w:r>
          </w:p>
        </w:tc>
        <w:tc>
          <w:tcPr>
            <w:tcW w:w="2507" w:type="dxa"/>
          </w:tcPr>
          <w:p w:rsidR="00D862F2" w:rsidRDefault="00884FE4">
            <w:pPr>
              <w:pStyle w:val="TableParagraph"/>
              <w:spacing w:line="224" w:lineRule="exact"/>
              <w:ind w:left="418" w:firstLine="38"/>
              <w:jc w:val="left"/>
              <w:rPr>
                <w:rFonts w:ascii="Times New Roman"/>
                <w:sz w:val="20"/>
              </w:rPr>
            </w:pPr>
            <w:r>
              <w:rPr>
                <w:rFonts w:ascii="Times New Roman"/>
                <w:sz w:val="20"/>
              </w:rPr>
              <w:t>Higher</w:t>
            </w:r>
            <w:r>
              <w:rPr>
                <w:rFonts w:ascii="Times New Roman"/>
                <w:spacing w:val="-2"/>
                <w:sz w:val="20"/>
              </w:rPr>
              <w:t xml:space="preserve"> </w:t>
            </w:r>
            <w:r>
              <w:rPr>
                <w:rFonts w:ascii="Times New Roman"/>
                <w:sz w:val="20"/>
              </w:rPr>
              <w:t>Capital</w:t>
            </w:r>
            <w:r>
              <w:rPr>
                <w:rFonts w:ascii="Times New Roman"/>
                <w:spacing w:val="-3"/>
                <w:sz w:val="20"/>
              </w:rPr>
              <w:t xml:space="preserve"> </w:t>
            </w:r>
            <w:r>
              <w:rPr>
                <w:rFonts w:ascii="Times New Roman"/>
                <w:sz w:val="20"/>
              </w:rPr>
              <w:t>Cost</w:t>
            </w:r>
          </w:p>
          <w:p w:rsidR="00D862F2" w:rsidRDefault="00884FE4">
            <w:pPr>
              <w:pStyle w:val="TableParagraph"/>
              <w:spacing w:line="228" w:lineRule="exact"/>
              <w:ind w:left="932" w:right="377" w:hanging="514"/>
              <w:jc w:val="left"/>
              <w:rPr>
                <w:rFonts w:ascii="Times New Roman"/>
                <w:sz w:val="20"/>
              </w:rPr>
            </w:pPr>
            <w:r>
              <w:rPr>
                <w:rFonts w:ascii="Times New Roman"/>
                <w:sz w:val="20"/>
              </w:rPr>
              <w:t>(approximately $460</w:t>
            </w:r>
            <w:r>
              <w:rPr>
                <w:rFonts w:ascii="Times New Roman"/>
                <w:spacing w:val="-47"/>
                <w:sz w:val="20"/>
              </w:rPr>
              <w:t xml:space="preserve"> </w:t>
            </w:r>
            <w:r>
              <w:rPr>
                <w:rFonts w:ascii="Times New Roman"/>
                <w:sz w:val="20"/>
              </w:rPr>
              <w:t>million)</w:t>
            </w:r>
          </w:p>
        </w:tc>
        <w:tc>
          <w:tcPr>
            <w:tcW w:w="2490" w:type="dxa"/>
          </w:tcPr>
          <w:p w:rsidR="00D862F2" w:rsidRDefault="00884FE4">
            <w:pPr>
              <w:pStyle w:val="TableParagraph"/>
              <w:spacing w:line="224" w:lineRule="exact"/>
              <w:ind w:left="409" w:firstLine="4"/>
              <w:jc w:val="left"/>
              <w:rPr>
                <w:rFonts w:ascii="Times New Roman"/>
                <w:sz w:val="20"/>
              </w:rPr>
            </w:pPr>
            <w:r>
              <w:rPr>
                <w:rFonts w:ascii="Times New Roman"/>
                <w:sz w:val="20"/>
              </w:rPr>
              <w:t>Highest</w:t>
            </w:r>
            <w:r>
              <w:rPr>
                <w:rFonts w:ascii="Times New Roman"/>
                <w:spacing w:val="-2"/>
                <w:sz w:val="20"/>
              </w:rPr>
              <w:t xml:space="preserve"> </w:t>
            </w:r>
            <w:r>
              <w:rPr>
                <w:rFonts w:ascii="Times New Roman"/>
                <w:sz w:val="20"/>
              </w:rPr>
              <w:t>Capital</w:t>
            </w:r>
            <w:r>
              <w:rPr>
                <w:rFonts w:ascii="Times New Roman"/>
                <w:spacing w:val="-4"/>
                <w:sz w:val="20"/>
              </w:rPr>
              <w:t xml:space="preserve"> </w:t>
            </w:r>
            <w:r>
              <w:rPr>
                <w:rFonts w:ascii="Times New Roman"/>
                <w:sz w:val="20"/>
              </w:rPr>
              <w:t>Cost</w:t>
            </w:r>
          </w:p>
          <w:p w:rsidR="00D862F2" w:rsidRDefault="00884FE4">
            <w:pPr>
              <w:pStyle w:val="TableParagraph"/>
              <w:spacing w:line="228" w:lineRule="exact"/>
              <w:ind w:left="923" w:right="369" w:hanging="514"/>
              <w:jc w:val="left"/>
              <w:rPr>
                <w:rFonts w:ascii="Times New Roman"/>
                <w:sz w:val="20"/>
              </w:rPr>
            </w:pPr>
            <w:r>
              <w:rPr>
                <w:rFonts w:ascii="Times New Roman"/>
                <w:sz w:val="20"/>
              </w:rPr>
              <w:t>(approximately $597</w:t>
            </w:r>
            <w:r>
              <w:rPr>
                <w:rFonts w:ascii="Times New Roman"/>
                <w:spacing w:val="-47"/>
                <w:sz w:val="20"/>
              </w:rPr>
              <w:t xml:space="preserve"> </w:t>
            </w:r>
            <w:r>
              <w:rPr>
                <w:rFonts w:ascii="Times New Roman"/>
                <w:sz w:val="20"/>
              </w:rPr>
              <w:t>million)</w:t>
            </w:r>
          </w:p>
        </w:tc>
      </w:tr>
    </w:tbl>
    <w:p w:rsidR="00D862F2" w:rsidRDefault="00884FE4">
      <w:pPr>
        <w:ind w:left="940"/>
        <w:rPr>
          <w:sz w:val="20"/>
        </w:rPr>
      </w:pPr>
      <w:r>
        <w:rPr>
          <w:spacing w:val="-1"/>
          <w:sz w:val="20"/>
          <w:vertAlign w:val="superscript"/>
        </w:rPr>
        <w:t>*</w:t>
      </w:r>
      <w:r>
        <w:rPr>
          <w:spacing w:val="-17"/>
          <w:sz w:val="20"/>
        </w:rPr>
        <w:t xml:space="preserve"> </w:t>
      </w:r>
      <w:r>
        <w:rPr>
          <w:spacing w:val="-1"/>
          <w:sz w:val="20"/>
        </w:rPr>
        <w:t>See</w:t>
      </w:r>
      <w:r>
        <w:rPr>
          <w:sz w:val="20"/>
        </w:rPr>
        <w:t xml:space="preserve"> </w:t>
      </w:r>
      <w:r>
        <w:rPr>
          <w:spacing w:val="-1"/>
          <w:sz w:val="20"/>
        </w:rPr>
        <w:t>Attachment</w:t>
      </w:r>
      <w:r>
        <w:rPr>
          <w:sz w:val="20"/>
        </w:rPr>
        <w:t xml:space="preserve"> </w:t>
      </w:r>
      <w:r>
        <w:rPr>
          <w:spacing w:val="-1"/>
          <w:sz w:val="20"/>
        </w:rPr>
        <w:t>2</w:t>
      </w:r>
      <w:r>
        <w:rPr>
          <w:spacing w:val="1"/>
          <w:sz w:val="20"/>
        </w:rPr>
        <w:t xml:space="preserve"> </w:t>
      </w:r>
      <w:r>
        <w:rPr>
          <w:spacing w:val="-1"/>
          <w:sz w:val="20"/>
        </w:rPr>
        <w:t>for</w:t>
      </w:r>
      <w:r>
        <w:rPr>
          <w:spacing w:val="1"/>
          <w:sz w:val="20"/>
        </w:rPr>
        <w:t xml:space="preserve"> </w:t>
      </w:r>
      <w:r>
        <w:rPr>
          <w:spacing w:val="-1"/>
          <w:sz w:val="20"/>
        </w:rPr>
        <w:t>complete</w:t>
      </w:r>
      <w:r>
        <w:rPr>
          <w:spacing w:val="1"/>
          <w:sz w:val="20"/>
        </w:rPr>
        <w:t xml:space="preserve"> </w:t>
      </w:r>
      <w:r>
        <w:rPr>
          <w:sz w:val="20"/>
        </w:rPr>
        <w:t>project description.</w:t>
      </w:r>
    </w:p>
    <w:p w:rsidR="00D862F2" w:rsidRDefault="00D862F2">
      <w:pPr>
        <w:pStyle w:val="BodyText"/>
      </w:pPr>
    </w:p>
    <w:p w:rsidR="00D862F2" w:rsidRDefault="00D862F2">
      <w:pPr>
        <w:pStyle w:val="BodyText"/>
        <w:spacing w:before="3"/>
        <w:rPr>
          <w:sz w:val="23"/>
        </w:rPr>
      </w:pPr>
    </w:p>
    <w:p w:rsidR="00D862F2" w:rsidRDefault="00884FE4">
      <w:pPr>
        <w:pStyle w:val="BodyText"/>
        <w:ind w:left="219" w:right="276"/>
        <w:jc w:val="both"/>
      </w:pPr>
      <w:r>
        <w:t>With</w:t>
      </w:r>
      <w:r>
        <w:rPr>
          <w:spacing w:val="1"/>
        </w:rPr>
        <w:t xml:space="preserve"> </w:t>
      </w:r>
      <w:r>
        <w:t>respect</w:t>
      </w:r>
      <w:r>
        <w:rPr>
          <w:spacing w:val="1"/>
        </w:rPr>
        <w:t xml:space="preserve"> </w:t>
      </w:r>
      <w:r>
        <w:t>to</w:t>
      </w:r>
      <w:r>
        <w:rPr>
          <w:spacing w:val="1"/>
        </w:rPr>
        <w:t xml:space="preserve"> </w:t>
      </w:r>
      <w:r>
        <w:t>the</w:t>
      </w:r>
      <w:r>
        <w:rPr>
          <w:spacing w:val="1"/>
        </w:rPr>
        <w:t xml:space="preserve"> </w:t>
      </w:r>
      <w:r>
        <w:t>Weymouth</w:t>
      </w:r>
      <w:r>
        <w:rPr>
          <w:spacing w:val="1"/>
        </w:rPr>
        <w:t xml:space="preserve"> </w:t>
      </w:r>
      <w:r>
        <w:t>Facility,</w:t>
      </w:r>
      <w:r>
        <w:rPr>
          <w:spacing w:val="1"/>
        </w:rPr>
        <w:t xml:space="preserve"> </w:t>
      </w:r>
      <w:r>
        <w:t>the</w:t>
      </w:r>
      <w:r>
        <w:rPr>
          <w:spacing w:val="1"/>
        </w:rPr>
        <w:t xml:space="preserve"> </w:t>
      </w:r>
      <w:r>
        <w:t>Applicant</w:t>
      </w:r>
      <w:r>
        <w:rPr>
          <w:spacing w:val="1"/>
        </w:rPr>
        <w:t xml:space="preserve"> </w:t>
      </w:r>
      <w:r>
        <w:t>considered</w:t>
      </w:r>
      <w:r>
        <w:rPr>
          <w:spacing w:val="1"/>
        </w:rPr>
        <w:t xml:space="preserve"> </w:t>
      </w:r>
      <w:r>
        <w:t>alternative</w:t>
      </w:r>
      <w:r>
        <w:rPr>
          <w:spacing w:val="1"/>
        </w:rPr>
        <w:t xml:space="preserve"> </w:t>
      </w:r>
      <w:r>
        <w:t>sites</w:t>
      </w:r>
      <w:r>
        <w:rPr>
          <w:spacing w:val="1"/>
        </w:rPr>
        <w:t xml:space="preserve"> </w:t>
      </w:r>
      <w:r>
        <w:t>when</w:t>
      </w:r>
      <w:r>
        <w:rPr>
          <w:spacing w:val="1"/>
        </w:rPr>
        <w:t xml:space="preserve"> </w:t>
      </w:r>
      <w:r>
        <w:t>examining</w:t>
      </w:r>
      <w:r>
        <w:rPr>
          <w:spacing w:val="1"/>
        </w:rPr>
        <w:t xml:space="preserve"> </w:t>
      </w:r>
      <w:r>
        <w:t>clinical,</w:t>
      </w:r>
      <w:r>
        <w:rPr>
          <w:spacing w:val="1"/>
        </w:rPr>
        <w:t xml:space="preserve"> </w:t>
      </w:r>
      <w:r>
        <w:t>financial,</w:t>
      </w:r>
      <w:r>
        <w:rPr>
          <w:spacing w:val="1"/>
        </w:rPr>
        <w:t xml:space="preserve"> </w:t>
      </w:r>
      <w:r>
        <w:t>and</w:t>
      </w:r>
      <w:r>
        <w:rPr>
          <w:spacing w:val="1"/>
        </w:rPr>
        <w:t xml:space="preserve"> </w:t>
      </w:r>
      <w:r>
        <w:t>safety</w:t>
      </w:r>
      <w:r>
        <w:rPr>
          <w:spacing w:val="1"/>
        </w:rPr>
        <w:t xml:space="preserve"> </w:t>
      </w:r>
      <w:r>
        <w:t>needs</w:t>
      </w:r>
      <w:r>
        <w:rPr>
          <w:spacing w:val="1"/>
        </w:rPr>
        <w:t xml:space="preserve"> </w:t>
      </w:r>
      <w:r>
        <w:t>(see</w:t>
      </w:r>
      <w:r>
        <w:rPr>
          <w:spacing w:val="1"/>
        </w:rPr>
        <w:t xml:space="preserve"> </w:t>
      </w:r>
      <w:r>
        <w:t>table</w:t>
      </w:r>
      <w:r>
        <w:rPr>
          <w:spacing w:val="1"/>
        </w:rPr>
        <w:t xml:space="preserve"> </w:t>
      </w:r>
      <w:r>
        <w:t>below).</w:t>
      </w:r>
      <w:r>
        <w:rPr>
          <w:spacing w:val="1"/>
        </w:rPr>
        <w:t xml:space="preserve"> </w:t>
      </w:r>
      <w:r>
        <w:t>In</w:t>
      </w:r>
      <w:r>
        <w:rPr>
          <w:spacing w:val="1"/>
        </w:rPr>
        <w:t xml:space="preserve"> </w:t>
      </w:r>
      <w:r>
        <w:t>2019,</w:t>
      </w:r>
      <w:r>
        <w:rPr>
          <w:spacing w:val="1"/>
        </w:rPr>
        <w:t xml:space="preserve"> </w:t>
      </w:r>
      <w:r>
        <w:t>the</w:t>
      </w:r>
      <w:r>
        <w:rPr>
          <w:spacing w:val="1"/>
        </w:rPr>
        <w:t xml:space="preserve"> </w:t>
      </w:r>
      <w:r>
        <w:t>Applicant</w:t>
      </w:r>
      <w:r>
        <w:rPr>
          <w:spacing w:val="1"/>
        </w:rPr>
        <w:t xml:space="preserve"> </w:t>
      </w:r>
      <w:r>
        <w:t>considered two alternative locations in Weymouth.</w:t>
      </w:r>
      <w:r>
        <w:rPr>
          <w:spacing w:val="1"/>
        </w:rPr>
        <w:t xml:space="preserve"> </w:t>
      </w:r>
      <w:r>
        <w:t>These locations were not pursued due to</w:t>
      </w:r>
      <w:r>
        <w:rPr>
          <w:spacing w:val="1"/>
        </w:rPr>
        <w:t xml:space="preserve"> </w:t>
      </w:r>
      <w:r>
        <w:t>concerns</w:t>
      </w:r>
      <w:r>
        <w:rPr>
          <w:spacing w:val="1"/>
        </w:rPr>
        <w:t xml:space="preserve"> </w:t>
      </w:r>
      <w:r>
        <w:t>regarding</w:t>
      </w:r>
      <w:r>
        <w:rPr>
          <w:spacing w:val="-3"/>
        </w:rPr>
        <w:t xml:space="preserve"> </w:t>
      </w:r>
      <w:r>
        <w:t>landlord</w:t>
      </w:r>
      <w:r>
        <w:rPr>
          <w:spacing w:val="-1"/>
        </w:rPr>
        <w:t xml:space="preserve"> </w:t>
      </w:r>
      <w:r>
        <w:t>expansion execution</w:t>
      </w:r>
      <w:r>
        <w:rPr>
          <w:spacing w:val="-1"/>
        </w:rPr>
        <w:t xml:space="preserve"> </w:t>
      </w:r>
      <w:r>
        <w:t>and structural</w:t>
      </w:r>
      <w:r>
        <w:rPr>
          <w:spacing w:val="-1"/>
        </w:rPr>
        <w:t xml:space="preserve"> </w:t>
      </w:r>
      <w:r>
        <w:t>parking</w:t>
      </w:r>
      <w:r>
        <w:rPr>
          <w:spacing w:val="-3"/>
        </w:rPr>
        <w:t xml:space="preserve"> </w:t>
      </w:r>
      <w:r>
        <w:t>requirements.</w:t>
      </w:r>
    </w:p>
    <w:p w:rsidR="00D862F2" w:rsidRDefault="00D862F2">
      <w:pPr>
        <w:pStyle w:val="BodyText"/>
      </w:pPr>
    </w:p>
    <w:p w:rsidR="00D862F2" w:rsidRDefault="00884FE4">
      <w:pPr>
        <w:pStyle w:val="BodyText"/>
        <w:ind w:left="2792" w:right="2849"/>
        <w:jc w:val="center"/>
      </w:pPr>
      <w:r>
        <w:rPr>
          <w:u w:val="single"/>
        </w:rPr>
        <w:t>Weymouth</w:t>
      </w:r>
      <w:r>
        <w:rPr>
          <w:spacing w:val="-2"/>
          <w:u w:val="single"/>
        </w:rPr>
        <w:t xml:space="preserve"> </w:t>
      </w:r>
      <w:r>
        <w:rPr>
          <w:u w:val="single"/>
        </w:rPr>
        <w:t>Facility</w:t>
      </w:r>
    </w:p>
    <w:p w:rsidR="00D862F2" w:rsidRDefault="00D862F2">
      <w:pPr>
        <w:pStyle w:val="BodyText"/>
        <w:spacing w:before="8"/>
      </w:pPr>
    </w:p>
    <w:tbl>
      <w:tblPr>
        <w:tblW w:w="0" w:type="auto"/>
        <w:tblInd w:w="4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90"/>
        <w:gridCol w:w="2503"/>
        <w:gridCol w:w="2498"/>
        <w:gridCol w:w="2498"/>
      </w:tblGrid>
      <w:tr w:rsidR="00D862F2">
        <w:trPr>
          <w:trHeight w:val="229"/>
        </w:trPr>
        <w:tc>
          <w:tcPr>
            <w:tcW w:w="1490" w:type="dxa"/>
            <w:tcBorders>
              <w:top w:val="nil"/>
              <w:left w:val="nil"/>
            </w:tcBorders>
          </w:tcPr>
          <w:p w:rsidR="00D862F2" w:rsidRDefault="00D862F2">
            <w:pPr>
              <w:pStyle w:val="TableParagraph"/>
              <w:jc w:val="left"/>
              <w:rPr>
                <w:rFonts w:ascii="Times New Roman"/>
                <w:sz w:val="16"/>
              </w:rPr>
            </w:pPr>
          </w:p>
        </w:tc>
        <w:tc>
          <w:tcPr>
            <w:tcW w:w="2503" w:type="dxa"/>
            <w:shd w:val="clear" w:color="auto" w:fill="365F91"/>
          </w:tcPr>
          <w:p w:rsidR="00D862F2" w:rsidRDefault="00884FE4">
            <w:pPr>
              <w:pStyle w:val="TableParagraph"/>
              <w:spacing w:line="210" w:lineRule="exact"/>
              <w:ind w:left="138" w:right="115"/>
              <w:jc w:val="center"/>
              <w:rPr>
                <w:rFonts w:ascii="Times New Roman"/>
                <w:sz w:val="20"/>
              </w:rPr>
            </w:pPr>
            <w:r>
              <w:rPr>
                <w:rFonts w:ascii="Times New Roman"/>
                <w:color w:val="FFFFFF"/>
                <w:sz w:val="20"/>
              </w:rPr>
              <w:t>Proposed</w:t>
            </w:r>
            <w:r>
              <w:rPr>
                <w:rFonts w:ascii="Times New Roman"/>
                <w:color w:val="FFFFFF"/>
                <w:spacing w:val="-2"/>
                <w:sz w:val="20"/>
              </w:rPr>
              <w:t xml:space="preserve"> </w:t>
            </w:r>
            <w:r>
              <w:rPr>
                <w:rFonts w:ascii="Times New Roman"/>
                <w:color w:val="FFFFFF"/>
                <w:sz w:val="20"/>
              </w:rPr>
              <w:t>Project</w:t>
            </w:r>
          </w:p>
        </w:tc>
        <w:tc>
          <w:tcPr>
            <w:tcW w:w="2498" w:type="dxa"/>
            <w:shd w:val="clear" w:color="auto" w:fill="365F91"/>
          </w:tcPr>
          <w:p w:rsidR="00D862F2" w:rsidRDefault="00884FE4">
            <w:pPr>
              <w:pStyle w:val="TableParagraph"/>
              <w:spacing w:line="210" w:lineRule="exact"/>
              <w:ind w:left="404" w:right="385"/>
              <w:jc w:val="center"/>
              <w:rPr>
                <w:rFonts w:ascii="Times New Roman"/>
                <w:sz w:val="20"/>
              </w:rPr>
            </w:pPr>
            <w:r>
              <w:rPr>
                <w:rFonts w:ascii="Times New Roman"/>
                <w:color w:val="FFFFFF"/>
                <w:sz w:val="20"/>
              </w:rPr>
              <w:t>Alternative</w:t>
            </w:r>
            <w:r>
              <w:rPr>
                <w:rFonts w:ascii="Times New Roman"/>
                <w:color w:val="FFFFFF"/>
                <w:spacing w:val="-4"/>
                <w:sz w:val="20"/>
              </w:rPr>
              <w:t xml:space="preserve"> </w:t>
            </w:r>
            <w:r>
              <w:rPr>
                <w:rFonts w:ascii="Times New Roman"/>
                <w:color w:val="FFFFFF"/>
                <w:sz w:val="20"/>
              </w:rPr>
              <w:t>#1</w:t>
            </w:r>
          </w:p>
        </w:tc>
        <w:tc>
          <w:tcPr>
            <w:tcW w:w="2498" w:type="dxa"/>
            <w:shd w:val="clear" w:color="auto" w:fill="365F91"/>
          </w:tcPr>
          <w:p w:rsidR="00D862F2" w:rsidRDefault="00884FE4">
            <w:pPr>
              <w:pStyle w:val="TableParagraph"/>
              <w:spacing w:line="210" w:lineRule="exact"/>
              <w:ind w:left="405" w:right="385"/>
              <w:jc w:val="center"/>
              <w:rPr>
                <w:rFonts w:ascii="Times New Roman"/>
                <w:sz w:val="20"/>
              </w:rPr>
            </w:pPr>
            <w:r>
              <w:rPr>
                <w:rFonts w:ascii="Times New Roman"/>
                <w:color w:val="FFFFFF"/>
                <w:sz w:val="20"/>
              </w:rPr>
              <w:t>Alternative</w:t>
            </w:r>
            <w:r>
              <w:rPr>
                <w:rFonts w:ascii="Times New Roman"/>
                <w:color w:val="FFFFFF"/>
                <w:spacing w:val="-4"/>
                <w:sz w:val="20"/>
              </w:rPr>
              <w:t xml:space="preserve"> </w:t>
            </w:r>
            <w:r>
              <w:rPr>
                <w:rFonts w:ascii="Times New Roman"/>
                <w:color w:val="FFFFFF"/>
                <w:sz w:val="20"/>
              </w:rPr>
              <w:t>#2</w:t>
            </w:r>
          </w:p>
        </w:tc>
      </w:tr>
      <w:tr w:rsidR="00D862F2">
        <w:trPr>
          <w:trHeight w:val="920"/>
        </w:trPr>
        <w:tc>
          <w:tcPr>
            <w:tcW w:w="1490" w:type="dxa"/>
            <w:shd w:val="clear" w:color="auto" w:fill="365F91"/>
          </w:tcPr>
          <w:p w:rsidR="00D862F2" w:rsidRDefault="00884FE4">
            <w:pPr>
              <w:pStyle w:val="TableParagraph"/>
              <w:spacing w:line="225" w:lineRule="exact"/>
              <w:ind w:left="107"/>
              <w:jc w:val="left"/>
              <w:rPr>
                <w:rFonts w:ascii="Times New Roman"/>
                <w:sz w:val="20"/>
              </w:rPr>
            </w:pPr>
            <w:r>
              <w:rPr>
                <w:rFonts w:ascii="Times New Roman"/>
                <w:color w:val="FFFFFF"/>
                <w:sz w:val="20"/>
              </w:rPr>
              <w:t>Description</w:t>
            </w:r>
          </w:p>
        </w:tc>
        <w:tc>
          <w:tcPr>
            <w:tcW w:w="2503" w:type="dxa"/>
          </w:tcPr>
          <w:p w:rsidR="00D862F2" w:rsidRDefault="00884FE4">
            <w:pPr>
              <w:pStyle w:val="TableParagraph"/>
              <w:ind w:left="165" w:right="143" w:firstLine="2"/>
              <w:jc w:val="center"/>
              <w:rPr>
                <w:rFonts w:ascii="Times New Roman"/>
                <w:sz w:val="20"/>
              </w:rPr>
            </w:pPr>
            <w:r>
              <w:rPr>
                <w:rFonts w:ascii="Times New Roman"/>
                <w:sz w:val="20"/>
              </w:rPr>
              <w:t>Leasing</w:t>
            </w:r>
            <w:r>
              <w:rPr>
                <w:rFonts w:ascii="Times New Roman"/>
                <w:spacing w:val="-2"/>
                <w:sz w:val="20"/>
              </w:rPr>
              <w:t xml:space="preserve"> </w:t>
            </w:r>
            <w:r>
              <w:rPr>
                <w:rFonts w:ascii="Times New Roman"/>
                <w:sz w:val="20"/>
              </w:rPr>
              <w:t>and</w:t>
            </w:r>
            <w:r>
              <w:rPr>
                <w:rFonts w:ascii="Times New Roman"/>
                <w:spacing w:val="3"/>
                <w:sz w:val="20"/>
              </w:rPr>
              <w:t xml:space="preserve"> </w:t>
            </w:r>
            <w:r>
              <w:rPr>
                <w:rFonts w:ascii="Times New Roman"/>
                <w:sz w:val="20"/>
              </w:rPr>
              <w:t>fit-out</w:t>
            </w:r>
            <w:r>
              <w:rPr>
                <w:rFonts w:ascii="Times New Roman"/>
                <w:spacing w:val="-1"/>
                <w:sz w:val="20"/>
              </w:rPr>
              <w:t xml:space="preserve"> </w:t>
            </w:r>
            <w:r>
              <w:rPr>
                <w:rFonts w:ascii="Times New Roman"/>
                <w:sz w:val="20"/>
              </w:rPr>
              <w:t>of</w:t>
            </w:r>
            <w:r>
              <w:rPr>
                <w:rFonts w:ascii="Times New Roman"/>
                <w:spacing w:val="1"/>
                <w:sz w:val="20"/>
              </w:rPr>
              <w:t xml:space="preserve"> </w:t>
            </w:r>
            <w:r>
              <w:rPr>
                <w:rFonts w:ascii="Times New Roman"/>
                <w:sz w:val="20"/>
              </w:rPr>
              <w:t>approximately</w:t>
            </w:r>
            <w:r>
              <w:rPr>
                <w:rFonts w:ascii="Times New Roman"/>
                <w:spacing w:val="-8"/>
                <w:sz w:val="20"/>
              </w:rPr>
              <w:t xml:space="preserve"> </w:t>
            </w:r>
            <w:r>
              <w:rPr>
                <w:rFonts w:ascii="Times New Roman"/>
                <w:sz w:val="20"/>
              </w:rPr>
              <w:t>38,362</w:t>
            </w:r>
            <w:r>
              <w:rPr>
                <w:rFonts w:ascii="Times New Roman"/>
                <w:spacing w:val="-2"/>
                <w:sz w:val="20"/>
              </w:rPr>
              <w:t xml:space="preserve"> </w:t>
            </w:r>
            <w:r>
              <w:rPr>
                <w:rFonts w:ascii="Times New Roman"/>
                <w:sz w:val="20"/>
              </w:rPr>
              <w:t>GSF</w:t>
            </w:r>
          </w:p>
          <w:p w:rsidR="00D862F2" w:rsidRDefault="00884FE4">
            <w:pPr>
              <w:pStyle w:val="TableParagraph"/>
              <w:spacing w:line="230" w:lineRule="exact"/>
              <w:ind w:left="138" w:right="117"/>
              <w:jc w:val="center"/>
              <w:rPr>
                <w:rFonts w:ascii="Times New Roman"/>
                <w:sz w:val="20"/>
              </w:rPr>
            </w:pPr>
            <w:r>
              <w:rPr>
                <w:rFonts w:ascii="Times New Roman"/>
                <w:sz w:val="20"/>
              </w:rPr>
              <w:t>at</w:t>
            </w:r>
            <w:r>
              <w:rPr>
                <w:rFonts w:ascii="Times New Roman"/>
                <w:spacing w:val="-3"/>
                <w:sz w:val="20"/>
              </w:rPr>
              <w:t xml:space="preserve"> </w:t>
            </w:r>
            <w:r>
              <w:rPr>
                <w:rFonts w:ascii="Times New Roman"/>
                <w:sz w:val="20"/>
              </w:rPr>
              <w:t>200</w:t>
            </w:r>
            <w:r>
              <w:rPr>
                <w:rFonts w:ascii="Times New Roman"/>
                <w:spacing w:val="-2"/>
                <w:sz w:val="20"/>
              </w:rPr>
              <w:t xml:space="preserve"> </w:t>
            </w:r>
            <w:r>
              <w:rPr>
                <w:rFonts w:ascii="Times New Roman"/>
                <w:sz w:val="20"/>
              </w:rPr>
              <w:t>Libbey</w:t>
            </w:r>
            <w:r>
              <w:rPr>
                <w:rFonts w:ascii="Times New Roman"/>
                <w:spacing w:val="-6"/>
                <w:sz w:val="20"/>
              </w:rPr>
              <w:t xml:space="preserve"> </w:t>
            </w:r>
            <w:r>
              <w:rPr>
                <w:rFonts w:ascii="Times New Roman"/>
                <w:sz w:val="20"/>
              </w:rPr>
              <w:t>Parkway,</w:t>
            </w:r>
            <w:r>
              <w:rPr>
                <w:rFonts w:ascii="Times New Roman"/>
                <w:spacing w:val="-47"/>
                <w:sz w:val="20"/>
              </w:rPr>
              <w:t xml:space="preserve"> </w:t>
            </w:r>
            <w:r>
              <w:rPr>
                <w:rFonts w:ascii="Times New Roman"/>
                <w:sz w:val="20"/>
              </w:rPr>
              <w:t>Weymouth, MA</w:t>
            </w:r>
            <w:r>
              <w:rPr>
                <w:rFonts w:ascii="Times New Roman"/>
                <w:sz w:val="20"/>
                <w:vertAlign w:val="superscript"/>
              </w:rPr>
              <w:t>*</w:t>
            </w:r>
          </w:p>
        </w:tc>
        <w:tc>
          <w:tcPr>
            <w:tcW w:w="2498" w:type="dxa"/>
          </w:tcPr>
          <w:p w:rsidR="00D862F2" w:rsidRDefault="00884FE4">
            <w:pPr>
              <w:pStyle w:val="TableParagraph"/>
              <w:ind w:left="715" w:right="338" w:hanging="334"/>
              <w:jc w:val="left"/>
              <w:rPr>
                <w:rFonts w:ascii="Times New Roman"/>
                <w:sz w:val="20"/>
              </w:rPr>
            </w:pPr>
            <w:r>
              <w:rPr>
                <w:rFonts w:ascii="Times New Roman"/>
                <w:sz w:val="20"/>
              </w:rPr>
              <w:t>Leasing and fit-out of</w:t>
            </w:r>
            <w:r>
              <w:rPr>
                <w:rFonts w:ascii="Times New Roman"/>
                <w:spacing w:val="-48"/>
                <w:sz w:val="20"/>
              </w:rPr>
              <w:t xml:space="preserve"> </w:t>
            </w:r>
            <w:r>
              <w:rPr>
                <w:rFonts w:ascii="Times New Roman"/>
                <w:sz w:val="20"/>
              </w:rPr>
              <w:t>alternate</w:t>
            </w:r>
            <w:r>
              <w:rPr>
                <w:rFonts w:ascii="Times New Roman"/>
                <w:spacing w:val="-2"/>
                <w:sz w:val="20"/>
              </w:rPr>
              <w:t xml:space="preserve"> </w:t>
            </w:r>
            <w:r>
              <w:rPr>
                <w:rFonts w:ascii="Times New Roman"/>
                <w:sz w:val="20"/>
              </w:rPr>
              <w:t>site.</w:t>
            </w:r>
          </w:p>
        </w:tc>
        <w:tc>
          <w:tcPr>
            <w:tcW w:w="2498" w:type="dxa"/>
          </w:tcPr>
          <w:p w:rsidR="00D862F2" w:rsidRDefault="00884FE4">
            <w:pPr>
              <w:pStyle w:val="TableParagraph"/>
              <w:ind w:left="715" w:right="338" w:hanging="334"/>
              <w:jc w:val="left"/>
              <w:rPr>
                <w:rFonts w:ascii="Times New Roman"/>
                <w:sz w:val="20"/>
              </w:rPr>
            </w:pPr>
            <w:r>
              <w:rPr>
                <w:rFonts w:ascii="Times New Roman"/>
                <w:sz w:val="20"/>
              </w:rPr>
              <w:t>Leasing and fit-out of</w:t>
            </w:r>
            <w:r>
              <w:rPr>
                <w:rFonts w:ascii="Times New Roman"/>
                <w:spacing w:val="-47"/>
                <w:sz w:val="20"/>
              </w:rPr>
              <w:t xml:space="preserve"> </w:t>
            </w:r>
            <w:r>
              <w:rPr>
                <w:rFonts w:ascii="Times New Roman"/>
                <w:sz w:val="20"/>
              </w:rPr>
              <w:t>alternate</w:t>
            </w:r>
            <w:r>
              <w:rPr>
                <w:rFonts w:ascii="Times New Roman"/>
                <w:spacing w:val="-2"/>
                <w:sz w:val="20"/>
              </w:rPr>
              <w:t xml:space="preserve"> </w:t>
            </w:r>
            <w:r>
              <w:rPr>
                <w:rFonts w:ascii="Times New Roman"/>
                <w:sz w:val="20"/>
              </w:rPr>
              <w:t>site.</w:t>
            </w:r>
          </w:p>
        </w:tc>
      </w:tr>
      <w:tr w:rsidR="00D862F2">
        <w:trPr>
          <w:trHeight w:val="229"/>
        </w:trPr>
        <w:tc>
          <w:tcPr>
            <w:tcW w:w="1490" w:type="dxa"/>
            <w:shd w:val="clear" w:color="auto" w:fill="365F91"/>
          </w:tcPr>
          <w:p w:rsidR="00D862F2" w:rsidRDefault="00884FE4">
            <w:pPr>
              <w:pStyle w:val="TableParagraph"/>
              <w:spacing w:line="210" w:lineRule="exact"/>
              <w:ind w:left="107"/>
              <w:jc w:val="left"/>
              <w:rPr>
                <w:rFonts w:ascii="Times New Roman"/>
                <w:sz w:val="20"/>
              </w:rPr>
            </w:pPr>
            <w:r>
              <w:rPr>
                <w:rFonts w:ascii="Times New Roman"/>
                <w:color w:val="FFFFFF"/>
                <w:sz w:val="20"/>
              </w:rPr>
              <w:t>Quality</w:t>
            </w:r>
          </w:p>
        </w:tc>
        <w:tc>
          <w:tcPr>
            <w:tcW w:w="2503" w:type="dxa"/>
          </w:tcPr>
          <w:p w:rsidR="00D862F2" w:rsidRDefault="00884FE4">
            <w:pPr>
              <w:pStyle w:val="TableParagraph"/>
              <w:spacing w:line="210" w:lineRule="exact"/>
              <w:ind w:left="138" w:right="119"/>
              <w:jc w:val="center"/>
              <w:rPr>
                <w:rFonts w:ascii="Times New Roman"/>
                <w:sz w:val="20"/>
              </w:rPr>
            </w:pPr>
            <w:r>
              <w:rPr>
                <w:rFonts w:ascii="Times New Roman"/>
                <w:sz w:val="20"/>
              </w:rPr>
              <w:t>Comparable</w:t>
            </w:r>
          </w:p>
        </w:tc>
        <w:tc>
          <w:tcPr>
            <w:tcW w:w="2498" w:type="dxa"/>
          </w:tcPr>
          <w:p w:rsidR="00D862F2" w:rsidRDefault="00884FE4">
            <w:pPr>
              <w:pStyle w:val="TableParagraph"/>
              <w:spacing w:line="210" w:lineRule="exact"/>
              <w:ind w:left="405" w:right="385"/>
              <w:jc w:val="center"/>
              <w:rPr>
                <w:rFonts w:ascii="Times New Roman"/>
                <w:sz w:val="20"/>
              </w:rPr>
            </w:pPr>
            <w:r>
              <w:rPr>
                <w:rFonts w:ascii="Times New Roman"/>
                <w:sz w:val="20"/>
              </w:rPr>
              <w:t>Comparable</w:t>
            </w:r>
          </w:p>
        </w:tc>
        <w:tc>
          <w:tcPr>
            <w:tcW w:w="2498" w:type="dxa"/>
          </w:tcPr>
          <w:p w:rsidR="00D862F2" w:rsidRDefault="00884FE4">
            <w:pPr>
              <w:pStyle w:val="TableParagraph"/>
              <w:spacing w:line="210" w:lineRule="exact"/>
              <w:ind w:left="406" w:right="385"/>
              <w:jc w:val="center"/>
              <w:rPr>
                <w:rFonts w:ascii="Times New Roman"/>
                <w:sz w:val="20"/>
              </w:rPr>
            </w:pPr>
            <w:r>
              <w:rPr>
                <w:rFonts w:ascii="Times New Roman"/>
                <w:sz w:val="20"/>
              </w:rPr>
              <w:t>Comparable</w:t>
            </w:r>
          </w:p>
        </w:tc>
      </w:tr>
      <w:tr w:rsidR="00D862F2">
        <w:trPr>
          <w:trHeight w:val="690"/>
        </w:trPr>
        <w:tc>
          <w:tcPr>
            <w:tcW w:w="1490" w:type="dxa"/>
            <w:shd w:val="clear" w:color="auto" w:fill="365F91"/>
          </w:tcPr>
          <w:p w:rsidR="00D862F2" w:rsidRDefault="00884FE4">
            <w:pPr>
              <w:pStyle w:val="TableParagraph"/>
              <w:spacing w:line="225" w:lineRule="exact"/>
              <w:ind w:left="107"/>
              <w:jc w:val="left"/>
              <w:rPr>
                <w:rFonts w:ascii="Times New Roman"/>
                <w:sz w:val="20"/>
              </w:rPr>
            </w:pPr>
            <w:r>
              <w:rPr>
                <w:rFonts w:ascii="Times New Roman"/>
                <w:color w:val="FFFFFF"/>
                <w:sz w:val="20"/>
              </w:rPr>
              <w:t>Efficiency</w:t>
            </w:r>
          </w:p>
        </w:tc>
        <w:tc>
          <w:tcPr>
            <w:tcW w:w="2503" w:type="dxa"/>
          </w:tcPr>
          <w:p w:rsidR="00D862F2" w:rsidRDefault="00884FE4">
            <w:pPr>
              <w:pStyle w:val="TableParagraph"/>
              <w:spacing w:line="225" w:lineRule="exact"/>
              <w:ind w:left="138" w:right="119"/>
              <w:jc w:val="center"/>
              <w:rPr>
                <w:rFonts w:ascii="Times New Roman"/>
                <w:sz w:val="20"/>
              </w:rPr>
            </w:pPr>
            <w:r>
              <w:rPr>
                <w:rFonts w:ascii="Times New Roman"/>
                <w:sz w:val="20"/>
              </w:rPr>
              <w:t>Comparable</w:t>
            </w:r>
          </w:p>
        </w:tc>
        <w:tc>
          <w:tcPr>
            <w:tcW w:w="2498" w:type="dxa"/>
          </w:tcPr>
          <w:p w:rsidR="00D862F2" w:rsidRDefault="00884FE4">
            <w:pPr>
              <w:pStyle w:val="TableParagraph"/>
              <w:spacing w:line="237" w:lineRule="auto"/>
              <w:ind w:left="127" w:right="100" w:firstLine="280"/>
              <w:jc w:val="left"/>
              <w:rPr>
                <w:rFonts w:ascii="Times New Roman"/>
                <w:sz w:val="20"/>
              </w:rPr>
            </w:pPr>
            <w:r>
              <w:rPr>
                <w:rFonts w:ascii="Times New Roman"/>
                <w:sz w:val="20"/>
              </w:rPr>
              <w:t>Less desirable due to</w:t>
            </w:r>
            <w:r>
              <w:rPr>
                <w:rFonts w:ascii="Times New Roman"/>
                <w:spacing w:val="1"/>
                <w:sz w:val="20"/>
              </w:rPr>
              <w:t xml:space="preserve"> </w:t>
            </w:r>
            <w:r>
              <w:rPr>
                <w:rFonts w:ascii="Times New Roman"/>
                <w:sz w:val="20"/>
              </w:rPr>
              <w:t>concerns</w:t>
            </w:r>
            <w:r>
              <w:rPr>
                <w:rFonts w:ascii="Times New Roman"/>
                <w:spacing w:val="-7"/>
                <w:sz w:val="20"/>
              </w:rPr>
              <w:t xml:space="preserve"> </w:t>
            </w:r>
            <w:r>
              <w:rPr>
                <w:rFonts w:ascii="Times New Roman"/>
                <w:sz w:val="20"/>
              </w:rPr>
              <w:t>regarding</w:t>
            </w:r>
            <w:r>
              <w:rPr>
                <w:rFonts w:ascii="Times New Roman"/>
                <w:spacing w:val="-6"/>
                <w:sz w:val="20"/>
              </w:rPr>
              <w:t xml:space="preserve"> </w:t>
            </w:r>
            <w:r>
              <w:rPr>
                <w:rFonts w:ascii="Times New Roman"/>
                <w:sz w:val="20"/>
              </w:rPr>
              <w:t>landlord</w:t>
            </w:r>
          </w:p>
          <w:p w:rsidR="00D862F2" w:rsidRDefault="00884FE4">
            <w:pPr>
              <w:pStyle w:val="TableParagraph"/>
              <w:spacing w:line="217" w:lineRule="exact"/>
              <w:ind w:left="429"/>
              <w:jc w:val="left"/>
              <w:rPr>
                <w:rFonts w:ascii="Times New Roman"/>
                <w:sz w:val="20"/>
              </w:rPr>
            </w:pPr>
            <w:r>
              <w:rPr>
                <w:rFonts w:ascii="Times New Roman"/>
                <w:sz w:val="20"/>
              </w:rPr>
              <w:t>expansion</w:t>
            </w:r>
            <w:r>
              <w:rPr>
                <w:rFonts w:ascii="Times New Roman"/>
                <w:spacing w:val="-5"/>
                <w:sz w:val="20"/>
              </w:rPr>
              <w:t xml:space="preserve"> </w:t>
            </w:r>
            <w:r>
              <w:rPr>
                <w:rFonts w:ascii="Times New Roman"/>
                <w:sz w:val="20"/>
              </w:rPr>
              <w:t>execution</w:t>
            </w:r>
          </w:p>
        </w:tc>
        <w:tc>
          <w:tcPr>
            <w:tcW w:w="2498" w:type="dxa"/>
          </w:tcPr>
          <w:p w:rsidR="00D862F2" w:rsidRDefault="00884FE4">
            <w:pPr>
              <w:pStyle w:val="TableParagraph"/>
              <w:spacing w:line="237" w:lineRule="auto"/>
              <w:ind w:left="408" w:right="385"/>
              <w:jc w:val="center"/>
              <w:rPr>
                <w:rFonts w:ascii="Times New Roman"/>
                <w:sz w:val="20"/>
              </w:rPr>
            </w:pPr>
            <w:r>
              <w:rPr>
                <w:rFonts w:ascii="Times New Roman"/>
                <w:sz w:val="20"/>
              </w:rPr>
              <w:t>Less desirable due to</w:t>
            </w:r>
            <w:r>
              <w:rPr>
                <w:rFonts w:ascii="Times New Roman"/>
                <w:spacing w:val="-48"/>
                <w:sz w:val="20"/>
              </w:rPr>
              <w:t xml:space="preserve"> </w:t>
            </w:r>
            <w:r>
              <w:rPr>
                <w:rFonts w:ascii="Times New Roman"/>
                <w:sz w:val="20"/>
              </w:rPr>
              <w:t>structural</w:t>
            </w:r>
            <w:r>
              <w:rPr>
                <w:rFonts w:ascii="Times New Roman"/>
                <w:spacing w:val="-2"/>
                <w:sz w:val="20"/>
              </w:rPr>
              <w:t xml:space="preserve"> </w:t>
            </w:r>
            <w:r>
              <w:rPr>
                <w:rFonts w:ascii="Times New Roman"/>
                <w:sz w:val="20"/>
              </w:rPr>
              <w:t>parking</w:t>
            </w:r>
          </w:p>
          <w:p w:rsidR="00D862F2" w:rsidRDefault="00884FE4">
            <w:pPr>
              <w:pStyle w:val="TableParagraph"/>
              <w:spacing w:line="217" w:lineRule="exact"/>
              <w:ind w:left="404" w:right="385"/>
              <w:jc w:val="center"/>
              <w:rPr>
                <w:rFonts w:ascii="Times New Roman"/>
                <w:sz w:val="20"/>
              </w:rPr>
            </w:pPr>
            <w:r>
              <w:rPr>
                <w:rFonts w:ascii="Times New Roman"/>
                <w:sz w:val="20"/>
              </w:rPr>
              <w:t>requirements</w:t>
            </w:r>
          </w:p>
        </w:tc>
      </w:tr>
      <w:tr w:rsidR="00D862F2">
        <w:trPr>
          <w:trHeight w:val="690"/>
        </w:trPr>
        <w:tc>
          <w:tcPr>
            <w:tcW w:w="1490" w:type="dxa"/>
            <w:shd w:val="clear" w:color="auto" w:fill="365F91"/>
          </w:tcPr>
          <w:p w:rsidR="00D862F2" w:rsidRDefault="00884FE4">
            <w:pPr>
              <w:pStyle w:val="TableParagraph"/>
              <w:spacing w:line="223" w:lineRule="exact"/>
              <w:ind w:left="107"/>
              <w:jc w:val="left"/>
              <w:rPr>
                <w:rFonts w:ascii="Times New Roman"/>
                <w:sz w:val="20"/>
              </w:rPr>
            </w:pPr>
            <w:r>
              <w:rPr>
                <w:rFonts w:ascii="Times New Roman"/>
                <w:color w:val="FFFFFF"/>
                <w:sz w:val="20"/>
              </w:rPr>
              <w:t>Costs</w:t>
            </w:r>
          </w:p>
        </w:tc>
        <w:tc>
          <w:tcPr>
            <w:tcW w:w="2503" w:type="dxa"/>
          </w:tcPr>
          <w:p w:rsidR="00D862F2" w:rsidRDefault="00884FE4">
            <w:pPr>
              <w:pStyle w:val="TableParagraph"/>
              <w:spacing w:line="223" w:lineRule="exact"/>
              <w:ind w:left="138" w:right="122"/>
              <w:jc w:val="center"/>
              <w:rPr>
                <w:rFonts w:ascii="Times New Roman"/>
                <w:sz w:val="20"/>
              </w:rPr>
            </w:pPr>
            <w:r>
              <w:rPr>
                <w:rFonts w:ascii="Times New Roman"/>
                <w:sz w:val="20"/>
              </w:rPr>
              <w:t>Approximately</w:t>
            </w:r>
            <w:r>
              <w:rPr>
                <w:rFonts w:ascii="Times New Roman"/>
                <w:spacing w:val="-8"/>
                <w:sz w:val="20"/>
              </w:rPr>
              <w:t xml:space="preserve"> </w:t>
            </w:r>
            <w:r>
              <w:rPr>
                <w:rFonts w:ascii="Times New Roman"/>
                <w:sz w:val="20"/>
              </w:rPr>
              <w:t>$38</w:t>
            </w:r>
            <w:r>
              <w:rPr>
                <w:rFonts w:ascii="Times New Roman"/>
                <w:spacing w:val="1"/>
                <w:sz w:val="20"/>
              </w:rPr>
              <w:t xml:space="preserve"> </w:t>
            </w:r>
            <w:r>
              <w:rPr>
                <w:rFonts w:ascii="Times New Roman"/>
                <w:sz w:val="20"/>
              </w:rPr>
              <w:t>million</w:t>
            </w:r>
          </w:p>
        </w:tc>
        <w:tc>
          <w:tcPr>
            <w:tcW w:w="2498" w:type="dxa"/>
          </w:tcPr>
          <w:p w:rsidR="00D862F2" w:rsidRDefault="00884FE4">
            <w:pPr>
              <w:pStyle w:val="TableParagraph"/>
              <w:ind w:left="146" w:right="127" w:firstLine="2"/>
              <w:jc w:val="center"/>
              <w:rPr>
                <w:rFonts w:ascii="Times New Roman"/>
                <w:sz w:val="20"/>
              </w:rPr>
            </w:pPr>
            <w:r>
              <w:rPr>
                <w:rFonts w:ascii="Times New Roman"/>
                <w:sz w:val="20"/>
              </w:rPr>
              <w:t>Approximately $34.6</w:t>
            </w:r>
            <w:r>
              <w:rPr>
                <w:rFonts w:ascii="Times New Roman"/>
                <w:spacing w:val="1"/>
                <w:sz w:val="20"/>
              </w:rPr>
              <w:t xml:space="preserve"> </w:t>
            </w:r>
            <w:r>
              <w:rPr>
                <w:rFonts w:ascii="Times New Roman"/>
                <w:sz w:val="20"/>
              </w:rPr>
              <w:t>million</w:t>
            </w:r>
            <w:r>
              <w:rPr>
                <w:rFonts w:ascii="Times New Roman"/>
                <w:spacing w:val="-6"/>
                <w:sz w:val="20"/>
              </w:rPr>
              <w:t xml:space="preserve"> </w:t>
            </w:r>
            <w:r>
              <w:rPr>
                <w:rFonts w:ascii="Times New Roman"/>
                <w:sz w:val="20"/>
              </w:rPr>
              <w:t>plus</w:t>
            </w:r>
            <w:r>
              <w:rPr>
                <w:rFonts w:ascii="Times New Roman"/>
                <w:spacing w:val="-6"/>
                <w:sz w:val="20"/>
              </w:rPr>
              <w:t xml:space="preserve"> </w:t>
            </w:r>
            <w:r>
              <w:rPr>
                <w:rFonts w:ascii="Times New Roman"/>
                <w:sz w:val="20"/>
              </w:rPr>
              <w:t>parking</w:t>
            </w:r>
            <w:r>
              <w:rPr>
                <w:rFonts w:ascii="Times New Roman"/>
                <w:spacing w:val="-5"/>
                <w:sz w:val="20"/>
              </w:rPr>
              <w:t xml:space="preserve"> </w:t>
            </w:r>
            <w:r>
              <w:rPr>
                <w:rFonts w:ascii="Times New Roman"/>
                <w:sz w:val="20"/>
              </w:rPr>
              <w:t>garage</w:t>
            </w:r>
          </w:p>
          <w:p w:rsidR="00D862F2" w:rsidRDefault="00884FE4">
            <w:pPr>
              <w:pStyle w:val="TableParagraph"/>
              <w:spacing w:line="217" w:lineRule="exact"/>
              <w:ind w:left="403" w:right="385"/>
              <w:jc w:val="center"/>
              <w:rPr>
                <w:rFonts w:ascii="Times New Roman"/>
                <w:sz w:val="20"/>
              </w:rPr>
            </w:pPr>
            <w:r>
              <w:rPr>
                <w:rFonts w:ascii="Times New Roman"/>
                <w:sz w:val="20"/>
              </w:rPr>
              <w:t>costs</w:t>
            </w:r>
          </w:p>
        </w:tc>
        <w:tc>
          <w:tcPr>
            <w:tcW w:w="2498" w:type="dxa"/>
          </w:tcPr>
          <w:p w:rsidR="00D862F2" w:rsidRDefault="00884FE4">
            <w:pPr>
              <w:pStyle w:val="TableParagraph"/>
              <w:ind w:left="147" w:right="126" w:firstLine="1"/>
              <w:jc w:val="center"/>
              <w:rPr>
                <w:rFonts w:ascii="Times New Roman"/>
                <w:sz w:val="20"/>
              </w:rPr>
            </w:pPr>
            <w:r>
              <w:rPr>
                <w:rFonts w:ascii="Times New Roman"/>
                <w:sz w:val="20"/>
              </w:rPr>
              <w:t>Approximately $35.1</w:t>
            </w:r>
            <w:r>
              <w:rPr>
                <w:rFonts w:ascii="Times New Roman"/>
                <w:spacing w:val="1"/>
                <w:sz w:val="20"/>
              </w:rPr>
              <w:t xml:space="preserve"> </w:t>
            </w:r>
            <w:r>
              <w:rPr>
                <w:rFonts w:ascii="Times New Roman"/>
                <w:sz w:val="20"/>
              </w:rPr>
              <w:t>million</w:t>
            </w:r>
            <w:r>
              <w:rPr>
                <w:rFonts w:ascii="Times New Roman"/>
                <w:spacing w:val="-5"/>
                <w:sz w:val="20"/>
              </w:rPr>
              <w:t xml:space="preserve"> </w:t>
            </w:r>
            <w:r>
              <w:rPr>
                <w:rFonts w:ascii="Times New Roman"/>
                <w:sz w:val="20"/>
              </w:rPr>
              <w:t>plus</w:t>
            </w:r>
            <w:r>
              <w:rPr>
                <w:rFonts w:ascii="Times New Roman"/>
                <w:spacing w:val="-5"/>
                <w:sz w:val="20"/>
              </w:rPr>
              <w:t xml:space="preserve"> </w:t>
            </w:r>
            <w:r>
              <w:rPr>
                <w:rFonts w:ascii="Times New Roman"/>
                <w:sz w:val="20"/>
              </w:rPr>
              <w:t>parking</w:t>
            </w:r>
            <w:r>
              <w:rPr>
                <w:rFonts w:ascii="Times New Roman"/>
                <w:spacing w:val="-5"/>
                <w:sz w:val="20"/>
              </w:rPr>
              <w:t xml:space="preserve"> </w:t>
            </w:r>
            <w:r>
              <w:rPr>
                <w:rFonts w:ascii="Times New Roman"/>
                <w:sz w:val="20"/>
              </w:rPr>
              <w:t>garage</w:t>
            </w:r>
          </w:p>
          <w:p w:rsidR="00D862F2" w:rsidRDefault="00884FE4">
            <w:pPr>
              <w:pStyle w:val="TableParagraph"/>
              <w:spacing w:line="217" w:lineRule="exact"/>
              <w:ind w:left="404" w:right="385"/>
              <w:jc w:val="center"/>
              <w:rPr>
                <w:rFonts w:ascii="Times New Roman"/>
                <w:sz w:val="20"/>
              </w:rPr>
            </w:pPr>
            <w:r>
              <w:rPr>
                <w:rFonts w:ascii="Times New Roman"/>
                <w:sz w:val="20"/>
              </w:rPr>
              <w:t>costs</w:t>
            </w:r>
          </w:p>
        </w:tc>
      </w:tr>
    </w:tbl>
    <w:p w:rsidR="00D862F2" w:rsidRDefault="00884FE4">
      <w:pPr>
        <w:ind w:left="580"/>
        <w:rPr>
          <w:sz w:val="20"/>
        </w:rPr>
      </w:pPr>
      <w:r>
        <w:rPr>
          <w:spacing w:val="-1"/>
          <w:sz w:val="20"/>
          <w:vertAlign w:val="superscript"/>
        </w:rPr>
        <w:t>*</w:t>
      </w:r>
      <w:r>
        <w:rPr>
          <w:spacing w:val="-17"/>
          <w:sz w:val="20"/>
        </w:rPr>
        <w:t xml:space="preserve"> </w:t>
      </w:r>
      <w:r>
        <w:rPr>
          <w:spacing w:val="-1"/>
          <w:sz w:val="20"/>
        </w:rPr>
        <w:t>See</w:t>
      </w:r>
      <w:r>
        <w:rPr>
          <w:sz w:val="20"/>
        </w:rPr>
        <w:t xml:space="preserve"> </w:t>
      </w:r>
      <w:r>
        <w:rPr>
          <w:spacing w:val="-1"/>
          <w:sz w:val="20"/>
        </w:rPr>
        <w:t>Attachment</w:t>
      </w:r>
      <w:r>
        <w:rPr>
          <w:sz w:val="20"/>
        </w:rPr>
        <w:t xml:space="preserve"> </w:t>
      </w:r>
      <w:r>
        <w:rPr>
          <w:spacing w:val="-1"/>
          <w:sz w:val="20"/>
        </w:rPr>
        <w:t>2</w:t>
      </w:r>
      <w:r>
        <w:rPr>
          <w:spacing w:val="1"/>
          <w:sz w:val="20"/>
        </w:rPr>
        <w:t xml:space="preserve"> </w:t>
      </w:r>
      <w:r>
        <w:rPr>
          <w:spacing w:val="-1"/>
          <w:sz w:val="20"/>
        </w:rPr>
        <w:t>for</w:t>
      </w:r>
      <w:r>
        <w:rPr>
          <w:spacing w:val="1"/>
          <w:sz w:val="20"/>
        </w:rPr>
        <w:t xml:space="preserve"> </w:t>
      </w:r>
      <w:r>
        <w:rPr>
          <w:spacing w:val="-1"/>
          <w:sz w:val="20"/>
        </w:rPr>
        <w:t>complete</w:t>
      </w:r>
      <w:r>
        <w:rPr>
          <w:spacing w:val="1"/>
          <w:sz w:val="20"/>
        </w:rPr>
        <w:t xml:space="preserve"> </w:t>
      </w:r>
      <w:r>
        <w:rPr>
          <w:sz w:val="20"/>
        </w:rPr>
        <w:t>project description.</w:t>
      </w:r>
    </w:p>
    <w:p w:rsidR="00D862F2" w:rsidRDefault="00D862F2">
      <w:pPr>
        <w:pStyle w:val="BodyText"/>
        <w:spacing w:before="5"/>
        <w:rPr>
          <w:sz w:val="23"/>
        </w:rPr>
      </w:pPr>
    </w:p>
    <w:p w:rsidR="00D862F2" w:rsidRDefault="00884FE4">
      <w:pPr>
        <w:pStyle w:val="BodyText"/>
        <w:tabs>
          <w:tab w:val="left" w:pos="8451"/>
        </w:tabs>
        <w:spacing w:before="1"/>
        <w:ind w:left="219" w:right="277"/>
        <w:jc w:val="both"/>
      </w:pPr>
      <w:r>
        <w:t>The Proposed Project seeks to meet patient demands for more accessible, lower-cost services in</w:t>
      </w:r>
      <w:r>
        <w:rPr>
          <w:spacing w:val="1"/>
        </w:rPr>
        <w:t xml:space="preserve"> </w:t>
      </w:r>
      <w:r>
        <w:t>the</w:t>
      </w:r>
      <w:r>
        <w:rPr>
          <w:spacing w:val="1"/>
        </w:rPr>
        <w:t xml:space="preserve"> </w:t>
      </w:r>
      <w:r>
        <w:t>community.</w:t>
      </w:r>
      <w:r>
        <w:rPr>
          <w:spacing w:val="1"/>
        </w:rPr>
        <w:t xml:space="preserve"> </w:t>
      </w:r>
      <w:r>
        <w:t>The</w:t>
      </w:r>
      <w:r>
        <w:rPr>
          <w:spacing w:val="1"/>
        </w:rPr>
        <w:t xml:space="preserve"> </w:t>
      </w:r>
      <w:r>
        <w:t>Proposed</w:t>
      </w:r>
      <w:r>
        <w:rPr>
          <w:spacing w:val="1"/>
        </w:rPr>
        <w:t xml:space="preserve"> </w:t>
      </w:r>
      <w:r>
        <w:t>Project</w:t>
      </w:r>
      <w:r>
        <w:rPr>
          <w:spacing w:val="1"/>
        </w:rPr>
        <w:t xml:space="preserve"> </w:t>
      </w:r>
      <w:r>
        <w:t>continues</w:t>
      </w:r>
      <w:r>
        <w:rPr>
          <w:spacing w:val="1"/>
        </w:rPr>
        <w:t xml:space="preserve"> </w:t>
      </w:r>
      <w:r>
        <w:t>the</w:t>
      </w:r>
      <w:r>
        <w:rPr>
          <w:spacing w:val="1"/>
        </w:rPr>
        <w:t xml:space="preserve"> </w:t>
      </w:r>
      <w:r>
        <w:t>Hospital’s</w:t>
      </w:r>
      <w:r>
        <w:rPr>
          <w:spacing w:val="1"/>
        </w:rPr>
        <w:t xml:space="preserve"> </w:t>
      </w:r>
      <w:r>
        <w:t>commitment</w:t>
      </w:r>
      <w:r>
        <w:rPr>
          <w:spacing w:val="1"/>
        </w:rPr>
        <w:t xml:space="preserve"> </w:t>
      </w:r>
      <w:r>
        <w:t>to</w:t>
      </w:r>
      <w:r>
        <w:rPr>
          <w:spacing w:val="1"/>
        </w:rPr>
        <w:t xml:space="preserve"> </w:t>
      </w:r>
      <w:r>
        <w:t>being</w:t>
      </w:r>
      <w:r>
        <w:rPr>
          <w:spacing w:val="60"/>
        </w:rPr>
        <w:t xml:space="preserve"> </w:t>
      </w:r>
      <w:r>
        <w:t>a</w:t>
      </w:r>
      <w:r>
        <w:rPr>
          <w:spacing w:val="1"/>
        </w:rPr>
        <w:t xml:space="preserve"> </w:t>
      </w:r>
      <w:r>
        <w:t>worldwide leader in the advancement of children’s health and its mission to improve the health</w:t>
      </w:r>
      <w:r>
        <w:rPr>
          <w:spacing w:val="1"/>
        </w:rPr>
        <w:t xml:space="preserve"> </w:t>
      </w:r>
      <w:r>
        <w:t>and well-being of children in the community. Through its multi-year process, the Applicant</w:t>
      </w:r>
      <w:r>
        <w:rPr>
          <w:spacing w:val="1"/>
        </w:rPr>
        <w:t xml:space="preserve"> </w:t>
      </w:r>
      <w:r>
        <w:t>considered</w:t>
      </w:r>
      <w:r>
        <w:rPr>
          <w:spacing w:val="1"/>
        </w:rPr>
        <w:t xml:space="preserve"> </w:t>
      </w:r>
      <w:r>
        <w:t>a number of</w:t>
      </w:r>
      <w:r>
        <w:rPr>
          <w:spacing w:val="1"/>
        </w:rPr>
        <w:t xml:space="preserve"> </w:t>
      </w:r>
      <w:r>
        <w:t>alternative</w:t>
      </w:r>
      <w:r>
        <w:rPr>
          <w:spacing w:val="1"/>
        </w:rPr>
        <w:t xml:space="preserve"> </w:t>
      </w:r>
      <w:r>
        <w:t>approaches</w:t>
      </w:r>
      <w:r>
        <w:rPr>
          <w:spacing w:val="1"/>
        </w:rPr>
        <w:t xml:space="preserve"> </w:t>
      </w:r>
      <w:r>
        <w:t>to</w:t>
      </w:r>
      <w:r>
        <w:rPr>
          <w:spacing w:val="1"/>
        </w:rPr>
        <w:t xml:space="preserve"> </w:t>
      </w:r>
      <w:r>
        <w:t>meeting the</w:t>
      </w:r>
      <w:r>
        <w:rPr>
          <w:spacing w:val="1"/>
        </w:rPr>
        <w:t xml:space="preserve"> </w:t>
      </w:r>
      <w:r>
        <w:t>patient</w:t>
      </w:r>
      <w:r>
        <w:rPr>
          <w:spacing w:val="1"/>
        </w:rPr>
        <w:t xml:space="preserve"> </w:t>
      </w:r>
      <w:r>
        <w:t>panel</w:t>
      </w:r>
      <w:r>
        <w:rPr>
          <w:spacing w:val="1"/>
        </w:rPr>
        <w:t xml:space="preserve"> </w:t>
      </w:r>
      <w:r>
        <w:t>needs</w:t>
      </w:r>
      <w:r>
        <w:rPr>
          <w:spacing w:val="60"/>
        </w:rPr>
        <w:t xml:space="preserve"> </w:t>
      </w:r>
      <w:r>
        <w:t>before its</w:t>
      </w:r>
      <w:r>
        <w:rPr>
          <w:spacing w:val="1"/>
        </w:rPr>
        <w:t xml:space="preserve"> </w:t>
      </w:r>
      <w:r>
        <w:t>Board</w:t>
      </w:r>
      <w:r>
        <w:rPr>
          <w:spacing w:val="1"/>
        </w:rPr>
        <w:t xml:space="preserve"> </w:t>
      </w:r>
      <w:r>
        <w:t>of</w:t>
      </w:r>
      <w:r>
        <w:rPr>
          <w:spacing w:val="1"/>
        </w:rPr>
        <w:t xml:space="preserve"> </w:t>
      </w:r>
      <w:r>
        <w:t>Directors</w:t>
      </w:r>
      <w:r>
        <w:rPr>
          <w:spacing w:val="1"/>
        </w:rPr>
        <w:t xml:space="preserve"> </w:t>
      </w:r>
      <w:r>
        <w:t>selected</w:t>
      </w:r>
      <w:r>
        <w:rPr>
          <w:spacing w:val="1"/>
        </w:rPr>
        <w:t xml:space="preserve"> </w:t>
      </w:r>
      <w:r>
        <w:t>the</w:t>
      </w:r>
      <w:r>
        <w:rPr>
          <w:spacing w:val="1"/>
        </w:rPr>
        <w:t xml:space="preserve"> </w:t>
      </w:r>
      <w:r>
        <w:t>Proposed</w:t>
      </w:r>
      <w:r>
        <w:rPr>
          <w:spacing w:val="1"/>
        </w:rPr>
        <w:t xml:space="preserve"> </w:t>
      </w:r>
      <w:r>
        <w:t>Project.</w:t>
      </w:r>
      <w:r>
        <w:rPr>
          <w:spacing w:val="1"/>
        </w:rPr>
        <w:t xml:space="preserve"> </w:t>
      </w:r>
      <w:r>
        <w:t>Relative</w:t>
      </w:r>
      <w:r>
        <w:rPr>
          <w:spacing w:val="1"/>
        </w:rPr>
        <w:t xml:space="preserve"> </w:t>
      </w:r>
      <w:r>
        <w:t>to</w:t>
      </w:r>
      <w:r>
        <w:rPr>
          <w:spacing w:val="1"/>
        </w:rPr>
        <w:t xml:space="preserve"> </w:t>
      </w:r>
      <w:r>
        <w:t>the</w:t>
      </w:r>
      <w:r>
        <w:rPr>
          <w:spacing w:val="1"/>
        </w:rPr>
        <w:t xml:space="preserve"> </w:t>
      </w:r>
      <w:r>
        <w:t>Proposed</w:t>
      </w:r>
      <w:r>
        <w:rPr>
          <w:spacing w:val="1"/>
        </w:rPr>
        <w:t xml:space="preserve"> </w:t>
      </w:r>
      <w:r>
        <w:t>Project,</w:t>
      </w:r>
      <w:r>
        <w:rPr>
          <w:spacing w:val="1"/>
        </w:rPr>
        <w:t xml:space="preserve"> </w:t>
      </w:r>
      <w:r>
        <w:t>the</w:t>
      </w:r>
      <w:r>
        <w:rPr>
          <w:spacing w:val="1"/>
        </w:rPr>
        <w:t xml:space="preserve"> </w:t>
      </w:r>
      <w:r>
        <w:t>alternatives were less operationally efficient, more costly, or infeasible in light of local zoning or</w:t>
      </w:r>
      <w:r>
        <w:rPr>
          <w:spacing w:val="1"/>
        </w:rPr>
        <w:t xml:space="preserve"> </w:t>
      </w:r>
      <w:r>
        <w:t>other</w:t>
      </w:r>
      <w:r>
        <w:tab/>
      </w:r>
      <w:r>
        <w:rPr>
          <w:spacing w:val="-1"/>
        </w:rPr>
        <w:t>restrictions.</w:t>
      </w:r>
    </w:p>
    <w:p w:rsidR="00D862F2" w:rsidRDefault="00D862F2">
      <w:pPr>
        <w:jc w:val="both"/>
        <w:sectPr w:rsidR="00D862F2">
          <w:pgSz w:w="12240" w:h="15840"/>
          <w:pgMar w:top="1340" w:right="1160" w:bottom="980" w:left="1220" w:header="722" w:footer="794" w:gutter="0"/>
          <w:cols w:space="720"/>
        </w:sectPr>
      </w:pPr>
    </w:p>
    <w:p w:rsidR="00D862F2" w:rsidRDefault="00884FE4">
      <w:pPr>
        <w:pStyle w:val="Heading1"/>
        <w:rPr>
          <w:u w:val="none"/>
        </w:rPr>
      </w:pPr>
      <w:r>
        <w:lastRenderedPageBreak/>
        <w:t>Attachment</w:t>
      </w:r>
      <w:r>
        <w:rPr>
          <w:spacing w:val="-1"/>
        </w:rPr>
        <w:t xml:space="preserve"> </w:t>
      </w:r>
      <w:r>
        <w:t>4</w:t>
      </w:r>
    </w:p>
    <w:p w:rsidR="00D862F2" w:rsidRDefault="00D862F2">
      <w:pPr>
        <w:pStyle w:val="BodyText"/>
        <w:spacing w:before="6"/>
        <w:rPr>
          <w:sz w:val="28"/>
        </w:rPr>
      </w:pPr>
    </w:p>
    <w:p w:rsidR="00D862F2" w:rsidRPr="002C14E1" w:rsidRDefault="00884FE4" w:rsidP="002C14E1">
      <w:pPr>
        <w:pStyle w:val="Heading2"/>
      </w:pPr>
      <w:r w:rsidRPr="002C14E1">
        <w:t>The Bailit Report</w:t>
      </w:r>
    </w:p>
    <w:p w:rsidR="00D862F2" w:rsidRDefault="00D862F2">
      <w:pPr>
        <w:sectPr w:rsidR="00D862F2">
          <w:pgSz w:w="12240" w:h="15840"/>
          <w:pgMar w:top="1340" w:right="1160" w:bottom="980" w:left="1220" w:header="722" w:footer="794" w:gutter="0"/>
          <w:cols w:space="720"/>
        </w:sectPr>
      </w:pPr>
    </w:p>
    <w:p w:rsidR="00D862F2" w:rsidRDefault="00D862F2">
      <w:pPr>
        <w:pStyle w:val="BodyText"/>
        <w:rPr>
          <w:sz w:val="19"/>
        </w:rPr>
      </w:pPr>
    </w:p>
    <w:p w:rsidR="00D862F2" w:rsidRDefault="00884FE4">
      <w:pPr>
        <w:spacing w:before="93"/>
        <w:ind w:left="1523"/>
        <w:rPr>
          <w:rFonts w:ascii="Book Antiqua"/>
          <w:sz w:val="18"/>
        </w:rPr>
      </w:pPr>
      <w:r>
        <w:rPr>
          <w:rFonts w:ascii="Book Antiqua"/>
          <w:color w:val="24416B"/>
          <w:sz w:val="18"/>
        </w:rPr>
        <w:t>56</w:t>
      </w:r>
      <w:r>
        <w:rPr>
          <w:rFonts w:ascii="Book Antiqua"/>
          <w:color w:val="24416B"/>
          <w:spacing w:val="-3"/>
          <w:sz w:val="18"/>
        </w:rPr>
        <w:t xml:space="preserve"> </w:t>
      </w:r>
      <w:r>
        <w:rPr>
          <w:rFonts w:ascii="Book Antiqua"/>
          <w:color w:val="24416B"/>
          <w:sz w:val="18"/>
        </w:rPr>
        <w:t>Pickering Street</w:t>
      </w:r>
      <w:r>
        <w:rPr>
          <w:rFonts w:ascii="Book Antiqua"/>
          <w:color w:val="24416B"/>
          <w:spacing w:val="85"/>
          <w:sz w:val="18"/>
        </w:rPr>
        <w:t xml:space="preserve"> </w:t>
      </w:r>
      <w:r>
        <w:rPr>
          <w:rFonts w:ascii="Book Antiqua"/>
          <w:color w:val="24416B"/>
          <w:sz w:val="18"/>
        </w:rPr>
        <w:t>Needham, MA</w:t>
      </w:r>
      <w:r>
        <w:rPr>
          <w:rFonts w:ascii="Book Antiqua"/>
          <w:color w:val="24416B"/>
          <w:spacing w:val="-4"/>
          <w:sz w:val="18"/>
        </w:rPr>
        <w:t xml:space="preserve"> </w:t>
      </w:r>
      <w:r>
        <w:rPr>
          <w:rFonts w:ascii="Book Antiqua"/>
          <w:color w:val="24416B"/>
          <w:sz w:val="18"/>
        </w:rPr>
        <w:t>02492</w:t>
      </w:r>
      <w:r>
        <w:rPr>
          <w:rFonts w:ascii="Book Antiqua"/>
          <w:color w:val="24416B"/>
          <w:spacing w:val="85"/>
          <w:sz w:val="18"/>
        </w:rPr>
        <w:t xml:space="preserve"> </w:t>
      </w:r>
      <w:r>
        <w:rPr>
          <w:rFonts w:ascii="Book Antiqua"/>
          <w:color w:val="24416B"/>
          <w:sz w:val="18"/>
        </w:rPr>
        <w:t>T: (781)</w:t>
      </w:r>
      <w:r>
        <w:rPr>
          <w:rFonts w:ascii="Book Antiqua"/>
          <w:color w:val="24416B"/>
          <w:spacing w:val="-2"/>
          <w:sz w:val="18"/>
        </w:rPr>
        <w:t xml:space="preserve"> </w:t>
      </w:r>
      <w:r>
        <w:rPr>
          <w:rFonts w:ascii="Book Antiqua"/>
          <w:color w:val="24416B"/>
          <w:sz w:val="18"/>
        </w:rPr>
        <w:t>453-1166</w:t>
      </w:r>
      <w:r>
        <w:rPr>
          <w:rFonts w:ascii="Book Antiqua"/>
          <w:color w:val="24416B"/>
          <w:spacing w:val="86"/>
          <w:sz w:val="18"/>
        </w:rPr>
        <w:t xml:space="preserve"> </w:t>
      </w:r>
      <w:r>
        <w:rPr>
          <w:rFonts w:ascii="Book Antiqua"/>
          <w:color w:val="24416B"/>
          <w:sz w:val="18"/>
        </w:rPr>
        <w:t>F:</w:t>
      </w:r>
      <w:r>
        <w:rPr>
          <w:rFonts w:ascii="Book Antiqua"/>
          <w:color w:val="24416B"/>
          <w:spacing w:val="-3"/>
          <w:sz w:val="18"/>
        </w:rPr>
        <w:t xml:space="preserve"> </w:t>
      </w:r>
      <w:r>
        <w:rPr>
          <w:rFonts w:ascii="Book Antiqua"/>
          <w:color w:val="24416B"/>
          <w:sz w:val="18"/>
        </w:rPr>
        <w:t>(781)</w:t>
      </w:r>
      <w:r>
        <w:rPr>
          <w:rFonts w:ascii="Book Antiqua"/>
          <w:color w:val="24416B"/>
          <w:spacing w:val="-4"/>
          <w:sz w:val="18"/>
        </w:rPr>
        <w:t xml:space="preserve"> </w:t>
      </w:r>
      <w:r>
        <w:rPr>
          <w:rFonts w:ascii="Book Antiqua"/>
          <w:color w:val="24416B"/>
          <w:sz w:val="18"/>
        </w:rPr>
        <w:t>453-1167</w:t>
      </w:r>
      <w:r>
        <w:rPr>
          <w:rFonts w:ascii="Book Antiqua"/>
          <w:color w:val="24416B"/>
          <w:spacing w:val="86"/>
          <w:sz w:val="18"/>
        </w:rPr>
        <w:t xml:space="preserve"> </w:t>
      </w:r>
      <w:hyperlink r:id="rId19">
        <w:r>
          <w:rPr>
            <w:rFonts w:ascii="Book Antiqua"/>
            <w:color w:val="24416B"/>
            <w:sz w:val="18"/>
          </w:rPr>
          <w:t>www.bailit-health.com</w:t>
        </w:r>
      </w:hyperlink>
    </w:p>
    <w:p w:rsidR="00D862F2" w:rsidRDefault="00D862F2">
      <w:pPr>
        <w:pStyle w:val="BodyText"/>
        <w:rPr>
          <w:rFonts w:ascii="Book Antiqua"/>
          <w:sz w:val="20"/>
        </w:rPr>
      </w:pPr>
    </w:p>
    <w:p w:rsidR="00D862F2" w:rsidRDefault="00D862F2">
      <w:pPr>
        <w:pStyle w:val="BodyText"/>
        <w:spacing w:before="11"/>
        <w:rPr>
          <w:rFonts w:ascii="Book Antiqua"/>
          <w:sz w:val="28"/>
        </w:rPr>
      </w:pPr>
    </w:p>
    <w:p w:rsidR="00D862F2" w:rsidRDefault="00D862F2">
      <w:pPr>
        <w:rPr>
          <w:rFonts w:ascii="Book Antiqua"/>
          <w:sz w:val="28"/>
        </w:rPr>
        <w:sectPr w:rsidR="00D862F2">
          <w:headerReference w:type="default" r:id="rId20"/>
          <w:footerReference w:type="default" r:id="rId21"/>
          <w:pgSz w:w="12240" w:h="15840"/>
          <w:pgMar w:top="1500" w:right="1160" w:bottom="280" w:left="1220" w:header="0" w:footer="0" w:gutter="0"/>
          <w:cols w:space="720"/>
        </w:sectPr>
      </w:pPr>
    </w:p>
    <w:p w:rsidR="00D862F2" w:rsidRDefault="00884FE4">
      <w:pPr>
        <w:spacing w:before="93"/>
        <w:ind w:left="220" w:right="20"/>
        <w:rPr>
          <w:rFonts w:ascii="Book Antiqua"/>
        </w:rPr>
      </w:pPr>
      <w:r>
        <w:rPr>
          <w:rFonts w:ascii="Book Antiqua"/>
        </w:rPr>
        <w:t>TO:</w:t>
      </w:r>
      <w:r>
        <w:rPr>
          <w:rFonts w:ascii="Book Antiqua"/>
          <w:spacing w:val="1"/>
        </w:rPr>
        <w:t xml:space="preserve"> </w:t>
      </w:r>
      <w:r>
        <w:rPr>
          <w:rFonts w:ascii="Book Antiqua"/>
        </w:rPr>
        <w:t>FROM:</w:t>
      </w:r>
      <w:r>
        <w:rPr>
          <w:rFonts w:ascii="Book Antiqua"/>
          <w:spacing w:val="-53"/>
        </w:rPr>
        <w:t xml:space="preserve"> </w:t>
      </w:r>
      <w:r>
        <w:rPr>
          <w:rFonts w:ascii="Book Antiqua"/>
        </w:rPr>
        <w:t>DATE:</w:t>
      </w:r>
      <w:r>
        <w:rPr>
          <w:rFonts w:ascii="Book Antiqua"/>
          <w:spacing w:val="-52"/>
        </w:rPr>
        <w:t xml:space="preserve"> </w:t>
      </w:r>
      <w:r>
        <w:rPr>
          <w:rFonts w:ascii="Book Antiqua"/>
        </w:rPr>
        <w:t>RE:</w:t>
      </w:r>
    </w:p>
    <w:p w:rsidR="00D862F2" w:rsidRDefault="00884FE4">
      <w:pPr>
        <w:spacing w:before="93"/>
        <w:ind w:left="220" w:right="2666"/>
        <w:rPr>
          <w:rFonts w:ascii="Book Antiqua"/>
        </w:rPr>
      </w:pPr>
      <w:r>
        <w:br w:type="column"/>
      </w:r>
      <w:r>
        <w:rPr>
          <w:rFonts w:ascii="Book Antiqua"/>
        </w:rPr>
        <w:t>Kate Lewandowski, Joshua Greenberg and Donna Casey</w:t>
      </w:r>
      <w:r>
        <w:rPr>
          <w:rFonts w:ascii="Book Antiqua"/>
          <w:spacing w:val="-52"/>
        </w:rPr>
        <w:t xml:space="preserve"> </w:t>
      </w:r>
      <w:r>
        <w:rPr>
          <w:rFonts w:ascii="Book Antiqua"/>
        </w:rPr>
        <w:t>Deepti</w:t>
      </w:r>
      <w:r>
        <w:rPr>
          <w:rFonts w:ascii="Book Antiqua"/>
          <w:spacing w:val="-1"/>
        </w:rPr>
        <w:t xml:space="preserve"> </w:t>
      </w:r>
      <w:r>
        <w:rPr>
          <w:rFonts w:ascii="Book Antiqua"/>
        </w:rPr>
        <w:t>Kanneganti and</w:t>
      </w:r>
      <w:r>
        <w:rPr>
          <w:rFonts w:ascii="Book Antiqua"/>
          <w:spacing w:val="-2"/>
        </w:rPr>
        <w:t xml:space="preserve"> </w:t>
      </w:r>
      <w:r>
        <w:rPr>
          <w:rFonts w:ascii="Book Antiqua"/>
        </w:rPr>
        <w:t>Beth</w:t>
      </w:r>
      <w:r>
        <w:rPr>
          <w:rFonts w:ascii="Book Antiqua"/>
          <w:spacing w:val="1"/>
        </w:rPr>
        <w:t xml:space="preserve"> </w:t>
      </w:r>
      <w:r>
        <w:rPr>
          <w:rFonts w:ascii="Book Antiqua"/>
        </w:rPr>
        <w:t>Waldman</w:t>
      </w:r>
    </w:p>
    <w:p w:rsidR="00D862F2" w:rsidRDefault="00884FE4">
      <w:pPr>
        <w:ind w:left="220"/>
        <w:rPr>
          <w:rFonts w:ascii="Book Antiqua"/>
        </w:rPr>
      </w:pPr>
      <w:r>
        <w:rPr>
          <w:rFonts w:ascii="Book Antiqua"/>
        </w:rPr>
        <w:t>March</w:t>
      </w:r>
      <w:r>
        <w:rPr>
          <w:rFonts w:ascii="Book Antiqua"/>
          <w:spacing w:val="1"/>
        </w:rPr>
        <w:t xml:space="preserve"> </w:t>
      </w:r>
      <w:r>
        <w:rPr>
          <w:rFonts w:ascii="Book Antiqua"/>
        </w:rPr>
        <w:t>22, 2021</w:t>
      </w:r>
    </w:p>
    <w:p w:rsidR="00D862F2" w:rsidRDefault="00884FE4">
      <w:pPr>
        <w:spacing w:before="1"/>
        <w:ind w:left="220"/>
        <w:rPr>
          <w:rFonts w:ascii="Book Antiqua" w:hAnsi="Book Antiqua"/>
        </w:rPr>
      </w:pPr>
      <w:r>
        <w:rPr>
          <w:rFonts w:ascii="Book Antiqua" w:hAnsi="Book Antiqua"/>
        </w:rPr>
        <w:t>Recommendations</w:t>
      </w:r>
      <w:r>
        <w:rPr>
          <w:rFonts w:ascii="Book Antiqua" w:hAnsi="Book Antiqua"/>
          <w:spacing w:val="-5"/>
        </w:rPr>
        <w:t xml:space="preserve"> </w:t>
      </w:r>
      <w:r>
        <w:rPr>
          <w:rFonts w:ascii="Book Antiqua" w:hAnsi="Book Antiqua"/>
        </w:rPr>
        <w:t>for</w:t>
      </w:r>
      <w:r>
        <w:rPr>
          <w:rFonts w:ascii="Book Antiqua" w:hAnsi="Book Antiqua"/>
          <w:spacing w:val="-3"/>
        </w:rPr>
        <w:t xml:space="preserve"> </w:t>
      </w:r>
      <w:r>
        <w:rPr>
          <w:rFonts w:ascii="Book Antiqua" w:hAnsi="Book Antiqua"/>
        </w:rPr>
        <w:t>Boston</w:t>
      </w:r>
      <w:r>
        <w:rPr>
          <w:rFonts w:ascii="Book Antiqua" w:hAnsi="Book Antiqua"/>
          <w:spacing w:val="-2"/>
        </w:rPr>
        <w:t xml:space="preserve"> </w:t>
      </w:r>
      <w:r>
        <w:rPr>
          <w:rFonts w:ascii="Book Antiqua" w:hAnsi="Book Antiqua"/>
        </w:rPr>
        <w:t>Children’s</w:t>
      </w:r>
      <w:r>
        <w:rPr>
          <w:rFonts w:ascii="Book Antiqua" w:hAnsi="Book Antiqua"/>
          <w:spacing w:val="-5"/>
        </w:rPr>
        <w:t xml:space="preserve"> </w:t>
      </w:r>
      <w:r>
        <w:rPr>
          <w:rFonts w:ascii="Book Antiqua" w:hAnsi="Book Antiqua"/>
        </w:rPr>
        <w:t>Hospital’s</w:t>
      </w:r>
      <w:r>
        <w:rPr>
          <w:rFonts w:ascii="Book Antiqua" w:hAnsi="Book Antiqua"/>
          <w:spacing w:val="-2"/>
        </w:rPr>
        <w:t xml:space="preserve"> </w:t>
      </w:r>
      <w:r>
        <w:rPr>
          <w:rFonts w:ascii="Book Antiqua" w:hAnsi="Book Antiqua"/>
        </w:rPr>
        <w:t>2021</w:t>
      </w:r>
      <w:r>
        <w:rPr>
          <w:rFonts w:ascii="Book Antiqua" w:hAnsi="Book Antiqua"/>
          <w:spacing w:val="-2"/>
        </w:rPr>
        <w:t xml:space="preserve"> </w:t>
      </w:r>
      <w:r>
        <w:rPr>
          <w:rFonts w:ascii="Book Antiqua" w:hAnsi="Book Antiqua"/>
        </w:rPr>
        <w:t>DON</w:t>
      </w:r>
      <w:r>
        <w:rPr>
          <w:rFonts w:ascii="Book Antiqua" w:hAnsi="Book Antiqua"/>
          <w:spacing w:val="-3"/>
        </w:rPr>
        <w:t xml:space="preserve"> </w:t>
      </w:r>
      <w:r>
        <w:rPr>
          <w:rFonts w:ascii="Book Antiqua" w:hAnsi="Book Antiqua"/>
        </w:rPr>
        <w:t>Application</w:t>
      </w:r>
    </w:p>
    <w:p w:rsidR="00D862F2" w:rsidRDefault="00D862F2">
      <w:pPr>
        <w:rPr>
          <w:rFonts w:ascii="Book Antiqua" w:hAnsi="Book Antiqua"/>
        </w:rPr>
        <w:sectPr w:rsidR="00D862F2">
          <w:type w:val="continuous"/>
          <w:pgSz w:w="12240" w:h="15840"/>
          <w:pgMar w:top="1340" w:right="1160" w:bottom="980" w:left="1220" w:header="0" w:footer="0" w:gutter="0"/>
          <w:cols w:num="2" w:space="720" w:equalWidth="0">
            <w:col w:w="966" w:space="474"/>
            <w:col w:w="8420"/>
          </w:cols>
        </w:sectPr>
      </w:pPr>
    </w:p>
    <w:p w:rsidR="00D862F2" w:rsidRDefault="00337703">
      <w:pPr>
        <w:pStyle w:val="BodyText"/>
        <w:rPr>
          <w:rFonts w:ascii="Book Antiqua"/>
          <w:sz w:val="20"/>
        </w:rPr>
      </w:pPr>
      <w:r>
        <w:rPr>
          <w:noProof/>
        </w:rPr>
        <mc:AlternateContent>
          <mc:Choice Requires="wpg">
            <w:drawing>
              <wp:anchor distT="0" distB="0" distL="114300" distR="114300" simplePos="0" relativeHeight="485963776" behindDoc="1" locked="0" layoutInCell="1" allowOverlap="1">
                <wp:simplePos x="0" y="0"/>
                <wp:positionH relativeFrom="page">
                  <wp:posOffset>225425</wp:posOffset>
                </wp:positionH>
                <wp:positionV relativeFrom="page">
                  <wp:posOffset>281940</wp:posOffset>
                </wp:positionV>
                <wp:extent cx="7545070" cy="9603105"/>
                <wp:effectExtent l="0" t="0" r="0" b="0"/>
                <wp:wrapNone/>
                <wp:docPr id="18" name="docshapegroup11" descr="&#10;56 Pickering Street Needham, MA 02492 T: (781) 453-1166 F: (781) 453-1167 www.bailit-health.com&#10;&#10;TO: Kate Lewandowski, Joshua Greenberg and Donna Casey FROM: Deepti Kanneganti and Beth Waldman&#10;DATE: March 22, 2021&#10;RE: Recommendations for Boston Children’s Hospital’s 2021 DON Application&#10; &#10;&#10;&#10;I. Introduction&#10;Boston Children’s Hospital (Boston Children’s) contracted with Bailit Health Purchasing, LLC (Bailit Health) to support its Determination of Need (DON) application in 2021. It specifically requested Bailit Health to assist with three primary tasks:&#10;• demonstrate to the extent possible the existence of an external evidence supporting the need for enhanced access to pediatric specialty care, particularly in the specialties that constitute the core program components of Boston Children’s 2021 DON application;&#10;• acknowledge areas where external research/data on pediatric care is lacking and where, as a result, Boston Children’s should reasonably be considered a credible expert on the needs of the population it serves; and&#10;• highlight areas of Boston Children’s 2021 DON application are aligned with state policy and guidelines (including but limited to consideration of the state’s public health priorities and the fidelity of Boston Children’s outreach process to the community engagement guidelines).&#10;This memo summarizes Bailit Health’s process for conducting these three tasks as well as its major findings.&#10;&#10;II. Overall Findings from Bailit Health’s Environmental Scan&#10;Bailit Health conducted an environmental scan to identify whether there is evidence supporting the need for enhanced access to pediatric specialty care overall. As part of this scan, Bailit Health determined that there is a significant body of research on the ways in which the care of pediatric patients differs from that of adult patients, as well as the ways in which children and their health needs differ from adults at the population level. This research supports the need for specialized pediatric health care services to be available and accessible to all children.&#10;Further, children’s hospitals are uniquely capable of providing the widest range of pediatric services, including care for children with medical complexity and children with rare conditions.17&#10;In addition, literature suggests that pediatric specialty care is decreasing in availability in community hospitals, a trend that has not applied to academic medical centers.18,19 This&#10;&#10;17 Berry, J.G., Hall, M., Neff, J., Goodman, D., Cohen, E., … Feudtner, C. (2014). Children with Medical Complexity and Medicaid: Spending and Cost Savings. Health Affairs, 32(12). https://doi.org/10.1377/hlthaff.2014.0828.&#10;18 Franca, U.L. and McManus, M.L. (2017). “Availability of Definitive Hospital Care for Children.”&#10;JAMA Pediatr., 171(9). https://doi.org/10.1001/jamapediatrics.2017.1096.&#10; &#10;" title="Bailit Health Let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5070" cy="9603105"/>
                          <a:chOff x="355" y="444"/>
                          <a:chExt cx="11882" cy="15123"/>
                        </a:xfrm>
                      </wpg:grpSpPr>
                      <wps:wsp>
                        <wps:cNvPr id="19" name="docshape12"/>
                        <wps:cNvSpPr>
                          <a:spLocks/>
                        </wps:cNvSpPr>
                        <wps:spPr bwMode="auto">
                          <a:xfrm>
                            <a:off x="2404" y="443"/>
                            <a:ext cx="9833" cy="15123"/>
                          </a:xfrm>
                          <a:custGeom>
                            <a:avLst/>
                            <a:gdLst>
                              <a:gd name="T0" fmla="+- 0 12237 2404"/>
                              <a:gd name="T1" fmla="*/ T0 w 9833"/>
                              <a:gd name="T2" fmla="+- 0 444 444"/>
                              <a:gd name="T3" fmla="*/ 444 h 15123"/>
                              <a:gd name="T4" fmla="+- 0 12058 2404"/>
                              <a:gd name="T5" fmla="*/ T4 w 9833"/>
                              <a:gd name="T6" fmla="+- 0 444 444"/>
                              <a:gd name="T7" fmla="*/ 444 h 15123"/>
                              <a:gd name="T8" fmla="+- 0 12058 2404"/>
                              <a:gd name="T9" fmla="*/ T8 w 9833"/>
                              <a:gd name="T10" fmla="+- 0 449 444"/>
                              <a:gd name="T11" fmla="*/ 449 h 15123"/>
                              <a:gd name="T12" fmla="+- 0 2404 2404"/>
                              <a:gd name="T13" fmla="*/ T12 w 9833"/>
                              <a:gd name="T14" fmla="+- 0 449 444"/>
                              <a:gd name="T15" fmla="*/ 449 h 15123"/>
                              <a:gd name="T16" fmla="+- 0 2404 2404"/>
                              <a:gd name="T17" fmla="*/ T16 w 9833"/>
                              <a:gd name="T18" fmla="+- 0 628 444"/>
                              <a:gd name="T19" fmla="*/ 628 h 15123"/>
                              <a:gd name="T20" fmla="+- 0 12058 2404"/>
                              <a:gd name="T21" fmla="*/ T20 w 9833"/>
                              <a:gd name="T22" fmla="+- 0 628 444"/>
                              <a:gd name="T23" fmla="*/ 628 h 15123"/>
                              <a:gd name="T24" fmla="+- 0 12058 2404"/>
                              <a:gd name="T25" fmla="*/ T24 w 9833"/>
                              <a:gd name="T26" fmla="+- 0 15567 444"/>
                              <a:gd name="T27" fmla="*/ 15567 h 15123"/>
                              <a:gd name="T28" fmla="+- 0 12237 2404"/>
                              <a:gd name="T29" fmla="*/ T28 w 9833"/>
                              <a:gd name="T30" fmla="+- 0 15567 444"/>
                              <a:gd name="T31" fmla="*/ 15567 h 15123"/>
                              <a:gd name="T32" fmla="+- 0 12237 2404"/>
                              <a:gd name="T33" fmla="*/ T32 w 9833"/>
                              <a:gd name="T34" fmla="+- 0 444 444"/>
                              <a:gd name="T35" fmla="*/ 444 h 15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833" h="15123">
                                <a:moveTo>
                                  <a:pt x="9833" y="0"/>
                                </a:moveTo>
                                <a:lnTo>
                                  <a:pt x="9654" y="0"/>
                                </a:lnTo>
                                <a:lnTo>
                                  <a:pt x="9654" y="5"/>
                                </a:lnTo>
                                <a:lnTo>
                                  <a:pt x="0" y="5"/>
                                </a:lnTo>
                                <a:lnTo>
                                  <a:pt x="0" y="184"/>
                                </a:lnTo>
                                <a:lnTo>
                                  <a:pt x="9654" y="184"/>
                                </a:lnTo>
                                <a:lnTo>
                                  <a:pt x="9654" y="15123"/>
                                </a:lnTo>
                                <a:lnTo>
                                  <a:pt x="9833" y="15123"/>
                                </a:lnTo>
                                <a:lnTo>
                                  <a:pt x="9833" y="0"/>
                                </a:lnTo>
                                <a:close/>
                              </a:path>
                            </a:pathLst>
                          </a:custGeom>
                          <a:solidFill>
                            <a:srgbClr val="2441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13"/>
                        <wps:cNvSpPr>
                          <a:spLocks noChangeArrowheads="1"/>
                        </wps:cNvSpPr>
                        <wps:spPr bwMode="auto">
                          <a:xfrm>
                            <a:off x="1440" y="13034"/>
                            <a:ext cx="288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 name="docshape14" descr="P1054C1T10#yIS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55" y="1471"/>
                            <a:ext cx="1440"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1FDCB2" id="docshapegroup11" o:spid="_x0000_s1026" alt="Title: Bailit Health Letter - Description: &#10;56 Pickering Street Needham, MA 02492 T: (781) 453-1166 F: (781) 453-1167 www.bailit-health.com&#10;&#10;TO: Kate Lewandowski, Joshua Greenberg and Donna Casey FROM: Deepti Kanneganti and Beth Waldman&#10;DATE: March 22, 2021&#10;RE: Recommendations for Boston Children’s Hospital’s 2021 DON Application&#10; &#10;&#10;&#10;I. Introduction&#10;Boston Children’s Hospital (Boston Children’s) contracted with Bailit Health Purchasing, LLC (Bailit Health) to support its Determination of Need (DON) application in 2021. It specifically requested Bailit Health to assist with three primary tasks:&#10;• demonstrate to the extent possible the existence of an external evidence supporting the need for enhanced access to pediatric specialty care, particularly in the specialties that constitute the core program components of Boston Children’s 2021 DON application;&#10;• acknowledge areas where external research/data on pediatric care is lacking and where, as a result, Boston Children’s should reasonably be considered a credible expert on the needs of the population it serves; and&#10;• highlight areas of Boston Children’s 2021 DON application are aligned with state policy and guidelines (including but limited to consideration of the state’s public health priorities and the fidelity of Boston Children’s outreach process to the community engagement guidelines).&#10;This memo summarizes Bailit Health’s process for conducting these three tasks as well as its major findings.&#10;&#10;II. Overall Findings from Bailit Health’s Environmental Scan&#10;Bailit Health conducted an environmental scan to identify whether there is evidence supporting the need for enhanced access to pediatric specialty care overall. As part of this scan, Bailit Health determined that there is a significant body of research on the ways in which the care of pediatric patients differs from that of adult patients, as well as the ways in which children and their health needs differ from adults at the population level. This research supports the need for specialized pediatric health care services to be available and accessible to all children.&#10;Further, children’s hospitals are uniquely capable of providing the widest range of pediatric services, including care for children with medical complexity and children with rare conditions.17&#10;In addition, literature suggests that pediatric specialty care is decreasing in availability in community hospitals, a trend that has not applied to academic medical centers.18,19 This&#10;&#10;17 Berry, J.G., Hall, M., Neff, J., Goodman, D., Cohen, E., … Feudtner, C. (2014). Children with Medical Complexity and Medicaid: Spending and Cost Savings. Health Affairs, 32(12). https://doi.org/10.1377/hlthaff.2014.0828.&#10;18 Franca, U.L. and McManus, M.L. (2017). “Availability of Definitive Hospital Care for Children.”&#10;JAMA Pediatr., 171(9). https://doi.org/10.1001/jamapediatrics.2017.1096.&#10; &#10;" style="position:absolute;margin-left:17.75pt;margin-top:22.2pt;width:594.1pt;height:756.15pt;z-index:-17352704;mso-position-horizontal-relative:page;mso-position-vertical-relative:page" coordorigin="355,444" coordsize="11882,15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">
                <v:shape id="docshape12" o:spid="_x0000_s1027" style="position:absolute;left:2404;top:443;width:9833;height:15123;visibility:visible;mso-wrap-style:square;v-text-anchor:top" coordsize="9833,1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" path="m9833,l9654,r,5l,5,,184r9654,l9654,15123r179,l9833,xe" fillcolor="#24416b" stroked="f">
                  <v:path arrowok="t" o:connecttype="custom" o:connectlocs="9833,444;9654,444;9654,449;0,449;0,628;9654,628;9654,15567;9833,15567;9833,444" o:connectangles="0,0,0,0,0,0,0,0,0"/>
                </v:shape>
                <v:rect id="docshape13" o:spid="_x0000_s1028" style="position:absolute;left:1440;top:13034;width:288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9" type="#_x0000_t75" alt="P1054C1T10#yIS1" style="position:absolute;left:355;top:1471;width:1440;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">
                  <v:imagedata r:id="rId23" o:title="P1054C1T10#yIS1"/>
                </v:shape>
                <w10:wrap anchorx="page" anchory="page"/>
              </v:group>
            </w:pict>
          </mc:Fallback>
        </mc:AlternateContent>
      </w:r>
    </w:p>
    <w:p w:rsidR="00D862F2" w:rsidRDefault="00D862F2">
      <w:pPr>
        <w:pStyle w:val="BodyText"/>
        <w:spacing w:before="2"/>
        <w:rPr>
          <w:rFonts w:ascii="Book Antiqua"/>
          <w:sz w:val="16"/>
        </w:rPr>
      </w:pPr>
    </w:p>
    <w:p w:rsidR="00D862F2" w:rsidRDefault="00884FE4">
      <w:pPr>
        <w:pStyle w:val="ListParagraph"/>
        <w:numPr>
          <w:ilvl w:val="0"/>
          <w:numId w:val="3"/>
        </w:numPr>
        <w:tabs>
          <w:tab w:val="left" w:pos="672"/>
        </w:tabs>
        <w:spacing w:before="97"/>
        <w:jc w:val="both"/>
        <w:rPr>
          <w:rFonts w:ascii="Book Antiqua"/>
          <w:b/>
        </w:rPr>
      </w:pPr>
      <w:r>
        <w:rPr>
          <w:rFonts w:ascii="Book Antiqua"/>
          <w:b/>
        </w:rPr>
        <w:t>Introduction</w:t>
      </w:r>
    </w:p>
    <w:p w:rsidR="00D862F2" w:rsidRDefault="00884FE4">
      <w:pPr>
        <w:spacing w:before="119"/>
        <w:ind w:left="220" w:right="503"/>
        <w:jc w:val="both"/>
        <w:rPr>
          <w:rFonts w:ascii="Book Antiqua" w:hAnsi="Book Antiqua"/>
        </w:rPr>
      </w:pPr>
      <w:r>
        <w:rPr>
          <w:rFonts w:ascii="Book Antiqua" w:hAnsi="Book Antiqua"/>
        </w:rPr>
        <w:t>Boston Children’s Hospital (Boston Children’s) contracted with Bailit Health Purchasing, LLC</w:t>
      </w:r>
      <w:r>
        <w:rPr>
          <w:rFonts w:ascii="Book Antiqua" w:hAnsi="Book Antiqua"/>
          <w:spacing w:val="-52"/>
        </w:rPr>
        <w:t xml:space="preserve"> </w:t>
      </w:r>
      <w:r>
        <w:rPr>
          <w:rFonts w:ascii="Book Antiqua" w:hAnsi="Book Antiqua"/>
        </w:rPr>
        <w:t>(Bailit Health) to support its Determination of Need (DON) application in 2021.</w:t>
      </w:r>
      <w:r>
        <w:rPr>
          <w:rFonts w:ascii="Book Antiqua" w:hAnsi="Book Antiqua"/>
          <w:spacing w:val="1"/>
        </w:rPr>
        <w:t xml:space="preserve"> </w:t>
      </w:r>
      <w:r>
        <w:rPr>
          <w:rFonts w:ascii="Book Antiqua" w:hAnsi="Book Antiqua"/>
        </w:rPr>
        <w:t>It specifically</w:t>
      </w:r>
      <w:r>
        <w:rPr>
          <w:rFonts w:ascii="Book Antiqua" w:hAnsi="Book Antiqua"/>
          <w:spacing w:val="-52"/>
        </w:rPr>
        <w:t xml:space="preserve"> </w:t>
      </w:r>
      <w:r>
        <w:rPr>
          <w:rFonts w:ascii="Book Antiqua" w:hAnsi="Book Antiqua"/>
        </w:rPr>
        <w:t>requested</w:t>
      </w:r>
      <w:r>
        <w:rPr>
          <w:rFonts w:ascii="Book Antiqua" w:hAnsi="Book Antiqua"/>
          <w:spacing w:val="-2"/>
        </w:rPr>
        <w:t xml:space="preserve"> </w:t>
      </w:r>
      <w:r>
        <w:rPr>
          <w:rFonts w:ascii="Book Antiqua" w:hAnsi="Book Antiqua"/>
        </w:rPr>
        <w:t>Bailit</w:t>
      </w:r>
      <w:r>
        <w:rPr>
          <w:rFonts w:ascii="Book Antiqua" w:hAnsi="Book Antiqua"/>
          <w:spacing w:val="-3"/>
        </w:rPr>
        <w:t xml:space="preserve"> </w:t>
      </w:r>
      <w:r>
        <w:rPr>
          <w:rFonts w:ascii="Book Antiqua" w:hAnsi="Book Antiqua"/>
        </w:rPr>
        <w:t>Health</w:t>
      </w:r>
      <w:r>
        <w:rPr>
          <w:rFonts w:ascii="Book Antiqua" w:hAnsi="Book Antiqua"/>
          <w:spacing w:val="1"/>
        </w:rPr>
        <w:t xml:space="preserve"> </w:t>
      </w:r>
      <w:r>
        <w:rPr>
          <w:rFonts w:ascii="Book Antiqua" w:hAnsi="Book Antiqua"/>
        </w:rPr>
        <w:t>to</w:t>
      </w:r>
      <w:r>
        <w:rPr>
          <w:rFonts w:ascii="Book Antiqua" w:hAnsi="Book Antiqua"/>
          <w:spacing w:val="-1"/>
        </w:rPr>
        <w:t xml:space="preserve"> </w:t>
      </w:r>
      <w:r>
        <w:rPr>
          <w:rFonts w:ascii="Book Antiqua" w:hAnsi="Book Antiqua"/>
        </w:rPr>
        <w:t>assist</w:t>
      </w:r>
      <w:r>
        <w:rPr>
          <w:rFonts w:ascii="Book Antiqua" w:hAnsi="Book Antiqua"/>
          <w:spacing w:val="-3"/>
        </w:rPr>
        <w:t xml:space="preserve"> </w:t>
      </w:r>
      <w:r>
        <w:rPr>
          <w:rFonts w:ascii="Book Antiqua" w:hAnsi="Book Antiqua"/>
        </w:rPr>
        <w:t>with three primary</w:t>
      </w:r>
      <w:r>
        <w:rPr>
          <w:rFonts w:ascii="Book Antiqua" w:hAnsi="Book Antiqua"/>
          <w:spacing w:val="-1"/>
        </w:rPr>
        <w:t xml:space="preserve"> </w:t>
      </w:r>
      <w:r>
        <w:rPr>
          <w:rFonts w:ascii="Book Antiqua" w:hAnsi="Book Antiqua"/>
        </w:rPr>
        <w:t>tasks:</w:t>
      </w:r>
    </w:p>
    <w:p w:rsidR="00D862F2" w:rsidRDefault="00884FE4">
      <w:pPr>
        <w:pStyle w:val="ListParagraph"/>
        <w:numPr>
          <w:ilvl w:val="1"/>
          <w:numId w:val="3"/>
        </w:numPr>
        <w:tabs>
          <w:tab w:val="left" w:pos="939"/>
          <w:tab w:val="left" w:pos="941"/>
        </w:tabs>
        <w:spacing w:before="125" w:line="237" w:lineRule="auto"/>
        <w:ind w:right="489"/>
        <w:rPr>
          <w:rFonts w:ascii="Book Antiqua" w:hAnsi="Book Antiqua"/>
        </w:rPr>
      </w:pPr>
      <w:r>
        <w:rPr>
          <w:rFonts w:ascii="Book Antiqua" w:hAnsi="Book Antiqua"/>
        </w:rPr>
        <w:t>demonstrate to the extent possible the existence of an external evidence supporting the</w:t>
      </w:r>
      <w:r>
        <w:rPr>
          <w:rFonts w:ascii="Book Antiqua" w:hAnsi="Book Antiqua"/>
          <w:spacing w:val="-52"/>
        </w:rPr>
        <w:t xml:space="preserve"> </w:t>
      </w:r>
      <w:r>
        <w:rPr>
          <w:rFonts w:ascii="Book Antiqua" w:hAnsi="Book Antiqua"/>
        </w:rPr>
        <w:t>need for enhanced access to pediatric specialty care, particularly in the specialties that</w:t>
      </w:r>
      <w:r>
        <w:rPr>
          <w:rFonts w:ascii="Book Antiqua" w:hAnsi="Book Antiqua"/>
          <w:spacing w:val="1"/>
        </w:rPr>
        <w:t xml:space="preserve"> </w:t>
      </w:r>
      <w:r>
        <w:rPr>
          <w:rFonts w:ascii="Book Antiqua" w:hAnsi="Book Antiqua"/>
        </w:rPr>
        <w:t>constitute</w:t>
      </w:r>
      <w:r>
        <w:rPr>
          <w:rFonts w:ascii="Book Antiqua" w:hAnsi="Book Antiqua"/>
          <w:spacing w:val="-2"/>
        </w:rPr>
        <w:t xml:space="preserve"> </w:t>
      </w:r>
      <w:r>
        <w:rPr>
          <w:rFonts w:ascii="Book Antiqua" w:hAnsi="Book Antiqua"/>
        </w:rPr>
        <w:t>the</w:t>
      </w:r>
      <w:r>
        <w:rPr>
          <w:rFonts w:ascii="Book Antiqua" w:hAnsi="Book Antiqua"/>
          <w:spacing w:val="-4"/>
        </w:rPr>
        <w:t xml:space="preserve"> </w:t>
      </w:r>
      <w:r>
        <w:rPr>
          <w:rFonts w:ascii="Book Antiqua" w:hAnsi="Book Antiqua"/>
        </w:rPr>
        <w:t>core</w:t>
      </w:r>
      <w:r>
        <w:rPr>
          <w:rFonts w:ascii="Book Antiqua" w:hAnsi="Book Antiqua"/>
          <w:spacing w:val="-1"/>
        </w:rPr>
        <w:t xml:space="preserve"> </w:t>
      </w:r>
      <w:r>
        <w:rPr>
          <w:rFonts w:ascii="Book Antiqua" w:hAnsi="Book Antiqua"/>
        </w:rPr>
        <w:t>program</w:t>
      </w:r>
      <w:r>
        <w:rPr>
          <w:rFonts w:ascii="Book Antiqua" w:hAnsi="Book Antiqua"/>
          <w:spacing w:val="-2"/>
        </w:rPr>
        <w:t xml:space="preserve"> </w:t>
      </w:r>
      <w:r>
        <w:rPr>
          <w:rFonts w:ascii="Book Antiqua" w:hAnsi="Book Antiqua"/>
        </w:rPr>
        <w:t>components</w:t>
      </w:r>
      <w:r>
        <w:rPr>
          <w:rFonts w:ascii="Book Antiqua" w:hAnsi="Book Antiqua"/>
          <w:spacing w:val="-2"/>
        </w:rPr>
        <w:t xml:space="preserve"> </w:t>
      </w:r>
      <w:r>
        <w:rPr>
          <w:rFonts w:ascii="Book Antiqua" w:hAnsi="Book Antiqua"/>
        </w:rPr>
        <w:t>of Boston Children’s</w:t>
      </w:r>
      <w:r>
        <w:rPr>
          <w:rFonts w:ascii="Book Antiqua" w:hAnsi="Book Antiqua"/>
          <w:spacing w:val="-2"/>
        </w:rPr>
        <w:t xml:space="preserve"> </w:t>
      </w:r>
      <w:r>
        <w:rPr>
          <w:rFonts w:ascii="Book Antiqua" w:hAnsi="Book Antiqua"/>
        </w:rPr>
        <w:t>2021</w:t>
      </w:r>
      <w:r>
        <w:rPr>
          <w:rFonts w:ascii="Book Antiqua" w:hAnsi="Book Antiqua"/>
          <w:spacing w:val="-1"/>
        </w:rPr>
        <w:t xml:space="preserve"> </w:t>
      </w:r>
      <w:r>
        <w:rPr>
          <w:rFonts w:ascii="Book Antiqua" w:hAnsi="Book Antiqua"/>
        </w:rPr>
        <w:t>DON</w:t>
      </w:r>
      <w:r>
        <w:rPr>
          <w:rFonts w:ascii="Book Antiqua" w:hAnsi="Book Antiqua"/>
          <w:spacing w:val="-2"/>
        </w:rPr>
        <w:t xml:space="preserve"> </w:t>
      </w:r>
      <w:r>
        <w:rPr>
          <w:rFonts w:ascii="Book Antiqua" w:hAnsi="Book Antiqua"/>
        </w:rPr>
        <w:t>application;</w:t>
      </w:r>
    </w:p>
    <w:p w:rsidR="00D862F2" w:rsidRDefault="00884FE4">
      <w:pPr>
        <w:pStyle w:val="ListParagraph"/>
        <w:numPr>
          <w:ilvl w:val="1"/>
          <w:numId w:val="3"/>
        </w:numPr>
        <w:tabs>
          <w:tab w:val="left" w:pos="940"/>
          <w:tab w:val="left" w:pos="941"/>
        </w:tabs>
        <w:spacing w:before="4"/>
        <w:ind w:right="328"/>
        <w:rPr>
          <w:rFonts w:ascii="Book Antiqua" w:hAnsi="Book Antiqua"/>
        </w:rPr>
      </w:pPr>
      <w:r>
        <w:rPr>
          <w:rFonts w:ascii="Book Antiqua" w:hAnsi="Book Antiqua"/>
        </w:rPr>
        <w:t>acknowledge areas where external research/data on pediatric care is lacking and where,</w:t>
      </w:r>
      <w:r>
        <w:rPr>
          <w:rFonts w:ascii="Book Antiqua" w:hAnsi="Book Antiqua"/>
          <w:spacing w:val="-52"/>
        </w:rPr>
        <w:t xml:space="preserve"> </w:t>
      </w:r>
      <w:r>
        <w:rPr>
          <w:rFonts w:ascii="Book Antiqua" w:hAnsi="Book Antiqua"/>
        </w:rPr>
        <w:t>as a result, Boston Children’s should reasonably be considered a credible expert on the</w:t>
      </w:r>
      <w:r>
        <w:rPr>
          <w:rFonts w:ascii="Book Antiqua" w:hAnsi="Book Antiqua"/>
          <w:spacing w:val="1"/>
        </w:rPr>
        <w:t xml:space="preserve"> </w:t>
      </w:r>
      <w:r>
        <w:rPr>
          <w:rFonts w:ascii="Book Antiqua" w:hAnsi="Book Antiqua"/>
        </w:rPr>
        <w:t>needs</w:t>
      </w:r>
      <w:r>
        <w:rPr>
          <w:rFonts w:ascii="Book Antiqua" w:hAnsi="Book Antiqua"/>
          <w:spacing w:val="-1"/>
        </w:rPr>
        <w:t xml:space="preserve"> </w:t>
      </w:r>
      <w:r>
        <w:rPr>
          <w:rFonts w:ascii="Book Antiqua" w:hAnsi="Book Antiqua"/>
        </w:rPr>
        <w:t>of</w:t>
      </w:r>
      <w:r>
        <w:rPr>
          <w:rFonts w:ascii="Book Antiqua" w:hAnsi="Book Antiqua"/>
          <w:spacing w:val="-2"/>
        </w:rPr>
        <w:t xml:space="preserve"> </w:t>
      </w:r>
      <w:r>
        <w:rPr>
          <w:rFonts w:ascii="Book Antiqua" w:hAnsi="Book Antiqua"/>
        </w:rPr>
        <w:t>the population</w:t>
      </w:r>
      <w:r>
        <w:rPr>
          <w:rFonts w:ascii="Book Antiqua" w:hAnsi="Book Antiqua"/>
          <w:spacing w:val="-2"/>
        </w:rPr>
        <w:t xml:space="preserve"> </w:t>
      </w:r>
      <w:r>
        <w:rPr>
          <w:rFonts w:ascii="Book Antiqua" w:hAnsi="Book Antiqua"/>
        </w:rPr>
        <w:t>it serves; and</w:t>
      </w:r>
    </w:p>
    <w:p w:rsidR="00D862F2" w:rsidRDefault="00884FE4">
      <w:pPr>
        <w:pStyle w:val="ListParagraph"/>
        <w:numPr>
          <w:ilvl w:val="1"/>
          <w:numId w:val="3"/>
        </w:numPr>
        <w:tabs>
          <w:tab w:val="left" w:pos="940"/>
          <w:tab w:val="left" w:pos="941"/>
        </w:tabs>
        <w:ind w:right="382"/>
        <w:rPr>
          <w:rFonts w:ascii="Book Antiqua" w:hAnsi="Book Antiqua"/>
        </w:rPr>
      </w:pPr>
      <w:r>
        <w:rPr>
          <w:rFonts w:ascii="Book Antiqua" w:hAnsi="Book Antiqua"/>
        </w:rPr>
        <w:t>highlight areas of Boston Children’s 2021 DON application are aligned with state policy</w:t>
      </w:r>
      <w:r>
        <w:rPr>
          <w:rFonts w:ascii="Book Antiqua" w:hAnsi="Book Antiqua"/>
          <w:spacing w:val="-52"/>
        </w:rPr>
        <w:t xml:space="preserve"> </w:t>
      </w:r>
      <w:r>
        <w:rPr>
          <w:rFonts w:ascii="Book Antiqua" w:hAnsi="Book Antiqua"/>
        </w:rPr>
        <w:t>and guidelines (including but limited to consideration of the state’s public health</w:t>
      </w:r>
      <w:r>
        <w:rPr>
          <w:rFonts w:ascii="Book Antiqua" w:hAnsi="Book Antiqua"/>
          <w:spacing w:val="1"/>
        </w:rPr>
        <w:t xml:space="preserve"> </w:t>
      </w:r>
      <w:r>
        <w:rPr>
          <w:rFonts w:ascii="Book Antiqua" w:hAnsi="Book Antiqua"/>
        </w:rPr>
        <w:t>priorities and the fidelity of Boston Children’s outreach process to the community</w:t>
      </w:r>
      <w:r>
        <w:rPr>
          <w:rFonts w:ascii="Book Antiqua" w:hAnsi="Book Antiqua"/>
          <w:spacing w:val="1"/>
        </w:rPr>
        <w:t xml:space="preserve"> </w:t>
      </w:r>
      <w:r>
        <w:rPr>
          <w:rFonts w:ascii="Book Antiqua" w:hAnsi="Book Antiqua"/>
        </w:rPr>
        <w:t>engagement</w:t>
      </w:r>
      <w:r>
        <w:rPr>
          <w:rFonts w:ascii="Book Antiqua" w:hAnsi="Book Antiqua"/>
          <w:spacing w:val="-1"/>
        </w:rPr>
        <w:t xml:space="preserve"> </w:t>
      </w:r>
      <w:r>
        <w:rPr>
          <w:rFonts w:ascii="Book Antiqua" w:hAnsi="Book Antiqua"/>
        </w:rPr>
        <w:t>guidelines).</w:t>
      </w:r>
    </w:p>
    <w:p w:rsidR="00D862F2" w:rsidRDefault="00884FE4">
      <w:pPr>
        <w:ind w:left="220" w:right="657"/>
        <w:rPr>
          <w:rFonts w:ascii="Book Antiqua" w:hAnsi="Book Antiqua"/>
        </w:rPr>
      </w:pPr>
      <w:r>
        <w:rPr>
          <w:rFonts w:ascii="Book Antiqua" w:hAnsi="Book Antiqua"/>
        </w:rPr>
        <w:t>This memo summarizes Bailit Health’s process for conducting these three tasks as well as its</w:t>
      </w:r>
      <w:r>
        <w:rPr>
          <w:rFonts w:ascii="Book Antiqua" w:hAnsi="Book Antiqua"/>
          <w:spacing w:val="-52"/>
        </w:rPr>
        <w:t xml:space="preserve"> </w:t>
      </w:r>
      <w:r>
        <w:rPr>
          <w:rFonts w:ascii="Book Antiqua" w:hAnsi="Book Antiqua"/>
        </w:rPr>
        <w:t>major</w:t>
      </w:r>
      <w:r>
        <w:rPr>
          <w:rFonts w:ascii="Book Antiqua" w:hAnsi="Book Antiqua"/>
          <w:spacing w:val="-1"/>
        </w:rPr>
        <w:t xml:space="preserve"> </w:t>
      </w:r>
      <w:r>
        <w:rPr>
          <w:rFonts w:ascii="Book Antiqua" w:hAnsi="Book Antiqua"/>
        </w:rPr>
        <w:t>findings.</w:t>
      </w:r>
    </w:p>
    <w:p w:rsidR="00D862F2" w:rsidRDefault="00D862F2">
      <w:pPr>
        <w:pStyle w:val="BodyText"/>
        <w:spacing w:before="4"/>
        <w:rPr>
          <w:rFonts w:ascii="Book Antiqua"/>
          <w:sz w:val="19"/>
        </w:rPr>
      </w:pPr>
    </w:p>
    <w:p w:rsidR="00D862F2" w:rsidRDefault="00884FE4">
      <w:pPr>
        <w:pStyle w:val="ListParagraph"/>
        <w:numPr>
          <w:ilvl w:val="0"/>
          <w:numId w:val="3"/>
        </w:numPr>
        <w:tabs>
          <w:tab w:val="left" w:pos="671"/>
          <w:tab w:val="left" w:pos="672"/>
        </w:tabs>
        <w:spacing w:before="1"/>
        <w:rPr>
          <w:rFonts w:ascii="Book Antiqua" w:hAnsi="Book Antiqua"/>
          <w:b/>
        </w:rPr>
      </w:pPr>
      <w:r>
        <w:rPr>
          <w:rFonts w:ascii="Book Antiqua" w:hAnsi="Book Antiqua"/>
          <w:b/>
        </w:rPr>
        <w:t>Overall</w:t>
      </w:r>
      <w:r>
        <w:rPr>
          <w:rFonts w:ascii="Book Antiqua" w:hAnsi="Book Antiqua"/>
          <w:b/>
          <w:spacing w:val="-2"/>
        </w:rPr>
        <w:t xml:space="preserve"> </w:t>
      </w:r>
      <w:r>
        <w:rPr>
          <w:rFonts w:ascii="Book Antiqua" w:hAnsi="Book Antiqua"/>
          <w:b/>
        </w:rPr>
        <w:t>Findings</w:t>
      </w:r>
      <w:r>
        <w:rPr>
          <w:rFonts w:ascii="Book Antiqua" w:hAnsi="Book Antiqua"/>
          <w:b/>
          <w:spacing w:val="-3"/>
        </w:rPr>
        <w:t xml:space="preserve"> </w:t>
      </w:r>
      <w:r>
        <w:rPr>
          <w:rFonts w:ascii="Book Antiqua" w:hAnsi="Book Antiqua"/>
          <w:b/>
        </w:rPr>
        <w:t>from</w:t>
      </w:r>
      <w:r>
        <w:rPr>
          <w:rFonts w:ascii="Book Antiqua" w:hAnsi="Book Antiqua"/>
          <w:b/>
          <w:spacing w:val="-3"/>
        </w:rPr>
        <w:t xml:space="preserve"> </w:t>
      </w:r>
      <w:r>
        <w:rPr>
          <w:rFonts w:ascii="Book Antiqua" w:hAnsi="Book Antiqua"/>
          <w:b/>
        </w:rPr>
        <w:t>Bailit</w:t>
      </w:r>
      <w:r>
        <w:rPr>
          <w:rFonts w:ascii="Book Antiqua" w:hAnsi="Book Antiqua"/>
          <w:b/>
          <w:spacing w:val="-4"/>
        </w:rPr>
        <w:t xml:space="preserve"> </w:t>
      </w:r>
      <w:r>
        <w:rPr>
          <w:rFonts w:ascii="Book Antiqua" w:hAnsi="Book Antiqua"/>
          <w:b/>
        </w:rPr>
        <w:t>Health’s</w:t>
      </w:r>
      <w:r>
        <w:rPr>
          <w:rFonts w:ascii="Book Antiqua" w:hAnsi="Book Antiqua"/>
          <w:b/>
          <w:spacing w:val="-3"/>
        </w:rPr>
        <w:t xml:space="preserve"> </w:t>
      </w:r>
      <w:r>
        <w:rPr>
          <w:rFonts w:ascii="Book Antiqua" w:hAnsi="Book Antiqua"/>
          <w:b/>
        </w:rPr>
        <w:t>Environmental</w:t>
      </w:r>
      <w:r>
        <w:rPr>
          <w:rFonts w:ascii="Book Antiqua" w:hAnsi="Book Antiqua"/>
          <w:b/>
          <w:spacing w:val="-2"/>
        </w:rPr>
        <w:t xml:space="preserve"> </w:t>
      </w:r>
      <w:r>
        <w:rPr>
          <w:rFonts w:ascii="Book Antiqua" w:hAnsi="Book Antiqua"/>
          <w:b/>
        </w:rPr>
        <w:t>Scan</w:t>
      </w:r>
    </w:p>
    <w:p w:rsidR="00D862F2" w:rsidRDefault="00884FE4">
      <w:pPr>
        <w:spacing w:before="116"/>
        <w:ind w:left="220" w:right="314"/>
        <w:rPr>
          <w:rFonts w:ascii="Book Antiqua"/>
        </w:rPr>
      </w:pPr>
      <w:r>
        <w:rPr>
          <w:rFonts w:ascii="Book Antiqua"/>
        </w:rPr>
        <w:t>Bailit Health conducted an environmental scan to identify whether there is evidence supporting</w:t>
      </w:r>
      <w:r>
        <w:rPr>
          <w:rFonts w:ascii="Book Antiqua"/>
          <w:spacing w:val="-52"/>
        </w:rPr>
        <w:t xml:space="preserve"> </w:t>
      </w:r>
      <w:r>
        <w:rPr>
          <w:rFonts w:ascii="Book Antiqua"/>
        </w:rPr>
        <w:t>the need for enhanced access to pediatric specialty care overall.</w:t>
      </w:r>
      <w:r>
        <w:rPr>
          <w:rFonts w:ascii="Book Antiqua"/>
          <w:spacing w:val="1"/>
        </w:rPr>
        <w:t xml:space="preserve"> </w:t>
      </w:r>
      <w:r>
        <w:rPr>
          <w:rFonts w:ascii="Book Antiqua"/>
        </w:rPr>
        <w:t>As part of this scan, Bailit</w:t>
      </w:r>
      <w:r>
        <w:rPr>
          <w:rFonts w:ascii="Book Antiqua"/>
          <w:spacing w:val="1"/>
        </w:rPr>
        <w:t xml:space="preserve"> </w:t>
      </w:r>
      <w:r>
        <w:rPr>
          <w:rFonts w:ascii="Book Antiqua"/>
        </w:rPr>
        <w:t>Health determined that there is a significant body of research on the ways in which the care of</w:t>
      </w:r>
      <w:r>
        <w:rPr>
          <w:rFonts w:ascii="Book Antiqua"/>
          <w:spacing w:val="1"/>
        </w:rPr>
        <w:t xml:space="preserve"> </w:t>
      </w:r>
      <w:r>
        <w:rPr>
          <w:rFonts w:ascii="Book Antiqua"/>
        </w:rPr>
        <w:t>pediatric patients differs from that of adult patients, as well as the ways in which children and</w:t>
      </w:r>
      <w:r>
        <w:rPr>
          <w:rFonts w:ascii="Book Antiqua"/>
          <w:spacing w:val="1"/>
        </w:rPr>
        <w:t xml:space="preserve"> </w:t>
      </w:r>
      <w:r>
        <w:rPr>
          <w:rFonts w:ascii="Book Antiqua"/>
        </w:rPr>
        <w:t>their</w:t>
      </w:r>
      <w:r>
        <w:rPr>
          <w:rFonts w:ascii="Book Antiqua"/>
          <w:spacing w:val="-2"/>
        </w:rPr>
        <w:t xml:space="preserve"> </w:t>
      </w:r>
      <w:r>
        <w:rPr>
          <w:rFonts w:ascii="Book Antiqua"/>
        </w:rPr>
        <w:t>health</w:t>
      </w:r>
      <w:r>
        <w:rPr>
          <w:rFonts w:ascii="Book Antiqua"/>
          <w:spacing w:val="1"/>
        </w:rPr>
        <w:t xml:space="preserve"> </w:t>
      </w:r>
      <w:r>
        <w:rPr>
          <w:rFonts w:ascii="Book Antiqua"/>
        </w:rPr>
        <w:t>needs</w:t>
      </w:r>
      <w:r>
        <w:rPr>
          <w:rFonts w:ascii="Book Antiqua"/>
          <w:spacing w:val="3"/>
        </w:rPr>
        <w:t xml:space="preserve"> </w:t>
      </w:r>
      <w:r>
        <w:rPr>
          <w:rFonts w:ascii="Book Antiqua"/>
        </w:rPr>
        <w:t>differ</w:t>
      </w:r>
      <w:r>
        <w:rPr>
          <w:rFonts w:ascii="Book Antiqua"/>
          <w:spacing w:val="-1"/>
        </w:rPr>
        <w:t xml:space="preserve"> </w:t>
      </w:r>
      <w:r>
        <w:rPr>
          <w:rFonts w:ascii="Book Antiqua"/>
        </w:rPr>
        <w:t>from</w:t>
      </w:r>
      <w:r>
        <w:rPr>
          <w:rFonts w:ascii="Book Antiqua"/>
          <w:spacing w:val="2"/>
        </w:rPr>
        <w:t xml:space="preserve"> </w:t>
      </w:r>
      <w:r>
        <w:rPr>
          <w:rFonts w:ascii="Book Antiqua"/>
        </w:rPr>
        <w:t>adults</w:t>
      </w:r>
      <w:r>
        <w:rPr>
          <w:rFonts w:ascii="Book Antiqua"/>
          <w:spacing w:val="2"/>
        </w:rPr>
        <w:t xml:space="preserve"> </w:t>
      </w:r>
      <w:r>
        <w:rPr>
          <w:rFonts w:ascii="Book Antiqua"/>
        </w:rPr>
        <w:t>at</w:t>
      </w:r>
      <w:r>
        <w:rPr>
          <w:rFonts w:ascii="Book Antiqua"/>
          <w:spacing w:val="3"/>
        </w:rPr>
        <w:t xml:space="preserve"> </w:t>
      </w:r>
      <w:r>
        <w:rPr>
          <w:rFonts w:ascii="Book Antiqua"/>
        </w:rPr>
        <w:t>the</w:t>
      </w:r>
      <w:r>
        <w:rPr>
          <w:rFonts w:ascii="Book Antiqua"/>
          <w:spacing w:val="3"/>
        </w:rPr>
        <w:t xml:space="preserve"> </w:t>
      </w:r>
      <w:r>
        <w:rPr>
          <w:rFonts w:ascii="Book Antiqua"/>
        </w:rPr>
        <w:t>population</w:t>
      </w:r>
      <w:r>
        <w:rPr>
          <w:rFonts w:ascii="Book Antiqua"/>
          <w:spacing w:val="1"/>
        </w:rPr>
        <w:t xml:space="preserve"> </w:t>
      </w:r>
      <w:r>
        <w:rPr>
          <w:rFonts w:ascii="Book Antiqua"/>
        </w:rPr>
        <w:t>level.</w:t>
      </w:r>
      <w:r>
        <w:rPr>
          <w:rFonts w:ascii="Book Antiqua"/>
          <w:spacing w:val="55"/>
        </w:rPr>
        <w:t xml:space="preserve"> </w:t>
      </w:r>
      <w:r>
        <w:rPr>
          <w:rFonts w:ascii="Book Antiqua"/>
        </w:rPr>
        <w:t>This research</w:t>
      </w:r>
      <w:r>
        <w:rPr>
          <w:rFonts w:ascii="Book Antiqua"/>
          <w:spacing w:val="3"/>
        </w:rPr>
        <w:t xml:space="preserve"> </w:t>
      </w:r>
      <w:r>
        <w:rPr>
          <w:rFonts w:ascii="Book Antiqua"/>
        </w:rPr>
        <w:t>supports</w:t>
      </w:r>
      <w:r>
        <w:rPr>
          <w:rFonts w:ascii="Book Antiqua"/>
          <w:spacing w:val="3"/>
        </w:rPr>
        <w:t xml:space="preserve"> </w:t>
      </w:r>
      <w:r>
        <w:rPr>
          <w:rFonts w:ascii="Book Antiqua"/>
        </w:rPr>
        <w:t>the need</w:t>
      </w:r>
      <w:r>
        <w:rPr>
          <w:rFonts w:ascii="Book Antiqua"/>
          <w:spacing w:val="1"/>
        </w:rPr>
        <w:t xml:space="preserve"> </w:t>
      </w:r>
      <w:r>
        <w:rPr>
          <w:rFonts w:ascii="Book Antiqua"/>
        </w:rPr>
        <w:t>for</w:t>
      </w:r>
      <w:r>
        <w:rPr>
          <w:rFonts w:ascii="Book Antiqua"/>
          <w:spacing w:val="-2"/>
        </w:rPr>
        <w:t xml:space="preserve"> </w:t>
      </w:r>
      <w:r>
        <w:rPr>
          <w:rFonts w:ascii="Book Antiqua"/>
        </w:rPr>
        <w:t>specialized</w:t>
      </w:r>
      <w:r>
        <w:rPr>
          <w:rFonts w:ascii="Book Antiqua"/>
          <w:spacing w:val="-2"/>
        </w:rPr>
        <w:t xml:space="preserve"> </w:t>
      </w:r>
      <w:r>
        <w:rPr>
          <w:rFonts w:ascii="Book Antiqua"/>
        </w:rPr>
        <w:t>pediatric</w:t>
      </w:r>
      <w:r>
        <w:rPr>
          <w:rFonts w:ascii="Book Antiqua"/>
          <w:spacing w:val="-2"/>
        </w:rPr>
        <w:t xml:space="preserve"> </w:t>
      </w:r>
      <w:r>
        <w:rPr>
          <w:rFonts w:ascii="Book Antiqua"/>
        </w:rPr>
        <w:t>health care services</w:t>
      </w:r>
      <w:r>
        <w:rPr>
          <w:rFonts w:ascii="Book Antiqua"/>
          <w:spacing w:val="-1"/>
        </w:rPr>
        <w:t xml:space="preserve"> </w:t>
      </w:r>
      <w:r>
        <w:rPr>
          <w:rFonts w:ascii="Book Antiqua"/>
        </w:rPr>
        <w:t>to</w:t>
      </w:r>
      <w:r>
        <w:rPr>
          <w:rFonts w:ascii="Book Antiqua"/>
          <w:spacing w:val="-2"/>
        </w:rPr>
        <w:t xml:space="preserve"> </w:t>
      </w:r>
      <w:r>
        <w:rPr>
          <w:rFonts w:ascii="Book Antiqua"/>
        </w:rPr>
        <w:t>be</w:t>
      </w:r>
      <w:r>
        <w:rPr>
          <w:rFonts w:ascii="Book Antiqua"/>
          <w:spacing w:val="-3"/>
        </w:rPr>
        <w:t xml:space="preserve"> </w:t>
      </w:r>
      <w:r>
        <w:rPr>
          <w:rFonts w:ascii="Book Antiqua"/>
        </w:rPr>
        <w:t>available</w:t>
      </w:r>
      <w:r>
        <w:rPr>
          <w:rFonts w:ascii="Book Antiqua"/>
          <w:spacing w:val="-1"/>
        </w:rPr>
        <w:t xml:space="preserve"> </w:t>
      </w:r>
      <w:r>
        <w:rPr>
          <w:rFonts w:ascii="Book Antiqua"/>
        </w:rPr>
        <w:t>and</w:t>
      </w:r>
      <w:r>
        <w:rPr>
          <w:rFonts w:ascii="Book Antiqua"/>
          <w:spacing w:val="-1"/>
        </w:rPr>
        <w:t xml:space="preserve"> </w:t>
      </w:r>
      <w:r>
        <w:rPr>
          <w:rFonts w:ascii="Book Antiqua"/>
        </w:rPr>
        <w:t>accessible</w:t>
      </w:r>
      <w:r>
        <w:rPr>
          <w:rFonts w:ascii="Book Antiqua"/>
          <w:spacing w:val="-4"/>
        </w:rPr>
        <w:t xml:space="preserve"> </w:t>
      </w:r>
      <w:r>
        <w:rPr>
          <w:rFonts w:ascii="Book Antiqua"/>
        </w:rPr>
        <w:t>to</w:t>
      </w:r>
      <w:r>
        <w:rPr>
          <w:rFonts w:ascii="Book Antiqua"/>
          <w:spacing w:val="-1"/>
        </w:rPr>
        <w:t xml:space="preserve"> </w:t>
      </w:r>
      <w:r>
        <w:rPr>
          <w:rFonts w:ascii="Book Antiqua"/>
        </w:rPr>
        <w:t>all</w:t>
      </w:r>
      <w:r>
        <w:rPr>
          <w:rFonts w:ascii="Book Antiqua"/>
          <w:spacing w:val="-1"/>
        </w:rPr>
        <w:t xml:space="preserve"> </w:t>
      </w:r>
      <w:r>
        <w:rPr>
          <w:rFonts w:ascii="Book Antiqua"/>
        </w:rPr>
        <w:t>children.</w:t>
      </w:r>
    </w:p>
    <w:p w:rsidR="00D862F2" w:rsidRDefault="00884FE4">
      <w:pPr>
        <w:spacing w:before="1"/>
        <w:ind w:left="220" w:right="676"/>
        <w:rPr>
          <w:rFonts w:ascii="Book Antiqua" w:hAnsi="Book Antiqua"/>
          <w:sz w:val="14"/>
        </w:rPr>
      </w:pPr>
      <w:bookmarkStart w:id="17" w:name="_bookmark16"/>
      <w:bookmarkEnd w:id="17"/>
      <w:r>
        <w:rPr>
          <w:rFonts w:ascii="Book Antiqua" w:hAnsi="Book Antiqua"/>
        </w:rPr>
        <w:t>Further, children’s hospitals are uniquely capable of providing the widest range of pediatric</w:t>
      </w:r>
      <w:r>
        <w:rPr>
          <w:rFonts w:ascii="Book Antiqua" w:hAnsi="Book Antiqua"/>
          <w:spacing w:val="-52"/>
        </w:rPr>
        <w:t xml:space="preserve"> </w:t>
      </w:r>
      <w:r>
        <w:rPr>
          <w:rFonts w:ascii="Book Antiqua" w:hAnsi="Book Antiqua"/>
        </w:rPr>
        <w:t>services, including care for children with medical complexity and children with rare</w:t>
      </w:r>
      <w:r>
        <w:rPr>
          <w:rFonts w:ascii="Book Antiqua" w:hAnsi="Book Antiqua"/>
          <w:spacing w:val="1"/>
        </w:rPr>
        <w:t xml:space="preserve"> </w:t>
      </w:r>
      <w:r>
        <w:rPr>
          <w:rFonts w:ascii="Book Antiqua" w:hAnsi="Book Antiqua"/>
        </w:rPr>
        <w:t>conditions.</w:t>
      </w:r>
      <w:hyperlink w:anchor="_bookmark17" w:history="1">
        <w:r>
          <w:rPr>
            <w:rFonts w:ascii="Book Antiqua" w:hAnsi="Book Antiqua"/>
            <w:position w:val="5"/>
            <w:sz w:val="14"/>
          </w:rPr>
          <w:t>17</w:t>
        </w:r>
      </w:hyperlink>
    </w:p>
    <w:p w:rsidR="00D862F2" w:rsidRDefault="00884FE4">
      <w:pPr>
        <w:spacing w:before="124" w:line="237" w:lineRule="auto"/>
        <w:ind w:left="220" w:right="955"/>
        <w:rPr>
          <w:rFonts w:ascii="Book Antiqua"/>
        </w:rPr>
      </w:pPr>
      <w:r>
        <w:rPr>
          <w:rFonts w:ascii="Book Antiqua"/>
        </w:rPr>
        <w:t>In addition, literature suggests that pediatric specialty care is decreasing in availability in</w:t>
      </w:r>
      <w:r>
        <w:rPr>
          <w:rFonts w:ascii="Book Antiqua"/>
          <w:spacing w:val="-52"/>
        </w:rPr>
        <w:t xml:space="preserve"> </w:t>
      </w:r>
      <w:r>
        <w:rPr>
          <w:rFonts w:ascii="Book Antiqua"/>
        </w:rPr>
        <w:t>community</w:t>
      </w:r>
      <w:r>
        <w:rPr>
          <w:rFonts w:ascii="Book Antiqua"/>
          <w:spacing w:val="-3"/>
        </w:rPr>
        <w:t xml:space="preserve"> </w:t>
      </w:r>
      <w:r>
        <w:rPr>
          <w:rFonts w:ascii="Book Antiqua"/>
        </w:rPr>
        <w:t>hospitals, a trend that has not</w:t>
      </w:r>
      <w:r>
        <w:rPr>
          <w:rFonts w:ascii="Book Antiqua"/>
          <w:spacing w:val="-2"/>
        </w:rPr>
        <w:t xml:space="preserve"> </w:t>
      </w:r>
      <w:r>
        <w:rPr>
          <w:rFonts w:ascii="Book Antiqua"/>
        </w:rPr>
        <w:t>applied</w:t>
      </w:r>
      <w:r>
        <w:rPr>
          <w:rFonts w:ascii="Book Antiqua"/>
          <w:spacing w:val="-3"/>
        </w:rPr>
        <w:t xml:space="preserve"> </w:t>
      </w:r>
      <w:r>
        <w:rPr>
          <w:rFonts w:ascii="Book Antiqua"/>
        </w:rPr>
        <w:t>to</w:t>
      </w:r>
      <w:r>
        <w:rPr>
          <w:rFonts w:ascii="Book Antiqua"/>
          <w:spacing w:val="-1"/>
        </w:rPr>
        <w:t xml:space="preserve"> </w:t>
      </w:r>
      <w:r>
        <w:rPr>
          <w:rFonts w:ascii="Book Antiqua"/>
        </w:rPr>
        <w:t>academic medical</w:t>
      </w:r>
      <w:r>
        <w:rPr>
          <w:rFonts w:ascii="Book Antiqua"/>
          <w:spacing w:val="1"/>
        </w:rPr>
        <w:t xml:space="preserve"> </w:t>
      </w:r>
      <w:r>
        <w:rPr>
          <w:rFonts w:ascii="Book Antiqua"/>
        </w:rPr>
        <w:t>centers.</w:t>
      </w:r>
      <w:hyperlink w:anchor="_bookmark18" w:history="1">
        <w:r>
          <w:rPr>
            <w:rFonts w:ascii="Book Antiqua"/>
            <w:position w:val="5"/>
            <w:sz w:val="14"/>
          </w:rPr>
          <w:t>18</w:t>
        </w:r>
      </w:hyperlink>
      <w:r>
        <w:rPr>
          <w:rFonts w:ascii="Book Antiqua"/>
          <w:position w:val="5"/>
          <w:sz w:val="14"/>
        </w:rPr>
        <w:t>,</w:t>
      </w:r>
      <w:hyperlink w:anchor="_bookmark16" w:history="1">
        <w:r>
          <w:rPr>
            <w:rFonts w:ascii="Book Antiqua"/>
            <w:position w:val="5"/>
            <w:sz w:val="14"/>
          </w:rPr>
          <w:t>19</w:t>
        </w:r>
      </w:hyperlink>
      <w:r>
        <w:rPr>
          <w:rFonts w:ascii="Book Antiqua"/>
          <w:spacing w:val="6"/>
          <w:position w:val="5"/>
          <w:sz w:val="14"/>
        </w:rPr>
        <w:t xml:space="preserve"> </w:t>
      </w:r>
      <w:r>
        <w:rPr>
          <w:rFonts w:ascii="Book Antiqua"/>
        </w:rPr>
        <w:t>This</w:t>
      </w:r>
    </w:p>
    <w:p w:rsidR="00D862F2" w:rsidRDefault="00D862F2">
      <w:pPr>
        <w:pStyle w:val="BodyText"/>
        <w:spacing w:before="5"/>
        <w:rPr>
          <w:rFonts w:ascii="Book Antiqua"/>
        </w:rPr>
      </w:pPr>
    </w:p>
    <w:p w:rsidR="00D862F2" w:rsidRDefault="00884FE4">
      <w:pPr>
        <w:spacing w:before="92"/>
        <w:ind w:left="219"/>
        <w:rPr>
          <w:rFonts w:ascii="Book Antiqua" w:hAnsi="Book Antiqua"/>
          <w:sz w:val="20"/>
        </w:rPr>
      </w:pPr>
      <w:bookmarkStart w:id="18" w:name="_bookmark17"/>
      <w:bookmarkEnd w:id="18"/>
      <w:r>
        <w:rPr>
          <w:rFonts w:ascii="Book Antiqua" w:hAnsi="Book Antiqua"/>
          <w:position w:val="5"/>
          <w:sz w:val="13"/>
        </w:rPr>
        <w:t xml:space="preserve">17 </w:t>
      </w:r>
      <w:r>
        <w:rPr>
          <w:rFonts w:ascii="Book Antiqua" w:hAnsi="Book Antiqua"/>
          <w:sz w:val="20"/>
        </w:rPr>
        <w:t>Berry, J.G., Hall, M., Neff, J., Goodman, D., Cohen, E., … Feudtner, C.</w:t>
      </w:r>
      <w:r>
        <w:rPr>
          <w:rFonts w:ascii="Book Antiqua" w:hAnsi="Book Antiqua"/>
          <w:spacing w:val="1"/>
          <w:sz w:val="20"/>
        </w:rPr>
        <w:t xml:space="preserve"> </w:t>
      </w:r>
      <w:r>
        <w:rPr>
          <w:rFonts w:ascii="Book Antiqua" w:hAnsi="Book Antiqua"/>
          <w:sz w:val="20"/>
        </w:rPr>
        <w:t>(2014).</w:t>
      </w:r>
      <w:r>
        <w:rPr>
          <w:rFonts w:ascii="Book Antiqua" w:hAnsi="Book Antiqua"/>
          <w:spacing w:val="1"/>
          <w:sz w:val="20"/>
        </w:rPr>
        <w:t xml:space="preserve"> </w:t>
      </w:r>
      <w:r>
        <w:rPr>
          <w:rFonts w:ascii="Book Antiqua" w:hAnsi="Book Antiqua"/>
          <w:sz w:val="20"/>
        </w:rPr>
        <w:t>Children with Medical</w:t>
      </w:r>
      <w:r>
        <w:rPr>
          <w:rFonts w:ascii="Book Antiqua" w:hAnsi="Book Antiqua"/>
          <w:spacing w:val="-47"/>
          <w:sz w:val="20"/>
        </w:rPr>
        <w:t xml:space="preserve"> </w:t>
      </w:r>
      <w:r>
        <w:rPr>
          <w:rFonts w:ascii="Book Antiqua" w:hAnsi="Book Antiqua"/>
          <w:sz w:val="20"/>
        </w:rPr>
        <w:t>Complexity and Medicaid: Spending and Cost Savings.</w:t>
      </w:r>
      <w:r>
        <w:rPr>
          <w:rFonts w:ascii="Book Antiqua" w:hAnsi="Book Antiqua"/>
          <w:spacing w:val="1"/>
          <w:sz w:val="20"/>
        </w:rPr>
        <w:t xml:space="preserve"> </w:t>
      </w:r>
      <w:r>
        <w:rPr>
          <w:rFonts w:ascii="Book Antiqua" w:hAnsi="Book Antiqua"/>
          <w:i/>
          <w:sz w:val="20"/>
        </w:rPr>
        <w:t>Health Affairs, 32(12).</w:t>
      </w:r>
      <w:r>
        <w:rPr>
          <w:rFonts w:ascii="Book Antiqua" w:hAnsi="Book Antiqua"/>
          <w:i/>
          <w:spacing w:val="1"/>
          <w:sz w:val="20"/>
        </w:rPr>
        <w:t xml:space="preserve"> </w:t>
      </w:r>
      <w:hyperlink r:id="rId24">
        <w:bookmarkStart w:id="19" w:name="_bookmark18"/>
        <w:bookmarkEnd w:id="19"/>
        <w:r>
          <w:rPr>
            <w:rFonts w:ascii="Book Antiqua" w:hAnsi="Book Antiqua"/>
            <w:color w:val="0000FF"/>
            <w:sz w:val="20"/>
            <w:u w:val="single" w:color="0000FF"/>
          </w:rPr>
          <w:t>https://doi.org/10.1377/hlthaff.2014.0828</w:t>
        </w:r>
        <w:r>
          <w:rPr>
            <w:rFonts w:ascii="Book Antiqua" w:hAnsi="Book Antiqua"/>
            <w:sz w:val="20"/>
          </w:rPr>
          <w:t>.</w:t>
        </w:r>
      </w:hyperlink>
    </w:p>
    <w:p w:rsidR="00D862F2" w:rsidRDefault="00884FE4">
      <w:pPr>
        <w:spacing w:before="1" w:line="248" w:lineRule="exact"/>
        <w:ind w:left="220"/>
        <w:rPr>
          <w:rFonts w:ascii="Book Antiqua" w:hAnsi="Book Antiqua"/>
          <w:sz w:val="20"/>
        </w:rPr>
      </w:pPr>
      <w:r>
        <w:rPr>
          <w:rFonts w:ascii="Book Antiqua" w:hAnsi="Book Antiqua"/>
          <w:position w:val="5"/>
          <w:sz w:val="13"/>
        </w:rPr>
        <w:t>18</w:t>
      </w:r>
      <w:r>
        <w:rPr>
          <w:rFonts w:ascii="Book Antiqua" w:hAnsi="Book Antiqua"/>
          <w:spacing w:val="14"/>
          <w:position w:val="5"/>
          <w:sz w:val="13"/>
        </w:rPr>
        <w:t xml:space="preserve"> </w:t>
      </w:r>
      <w:r>
        <w:rPr>
          <w:rFonts w:ascii="Book Antiqua" w:hAnsi="Book Antiqua"/>
          <w:sz w:val="20"/>
        </w:rPr>
        <w:t>Franca,</w:t>
      </w:r>
      <w:r>
        <w:rPr>
          <w:rFonts w:ascii="Book Antiqua" w:hAnsi="Book Antiqua"/>
          <w:spacing w:val="-2"/>
          <w:sz w:val="20"/>
        </w:rPr>
        <w:t xml:space="preserve"> </w:t>
      </w:r>
      <w:r>
        <w:rPr>
          <w:rFonts w:ascii="Book Antiqua" w:hAnsi="Book Antiqua"/>
          <w:sz w:val="20"/>
        </w:rPr>
        <w:t>U.L.</w:t>
      </w:r>
      <w:r>
        <w:rPr>
          <w:rFonts w:ascii="Book Antiqua" w:hAnsi="Book Antiqua"/>
          <w:spacing w:val="-1"/>
          <w:sz w:val="20"/>
        </w:rPr>
        <w:t xml:space="preserve"> </w:t>
      </w:r>
      <w:r>
        <w:rPr>
          <w:rFonts w:ascii="Book Antiqua" w:hAnsi="Book Antiqua"/>
          <w:sz w:val="20"/>
        </w:rPr>
        <w:t>and</w:t>
      </w:r>
      <w:r>
        <w:rPr>
          <w:rFonts w:ascii="Book Antiqua" w:hAnsi="Book Antiqua"/>
          <w:spacing w:val="-2"/>
          <w:sz w:val="20"/>
        </w:rPr>
        <w:t xml:space="preserve"> </w:t>
      </w:r>
      <w:r>
        <w:rPr>
          <w:rFonts w:ascii="Book Antiqua" w:hAnsi="Book Antiqua"/>
          <w:sz w:val="20"/>
        </w:rPr>
        <w:t>McManus,</w:t>
      </w:r>
      <w:r>
        <w:rPr>
          <w:rFonts w:ascii="Book Antiqua" w:hAnsi="Book Antiqua"/>
          <w:spacing w:val="-2"/>
          <w:sz w:val="20"/>
        </w:rPr>
        <w:t xml:space="preserve"> </w:t>
      </w:r>
      <w:r>
        <w:rPr>
          <w:rFonts w:ascii="Book Antiqua" w:hAnsi="Book Antiqua"/>
          <w:sz w:val="20"/>
        </w:rPr>
        <w:t>M.L.</w:t>
      </w:r>
      <w:r>
        <w:rPr>
          <w:rFonts w:ascii="Book Antiqua" w:hAnsi="Book Antiqua"/>
          <w:spacing w:val="44"/>
          <w:sz w:val="20"/>
        </w:rPr>
        <w:t xml:space="preserve"> </w:t>
      </w:r>
      <w:r>
        <w:rPr>
          <w:rFonts w:ascii="Book Antiqua" w:hAnsi="Book Antiqua"/>
          <w:sz w:val="20"/>
        </w:rPr>
        <w:t>(2017).</w:t>
      </w:r>
      <w:r>
        <w:rPr>
          <w:rFonts w:ascii="Book Antiqua" w:hAnsi="Book Antiqua"/>
          <w:spacing w:val="43"/>
          <w:sz w:val="20"/>
        </w:rPr>
        <w:t xml:space="preserve"> </w:t>
      </w:r>
      <w:r>
        <w:rPr>
          <w:rFonts w:ascii="Book Antiqua" w:hAnsi="Book Antiqua"/>
          <w:sz w:val="20"/>
        </w:rPr>
        <w:t>“Availability</w:t>
      </w:r>
      <w:r>
        <w:rPr>
          <w:rFonts w:ascii="Book Antiqua" w:hAnsi="Book Antiqua"/>
          <w:spacing w:val="-4"/>
          <w:sz w:val="20"/>
        </w:rPr>
        <w:t xml:space="preserve"> </w:t>
      </w:r>
      <w:r>
        <w:rPr>
          <w:rFonts w:ascii="Book Antiqua" w:hAnsi="Book Antiqua"/>
          <w:sz w:val="20"/>
        </w:rPr>
        <w:t>of</w:t>
      </w:r>
      <w:r>
        <w:rPr>
          <w:rFonts w:ascii="Book Antiqua" w:hAnsi="Book Antiqua"/>
          <w:spacing w:val="-1"/>
          <w:sz w:val="20"/>
        </w:rPr>
        <w:t xml:space="preserve"> </w:t>
      </w:r>
      <w:r>
        <w:rPr>
          <w:rFonts w:ascii="Book Antiqua" w:hAnsi="Book Antiqua"/>
          <w:sz w:val="20"/>
        </w:rPr>
        <w:t>Definitive</w:t>
      </w:r>
      <w:r>
        <w:rPr>
          <w:rFonts w:ascii="Book Antiqua" w:hAnsi="Book Antiqua"/>
          <w:spacing w:val="-3"/>
          <w:sz w:val="20"/>
        </w:rPr>
        <w:t xml:space="preserve"> </w:t>
      </w:r>
      <w:r>
        <w:rPr>
          <w:rFonts w:ascii="Book Antiqua" w:hAnsi="Book Antiqua"/>
          <w:sz w:val="20"/>
        </w:rPr>
        <w:t>Hospital</w:t>
      </w:r>
      <w:r>
        <w:rPr>
          <w:rFonts w:ascii="Book Antiqua" w:hAnsi="Book Antiqua"/>
          <w:spacing w:val="-3"/>
          <w:sz w:val="20"/>
        </w:rPr>
        <w:t xml:space="preserve"> </w:t>
      </w:r>
      <w:r>
        <w:rPr>
          <w:rFonts w:ascii="Book Antiqua" w:hAnsi="Book Antiqua"/>
          <w:sz w:val="20"/>
        </w:rPr>
        <w:t>Care</w:t>
      </w:r>
      <w:r>
        <w:rPr>
          <w:rFonts w:ascii="Book Antiqua" w:hAnsi="Book Antiqua"/>
          <w:spacing w:val="-3"/>
          <w:sz w:val="20"/>
        </w:rPr>
        <w:t xml:space="preserve"> </w:t>
      </w:r>
      <w:r>
        <w:rPr>
          <w:rFonts w:ascii="Book Antiqua" w:hAnsi="Book Antiqua"/>
          <w:sz w:val="20"/>
        </w:rPr>
        <w:t>for</w:t>
      </w:r>
      <w:r>
        <w:rPr>
          <w:rFonts w:ascii="Book Antiqua" w:hAnsi="Book Antiqua"/>
          <w:spacing w:val="-2"/>
          <w:sz w:val="20"/>
        </w:rPr>
        <w:t xml:space="preserve"> </w:t>
      </w:r>
      <w:r>
        <w:rPr>
          <w:rFonts w:ascii="Book Antiqua" w:hAnsi="Book Antiqua"/>
          <w:sz w:val="20"/>
        </w:rPr>
        <w:t>Children.”</w:t>
      </w:r>
    </w:p>
    <w:p w:rsidR="00D862F2" w:rsidRDefault="00884FE4">
      <w:pPr>
        <w:spacing w:line="248" w:lineRule="exact"/>
        <w:ind w:left="219"/>
        <w:rPr>
          <w:rFonts w:ascii="Book Antiqua"/>
          <w:sz w:val="20"/>
        </w:rPr>
      </w:pPr>
      <w:r>
        <w:rPr>
          <w:rFonts w:ascii="Book Antiqua"/>
          <w:i/>
          <w:sz w:val="20"/>
        </w:rPr>
        <w:t>JAMA</w:t>
      </w:r>
      <w:r>
        <w:rPr>
          <w:rFonts w:ascii="Book Antiqua"/>
          <w:i/>
          <w:spacing w:val="-5"/>
          <w:sz w:val="20"/>
        </w:rPr>
        <w:t xml:space="preserve"> </w:t>
      </w:r>
      <w:r>
        <w:rPr>
          <w:rFonts w:ascii="Book Antiqua"/>
          <w:i/>
          <w:sz w:val="20"/>
        </w:rPr>
        <w:t>Pediatr.,</w:t>
      </w:r>
      <w:r>
        <w:rPr>
          <w:rFonts w:ascii="Book Antiqua"/>
          <w:i/>
          <w:spacing w:val="-4"/>
          <w:sz w:val="20"/>
        </w:rPr>
        <w:t xml:space="preserve"> </w:t>
      </w:r>
      <w:r>
        <w:rPr>
          <w:rFonts w:ascii="Book Antiqua"/>
          <w:i/>
          <w:sz w:val="20"/>
        </w:rPr>
        <w:t>171(9).</w:t>
      </w:r>
      <w:r>
        <w:rPr>
          <w:rFonts w:ascii="Book Antiqua"/>
          <w:i/>
          <w:spacing w:val="41"/>
          <w:sz w:val="20"/>
        </w:rPr>
        <w:t xml:space="preserve"> </w:t>
      </w:r>
      <w:hyperlink r:id="rId25">
        <w:r>
          <w:rPr>
            <w:rFonts w:ascii="Book Antiqua"/>
            <w:color w:val="0000FF"/>
            <w:sz w:val="20"/>
            <w:u w:val="single" w:color="0000FF"/>
          </w:rPr>
          <w:t>https://doi.org/10.1001/jamapediatrics.2017.1096</w:t>
        </w:r>
        <w:r>
          <w:rPr>
            <w:rFonts w:ascii="Book Antiqua"/>
            <w:sz w:val="20"/>
          </w:rPr>
          <w:t>.</w:t>
        </w:r>
      </w:hyperlink>
    </w:p>
    <w:p w:rsidR="00D862F2" w:rsidRDefault="00D862F2">
      <w:pPr>
        <w:spacing w:line="248" w:lineRule="exact"/>
        <w:rPr>
          <w:rFonts w:ascii="Book Antiqua"/>
          <w:sz w:val="20"/>
        </w:rPr>
        <w:sectPr w:rsidR="00D862F2">
          <w:type w:val="continuous"/>
          <w:pgSz w:w="12240" w:h="15840"/>
          <w:pgMar w:top="1340" w:right="1160" w:bottom="980" w:left="1220" w:header="0" w:footer="0" w:gutter="0"/>
          <w:cols w:space="720"/>
        </w:sectPr>
      </w:pPr>
    </w:p>
    <w:p w:rsidR="00D862F2" w:rsidRDefault="00884FE4">
      <w:pPr>
        <w:spacing w:before="77"/>
        <w:ind w:left="219" w:right="320"/>
        <w:rPr>
          <w:rFonts w:ascii="Book Antiqua"/>
        </w:rPr>
      </w:pPr>
      <w:r>
        <w:rPr>
          <w:rFonts w:ascii="Book Antiqua"/>
        </w:rPr>
        <w:lastRenderedPageBreak/>
        <w:t>phenomenon is true not only of highly subspecialized pediatric services, but general pediatrics</w:t>
      </w:r>
      <w:r>
        <w:rPr>
          <w:rFonts w:ascii="Book Antiqua"/>
          <w:spacing w:val="1"/>
        </w:rPr>
        <w:t xml:space="preserve"> </w:t>
      </w:r>
      <w:r>
        <w:rPr>
          <w:rFonts w:ascii="Book Antiqua"/>
        </w:rPr>
        <w:t>inpatient beds as well.</w:t>
      </w:r>
      <w:r>
        <w:rPr>
          <w:rFonts w:ascii="Book Antiqua"/>
          <w:spacing w:val="1"/>
        </w:rPr>
        <w:t xml:space="preserve"> </w:t>
      </w:r>
      <w:r>
        <w:rPr>
          <w:rFonts w:ascii="Book Antiqua"/>
        </w:rPr>
        <w:t>This is because procedures that may previously have required a hospital</w:t>
      </w:r>
      <w:r>
        <w:rPr>
          <w:rFonts w:ascii="Book Antiqua"/>
          <w:spacing w:val="-52"/>
        </w:rPr>
        <w:t xml:space="preserve"> </w:t>
      </w:r>
      <w:r>
        <w:rPr>
          <w:rFonts w:ascii="Book Antiqua"/>
        </w:rPr>
        <w:t>admission are shifting to outpatient or physician office settings.</w:t>
      </w:r>
      <w:hyperlink w:anchor="_bookmark19" w:history="1">
        <w:r>
          <w:rPr>
            <w:rFonts w:ascii="Book Antiqua"/>
            <w:position w:val="5"/>
            <w:sz w:val="14"/>
          </w:rPr>
          <w:t>20</w:t>
        </w:r>
      </w:hyperlink>
      <w:r>
        <w:rPr>
          <w:rFonts w:ascii="Book Antiqua"/>
          <w:position w:val="5"/>
          <w:sz w:val="14"/>
        </w:rPr>
        <w:t>,</w:t>
      </w:r>
      <w:hyperlink w:anchor="_bookmark20" w:history="1">
        <w:r>
          <w:rPr>
            <w:rFonts w:ascii="Book Antiqua"/>
            <w:position w:val="5"/>
            <w:sz w:val="14"/>
          </w:rPr>
          <w:t>21</w:t>
        </w:r>
      </w:hyperlink>
      <w:r>
        <w:rPr>
          <w:rFonts w:ascii="Book Antiqua"/>
          <w:spacing w:val="1"/>
          <w:position w:val="5"/>
          <w:sz w:val="14"/>
        </w:rPr>
        <w:t xml:space="preserve"> </w:t>
      </w:r>
      <w:r>
        <w:rPr>
          <w:rFonts w:ascii="Book Antiqua"/>
        </w:rPr>
        <w:t>In addition, it is difficult for</w:t>
      </w:r>
      <w:r>
        <w:rPr>
          <w:rFonts w:ascii="Book Antiqua"/>
          <w:spacing w:val="-52"/>
        </w:rPr>
        <w:t xml:space="preserve"> </w:t>
      </w:r>
      <w:r>
        <w:rPr>
          <w:rFonts w:ascii="Book Antiqua"/>
        </w:rPr>
        <w:t>an acute care hospital serving both adults and children to justify offering low-volume</w:t>
      </w:r>
      <w:r>
        <w:rPr>
          <w:rFonts w:ascii="Book Antiqua"/>
          <w:spacing w:val="1"/>
        </w:rPr>
        <w:t xml:space="preserve"> </w:t>
      </w:r>
      <w:r>
        <w:rPr>
          <w:rFonts w:ascii="Book Antiqua"/>
        </w:rPr>
        <w:t>specialized pediatric services from a business perspective.</w:t>
      </w:r>
      <w:hyperlink w:anchor="_bookmark21" w:history="1">
        <w:r>
          <w:rPr>
            <w:rFonts w:ascii="Book Antiqua"/>
            <w:position w:val="5"/>
            <w:sz w:val="14"/>
          </w:rPr>
          <w:t>22</w:t>
        </w:r>
      </w:hyperlink>
      <w:r>
        <w:rPr>
          <w:rFonts w:ascii="Book Antiqua"/>
          <w:spacing w:val="1"/>
          <w:position w:val="5"/>
          <w:sz w:val="14"/>
        </w:rPr>
        <w:t xml:space="preserve"> </w:t>
      </w:r>
      <w:r>
        <w:rPr>
          <w:rFonts w:ascii="Book Antiqua"/>
        </w:rPr>
        <w:t>From a clinical perspective, it is</w:t>
      </w:r>
      <w:r>
        <w:rPr>
          <w:rFonts w:ascii="Book Antiqua"/>
          <w:spacing w:val="1"/>
        </w:rPr>
        <w:t xml:space="preserve"> </w:t>
      </w:r>
      <w:r>
        <w:rPr>
          <w:rFonts w:ascii="Book Antiqua"/>
        </w:rPr>
        <w:t>important to sustain a certain level of volume to ensure clinicians can maintain their skills and</w:t>
      </w:r>
      <w:r>
        <w:rPr>
          <w:rFonts w:ascii="Book Antiqua"/>
          <w:spacing w:val="1"/>
        </w:rPr>
        <w:t xml:space="preserve"> </w:t>
      </w:r>
      <w:r>
        <w:rPr>
          <w:rFonts w:ascii="Book Antiqua"/>
        </w:rPr>
        <w:t>expertise;</w:t>
      </w:r>
      <w:r>
        <w:rPr>
          <w:rFonts w:ascii="Book Antiqua"/>
          <w:spacing w:val="-2"/>
        </w:rPr>
        <w:t xml:space="preserve"> </w:t>
      </w:r>
      <w:r>
        <w:rPr>
          <w:rFonts w:ascii="Book Antiqua"/>
        </w:rPr>
        <w:t>falling</w:t>
      </w:r>
      <w:r>
        <w:rPr>
          <w:rFonts w:ascii="Book Antiqua"/>
          <w:spacing w:val="-3"/>
        </w:rPr>
        <w:t xml:space="preserve"> </w:t>
      </w:r>
      <w:r>
        <w:rPr>
          <w:rFonts w:ascii="Book Antiqua"/>
        </w:rPr>
        <w:t>to</w:t>
      </w:r>
      <w:r>
        <w:rPr>
          <w:rFonts w:ascii="Book Antiqua"/>
          <w:spacing w:val="-2"/>
        </w:rPr>
        <w:t xml:space="preserve"> </w:t>
      </w:r>
      <w:r>
        <w:rPr>
          <w:rFonts w:ascii="Book Antiqua"/>
        </w:rPr>
        <w:t>a</w:t>
      </w:r>
      <w:r>
        <w:rPr>
          <w:rFonts w:ascii="Book Antiqua"/>
          <w:spacing w:val="-2"/>
        </w:rPr>
        <w:t xml:space="preserve"> </w:t>
      </w:r>
      <w:r>
        <w:rPr>
          <w:rFonts w:ascii="Book Antiqua"/>
        </w:rPr>
        <w:t>low</w:t>
      </w:r>
      <w:r>
        <w:rPr>
          <w:rFonts w:ascii="Book Antiqua"/>
          <w:spacing w:val="-4"/>
        </w:rPr>
        <w:t xml:space="preserve"> </w:t>
      </w:r>
      <w:r>
        <w:rPr>
          <w:rFonts w:ascii="Book Antiqua"/>
        </w:rPr>
        <w:t>volume</w:t>
      </w:r>
      <w:r>
        <w:rPr>
          <w:rFonts w:ascii="Book Antiqua"/>
          <w:spacing w:val="-1"/>
        </w:rPr>
        <w:t xml:space="preserve"> </w:t>
      </w:r>
      <w:r>
        <w:rPr>
          <w:rFonts w:ascii="Book Antiqua"/>
        </w:rPr>
        <w:t>of</w:t>
      </w:r>
      <w:r>
        <w:rPr>
          <w:rFonts w:ascii="Book Antiqua"/>
          <w:spacing w:val="-1"/>
        </w:rPr>
        <w:t xml:space="preserve"> </w:t>
      </w:r>
      <w:r>
        <w:rPr>
          <w:rFonts w:ascii="Book Antiqua"/>
        </w:rPr>
        <w:t>pediatric</w:t>
      </w:r>
      <w:r>
        <w:rPr>
          <w:rFonts w:ascii="Book Antiqua"/>
          <w:spacing w:val="-2"/>
        </w:rPr>
        <w:t xml:space="preserve"> </w:t>
      </w:r>
      <w:r>
        <w:rPr>
          <w:rFonts w:ascii="Book Antiqua"/>
        </w:rPr>
        <w:t>care</w:t>
      </w:r>
      <w:r>
        <w:rPr>
          <w:rFonts w:ascii="Book Antiqua"/>
          <w:spacing w:val="-1"/>
        </w:rPr>
        <w:t xml:space="preserve"> </w:t>
      </w:r>
      <w:r>
        <w:rPr>
          <w:rFonts w:ascii="Book Antiqua"/>
        </w:rPr>
        <w:t>may</w:t>
      </w:r>
      <w:r>
        <w:rPr>
          <w:rFonts w:ascii="Book Antiqua"/>
          <w:spacing w:val="-3"/>
        </w:rPr>
        <w:t xml:space="preserve"> </w:t>
      </w:r>
      <w:r>
        <w:rPr>
          <w:rFonts w:ascii="Book Antiqua"/>
        </w:rPr>
        <w:t>have</w:t>
      </w:r>
      <w:r>
        <w:rPr>
          <w:rFonts w:ascii="Book Antiqua"/>
          <w:spacing w:val="-2"/>
        </w:rPr>
        <w:t xml:space="preserve"> </w:t>
      </w:r>
      <w:r>
        <w:rPr>
          <w:rFonts w:ascii="Book Antiqua"/>
        </w:rPr>
        <w:t>negative</w:t>
      </w:r>
      <w:r>
        <w:rPr>
          <w:rFonts w:ascii="Book Antiqua"/>
          <w:spacing w:val="-1"/>
        </w:rPr>
        <w:t xml:space="preserve"> </w:t>
      </w:r>
      <w:r>
        <w:rPr>
          <w:rFonts w:ascii="Book Antiqua"/>
        </w:rPr>
        <w:t>effects</w:t>
      </w:r>
      <w:r>
        <w:rPr>
          <w:rFonts w:ascii="Book Antiqua"/>
          <w:spacing w:val="-2"/>
        </w:rPr>
        <w:t xml:space="preserve"> </w:t>
      </w:r>
      <w:r>
        <w:rPr>
          <w:rFonts w:ascii="Book Antiqua"/>
        </w:rPr>
        <w:t>on</w:t>
      </w:r>
      <w:r>
        <w:rPr>
          <w:rFonts w:ascii="Book Antiqua"/>
          <w:spacing w:val="-1"/>
        </w:rPr>
        <w:t xml:space="preserve"> </w:t>
      </w:r>
      <w:r>
        <w:rPr>
          <w:rFonts w:ascii="Book Antiqua"/>
        </w:rPr>
        <w:t>clinical</w:t>
      </w:r>
      <w:r>
        <w:rPr>
          <w:rFonts w:ascii="Book Antiqua"/>
          <w:spacing w:val="-1"/>
        </w:rPr>
        <w:t xml:space="preserve"> </w:t>
      </w:r>
      <w:r>
        <w:rPr>
          <w:rFonts w:ascii="Book Antiqua"/>
        </w:rPr>
        <w:t>quality.</w:t>
      </w:r>
    </w:p>
    <w:p w:rsidR="00D862F2" w:rsidRDefault="00884FE4">
      <w:pPr>
        <w:spacing w:before="119"/>
        <w:ind w:left="219" w:right="646"/>
        <w:rPr>
          <w:rFonts w:ascii="Book Antiqua" w:hAnsi="Book Antiqua"/>
        </w:rPr>
      </w:pPr>
      <w:r>
        <w:rPr>
          <w:rFonts w:ascii="Book Antiqua" w:hAnsi="Book Antiqua"/>
        </w:rPr>
        <w:t>Further, Boston Children’s plays a unique role in the delivery of pediatric care in</w:t>
      </w:r>
      <w:r>
        <w:rPr>
          <w:rFonts w:ascii="Book Antiqua" w:hAnsi="Book Antiqua"/>
          <w:spacing w:val="1"/>
        </w:rPr>
        <w:t xml:space="preserve"> </w:t>
      </w:r>
      <w:r>
        <w:rPr>
          <w:rFonts w:ascii="Book Antiqua" w:hAnsi="Book Antiqua"/>
        </w:rPr>
        <w:t>Massachusetts.</w:t>
      </w:r>
      <w:r>
        <w:rPr>
          <w:rFonts w:ascii="Book Antiqua" w:hAnsi="Book Antiqua"/>
          <w:spacing w:val="1"/>
        </w:rPr>
        <w:t xml:space="preserve"> </w:t>
      </w:r>
      <w:r>
        <w:rPr>
          <w:rFonts w:ascii="Book Antiqua" w:hAnsi="Book Antiqua"/>
        </w:rPr>
        <w:t>In addition to its own care offerings, Boston Children’s staffs six community</w:t>
      </w:r>
      <w:r>
        <w:rPr>
          <w:rFonts w:ascii="Book Antiqua" w:hAnsi="Book Antiqua"/>
          <w:spacing w:val="-52"/>
        </w:rPr>
        <w:t xml:space="preserve"> </w:t>
      </w:r>
      <w:r>
        <w:rPr>
          <w:rFonts w:ascii="Book Antiqua" w:hAnsi="Book Antiqua"/>
        </w:rPr>
        <w:t>hospitals in the Commonwealth, which accounts for 70,000 ED visits, 11,500 deliveries, 3,650</w:t>
      </w:r>
      <w:r>
        <w:rPr>
          <w:rFonts w:ascii="Book Antiqua" w:hAnsi="Book Antiqua"/>
          <w:spacing w:val="-52"/>
        </w:rPr>
        <w:t xml:space="preserve"> </w:t>
      </w:r>
      <w:r>
        <w:rPr>
          <w:rFonts w:ascii="Book Antiqua" w:hAnsi="Book Antiqua"/>
        </w:rPr>
        <w:t>inpatient/observation discharges and 1,200 NICU discharges.</w:t>
      </w:r>
      <w:r>
        <w:rPr>
          <w:rFonts w:ascii="Book Antiqua" w:hAnsi="Book Antiqua"/>
          <w:spacing w:val="1"/>
        </w:rPr>
        <w:t xml:space="preserve"> </w:t>
      </w:r>
      <w:r>
        <w:rPr>
          <w:rFonts w:ascii="Book Antiqua" w:hAnsi="Book Antiqua"/>
        </w:rPr>
        <w:t>It also has relationships with</w:t>
      </w:r>
      <w:r>
        <w:rPr>
          <w:rFonts w:ascii="Book Antiqua" w:hAnsi="Book Antiqua"/>
          <w:spacing w:val="1"/>
        </w:rPr>
        <w:t xml:space="preserve"> </w:t>
      </w:r>
      <w:r>
        <w:rPr>
          <w:rFonts w:ascii="Book Antiqua" w:hAnsi="Book Antiqua"/>
        </w:rPr>
        <w:t>numerous primary care networks.</w:t>
      </w:r>
      <w:hyperlink w:anchor="_bookmark22" w:history="1">
        <w:r>
          <w:rPr>
            <w:rFonts w:ascii="Book Antiqua" w:hAnsi="Book Antiqua"/>
            <w:position w:val="5"/>
            <w:sz w:val="14"/>
          </w:rPr>
          <w:t>23</w:t>
        </w:r>
      </w:hyperlink>
      <w:r>
        <w:rPr>
          <w:rFonts w:ascii="Book Antiqua" w:hAnsi="Book Antiqua"/>
          <w:spacing w:val="1"/>
          <w:position w:val="5"/>
          <w:sz w:val="14"/>
        </w:rPr>
        <w:t xml:space="preserve"> </w:t>
      </w:r>
      <w:r>
        <w:rPr>
          <w:rFonts w:ascii="Book Antiqua" w:hAnsi="Book Antiqua"/>
        </w:rPr>
        <w:t>These affiliations extend Boston Children’s geographic</w:t>
      </w:r>
      <w:r>
        <w:rPr>
          <w:rFonts w:ascii="Book Antiqua" w:hAnsi="Book Antiqua"/>
          <w:spacing w:val="1"/>
        </w:rPr>
        <w:t xml:space="preserve"> </w:t>
      </w:r>
      <w:r>
        <w:rPr>
          <w:rFonts w:ascii="Book Antiqua" w:hAnsi="Book Antiqua"/>
        </w:rPr>
        <w:t>coverage</w:t>
      </w:r>
      <w:r>
        <w:rPr>
          <w:rFonts w:ascii="Book Antiqua" w:hAnsi="Book Antiqua"/>
          <w:spacing w:val="-1"/>
        </w:rPr>
        <w:t xml:space="preserve"> </w:t>
      </w:r>
      <w:r>
        <w:rPr>
          <w:rFonts w:ascii="Book Antiqua" w:hAnsi="Book Antiqua"/>
        </w:rPr>
        <w:t>and</w:t>
      </w:r>
      <w:r>
        <w:rPr>
          <w:rFonts w:ascii="Book Antiqua" w:hAnsi="Book Antiqua"/>
          <w:spacing w:val="-1"/>
        </w:rPr>
        <w:t xml:space="preserve"> </w:t>
      </w:r>
      <w:r>
        <w:rPr>
          <w:rFonts w:ascii="Book Antiqua" w:hAnsi="Book Antiqua"/>
        </w:rPr>
        <w:t>allows it to</w:t>
      </w:r>
      <w:r>
        <w:rPr>
          <w:rFonts w:ascii="Book Antiqua" w:hAnsi="Book Antiqua"/>
          <w:spacing w:val="-3"/>
        </w:rPr>
        <w:t xml:space="preserve"> </w:t>
      </w:r>
      <w:r>
        <w:rPr>
          <w:rFonts w:ascii="Book Antiqua" w:hAnsi="Book Antiqua"/>
        </w:rPr>
        <w:t>support existing</w:t>
      </w:r>
      <w:r>
        <w:rPr>
          <w:rFonts w:ascii="Book Antiqua" w:hAnsi="Book Antiqua"/>
          <w:spacing w:val="-1"/>
        </w:rPr>
        <w:t xml:space="preserve"> </w:t>
      </w:r>
      <w:r>
        <w:rPr>
          <w:rFonts w:ascii="Book Antiqua" w:hAnsi="Book Antiqua"/>
        </w:rPr>
        <w:t>care</w:t>
      </w:r>
      <w:r>
        <w:rPr>
          <w:rFonts w:ascii="Book Antiqua" w:hAnsi="Book Antiqua"/>
          <w:spacing w:val="-1"/>
        </w:rPr>
        <w:t xml:space="preserve"> </w:t>
      </w:r>
      <w:r>
        <w:rPr>
          <w:rFonts w:ascii="Book Antiqua" w:hAnsi="Book Antiqua"/>
        </w:rPr>
        <w:t>offerings.</w:t>
      </w:r>
    </w:p>
    <w:p w:rsidR="00D862F2" w:rsidRDefault="00884FE4">
      <w:pPr>
        <w:spacing w:before="122"/>
        <w:ind w:left="220" w:right="518"/>
        <w:rPr>
          <w:rFonts w:ascii="Book Antiqua" w:hAnsi="Book Antiqua"/>
          <w:sz w:val="14"/>
        </w:rPr>
      </w:pPr>
      <w:r>
        <w:rPr>
          <w:rFonts w:ascii="Book Antiqua" w:hAnsi="Book Antiqua"/>
        </w:rPr>
        <w:t>These findings support the argument that to expand access to pediatric specialty services, it is</w:t>
      </w:r>
      <w:r>
        <w:rPr>
          <w:rFonts w:ascii="Book Antiqua" w:hAnsi="Book Antiqua"/>
          <w:spacing w:val="-52"/>
        </w:rPr>
        <w:t xml:space="preserve"> </w:t>
      </w:r>
      <w:r>
        <w:rPr>
          <w:rFonts w:ascii="Book Antiqua" w:hAnsi="Book Antiqua"/>
        </w:rPr>
        <w:t>incumbent upon academic medical centers, such as Boston Children’s, to develop that</w:t>
      </w:r>
      <w:r>
        <w:rPr>
          <w:rFonts w:ascii="Book Antiqua" w:hAnsi="Book Antiqua"/>
          <w:spacing w:val="1"/>
        </w:rPr>
        <w:t xml:space="preserve"> </w:t>
      </w:r>
      <w:r>
        <w:rPr>
          <w:rFonts w:ascii="Book Antiqua" w:hAnsi="Book Antiqua"/>
        </w:rPr>
        <w:t>expanded capacity.</w:t>
      </w:r>
      <w:r>
        <w:rPr>
          <w:rFonts w:ascii="Book Antiqua" w:hAnsi="Book Antiqua"/>
          <w:spacing w:val="1"/>
        </w:rPr>
        <w:t xml:space="preserve"> </w:t>
      </w:r>
      <w:r>
        <w:rPr>
          <w:rFonts w:ascii="Book Antiqua" w:hAnsi="Book Antiqua"/>
        </w:rPr>
        <w:t>There unfortunately is a dearth of publicly available hard data through</w:t>
      </w:r>
      <w:r>
        <w:rPr>
          <w:rFonts w:ascii="Book Antiqua" w:hAnsi="Book Antiqua"/>
          <w:spacing w:val="1"/>
        </w:rPr>
        <w:t xml:space="preserve"> </w:t>
      </w:r>
      <w:r>
        <w:rPr>
          <w:rFonts w:ascii="Book Antiqua" w:hAnsi="Book Antiqua"/>
        </w:rPr>
        <w:t>sources such as the Center for Health Information and Analysis (CHIA), the Health Policy</w:t>
      </w:r>
      <w:r>
        <w:rPr>
          <w:rFonts w:ascii="Book Antiqua" w:hAnsi="Book Antiqua"/>
          <w:spacing w:val="1"/>
        </w:rPr>
        <w:t xml:space="preserve"> </w:t>
      </w:r>
      <w:r>
        <w:rPr>
          <w:rFonts w:ascii="Book Antiqua" w:hAnsi="Book Antiqua"/>
        </w:rPr>
        <w:t>Commission (HPC) and the Massachusetts Health &amp; Hospital Association (MHA) about the</w:t>
      </w:r>
      <w:r>
        <w:rPr>
          <w:rFonts w:ascii="Book Antiqua" w:hAnsi="Book Antiqua"/>
          <w:spacing w:val="1"/>
        </w:rPr>
        <w:t xml:space="preserve"> </w:t>
      </w:r>
      <w:r>
        <w:rPr>
          <w:rFonts w:ascii="Book Antiqua" w:hAnsi="Book Antiqua"/>
        </w:rPr>
        <w:t>pediatric capabilities of hospitals and health systems in Massachusetts specifically to support</w:t>
      </w:r>
      <w:r>
        <w:rPr>
          <w:rFonts w:ascii="Book Antiqua" w:hAnsi="Book Antiqua"/>
          <w:spacing w:val="1"/>
        </w:rPr>
        <w:t xml:space="preserve"> </w:t>
      </w:r>
      <w:r>
        <w:rPr>
          <w:rFonts w:ascii="Book Antiqua" w:hAnsi="Book Antiqua"/>
        </w:rPr>
        <w:t>this research.</w:t>
      </w:r>
      <w:hyperlink w:anchor="_bookmark23" w:history="1">
        <w:r>
          <w:rPr>
            <w:rFonts w:ascii="Book Antiqua" w:hAnsi="Book Antiqua"/>
            <w:position w:val="5"/>
            <w:sz w:val="14"/>
          </w:rPr>
          <w:t>24</w:t>
        </w:r>
      </w:hyperlink>
    </w:p>
    <w:p w:rsidR="00D862F2" w:rsidRDefault="00D862F2">
      <w:pPr>
        <w:pStyle w:val="BodyText"/>
        <w:spacing w:before="4"/>
        <w:rPr>
          <w:rFonts w:ascii="Book Antiqua"/>
          <w:sz w:val="19"/>
        </w:rPr>
      </w:pPr>
    </w:p>
    <w:p w:rsidR="00D862F2" w:rsidRDefault="00884FE4">
      <w:pPr>
        <w:pStyle w:val="ListParagraph"/>
        <w:numPr>
          <w:ilvl w:val="0"/>
          <w:numId w:val="3"/>
        </w:numPr>
        <w:tabs>
          <w:tab w:val="left" w:pos="667"/>
        </w:tabs>
        <w:ind w:left="666" w:right="1363" w:hanging="447"/>
        <w:rPr>
          <w:rFonts w:ascii="Book Antiqua" w:hAnsi="Book Antiqua"/>
          <w:b/>
        </w:rPr>
      </w:pPr>
      <w:r>
        <w:rPr>
          <w:rFonts w:ascii="Book Antiqua" w:hAnsi="Book Antiqua"/>
          <w:b/>
        </w:rPr>
        <w:t>Bailit Health’s Feedback to Boston Children’s Proposed Plan for its 2021 DON</w:t>
      </w:r>
      <w:r>
        <w:rPr>
          <w:rFonts w:ascii="Book Antiqua" w:hAnsi="Book Antiqua"/>
          <w:b/>
          <w:spacing w:val="-52"/>
        </w:rPr>
        <w:t xml:space="preserve"> </w:t>
      </w:r>
      <w:r>
        <w:rPr>
          <w:rFonts w:ascii="Book Antiqua" w:hAnsi="Book Antiqua"/>
          <w:b/>
        </w:rPr>
        <w:t>Application</w:t>
      </w:r>
    </w:p>
    <w:p w:rsidR="00D862F2" w:rsidRDefault="00884FE4">
      <w:pPr>
        <w:spacing w:before="119"/>
        <w:ind w:left="220" w:right="286"/>
        <w:rPr>
          <w:rFonts w:ascii="Book Antiqua" w:hAnsi="Book Antiqua"/>
        </w:rPr>
      </w:pPr>
      <w:r>
        <w:rPr>
          <w:rFonts w:ascii="Book Antiqua" w:hAnsi="Book Antiqua"/>
        </w:rPr>
        <w:t>Bailit Health then sought to identify whether there is evidence supporting the need for pediatric</w:t>
      </w:r>
      <w:r>
        <w:rPr>
          <w:rFonts w:ascii="Book Antiqua" w:hAnsi="Book Antiqua"/>
          <w:spacing w:val="-52"/>
        </w:rPr>
        <w:t xml:space="preserve"> </w:t>
      </w:r>
      <w:r>
        <w:rPr>
          <w:rFonts w:ascii="Book Antiqua" w:hAnsi="Book Antiqua"/>
        </w:rPr>
        <w:t>care</w:t>
      </w:r>
      <w:r>
        <w:rPr>
          <w:rFonts w:ascii="Book Antiqua" w:hAnsi="Book Antiqua"/>
          <w:spacing w:val="-1"/>
        </w:rPr>
        <w:t xml:space="preserve"> </w:t>
      </w:r>
      <w:r>
        <w:rPr>
          <w:rFonts w:ascii="Book Antiqua" w:hAnsi="Book Antiqua"/>
        </w:rPr>
        <w:t>within specific</w:t>
      </w:r>
      <w:r>
        <w:rPr>
          <w:rFonts w:ascii="Book Antiqua" w:hAnsi="Book Antiqua"/>
          <w:spacing w:val="-1"/>
        </w:rPr>
        <w:t xml:space="preserve"> </w:t>
      </w:r>
      <w:r>
        <w:rPr>
          <w:rFonts w:ascii="Book Antiqua" w:hAnsi="Book Antiqua"/>
        </w:rPr>
        <w:t>specialty</w:t>
      </w:r>
      <w:r>
        <w:rPr>
          <w:rFonts w:ascii="Book Antiqua" w:hAnsi="Book Antiqua"/>
          <w:spacing w:val="-2"/>
        </w:rPr>
        <w:t xml:space="preserve"> </w:t>
      </w:r>
      <w:r>
        <w:rPr>
          <w:rFonts w:ascii="Book Antiqua" w:hAnsi="Book Antiqua"/>
        </w:rPr>
        <w:t>areas Boston Children’s</w:t>
      </w:r>
      <w:r>
        <w:rPr>
          <w:rFonts w:ascii="Book Antiqua" w:hAnsi="Book Antiqua"/>
          <w:spacing w:val="-4"/>
        </w:rPr>
        <w:t xml:space="preserve"> </w:t>
      </w:r>
      <w:r>
        <w:rPr>
          <w:rFonts w:ascii="Book Antiqua" w:hAnsi="Book Antiqua"/>
        </w:rPr>
        <w:t>is</w:t>
      </w:r>
      <w:r>
        <w:rPr>
          <w:rFonts w:ascii="Book Antiqua" w:hAnsi="Book Antiqua"/>
          <w:spacing w:val="-1"/>
        </w:rPr>
        <w:t xml:space="preserve"> </w:t>
      </w:r>
      <w:r>
        <w:rPr>
          <w:rFonts w:ascii="Book Antiqua" w:hAnsi="Book Antiqua"/>
        </w:rPr>
        <w:t>considering</w:t>
      </w:r>
      <w:r>
        <w:rPr>
          <w:rFonts w:ascii="Book Antiqua" w:hAnsi="Book Antiqua"/>
          <w:spacing w:val="-3"/>
        </w:rPr>
        <w:t xml:space="preserve"> </w:t>
      </w:r>
      <w:r>
        <w:rPr>
          <w:rFonts w:ascii="Book Antiqua" w:hAnsi="Book Antiqua"/>
        </w:rPr>
        <w:t>for</w:t>
      </w:r>
      <w:r>
        <w:rPr>
          <w:rFonts w:ascii="Book Antiqua" w:hAnsi="Book Antiqua"/>
          <w:spacing w:val="-2"/>
        </w:rPr>
        <w:t xml:space="preserve"> </w:t>
      </w:r>
      <w:r>
        <w:rPr>
          <w:rFonts w:ascii="Book Antiqua" w:hAnsi="Book Antiqua"/>
        </w:rPr>
        <w:t>its</w:t>
      </w:r>
      <w:r>
        <w:rPr>
          <w:rFonts w:ascii="Book Antiqua" w:hAnsi="Book Antiqua"/>
          <w:spacing w:val="-4"/>
        </w:rPr>
        <w:t xml:space="preserve"> </w:t>
      </w:r>
      <w:r>
        <w:rPr>
          <w:rFonts w:ascii="Book Antiqua" w:hAnsi="Book Antiqua"/>
        </w:rPr>
        <w:t>DON</w:t>
      </w:r>
      <w:r>
        <w:rPr>
          <w:rFonts w:ascii="Book Antiqua" w:hAnsi="Book Antiqua"/>
          <w:spacing w:val="-2"/>
        </w:rPr>
        <w:t xml:space="preserve"> </w:t>
      </w:r>
      <w:r>
        <w:rPr>
          <w:rFonts w:ascii="Book Antiqua" w:hAnsi="Book Antiqua"/>
        </w:rPr>
        <w:t>application.</w:t>
      </w:r>
    </w:p>
    <w:p w:rsidR="00D862F2" w:rsidRDefault="00884FE4">
      <w:pPr>
        <w:ind w:left="220" w:right="320"/>
        <w:rPr>
          <w:rFonts w:ascii="Book Antiqua" w:hAnsi="Book Antiqua"/>
        </w:rPr>
      </w:pPr>
      <w:r>
        <w:rPr>
          <w:rFonts w:ascii="Book Antiqua" w:hAnsi="Book Antiqua"/>
        </w:rPr>
        <w:t>This includes pediatric behavioral health, gastroenterology, orthopedics/sports medicine,</w:t>
      </w:r>
      <w:r>
        <w:rPr>
          <w:rFonts w:ascii="Book Antiqua" w:hAnsi="Book Antiqua"/>
          <w:spacing w:val="1"/>
        </w:rPr>
        <w:t xml:space="preserve"> </w:t>
      </w:r>
      <w:r>
        <w:rPr>
          <w:rFonts w:ascii="Book Antiqua" w:hAnsi="Book Antiqua"/>
        </w:rPr>
        <w:t>ophthalmology, pediatric-focused operating rooms and related services and sleep.</w:t>
      </w:r>
      <w:r>
        <w:rPr>
          <w:rFonts w:ascii="Book Antiqua" w:hAnsi="Book Antiqua"/>
          <w:spacing w:val="1"/>
        </w:rPr>
        <w:t xml:space="preserve"> </w:t>
      </w:r>
      <w:r>
        <w:rPr>
          <w:rFonts w:ascii="Book Antiqua" w:hAnsi="Book Antiqua"/>
        </w:rPr>
        <w:t>Within each</w:t>
      </w:r>
      <w:r>
        <w:rPr>
          <w:rFonts w:ascii="Book Antiqua" w:hAnsi="Book Antiqua"/>
          <w:spacing w:val="-52"/>
        </w:rPr>
        <w:t xml:space="preserve"> </w:t>
      </w:r>
      <w:r>
        <w:rPr>
          <w:rFonts w:ascii="Book Antiqua" w:hAnsi="Book Antiqua"/>
        </w:rPr>
        <w:t>of these specialty areas, it is evident that children cannot be treated in any care setting due to</w:t>
      </w:r>
      <w:r>
        <w:rPr>
          <w:rFonts w:ascii="Book Antiqua" w:hAnsi="Book Antiqua"/>
          <w:spacing w:val="1"/>
        </w:rPr>
        <w:t xml:space="preserve"> </w:t>
      </w:r>
      <w:r>
        <w:rPr>
          <w:rFonts w:ascii="Book Antiqua" w:hAnsi="Book Antiqua"/>
        </w:rPr>
        <w:t>differing physical structures and growth patterns, challenges in voicing their medical concerns</w:t>
      </w:r>
      <w:r>
        <w:rPr>
          <w:rFonts w:ascii="Book Antiqua" w:hAnsi="Book Antiqua"/>
          <w:spacing w:val="1"/>
        </w:rPr>
        <w:t xml:space="preserve"> </w:t>
      </w:r>
      <w:r>
        <w:rPr>
          <w:rFonts w:ascii="Book Antiqua" w:hAnsi="Book Antiqua"/>
        </w:rPr>
        <w:t>and</w:t>
      </w:r>
      <w:r>
        <w:rPr>
          <w:rFonts w:ascii="Book Antiqua" w:hAnsi="Book Antiqua"/>
          <w:spacing w:val="-3"/>
        </w:rPr>
        <w:t xml:space="preserve"> </w:t>
      </w:r>
      <w:r>
        <w:rPr>
          <w:rFonts w:ascii="Book Antiqua" w:hAnsi="Book Antiqua"/>
        </w:rPr>
        <w:t>the</w:t>
      </w:r>
      <w:r>
        <w:rPr>
          <w:rFonts w:ascii="Book Antiqua" w:hAnsi="Book Antiqua"/>
          <w:spacing w:val="-1"/>
        </w:rPr>
        <w:t xml:space="preserve"> </w:t>
      </w:r>
      <w:r>
        <w:rPr>
          <w:rFonts w:ascii="Book Antiqua" w:hAnsi="Book Antiqua"/>
        </w:rPr>
        <w:t>need</w:t>
      </w:r>
      <w:r>
        <w:rPr>
          <w:rFonts w:ascii="Book Antiqua" w:hAnsi="Book Antiqua"/>
          <w:spacing w:val="-2"/>
        </w:rPr>
        <w:t xml:space="preserve"> </w:t>
      </w:r>
      <w:r>
        <w:rPr>
          <w:rFonts w:ascii="Book Antiqua" w:hAnsi="Book Antiqua"/>
        </w:rPr>
        <w:t>for</w:t>
      </w:r>
      <w:r>
        <w:rPr>
          <w:rFonts w:ascii="Book Antiqua" w:hAnsi="Book Antiqua"/>
          <w:spacing w:val="-2"/>
        </w:rPr>
        <w:t xml:space="preserve"> </w:t>
      </w:r>
      <w:r>
        <w:rPr>
          <w:rFonts w:ascii="Book Antiqua" w:hAnsi="Book Antiqua"/>
        </w:rPr>
        <w:t>specialized</w:t>
      </w:r>
      <w:r>
        <w:rPr>
          <w:rFonts w:ascii="Book Antiqua" w:hAnsi="Book Antiqua"/>
          <w:spacing w:val="-3"/>
        </w:rPr>
        <w:t xml:space="preserve"> </w:t>
      </w:r>
      <w:r>
        <w:rPr>
          <w:rFonts w:ascii="Book Antiqua" w:hAnsi="Book Antiqua"/>
        </w:rPr>
        <w:t>equipment</w:t>
      </w:r>
      <w:r>
        <w:rPr>
          <w:rFonts w:ascii="Book Antiqua" w:hAnsi="Book Antiqua"/>
          <w:spacing w:val="-1"/>
        </w:rPr>
        <w:t xml:space="preserve"> </w:t>
      </w:r>
      <w:r>
        <w:rPr>
          <w:rFonts w:ascii="Book Antiqua" w:hAnsi="Book Antiqua"/>
        </w:rPr>
        <w:t>and</w:t>
      </w:r>
      <w:r>
        <w:rPr>
          <w:rFonts w:ascii="Book Antiqua" w:hAnsi="Book Antiqua"/>
          <w:spacing w:val="-2"/>
        </w:rPr>
        <w:t xml:space="preserve"> </w:t>
      </w:r>
      <w:r>
        <w:rPr>
          <w:rFonts w:ascii="Book Antiqua" w:hAnsi="Book Antiqua"/>
        </w:rPr>
        <w:t>medication</w:t>
      </w:r>
      <w:r>
        <w:rPr>
          <w:rFonts w:ascii="Book Antiqua" w:hAnsi="Book Antiqua"/>
          <w:spacing w:val="-3"/>
        </w:rPr>
        <w:t xml:space="preserve"> </w:t>
      </w:r>
      <w:r>
        <w:rPr>
          <w:rFonts w:ascii="Book Antiqua" w:hAnsi="Book Antiqua"/>
        </w:rPr>
        <w:t>dosage.</w:t>
      </w:r>
      <w:r>
        <w:rPr>
          <w:rFonts w:ascii="Book Antiqua" w:hAnsi="Book Antiqua"/>
          <w:spacing w:val="50"/>
        </w:rPr>
        <w:t xml:space="preserve"> </w:t>
      </w:r>
      <w:r>
        <w:rPr>
          <w:rFonts w:ascii="Book Antiqua" w:hAnsi="Book Antiqua"/>
        </w:rPr>
        <w:t>As</w:t>
      </w:r>
      <w:r>
        <w:rPr>
          <w:rFonts w:ascii="Book Antiqua" w:hAnsi="Book Antiqua"/>
          <w:spacing w:val="-1"/>
        </w:rPr>
        <w:t xml:space="preserve"> </w:t>
      </w:r>
      <w:r>
        <w:rPr>
          <w:rFonts w:ascii="Book Antiqua" w:hAnsi="Book Antiqua"/>
        </w:rPr>
        <w:t>a</w:t>
      </w:r>
      <w:r>
        <w:rPr>
          <w:rFonts w:ascii="Book Antiqua" w:hAnsi="Book Antiqua"/>
          <w:spacing w:val="-1"/>
        </w:rPr>
        <w:t xml:space="preserve"> </w:t>
      </w:r>
      <w:r>
        <w:rPr>
          <w:rFonts w:ascii="Book Antiqua" w:hAnsi="Book Antiqua"/>
        </w:rPr>
        <w:t>result,</w:t>
      </w:r>
      <w:r>
        <w:rPr>
          <w:rFonts w:ascii="Book Antiqua" w:hAnsi="Book Antiqua"/>
          <w:spacing w:val="-1"/>
        </w:rPr>
        <w:t xml:space="preserve"> </w:t>
      </w:r>
      <w:r>
        <w:rPr>
          <w:rFonts w:ascii="Book Antiqua" w:hAnsi="Book Antiqua"/>
        </w:rPr>
        <w:t>Boston</w:t>
      </w:r>
      <w:r>
        <w:rPr>
          <w:rFonts w:ascii="Book Antiqua" w:hAnsi="Book Antiqua"/>
          <w:spacing w:val="-1"/>
        </w:rPr>
        <w:t xml:space="preserve"> </w:t>
      </w:r>
      <w:r>
        <w:rPr>
          <w:rFonts w:ascii="Book Antiqua" w:hAnsi="Book Antiqua"/>
        </w:rPr>
        <w:t>Children’s</w:t>
      </w:r>
    </w:p>
    <w:p w:rsidR="00D862F2" w:rsidRDefault="00884FE4">
      <w:pPr>
        <w:spacing w:before="1"/>
        <w:ind w:left="220" w:right="875"/>
        <w:rPr>
          <w:rFonts w:ascii="Book Antiqua" w:hAnsi="Book Antiqua"/>
        </w:rPr>
      </w:pPr>
      <w:r>
        <w:rPr>
          <w:rFonts w:ascii="Book Antiqua" w:hAnsi="Book Antiqua"/>
        </w:rPr>
        <w:t>– a dedicated pediatric-focused organization – should reasonably be considered a credible</w:t>
      </w:r>
      <w:r>
        <w:rPr>
          <w:rFonts w:ascii="Book Antiqua" w:hAnsi="Book Antiqua"/>
          <w:spacing w:val="-52"/>
        </w:rPr>
        <w:t xml:space="preserve"> </w:t>
      </w:r>
      <w:r>
        <w:rPr>
          <w:rFonts w:ascii="Book Antiqua" w:hAnsi="Book Antiqua"/>
        </w:rPr>
        <w:t>expert</w:t>
      </w:r>
      <w:r>
        <w:rPr>
          <w:rFonts w:ascii="Book Antiqua" w:hAnsi="Book Antiqua"/>
          <w:spacing w:val="-1"/>
        </w:rPr>
        <w:t xml:space="preserve"> </w:t>
      </w:r>
      <w:r>
        <w:rPr>
          <w:rFonts w:ascii="Book Antiqua" w:hAnsi="Book Antiqua"/>
        </w:rPr>
        <w:t>on</w:t>
      </w:r>
      <w:r>
        <w:rPr>
          <w:rFonts w:ascii="Book Antiqua" w:hAnsi="Book Antiqua"/>
          <w:spacing w:val="1"/>
        </w:rPr>
        <w:t xml:space="preserve"> </w:t>
      </w:r>
      <w:r>
        <w:rPr>
          <w:rFonts w:ascii="Book Antiqua" w:hAnsi="Book Antiqua"/>
        </w:rPr>
        <w:t>the</w:t>
      </w:r>
      <w:r>
        <w:rPr>
          <w:rFonts w:ascii="Book Antiqua" w:hAnsi="Book Antiqua"/>
          <w:spacing w:val="-3"/>
        </w:rPr>
        <w:t xml:space="preserve"> </w:t>
      </w:r>
      <w:r>
        <w:rPr>
          <w:rFonts w:ascii="Book Antiqua" w:hAnsi="Book Antiqua"/>
        </w:rPr>
        <w:t>needs of</w:t>
      </w:r>
      <w:r>
        <w:rPr>
          <w:rFonts w:ascii="Book Antiqua" w:hAnsi="Book Antiqua"/>
          <w:spacing w:val="1"/>
        </w:rPr>
        <w:t xml:space="preserve"> </w:t>
      </w:r>
      <w:r>
        <w:rPr>
          <w:rFonts w:ascii="Book Antiqua" w:hAnsi="Book Antiqua"/>
        </w:rPr>
        <w:t>the population</w:t>
      </w:r>
      <w:r>
        <w:rPr>
          <w:rFonts w:ascii="Book Antiqua" w:hAnsi="Book Antiqua"/>
          <w:spacing w:val="-2"/>
        </w:rPr>
        <w:t xml:space="preserve"> </w:t>
      </w:r>
      <w:r>
        <w:rPr>
          <w:rFonts w:ascii="Book Antiqua" w:hAnsi="Book Antiqua"/>
        </w:rPr>
        <w:t>it</w:t>
      </w:r>
      <w:r>
        <w:rPr>
          <w:rFonts w:ascii="Book Antiqua" w:hAnsi="Book Antiqua"/>
          <w:spacing w:val="-1"/>
        </w:rPr>
        <w:t xml:space="preserve"> </w:t>
      </w:r>
      <w:r>
        <w:rPr>
          <w:rFonts w:ascii="Book Antiqua" w:hAnsi="Book Antiqua"/>
        </w:rPr>
        <w:t>serves.</w:t>
      </w: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337703">
      <w:pPr>
        <w:pStyle w:val="BodyText"/>
        <w:spacing w:before="3"/>
        <w:rPr>
          <w:rFonts w:ascii="Book Antiqua"/>
          <w:sz w:val="22"/>
        </w:rPr>
      </w:pPr>
      <w:r>
        <w:rPr>
          <w:noProof/>
        </w:rPr>
        <mc:AlternateContent>
          <mc:Choice Requires="wps">
            <w:drawing>
              <wp:anchor distT="0" distB="0" distL="0" distR="0" simplePos="0" relativeHeight="487593984" behindDoc="1" locked="0" layoutInCell="1" allowOverlap="1">
                <wp:simplePos x="0" y="0"/>
                <wp:positionH relativeFrom="page">
                  <wp:posOffset>914400</wp:posOffset>
                </wp:positionH>
                <wp:positionV relativeFrom="paragraph">
                  <wp:posOffset>191135</wp:posOffset>
                </wp:positionV>
                <wp:extent cx="5943600" cy="7620"/>
                <wp:effectExtent l="0" t="0" r="0" b="11430"/>
                <wp:wrapTopAndBottom/>
                <wp:docPr id="17" name="docshape15"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92DF2" id="docshape15" o:spid="_x0000_s1026" alt="Title: Division Line - Description: Division Line between the main content and the footnotes" style="position:absolute;margin-left:1in;margin-top:15.05pt;width:468pt;height:.6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" fillcolor="black" stroked="f">
                <w10:wrap type="topAndBottom" anchorx="page"/>
              </v:rect>
            </w:pict>
          </mc:Fallback>
        </mc:AlternateContent>
      </w:r>
    </w:p>
    <w:p w:rsidR="00D862F2" w:rsidRDefault="00884FE4">
      <w:pPr>
        <w:spacing w:before="110"/>
        <w:ind w:left="220" w:right="320"/>
        <w:rPr>
          <w:rFonts w:ascii="Book Antiqua" w:hAnsi="Book Antiqua"/>
          <w:sz w:val="20"/>
        </w:rPr>
      </w:pPr>
      <w:r>
        <w:rPr>
          <w:rFonts w:ascii="Book Antiqua" w:hAnsi="Book Antiqua"/>
          <w:position w:val="5"/>
          <w:sz w:val="13"/>
        </w:rPr>
        <w:t xml:space="preserve">19 </w:t>
      </w:r>
      <w:r>
        <w:rPr>
          <w:rFonts w:ascii="Book Antiqua" w:hAnsi="Book Antiqua"/>
          <w:sz w:val="20"/>
        </w:rPr>
        <w:t>Franca, U.L. and McManus, M.L.</w:t>
      </w:r>
      <w:r>
        <w:rPr>
          <w:rFonts w:ascii="Book Antiqua" w:hAnsi="Book Antiqua"/>
          <w:spacing w:val="1"/>
          <w:sz w:val="20"/>
        </w:rPr>
        <w:t xml:space="preserve"> </w:t>
      </w:r>
      <w:r>
        <w:rPr>
          <w:rFonts w:ascii="Book Antiqua" w:hAnsi="Book Antiqua"/>
          <w:sz w:val="20"/>
        </w:rPr>
        <w:t>(2018).</w:t>
      </w:r>
      <w:r>
        <w:rPr>
          <w:rFonts w:ascii="Book Antiqua" w:hAnsi="Book Antiqua"/>
          <w:spacing w:val="1"/>
          <w:sz w:val="20"/>
        </w:rPr>
        <w:t xml:space="preserve"> </w:t>
      </w:r>
      <w:r>
        <w:rPr>
          <w:rFonts w:ascii="Book Antiqua" w:hAnsi="Book Antiqua"/>
          <w:sz w:val="20"/>
        </w:rPr>
        <w:t>“Trends in Regionalization of Hospital Care for Common</w:t>
      </w:r>
      <w:r>
        <w:rPr>
          <w:rFonts w:ascii="Book Antiqua" w:hAnsi="Book Antiqua"/>
          <w:spacing w:val="-47"/>
          <w:sz w:val="20"/>
        </w:rPr>
        <w:t xml:space="preserve"> </w:t>
      </w:r>
      <w:r>
        <w:rPr>
          <w:rFonts w:ascii="Book Antiqua" w:hAnsi="Book Antiqua"/>
          <w:sz w:val="20"/>
        </w:rPr>
        <w:t>Pediatric</w:t>
      </w:r>
      <w:r>
        <w:rPr>
          <w:rFonts w:ascii="Book Antiqua" w:hAnsi="Book Antiqua"/>
          <w:spacing w:val="-1"/>
          <w:sz w:val="20"/>
        </w:rPr>
        <w:t xml:space="preserve"> </w:t>
      </w:r>
      <w:r>
        <w:rPr>
          <w:rFonts w:ascii="Book Antiqua" w:hAnsi="Book Antiqua"/>
          <w:sz w:val="20"/>
        </w:rPr>
        <w:t>Conditions.”</w:t>
      </w:r>
      <w:r>
        <w:rPr>
          <w:rFonts w:ascii="Book Antiqua" w:hAnsi="Book Antiqua"/>
          <w:spacing w:val="1"/>
          <w:sz w:val="20"/>
        </w:rPr>
        <w:t xml:space="preserve"> </w:t>
      </w:r>
      <w:r>
        <w:rPr>
          <w:rFonts w:ascii="Book Antiqua" w:hAnsi="Book Antiqua"/>
          <w:i/>
          <w:sz w:val="20"/>
        </w:rPr>
        <w:t>Pediatrics</w:t>
      </w:r>
      <w:r>
        <w:rPr>
          <w:rFonts w:ascii="Book Antiqua" w:hAnsi="Book Antiqua"/>
          <w:sz w:val="20"/>
        </w:rPr>
        <w:t>, 141(1).</w:t>
      </w:r>
      <w:r>
        <w:rPr>
          <w:rFonts w:ascii="Book Antiqua" w:hAnsi="Book Antiqua"/>
          <w:spacing w:val="49"/>
          <w:sz w:val="20"/>
        </w:rPr>
        <w:t xml:space="preserve"> </w:t>
      </w:r>
      <w:hyperlink r:id="rId26">
        <w:r>
          <w:rPr>
            <w:rFonts w:ascii="Book Antiqua" w:hAnsi="Book Antiqua"/>
            <w:color w:val="0000FF"/>
            <w:sz w:val="20"/>
            <w:u w:val="single" w:color="0000FF"/>
          </w:rPr>
          <w:t>https://doi.org/10.1542/peds.2017-1940</w:t>
        </w:r>
        <w:r>
          <w:rPr>
            <w:rFonts w:ascii="Book Antiqua" w:hAnsi="Book Antiqua"/>
            <w:sz w:val="20"/>
          </w:rPr>
          <w:t>.</w:t>
        </w:r>
      </w:hyperlink>
    </w:p>
    <w:p w:rsidR="00D862F2" w:rsidRDefault="00884FE4">
      <w:pPr>
        <w:ind w:left="219" w:right="380"/>
        <w:rPr>
          <w:rFonts w:ascii="Book Antiqua" w:hAnsi="Book Antiqua"/>
          <w:sz w:val="20"/>
        </w:rPr>
      </w:pPr>
      <w:bookmarkStart w:id="20" w:name="_bookmark19"/>
      <w:bookmarkEnd w:id="20"/>
      <w:r>
        <w:rPr>
          <w:rFonts w:ascii="Book Antiqua" w:hAnsi="Book Antiqua"/>
          <w:position w:val="5"/>
          <w:sz w:val="13"/>
        </w:rPr>
        <w:t>20</w:t>
      </w:r>
      <w:r>
        <w:rPr>
          <w:rFonts w:ascii="Book Antiqua" w:hAnsi="Book Antiqua"/>
          <w:spacing w:val="1"/>
          <w:position w:val="5"/>
          <w:sz w:val="13"/>
        </w:rPr>
        <w:t xml:space="preserve"> </w:t>
      </w:r>
      <w:r>
        <w:rPr>
          <w:rFonts w:ascii="Book Antiqua" w:hAnsi="Book Antiqua"/>
          <w:sz w:val="20"/>
        </w:rPr>
        <w:t>Liptak, G.S., Burns, C.M. and Davidson, P.W.</w:t>
      </w:r>
      <w:r>
        <w:rPr>
          <w:rFonts w:ascii="Book Antiqua" w:hAnsi="Book Antiqua"/>
          <w:spacing w:val="1"/>
          <w:sz w:val="20"/>
        </w:rPr>
        <w:t xml:space="preserve"> </w:t>
      </w:r>
      <w:r>
        <w:rPr>
          <w:rFonts w:ascii="Book Antiqua" w:hAnsi="Book Antiqua"/>
          <w:sz w:val="20"/>
        </w:rPr>
        <w:t>(1998).</w:t>
      </w:r>
      <w:r>
        <w:rPr>
          <w:rFonts w:ascii="Book Antiqua" w:hAnsi="Book Antiqua"/>
          <w:spacing w:val="50"/>
          <w:sz w:val="20"/>
        </w:rPr>
        <w:t xml:space="preserve"> </w:t>
      </w:r>
      <w:r>
        <w:rPr>
          <w:rFonts w:ascii="Book Antiqua" w:hAnsi="Book Antiqua"/>
          <w:sz w:val="20"/>
        </w:rPr>
        <w:t>“Effects of Providing Comprehensive</w:t>
      </w:r>
      <w:r>
        <w:rPr>
          <w:rFonts w:ascii="Book Antiqua" w:hAnsi="Book Antiqua"/>
          <w:spacing w:val="1"/>
          <w:sz w:val="20"/>
        </w:rPr>
        <w:t xml:space="preserve"> </w:t>
      </w:r>
      <w:r>
        <w:rPr>
          <w:rFonts w:ascii="Book Antiqua" w:hAnsi="Book Antiqua"/>
          <w:sz w:val="20"/>
        </w:rPr>
        <w:t>Ambulatory</w:t>
      </w:r>
      <w:r>
        <w:rPr>
          <w:rFonts w:ascii="Book Antiqua" w:hAnsi="Book Antiqua"/>
          <w:spacing w:val="-4"/>
          <w:sz w:val="20"/>
        </w:rPr>
        <w:t xml:space="preserve"> </w:t>
      </w:r>
      <w:r>
        <w:rPr>
          <w:rFonts w:ascii="Book Antiqua" w:hAnsi="Book Antiqua"/>
          <w:sz w:val="20"/>
        </w:rPr>
        <w:t>Services</w:t>
      </w:r>
      <w:r>
        <w:rPr>
          <w:rFonts w:ascii="Book Antiqua" w:hAnsi="Book Antiqua"/>
          <w:spacing w:val="-4"/>
          <w:sz w:val="20"/>
        </w:rPr>
        <w:t xml:space="preserve"> </w:t>
      </w:r>
      <w:r>
        <w:rPr>
          <w:rFonts w:ascii="Book Antiqua" w:hAnsi="Book Antiqua"/>
          <w:sz w:val="20"/>
        </w:rPr>
        <w:t>to</w:t>
      </w:r>
      <w:r>
        <w:rPr>
          <w:rFonts w:ascii="Book Antiqua" w:hAnsi="Book Antiqua"/>
          <w:spacing w:val="-5"/>
          <w:sz w:val="20"/>
        </w:rPr>
        <w:t xml:space="preserve"> </w:t>
      </w:r>
      <w:r>
        <w:rPr>
          <w:rFonts w:ascii="Book Antiqua" w:hAnsi="Book Antiqua"/>
          <w:sz w:val="20"/>
        </w:rPr>
        <w:t>Children</w:t>
      </w:r>
      <w:r>
        <w:rPr>
          <w:rFonts w:ascii="Book Antiqua" w:hAnsi="Book Antiqua"/>
          <w:spacing w:val="-4"/>
          <w:sz w:val="20"/>
        </w:rPr>
        <w:t xml:space="preserve"> </w:t>
      </w:r>
      <w:r>
        <w:rPr>
          <w:rFonts w:ascii="Book Antiqua" w:hAnsi="Book Antiqua"/>
          <w:sz w:val="20"/>
        </w:rPr>
        <w:t>with</w:t>
      </w:r>
      <w:r>
        <w:rPr>
          <w:rFonts w:ascii="Book Antiqua" w:hAnsi="Book Antiqua"/>
          <w:spacing w:val="-4"/>
          <w:sz w:val="20"/>
        </w:rPr>
        <w:t xml:space="preserve"> </w:t>
      </w:r>
      <w:r>
        <w:rPr>
          <w:rFonts w:ascii="Book Antiqua" w:hAnsi="Book Antiqua"/>
          <w:sz w:val="20"/>
        </w:rPr>
        <w:t>Chronic</w:t>
      </w:r>
      <w:r>
        <w:rPr>
          <w:rFonts w:ascii="Book Antiqua" w:hAnsi="Book Antiqua"/>
          <w:spacing w:val="-4"/>
          <w:sz w:val="20"/>
        </w:rPr>
        <w:t xml:space="preserve"> </w:t>
      </w:r>
      <w:r>
        <w:rPr>
          <w:rFonts w:ascii="Book Antiqua" w:hAnsi="Book Antiqua"/>
          <w:sz w:val="20"/>
        </w:rPr>
        <w:t>Conditions.”</w:t>
      </w:r>
      <w:r>
        <w:rPr>
          <w:rFonts w:ascii="Book Antiqua" w:hAnsi="Book Antiqua"/>
          <w:spacing w:val="-2"/>
          <w:sz w:val="20"/>
        </w:rPr>
        <w:t xml:space="preserve"> </w:t>
      </w:r>
      <w:r>
        <w:rPr>
          <w:rFonts w:ascii="Book Antiqua" w:hAnsi="Book Antiqua"/>
          <w:i/>
          <w:sz w:val="20"/>
        </w:rPr>
        <w:t>Archives</w:t>
      </w:r>
      <w:r>
        <w:rPr>
          <w:rFonts w:ascii="Book Antiqua" w:hAnsi="Book Antiqua"/>
          <w:i/>
          <w:spacing w:val="-4"/>
          <w:sz w:val="20"/>
        </w:rPr>
        <w:t xml:space="preserve"> </w:t>
      </w:r>
      <w:r>
        <w:rPr>
          <w:rFonts w:ascii="Book Antiqua" w:hAnsi="Book Antiqua"/>
          <w:i/>
          <w:sz w:val="20"/>
        </w:rPr>
        <w:t>of</w:t>
      </w:r>
      <w:r>
        <w:rPr>
          <w:rFonts w:ascii="Book Antiqua" w:hAnsi="Book Antiqua"/>
          <w:i/>
          <w:spacing w:val="-4"/>
          <w:sz w:val="20"/>
        </w:rPr>
        <w:t xml:space="preserve"> </w:t>
      </w:r>
      <w:r>
        <w:rPr>
          <w:rFonts w:ascii="Book Antiqua" w:hAnsi="Book Antiqua"/>
          <w:i/>
          <w:sz w:val="20"/>
        </w:rPr>
        <w:t>Pediatrics</w:t>
      </w:r>
      <w:r>
        <w:rPr>
          <w:rFonts w:ascii="Book Antiqua" w:hAnsi="Book Antiqua"/>
          <w:i/>
          <w:spacing w:val="-4"/>
          <w:sz w:val="20"/>
        </w:rPr>
        <w:t xml:space="preserve"> </w:t>
      </w:r>
      <w:r>
        <w:rPr>
          <w:rFonts w:ascii="Book Antiqua" w:hAnsi="Book Antiqua"/>
          <w:i/>
          <w:sz w:val="20"/>
        </w:rPr>
        <w:t>and</w:t>
      </w:r>
      <w:r>
        <w:rPr>
          <w:rFonts w:ascii="Book Antiqua" w:hAnsi="Book Antiqua"/>
          <w:i/>
          <w:spacing w:val="-2"/>
          <w:sz w:val="20"/>
        </w:rPr>
        <w:t xml:space="preserve"> </w:t>
      </w:r>
      <w:r>
        <w:rPr>
          <w:rFonts w:ascii="Book Antiqua" w:hAnsi="Book Antiqua"/>
          <w:i/>
          <w:sz w:val="20"/>
        </w:rPr>
        <w:t>Adolescent</w:t>
      </w:r>
      <w:r>
        <w:rPr>
          <w:rFonts w:ascii="Book Antiqua" w:hAnsi="Book Antiqua"/>
          <w:i/>
          <w:spacing w:val="-1"/>
          <w:sz w:val="20"/>
        </w:rPr>
        <w:t xml:space="preserve"> </w:t>
      </w:r>
      <w:r>
        <w:rPr>
          <w:rFonts w:ascii="Book Antiqua" w:hAnsi="Book Antiqua"/>
          <w:i/>
          <w:sz w:val="20"/>
        </w:rPr>
        <w:t>Medicine,</w:t>
      </w:r>
      <w:r>
        <w:rPr>
          <w:rFonts w:ascii="Book Antiqua" w:hAnsi="Book Antiqua"/>
          <w:i/>
          <w:spacing w:val="-47"/>
          <w:sz w:val="20"/>
        </w:rPr>
        <w:t xml:space="preserve"> </w:t>
      </w:r>
      <w:bookmarkStart w:id="21" w:name="_bookmark20"/>
      <w:bookmarkEnd w:id="21"/>
      <w:r>
        <w:rPr>
          <w:rFonts w:ascii="Book Antiqua" w:hAnsi="Book Antiqua"/>
          <w:i/>
          <w:sz w:val="20"/>
        </w:rPr>
        <w:t>152(10):1003-1008</w:t>
      </w:r>
      <w:r>
        <w:rPr>
          <w:rFonts w:ascii="Book Antiqua" w:hAnsi="Book Antiqua"/>
          <w:sz w:val="20"/>
        </w:rPr>
        <w:t>.</w:t>
      </w:r>
      <w:r>
        <w:rPr>
          <w:rFonts w:ascii="Book Antiqua" w:hAnsi="Book Antiqua"/>
          <w:spacing w:val="48"/>
          <w:sz w:val="20"/>
        </w:rPr>
        <w:t xml:space="preserve"> </w:t>
      </w:r>
      <w:hyperlink r:id="rId27">
        <w:r>
          <w:rPr>
            <w:rFonts w:ascii="Book Antiqua" w:hAnsi="Book Antiqua"/>
            <w:color w:val="0000FF"/>
            <w:sz w:val="20"/>
            <w:u w:val="single" w:color="0000FF"/>
          </w:rPr>
          <w:t>https://doi.org/10.1001/archpedi.152.10.1003</w:t>
        </w:r>
        <w:r>
          <w:rPr>
            <w:rFonts w:ascii="Book Antiqua" w:hAnsi="Book Antiqua"/>
            <w:sz w:val="20"/>
          </w:rPr>
          <w:t>.</w:t>
        </w:r>
      </w:hyperlink>
    </w:p>
    <w:p w:rsidR="00D862F2" w:rsidRDefault="00884FE4">
      <w:pPr>
        <w:spacing w:before="1"/>
        <w:ind w:left="219" w:right="353"/>
        <w:rPr>
          <w:rFonts w:ascii="Book Antiqua" w:hAnsi="Book Antiqua"/>
          <w:sz w:val="20"/>
        </w:rPr>
      </w:pPr>
      <w:r>
        <w:rPr>
          <w:rFonts w:ascii="Book Antiqua" w:hAnsi="Book Antiqua"/>
          <w:position w:val="5"/>
          <w:sz w:val="13"/>
        </w:rPr>
        <w:t xml:space="preserve">21 </w:t>
      </w:r>
      <w:r>
        <w:rPr>
          <w:rFonts w:ascii="Book Antiqua" w:hAnsi="Book Antiqua"/>
          <w:sz w:val="20"/>
        </w:rPr>
        <w:t>Glied, S. and Cuellar, A.E.</w:t>
      </w:r>
      <w:r>
        <w:rPr>
          <w:rFonts w:ascii="Book Antiqua" w:hAnsi="Book Antiqua"/>
          <w:spacing w:val="1"/>
          <w:sz w:val="20"/>
        </w:rPr>
        <w:t xml:space="preserve"> </w:t>
      </w:r>
      <w:r>
        <w:rPr>
          <w:rFonts w:ascii="Book Antiqua" w:hAnsi="Book Antiqua"/>
          <w:sz w:val="20"/>
        </w:rPr>
        <w:t>(2003).</w:t>
      </w:r>
      <w:r>
        <w:rPr>
          <w:rFonts w:ascii="Book Antiqua" w:hAnsi="Book Antiqua"/>
          <w:spacing w:val="1"/>
          <w:sz w:val="20"/>
        </w:rPr>
        <w:t xml:space="preserve"> </w:t>
      </w:r>
      <w:r>
        <w:rPr>
          <w:rFonts w:ascii="Book Antiqua" w:hAnsi="Book Antiqua"/>
          <w:sz w:val="20"/>
        </w:rPr>
        <w:t>“Trends and Issues in Child and Adolescent Mental Health.”</w:t>
      </w:r>
      <w:r>
        <w:rPr>
          <w:rFonts w:ascii="Book Antiqua" w:hAnsi="Book Antiqua"/>
          <w:spacing w:val="1"/>
          <w:sz w:val="20"/>
        </w:rPr>
        <w:t xml:space="preserve"> </w:t>
      </w:r>
      <w:r>
        <w:rPr>
          <w:rFonts w:ascii="Book Antiqua" w:hAnsi="Book Antiqua"/>
          <w:i/>
          <w:sz w:val="20"/>
        </w:rPr>
        <w:t>Health</w:t>
      </w:r>
      <w:r>
        <w:rPr>
          <w:rFonts w:ascii="Book Antiqua" w:hAnsi="Book Antiqua"/>
          <w:i/>
          <w:spacing w:val="-47"/>
          <w:sz w:val="20"/>
        </w:rPr>
        <w:t xml:space="preserve"> </w:t>
      </w:r>
      <w:r>
        <w:rPr>
          <w:rFonts w:ascii="Book Antiqua" w:hAnsi="Book Antiqua"/>
          <w:i/>
          <w:sz w:val="20"/>
        </w:rPr>
        <w:t>Affairs, 22(5)</w:t>
      </w:r>
      <w:r>
        <w:rPr>
          <w:rFonts w:ascii="Book Antiqua" w:hAnsi="Book Antiqua"/>
          <w:sz w:val="20"/>
        </w:rPr>
        <w:t>.</w:t>
      </w:r>
      <w:r>
        <w:rPr>
          <w:rFonts w:ascii="Book Antiqua" w:hAnsi="Book Antiqua"/>
          <w:spacing w:val="49"/>
          <w:sz w:val="20"/>
        </w:rPr>
        <w:t xml:space="preserve"> </w:t>
      </w:r>
      <w:hyperlink r:id="rId28">
        <w:r>
          <w:rPr>
            <w:rFonts w:ascii="Book Antiqua" w:hAnsi="Book Antiqua"/>
            <w:color w:val="0000FF"/>
            <w:sz w:val="20"/>
            <w:u w:val="single" w:color="0000FF"/>
          </w:rPr>
          <w:t>https://doi.org/10.1377/hlthaff.22.5.39</w:t>
        </w:r>
        <w:r>
          <w:rPr>
            <w:rFonts w:ascii="Book Antiqua" w:hAnsi="Book Antiqua"/>
            <w:sz w:val="20"/>
          </w:rPr>
          <w:t>.</w:t>
        </w:r>
      </w:hyperlink>
    </w:p>
    <w:p w:rsidR="00D862F2" w:rsidRDefault="00884FE4">
      <w:pPr>
        <w:spacing w:line="248" w:lineRule="exact"/>
        <w:ind w:left="220"/>
        <w:rPr>
          <w:rFonts w:ascii="Book Antiqua"/>
          <w:i/>
          <w:sz w:val="20"/>
        </w:rPr>
      </w:pPr>
      <w:bookmarkStart w:id="22" w:name="_bookmark21"/>
      <w:bookmarkEnd w:id="22"/>
      <w:r>
        <w:rPr>
          <w:rFonts w:ascii="Book Antiqua"/>
          <w:position w:val="5"/>
          <w:sz w:val="13"/>
        </w:rPr>
        <w:t>22</w:t>
      </w:r>
      <w:r>
        <w:rPr>
          <w:rFonts w:ascii="Book Antiqua"/>
          <w:spacing w:val="15"/>
          <w:position w:val="5"/>
          <w:sz w:val="13"/>
        </w:rPr>
        <w:t xml:space="preserve"> </w:t>
      </w:r>
      <w:r>
        <w:rPr>
          <w:rFonts w:ascii="Book Antiqua"/>
          <w:sz w:val="20"/>
        </w:rPr>
        <w:t>Franca</w:t>
      </w:r>
      <w:r>
        <w:rPr>
          <w:rFonts w:ascii="Book Antiqua"/>
          <w:spacing w:val="-2"/>
          <w:sz w:val="20"/>
        </w:rPr>
        <w:t xml:space="preserve"> </w:t>
      </w:r>
      <w:r>
        <w:rPr>
          <w:rFonts w:ascii="Book Antiqua"/>
          <w:sz w:val="20"/>
        </w:rPr>
        <w:t>and</w:t>
      </w:r>
      <w:r>
        <w:rPr>
          <w:rFonts w:ascii="Book Antiqua"/>
          <w:spacing w:val="-1"/>
          <w:sz w:val="20"/>
        </w:rPr>
        <w:t xml:space="preserve"> </w:t>
      </w:r>
      <w:r>
        <w:rPr>
          <w:rFonts w:ascii="Book Antiqua"/>
          <w:sz w:val="20"/>
        </w:rPr>
        <w:t>McManus</w:t>
      </w:r>
      <w:r>
        <w:rPr>
          <w:rFonts w:ascii="Book Antiqua"/>
          <w:spacing w:val="-3"/>
          <w:sz w:val="20"/>
        </w:rPr>
        <w:t xml:space="preserve"> </w:t>
      </w:r>
      <w:r>
        <w:rPr>
          <w:rFonts w:ascii="Book Antiqua"/>
          <w:sz w:val="20"/>
        </w:rPr>
        <w:t>(2018),</w:t>
      </w:r>
      <w:r>
        <w:rPr>
          <w:rFonts w:ascii="Book Antiqua"/>
          <w:spacing w:val="-1"/>
          <w:sz w:val="20"/>
        </w:rPr>
        <w:t xml:space="preserve"> </w:t>
      </w:r>
      <w:r>
        <w:rPr>
          <w:rFonts w:ascii="Book Antiqua"/>
          <w:i/>
          <w:sz w:val="20"/>
        </w:rPr>
        <w:t>op</w:t>
      </w:r>
      <w:r>
        <w:rPr>
          <w:rFonts w:ascii="Book Antiqua"/>
          <w:i/>
          <w:spacing w:val="-2"/>
          <w:sz w:val="20"/>
        </w:rPr>
        <w:t xml:space="preserve"> </w:t>
      </w:r>
      <w:r>
        <w:rPr>
          <w:rFonts w:ascii="Book Antiqua"/>
          <w:i/>
          <w:sz w:val="20"/>
        </w:rPr>
        <w:t>cit.</w:t>
      </w:r>
    </w:p>
    <w:p w:rsidR="00D862F2" w:rsidRDefault="00884FE4">
      <w:pPr>
        <w:spacing w:before="1" w:line="248" w:lineRule="exact"/>
        <w:ind w:left="220"/>
        <w:rPr>
          <w:rFonts w:ascii="Book Antiqua" w:hAnsi="Book Antiqua"/>
          <w:sz w:val="20"/>
        </w:rPr>
      </w:pPr>
      <w:bookmarkStart w:id="23" w:name="_bookmark22"/>
      <w:bookmarkEnd w:id="23"/>
      <w:r>
        <w:rPr>
          <w:rFonts w:ascii="Book Antiqua" w:hAnsi="Book Antiqua"/>
          <w:position w:val="5"/>
          <w:sz w:val="13"/>
        </w:rPr>
        <w:t>23</w:t>
      </w:r>
      <w:r>
        <w:rPr>
          <w:rFonts w:ascii="Book Antiqua" w:hAnsi="Book Antiqua"/>
          <w:spacing w:val="14"/>
          <w:position w:val="5"/>
          <w:sz w:val="13"/>
        </w:rPr>
        <w:t xml:space="preserve"> </w:t>
      </w:r>
      <w:r>
        <w:rPr>
          <w:rFonts w:ascii="Book Antiqua" w:hAnsi="Book Antiqua"/>
          <w:sz w:val="20"/>
        </w:rPr>
        <w:t>Boston</w:t>
      </w:r>
      <w:r>
        <w:rPr>
          <w:rFonts w:ascii="Book Antiqua" w:hAnsi="Book Antiqua"/>
          <w:spacing w:val="-4"/>
          <w:sz w:val="20"/>
        </w:rPr>
        <w:t xml:space="preserve"> </w:t>
      </w:r>
      <w:r>
        <w:rPr>
          <w:rFonts w:ascii="Book Antiqua" w:hAnsi="Book Antiqua"/>
          <w:sz w:val="20"/>
        </w:rPr>
        <w:t>Children’s</w:t>
      </w:r>
      <w:r>
        <w:rPr>
          <w:rFonts w:ascii="Book Antiqua" w:hAnsi="Book Antiqua"/>
          <w:spacing w:val="-1"/>
          <w:sz w:val="20"/>
        </w:rPr>
        <w:t xml:space="preserve"> </w:t>
      </w:r>
      <w:r>
        <w:rPr>
          <w:rFonts w:ascii="Book Antiqua" w:hAnsi="Book Antiqua"/>
          <w:sz w:val="20"/>
        </w:rPr>
        <w:t>Hospital</w:t>
      </w:r>
      <w:r>
        <w:rPr>
          <w:rFonts w:ascii="Book Antiqua" w:hAnsi="Book Antiqua"/>
          <w:spacing w:val="-1"/>
          <w:sz w:val="20"/>
        </w:rPr>
        <w:t xml:space="preserve"> </w:t>
      </w:r>
      <w:r>
        <w:rPr>
          <w:rFonts w:ascii="Book Antiqua" w:hAnsi="Book Antiqua"/>
          <w:sz w:val="20"/>
        </w:rPr>
        <w:t>Community</w:t>
      </w:r>
      <w:r>
        <w:rPr>
          <w:rFonts w:ascii="Book Antiqua" w:hAnsi="Book Antiqua"/>
          <w:spacing w:val="-4"/>
          <w:sz w:val="20"/>
        </w:rPr>
        <w:t xml:space="preserve"> </w:t>
      </w:r>
      <w:r>
        <w:rPr>
          <w:rFonts w:ascii="Book Antiqua" w:hAnsi="Book Antiqua"/>
          <w:sz w:val="20"/>
        </w:rPr>
        <w:t>of</w:t>
      </w:r>
      <w:r>
        <w:rPr>
          <w:rFonts w:ascii="Book Antiqua" w:hAnsi="Book Antiqua"/>
          <w:spacing w:val="-2"/>
          <w:sz w:val="20"/>
        </w:rPr>
        <w:t xml:space="preserve"> </w:t>
      </w:r>
      <w:r>
        <w:rPr>
          <w:rFonts w:ascii="Book Antiqua" w:hAnsi="Book Antiqua"/>
          <w:sz w:val="20"/>
        </w:rPr>
        <w:t>Care</w:t>
      </w:r>
      <w:r>
        <w:rPr>
          <w:rFonts w:ascii="Book Antiqua" w:hAnsi="Book Antiqua"/>
          <w:spacing w:val="-2"/>
          <w:sz w:val="20"/>
        </w:rPr>
        <w:t xml:space="preserve"> </w:t>
      </w:r>
      <w:r>
        <w:rPr>
          <w:rFonts w:ascii="Book Antiqua" w:hAnsi="Book Antiqua"/>
          <w:sz w:val="20"/>
        </w:rPr>
        <w:t>Analysis,</w:t>
      </w:r>
      <w:r>
        <w:rPr>
          <w:rFonts w:ascii="Book Antiqua" w:hAnsi="Book Antiqua"/>
          <w:spacing w:val="-1"/>
          <w:sz w:val="20"/>
        </w:rPr>
        <w:t xml:space="preserve"> </w:t>
      </w:r>
      <w:r>
        <w:rPr>
          <w:rFonts w:ascii="Book Antiqua" w:hAnsi="Book Antiqua"/>
          <w:sz w:val="20"/>
        </w:rPr>
        <w:t>FY</w:t>
      </w:r>
      <w:r>
        <w:rPr>
          <w:rFonts w:ascii="Book Antiqua" w:hAnsi="Book Antiqua"/>
          <w:spacing w:val="-4"/>
          <w:sz w:val="20"/>
        </w:rPr>
        <w:t xml:space="preserve"> </w:t>
      </w:r>
      <w:r>
        <w:rPr>
          <w:rFonts w:ascii="Book Antiqua" w:hAnsi="Book Antiqua"/>
          <w:sz w:val="20"/>
        </w:rPr>
        <w:t>2019.</w:t>
      </w:r>
    </w:p>
    <w:p w:rsidR="00D862F2" w:rsidRDefault="00884FE4">
      <w:pPr>
        <w:ind w:left="219" w:right="459"/>
        <w:rPr>
          <w:rFonts w:ascii="Book Antiqua"/>
          <w:sz w:val="20"/>
        </w:rPr>
      </w:pPr>
      <w:bookmarkStart w:id="24" w:name="_bookmark23"/>
      <w:bookmarkEnd w:id="24"/>
      <w:r>
        <w:rPr>
          <w:rFonts w:ascii="Book Antiqua"/>
          <w:position w:val="5"/>
          <w:sz w:val="13"/>
        </w:rPr>
        <w:t xml:space="preserve">24 </w:t>
      </w:r>
      <w:r>
        <w:rPr>
          <w:rFonts w:ascii="Book Antiqua"/>
          <w:sz w:val="20"/>
        </w:rPr>
        <w:t>Of note, the HPC is in the beginning phases of a previously delayed report on children with children</w:t>
      </w:r>
      <w:r>
        <w:rPr>
          <w:rFonts w:ascii="Book Antiqua"/>
          <w:spacing w:val="1"/>
          <w:sz w:val="20"/>
        </w:rPr>
        <w:t xml:space="preserve"> </w:t>
      </w:r>
      <w:r>
        <w:rPr>
          <w:rFonts w:ascii="Book Antiqua"/>
          <w:sz w:val="20"/>
        </w:rPr>
        <w:t>with medical complexity, and it may shed light on useful areas of future research and data collection by</w:t>
      </w:r>
      <w:r>
        <w:rPr>
          <w:rFonts w:ascii="Book Antiqua"/>
          <w:spacing w:val="-48"/>
          <w:sz w:val="20"/>
        </w:rPr>
        <w:t xml:space="preserve"> </w:t>
      </w:r>
      <w:r>
        <w:rPr>
          <w:rFonts w:ascii="Book Antiqua"/>
          <w:sz w:val="20"/>
        </w:rPr>
        <w:t>the</w:t>
      </w:r>
      <w:r>
        <w:rPr>
          <w:rFonts w:ascii="Book Antiqua"/>
          <w:spacing w:val="-1"/>
          <w:sz w:val="20"/>
        </w:rPr>
        <w:t xml:space="preserve"> </w:t>
      </w:r>
      <w:r>
        <w:rPr>
          <w:rFonts w:ascii="Book Antiqua"/>
          <w:sz w:val="20"/>
        </w:rPr>
        <w:t>Commonwealth.</w:t>
      </w:r>
    </w:p>
    <w:p w:rsidR="00D862F2" w:rsidRDefault="00D862F2">
      <w:pPr>
        <w:rPr>
          <w:rFonts w:ascii="Book Antiqua"/>
          <w:sz w:val="20"/>
        </w:rPr>
        <w:sectPr w:rsidR="00D862F2">
          <w:headerReference w:type="default" r:id="rId29"/>
          <w:footerReference w:type="default" r:id="rId30"/>
          <w:pgSz w:w="12240" w:h="15840"/>
          <w:pgMar w:top="1360" w:right="1160" w:bottom="280" w:left="1220" w:header="0" w:footer="0" w:gutter="0"/>
          <w:cols w:space="720"/>
        </w:sectPr>
      </w:pPr>
    </w:p>
    <w:p w:rsidR="00D862F2" w:rsidRDefault="00884FE4">
      <w:pPr>
        <w:pStyle w:val="ListParagraph"/>
        <w:numPr>
          <w:ilvl w:val="0"/>
          <w:numId w:val="2"/>
        </w:numPr>
        <w:tabs>
          <w:tab w:val="left" w:pos="940"/>
        </w:tabs>
        <w:spacing w:before="80"/>
        <w:rPr>
          <w:rFonts w:ascii="Book Antiqua"/>
          <w:b/>
          <w:i/>
        </w:rPr>
      </w:pPr>
      <w:r>
        <w:rPr>
          <w:rFonts w:ascii="Book Antiqua"/>
          <w:b/>
          <w:i/>
        </w:rPr>
        <w:lastRenderedPageBreak/>
        <w:t>Behavioral</w:t>
      </w:r>
      <w:r>
        <w:rPr>
          <w:rFonts w:ascii="Book Antiqua"/>
          <w:b/>
          <w:i/>
          <w:spacing w:val="-1"/>
        </w:rPr>
        <w:t xml:space="preserve"> </w:t>
      </w:r>
      <w:r>
        <w:rPr>
          <w:rFonts w:ascii="Book Antiqua"/>
          <w:b/>
          <w:i/>
        </w:rPr>
        <w:t>Health</w:t>
      </w:r>
    </w:p>
    <w:p w:rsidR="00D862F2" w:rsidRDefault="00884FE4">
      <w:pPr>
        <w:spacing w:before="118"/>
        <w:ind w:left="579" w:right="304"/>
        <w:rPr>
          <w:rFonts w:ascii="Book Antiqua" w:hAnsi="Book Antiqua"/>
        </w:rPr>
      </w:pPr>
      <w:r>
        <w:rPr>
          <w:rFonts w:ascii="Book Antiqua" w:hAnsi="Book Antiqua"/>
        </w:rPr>
        <w:t>Boston Children’s has proposed a plan that would increase capacity at multiple points</w:t>
      </w:r>
      <w:r>
        <w:rPr>
          <w:rFonts w:ascii="Book Antiqua" w:hAnsi="Book Antiqua"/>
          <w:spacing w:val="1"/>
        </w:rPr>
        <w:t xml:space="preserve"> </w:t>
      </w:r>
      <w:r>
        <w:rPr>
          <w:rFonts w:ascii="Book Antiqua" w:hAnsi="Book Antiqua"/>
        </w:rPr>
        <w:t>across the continuum of care, targeting support for children with outpatient behavioral</w:t>
      </w:r>
      <w:r>
        <w:rPr>
          <w:rFonts w:ascii="Book Antiqua" w:hAnsi="Book Antiqua"/>
          <w:spacing w:val="1"/>
        </w:rPr>
        <w:t xml:space="preserve"> </w:t>
      </w:r>
      <w:r>
        <w:rPr>
          <w:rFonts w:ascii="Book Antiqua" w:hAnsi="Book Antiqua"/>
        </w:rPr>
        <w:t>health management and care for children with complex medical and behavioral</w:t>
      </w:r>
      <w:r>
        <w:rPr>
          <w:rFonts w:ascii="Book Antiqua" w:hAnsi="Book Antiqua"/>
          <w:spacing w:val="1"/>
        </w:rPr>
        <w:t xml:space="preserve"> </w:t>
      </w:r>
      <w:r>
        <w:rPr>
          <w:rFonts w:ascii="Book Antiqua" w:hAnsi="Book Antiqua"/>
        </w:rPr>
        <w:t>comorbidities.</w:t>
      </w:r>
      <w:r>
        <w:rPr>
          <w:rFonts w:ascii="Book Antiqua" w:hAnsi="Book Antiqua"/>
          <w:spacing w:val="1"/>
        </w:rPr>
        <w:t xml:space="preserve"> </w:t>
      </w:r>
      <w:r>
        <w:rPr>
          <w:rFonts w:ascii="Book Antiqua" w:hAnsi="Book Antiqua"/>
        </w:rPr>
        <w:t>The</w:t>
      </w:r>
      <w:r>
        <w:rPr>
          <w:rFonts w:ascii="Book Antiqua" w:hAnsi="Book Antiqua"/>
          <w:spacing w:val="-1"/>
        </w:rPr>
        <w:t xml:space="preserve"> </w:t>
      </w:r>
      <w:r>
        <w:rPr>
          <w:rFonts w:ascii="Book Antiqua" w:hAnsi="Book Antiqua"/>
        </w:rPr>
        <w:t>express</w:t>
      </w:r>
      <w:r>
        <w:rPr>
          <w:rFonts w:ascii="Book Antiqua" w:hAnsi="Book Antiqua"/>
          <w:spacing w:val="1"/>
        </w:rPr>
        <w:t xml:space="preserve"> </w:t>
      </w:r>
      <w:r>
        <w:rPr>
          <w:rFonts w:ascii="Book Antiqua" w:hAnsi="Book Antiqua"/>
        </w:rPr>
        <w:t>purpose</w:t>
      </w:r>
      <w:r>
        <w:rPr>
          <w:rFonts w:ascii="Book Antiqua" w:hAnsi="Book Antiqua"/>
          <w:spacing w:val="2"/>
        </w:rPr>
        <w:t xml:space="preserve"> </w:t>
      </w:r>
      <w:r>
        <w:rPr>
          <w:rFonts w:ascii="Book Antiqua" w:hAnsi="Book Antiqua"/>
        </w:rPr>
        <w:t>of</w:t>
      </w:r>
      <w:r>
        <w:rPr>
          <w:rFonts w:ascii="Book Antiqua" w:hAnsi="Book Antiqua"/>
          <w:spacing w:val="2"/>
        </w:rPr>
        <w:t xml:space="preserve"> </w:t>
      </w:r>
      <w:r>
        <w:rPr>
          <w:rFonts w:ascii="Book Antiqua" w:hAnsi="Book Antiqua"/>
        </w:rPr>
        <w:t>this</w:t>
      </w:r>
      <w:r>
        <w:rPr>
          <w:rFonts w:ascii="Book Antiqua" w:hAnsi="Book Antiqua"/>
          <w:spacing w:val="2"/>
        </w:rPr>
        <w:t xml:space="preserve"> </w:t>
      </w:r>
      <w:r>
        <w:rPr>
          <w:rFonts w:ascii="Book Antiqua" w:hAnsi="Book Antiqua"/>
        </w:rPr>
        <w:t>plan</w:t>
      </w:r>
      <w:r>
        <w:rPr>
          <w:rFonts w:ascii="Book Antiqua" w:hAnsi="Book Antiqua"/>
          <w:spacing w:val="2"/>
        </w:rPr>
        <w:t xml:space="preserve"> </w:t>
      </w:r>
      <w:r>
        <w:rPr>
          <w:rFonts w:ascii="Book Antiqua" w:hAnsi="Book Antiqua"/>
        </w:rPr>
        <w:t>is</w:t>
      </w:r>
      <w:r>
        <w:rPr>
          <w:rFonts w:ascii="Book Antiqua" w:hAnsi="Book Antiqua"/>
          <w:spacing w:val="-1"/>
        </w:rPr>
        <w:t xml:space="preserve"> </w:t>
      </w:r>
      <w:r>
        <w:rPr>
          <w:rFonts w:ascii="Book Antiqua" w:hAnsi="Book Antiqua"/>
        </w:rPr>
        <w:t>to move</w:t>
      </w:r>
      <w:r>
        <w:rPr>
          <w:rFonts w:ascii="Book Antiqua" w:hAnsi="Book Antiqua"/>
          <w:spacing w:val="2"/>
        </w:rPr>
        <w:t xml:space="preserve"> </w:t>
      </w:r>
      <w:r>
        <w:rPr>
          <w:rFonts w:ascii="Book Antiqua" w:hAnsi="Book Antiqua"/>
        </w:rPr>
        <w:t>the</w:t>
      </w:r>
      <w:r>
        <w:rPr>
          <w:rFonts w:ascii="Book Antiqua" w:hAnsi="Book Antiqua"/>
          <w:spacing w:val="-2"/>
        </w:rPr>
        <w:t xml:space="preserve"> </w:t>
      </w:r>
      <w:r>
        <w:rPr>
          <w:rFonts w:ascii="Book Antiqua" w:hAnsi="Book Antiqua"/>
        </w:rPr>
        <w:t>overall health</w:t>
      </w:r>
      <w:r>
        <w:rPr>
          <w:rFonts w:ascii="Book Antiqua" w:hAnsi="Book Antiqua"/>
          <w:spacing w:val="2"/>
        </w:rPr>
        <w:t xml:space="preserve"> </w:t>
      </w:r>
      <w:r>
        <w:rPr>
          <w:rFonts w:ascii="Book Antiqua" w:hAnsi="Book Antiqua"/>
        </w:rPr>
        <w:t>system</w:t>
      </w:r>
      <w:r>
        <w:rPr>
          <w:rFonts w:ascii="Book Antiqua" w:hAnsi="Book Antiqua"/>
          <w:spacing w:val="-1"/>
        </w:rPr>
        <w:t xml:space="preserve"> </w:t>
      </w:r>
      <w:r>
        <w:rPr>
          <w:rFonts w:ascii="Book Antiqua" w:hAnsi="Book Antiqua"/>
        </w:rPr>
        <w:t>closer</w:t>
      </w:r>
      <w:r>
        <w:rPr>
          <w:rFonts w:ascii="Book Antiqua" w:hAnsi="Book Antiqua"/>
          <w:spacing w:val="1"/>
        </w:rPr>
        <w:t xml:space="preserve"> </w:t>
      </w:r>
      <w:r>
        <w:rPr>
          <w:rFonts w:ascii="Book Antiqua" w:hAnsi="Book Antiqua"/>
        </w:rPr>
        <w:t>to the triple aim of the right care in the right setting at the right time, relieving pressure on</w:t>
      </w:r>
      <w:r>
        <w:rPr>
          <w:rFonts w:ascii="Book Antiqua" w:hAnsi="Book Antiqua"/>
          <w:spacing w:val="1"/>
        </w:rPr>
        <w:t xml:space="preserve"> </w:t>
      </w:r>
      <w:r>
        <w:rPr>
          <w:rFonts w:ascii="Book Antiqua" w:hAnsi="Book Antiqua"/>
        </w:rPr>
        <w:t>the part of the behavioral health system (i.e., inpatient beds) that is currently under the most</w:t>
      </w:r>
      <w:r>
        <w:rPr>
          <w:rFonts w:ascii="Book Antiqua" w:hAnsi="Book Antiqua"/>
          <w:spacing w:val="-52"/>
        </w:rPr>
        <w:t xml:space="preserve"> </w:t>
      </w:r>
      <w:r>
        <w:rPr>
          <w:rFonts w:ascii="Book Antiqua" w:hAnsi="Book Antiqua"/>
        </w:rPr>
        <w:t>strain.</w:t>
      </w:r>
      <w:r>
        <w:rPr>
          <w:rFonts w:ascii="Book Antiqua" w:hAnsi="Book Antiqua"/>
          <w:spacing w:val="1"/>
        </w:rPr>
        <w:t xml:space="preserve"> </w:t>
      </w:r>
      <w:r>
        <w:rPr>
          <w:rFonts w:ascii="Book Antiqua" w:hAnsi="Book Antiqua"/>
        </w:rPr>
        <w:t>As a result, its behavioral health focus addressed in its DON application is only a</w:t>
      </w:r>
      <w:r>
        <w:rPr>
          <w:rFonts w:ascii="Book Antiqua" w:hAnsi="Book Antiqua"/>
          <w:spacing w:val="1"/>
        </w:rPr>
        <w:t xml:space="preserve"> </w:t>
      </w:r>
      <w:r>
        <w:rPr>
          <w:rFonts w:ascii="Book Antiqua" w:hAnsi="Book Antiqua"/>
        </w:rPr>
        <w:t>small portion of the work it conducts in other care settings, consistent with the Department</w:t>
      </w:r>
      <w:r>
        <w:rPr>
          <w:rFonts w:ascii="Book Antiqua" w:hAnsi="Book Antiqua"/>
          <w:spacing w:val="1"/>
        </w:rPr>
        <w:t xml:space="preserve"> </w:t>
      </w:r>
      <w:r>
        <w:rPr>
          <w:rFonts w:ascii="Book Antiqua" w:hAnsi="Book Antiqua"/>
        </w:rPr>
        <w:t>of Public Health (DPH)’s express direction that applicants address upstream factors and</w:t>
      </w:r>
      <w:r>
        <w:rPr>
          <w:rFonts w:ascii="Book Antiqua" w:hAnsi="Book Antiqua"/>
          <w:spacing w:val="1"/>
        </w:rPr>
        <w:t xml:space="preserve"> </w:t>
      </w:r>
      <w:r>
        <w:rPr>
          <w:rFonts w:ascii="Book Antiqua" w:hAnsi="Book Antiqua"/>
        </w:rPr>
        <w:t>include</w:t>
      </w:r>
      <w:r>
        <w:rPr>
          <w:rFonts w:ascii="Book Antiqua" w:hAnsi="Book Antiqua"/>
          <w:spacing w:val="-2"/>
        </w:rPr>
        <w:t xml:space="preserve"> </w:t>
      </w:r>
      <w:r>
        <w:rPr>
          <w:rFonts w:ascii="Book Antiqua" w:hAnsi="Book Antiqua"/>
        </w:rPr>
        <w:t>preventive</w:t>
      </w:r>
      <w:r>
        <w:rPr>
          <w:rFonts w:ascii="Book Antiqua" w:hAnsi="Book Antiqua"/>
          <w:spacing w:val="-1"/>
        </w:rPr>
        <w:t xml:space="preserve"> </w:t>
      </w:r>
      <w:r>
        <w:rPr>
          <w:rFonts w:ascii="Book Antiqua" w:hAnsi="Book Antiqua"/>
        </w:rPr>
        <w:t>services where</w:t>
      </w:r>
      <w:r>
        <w:rPr>
          <w:rFonts w:ascii="Book Antiqua" w:hAnsi="Book Antiqua"/>
          <w:spacing w:val="-2"/>
        </w:rPr>
        <w:t xml:space="preserve"> </w:t>
      </w:r>
      <w:r>
        <w:rPr>
          <w:rFonts w:ascii="Book Antiqua" w:hAnsi="Book Antiqua"/>
        </w:rPr>
        <w:t>possible</w:t>
      </w:r>
      <w:r>
        <w:rPr>
          <w:rFonts w:ascii="Book Antiqua" w:hAnsi="Book Antiqua"/>
          <w:spacing w:val="-1"/>
        </w:rPr>
        <w:t xml:space="preserve"> </w:t>
      </w:r>
      <w:r>
        <w:rPr>
          <w:rFonts w:ascii="Book Antiqua" w:hAnsi="Book Antiqua"/>
        </w:rPr>
        <w:t>in</w:t>
      </w:r>
      <w:r>
        <w:rPr>
          <w:rFonts w:ascii="Book Antiqua" w:hAnsi="Book Antiqua"/>
          <w:spacing w:val="1"/>
        </w:rPr>
        <w:t xml:space="preserve"> </w:t>
      </w:r>
      <w:r>
        <w:rPr>
          <w:rFonts w:ascii="Book Antiqua" w:hAnsi="Book Antiqua"/>
        </w:rPr>
        <w:t>their</w:t>
      </w:r>
      <w:r>
        <w:rPr>
          <w:rFonts w:ascii="Book Antiqua" w:hAnsi="Book Antiqua"/>
          <w:spacing w:val="-2"/>
        </w:rPr>
        <w:t xml:space="preserve"> </w:t>
      </w:r>
      <w:r>
        <w:rPr>
          <w:rFonts w:ascii="Book Antiqua" w:hAnsi="Book Antiqua"/>
        </w:rPr>
        <w:t>applications.</w:t>
      </w:r>
    </w:p>
    <w:p w:rsidR="00D862F2" w:rsidRDefault="00D862F2">
      <w:pPr>
        <w:pStyle w:val="BodyText"/>
        <w:spacing w:before="4"/>
        <w:rPr>
          <w:rFonts w:ascii="Book Antiqua"/>
          <w:sz w:val="19"/>
        </w:rPr>
      </w:pPr>
    </w:p>
    <w:p w:rsidR="00D862F2" w:rsidRDefault="00884FE4">
      <w:pPr>
        <w:ind w:left="579" w:right="351"/>
        <w:rPr>
          <w:rFonts w:ascii="Book Antiqua" w:hAnsi="Book Antiqua"/>
          <w:sz w:val="14"/>
        </w:rPr>
      </w:pPr>
      <w:r>
        <w:rPr>
          <w:rFonts w:ascii="Book Antiqua" w:hAnsi="Book Antiqua"/>
        </w:rPr>
        <w:t>It is well-known that the demand for behavioral health services currently outstrips supply</w:t>
      </w:r>
      <w:r>
        <w:rPr>
          <w:rFonts w:ascii="Book Antiqua" w:hAnsi="Book Antiqua"/>
          <w:spacing w:val="1"/>
        </w:rPr>
        <w:t xml:space="preserve"> </w:t>
      </w:r>
      <w:r>
        <w:rPr>
          <w:rFonts w:ascii="Book Antiqua" w:hAnsi="Book Antiqua"/>
        </w:rPr>
        <w:t>in Massachusetts across the continuum of care.</w:t>
      </w:r>
      <w:r>
        <w:rPr>
          <w:rFonts w:ascii="Book Antiqua" w:hAnsi="Book Antiqua"/>
          <w:spacing w:val="1"/>
        </w:rPr>
        <w:t xml:space="preserve"> </w:t>
      </w:r>
      <w:r>
        <w:rPr>
          <w:rFonts w:ascii="Book Antiqua" w:hAnsi="Book Antiqua"/>
        </w:rPr>
        <w:t>This is particularly true for pediatric</w:t>
      </w:r>
      <w:r>
        <w:rPr>
          <w:rFonts w:ascii="Book Antiqua" w:hAnsi="Book Antiqua"/>
          <w:spacing w:val="1"/>
        </w:rPr>
        <w:t xml:space="preserve"> </w:t>
      </w:r>
      <w:r>
        <w:rPr>
          <w:rFonts w:ascii="Book Antiqua" w:hAnsi="Book Antiqua"/>
        </w:rPr>
        <w:t>behavioral health.</w:t>
      </w:r>
      <w:r>
        <w:rPr>
          <w:rFonts w:ascii="Book Antiqua" w:hAnsi="Book Antiqua"/>
          <w:spacing w:val="1"/>
        </w:rPr>
        <w:t xml:space="preserve"> </w:t>
      </w:r>
      <w:r>
        <w:rPr>
          <w:rFonts w:ascii="Book Antiqua" w:hAnsi="Book Antiqua"/>
        </w:rPr>
        <w:t>The Children’s Mental Health Campaign, in which Boston Children’s</w:t>
      </w:r>
      <w:r>
        <w:rPr>
          <w:rFonts w:ascii="Book Antiqua" w:hAnsi="Book Antiqua"/>
          <w:spacing w:val="1"/>
        </w:rPr>
        <w:t xml:space="preserve"> </w:t>
      </w:r>
      <w:r>
        <w:rPr>
          <w:rFonts w:ascii="Book Antiqua" w:hAnsi="Book Antiqua"/>
        </w:rPr>
        <w:t>participates, has long been advocating for expansion of pediatric behavioral health services.</w:t>
      </w:r>
      <w:r>
        <w:rPr>
          <w:rFonts w:ascii="Book Antiqua" w:hAnsi="Book Antiqua"/>
          <w:spacing w:val="-52"/>
        </w:rPr>
        <w:t xml:space="preserve"> </w:t>
      </w:r>
      <w:r>
        <w:rPr>
          <w:rFonts w:ascii="Book Antiqua" w:hAnsi="Book Antiqua"/>
        </w:rPr>
        <w:t>According to the American Psychological Association, one in five children have a</w:t>
      </w:r>
      <w:r>
        <w:rPr>
          <w:rFonts w:ascii="Book Antiqua" w:hAnsi="Book Antiqua"/>
          <w:spacing w:val="1"/>
        </w:rPr>
        <w:t xml:space="preserve"> </w:t>
      </w:r>
      <w:r>
        <w:rPr>
          <w:rFonts w:ascii="Book Antiqua" w:hAnsi="Book Antiqua"/>
        </w:rPr>
        <w:t>diagnosable mental health disorder.</w:t>
      </w:r>
      <w:hyperlink w:anchor="_bookmark24" w:history="1">
        <w:r>
          <w:rPr>
            <w:rFonts w:ascii="Book Antiqua" w:hAnsi="Book Antiqua"/>
            <w:position w:val="5"/>
            <w:sz w:val="14"/>
          </w:rPr>
          <w:t>25</w:t>
        </w:r>
      </w:hyperlink>
      <w:r>
        <w:rPr>
          <w:rFonts w:ascii="Book Antiqua" w:hAnsi="Book Antiqua"/>
          <w:spacing w:val="1"/>
          <w:position w:val="5"/>
          <w:sz w:val="14"/>
        </w:rPr>
        <w:t xml:space="preserve"> </w:t>
      </w:r>
      <w:r>
        <w:rPr>
          <w:rFonts w:ascii="Book Antiqua" w:hAnsi="Book Antiqua"/>
        </w:rPr>
        <w:t>Children show different symptoms of mental health</w:t>
      </w:r>
      <w:r>
        <w:rPr>
          <w:rFonts w:ascii="Book Antiqua" w:hAnsi="Book Antiqua"/>
          <w:spacing w:val="1"/>
        </w:rPr>
        <w:t xml:space="preserve"> </w:t>
      </w:r>
      <w:r>
        <w:rPr>
          <w:rFonts w:ascii="Book Antiqua" w:hAnsi="Book Antiqua"/>
        </w:rPr>
        <w:t>disorders as they grow – impacting how they play, learn, act, speak and handle their</w:t>
      </w:r>
      <w:r>
        <w:rPr>
          <w:rFonts w:ascii="Book Antiqua" w:hAnsi="Book Antiqua"/>
          <w:spacing w:val="1"/>
        </w:rPr>
        <w:t xml:space="preserve"> </w:t>
      </w:r>
      <w:r>
        <w:rPr>
          <w:rFonts w:ascii="Book Antiqua" w:hAnsi="Book Antiqua"/>
        </w:rPr>
        <w:t>emotions.</w:t>
      </w:r>
      <w:r>
        <w:rPr>
          <w:rFonts w:ascii="Book Antiqua" w:hAnsi="Book Antiqua"/>
          <w:spacing w:val="1"/>
        </w:rPr>
        <w:t xml:space="preserve"> </w:t>
      </w:r>
      <w:r>
        <w:rPr>
          <w:rFonts w:ascii="Book Antiqua" w:hAnsi="Book Antiqua"/>
        </w:rPr>
        <w:t>Children’s needs are distinct from adults as they are not only impacted by the</w:t>
      </w:r>
      <w:r>
        <w:rPr>
          <w:rFonts w:ascii="Book Antiqua" w:hAnsi="Book Antiqua"/>
          <w:spacing w:val="1"/>
        </w:rPr>
        <w:t xml:space="preserve"> </w:t>
      </w:r>
      <w:r>
        <w:rPr>
          <w:rFonts w:ascii="Book Antiqua" w:hAnsi="Book Antiqua"/>
        </w:rPr>
        <w:t>state of a child’s development, but also influenced by family, social and educational</w:t>
      </w:r>
      <w:r>
        <w:rPr>
          <w:rFonts w:ascii="Book Antiqua" w:hAnsi="Book Antiqua"/>
          <w:spacing w:val="1"/>
        </w:rPr>
        <w:t xml:space="preserve"> </w:t>
      </w:r>
      <w:r>
        <w:rPr>
          <w:rFonts w:ascii="Book Antiqua" w:hAnsi="Book Antiqua"/>
        </w:rPr>
        <w:t>environments.</w:t>
      </w:r>
      <w:hyperlink w:anchor="_bookmark25" w:history="1">
        <w:r>
          <w:rPr>
            <w:rFonts w:ascii="Book Antiqua" w:hAnsi="Book Antiqua"/>
            <w:position w:val="5"/>
            <w:sz w:val="14"/>
          </w:rPr>
          <w:t>26</w:t>
        </w:r>
      </w:hyperlink>
    </w:p>
    <w:p w:rsidR="00D862F2" w:rsidRDefault="00D862F2">
      <w:pPr>
        <w:pStyle w:val="BodyText"/>
        <w:spacing w:before="3"/>
        <w:rPr>
          <w:rFonts w:ascii="Book Antiqua"/>
          <w:sz w:val="19"/>
        </w:rPr>
      </w:pPr>
    </w:p>
    <w:p w:rsidR="00D862F2" w:rsidRDefault="00884FE4">
      <w:pPr>
        <w:spacing w:before="1"/>
        <w:ind w:left="579" w:right="353"/>
        <w:rPr>
          <w:rFonts w:ascii="Book Antiqua" w:hAnsi="Book Antiqua"/>
          <w:sz w:val="14"/>
        </w:rPr>
      </w:pPr>
      <w:r>
        <w:rPr>
          <w:rFonts w:ascii="Book Antiqua" w:hAnsi="Book Antiqua"/>
        </w:rPr>
        <w:t>With an average of 15-20 patients boarding each day prior to the pandemic and a current</w:t>
      </w:r>
      <w:r>
        <w:rPr>
          <w:rFonts w:ascii="Book Antiqua" w:hAnsi="Book Antiqua"/>
          <w:spacing w:val="1"/>
        </w:rPr>
        <w:t xml:space="preserve"> </w:t>
      </w:r>
      <w:r>
        <w:rPr>
          <w:rFonts w:ascii="Book Antiqua" w:hAnsi="Book Antiqua"/>
        </w:rPr>
        <w:t>boarding census that consistently approaches 60 patients, the need for increased intensive</w:t>
      </w:r>
      <w:r>
        <w:rPr>
          <w:rFonts w:ascii="Book Antiqua" w:hAnsi="Book Antiqua"/>
          <w:spacing w:val="1"/>
        </w:rPr>
        <w:t xml:space="preserve"> </w:t>
      </w:r>
      <w:r>
        <w:rPr>
          <w:rFonts w:ascii="Book Antiqua" w:hAnsi="Book Antiqua"/>
        </w:rPr>
        <w:t>psychiatry service capacity in Massachusetts (e.g., general psychiatry and</w:t>
      </w:r>
      <w:r>
        <w:rPr>
          <w:rFonts w:ascii="Book Antiqua" w:hAnsi="Book Antiqua"/>
          <w:spacing w:val="1"/>
        </w:rPr>
        <w:t xml:space="preserve"> </w:t>
      </w:r>
      <w:r>
        <w:rPr>
          <w:rFonts w:ascii="Book Antiqua" w:hAnsi="Book Antiqua"/>
        </w:rPr>
        <w:t>neurodevelopment/autism spectrum disorder inpatient units) is undeniable.</w:t>
      </w:r>
      <w:hyperlink w:anchor="_bookmark26" w:history="1">
        <w:r>
          <w:rPr>
            <w:rFonts w:ascii="Book Antiqua" w:hAnsi="Book Antiqua"/>
            <w:position w:val="5"/>
            <w:sz w:val="14"/>
          </w:rPr>
          <w:t>27</w:t>
        </w:r>
      </w:hyperlink>
      <w:r>
        <w:rPr>
          <w:rFonts w:ascii="Book Antiqua" w:hAnsi="Book Antiqua"/>
          <w:spacing w:val="1"/>
          <w:position w:val="5"/>
          <w:sz w:val="14"/>
        </w:rPr>
        <w:t xml:space="preserve"> </w:t>
      </w:r>
      <w:r>
        <w:rPr>
          <w:rFonts w:ascii="Book Antiqua" w:hAnsi="Book Antiqua"/>
        </w:rPr>
        <w:t>Boston</w:t>
      </w:r>
      <w:r>
        <w:rPr>
          <w:rFonts w:ascii="Book Antiqua" w:hAnsi="Book Antiqua"/>
          <w:spacing w:val="1"/>
        </w:rPr>
        <w:t xml:space="preserve"> </w:t>
      </w:r>
      <w:r>
        <w:rPr>
          <w:rFonts w:ascii="Book Antiqua" w:hAnsi="Book Antiqua"/>
        </w:rPr>
        <w:t>Children’s has committed to addressing this need in a variety of ways.</w:t>
      </w:r>
      <w:r>
        <w:rPr>
          <w:rFonts w:ascii="Book Antiqua" w:hAnsi="Book Antiqua"/>
          <w:spacing w:val="1"/>
        </w:rPr>
        <w:t xml:space="preserve"> </w:t>
      </w:r>
      <w:r>
        <w:rPr>
          <w:rFonts w:ascii="Book Antiqua" w:hAnsi="Book Antiqua"/>
        </w:rPr>
        <w:t>Boston Children’s</w:t>
      </w:r>
      <w:r>
        <w:rPr>
          <w:rFonts w:ascii="Book Antiqua" w:hAnsi="Book Antiqua"/>
          <w:spacing w:val="1"/>
        </w:rPr>
        <w:t xml:space="preserve"> </w:t>
      </w:r>
      <w:r>
        <w:rPr>
          <w:rFonts w:ascii="Book Antiqua" w:hAnsi="Book Antiqua"/>
        </w:rPr>
        <w:t>has filed an application under the COVID-19 State of Emergency to add 12 pediatric</w:t>
      </w:r>
      <w:r>
        <w:rPr>
          <w:rFonts w:ascii="Book Antiqua" w:hAnsi="Book Antiqua"/>
          <w:spacing w:val="1"/>
        </w:rPr>
        <w:t xml:space="preserve"> </w:t>
      </w:r>
      <w:r>
        <w:rPr>
          <w:rFonts w:ascii="Book Antiqua" w:hAnsi="Book Antiqua"/>
        </w:rPr>
        <w:t>inpatient psychiatric beds in at the request of the State.</w:t>
      </w:r>
      <w:r>
        <w:rPr>
          <w:rFonts w:ascii="Book Antiqua" w:hAnsi="Book Antiqua"/>
          <w:spacing w:val="1"/>
        </w:rPr>
        <w:t xml:space="preserve"> </w:t>
      </w:r>
      <w:r>
        <w:rPr>
          <w:rFonts w:ascii="Book Antiqua" w:hAnsi="Book Antiqua"/>
        </w:rPr>
        <w:t>The application was approved</w:t>
      </w:r>
      <w:r>
        <w:rPr>
          <w:rFonts w:ascii="Book Antiqua" w:hAnsi="Book Antiqua"/>
          <w:spacing w:val="1"/>
        </w:rPr>
        <w:t xml:space="preserve"> </w:t>
      </w:r>
      <w:r>
        <w:rPr>
          <w:rFonts w:ascii="Book Antiqua" w:hAnsi="Book Antiqua"/>
        </w:rPr>
        <w:t>within 24 hours and planning for construction in Waltham, MA is already underway.</w:t>
      </w:r>
      <w:r>
        <w:rPr>
          <w:rFonts w:ascii="Book Antiqua" w:hAnsi="Book Antiqua"/>
          <w:spacing w:val="1"/>
        </w:rPr>
        <w:t xml:space="preserve"> </w:t>
      </w:r>
      <w:r>
        <w:rPr>
          <w:rFonts w:ascii="Book Antiqua" w:hAnsi="Book Antiqua"/>
        </w:rPr>
        <w:t>The</w:t>
      </w:r>
      <w:r>
        <w:rPr>
          <w:rFonts w:ascii="Book Antiqua" w:hAnsi="Book Antiqua"/>
          <w:spacing w:val="1"/>
        </w:rPr>
        <w:t xml:space="preserve"> </w:t>
      </w:r>
      <w:r>
        <w:rPr>
          <w:rFonts w:ascii="Book Antiqua" w:hAnsi="Book Antiqua"/>
        </w:rPr>
        <w:t>creation of a med-psych partial hospitalization program proposed in Boston Children’s</w:t>
      </w:r>
      <w:r>
        <w:rPr>
          <w:rFonts w:ascii="Book Antiqua" w:hAnsi="Book Antiqua"/>
          <w:spacing w:val="1"/>
        </w:rPr>
        <w:t xml:space="preserve"> </w:t>
      </w:r>
      <w:r>
        <w:rPr>
          <w:rFonts w:ascii="Book Antiqua" w:hAnsi="Book Antiqua"/>
        </w:rPr>
        <w:t>DON application will additionally help support reducing the need for children to remain in</w:t>
      </w:r>
      <w:r>
        <w:rPr>
          <w:rFonts w:ascii="Book Antiqua" w:hAnsi="Book Antiqua"/>
          <w:spacing w:val="-52"/>
        </w:rPr>
        <w:t xml:space="preserve"> </w:t>
      </w:r>
      <w:r>
        <w:rPr>
          <w:rFonts w:ascii="Book Antiqua" w:hAnsi="Book Antiqua"/>
        </w:rPr>
        <w:t>the ED and will provide step-down options for children requiring an intensive level of</w:t>
      </w:r>
      <w:r>
        <w:rPr>
          <w:rFonts w:ascii="Book Antiqua" w:hAnsi="Book Antiqua"/>
          <w:spacing w:val="1"/>
        </w:rPr>
        <w:t xml:space="preserve"> </w:t>
      </w:r>
      <w:r>
        <w:rPr>
          <w:rFonts w:ascii="Book Antiqua" w:hAnsi="Book Antiqua"/>
        </w:rPr>
        <w:t>ongoing</w:t>
      </w:r>
      <w:r>
        <w:rPr>
          <w:rFonts w:ascii="Book Antiqua" w:hAnsi="Book Antiqua"/>
          <w:spacing w:val="-1"/>
        </w:rPr>
        <w:t xml:space="preserve"> </w:t>
      </w:r>
      <w:r>
        <w:rPr>
          <w:rFonts w:ascii="Book Antiqua" w:hAnsi="Book Antiqua"/>
        </w:rPr>
        <w:t>care</w:t>
      </w:r>
      <w:r>
        <w:rPr>
          <w:rFonts w:ascii="Book Antiqua" w:hAnsi="Book Antiqua"/>
          <w:spacing w:val="-1"/>
        </w:rPr>
        <w:t xml:space="preserve"> </w:t>
      </w:r>
      <w:r>
        <w:rPr>
          <w:rFonts w:ascii="Book Antiqua" w:hAnsi="Book Antiqua"/>
        </w:rPr>
        <w:t>upon</w:t>
      </w:r>
      <w:r>
        <w:rPr>
          <w:rFonts w:ascii="Book Antiqua" w:hAnsi="Book Antiqua"/>
          <w:spacing w:val="1"/>
        </w:rPr>
        <w:t xml:space="preserve"> </w:t>
      </w:r>
      <w:r>
        <w:rPr>
          <w:rFonts w:ascii="Book Antiqua" w:hAnsi="Book Antiqua"/>
        </w:rPr>
        <w:t>discharge.</w:t>
      </w:r>
      <w:hyperlink w:anchor="_bookmark27" w:history="1">
        <w:r>
          <w:rPr>
            <w:rFonts w:ascii="Book Antiqua" w:hAnsi="Book Antiqua"/>
            <w:position w:val="5"/>
            <w:sz w:val="14"/>
          </w:rPr>
          <w:t>28</w:t>
        </w:r>
      </w:hyperlink>
    </w:p>
    <w:p w:rsidR="00D862F2" w:rsidRDefault="00D862F2">
      <w:pPr>
        <w:pStyle w:val="BodyText"/>
        <w:spacing w:before="3"/>
        <w:rPr>
          <w:rFonts w:ascii="Book Antiqua"/>
          <w:sz w:val="19"/>
        </w:rPr>
      </w:pPr>
    </w:p>
    <w:p w:rsidR="00D862F2" w:rsidRDefault="00884FE4">
      <w:pPr>
        <w:spacing w:before="1"/>
        <w:ind w:left="580" w:right="320"/>
        <w:rPr>
          <w:rFonts w:ascii="Book Antiqua" w:hAnsi="Book Antiqua"/>
        </w:rPr>
      </w:pPr>
      <w:r>
        <w:rPr>
          <w:rFonts w:ascii="Book Antiqua" w:hAnsi="Book Antiqua"/>
        </w:rPr>
        <w:t>In addition to primary psychiatric diagnoses, comorbid behavioral health conditions are</w:t>
      </w:r>
      <w:r>
        <w:rPr>
          <w:rFonts w:ascii="Book Antiqua" w:hAnsi="Book Antiqua"/>
          <w:spacing w:val="1"/>
        </w:rPr>
        <w:t xml:space="preserve"> </w:t>
      </w:r>
      <w:r>
        <w:rPr>
          <w:rFonts w:ascii="Book Antiqua" w:hAnsi="Book Antiqua"/>
        </w:rPr>
        <w:t>present in 13.2% of pediatric hospitalizations, and account for increased lengths of stays.</w:t>
      </w:r>
      <w:r>
        <w:rPr>
          <w:rFonts w:ascii="Book Antiqua" w:hAnsi="Book Antiqua"/>
          <w:spacing w:val="1"/>
        </w:rPr>
        <w:t xml:space="preserve"> </w:t>
      </w:r>
      <w:r>
        <w:rPr>
          <w:rFonts w:ascii="Book Antiqua" w:hAnsi="Book Antiqua"/>
        </w:rPr>
        <w:t>Supporting</w:t>
      </w:r>
      <w:r>
        <w:rPr>
          <w:rFonts w:ascii="Book Antiqua" w:hAnsi="Book Antiqua"/>
          <w:spacing w:val="-4"/>
        </w:rPr>
        <w:t xml:space="preserve"> </w:t>
      </w:r>
      <w:r>
        <w:rPr>
          <w:rFonts w:ascii="Book Antiqua" w:hAnsi="Book Antiqua"/>
        </w:rPr>
        <w:t>children’s</w:t>
      </w:r>
      <w:r>
        <w:rPr>
          <w:rFonts w:ascii="Book Antiqua" w:hAnsi="Book Antiqua"/>
          <w:spacing w:val="-2"/>
        </w:rPr>
        <w:t xml:space="preserve"> </w:t>
      </w:r>
      <w:r>
        <w:rPr>
          <w:rFonts w:ascii="Book Antiqua" w:hAnsi="Book Antiqua"/>
        </w:rPr>
        <w:t>behavioral</w:t>
      </w:r>
      <w:r>
        <w:rPr>
          <w:rFonts w:ascii="Book Antiqua" w:hAnsi="Book Antiqua"/>
          <w:spacing w:val="-2"/>
        </w:rPr>
        <w:t xml:space="preserve"> </w:t>
      </w:r>
      <w:r>
        <w:rPr>
          <w:rFonts w:ascii="Book Antiqua" w:hAnsi="Book Antiqua"/>
        </w:rPr>
        <w:t>health</w:t>
      </w:r>
      <w:r>
        <w:rPr>
          <w:rFonts w:ascii="Book Antiqua" w:hAnsi="Book Antiqua"/>
          <w:spacing w:val="-2"/>
        </w:rPr>
        <w:t xml:space="preserve"> </w:t>
      </w:r>
      <w:r>
        <w:rPr>
          <w:rFonts w:ascii="Book Antiqua" w:hAnsi="Book Antiqua"/>
        </w:rPr>
        <w:t>needs</w:t>
      </w:r>
      <w:r>
        <w:rPr>
          <w:rFonts w:ascii="Book Antiqua" w:hAnsi="Book Antiqua"/>
          <w:spacing w:val="-2"/>
        </w:rPr>
        <w:t xml:space="preserve"> </w:t>
      </w:r>
      <w:r>
        <w:rPr>
          <w:rFonts w:ascii="Book Antiqua" w:hAnsi="Book Antiqua"/>
        </w:rPr>
        <w:t>when</w:t>
      </w:r>
      <w:r>
        <w:rPr>
          <w:rFonts w:ascii="Book Antiqua" w:hAnsi="Book Antiqua"/>
          <w:spacing w:val="-4"/>
        </w:rPr>
        <w:t xml:space="preserve"> </w:t>
      </w:r>
      <w:r>
        <w:rPr>
          <w:rFonts w:ascii="Book Antiqua" w:hAnsi="Book Antiqua"/>
        </w:rPr>
        <w:t>they</w:t>
      </w:r>
      <w:r>
        <w:rPr>
          <w:rFonts w:ascii="Book Antiqua" w:hAnsi="Book Antiqua"/>
          <w:spacing w:val="-5"/>
        </w:rPr>
        <w:t xml:space="preserve"> </w:t>
      </w:r>
      <w:r>
        <w:rPr>
          <w:rFonts w:ascii="Book Antiqua" w:hAnsi="Book Antiqua"/>
        </w:rPr>
        <w:t>are</w:t>
      </w:r>
      <w:r>
        <w:rPr>
          <w:rFonts w:ascii="Book Antiqua" w:hAnsi="Book Antiqua"/>
          <w:spacing w:val="-3"/>
        </w:rPr>
        <w:t xml:space="preserve"> </w:t>
      </w:r>
      <w:r>
        <w:rPr>
          <w:rFonts w:ascii="Book Antiqua" w:hAnsi="Book Antiqua"/>
        </w:rPr>
        <w:t>experiencing</w:t>
      </w:r>
      <w:r>
        <w:rPr>
          <w:rFonts w:ascii="Book Antiqua" w:hAnsi="Book Antiqua"/>
          <w:spacing w:val="-3"/>
        </w:rPr>
        <w:t xml:space="preserve"> </w:t>
      </w:r>
      <w:r>
        <w:rPr>
          <w:rFonts w:ascii="Book Antiqua" w:hAnsi="Book Antiqua"/>
        </w:rPr>
        <w:t>physical</w:t>
      </w:r>
      <w:r>
        <w:rPr>
          <w:rFonts w:ascii="Book Antiqua" w:hAnsi="Book Antiqua"/>
          <w:spacing w:val="-4"/>
        </w:rPr>
        <w:t xml:space="preserve"> </w:t>
      </w:r>
      <w:r>
        <w:rPr>
          <w:rFonts w:ascii="Book Antiqua" w:hAnsi="Book Antiqua"/>
        </w:rPr>
        <w:t>health</w:t>
      </w:r>
    </w:p>
    <w:p w:rsidR="00D862F2" w:rsidRDefault="00D862F2">
      <w:pPr>
        <w:pStyle w:val="BodyText"/>
        <w:rPr>
          <w:rFonts w:ascii="Book Antiqua"/>
          <w:sz w:val="20"/>
        </w:rPr>
      </w:pPr>
    </w:p>
    <w:p w:rsidR="00D862F2" w:rsidRDefault="00337703">
      <w:pPr>
        <w:pStyle w:val="BodyText"/>
        <w:spacing w:before="3"/>
        <w:rPr>
          <w:rFonts w:ascii="Book Antiqua"/>
          <w:sz w:val="12"/>
        </w:rPr>
      </w:pPr>
      <w:r>
        <w:rPr>
          <w:noProof/>
        </w:rPr>
        <mc:AlternateContent>
          <mc:Choice Requires="wps">
            <w:drawing>
              <wp:anchor distT="0" distB="0" distL="0" distR="0" simplePos="0" relativeHeight="487594496" behindDoc="1" locked="0" layoutInCell="1" allowOverlap="1">
                <wp:simplePos x="0" y="0"/>
                <wp:positionH relativeFrom="page">
                  <wp:posOffset>914400</wp:posOffset>
                </wp:positionH>
                <wp:positionV relativeFrom="paragraph">
                  <wp:posOffset>112395</wp:posOffset>
                </wp:positionV>
                <wp:extent cx="1828800" cy="7620"/>
                <wp:effectExtent l="0" t="0" r="0" b="0"/>
                <wp:wrapTopAndBottom/>
                <wp:docPr id="16" name="docshape16"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AC44E" id="docshape16" o:spid="_x0000_s1026" alt="Title: Division Line - Description: Division Line between the main content and the footnotes" style="position:absolute;margin-left:1in;margin-top:8.85pt;width:2in;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" fillcolor="black" stroked="f">
                <w10:wrap type="topAndBottom" anchorx="page"/>
              </v:rect>
            </w:pict>
          </mc:Fallback>
        </mc:AlternateContent>
      </w:r>
    </w:p>
    <w:p w:rsidR="00D862F2" w:rsidRDefault="00884FE4">
      <w:pPr>
        <w:spacing w:before="110"/>
        <w:ind w:left="220" w:right="1062"/>
        <w:rPr>
          <w:rFonts w:ascii="Book Antiqua"/>
          <w:sz w:val="20"/>
        </w:rPr>
      </w:pPr>
      <w:bookmarkStart w:id="25" w:name="_bookmark24"/>
      <w:bookmarkEnd w:id="25"/>
      <w:r>
        <w:rPr>
          <w:rFonts w:ascii="Book Antiqua"/>
          <w:position w:val="5"/>
          <w:sz w:val="13"/>
        </w:rPr>
        <w:t xml:space="preserve">25 </w:t>
      </w:r>
      <w:r>
        <w:rPr>
          <w:rFonts w:ascii="Book Antiqua"/>
          <w:sz w:val="20"/>
        </w:rPr>
        <w:t xml:space="preserve">American Psychological Association, </w:t>
      </w:r>
      <w:hyperlink r:id="rId31">
        <w:r>
          <w:rPr>
            <w:rFonts w:ascii="Book Antiqua"/>
            <w:color w:val="0000FF"/>
            <w:sz w:val="20"/>
            <w:u w:val="single" w:color="0000FF"/>
          </w:rPr>
          <w:t>Promoting Awareness of Children's Mental Health Issues</w:t>
        </w:r>
      </w:hyperlink>
      <w:r>
        <w:rPr>
          <w:rFonts w:ascii="Book Antiqua"/>
          <w:color w:val="0000FF"/>
          <w:spacing w:val="-47"/>
          <w:sz w:val="20"/>
        </w:rPr>
        <w:t xml:space="preserve"> </w:t>
      </w:r>
      <w:hyperlink r:id="rId32">
        <w:r>
          <w:rPr>
            <w:rFonts w:ascii="Book Antiqua"/>
            <w:color w:val="0000FF"/>
            <w:sz w:val="20"/>
            <w:u w:val="single" w:color="0000FF"/>
          </w:rPr>
          <w:t>(apa.org)</w:t>
        </w:r>
      </w:hyperlink>
    </w:p>
    <w:p w:rsidR="00D862F2" w:rsidRDefault="00884FE4">
      <w:pPr>
        <w:ind w:left="219" w:right="350"/>
        <w:rPr>
          <w:rFonts w:ascii="Book Antiqua"/>
          <w:sz w:val="20"/>
        </w:rPr>
      </w:pPr>
      <w:bookmarkStart w:id="26" w:name="_bookmark25"/>
      <w:bookmarkEnd w:id="26"/>
      <w:r>
        <w:rPr>
          <w:rFonts w:ascii="Book Antiqua"/>
          <w:position w:val="5"/>
          <w:sz w:val="13"/>
        </w:rPr>
        <w:t xml:space="preserve">26 </w:t>
      </w:r>
      <w:r>
        <w:rPr>
          <w:rFonts w:ascii="Book Antiqua"/>
          <w:sz w:val="20"/>
        </w:rPr>
        <w:t>Tyler et al, Behavioral Health Integration in Pediatric Primary Care: Considerations and Opportunities,</w:t>
      </w:r>
      <w:r>
        <w:rPr>
          <w:rFonts w:ascii="Book Antiqua"/>
          <w:spacing w:val="-47"/>
          <w:sz w:val="20"/>
        </w:rPr>
        <w:t xml:space="preserve"> </w:t>
      </w:r>
      <w:r>
        <w:rPr>
          <w:rFonts w:ascii="Book Antiqua"/>
          <w:sz w:val="20"/>
        </w:rPr>
        <w:t>for Policymakers, Payers and Providers, Millbank Memorial Fund, March 2017,</w:t>
      </w:r>
      <w:r>
        <w:rPr>
          <w:rFonts w:ascii="Book Antiqua"/>
          <w:spacing w:val="1"/>
          <w:sz w:val="20"/>
        </w:rPr>
        <w:t xml:space="preserve"> </w:t>
      </w:r>
      <w:hyperlink r:id="rId33">
        <w:bookmarkStart w:id="27" w:name="_bookmark26"/>
        <w:bookmarkEnd w:id="27"/>
        <w:r>
          <w:rPr>
            <w:rFonts w:ascii="Book Antiqua"/>
            <w:color w:val="0000FF"/>
            <w:sz w:val="20"/>
            <w:u w:val="single" w:color="0000FF"/>
          </w:rPr>
          <w:t>MMF_BHI_REPORT_FINAL.pdf (milbank.org)</w:t>
        </w:r>
      </w:hyperlink>
    </w:p>
    <w:p w:rsidR="00D862F2" w:rsidRDefault="00884FE4">
      <w:pPr>
        <w:spacing w:before="1" w:line="248" w:lineRule="exact"/>
        <w:ind w:left="220"/>
        <w:rPr>
          <w:rFonts w:ascii="Book Antiqua" w:hAnsi="Book Antiqua"/>
          <w:sz w:val="20"/>
        </w:rPr>
      </w:pPr>
      <w:r>
        <w:rPr>
          <w:rFonts w:ascii="Book Antiqua" w:hAnsi="Book Antiqua"/>
          <w:position w:val="5"/>
          <w:sz w:val="13"/>
        </w:rPr>
        <w:t>27</w:t>
      </w:r>
      <w:r>
        <w:rPr>
          <w:rFonts w:ascii="Book Antiqua" w:hAnsi="Book Antiqua"/>
          <w:spacing w:val="14"/>
          <w:position w:val="5"/>
          <w:sz w:val="13"/>
        </w:rPr>
        <w:t xml:space="preserve"> </w:t>
      </w:r>
      <w:r>
        <w:rPr>
          <w:rFonts w:ascii="Book Antiqua" w:hAnsi="Book Antiqua"/>
          <w:sz w:val="20"/>
        </w:rPr>
        <w:t>Department</w:t>
      </w:r>
      <w:r>
        <w:rPr>
          <w:rFonts w:ascii="Book Antiqua" w:hAnsi="Book Antiqua"/>
          <w:spacing w:val="-3"/>
          <w:sz w:val="20"/>
        </w:rPr>
        <w:t xml:space="preserve"> </w:t>
      </w:r>
      <w:r>
        <w:rPr>
          <w:rFonts w:ascii="Book Antiqua" w:hAnsi="Book Antiqua"/>
          <w:sz w:val="20"/>
        </w:rPr>
        <w:t>Chief</w:t>
      </w:r>
      <w:r>
        <w:rPr>
          <w:rFonts w:ascii="Book Antiqua" w:hAnsi="Book Antiqua"/>
          <w:spacing w:val="-3"/>
          <w:sz w:val="20"/>
        </w:rPr>
        <w:t xml:space="preserve"> </w:t>
      </w:r>
      <w:r>
        <w:rPr>
          <w:rFonts w:ascii="Book Antiqua" w:hAnsi="Book Antiqua"/>
          <w:sz w:val="20"/>
        </w:rPr>
        <w:t>Notes</w:t>
      </w:r>
      <w:r>
        <w:rPr>
          <w:rFonts w:ascii="Book Antiqua" w:hAnsi="Book Antiqua"/>
          <w:spacing w:val="-4"/>
          <w:sz w:val="20"/>
        </w:rPr>
        <w:t xml:space="preserve"> </w:t>
      </w:r>
      <w:r>
        <w:rPr>
          <w:rFonts w:ascii="Book Antiqua" w:hAnsi="Book Antiqua"/>
          <w:sz w:val="20"/>
        </w:rPr>
        <w:t>–</w:t>
      </w:r>
      <w:r>
        <w:rPr>
          <w:rFonts w:ascii="Book Antiqua" w:hAnsi="Book Antiqua"/>
          <w:spacing w:val="-2"/>
          <w:sz w:val="20"/>
        </w:rPr>
        <w:t xml:space="preserve"> </w:t>
      </w:r>
      <w:r>
        <w:rPr>
          <w:rFonts w:ascii="Book Antiqua" w:hAnsi="Book Antiqua"/>
          <w:sz w:val="20"/>
        </w:rPr>
        <w:t>Psychiatry,</w:t>
      </w:r>
      <w:r>
        <w:rPr>
          <w:rFonts w:ascii="Book Antiqua" w:hAnsi="Book Antiqua"/>
          <w:spacing w:val="-3"/>
          <w:sz w:val="20"/>
        </w:rPr>
        <w:t xml:space="preserve"> </w:t>
      </w:r>
      <w:r>
        <w:rPr>
          <w:rFonts w:ascii="Book Antiqua" w:hAnsi="Book Antiqua"/>
          <w:sz w:val="20"/>
        </w:rPr>
        <w:t>November</w:t>
      </w:r>
      <w:r>
        <w:rPr>
          <w:rFonts w:ascii="Book Antiqua" w:hAnsi="Book Antiqua"/>
          <w:spacing w:val="-3"/>
          <w:sz w:val="20"/>
        </w:rPr>
        <w:t xml:space="preserve"> </w:t>
      </w:r>
      <w:r>
        <w:rPr>
          <w:rFonts w:ascii="Book Antiqua" w:hAnsi="Book Antiqua"/>
          <w:sz w:val="20"/>
        </w:rPr>
        <w:t>2020</w:t>
      </w:r>
    </w:p>
    <w:p w:rsidR="00D862F2" w:rsidRDefault="00884FE4">
      <w:pPr>
        <w:spacing w:line="248" w:lineRule="exact"/>
        <w:ind w:left="220"/>
        <w:rPr>
          <w:rFonts w:ascii="Book Antiqua" w:hAnsi="Book Antiqua"/>
          <w:sz w:val="20"/>
        </w:rPr>
      </w:pPr>
      <w:bookmarkStart w:id="28" w:name="_bookmark27"/>
      <w:bookmarkEnd w:id="28"/>
      <w:r>
        <w:rPr>
          <w:rFonts w:ascii="Book Antiqua" w:hAnsi="Book Antiqua"/>
          <w:position w:val="5"/>
          <w:sz w:val="13"/>
        </w:rPr>
        <w:t>28</w:t>
      </w:r>
      <w:r>
        <w:rPr>
          <w:rFonts w:ascii="Book Antiqua" w:hAnsi="Book Antiqua"/>
          <w:spacing w:val="14"/>
          <w:position w:val="5"/>
          <w:sz w:val="13"/>
        </w:rPr>
        <w:t xml:space="preserve"> </w:t>
      </w:r>
      <w:r>
        <w:rPr>
          <w:rFonts w:ascii="Book Antiqua" w:hAnsi="Book Antiqua"/>
          <w:sz w:val="20"/>
        </w:rPr>
        <w:t>Department</w:t>
      </w:r>
      <w:r>
        <w:rPr>
          <w:rFonts w:ascii="Book Antiqua" w:hAnsi="Book Antiqua"/>
          <w:spacing w:val="-3"/>
          <w:sz w:val="20"/>
        </w:rPr>
        <w:t xml:space="preserve"> </w:t>
      </w:r>
      <w:r>
        <w:rPr>
          <w:rFonts w:ascii="Book Antiqua" w:hAnsi="Book Antiqua"/>
          <w:sz w:val="20"/>
        </w:rPr>
        <w:t>Chief</w:t>
      </w:r>
      <w:r>
        <w:rPr>
          <w:rFonts w:ascii="Book Antiqua" w:hAnsi="Book Antiqua"/>
          <w:spacing w:val="-3"/>
          <w:sz w:val="20"/>
        </w:rPr>
        <w:t xml:space="preserve"> </w:t>
      </w:r>
      <w:r>
        <w:rPr>
          <w:rFonts w:ascii="Book Antiqua" w:hAnsi="Book Antiqua"/>
          <w:sz w:val="20"/>
        </w:rPr>
        <w:t>Notes</w:t>
      </w:r>
      <w:r>
        <w:rPr>
          <w:rFonts w:ascii="Book Antiqua" w:hAnsi="Book Antiqua"/>
          <w:spacing w:val="-4"/>
          <w:sz w:val="20"/>
        </w:rPr>
        <w:t xml:space="preserve"> </w:t>
      </w:r>
      <w:r>
        <w:rPr>
          <w:rFonts w:ascii="Book Antiqua" w:hAnsi="Book Antiqua"/>
          <w:sz w:val="20"/>
        </w:rPr>
        <w:t>–</w:t>
      </w:r>
      <w:r>
        <w:rPr>
          <w:rFonts w:ascii="Book Antiqua" w:hAnsi="Book Antiqua"/>
          <w:spacing w:val="-2"/>
          <w:sz w:val="20"/>
        </w:rPr>
        <w:t xml:space="preserve"> </w:t>
      </w:r>
      <w:r>
        <w:rPr>
          <w:rFonts w:ascii="Book Antiqua" w:hAnsi="Book Antiqua"/>
          <w:sz w:val="20"/>
        </w:rPr>
        <w:t>Psychiatry,</w:t>
      </w:r>
      <w:r>
        <w:rPr>
          <w:rFonts w:ascii="Book Antiqua" w:hAnsi="Book Antiqua"/>
          <w:spacing w:val="-3"/>
          <w:sz w:val="20"/>
        </w:rPr>
        <w:t xml:space="preserve"> </w:t>
      </w:r>
      <w:r>
        <w:rPr>
          <w:rFonts w:ascii="Book Antiqua" w:hAnsi="Book Antiqua"/>
          <w:sz w:val="20"/>
        </w:rPr>
        <w:t>November</w:t>
      </w:r>
      <w:r>
        <w:rPr>
          <w:rFonts w:ascii="Book Antiqua" w:hAnsi="Book Antiqua"/>
          <w:spacing w:val="-3"/>
          <w:sz w:val="20"/>
        </w:rPr>
        <w:t xml:space="preserve"> </w:t>
      </w:r>
      <w:r>
        <w:rPr>
          <w:rFonts w:ascii="Book Antiqua" w:hAnsi="Book Antiqua"/>
          <w:sz w:val="20"/>
        </w:rPr>
        <w:t>2020</w:t>
      </w:r>
    </w:p>
    <w:p w:rsidR="00D862F2" w:rsidRDefault="00D862F2">
      <w:pPr>
        <w:spacing w:line="248" w:lineRule="exact"/>
        <w:rPr>
          <w:rFonts w:ascii="Book Antiqua" w:hAnsi="Book Antiqua"/>
          <w:sz w:val="20"/>
        </w:rPr>
        <w:sectPr w:rsidR="00D862F2">
          <w:headerReference w:type="default" r:id="rId34"/>
          <w:footerReference w:type="default" r:id="rId35"/>
          <w:pgSz w:w="12240" w:h="15840"/>
          <w:pgMar w:top="1360" w:right="1160" w:bottom="280" w:left="1220" w:header="0" w:footer="0" w:gutter="0"/>
          <w:cols w:space="720"/>
        </w:sectPr>
      </w:pPr>
    </w:p>
    <w:p w:rsidR="00D862F2" w:rsidRDefault="00884FE4">
      <w:pPr>
        <w:spacing w:before="77"/>
        <w:ind w:left="579" w:right="320"/>
        <w:rPr>
          <w:rFonts w:ascii="Book Antiqua" w:hAnsi="Book Antiqua"/>
        </w:rPr>
      </w:pPr>
      <w:r>
        <w:rPr>
          <w:rFonts w:ascii="Book Antiqua" w:hAnsi="Book Antiqua"/>
        </w:rPr>
        <w:lastRenderedPageBreak/>
        <w:t>conditions is essential for their ongoing wellness and growth, as well as addressing high</w:t>
      </w:r>
      <w:r>
        <w:rPr>
          <w:rFonts w:ascii="Book Antiqua" w:hAnsi="Book Antiqua"/>
          <w:spacing w:val="1"/>
        </w:rPr>
        <w:t xml:space="preserve"> </w:t>
      </w:r>
      <w:r>
        <w:rPr>
          <w:rFonts w:ascii="Book Antiqua" w:hAnsi="Book Antiqua"/>
        </w:rPr>
        <w:t>costs of care.</w:t>
      </w:r>
      <w:hyperlink w:anchor="_bookmark28" w:history="1">
        <w:r>
          <w:rPr>
            <w:rFonts w:ascii="Book Antiqua" w:hAnsi="Book Antiqua"/>
            <w:position w:val="5"/>
            <w:sz w:val="14"/>
          </w:rPr>
          <w:t>29</w:t>
        </w:r>
      </w:hyperlink>
      <w:r>
        <w:rPr>
          <w:rFonts w:ascii="Book Antiqua" w:hAnsi="Book Antiqua"/>
          <w:spacing w:val="1"/>
          <w:position w:val="5"/>
          <w:sz w:val="14"/>
        </w:rPr>
        <w:t xml:space="preserve"> </w:t>
      </w:r>
      <w:r>
        <w:rPr>
          <w:rFonts w:ascii="Book Antiqua" w:hAnsi="Book Antiqua"/>
        </w:rPr>
        <w:t>Children’s is the only facility in MA to provide inpatient psychiatric care for</w:t>
      </w:r>
      <w:r>
        <w:rPr>
          <w:rFonts w:ascii="Book Antiqua" w:hAnsi="Book Antiqua"/>
          <w:spacing w:val="-53"/>
        </w:rPr>
        <w:t xml:space="preserve"> </w:t>
      </w:r>
      <w:r>
        <w:rPr>
          <w:rFonts w:ascii="Book Antiqua" w:hAnsi="Book Antiqua"/>
        </w:rPr>
        <w:t>children</w:t>
      </w:r>
      <w:r>
        <w:rPr>
          <w:rFonts w:ascii="Book Antiqua" w:hAnsi="Book Antiqua"/>
          <w:spacing w:val="-1"/>
        </w:rPr>
        <w:t xml:space="preserve"> </w:t>
      </w:r>
      <w:r>
        <w:rPr>
          <w:rFonts w:ascii="Book Antiqua" w:hAnsi="Book Antiqua"/>
        </w:rPr>
        <w:t>and</w:t>
      </w:r>
      <w:r>
        <w:rPr>
          <w:rFonts w:ascii="Book Antiqua" w:hAnsi="Book Antiqua"/>
          <w:spacing w:val="-1"/>
        </w:rPr>
        <w:t xml:space="preserve"> </w:t>
      </w:r>
      <w:r>
        <w:rPr>
          <w:rFonts w:ascii="Book Antiqua" w:hAnsi="Book Antiqua"/>
        </w:rPr>
        <w:t>adolescents</w:t>
      </w:r>
      <w:r>
        <w:rPr>
          <w:rFonts w:ascii="Book Antiqua" w:hAnsi="Book Antiqua"/>
          <w:spacing w:val="-4"/>
        </w:rPr>
        <w:t xml:space="preserve"> </w:t>
      </w:r>
      <w:r>
        <w:rPr>
          <w:rFonts w:ascii="Book Antiqua" w:hAnsi="Book Antiqua"/>
        </w:rPr>
        <w:t>with severe</w:t>
      </w:r>
      <w:r>
        <w:rPr>
          <w:rFonts w:ascii="Book Antiqua" w:hAnsi="Book Antiqua"/>
          <w:spacing w:val="-4"/>
        </w:rPr>
        <w:t xml:space="preserve"> </w:t>
      </w:r>
      <w:r>
        <w:rPr>
          <w:rFonts w:ascii="Book Antiqua" w:hAnsi="Book Antiqua"/>
        </w:rPr>
        <w:t>co-occurring</w:t>
      </w:r>
      <w:r>
        <w:rPr>
          <w:rFonts w:ascii="Book Antiqua" w:hAnsi="Book Antiqua"/>
          <w:spacing w:val="-2"/>
        </w:rPr>
        <w:t xml:space="preserve"> </w:t>
      </w:r>
      <w:r>
        <w:rPr>
          <w:rFonts w:ascii="Book Antiqua" w:hAnsi="Book Antiqua"/>
        </w:rPr>
        <w:t>medical</w:t>
      </w:r>
      <w:r>
        <w:rPr>
          <w:rFonts w:ascii="Book Antiqua" w:hAnsi="Book Antiqua"/>
          <w:spacing w:val="-3"/>
        </w:rPr>
        <w:t xml:space="preserve"> </w:t>
      </w:r>
      <w:r>
        <w:rPr>
          <w:rFonts w:ascii="Book Antiqua" w:hAnsi="Book Antiqua"/>
        </w:rPr>
        <w:t>and</w:t>
      </w:r>
      <w:r>
        <w:rPr>
          <w:rFonts w:ascii="Book Antiqua" w:hAnsi="Book Antiqua"/>
          <w:spacing w:val="-2"/>
        </w:rPr>
        <w:t xml:space="preserve"> </w:t>
      </w:r>
      <w:r>
        <w:rPr>
          <w:rFonts w:ascii="Book Antiqua" w:hAnsi="Book Antiqua"/>
        </w:rPr>
        <w:t>psychiatric</w:t>
      </w:r>
      <w:r>
        <w:rPr>
          <w:rFonts w:ascii="Book Antiqua" w:hAnsi="Book Antiqua"/>
          <w:spacing w:val="-1"/>
        </w:rPr>
        <w:t xml:space="preserve"> </w:t>
      </w:r>
      <w:r>
        <w:rPr>
          <w:rFonts w:ascii="Book Antiqua" w:hAnsi="Book Antiqua"/>
        </w:rPr>
        <w:t>disorders.</w:t>
      </w:r>
    </w:p>
    <w:p w:rsidR="00D862F2" w:rsidRDefault="00D862F2">
      <w:pPr>
        <w:pStyle w:val="BodyText"/>
        <w:spacing w:before="4"/>
        <w:rPr>
          <w:rFonts w:ascii="Book Antiqua"/>
          <w:sz w:val="19"/>
        </w:rPr>
      </w:pPr>
    </w:p>
    <w:p w:rsidR="00D862F2" w:rsidRDefault="00884FE4">
      <w:pPr>
        <w:spacing w:before="1"/>
        <w:ind w:left="579" w:right="279"/>
        <w:rPr>
          <w:rFonts w:ascii="Book Antiqua" w:hAnsi="Book Antiqua"/>
        </w:rPr>
      </w:pPr>
      <w:r>
        <w:rPr>
          <w:rFonts w:ascii="Book Antiqua" w:hAnsi="Book Antiqua"/>
        </w:rPr>
        <w:t>Boston Children’s ongoing commitment to improving access to pediatric health care is</w:t>
      </w:r>
      <w:r>
        <w:rPr>
          <w:rFonts w:ascii="Book Antiqua" w:hAnsi="Book Antiqua"/>
          <w:spacing w:val="1"/>
        </w:rPr>
        <w:t xml:space="preserve"> </w:t>
      </w:r>
      <w:r>
        <w:rPr>
          <w:rFonts w:ascii="Book Antiqua" w:hAnsi="Book Antiqua"/>
        </w:rPr>
        <w:t>evident both within this DON expansion for a med-psych program, as well as its ongoing</w:t>
      </w:r>
      <w:r>
        <w:rPr>
          <w:rFonts w:ascii="Book Antiqua" w:hAnsi="Book Antiqua"/>
          <w:spacing w:val="1"/>
        </w:rPr>
        <w:t xml:space="preserve"> </w:t>
      </w:r>
      <w:r>
        <w:rPr>
          <w:rFonts w:ascii="Book Antiqua" w:hAnsi="Book Antiqua"/>
        </w:rPr>
        <w:t>commitment to expand inpatient and outpatient behavioral health services.</w:t>
      </w:r>
      <w:r>
        <w:rPr>
          <w:rFonts w:ascii="Book Antiqua" w:hAnsi="Book Antiqua"/>
          <w:spacing w:val="1"/>
        </w:rPr>
        <w:t xml:space="preserve"> </w:t>
      </w:r>
      <w:r>
        <w:rPr>
          <w:rFonts w:ascii="Book Antiqua" w:hAnsi="Book Antiqua"/>
        </w:rPr>
        <w:t>We anticipate</w:t>
      </w:r>
      <w:r>
        <w:rPr>
          <w:rFonts w:ascii="Book Antiqua" w:hAnsi="Book Antiqua"/>
          <w:spacing w:val="1"/>
        </w:rPr>
        <w:t xml:space="preserve"> </w:t>
      </w:r>
      <w:r>
        <w:rPr>
          <w:rFonts w:ascii="Book Antiqua" w:hAnsi="Book Antiqua"/>
        </w:rPr>
        <w:t>that Boston Children’s will receive considerable input on community-level behavioral health</w:t>
      </w:r>
      <w:r>
        <w:rPr>
          <w:rFonts w:ascii="Book Antiqua" w:hAnsi="Book Antiqua"/>
          <w:spacing w:val="-52"/>
        </w:rPr>
        <w:t xml:space="preserve"> </w:t>
      </w:r>
      <w:r>
        <w:rPr>
          <w:rFonts w:ascii="Book Antiqua" w:hAnsi="Book Antiqua"/>
        </w:rPr>
        <w:t>access needs as it conducts its community outreach and needs assessment planning, as</w:t>
      </w:r>
      <w:r>
        <w:rPr>
          <w:rFonts w:ascii="Book Antiqua" w:hAnsi="Book Antiqua"/>
          <w:spacing w:val="1"/>
        </w:rPr>
        <w:t xml:space="preserve"> </w:t>
      </w:r>
      <w:r>
        <w:rPr>
          <w:rFonts w:ascii="Book Antiqua" w:hAnsi="Book Antiqua"/>
        </w:rPr>
        <w:t>described further</w:t>
      </w:r>
      <w:r>
        <w:rPr>
          <w:rFonts w:ascii="Book Antiqua" w:hAnsi="Book Antiqua"/>
          <w:spacing w:val="2"/>
        </w:rPr>
        <w:t xml:space="preserve"> </w:t>
      </w:r>
      <w:r>
        <w:rPr>
          <w:rFonts w:ascii="Book Antiqua" w:hAnsi="Book Antiqua"/>
        </w:rPr>
        <w:t>in</w:t>
      </w:r>
      <w:r>
        <w:rPr>
          <w:rFonts w:ascii="Book Antiqua" w:hAnsi="Book Antiqua"/>
          <w:spacing w:val="5"/>
        </w:rPr>
        <w:t xml:space="preserve"> </w:t>
      </w:r>
      <w:r>
        <w:rPr>
          <w:rFonts w:ascii="Book Antiqua" w:hAnsi="Book Antiqua"/>
        </w:rPr>
        <w:t>Section</w:t>
      </w:r>
      <w:r>
        <w:rPr>
          <w:rFonts w:ascii="Book Antiqua" w:hAnsi="Book Antiqua"/>
          <w:spacing w:val="4"/>
        </w:rPr>
        <w:t xml:space="preserve"> </w:t>
      </w:r>
      <w:r>
        <w:rPr>
          <w:rFonts w:ascii="Book Antiqua" w:hAnsi="Book Antiqua"/>
        </w:rPr>
        <w:t>IV</w:t>
      </w:r>
      <w:r>
        <w:rPr>
          <w:rFonts w:ascii="Book Antiqua" w:hAnsi="Book Antiqua"/>
          <w:spacing w:val="3"/>
        </w:rPr>
        <w:t xml:space="preserve"> </w:t>
      </w:r>
      <w:r>
        <w:rPr>
          <w:rFonts w:ascii="Book Antiqua" w:hAnsi="Book Antiqua"/>
        </w:rPr>
        <w:t>below.   We</w:t>
      </w:r>
      <w:r>
        <w:rPr>
          <w:rFonts w:ascii="Book Antiqua" w:hAnsi="Book Antiqua"/>
          <w:spacing w:val="4"/>
        </w:rPr>
        <w:t xml:space="preserve"> </w:t>
      </w:r>
      <w:r>
        <w:rPr>
          <w:rFonts w:ascii="Book Antiqua" w:hAnsi="Book Antiqua"/>
        </w:rPr>
        <w:t>additionally expect</w:t>
      </w:r>
      <w:r>
        <w:rPr>
          <w:rFonts w:ascii="Book Antiqua" w:hAnsi="Book Antiqua"/>
          <w:spacing w:val="4"/>
        </w:rPr>
        <w:t xml:space="preserve"> </w:t>
      </w:r>
      <w:r>
        <w:rPr>
          <w:rFonts w:ascii="Book Antiqua" w:hAnsi="Book Antiqua"/>
        </w:rPr>
        <w:t>continued state</w:t>
      </w:r>
      <w:r>
        <w:rPr>
          <w:rFonts w:ascii="Book Antiqua" w:hAnsi="Book Antiqua"/>
          <w:spacing w:val="1"/>
        </w:rPr>
        <w:t xml:space="preserve"> </w:t>
      </w:r>
      <w:r>
        <w:rPr>
          <w:rFonts w:ascii="Book Antiqua" w:hAnsi="Book Antiqua"/>
        </w:rPr>
        <w:t>policymaking</w:t>
      </w:r>
      <w:r>
        <w:rPr>
          <w:rFonts w:ascii="Book Antiqua" w:hAnsi="Book Antiqua"/>
          <w:spacing w:val="-2"/>
        </w:rPr>
        <w:t xml:space="preserve"> </w:t>
      </w:r>
      <w:r>
        <w:rPr>
          <w:rFonts w:ascii="Book Antiqua" w:hAnsi="Book Antiqua"/>
        </w:rPr>
        <w:t>through the</w:t>
      </w:r>
      <w:r>
        <w:rPr>
          <w:rFonts w:ascii="Book Antiqua" w:hAnsi="Book Antiqua"/>
          <w:spacing w:val="-1"/>
        </w:rPr>
        <w:t xml:space="preserve"> </w:t>
      </w:r>
      <w:r>
        <w:rPr>
          <w:rFonts w:ascii="Book Antiqua" w:hAnsi="Book Antiqua"/>
        </w:rPr>
        <w:t>State’s</w:t>
      </w:r>
      <w:r>
        <w:rPr>
          <w:rFonts w:ascii="Book Antiqua" w:hAnsi="Book Antiqua"/>
          <w:spacing w:val="-1"/>
        </w:rPr>
        <w:t xml:space="preserve"> </w:t>
      </w:r>
      <w:r>
        <w:rPr>
          <w:rFonts w:ascii="Book Antiqua" w:hAnsi="Book Antiqua"/>
        </w:rPr>
        <w:t>recently</w:t>
      </w:r>
      <w:r>
        <w:rPr>
          <w:rFonts w:ascii="Book Antiqua" w:hAnsi="Book Antiqua"/>
          <w:spacing w:val="-1"/>
        </w:rPr>
        <w:t xml:space="preserve"> </w:t>
      </w:r>
      <w:r>
        <w:rPr>
          <w:rFonts w:ascii="Book Antiqua" w:hAnsi="Book Antiqua"/>
        </w:rPr>
        <w:t>released</w:t>
      </w:r>
      <w:r>
        <w:rPr>
          <w:rFonts w:ascii="Book Antiqua" w:hAnsi="Book Antiqua"/>
          <w:spacing w:val="-2"/>
        </w:rPr>
        <w:t xml:space="preserve"> </w:t>
      </w:r>
      <w:r>
        <w:rPr>
          <w:rFonts w:ascii="Book Antiqua" w:hAnsi="Book Antiqua"/>
        </w:rPr>
        <w:t>behavioral</w:t>
      </w:r>
      <w:r>
        <w:rPr>
          <w:rFonts w:ascii="Book Antiqua" w:hAnsi="Book Antiqua"/>
          <w:spacing w:val="-3"/>
        </w:rPr>
        <w:t xml:space="preserve"> </w:t>
      </w:r>
      <w:r>
        <w:rPr>
          <w:rFonts w:ascii="Book Antiqua" w:hAnsi="Book Antiqua"/>
        </w:rPr>
        <w:t>health roadmap.</w:t>
      </w:r>
    </w:p>
    <w:p w:rsidR="00D862F2" w:rsidRDefault="00D862F2">
      <w:pPr>
        <w:pStyle w:val="BodyText"/>
        <w:spacing w:before="5"/>
        <w:rPr>
          <w:rFonts w:ascii="Book Antiqua"/>
          <w:sz w:val="19"/>
        </w:rPr>
      </w:pPr>
    </w:p>
    <w:p w:rsidR="00D862F2" w:rsidRDefault="00884FE4">
      <w:pPr>
        <w:pStyle w:val="ListParagraph"/>
        <w:numPr>
          <w:ilvl w:val="0"/>
          <w:numId w:val="2"/>
        </w:numPr>
        <w:tabs>
          <w:tab w:val="left" w:pos="940"/>
        </w:tabs>
        <w:ind w:hanging="361"/>
        <w:rPr>
          <w:rFonts w:ascii="Book Antiqua"/>
          <w:b/>
          <w:i/>
        </w:rPr>
      </w:pPr>
      <w:r>
        <w:rPr>
          <w:rFonts w:ascii="Book Antiqua"/>
          <w:b/>
          <w:i/>
        </w:rPr>
        <w:t>Gastroenterology</w:t>
      </w:r>
    </w:p>
    <w:p w:rsidR="00D862F2" w:rsidRDefault="00884FE4">
      <w:pPr>
        <w:spacing w:before="119"/>
        <w:ind w:left="579" w:right="305"/>
        <w:rPr>
          <w:rFonts w:ascii="Book Antiqua" w:hAnsi="Book Antiqua"/>
          <w:sz w:val="14"/>
        </w:rPr>
      </w:pPr>
      <w:r>
        <w:rPr>
          <w:rFonts w:ascii="Book Antiqua" w:hAnsi="Book Antiqua"/>
        </w:rPr>
        <w:t>The gastroenterology care model is changing across the country to accommodate a shortage</w:t>
      </w:r>
      <w:r>
        <w:rPr>
          <w:rFonts w:ascii="Book Antiqua" w:hAnsi="Book Antiqua"/>
          <w:spacing w:val="-52"/>
        </w:rPr>
        <w:t xml:space="preserve"> </w:t>
      </w:r>
      <w:r>
        <w:rPr>
          <w:rFonts w:ascii="Book Antiqua" w:hAnsi="Book Antiqua"/>
        </w:rPr>
        <w:t>of these pediatric subspecialists.</w:t>
      </w:r>
      <w:r>
        <w:rPr>
          <w:rFonts w:ascii="Book Antiqua" w:hAnsi="Book Antiqua"/>
          <w:spacing w:val="1"/>
        </w:rPr>
        <w:t xml:space="preserve"> </w:t>
      </w:r>
      <w:r>
        <w:rPr>
          <w:rFonts w:ascii="Book Antiqua" w:hAnsi="Book Antiqua"/>
        </w:rPr>
        <w:t>Children can wait nearly five weeks for gastrointestinal</w:t>
      </w:r>
      <w:r>
        <w:rPr>
          <w:rFonts w:ascii="Book Antiqua" w:hAnsi="Book Antiqua"/>
          <w:spacing w:val="1"/>
        </w:rPr>
        <w:t xml:space="preserve"> </w:t>
      </w:r>
      <w:r>
        <w:rPr>
          <w:rFonts w:ascii="Book Antiqua" w:hAnsi="Book Antiqua"/>
        </w:rPr>
        <w:t>appointments, which has encouraged pediatric hospitals, such as Texas Children’s Hospital,</w:t>
      </w:r>
      <w:r>
        <w:rPr>
          <w:rFonts w:ascii="Book Antiqua" w:hAnsi="Book Antiqua"/>
          <w:spacing w:val="-52"/>
        </w:rPr>
        <w:t xml:space="preserve"> </w:t>
      </w:r>
      <w:r>
        <w:rPr>
          <w:rFonts w:ascii="Book Antiqua" w:hAnsi="Book Antiqua"/>
        </w:rPr>
        <w:t>to add ambulatory facilities in which they can offer routine diagnostic endoscopies and</w:t>
      </w:r>
      <w:r>
        <w:rPr>
          <w:rFonts w:ascii="Book Antiqua" w:hAnsi="Book Antiqua"/>
          <w:spacing w:val="1"/>
        </w:rPr>
        <w:t xml:space="preserve"> </w:t>
      </w:r>
      <w:r>
        <w:rPr>
          <w:rFonts w:ascii="Book Antiqua" w:hAnsi="Book Antiqua"/>
        </w:rPr>
        <w:t>consults.</w:t>
      </w:r>
      <w:hyperlink w:anchor="_bookmark29" w:history="1">
        <w:r>
          <w:rPr>
            <w:rFonts w:ascii="Book Antiqua" w:hAnsi="Book Antiqua"/>
            <w:position w:val="5"/>
            <w:sz w:val="14"/>
          </w:rPr>
          <w:t>30</w:t>
        </w:r>
      </w:hyperlink>
      <w:r>
        <w:rPr>
          <w:rFonts w:ascii="Book Antiqua" w:hAnsi="Book Antiqua"/>
          <w:position w:val="5"/>
          <w:sz w:val="14"/>
        </w:rPr>
        <w:t>,</w:t>
      </w:r>
      <w:hyperlink w:anchor="_bookmark30" w:history="1">
        <w:r>
          <w:rPr>
            <w:rFonts w:ascii="Book Antiqua" w:hAnsi="Book Antiqua"/>
            <w:position w:val="5"/>
            <w:sz w:val="14"/>
          </w:rPr>
          <w:t>31</w:t>
        </w:r>
      </w:hyperlink>
      <w:r>
        <w:rPr>
          <w:rFonts w:ascii="Book Antiqua" w:hAnsi="Book Antiqua"/>
          <w:spacing w:val="6"/>
          <w:position w:val="5"/>
          <w:sz w:val="14"/>
        </w:rPr>
        <w:t xml:space="preserve"> </w:t>
      </w:r>
      <w:r>
        <w:rPr>
          <w:rFonts w:ascii="Book Antiqua" w:hAnsi="Book Antiqua"/>
        </w:rPr>
        <w:t>Shifting</w:t>
      </w:r>
      <w:r>
        <w:rPr>
          <w:rFonts w:ascii="Book Antiqua" w:hAnsi="Book Antiqua"/>
          <w:spacing w:val="-1"/>
        </w:rPr>
        <w:t xml:space="preserve"> </w:t>
      </w:r>
      <w:r>
        <w:rPr>
          <w:rFonts w:ascii="Book Antiqua" w:hAnsi="Book Antiqua"/>
        </w:rPr>
        <w:t>care to</w:t>
      </w:r>
      <w:r>
        <w:rPr>
          <w:rFonts w:ascii="Book Antiqua" w:hAnsi="Book Antiqua"/>
          <w:spacing w:val="-1"/>
        </w:rPr>
        <w:t xml:space="preserve"> </w:t>
      </w:r>
      <w:r>
        <w:rPr>
          <w:rFonts w:ascii="Book Antiqua" w:hAnsi="Book Antiqua"/>
        </w:rPr>
        <w:t>these</w:t>
      </w:r>
      <w:r>
        <w:rPr>
          <w:rFonts w:ascii="Book Antiqua" w:hAnsi="Book Antiqua"/>
          <w:spacing w:val="1"/>
        </w:rPr>
        <w:t xml:space="preserve"> </w:t>
      </w:r>
      <w:r>
        <w:rPr>
          <w:rFonts w:ascii="Book Antiqua" w:hAnsi="Book Antiqua"/>
        </w:rPr>
        <w:t>settings can</w:t>
      </w:r>
      <w:r>
        <w:rPr>
          <w:rFonts w:ascii="Book Antiqua" w:hAnsi="Book Antiqua"/>
          <w:spacing w:val="1"/>
        </w:rPr>
        <w:t xml:space="preserve"> </w:t>
      </w:r>
      <w:r>
        <w:rPr>
          <w:rFonts w:ascii="Book Antiqua" w:hAnsi="Book Antiqua"/>
        </w:rPr>
        <w:t>reduce costs</w:t>
      </w:r>
      <w:r>
        <w:rPr>
          <w:rFonts w:ascii="Book Antiqua" w:hAnsi="Book Antiqua"/>
          <w:spacing w:val="-2"/>
        </w:rPr>
        <w:t xml:space="preserve"> </w:t>
      </w:r>
      <w:r>
        <w:rPr>
          <w:rFonts w:ascii="Book Antiqua" w:hAnsi="Book Antiqua"/>
        </w:rPr>
        <w:t>for</w:t>
      </w:r>
      <w:r>
        <w:rPr>
          <w:rFonts w:ascii="Book Antiqua" w:hAnsi="Book Antiqua"/>
          <w:spacing w:val="-1"/>
        </w:rPr>
        <w:t xml:space="preserve"> </w:t>
      </w:r>
      <w:r>
        <w:rPr>
          <w:rFonts w:ascii="Book Antiqua" w:hAnsi="Book Antiqua"/>
        </w:rPr>
        <w:t>patients and</w:t>
      </w:r>
      <w:r>
        <w:rPr>
          <w:rFonts w:ascii="Book Antiqua" w:hAnsi="Book Antiqua"/>
          <w:spacing w:val="-2"/>
        </w:rPr>
        <w:t xml:space="preserve"> </w:t>
      </w:r>
      <w:r>
        <w:rPr>
          <w:rFonts w:ascii="Book Antiqua" w:hAnsi="Book Antiqua"/>
        </w:rPr>
        <w:t>payers.</w:t>
      </w:r>
      <w:hyperlink w:anchor="_bookmark31" w:history="1">
        <w:r>
          <w:rPr>
            <w:rFonts w:ascii="Book Antiqua" w:hAnsi="Book Antiqua"/>
            <w:position w:val="5"/>
            <w:sz w:val="14"/>
          </w:rPr>
          <w:t>32</w:t>
        </w:r>
      </w:hyperlink>
    </w:p>
    <w:p w:rsidR="00D862F2" w:rsidRDefault="00884FE4">
      <w:pPr>
        <w:spacing w:before="119"/>
        <w:ind w:left="579" w:right="301"/>
        <w:rPr>
          <w:rFonts w:ascii="Book Antiqua"/>
          <w:sz w:val="14"/>
        </w:rPr>
      </w:pPr>
      <w:r>
        <w:rPr>
          <w:rFonts w:ascii="Book Antiqua"/>
        </w:rPr>
        <w:t>In addition, ambulatory-focused pediatric care could offer children cost-effective treatment</w:t>
      </w:r>
      <w:r>
        <w:rPr>
          <w:rFonts w:ascii="Book Antiqua"/>
          <w:spacing w:val="1"/>
        </w:rPr>
        <w:t xml:space="preserve"> </w:t>
      </w:r>
      <w:r>
        <w:rPr>
          <w:rFonts w:ascii="Book Antiqua"/>
        </w:rPr>
        <w:t>options that enable them to function better daily.</w:t>
      </w:r>
      <w:r>
        <w:rPr>
          <w:rFonts w:ascii="Book Antiqua"/>
          <w:spacing w:val="1"/>
        </w:rPr>
        <w:t xml:space="preserve"> </w:t>
      </w:r>
      <w:r>
        <w:rPr>
          <w:rFonts w:ascii="Book Antiqua"/>
        </w:rPr>
        <w:t>Behavioral treatment for children, for</w:t>
      </w:r>
      <w:r>
        <w:rPr>
          <w:rFonts w:ascii="Book Antiqua"/>
          <w:spacing w:val="1"/>
        </w:rPr>
        <w:t xml:space="preserve"> </w:t>
      </w:r>
      <w:r>
        <w:rPr>
          <w:rFonts w:ascii="Book Antiqua"/>
        </w:rPr>
        <w:t>example, does not require use of gastrostomy tubes, which can result in a cost-effective ratio</w:t>
      </w:r>
      <w:r>
        <w:rPr>
          <w:rFonts w:ascii="Book Antiqua"/>
          <w:spacing w:val="-52"/>
        </w:rPr>
        <w:t xml:space="preserve"> </w:t>
      </w:r>
      <w:r>
        <w:rPr>
          <w:rFonts w:ascii="Book Antiqua"/>
        </w:rPr>
        <w:t>of roughly $95,000 to $170,00 in five years, and is not associated with the increased stress,</w:t>
      </w:r>
      <w:r>
        <w:rPr>
          <w:rFonts w:ascii="Book Antiqua"/>
          <w:spacing w:val="1"/>
        </w:rPr>
        <w:t xml:space="preserve"> </w:t>
      </w:r>
      <w:r>
        <w:rPr>
          <w:rFonts w:ascii="Book Antiqua"/>
        </w:rPr>
        <w:t>impaired social functioning and social and psychosocial harms of the tubes.</w:t>
      </w:r>
      <w:hyperlink w:anchor="_bookmark32" w:history="1">
        <w:r>
          <w:rPr>
            <w:rFonts w:ascii="Book Antiqua"/>
            <w:position w:val="5"/>
            <w:sz w:val="14"/>
          </w:rPr>
          <w:t>33</w:t>
        </w:r>
      </w:hyperlink>
      <w:r>
        <w:rPr>
          <w:rFonts w:ascii="Book Antiqua"/>
          <w:spacing w:val="1"/>
          <w:position w:val="5"/>
          <w:sz w:val="14"/>
        </w:rPr>
        <w:t xml:space="preserve"> </w:t>
      </w:r>
      <w:r>
        <w:rPr>
          <w:rFonts w:ascii="Book Antiqua"/>
        </w:rPr>
        <w:t>Further,</w:t>
      </w:r>
      <w:r>
        <w:rPr>
          <w:rFonts w:ascii="Book Antiqua"/>
          <w:spacing w:val="1"/>
        </w:rPr>
        <w:t xml:space="preserve"> </w:t>
      </w:r>
      <w:r>
        <w:rPr>
          <w:rFonts w:ascii="Book Antiqua"/>
        </w:rPr>
        <w:t>patients are often denied coverage if infusions for gastroenterological conditions, like</w:t>
      </w:r>
      <w:r>
        <w:rPr>
          <w:rFonts w:ascii="Book Antiqua"/>
          <w:spacing w:val="1"/>
        </w:rPr>
        <w:t xml:space="preserve"> </w:t>
      </w:r>
      <w:r>
        <w:rPr>
          <w:rFonts w:ascii="Book Antiqua"/>
        </w:rPr>
        <w:t>inflammatory bowel disease, are delivered anywhere other than a hospital.</w:t>
      </w:r>
      <w:r>
        <w:rPr>
          <w:rFonts w:ascii="Book Antiqua"/>
          <w:spacing w:val="1"/>
        </w:rPr>
        <w:t xml:space="preserve"> </w:t>
      </w:r>
      <w:r>
        <w:rPr>
          <w:rFonts w:ascii="Book Antiqua"/>
        </w:rPr>
        <w:t>Experts,</w:t>
      </w:r>
      <w:r>
        <w:rPr>
          <w:rFonts w:ascii="Book Antiqua"/>
          <w:spacing w:val="1"/>
        </w:rPr>
        <w:t xml:space="preserve"> </w:t>
      </w:r>
      <w:r>
        <w:rPr>
          <w:rFonts w:ascii="Book Antiqua"/>
        </w:rPr>
        <w:t>however, argue that patients can receive infusions in non-hospital settings, including free-</w:t>
      </w:r>
      <w:r>
        <w:rPr>
          <w:rFonts w:ascii="Book Antiqua"/>
          <w:spacing w:val="1"/>
        </w:rPr>
        <w:t xml:space="preserve"> </w:t>
      </w:r>
      <w:r>
        <w:rPr>
          <w:rFonts w:ascii="Book Antiqua"/>
        </w:rPr>
        <w:t>standing centers and patient homes, without compromising quality of care or patient safety,</w:t>
      </w:r>
      <w:r>
        <w:rPr>
          <w:rFonts w:ascii="Book Antiqua"/>
          <w:spacing w:val="-52"/>
        </w:rPr>
        <w:t xml:space="preserve"> </w:t>
      </w:r>
      <w:r>
        <w:rPr>
          <w:rFonts w:ascii="Book Antiqua"/>
        </w:rPr>
        <w:t>if care teams follow recommendations</w:t>
      </w:r>
      <w:r>
        <w:rPr>
          <w:rFonts w:ascii="Book Antiqua"/>
          <w:spacing w:val="-3"/>
        </w:rPr>
        <w:t xml:space="preserve"> </w:t>
      </w:r>
      <w:r>
        <w:rPr>
          <w:rFonts w:ascii="Book Antiqua"/>
        </w:rPr>
        <w:t>for</w:t>
      </w:r>
      <w:r>
        <w:rPr>
          <w:rFonts w:ascii="Book Antiqua"/>
          <w:spacing w:val="-1"/>
        </w:rPr>
        <w:t xml:space="preserve"> </w:t>
      </w:r>
      <w:r>
        <w:rPr>
          <w:rFonts w:ascii="Book Antiqua"/>
        </w:rPr>
        <w:t>how to</w:t>
      </w:r>
      <w:r>
        <w:rPr>
          <w:rFonts w:ascii="Book Antiqua"/>
          <w:spacing w:val="-3"/>
        </w:rPr>
        <w:t xml:space="preserve"> </w:t>
      </w:r>
      <w:r>
        <w:rPr>
          <w:rFonts w:ascii="Book Antiqua"/>
        </w:rPr>
        <w:t>deliver</w:t>
      </w:r>
      <w:r>
        <w:rPr>
          <w:rFonts w:ascii="Book Antiqua"/>
          <w:spacing w:val="-1"/>
        </w:rPr>
        <w:t xml:space="preserve"> </w:t>
      </w:r>
      <w:r>
        <w:rPr>
          <w:rFonts w:ascii="Book Antiqua"/>
        </w:rPr>
        <w:t>effective</w:t>
      </w:r>
      <w:r>
        <w:rPr>
          <w:rFonts w:ascii="Book Antiqua"/>
          <w:spacing w:val="-3"/>
        </w:rPr>
        <w:t xml:space="preserve"> </w:t>
      </w:r>
      <w:r>
        <w:rPr>
          <w:rFonts w:ascii="Book Antiqua"/>
        </w:rPr>
        <w:t>care.</w:t>
      </w:r>
      <w:hyperlink w:anchor="_bookmark33" w:history="1">
        <w:r>
          <w:rPr>
            <w:rFonts w:ascii="Book Antiqua"/>
            <w:position w:val="5"/>
            <w:sz w:val="14"/>
          </w:rPr>
          <w:t>34</w:t>
        </w:r>
      </w:hyperlink>
      <w:r>
        <w:rPr>
          <w:rFonts w:ascii="Book Antiqua"/>
          <w:position w:val="5"/>
          <w:sz w:val="14"/>
        </w:rPr>
        <w:t>,</w:t>
      </w:r>
      <w:hyperlink w:anchor="_bookmark34" w:history="1">
        <w:r>
          <w:rPr>
            <w:rFonts w:ascii="Book Antiqua"/>
            <w:position w:val="5"/>
            <w:sz w:val="14"/>
          </w:rPr>
          <w:t>35</w:t>
        </w:r>
      </w:hyperlink>
    </w:p>
    <w:p w:rsidR="00D862F2" w:rsidRDefault="00D862F2">
      <w:pPr>
        <w:pStyle w:val="BodyText"/>
        <w:rPr>
          <w:rFonts w:ascii="Book Antiqua"/>
          <w:sz w:val="20"/>
        </w:rPr>
      </w:pPr>
    </w:p>
    <w:p w:rsidR="00D862F2" w:rsidRDefault="00337703">
      <w:pPr>
        <w:pStyle w:val="BodyText"/>
        <w:rPr>
          <w:rFonts w:ascii="Book Antiqua"/>
          <w:sz w:val="22"/>
        </w:rPr>
      </w:pPr>
      <w:r>
        <w:rPr>
          <w:noProof/>
        </w:rPr>
        <mc:AlternateContent>
          <mc:Choice Requires="wps">
            <w:drawing>
              <wp:anchor distT="0" distB="0" distL="0" distR="0" simplePos="0" relativeHeight="487595008" behindDoc="1" locked="0" layoutInCell="1" allowOverlap="1">
                <wp:simplePos x="0" y="0"/>
                <wp:positionH relativeFrom="page">
                  <wp:posOffset>914400</wp:posOffset>
                </wp:positionH>
                <wp:positionV relativeFrom="paragraph">
                  <wp:posOffset>189230</wp:posOffset>
                </wp:positionV>
                <wp:extent cx="1828800" cy="7620"/>
                <wp:effectExtent l="0" t="0" r="0" b="0"/>
                <wp:wrapTopAndBottom/>
                <wp:docPr id="15" name="docshape17"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532C4" id="docshape17" o:spid="_x0000_s1026" alt="Title: Division Line - Description: Division Line between the main content and the footnotes" style="position:absolute;margin-left:1in;margin-top:14.9pt;width:2in;height:.6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" fillcolor="black" stroked="f">
                <w10:wrap type="topAndBottom" anchorx="page"/>
              </v:rect>
            </w:pict>
          </mc:Fallback>
        </mc:AlternateContent>
      </w:r>
    </w:p>
    <w:p w:rsidR="00D862F2" w:rsidRDefault="00884FE4">
      <w:pPr>
        <w:spacing w:before="110"/>
        <w:ind w:left="220"/>
        <w:rPr>
          <w:rFonts w:ascii="Book Antiqua"/>
          <w:sz w:val="20"/>
        </w:rPr>
      </w:pPr>
      <w:bookmarkStart w:id="29" w:name="_bookmark28"/>
      <w:bookmarkEnd w:id="29"/>
      <w:r>
        <w:rPr>
          <w:rFonts w:ascii="Book Antiqua"/>
          <w:position w:val="5"/>
          <w:sz w:val="13"/>
        </w:rPr>
        <w:t>29</w:t>
      </w:r>
      <w:r>
        <w:rPr>
          <w:rFonts w:ascii="Book Antiqua"/>
          <w:spacing w:val="13"/>
          <w:position w:val="5"/>
          <w:sz w:val="13"/>
        </w:rPr>
        <w:t xml:space="preserve"> </w:t>
      </w:r>
      <w:r>
        <w:rPr>
          <w:rFonts w:ascii="Book Antiqua"/>
          <w:sz w:val="20"/>
        </w:rPr>
        <w:t>Doupnik</w:t>
      </w:r>
      <w:r>
        <w:rPr>
          <w:rFonts w:ascii="Book Antiqua"/>
          <w:spacing w:val="-3"/>
          <w:sz w:val="20"/>
        </w:rPr>
        <w:t xml:space="preserve"> </w:t>
      </w:r>
      <w:r>
        <w:rPr>
          <w:rFonts w:ascii="Book Antiqua"/>
          <w:sz w:val="20"/>
        </w:rPr>
        <w:t>et</w:t>
      </w:r>
      <w:r>
        <w:rPr>
          <w:rFonts w:ascii="Book Antiqua"/>
          <w:spacing w:val="-4"/>
          <w:sz w:val="20"/>
        </w:rPr>
        <w:t xml:space="preserve"> </w:t>
      </w:r>
      <w:r>
        <w:rPr>
          <w:rFonts w:ascii="Book Antiqua"/>
          <w:sz w:val="20"/>
        </w:rPr>
        <w:t>al.,</w:t>
      </w:r>
      <w:r>
        <w:rPr>
          <w:rFonts w:ascii="Book Antiqua"/>
          <w:spacing w:val="-3"/>
          <w:sz w:val="20"/>
        </w:rPr>
        <w:t xml:space="preserve"> </w:t>
      </w:r>
      <w:r>
        <w:rPr>
          <w:rFonts w:ascii="Book Antiqua"/>
          <w:i/>
          <w:sz w:val="20"/>
        </w:rPr>
        <w:t>Mental</w:t>
      </w:r>
      <w:r>
        <w:rPr>
          <w:rFonts w:ascii="Book Antiqua"/>
          <w:i/>
          <w:spacing w:val="-4"/>
          <w:sz w:val="20"/>
        </w:rPr>
        <w:t xml:space="preserve"> </w:t>
      </w:r>
      <w:r>
        <w:rPr>
          <w:rFonts w:ascii="Book Antiqua"/>
          <w:i/>
          <w:sz w:val="20"/>
        </w:rPr>
        <w:t>Health</w:t>
      </w:r>
      <w:r>
        <w:rPr>
          <w:rFonts w:ascii="Book Antiqua"/>
          <w:i/>
          <w:spacing w:val="-2"/>
          <w:sz w:val="20"/>
        </w:rPr>
        <w:t xml:space="preserve"> </w:t>
      </w:r>
      <w:r>
        <w:rPr>
          <w:rFonts w:ascii="Book Antiqua"/>
          <w:i/>
          <w:sz w:val="20"/>
        </w:rPr>
        <w:t>Conditions</w:t>
      </w:r>
      <w:r>
        <w:rPr>
          <w:rFonts w:ascii="Book Antiqua"/>
          <w:i/>
          <w:spacing w:val="-5"/>
          <w:sz w:val="20"/>
        </w:rPr>
        <w:t xml:space="preserve"> </w:t>
      </w:r>
      <w:r>
        <w:rPr>
          <w:rFonts w:ascii="Book Antiqua"/>
          <w:i/>
          <w:sz w:val="20"/>
        </w:rPr>
        <w:t>and</w:t>
      </w:r>
      <w:r>
        <w:rPr>
          <w:rFonts w:ascii="Book Antiqua"/>
          <w:i/>
          <w:spacing w:val="-3"/>
          <w:sz w:val="20"/>
        </w:rPr>
        <w:t xml:space="preserve"> </w:t>
      </w:r>
      <w:r>
        <w:rPr>
          <w:rFonts w:ascii="Book Antiqua"/>
          <w:i/>
          <w:sz w:val="20"/>
        </w:rPr>
        <w:t>Medical</w:t>
      </w:r>
      <w:r>
        <w:rPr>
          <w:rFonts w:ascii="Book Antiqua"/>
          <w:i/>
          <w:spacing w:val="-3"/>
          <w:sz w:val="20"/>
        </w:rPr>
        <w:t xml:space="preserve"> </w:t>
      </w:r>
      <w:r>
        <w:rPr>
          <w:rFonts w:ascii="Book Antiqua"/>
          <w:i/>
          <w:sz w:val="20"/>
        </w:rPr>
        <w:t>and</w:t>
      </w:r>
      <w:r>
        <w:rPr>
          <w:rFonts w:ascii="Book Antiqua"/>
          <w:i/>
          <w:spacing w:val="-3"/>
          <w:sz w:val="20"/>
        </w:rPr>
        <w:t xml:space="preserve"> </w:t>
      </w:r>
      <w:r>
        <w:rPr>
          <w:rFonts w:ascii="Book Antiqua"/>
          <w:i/>
          <w:sz w:val="20"/>
        </w:rPr>
        <w:t>Surgical</w:t>
      </w:r>
      <w:r>
        <w:rPr>
          <w:rFonts w:ascii="Book Antiqua"/>
          <w:i/>
          <w:spacing w:val="-4"/>
          <w:sz w:val="20"/>
        </w:rPr>
        <w:t xml:space="preserve"> </w:t>
      </w:r>
      <w:r>
        <w:rPr>
          <w:rFonts w:ascii="Book Antiqua"/>
          <w:i/>
          <w:sz w:val="20"/>
        </w:rPr>
        <w:t>Hospital</w:t>
      </w:r>
      <w:r>
        <w:rPr>
          <w:rFonts w:ascii="Book Antiqua"/>
          <w:i/>
          <w:spacing w:val="-4"/>
          <w:sz w:val="20"/>
        </w:rPr>
        <w:t xml:space="preserve"> </w:t>
      </w:r>
      <w:r>
        <w:rPr>
          <w:rFonts w:ascii="Book Antiqua"/>
          <w:i/>
          <w:sz w:val="20"/>
        </w:rPr>
        <w:t>Utilization</w:t>
      </w:r>
      <w:r>
        <w:rPr>
          <w:rFonts w:ascii="Book Antiqua"/>
          <w:sz w:val="20"/>
        </w:rPr>
        <w:t>,</w:t>
      </w:r>
      <w:r>
        <w:rPr>
          <w:rFonts w:ascii="Book Antiqua"/>
          <w:spacing w:val="-2"/>
          <w:sz w:val="20"/>
        </w:rPr>
        <w:t xml:space="preserve"> </w:t>
      </w:r>
      <w:r>
        <w:rPr>
          <w:rFonts w:ascii="Book Antiqua"/>
          <w:sz w:val="20"/>
        </w:rPr>
        <w:t>Pediatrics,</w:t>
      </w:r>
      <w:r>
        <w:rPr>
          <w:rFonts w:ascii="Book Antiqua"/>
          <w:spacing w:val="-3"/>
          <w:sz w:val="20"/>
        </w:rPr>
        <w:t xml:space="preserve"> </w:t>
      </w:r>
      <w:r>
        <w:rPr>
          <w:rFonts w:ascii="Book Antiqua"/>
          <w:sz w:val="20"/>
        </w:rPr>
        <w:t>Volume</w:t>
      </w:r>
    </w:p>
    <w:p w:rsidR="00D862F2" w:rsidRDefault="00884FE4">
      <w:pPr>
        <w:spacing w:before="1" w:line="248" w:lineRule="exact"/>
        <w:ind w:left="219"/>
        <w:rPr>
          <w:rFonts w:ascii="Book Antiqua"/>
          <w:sz w:val="20"/>
        </w:rPr>
      </w:pPr>
      <w:bookmarkStart w:id="30" w:name="_bookmark29"/>
      <w:bookmarkEnd w:id="30"/>
      <w:r>
        <w:rPr>
          <w:rFonts w:ascii="Book Antiqua"/>
          <w:sz w:val="20"/>
        </w:rPr>
        <w:t>138.</w:t>
      </w:r>
      <w:r>
        <w:rPr>
          <w:rFonts w:ascii="Book Antiqua"/>
          <w:spacing w:val="-3"/>
          <w:sz w:val="20"/>
        </w:rPr>
        <w:t xml:space="preserve"> </w:t>
      </w:r>
      <w:r>
        <w:rPr>
          <w:rFonts w:ascii="Book Antiqua"/>
          <w:sz w:val="20"/>
        </w:rPr>
        <w:t>Issue</w:t>
      </w:r>
      <w:r>
        <w:rPr>
          <w:rFonts w:ascii="Book Antiqua"/>
          <w:spacing w:val="-2"/>
          <w:sz w:val="20"/>
        </w:rPr>
        <w:t xml:space="preserve"> </w:t>
      </w:r>
      <w:r>
        <w:rPr>
          <w:rFonts w:ascii="Book Antiqua"/>
          <w:sz w:val="20"/>
        </w:rPr>
        <w:t>6.</w:t>
      </w:r>
      <w:r>
        <w:rPr>
          <w:rFonts w:ascii="Book Antiqua"/>
          <w:spacing w:val="-2"/>
          <w:sz w:val="20"/>
        </w:rPr>
        <w:t xml:space="preserve"> </w:t>
      </w:r>
      <w:r>
        <w:rPr>
          <w:rFonts w:ascii="Book Antiqua"/>
          <w:sz w:val="20"/>
        </w:rPr>
        <w:t>December</w:t>
      </w:r>
      <w:r>
        <w:rPr>
          <w:rFonts w:ascii="Book Antiqua"/>
          <w:spacing w:val="-2"/>
          <w:sz w:val="20"/>
        </w:rPr>
        <w:t xml:space="preserve"> </w:t>
      </w:r>
      <w:r>
        <w:rPr>
          <w:rFonts w:ascii="Book Antiqua"/>
          <w:sz w:val="20"/>
        </w:rPr>
        <w:t>2016.</w:t>
      </w:r>
    </w:p>
    <w:p w:rsidR="00D862F2" w:rsidRDefault="00884FE4">
      <w:pPr>
        <w:ind w:left="219" w:right="1212"/>
        <w:rPr>
          <w:rFonts w:ascii="Book Antiqua" w:hAnsi="Book Antiqua"/>
          <w:sz w:val="20"/>
        </w:rPr>
      </w:pPr>
      <w:r>
        <w:rPr>
          <w:rFonts w:ascii="Book Antiqua" w:hAnsi="Book Antiqua"/>
          <w:position w:val="5"/>
          <w:sz w:val="13"/>
        </w:rPr>
        <w:t xml:space="preserve">30 </w:t>
      </w:r>
      <w:r>
        <w:rPr>
          <w:rFonts w:ascii="Book Antiqua" w:hAnsi="Book Antiqua"/>
          <w:sz w:val="20"/>
        </w:rPr>
        <w:t>Children’s Hospital Association.</w:t>
      </w:r>
      <w:r>
        <w:rPr>
          <w:rFonts w:ascii="Book Antiqua" w:hAnsi="Book Antiqua"/>
          <w:spacing w:val="1"/>
          <w:sz w:val="20"/>
        </w:rPr>
        <w:t xml:space="preserve"> </w:t>
      </w:r>
      <w:r>
        <w:rPr>
          <w:rFonts w:ascii="Book Antiqua" w:hAnsi="Book Antiqua"/>
          <w:sz w:val="20"/>
        </w:rPr>
        <w:t>(2012).</w:t>
      </w:r>
      <w:r>
        <w:rPr>
          <w:rFonts w:ascii="Book Antiqua" w:hAnsi="Book Antiqua"/>
          <w:spacing w:val="1"/>
          <w:sz w:val="20"/>
        </w:rPr>
        <w:t xml:space="preserve"> </w:t>
      </w:r>
      <w:r>
        <w:rPr>
          <w:rFonts w:ascii="Book Antiqua" w:hAnsi="Book Antiqua"/>
          <w:sz w:val="20"/>
        </w:rPr>
        <w:t>Pediatric Specialists in Children’s Hospitals.</w:t>
      </w:r>
      <w:r>
        <w:rPr>
          <w:rFonts w:ascii="Book Antiqua" w:hAnsi="Book Antiqua"/>
          <w:spacing w:val="50"/>
          <w:sz w:val="20"/>
        </w:rPr>
        <w:t xml:space="preserve"> </w:t>
      </w:r>
      <w:r>
        <w:rPr>
          <w:rFonts w:ascii="Book Antiqua" w:hAnsi="Book Antiqua"/>
          <w:sz w:val="20"/>
        </w:rPr>
        <w:t>(2012).</w:t>
      </w:r>
      <w:r>
        <w:rPr>
          <w:rFonts w:ascii="Book Antiqua" w:hAnsi="Book Antiqua"/>
          <w:spacing w:val="-47"/>
          <w:sz w:val="20"/>
        </w:rPr>
        <w:t xml:space="preserve"> </w:t>
      </w:r>
      <w:bookmarkStart w:id="31" w:name="_bookmark30"/>
      <w:bookmarkEnd w:id="31"/>
      <w:r>
        <w:rPr>
          <w:rFonts w:ascii="Book Antiqua" w:hAnsi="Book Antiqua"/>
          <w:position w:val="5"/>
          <w:sz w:val="13"/>
        </w:rPr>
        <w:t>31</w:t>
      </w:r>
      <w:r>
        <w:rPr>
          <w:rFonts w:ascii="Book Antiqua" w:hAnsi="Book Antiqua"/>
          <w:spacing w:val="1"/>
          <w:position w:val="5"/>
          <w:sz w:val="13"/>
        </w:rPr>
        <w:t xml:space="preserve"> </w:t>
      </w:r>
      <w:r>
        <w:rPr>
          <w:rFonts w:ascii="Book Antiqua" w:hAnsi="Book Antiqua"/>
          <w:sz w:val="20"/>
        </w:rPr>
        <w:t>Texas Children’s Hospital.</w:t>
      </w:r>
      <w:r>
        <w:rPr>
          <w:rFonts w:ascii="Book Antiqua" w:hAnsi="Book Antiqua"/>
          <w:spacing w:val="1"/>
          <w:sz w:val="20"/>
        </w:rPr>
        <w:t xml:space="preserve"> </w:t>
      </w:r>
      <w:r>
        <w:rPr>
          <w:rFonts w:ascii="Book Antiqua" w:hAnsi="Book Antiqua"/>
          <w:sz w:val="20"/>
        </w:rPr>
        <w:t>(2016).</w:t>
      </w:r>
      <w:r>
        <w:rPr>
          <w:rFonts w:ascii="Book Antiqua" w:hAnsi="Book Antiqua"/>
          <w:spacing w:val="1"/>
          <w:sz w:val="20"/>
        </w:rPr>
        <w:t xml:space="preserve"> </w:t>
      </w:r>
      <w:r>
        <w:rPr>
          <w:rFonts w:ascii="Book Antiqua" w:hAnsi="Book Antiqua"/>
          <w:sz w:val="20"/>
        </w:rPr>
        <w:t>“A New Model of GI Care.”</w:t>
      </w:r>
      <w:r>
        <w:rPr>
          <w:rFonts w:ascii="Book Antiqua" w:hAnsi="Book Antiqua"/>
          <w:spacing w:val="1"/>
          <w:sz w:val="20"/>
        </w:rPr>
        <w:t xml:space="preserve"> </w:t>
      </w:r>
      <w:r>
        <w:rPr>
          <w:rFonts w:ascii="Book Antiqua" w:hAnsi="Book Antiqua"/>
          <w:sz w:val="20"/>
        </w:rPr>
        <w:t>Retrieved from</w:t>
      </w:r>
      <w:r>
        <w:rPr>
          <w:rFonts w:ascii="Book Antiqua" w:hAnsi="Book Antiqua"/>
          <w:spacing w:val="1"/>
          <w:sz w:val="20"/>
        </w:rPr>
        <w:t xml:space="preserve"> </w:t>
      </w:r>
      <w:hyperlink r:id="rId36">
        <w:r>
          <w:rPr>
            <w:rFonts w:ascii="Book Antiqua" w:hAnsi="Book Antiqua"/>
            <w:color w:val="0000FF"/>
            <w:sz w:val="20"/>
            <w:u w:val="single" w:color="0000FF"/>
          </w:rPr>
          <w:t>https://www.texaschildrens.org/blog/2016/06/new-model-gi-care</w:t>
        </w:r>
        <w:r>
          <w:rPr>
            <w:rFonts w:ascii="Book Antiqua" w:hAnsi="Book Antiqua"/>
            <w:sz w:val="20"/>
          </w:rPr>
          <w:t>.</w:t>
        </w:r>
      </w:hyperlink>
    </w:p>
    <w:p w:rsidR="00D862F2" w:rsidRDefault="00884FE4">
      <w:pPr>
        <w:ind w:left="219" w:right="332"/>
        <w:jc w:val="both"/>
        <w:rPr>
          <w:rFonts w:ascii="Book Antiqua" w:hAnsi="Book Antiqua"/>
          <w:sz w:val="20"/>
        </w:rPr>
      </w:pPr>
      <w:bookmarkStart w:id="32" w:name="_bookmark31"/>
      <w:bookmarkEnd w:id="32"/>
      <w:r>
        <w:rPr>
          <w:rFonts w:ascii="Book Antiqua" w:hAnsi="Book Antiqua"/>
          <w:position w:val="5"/>
          <w:sz w:val="13"/>
        </w:rPr>
        <w:t xml:space="preserve">32 </w:t>
      </w:r>
      <w:r>
        <w:rPr>
          <w:rFonts w:ascii="Book Antiqua" w:hAnsi="Book Antiqua"/>
          <w:sz w:val="20"/>
        </w:rPr>
        <w:t>Sachin, K., Sana, C., Arora, M., Hutzenbuhler, M., Saini, A., Sachdeva, N.K. (2019). “Safety, Feasibility</w:t>
      </w:r>
      <w:r>
        <w:rPr>
          <w:rFonts w:ascii="Book Antiqua" w:hAnsi="Book Antiqua"/>
          <w:spacing w:val="1"/>
          <w:sz w:val="20"/>
        </w:rPr>
        <w:t xml:space="preserve"> </w:t>
      </w:r>
      <w:r>
        <w:rPr>
          <w:rFonts w:ascii="Book Antiqua" w:hAnsi="Book Antiqua"/>
          <w:sz w:val="20"/>
        </w:rPr>
        <w:t xml:space="preserve">and Cost-Effectiveness of Pediatric Gastrointestinal Procedures at an Outpatient Endoscopy Center.” </w:t>
      </w:r>
      <w:r>
        <w:rPr>
          <w:rFonts w:ascii="Book Antiqua" w:hAnsi="Book Antiqua"/>
          <w:i/>
          <w:sz w:val="20"/>
        </w:rPr>
        <w:t>The</w:t>
      </w:r>
      <w:r>
        <w:rPr>
          <w:rFonts w:ascii="Book Antiqua" w:hAnsi="Book Antiqua"/>
          <w:i/>
          <w:spacing w:val="1"/>
          <w:sz w:val="20"/>
        </w:rPr>
        <w:t xml:space="preserve"> </w:t>
      </w:r>
      <w:r>
        <w:rPr>
          <w:rFonts w:ascii="Book Antiqua" w:hAnsi="Book Antiqua"/>
          <w:i/>
          <w:sz w:val="20"/>
        </w:rPr>
        <w:t>American</w:t>
      </w:r>
      <w:r>
        <w:rPr>
          <w:rFonts w:ascii="Book Antiqua" w:hAnsi="Book Antiqua"/>
          <w:i/>
          <w:spacing w:val="-2"/>
          <w:sz w:val="20"/>
        </w:rPr>
        <w:t xml:space="preserve"> </w:t>
      </w:r>
      <w:r>
        <w:rPr>
          <w:rFonts w:ascii="Book Antiqua" w:hAnsi="Book Antiqua"/>
          <w:i/>
          <w:sz w:val="20"/>
        </w:rPr>
        <w:t>Journal</w:t>
      </w:r>
      <w:r>
        <w:rPr>
          <w:rFonts w:ascii="Book Antiqua" w:hAnsi="Book Antiqua"/>
          <w:i/>
          <w:spacing w:val="-2"/>
          <w:sz w:val="20"/>
        </w:rPr>
        <w:t xml:space="preserve"> </w:t>
      </w:r>
      <w:r>
        <w:rPr>
          <w:rFonts w:ascii="Book Antiqua" w:hAnsi="Book Antiqua"/>
          <w:i/>
          <w:sz w:val="20"/>
        </w:rPr>
        <w:t>of</w:t>
      </w:r>
      <w:r>
        <w:rPr>
          <w:rFonts w:ascii="Book Antiqua" w:hAnsi="Book Antiqua"/>
          <w:i/>
          <w:spacing w:val="-2"/>
          <w:sz w:val="20"/>
        </w:rPr>
        <w:t xml:space="preserve"> </w:t>
      </w:r>
      <w:r>
        <w:rPr>
          <w:rFonts w:ascii="Book Antiqua" w:hAnsi="Book Antiqua"/>
          <w:i/>
          <w:sz w:val="20"/>
        </w:rPr>
        <w:t>Gastroenterology,</w:t>
      </w:r>
      <w:r>
        <w:rPr>
          <w:rFonts w:ascii="Book Antiqua" w:hAnsi="Book Antiqua"/>
          <w:i/>
          <w:spacing w:val="-1"/>
          <w:sz w:val="20"/>
        </w:rPr>
        <w:t xml:space="preserve"> </w:t>
      </w:r>
      <w:r>
        <w:rPr>
          <w:rFonts w:ascii="Book Antiqua" w:hAnsi="Book Antiqua"/>
          <w:i/>
          <w:sz w:val="20"/>
        </w:rPr>
        <w:t>114:</w:t>
      </w:r>
      <w:r>
        <w:rPr>
          <w:rFonts w:ascii="Book Antiqua" w:hAnsi="Book Antiqua"/>
          <w:i/>
          <w:spacing w:val="-4"/>
          <w:sz w:val="20"/>
        </w:rPr>
        <w:t xml:space="preserve"> </w:t>
      </w:r>
      <w:r>
        <w:rPr>
          <w:rFonts w:ascii="Book Antiqua" w:hAnsi="Book Antiqua"/>
          <w:i/>
          <w:sz w:val="20"/>
        </w:rPr>
        <w:t>S645.</w:t>
      </w:r>
      <w:r>
        <w:rPr>
          <w:rFonts w:ascii="Book Antiqua" w:hAnsi="Book Antiqua"/>
          <w:i/>
          <w:spacing w:val="-3"/>
          <w:sz w:val="20"/>
        </w:rPr>
        <w:t xml:space="preserve"> </w:t>
      </w:r>
      <w:hyperlink r:id="rId37">
        <w:r>
          <w:rPr>
            <w:rFonts w:ascii="Book Antiqua" w:hAnsi="Book Antiqua"/>
            <w:color w:val="0000FF"/>
            <w:sz w:val="20"/>
            <w:u w:val="single" w:color="0000FF"/>
          </w:rPr>
          <w:t>https://doi.org/10.14309/01.ajg.0000594128.17059.40</w:t>
        </w:r>
        <w:r>
          <w:rPr>
            <w:rFonts w:ascii="Book Antiqua" w:hAnsi="Book Antiqua"/>
            <w:sz w:val="20"/>
          </w:rPr>
          <w:t>.</w:t>
        </w:r>
      </w:hyperlink>
    </w:p>
    <w:p w:rsidR="00D862F2" w:rsidRDefault="00884FE4">
      <w:pPr>
        <w:ind w:left="219"/>
        <w:rPr>
          <w:rFonts w:ascii="Book Antiqua" w:hAnsi="Book Antiqua"/>
          <w:sz w:val="20"/>
        </w:rPr>
      </w:pPr>
      <w:bookmarkStart w:id="33" w:name="_bookmark32"/>
      <w:bookmarkEnd w:id="33"/>
      <w:r>
        <w:rPr>
          <w:rFonts w:ascii="Book Antiqua" w:hAnsi="Book Antiqua"/>
          <w:position w:val="5"/>
          <w:sz w:val="13"/>
        </w:rPr>
        <w:t xml:space="preserve">33 </w:t>
      </w:r>
      <w:r>
        <w:rPr>
          <w:rFonts w:ascii="Book Antiqua" w:hAnsi="Book Antiqua"/>
          <w:sz w:val="20"/>
        </w:rPr>
        <w:t>Dempster, R., Burdo-Hartman, W., Halpin, E., Williams, C.</w:t>
      </w:r>
      <w:r>
        <w:rPr>
          <w:rFonts w:ascii="Book Antiqua" w:hAnsi="Book Antiqua"/>
          <w:spacing w:val="1"/>
          <w:sz w:val="20"/>
        </w:rPr>
        <w:t xml:space="preserve"> </w:t>
      </w:r>
      <w:r>
        <w:rPr>
          <w:rFonts w:ascii="Book Antiqua" w:hAnsi="Book Antiqua"/>
          <w:sz w:val="20"/>
        </w:rPr>
        <w:t>(2015).</w:t>
      </w:r>
      <w:r>
        <w:rPr>
          <w:rFonts w:ascii="Book Antiqua" w:hAnsi="Book Antiqua"/>
          <w:spacing w:val="1"/>
          <w:sz w:val="20"/>
        </w:rPr>
        <w:t xml:space="preserve"> </w:t>
      </w:r>
      <w:r>
        <w:rPr>
          <w:rFonts w:ascii="Book Antiqua" w:hAnsi="Book Antiqua"/>
          <w:sz w:val="20"/>
        </w:rPr>
        <w:t>“Estimated Cost-Effectiveness of</w:t>
      </w:r>
      <w:r>
        <w:rPr>
          <w:rFonts w:ascii="Book Antiqua" w:hAnsi="Book Antiqua"/>
          <w:spacing w:val="-47"/>
          <w:sz w:val="20"/>
        </w:rPr>
        <w:t xml:space="preserve"> </w:t>
      </w:r>
      <w:r>
        <w:rPr>
          <w:rFonts w:ascii="Book Antiqua" w:hAnsi="Book Antiqua"/>
          <w:sz w:val="20"/>
        </w:rPr>
        <w:t>Intensive Interdisciplinary Behavioral Treatment for Increasing Oral Intake in Children with Feeding</w:t>
      </w:r>
      <w:r>
        <w:rPr>
          <w:rFonts w:ascii="Book Antiqua" w:hAnsi="Book Antiqua"/>
          <w:spacing w:val="1"/>
          <w:sz w:val="20"/>
        </w:rPr>
        <w:t xml:space="preserve"> </w:t>
      </w:r>
      <w:bookmarkStart w:id="34" w:name="_bookmark33"/>
      <w:bookmarkEnd w:id="34"/>
      <w:r>
        <w:rPr>
          <w:rFonts w:ascii="Book Antiqua" w:hAnsi="Book Antiqua"/>
          <w:sz w:val="20"/>
        </w:rPr>
        <w:t>Difficulties.”</w:t>
      </w:r>
      <w:r>
        <w:rPr>
          <w:rFonts w:ascii="Book Antiqua" w:hAnsi="Book Antiqua"/>
          <w:spacing w:val="45"/>
          <w:sz w:val="20"/>
        </w:rPr>
        <w:t xml:space="preserve"> </w:t>
      </w:r>
      <w:r>
        <w:rPr>
          <w:rFonts w:ascii="Book Antiqua" w:hAnsi="Book Antiqua"/>
          <w:i/>
          <w:sz w:val="20"/>
        </w:rPr>
        <w:t>Journal</w:t>
      </w:r>
      <w:r>
        <w:rPr>
          <w:rFonts w:ascii="Book Antiqua" w:hAnsi="Book Antiqua"/>
          <w:i/>
          <w:spacing w:val="-3"/>
          <w:sz w:val="20"/>
        </w:rPr>
        <w:t xml:space="preserve"> </w:t>
      </w:r>
      <w:r>
        <w:rPr>
          <w:rFonts w:ascii="Book Antiqua" w:hAnsi="Book Antiqua"/>
          <w:i/>
          <w:sz w:val="20"/>
        </w:rPr>
        <w:t>of</w:t>
      </w:r>
      <w:r>
        <w:rPr>
          <w:rFonts w:ascii="Book Antiqua" w:hAnsi="Book Antiqua"/>
          <w:i/>
          <w:spacing w:val="-3"/>
          <w:sz w:val="20"/>
        </w:rPr>
        <w:t xml:space="preserve"> </w:t>
      </w:r>
      <w:r>
        <w:rPr>
          <w:rFonts w:ascii="Book Antiqua" w:hAnsi="Book Antiqua"/>
          <w:i/>
          <w:sz w:val="20"/>
        </w:rPr>
        <w:t>Pediatric</w:t>
      </w:r>
      <w:r>
        <w:rPr>
          <w:rFonts w:ascii="Book Antiqua" w:hAnsi="Book Antiqua"/>
          <w:i/>
          <w:spacing w:val="-3"/>
          <w:sz w:val="20"/>
        </w:rPr>
        <w:t xml:space="preserve"> </w:t>
      </w:r>
      <w:r>
        <w:rPr>
          <w:rFonts w:ascii="Book Antiqua" w:hAnsi="Book Antiqua"/>
          <w:i/>
          <w:sz w:val="20"/>
        </w:rPr>
        <w:t>Psychology,</w:t>
      </w:r>
      <w:r>
        <w:rPr>
          <w:rFonts w:ascii="Book Antiqua" w:hAnsi="Book Antiqua"/>
          <w:i/>
          <w:spacing w:val="-2"/>
          <w:sz w:val="20"/>
        </w:rPr>
        <w:t xml:space="preserve"> </w:t>
      </w:r>
      <w:r>
        <w:rPr>
          <w:rFonts w:ascii="Book Antiqua" w:hAnsi="Book Antiqua"/>
          <w:i/>
          <w:sz w:val="20"/>
        </w:rPr>
        <w:t>41(8):</w:t>
      </w:r>
      <w:r>
        <w:rPr>
          <w:rFonts w:ascii="Book Antiqua" w:hAnsi="Book Antiqua"/>
          <w:i/>
          <w:spacing w:val="-3"/>
          <w:sz w:val="20"/>
        </w:rPr>
        <w:t xml:space="preserve"> </w:t>
      </w:r>
      <w:r>
        <w:rPr>
          <w:rFonts w:ascii="Book Antiqua" w:hAnsi="Book Antiqua"/>
          <w:i/>
          <w:sz w:val="20"/>
        </w:rPr>
        <w:t>857-866</w:t>
      </w:r>
      <w:r>
        <w:rPr>
          <w:rFonts w:ascii="Book Antiqua" w:hAnsi="Book Antiqua"/>
          <w:sz w:val="20"/>
        </w:rPr>
        <w:t>.</w:t>
      </w:r>
      <w:r>
        <w:rPr>
          <w:rFonts w:ascii="Book Antiqua" w:hAnsi="Book Antiqua"/>
          <w:spacing w:val="45"/>
          <w:sz w:val="20"/>
        </w:rPr>
        <w:t xml:space="preserve"> </w:t>
      </w:r>
      <w:hyperlink r:id="rId38">
        <w:r>
          <w:rPr>
            <w:rFonts w:ascii="Book Antiqua" w:hAnsi="Book Antiqua"/>
            <w:color w:val="0000FF"/>
            <w:sz w:val="20"/>
            <w:u w:val="single" w:color="0000FF"/>
          </w:rPr>
          <w:t>https://doi.org/10.1093/jpepsy/jsv112</w:t>
        </w:r>
        <w:r>
          <w:rPr>
            <w:rFonts w:ascii="Book Antiqua" w:hAnsi="Book Antiqua"/>
            <w:sz w:val="20"/>
          </w:rPr>
          <w:t>.</w:t>
        </w:r>
      </w:hyperlink>
    </w:p>
    <w:p w:rsidR="00D862F2" w:rsidRDefault="00884FE4">
      <w:pPr>
        <w:ind w:left="219" w:right="286"/>
        <w:rPr>
          <w:rFonts w:ascii="Book Antiqua" w:hAnsi="Book Antiqua"/>
          <w:sz w:val="20"/>
        </w:rPr>
      </w:pPr>
      <w:r>
        <w:rPr>
          <w:rFonts w:ascii="Book Antiqua" w:hAnsi="Book Antiqua"/>
          <w:position w:val="5"/>
          <w:sz w:val="13"/>
        </w:rPr>
        <w:t xml:space="preserve">34 </w:t>
      </w:r>
      <w:r>
        <w:rPr>
          <w:rFonts w:ascii="Book Antiqua" w:hAnsi="Book Antiqua"/>
          <w:sz w:val="20"/>
        </w:rPr>
        <w:t>Barfield, E., Sockolow, R., Hoffenberg, E., Saeed, S., Kim, S., Siebold, L, Picoraro, J., Moses, J., Dykes, D.,</w:t>
      </w:r>
      <w:r>
        <w:rPr>
          <w:rFonts w:ascii="Book Antiqua" w:hAnsi="Book Antiqua"/>
          <w:spacing w:val="-47"/>
          <w:sz w:val="20"/>
        </w:rPr>
        <w:t xml:space="preserve"> </w:t>
      </w:r>
      <w:r>
        <w:rPr>
          <w:rFonts w:ascii="Book Antiqua" w:hAnsi="Book Antiqua"/>
          <w:sz w:val="20"/>
        </w:rPr>
        <w:t>Grossman, A., Wahbeh, G., Park, K.T.</w:t>
      </w:r>
      <w:r>
        <w:rPr>
          <w:rFonts w:ascii="Book Antiqua" w:hAnsi="Book Antiqua"/>
          <w:spacing w:val="1"/>
          <w:sz w:val="20"/>
        </w:rPr>
        <w:t xml:space="preserve"> </w:t>
      </w:r>
      <w:r>
        <w:rPr>
          <w:rFonts w:ascii="Book Antiqua" w:hAnsi="Book Antiqua"/>
          <w:sz w:val="20"/>
        </w:rPr>
        <w:t>(2019).</w:t>
      </w:r>
      <w:r>
        <w:rPr>
          <w:rFonts w:ascii="Book Antiqua" w:hAnsi="Book Antiqua"/>
          <w:spacing w:val="1"/>
          <w:sz w:val="20"/>
        </w:rPr>
        <w:t xml:space="preserve"> </w:t>
      </w:r>
      <w:r>
        <w:rPr>
          <w:rFonts w:ascii="Book Antiqua" w:hAnsi="Book Antiqua"/>
          <w:sz w:val="20"/>
        </w:rPr>
        <w:t>“Assuring Quality for Non-Hospital Based Biologic</w:t>
      </w:r>
      <w:r>
        <w:rPr>
          <w:rFonts w:ascii="Book Antiqua" w:hAnsi="Book Antiqua"/>
          <w:spacing w:val="1"/>
          <w:sz w:val="20"/>
        </w:rPr>
        <w:t xml:space="preserve"> </w:t>
      </w:r>
      <w:r>
        <w:rPr>
          <w:rFonts w:ascii="Book Antiqua" w:hAnsi="Book Antiqua"/>
          <w:sz w:val="20"/>
        </w:rPr>
        <w:t>Infusions in Pediatric Inflammatory Bowel Disease: A Clinical Report from the North American Society</w:t>
      </w:r>
      <w:r>
        <w:rPr>
          <w:rFonts w:ascii="Book Antiqua" w:hAnsi="Book Antiqua"/>
          <w:spacing w:val="1"/>
          <w:sz w:val="20"/>
        </w:rPr>
        <w:t xml:space="preserve"> </w:t>
      </w:r>
      <w:r>
        <w:rPr>
          <w:rFonts w:ascii="Book Antiqua" w:hAnsi="Book Antiqua"/>
          <w:sz w:val="20"/>
        </w:rPr>
        <w:t>for Pediatric Gastroenterology, Hepatology and Nutrition.”</w:t>
      </w:r>
      <w:r>
        <w:rPr>
          <w:rFonts w:ascii="Book Antiqua" w:hAnsi="Book Antiqua"/>
          <w:spacing w:val="1"/>
          <w:sz w:val="20"/>
        </w:rPr>
        <w:t xml:space="preserve"> </w:t>
      </w:r>
      <w:r>
        <w:rPr>
          <w:rFonts w:ascii="Book Antiqua" w:hAnsi="Book Antiqua"/>
          <w:i/>
          <w:sz w:val="20"/>
        </w:rPr>
        <w:t>Journal of Pediatric Gastroenterology and</w:t>
      </w:r>
      <w:r>
        <w:rPr>
          <w:rFonts w:ascii="Book Antiqua" w:hAnsi="Book Antiqua"/>
          <w:i/>
          <w:spacing w:val="1"/>
          <w:sz w:val="20"/>
        </w:rPr>
        <w:t xml:space="preserve"> </w:t>
      </w:r>
      <w:bookmarkStart w:id="35" w:name="_bookmark34"/>
      <w:bookmarkEnd w:id="35"/>
      <w:r>
        <w:rPr>
          <w:rFonts w:ascii="Book Antiqua" w:hAnsi="Book Antiqua"/>
          <w:i/>
          <w:sz w:val="20"/>
        </w:rPr>
        <w:t>Nutrition, 66(4):</w:t>
      </w:r>
      <w:r>
        <w:rPr>
          <w:rFonts w:ascii="Book Antiqua" w:hAnsi="Book Antiqua"/>
          <w:i/>
          <w:spacing w:val="-2"/>
          <w:sz w:val="20"/>
        </w:rPr>
        <w:t xml:space="preserve"> </w:t>
      </w:r>
      <w:r>
        <w:rPr>
          <w:rFonts w:ascii="Book Antiqua" w:hAnsi="Book Antiqua"/>
          <w:i/>
          <w:sz w:val="20"/>
        </w:rPr>
        <w:t>680-686</w:t>
      </w:r>
      <w:r>
        <w:rPr>
          <w:rFonts w:ascii="Book Antiqua" w:hAnsi="Book Antiqua"/>
          <w:sz w:val="20"/>
        </w:rPr>
        <w:t>.</w:t>
      </w:r>
      <w:r>
        <w:rPr>
          <w:rFonts w:ascii="Book Antiqua" w:hAnsi="Book Antiqua"/>
          <w:spacing w:val="1"/>
          <w:sz w:val="20"/>
        </w:rPr>
        <w:t xml:space="preserve"> </w:t>
      </w:r>
      <w:hyperlink r:id="rId39">
        <w:r>
          <w:rPr>
            <w:rFonts w:ascii="Book Antiqua" w:hAnsi="Book Antiqua"/>
            <w:color w:val="0000FF"/>
            <w:sz w:val="20"/>
            <w:u w:val="single" w:color="0000FF"/>
          </w:rPr>
          <w:t>https://doi.org/10.1097/MPG.0000000000001890</w:t>
        </w:r>
        <w:r>
          <w:rPr>
            <w:rFonts w:ascii="Book Antiqua" w:hAnsi="Book Antiqua"/>
            <w:sz w:val="20"/>
          </w:rPr>
          <w:t>.</w:t>
        </w:r>
      </w:hyperlink>
    </w:p>
    <w:p w:rsidR="00D862F2" w:rsidRDefault="00884FE4">
      <w:pPr>
        <w:ind w:left="219"/>
        <w:rPr>
          <w:rFonts w:ascii="Book Antiqua" w:hAnsi="Book Antiqua"/>
          <w:sz w:val="20"/>
        </w:rPr>
      </w:pPr>
      <w:r>
        <w:rPr>
          <w:rFonts w:ascii="Book Antiqua" w:hAnsi="Book Antiqua"/>
          <w:position w:val="5"/>
          <w:sz w:val="13"/>
        </w:rPr>
        <w:t xml:space="preserve">35 </w:t>
      </w:r>
      <w:r>
        <w:rPr>
          <w:rFonts w:ascii="Book Antiqua" w:hAnsi="Book Antiqua"/>
          <w:sz w:val="20"/>
        </w:rPr>
        <w:t>Gupta, S.R., Crandall, W.V., Donegan, A., Johnson, M., Drobnic, B., Oates, M., Boyle, B., Maltz, R.M.,</w:t>
      </w:r>
      <w:r>
        <w:rPr>
          <w:rFonts w:ascii="Book Antiqua" w:hAnsi="Book Antiqua"/>
          <w:spacing w:val="-47"/>
          <w:sz w:val="20"/>
        </w:rPr>
        <w:t xml:space="preserve"> </w:t>
      </w:r>
      <w:r>
        <w:rPr>
          <w:rFonts w:ascii="Book Antiqua" w:hAnsi="Book Antiqua"/>
          <w:sz w:val="20"/>
        </w:rPr>
        <w:t>Dotson,</w:t>
      </w:r>
      <w:r>
        <w:rPr>
          <w:rFonts w:ascii="Book Antiqua" w:hAnsi="Book Antiqua"/>
          <w:spacing w:val="-3"/>
          <w:sz w:val="20"/>
        </w:rPr>
        <w:t xml:space="preserve"> </w:t>
      </w:r>
      <w:r>
        <w:rPr>
          <w:rFonts w:ascii="Book Antiqua" w:hAnsi="Book Antiqua"/>
          <w:sz w:val="20"/>
        </w:rPr>
        <w:t>J.L.</w:t>
      </w:r>
      <w:r>
        <w:rPr>
          <w:rFonts w:ascii="Book Antiqua" w:hAnsi="Book Antiqua"/>
          <w:spacing w:val="46"/>
          <w:sz w:val="20"/>
        </w:rPr>
        <w:t xml:space="preserve"> </w:t>
      </w:r>
      <w:r>
        <w:rPr>
          <w:rFonts w:ascii="Book Antiqua" w:hAnsi="Book Antiqua"/>
          <w:sz w:val="20"/>
        </w:rPr>
        <w:t>(2019).</w:t>
      </w:r>
      <w:r>
        <w:rPr>
          <w:rFonts w:ascii="Book Antiqua" w:hAnsi="Book Antiqua"/>
          <w:spacing w:val="46"/>
          <w:sz w:val="20"/>
        </w:rPr>
        <w:t xml:space="preserve"> </w:t>
      </w:r>
      <w:r>
        <w:rPr>
          <w:rFonts w:ascii="Book Antiqua" w:hAnsi="Book Antiqua"/>
          <w:sz w:val="20"/>
        </w:rPr>
        <w:t>“A</w:t>
      </w:r>
      <w:r>
        <w:rPr>
          <w:rFonts w:ascii="Book Antiqua" w:hAnsi="Book Antiqua"/>
          <w:spacing w:val="-1"/>
          <w:sz w:val="20"/>
        </w:rPr>
        <w:t xml:space="preserve"> </w:t>
      </w:r>
      <w:r>
        <w:rPr>
          <w:rFonts w:ascii="Book Antiqua" w:hAnsi="Book Antiqua"/>
          <w:sz w:val="20"/>
        </w:rPr>
        <w:t>Quality</w:t>
      </w:r>
      <w:r>
        <w:rPr>
          <w:rFonts w:ascii="Book Antiqua" w:hAnsi="Book Antiqua"/>
          <w:spacing w:val="-3"/>
          <w:sz w:val="20"/>
        </w:rPr>
        <w:t xml:space="preserve"> </w:t>
      </w:r>
      <w:r>
        <w:rPr>
          <w:rFonts w:ascii="Book Antiqua" w:hAnsi="Book Antiqua"/>
          <w:sz w:val="20"/>
        </w:rPr>
        <w:t>Improvement</w:t>
      </w:r>
      <w:r>
        <w:rPr>
          <w:rFonts w:ascii="Book Antiqua" w:hAnsi="Book Antiqua"/>
          <w:spacing w:val="-2"/>
          <w:sz w:val="20"/>
        </w:rPr>
        <w:t xml:space="preserve"> </w:t>
      </w:r>
      <w:r>
        <w:rPr>
          <w:rFonts w:ascii="Book Antiqua" w:hAnsi="Book Antiqua"/>
          <w:sz w:val="20"/>
        </w:rPr>
        <w:t>Approach</w:t>
      </w:r>
      <w:r>
        <w:rPr>
          <w:rFonts w:ascii="Book Antiqua" w:hAnsi="Book Antiqua"/>
          <w:spacing w:val="-4"/>
          <w:sz w:val="20"/>
        </w:rPr>
        <w:t xml:space="preserve"> </w:t>
      </w:r>
      <w:r>
        <w:rPr>
          <w:rFonts w:ascii="Book Antiqua" w:hAnsi="Book Antiqua"/>
          <w:sz w:val="20"/>
        </w:rPr>
        <w:t>to</w:t>
      </w:r>
      <w:r>
        <w:rPr>
          <w:rFonts w:ascii="Book Antiqua" w:hAnsi="Book Antiqua"/>
          <w:spacing w:val="-3"/>
          <w:sz w:val="20"/>
        </w:rPr>
        <w:t xml:space="preserve"> </w:t>
      </w:r>
      <w:r>
        <w:rPr>
          <w:rFonts w:ascii="Book Antiqua" w:hAnsi="Book Antiqua"/>
          <w:sz w:val="20"/>
        </w:rPr>
        <w:t>External</w:t>
      </w:r>
      <w:r>
        <w:rPr>
          <w:rFonts w:ascii="Book Antiqua" w:hAnsi="Book Antiqua"/>
          <w:spacing w:val="-3"/>
          <w:sz w:val="20"/>
        </w:rPr>
        <w:t xml:space="preserve"> </w:t>
      </w:r>
      <w:r>
        <w:rPr>
          <w:rFonts w:ascii="Book Antiqua" w:hAnsi="Book Antiqua"/>
          <w:sz w:val="20"/>
        </w:rPr>
        <w:t>Infliximab</w:t>
      </w:r>
      <w:r>
        <w:rPr>
          <w:rFonts w:ascii="Book Antiqua" w:hAnsi="Book Antiqua"/>
          <w:spacing w:val="-2"/>
          <w:sz w:val="20"/>
        </w:rPr>
        <w:t xml:space="preserve"> </w:t>
      </w:r>
      <w:r>
        <w:rPr>
          <w:rFonts w:ascii="Book Antiqua" w:hAnsi="Book Antiqua"/>
          <w:sz w:val="20"/>
        </w:rPr>
        <w:t>Infusions</w:t>
      </w:r>
      <w:r>
        <w:rPr>
          <w:rFonts w:ascii="Book Antiqua" w:hAnsi="Book Antiqua"/>
          <w:spacing w:val="-3"/>
          <w:sz w:val="20"/>
        </w:rPr>
        <w:t xml:space="preserve"> </w:t>
      </w:r>
      <w:r>
        <w:rPr>
          <w:rFonts w:ascii="Book Antiqua" w:hAnsi="Book Antiqua"/>
          <w:sz w:val="20"/>
        </w:rPr>
        <w:t>in</w:t>
      </w:r>
      <w:r>
        <w:rPr>
          <w:rFonts w:ascii="Book Antiqua" w:hAnsi="Book Antiqua"/>
          <w:spacing w:val="-3"/>
          <w:sz w:val="20"/>
        </w:rPr>
        <w:t xml:space="preserve"> </w:t>
      </w:r>
      <w:r>
        <w:rPr>
          <w:rFonts w:ascii="Book Antiqua" w:hAnsi="Book Antiqua"/>
          <w:sz w:val="20"/>
        </w:rPr>
        <w:t>Pediatric</w:t>
      </w:r>
    </w:p>
    <w:p w:rsidR="00D862F2" w:rsidRDefault="00D862F2">
      <w:pPr>
        <w:rPr>
          <w:rFonts w:ascii="Book Antiqua" w:hAnsi="Book Antiqua"/>
          <w:sz w:val="20"/>
        </w:rPr>
        <w:sectPr w:rsidR="00D862F2">
          <w:headerReference w:type="default" r:id="rId40"/>
          <w:footerReference w:type="default" r:id="rId41"/>
          <w:pgSz w:w="12240" w:h="15840"/>
          <w:pgMar w:top="1360" w:right="1160" w:bottom="280" w:left="1220" w:header="0" w:footer="0" w:gutter="0"/>
          <w:cols w:space="720"/>
        </w:sectPr>
      </w:pPr>
    </w:p>
    <w:p w:rsidR="00D862F2" w:rsidRDefault="00884FE4">
      <w:pPr>
        <w:spacing w:before="77"/>
        <w:ind w:left="580" w:right="328"/>
        <w:rPr>
          <w:rFonts w:ascii="Book Antiqua" w:hAnsi="Book Antiqua"/>
        </w:rPr>
      </w:pPr>
      <w:r>
        <w:rPr>
          <w:rFonts w:ascii="Book Antiqua" w:hAnsi="Book Antiqua"/>
        </w:rPr>
        <w:lastRenderedPageBreak/>
        <w:t>Pediatric gastroenterology services in the greater Boston area primarily limited to facilities</w:t>
      </w:r>
      <w:r>
        <w:rPr>
          <w:rFonts w:ascii="Book Antiqua" w:hAnsi="Book Antiqua"/>
          <w:spacing w:val="1"/>
        </w:rPr>
        <w:t xml:space="preserve"> </w:t>
      </w:r>
      <w:r>
        <w:rPr>
          <w:rFonts w:ascii="Book Antiqua" w:hAnsi="Book Antiqua"/>
        </w:rPr>
        <w:t>operated by Boston Children’s, Mass General Hospital for Children, Boston Medical Center,</w:t>
      </w:r>
      <w:r>
        <w:rPr>
          <w:rFonts w:ascii="Book Antiqua" w:hAnsi="Book Antiqua"/>
          <w:spacing w:val="-52"/>
        </w:rPr>
        <w:t xml:space="preserve"> </w:t>
      </w:r>
      <w:r>
        <w:rPr>
          <w:rFonts w:ascii="Book Antiqua" w:hAnsi="Book Antiqua"/>
        </w:rPr>
        <w:t>Tufts Medical Center and UMass Memorial Hospital and their satellite locations (e.g.,</w:t>
      </w:r>
      <w:r>
        <w:rPr>
          <w:rFonts w:ascii="Book Antiqua" w:hAnsi="Book Antiqua"/>
          <w:spacing w:val="1"/>
        </w:rPr>
        <w:t xml:space="preserve"> </w:t>
      </w:r>
      <w:r>
        <w:rPr>
          <w:rFonts w:ascii="Book Antiqua" w:hAnsi="Book Antiqua"/>
        </w:rPr>
        <w:t>Foxborough, Salem, Waltham, Weymouth and Wilmington).</w:t>
      </w:r>
      <w:r>
        <w:rPr>
          <w:rFonts w:ascii="Book Antiqua" w:hAnsi="Book Antiqua"/>
          <w:spacing w:val="1"/>
        </w:rPr>
        <w:t xml:space="preserve"> </w:t>
      </w:r>
      <w:r>
        <w:rPr>
          <w:rFonts w:ascii="Book Antiqua" w:hAnsi="Book Antiqua"/>
        </w:rPr>
        <w:t>The current portfolio of</w:t>
      </w:r>
      <w:r>
        <w:rPr>
          <w:rFonts w:ascii="Book Antiqua" w:hAnsi="Book Antiqua"/>
          <w:spacing w:val="1"/>
        </w:rPr>
        <w:t xml:space="preserve"> </w:t>
      </w:r>
      <w:r>
        <w:rPr>
          <w:rFonts w:ascii="Book Antiqua" w:hAnsi="Book Antiqua"/>
        </w:rPr>
        <w:t>services is currently not meeting the needs of the pediatric population, as demonstrated</w:t>
      </w:r>
      <w:r>
        <w:rPr>
          <w:rFonts w:ascii="Book Antiqua" w:hAnsi="Book Antiqua"/>
          <w:spacing w:val="1"/>
        </w:rPr>
        <w:t xml:space="preserve"> </w:t>
      </w:r>
      <w:r>
        <w:rPr>
          <w:rFonts w:ascii="Book Antiqua" w:hAnsi="Book Antiqua"/>
        </w:rPr>
        <w:t>through long wait times.</w:t>
      </w:r>
      <w:r>
        <w:rPr>
          <w:rFonts w:ascii="Book Antiqua" w:hAnsi="Book Antiqua"/>
          <w:spacing w:val="1"/>
        </w:rPr>
        <w:t xml:space="preserve"> </w:t>
      </w:r>
      <w:r>
        <w:rPr>
          <w:rFonts w:ascii="Book Antiqua" w:hAnsi="Book Antiqua"/>
        </w:rPr>
        <w:t>Therefore, Boston Children’s proposed expansion of pediatric</w:t>
      </w:r>
      <w:r>
        <w:rPr>
          <w:rFonts w:ascii="Book Antiqua" w:hAnsi="Book Antiqua"/>
          <w:spacing w:val="1"/>
        </w:rPr>
        <w:t xml:space="preserve"> </w:t>
      </w:r>
      <w:r>
        <w:rPr>
          <w:rFonts w:ascii="Book Antiqua" w:hAnsi="Book Antiqua"/>
        </w:rPr>
        <w:t>gastroenterology services in Needham can increase the availability of specialty services that</w:t>
      </w:r>
      <w:r>
        <w:rPr>
          <w:rFonts w:ascii="Book Antiqua" w:hAnsi="Book Antiqua"/>
          <w:spacing w:val="-52"/>
        </w:rPr>
        <w:t xml:space="preserve"> </w:t>
      </w:r>
      <w:r>
        <w:rPr>
          <w:rFonts w:ascii="Book Antiqua" w:hAnsi="Book Antiqua"/>
        </w:rPr>
        <w:t>are often hard to access due to a limited supply of services, especially for communities that</w:t>
      </w:r>
      <w:r>
        <w:rPr>
          <w:rFonts w:ascii="Book Antiqua" w:hAnsi="Book Antiqua"/>
          <w:spacing w:val="1"/>
        </w:rPr>
        <w:t xml:space="preserve"> </w:t>
      </w:r>
      <w:r>
        <w:rPr>
          <w:rFonts w:ascii="Book Antiqua" w:hAnsi="Book Antiqua"/>
        </w:rPr>
        <w:t>have high percentages of non-White people and persons in poverty (e.g., Brockton,</w:t>
      </w:r>
      <w:r>
        <w:rPr>
          <w:rFonts w:ascii="Book Antiqua" w:hAnsi="Book Antiqua"/>
          <w:spacing w:val="1"/>
        </w:rPr>
        <w:t xml:space="preserve"> </w:t>
      </w:r>
      <w:r>
        <w:rPr>
          <w:rFonts w:ascii="Book Antiqua" w:hAnsi="Book Antiqua"/>
        </w:rPr>
        <w:t>Randolph, Waltham).</w:t>
      </w:r>
      <w:r>
        <w:rPr>
          <w:rFonts w:ascii="Book Antiqua" w:hAnsi="Book Antiqua"/>
          <w:spacing w:val="1"/>
        </w:rPr>
        <w:t xml:space="preserve"> </w:t>
      </w:r>
      <w:r>
        <w:rPr>
          <w:rFonts w:ascii="Book Antiqua" w:hAnsi="Book Antiqua"/>
        </w:rPr>
        <w:t>This proposed expansion will also allow Boston Children’s to</w:t>
      </w:r>
      <w:r>
        <w:rPr>
          <w:rFonts w:ascii="Book Antiqua" w:hAnsi="Book Antiqua"/>
          <w:spacing w:val="1"/>
        </w:rPr>
        <w:t xml:space="preserve"> </w:t>
      </w:r>
      <w:r>
        <w:rPr>
          <w:rFonts w:ascii="Book Antiqua" w:hAnsi="Book Antiqua"/>
        </w:rPr>
        <w:t>supplement, rather than duplicate, the current services that are sought and provided in</w:t>
      </w:r>
      <w:r>
        <w:rPr>
          <w:rFonts w:ascii="Book Antiqua" w:hAnsi="Book Antiqua"/>
          <w:spacing w:val="1"/>
        </w:rPr>
        <w:t xml:space="preserve"> </w:t>
      </w:r>
      <w:r>
        <w:rPr>
          <w:rFonts w:ascii="Book Antiqua" w:hAnsi="Book Antiqua"/>
        </w:rPr>
        <w:t>other regional facilities and tertiary care centers with pediatric facilities.</w:t>
      </w:r>
      <w:r>
        <w:rPr>
          <w:rFonts w:ascii="Book Antiqua" w:hAnsi="Book Antiqua"/>
          <w:spacing w:val="1"/>
        </w:rPr>
        <w:t xml:space="preserve"> </w:t>
      </w:r>
      <w:r>
        <w:rPr>
          <w:rFonts w:ascii="Book Antiqua" w:hAnsi="Book Antiqua"/>
        </w:rPr>
        <w:t>Further, Boston</w:t>
      </w:r>
      <w:r>
        <w:rPr>
          <w:rFonts w:ascii="Book Antiqua" w:hAnsi="Book Antiqua"/>
          <w:spacing w:val="1"/>
        </w:rPr>
        <w:t xml:space="preserve"> </w:t>
      </w:r>
      <w:r>
        <w:rPr>
          <w:rFonts w:ascii="Book Antiqua" w:hAnsi="Book Antiqua"/>
        </w:rPr>
        <w:t>Children’s partners with community pediatricians and pediatric gastroenterologists</w:t>
      </w:r>
      <w:r>
        <w:rPr>
          <w:rFonts w:ascii="Book Antiqua" w:hAnsi="Book Antiqua"/>
          <w:spacing w:val="1"/>
        </w:rPr>
        <w:t xml:space="preserve"> </w:t>
      </w:r>
      <w:r>
        <w:rPr>
          <w:rFonts w:ascii="Book Antiqua" w:hAnsi="Book Antiqua"/>
        </w:rPr>
        <w:t>throughout</w:t>
      </w:r>
      <w:r>
        <w:rPr>
          <w:rFonts w:ascii="Book Antiqua" w:hAnsi="Book Antiqua"/>
          <w:spacing w:val="-2"/>
        </w:rPr>
        <w:t xml:space="preserve"> </w:t>
      </w:r>
      <w:r>
        <w:rPr>
          <w:rFonts w:ascii="Book Antiqua" w:hAnsi="Book Antiqua"/>
        </w:rPr>
        <w:t>New</w:t>
      </w:r>
      <w:r>
        <w:rPr>
          <w:rFonts w:ascii="Book Antiqua" w:hAnsi="Book Antiqua"/>
          <w:spacing w:val="-1"/>
        </w:rPr>
        <w:t xml:space="preserve"> </w:t>
      </w:r>
      <w:r>
        <w:rPr>
          <w:rFonts w:ascii="Book Antiqua" w:hAnsi="Book Antiqua"/>
        </w:rPr>
        <w:t>England</w:t>
      </w:r>
      <w:r>
        <w:rPr>
          <w:rFonts w:ascii="Book Antiqua" w:hAnsi="Book Antiqua"/>
          <w:spacing w:val="-2"/>
        </w:rPr>
        <w:t xml:space="preserve"> </w:t>
      </w:r>
      <w:r>
        <w:rPr>
          <w:rFonts w:ascii="Book Antiqua" w:hAnsi="Book Antiqua"/>
        </w:rPr>
        <w:t>to</w:t>
      </w:r>
      <w:r>
        <w:rPr>
          <w:rFonts w:ascii="Book Antiqua" w:hAnsi="Book Antiqua"/>
          <w:spacing w:val="-2"/>
        </w:rPr>
        <w:t xml:space="preserve"> </w:t>
      </w:r>
      <w:r>
        <w:rPr>
          <w:rFonts w:ascii="Book Antiqua" w:hAnsi="Book Antiqua"/>
        </w:rPr>
        <w:t>provide</w:t>
      </w:r>
      <w:r>
        <w:rPr>
          <w:rFonts w:ascii="Book Antiqua" w:hAnsi="Book Antiqua"/>
          <w:spacing w:val="-1"/>
        </w:rPr>
        <w:t xml:space="preserve"> </w:t>
      </w:r>
      <w:r>
        <w:rPr>
          <w:rFonts w:ascii="Book Antiqua" w:hAnsi="Book Antiqua"/>
        </w:rPr>
        <w:t>tertiary</w:t>
      </w:r>
      <w:r>
        <w:rPr>
          <w:rFonts w:ascii="Book Antiqua" w:hAnsi="Book Antiqua"/>
          <w:spacing w:val="-2"/>
        </w:rPr>
        <w:t xml:space="preserve"> </w:t>
      </w:r>
      <w:r>
        <w:rPr>
          <w:rFonts w:ascii="Book Antiqua" w:hAnsi="Book Antiqua"/>
        </w:rPr>
        <w:t>and</w:t>
      </w:r>
      <w:r>
        <w:rPr>
          <w:rFonts w:ascii="Book Antiqua" w:hAnsi="Book Antiqua"/>
          <w:spacing w:val="-4"/>
        </w:rPr>
        <w:t xml:space="preserve"> </w:t>
      </w:r>
      <w:r>
        <w:rPr>
          <w:rFonts w:ascii="Book Antiqua" w:hAnsi="Book Antiqua"/>
        </w:rPr>
        <w:t>quaternary</w:t>
      </w:r>
      <w:r>
        <w:rPr>
          <w:rFonts w:ascii="Book Antiqua" w:hAnsi="Book Antiqua"/>
          <w:spacing w:val="-4"/>
        </w:rPr>
        <w:t xml:space="preserve"> </w:t>
      </w:r>
      <w:r>
        <w:rPr>
          <w:rFonts w:ascii="Book Antiqua" w:hAnsi="Book Antiqua"/>
        </w:rPr>
        <w:t>care</w:t>
      </w:r>
      <w:r>
        <w:rPr>
          <w:rFonts w:ascii="Book Antiqua" w:hAnsi="Book Antiqua"/>
          <w:spacing w:val="-2"/>
        </w:rPr>
        <w:t xml:space="preserve"> </w:t>
      </w:r>
      <w:r>
        <w:rPr>
          <w:rFonts w:ascii="Book Antiqua" w:hAnsi="Book Antiqua"/>
        </w:rPr>
        <w:t>for</w:t>
      </w:r>
      <w:r>
        <w:rPr>
          <w:rFonts w:ascii="Book Antiqua" w:hAnsi="Book Antiqua"/>
          <w:spacing w:val="-2"/>
        </w:rPr>
        <w:t xml:space="preserve"> </w:t>
      </w:r>
      <w:r>
        <w:rPr>
          <w:rFonts w:ascii="Book Antiqua" w:hAnsi="Book Antiqua"/>
        </w:rPr>
        <w:t>the</w:t>
      </w:r>
      <w:r>
        <w:rPr>
          <w:rFonts w:ascii="Book Antiqua" w:hAnsi="Book Antiqua"/>
          <w:spacing w:val="-1"/>
        </w:rPr>
        <w:t xml:space="preserve"> </w:t>
      </w:r>
      <w:r>
        <w:rPr>
          <w:rFonts w:ascii="Book Antiqua" w:hAnsi="Book Antiqua"/>
        </w:rPr>
        <w:t>sickest</w:t>
      </w:r>
      <w:r>
        <w:rPr>
          <w:rFonts w:ascii="Book Antiqua" w:hAnsi="Book Antiqua"/>
          <w:spacing w:val="-1"/>
        </w:rPr>
        <w:t xml:space="preserve"> </w:t>
      </w:r>
      <w:r>
        <w:rPr>
          <w:rFonts w:ascii="Book Antiqua" w:hAnsi="Book Antiqua"/>
        </w:rPr>
        <w:t>patients.</w:t>
      </w:r>
    </w:p>
    <w:p w:rsidR="00D862F2" w:rsidRDefault="00884FE4">
      <w:pPr>
        <w:ind w:left="580" w:right="559"/>
        <w:rPr>
          <w:rFonts w:ascii="Book Antiqua" w:hAnsi="Book Antiqua"/>
        </w:rPr>
      </w:pPr>
      <w:r>
        <w:rPr>
          <w:rFonts w:ascii="Book Antiqua" w:hAnsi="Book Antiqua"/>
        </w:rPr>
        <w:t>This relationship will allow Boston Children’s to continue to provide targeted care for the</w:t>
      </w:r>
      <w:r>
        <w:rPr>
          <w:rFonts w:ascii="Book Antiqua" w:hAnsi="Book Antiqua"/>
          <w:spacing w:val="-52"/>
        </w:rPr>
        <w:t xml:space="preserve"> </w:t>
      </w:r>
      <w:r>
        <w:rPr>
          <w:rFonts w:ascii="Book Antiqua" w:hAnsi="Book Antiqua"/>
        </w:rPr>
        <w:t>most</w:t>
      </w:r>
      <w:r>
        <w:rPr>
          <w:rFonts w:ascii="Book Antiqua" w:hAnsi="Book Antiqua"/>
          <w:spacing w:val="-1"/>
        </w:rPr>
        <w:t xml:space="preserve"> </w:t>
      </w:r>
      <w:r>
        <w:rPr>
          <w:rFonts w:ascii="Book Antiqua" w:hAnsi="Book Antiqua"/>
        </w:rPr>
        <w:t>complex</w:t>
      </w:r>
      <w:r>
        <w:rPr>
          <w:rFonts w:ascii="Book Antiqua" w:hAnsi="Book Antiqua"/>
          <w:spacing w:val="-1"/>
        </w:rPr>
        <w:t xml:space="preserve"> </w:t>
      </w:r>
      <w:r>
        <w:rPr>
          <w:rFonts w:ascii="Book Antiqua" w:hAnsi="Book Antiqua"/>
        </w:rPr>
        <w:t>patients</w:t>
      </w:r>
      <w:r>
        <w:rPr>
          <w:rFonts w:ascii="Book Antiqua" w:hAnsi="Book Antiqua"/>
          <w:spacing w:val="-3"/>
        </w:rPr>
        <w:t xml:space="preserve"> </w:t>
      </w:r>
      <w:r>
        <w:rPr>
          <w:rFonts w:ascii="Book Antiqua" w:hAnsi="Book Antiqua"/>
        </w:rPr>
        <w:t>because of the volume of</w:t>
      </w:r>
      <w:r>
        <w:rPr>
          <w:rFonts w:ascii="Book Antiqua" w:hAnsi="Book Antiqua"/>
          <w:spacing w:val="-2"/>
        </w:rPr>
        <w:t xml:space="preserve"> </w:t>
      </w:r>
      <w:r>
        <w:rPr>
          <w:rFonts w:ascii="Book Antiqua" w:hAnsi="Book Antiqua"/>
        </w:rPr>
        <w:t>patients</w:t>
      </w:r>
      <w:r>
        <w:rPr>
          <w:rFonts w:ascii="Book Antiqua" w:hAnsi="Book Antiqua"/>
          <w:spacing w:val="-4"/>
        </w:rPr>
        <w:t xml:space="preserve"> </w:t>
      </w:r>
      <w:r>
        <w:rPr>
          <w:rFonts w:ascii="Book Antiqua" w:hAnsi="Book Antiqua"/>
        </w:rPr>
        <w:t>it treats.</w:t>
      </w:r>
    </w:p>
    <w:p w:rsidR="00D862F2" w:rsidRDefault="00D862F2">
      <w:pPr>
        <w:pStyle w:val="BodyText"/>
        <w:spacing w:before="7"/>
        <w:rPr>
          <w:rFonts w:ascii="Book Antiqua"/>
          <w:sz w:val="19"/>
        </w:rPr>
      </w:pPr>
    </w:p>
    <w:p w:rsidR="00D862F2" w:rsidRDefault="00884FE4">
      <w:pPr>
        <w:pStyle w:val="ListParagraph"/>
        <w:numPr>
          <w:ilvl w:val="0"/>
          <w:numId w:val="2"/>
        </w:numPr>
        <w:tabs>
          <w:tab w:val="left" w:pos="940"/>
        </w:tabs>
        <w:spacing w:before="1"/>
        <w:rPr>
          <w:rFonts w:ascii="Book Antiqua"/>
          <w:b/>
          <w:i/>
        </w:rPr>
      </w:pPr>
      <w:r>
        <w:rPr>
          <w:rFonts w:ascii="Book Antiqua"/>
          <w:b/>
          <w:i/>
        </w:rPr>
        <w:t>Orthopedics/Sports</w:t>
      </w:r>
      <w:r>
        <w:rPr>
          <w:rFonts w:ascii="Book Antiqua"/>
          <w:b/>
          <w:i/>
          <w:spacing w:val="-5"/>
        </w:rPr>
        <w:t xml:space="preserve"> </w:t>
      </w:r>
      <w:r>
        <w:rPr>
          <w:rFonts w:ascii="Book Antiqua"/>
          <w:b/>
          <w:i/>
        </w:rPr>
        <w:t>Medicine</w:t>
      </w:r>
    </w:p>
    <w:p w:rsidR="00D862F2" w:rsidRDefault="00884FE4">
      <w:pPr>
        <w:spacing w:before="115"/>
        <w:ind w:left="579" w:right="342"/>
        <w:rPr>
          <w:rFonts w:ascii="Book Antiqua" w:hAnsi="Book Antiqua"/>
          <w:sz w:val="14"/>
        </w:rPr>
      </w:pPr>
      <w:r>
        <w:rPr>
          <w:rFonts w:ascii="Book Antiqua" w:hAnsi="Book Antiqua"/>
        </w:rPr>
        <w:t>There is an overall shift of performing certain pediatric orthopedic/sports medicine</w:t>
      </w:r>
      <w:r>
        <w:rPr>
          <w:rFonts w:ascii="Book Antiqua" w:hAnsi="Book Antiqua"/>
          <w:spacing w:val="1"/>
        </w:rPr>
        <w:t xml:space="preserve"> </w:t>
      </w:r>
      <w:r>
        <w:rPr>
          <w:rFonts w:ascii="Book Antiqua" w:hAnsi="Book Antiqua"/>
        </w:rPr>
        <w:t>procedures in ambulatory-based settings rather than inpatient settings.</w:t>
      </w:r>
      <w:r>
        <w:rPr>
          <w:rFonts w:ascii="Book Antiqua" w:hAnsi="Book Antiqua"/>
          <w:spacing w:val="1"/>
        </w:rPr>
        <w:t xml:space="preserve"> </w:t>
      </w:r>
      <w:r>
        <w:rPr>
          <w:rFonts w:ascii="Book Antiqua" w:hAnsi="Book Antiqua"/>
        </w:rPr>
        <w:t>For example, use of</w:t>
      </w:r>
      <w:r>
        <w:rPr>
          <w:rFonts w:ascii="Book Antiqua" w:hAnsi="Book Antiqua"/>
          <w:spacing w:val="-52"/>
        </w:rPr>
        <w:t xml:space="preserve"> </w:t>
      </w:r>
      <w:r>
        <w:rPr>
          <w:rFonts w:ascii="Book Antiqua" w:hAnsi="Book Antiqua"/>
        </w:rPr>
        <w:t>outpatient surgical facilities for pediatric fractures increased threefold from 2996 to 2006.</w:t>
      </w:r>
      <w:hyperlink w:anchor="_bookmark35" w:history="1">
        <w:r>
          <w:rPr>
            <w:rFonts w:ascii="Book Antiqua" w:hAnsi="Book Antiqua"/>
            <w:position w:val="5"/>
            <w:sz w:val="14"/>
          </w:rPr>
          <w:t>36</w:t>
        </w:r>
      </w:hyperlink>
      <w:r>
        <w:rPr>
          <w:rFonts w:ascii="Book Antiqua" w:hAnsi="Book Antiqua"/>
          <w:spacing w:val="1"/>
          <w:position w:val="5"/>
          <w:sz w:val="14"/>
        </w:rPr>
        <w:t xml:space="preserve"> </w:t>
      </w:r>
      <w:r>
        <w:rPr>
          <w:rFonts w:ascii="Book Antiqua" w:hAnsi="Book Antiqua"/>
        </w:rPr>
        <w:t>CMS’ reimbursement for orthopedic conditions is increasingly driving providers to deliver</w:t>
      </w:r>
      <w:r>
        <w:rPr>
          <w:rFonts w:ascii="Book Antiqua" w:hAnsi="Book Antiqua"/>
          <w:spacing w:val="1"/>
        </w:rPr>
        <w:t xml:space="preserve"> </w:t>
      </w:r>
      <w:r>
        <w:rPr>
          <w:rFonts w:ascii="Book Antiqua" w:hAnsi="Book Antiqua"/>
        </w:rPr>
        <w:t>such care in ambulatory and outpatient settings.</w:t>
      </w:r>
      <w:hyperlink w:anchor="_bookmark36" w:history="1">
        <w:r>
          <w:rPr>
            <w:rFonts w:ascii="Book Antiqua" w:hAnsi="Book Antiqua"/>
            <w:position w:val="5"/>
            <w:sz w:val="14"/>
          </w:rPr>
          <w:t>37</w:t>
        </w:r>
      </w:hyperlink>
      <w:r>
        <w:rPr>
          <w:rFonts w:ascii="Book Antiqua" w:hAnsi="Book Antiqua"/>
          <w:position w:val="5"/>
          <w:sz w:val="14"/>
        </w:rPr>
        <w:t xml:space="preserve">   </w:t>
      </w:r>
      <w:r>
        <w:rPr>
          <w:rFonts w:ascii="Book Antiqua" w:hAnsi="Book Antiqua"/>
        </w:rPr>
        <w:t>Importantly, shifting pediatric</w:t>
      </w:r>
      <w:r>
        <w:rPr>
          <w:rFonts w:ascii="Book Antiqua" w:hAnsi="Book Antiqua"/>
          <w:spacing w:val="1"/>
        </w:rPr>
        <w:t xml:space="preserve"> </w:t>
      </w:r>
      <w:r>
        <w:rPr>
          <w:rFonts w:ascii="Book Antiqua" w:hAnsi="Book Antiqua"/>
        </w:rPr>
        <w:t>orthopedic care from the main campuses of academic medical centers to satellite locations</w:t>
      </w:r>
      <w:r>
        <w:rPr>
          <w:rFonts w:ascii="Book Antiqua" w:hAnsi="Book Antiqua"/>
          <w:spacing w:val="1"/>
        </w:rPr>
        <w:t xml:space="preserve"> </w:t>
      </w:r>
      <w:r>
        <w:rPr>
          <w:rFonts w:ascii="Book Antiqua" w:hAnsi="Book Antiqua"/>
        </w:rPr>
        <w:t>can improve efficiency without compromising patient safety.</w:t>
      </w:r>
      <w:hyperlink w:anchor="_bookmark37" w:history="1">
        <w:r>
          <w:rPr>
            <w:rFonts w:ascii="Book Antiqua" w:hAnsi="Book Antiqua"/>
            <w:position w:val="5"/>
            <w:sz w:val="14"/>
          </w:rPr>
          <w:t>38</w:t>
        </w:r>
      </w:hyperlink>
      <w:r>
        <w:rPr>
          <w:rFonts w:ascii="Book Antiqua" w:hAnsi="Book Antiqua"/>
          <w:spacing w:val="1"/>
          <w:position w:val="5"/>
          <w:sz w:val="14"/>
        </w:rPr>
        <w:t xml:space="preserve"> </w:t>
      </w:r>
      <w:r>
        <w:rPr>
          <w:rFonts w:ascii="Book Antiqua" w:hAnsi="Book Antiqua"/>
        </w:rPr>
        <w:t>Finally, while pediatric</w:t>
      </w:r>
      <w:r>
        <w:rPr>
          <w:rFonts w:ascii="Book Antiqua" w:hAnsi="Book Antiqua"/>
          <w:spacing w:val="1"/>
        </w:rPr>
        <w:t xml:space="preserve"> </w:t>
      </w:r>
      <w:r>
        <w:rPr>
          <w:rFonts w:ascii="Book Antiqua" w:hAnsi="Book Antiqua"/>
        </w:rPr>
        <w:t>orthopedic surgery has large upfront costs, research demonstrates that it does yield</w:t>
      </w:r>
      <w:r>
        <w:rPr>
          <w:rFonts w:ascii="Book Antiqua" w:hAnsi="Book Antiqua"/>
          <w:spacing w:val="1"/>
        </w:rPr>
        <w:t xml:space="preserve"> </w:t>
      </w:r>
      <w:r>
        <w:rPr>
          <w:rFonts w:ascii="Book Antiqua" w:hAnsi="Book Antiqua"/>
        </w:rPr>
        <w:t>significant benefits over time through increased health-related quality of life.</w:t>
      </w:r>
      <w:hyperlink w:anchor="_bookmark38" w:history="1">
        <w:r>
          <w:rPr>
            <w:rFonts w:ascii="Book Antiqua" w:hAnsi="Book Antiqua"/>
            <w:position w:val="5"/>
            <w:sz w:val="14"/>
          </w:rPr>
          <w:t>39</w:t>
        </w:r>
      </w:hyperlink>
      <w:r>
        <w:rPr>
          <w:rFonts w:ascii="Book Antiqua" w:hAnsi="Book Antiqua"/>
          <w:spacing w:val="1"/>
          <w:position w:val="5"/>
          <w:sz w:val="14"/>
        </w:rPr>
        <w:t xml:space="preserve"> </w:t>
      </w:r>
      <w:r>
        <w:rPr>
          <w:rFonts w:ascii="Book Antiqua" w:hAnsi="Book Antiqua"/>
        </w:rPr>
        <w:t>Effective,</w:t>
      </w:r>
      <w:r>
        <w:rPr>
          <w:rFonts w:ascii="Book Antiqua" w:hAnsi="Book Antiqua"/>
          <w:spacing w:val="1"/>
        </w:rPr>
        <w:t xml:space="preserve"> </w:t>
      </w:r>
      <w:r>
        <w:rPr>
          <w:rFonts w:ascii="Book Antiqua" w:hAnsi="Book Antiqua"/>
        </w:rPr>
        <w:t>pediatric-focused post-surgical care can also help improve long-term outcomes for children,</w:t>
      </w:r>
      <w:r>
        <w:rPr>
          <w:rFonts w:ascii="Book Antiqua" w:hAnsi="Book Antiqua"/>
          <w:spacing w:val="-52"/>
        </w:rPr>
        <w:t xml:space="preserve"> </w:t>
      </w:r>
      <w:r>
        <w:rPr>
          <w:rFonts w:ascii="Book Antiqua" w:hAnsi="Book Antiqua"/>
        </w:rPr>
        <w:t>especially</w:t>
      </w:r>
      <w:r>
        <w:rPr>
          <w:rFonts w:ascii="Book Antiqua" w:hAnsi="Book Antiqua"/>
          <w:spacing w:val="-2"/>
        </w:rPr>
        <w:t xml:space="preserve"> </w:t>
      </w:r>
      <w:r>
        <w:rPr>
          <w:rFonts w:ascii="Book Antiqua" w:hAnsi="Book Antiqua"/>
        </w:rPr>
        <w:t>as it relates</w:t>
      </w:r>
      <w:r>
        <w:rPr>
          <w:rFonts w:ascii="Book Antiqua" w:hAnsi="Book Antiqua"/>
          <w:spacing w:val="-3"/>
        </w:rPr>
        <w:t xml:space="preserve"> </w:t>
      </w:r>
      <w:r>
        <w:rPr>
          <w:rFonts w:ascii="Book Antiqua" w:hAnsi="Book Antiqua"/>
        </w:rPr>
        <w:t>to</w:t>
      </w:r>
      <w:r>
        <w:rPr>
          <w:rFonts w:ascii="Book Antiqua" w:hAnsi="Book Antiqua"/>
          <w:spacing w:val="-3"/>
        </w:rPr>
        <w:t xml:space="preserve"> </w:t>
      </w:r>
      <w:r>
        <w:rPr>
          <w:rFonts w:ascii="Book Antiqua" w:hAnsi="Book Antiqua"/>
        </w:rPr>
        <w:t>opioids and</w:t>
      </w:r>
      <w:r>
        <w:rPr>
          <w:rFonts w:ascii="Book Antiqua" w:hAnsi="Book Antiqua"/>
          <w:spacing w:val="-3"/>
        </w:rPr>
        <w:t xml:space="preserve"> </w:t>
      </w:r>
      <w:r>
        <w:rPr>
          <w:rFonts w:ascii="Book Antiqua" w:hAnsi="Book Antiqua"/>
        </w:rPr>
        <w:t>substance abuse.</w:t>
      </w:r>
      <w:hyperlink w:anchor="_bookmark39" w:history="1">
        <w:r>
          <w:rPr>
            <w:rFonts w:ascii="Book Antiqua" w:hAnsi="Book Antiqua"/>
            <w:position w:val="5"/>
            <w:sz w:val="14"/>
          </w:rPr>
          <w:t>40</w:t>
        </w:r>
      </w:hyperlink>
    </w:p>
    <w:p w:rsidR="00D862F2" w:rsidRDefault="00884FE4">
      <w:pPr>
        <w:spacing w:before="121"/>
        <w:ind w:left="579" w:right="357"/>
        <w:rPr>
          <w:rFonts w:ascii="Book Antiqua" w:hAnsi="Book Antiqua"/>
        </w:rPr>
      </w:pPr>
      <w:r>
        <w:rPr>
          <w:rFonts w:ascii="Book Antiqua" w:hAnsi="Book Antiqua"/>
        </w:rPr>
        <w:t>Boston Children’s proposed expansion of orthopedic/sports medicine services in Needham</w:t>
      </w:r>
      <w:r>
        <w:rPr>
          <w:rFonts w:ascii="Book Antiqua" w:hAnsi="Book Antiqua"/>
          <w:spacing w:val="-52"/>
        </w:rPr>
        <w:t xml:space="preserve"> </w:t>
      </w:r>
      <w:r>
        <w:rPr>
          <w:rFonts w:ascii="Book Antiqua" w:hAnsi="Book Antiqua"/>
        </w:rPr>
        <w:t>can improve the availability of high-quality, pediatric-focused specialty care that is hard to</w:t>
      </w:r>
      <w:r>
        <w:rPr>
          <w:rFonts w:ascii="Book Antiqua" w:hAnsi="Book Antiqua"/>
          <w:spacing w:val="1"/>
        </w:rPr>
        <w:t xml:space="preserve"> </w:t>
      </w:r>
      <w:r>
        <w:rPr>
          <w:rFonts w:ascii="Book Antiqua" w:hAnsi="Book Antiqua"/>
        </w:rPr>
        <w:t>find</w:t>
      </w:r>
      <w:r>
        <w:rPr>
          <w:rFonts w:ascii="Book Antiqua" w:hAnsi="Book Antiqua"/>
          <w:spacing w:val="-5"/>
        </w:rPr>
        <w:t xml:space="preserve"> </w:t>
      </w:r>
      <w:r>
        <w:rPr>
          <w:rFonts w:ascii="Book Antiqua" w:hAnsi="Book Antiqua"/>
        </w:rPr>
        <w:t>in</w:t>
      </w:r>
      <w:r>
        <w:rPr>
          <w:rFonts w:ascii="Book Antiqua" w:hAnsi="Book Antiqua"/>
          <w:spacing w:val="-3"/>
        </w:rPr>
        <w:t xml:space="preserve"> </w:t>
      </w:r>
      <w:r>
        <w:rPr>
          <w:rFonts w:ascii="Book Antiqua" w:hAnsi="Book Antiqua"/>
        </w:rPr>
        <w:t>ambulatory</w:t>
      </w:r>
      <w:r>
        <w:rPr>
          <w:rFonts w:ascii="Book Antiqua" w:hAnsi="Book Antiqua"/>
          <w:spacing w:val="-2"/>
        </w:rPr>
        <w:t xml:space="preserve"> </w:t>
      </w:r>
      <w:r>
        <w:rPr>
          <w:rFonts w:ascii="Book Antiqua" w:hAnsi="Book Antiqua"/>
        </w:rPr>
        <w:t>settings.</w:t>
      </w:r>
      <w:r>
        <w:rPr>
          <w:rFonts w:ascii="Book Antiqua" w:hAnsi="Book Antiqua"/>
          <w:spacing w:val="52"/>
        </w:rPr>
        <w:t xml:space="preserve"> </w:t>
      </w:r>
      <w:r>
        <w:rPr>
          <w:rFonts w:ascii="Book Antiqua" w:hAnsi="Book Antiqua"/>
        </w:rPr>
        <w:t>Pediatric</w:t>
      </w:r>
      <w:r>
        <w:rPr>
          <w:rFonts w:ascii="Book Antiqua" w:hAnsi="Book Antiqua"/>
          <w:spacing w:val="-1"/>
        </w:rPr>
        <w:t xml:space="preserve"> </w:t>
      </w:r>
      <w:r>
        <w:rPr>
          <w:rFonts w:ascii="Book Antiqua" w:hAnsi="Book Antiqua"/>
        </w:rPr>
        <w:t>orthopedic</w:t>
      </w:r>
      <w:r>
        <w:rPr>
          <w:rFonts w:ascii="Book Antiqua" w:hAnsi="Book Antiqua"/>
          <w:spacing w:val="-4"/>
        </w:rPr>
        <w:t xml:space="preserve"> </w:t>
      </w:r>
      <w:r>
        <w:rPr>
          <w:rFonts w:ascii="Book Antiqua" w:hAnsi="Book Antiqua"/>
        </w:rPr>
        <w:t>care</w:t>
      </w:r>
      <w:r>
        <w:rPr>
          <w:rFonts w:ascii="Book Antiqua" w:hAnsi="Book Antiqua"/>
          <w:spacing w:val="-1"/>
        </w:rPr>
        <w:t xml:space="preserve"> </w:t>
      </w:r>
      <w:r>
        <w:rPr>
          <w:rFonts w:ascii="Book Antiqua" w:hAnsi="Book Antiqua"/>
        </w:rPr>
        <w:t>is</w:t>
      </w:r>
      <w:r>
        <w:rPr>
          <w:rFonts w:ascii="Book Antiqua" w:hAnsi="Book Antiqua"/>
          <w:spacing w:val="-1"/>
        </w:rPr>
        <w:t xml:space="preserve"> </w:t>
      </w:r>
      <w:r>
        <w:rPr>
          <w:rFonts w:ascii="Book Antiqua" w:hAnsi="Book Antiqua"/>
        </w:rPr>
        <w:t>currently</w:t>
      </w:r>
      <w:r>
        <w:rPr>
          <w:rFonts w:ascii="Book Antiqua" w:hAnsi="Book Antiqua"/>
          <w:spacing w:val="-3"/>
        </w:rPr>
        <w:t xml:space="preserve"> </w:t>
      </w:r>
      <w:r>
        <w:rPr>
          <w:rFonts w:ascii="Book Antiqua" w:hAnsi="Book Antiqua"/>
        </w:rPr>
        <w:t>limited</w:t>
      </w:r>
      <w:r>
        <w:rPr>
          <w:rFonts w:ascii="Book Antiqua" w:hAnsi="Book Antiqua"/>
          <w:spacing w:val="-2"/>
        </w:rPr>
        <w:t xml:space="preserve"> </w:t>
      </w:r>
      <w:r>
        <w:rPr>
          <w:rFonts w:ascii="Book Antiqua" w:hAnsi="Book Antiqua"/>
        </w:rPr>
        <w:t>to</w:t>
      </w:r>
      <w:r>
        <w:rPr>
          <w:rFonts w:ascii="Book Antiqua" w:hAnsi="Book Antiqua"/>
          <w:spacing w:val="-2"/>
        </w:rPr>
        <w:t xml:space="preserve"> </w:t>
      </w:r>
      <w:r>
        <w:rPr>
          <w:rFonts w:ascii="Book Antiqua" w:hAnsi="Book Antiqua"/>
        </w:rPr>
        <w:t>a</w:t>
      </w:r>
      <w:r>
        <w:rPr>
          <w:rFonts w:ascii="Book Antiqua" w:hAnsi="Book Antiqua"/>
          <w:spacing w:val="-2"/>
        </w:rPr>
        <w:t xml:space="preserve"> </w:t>
      </w:r>
      <w:r>
        <w:rPr>
          <w:rFonts w:ascii="Book Antiqua" w:hAnsi="Book Antiqua"/>
        </w:rPr>
        <w:t>few</w:t>
      </w:r>
      <w:r>
        <w:rPr>
          <w:rFonts w:ascii="Book Antiqua" w:hAnsi="Book Antiqua"/>
          <w:spacing w:val="-3"/>
        </w:rPr>
        <w:t xml:space="preserve"> </w:t>
      </w:r>
      <w:r>
        <w:rPr>
          <w:rFonts w:ascii="Book Antiqua" w:hAnsi="Book Antiqua"/>
        </w:rPr>
        <w:t>facilities</w:t>
      </w:r>
    </w:p>
    <w:p w:rsidR="00D862F2" w:rsidRDefault="00337703">
      <w:pPr>
        <w:pStyle w:val="BodyText"/>
        <w:spacing w:before="5"/>
        <w:rPr>
          <w:rFonts w:ascii="Book Antiqua"/>
          <w:sz w:val="11"/>
        </w:rPr>
      </w:pPr>
      <w:r>
        <w:rPr>
          <w:noProof/>
        </w:rPr>
        <mc:AlternateContent>
          <mc:Choice Requires="wps">
            <w:drawing>
              <wp:anchor distT="0" distB="0" distL="0" distR="0" simplePos="0" relativeHeight="487595520" behindDoc="1" locked="0" layoutInCell="1" allowOverlap="1">
                <wp:simplePos x="0" y="0"/>
                <wp:positionH relativeFrom="page">
                  <wp:posOffset>914400</wp:posOffset>
                </wp:positionH>
                <wp:positionV relativeFrom="paragraph">
                  <wp:posOffset>105410</wp:posOffset>
                </wp:positionV>
                <wp:extent cx="5943600" cy="7620"/>
                <wp:effectExtent l="0" t="0" r="0" b="11430"/>
                <wp:wrapTopAndBottom/>
                <wp:docPr id="14" name="docshape18"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65D0B" id="docshape18" o:spid="_x0000_s1026" alt="Title: Division Line - Description: Division Line between the main content and the footnotes" style="position:absolute;margin-left:1in;margin-top:8.3pt;width:468pt;height:.6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" fillcolor="black" stroked="f">
                <w10:wrap type="topAndBottom" anchorx="page"/>
              </v:rect>
            </w:pict>
          </mc:Fallback>
        </mc:AlternateContent>
      </w:r>
    </w:p>
    <w:p w:rsidR="00D862F2" w:rsidRDefault="00884FE4">
      <w:pPr>
        <w:spacing w:before="110" w:line="248" w:lineRule="exact"/>
        <w:ind w:left="220"/>
        <w:rPr>
          <w:rFonts w:ascii="Book Antiqua" w:hAnsi="Book Antiqua"/>
          <w:i/>
          <w:sz w:val="20"/>
        </w:rPr>
      </w:pPr>
      <w:r>
        <w:rPr>
          <w:rFonts w:ascii="Book Antiqua" w:hAnsi="Book Antiqua"/>
          <w:sz w:val="20"/>
        </w:rPr>
        <w:t>Inflammatory</w:t>
      </w:r>
      <w:r>
        <w:rPr>
          <w:rFonts w:ascii="Book Antiqua" w:hAnsi="Book Antiqua"/>
          <w:spacing w:val="-5"/>
          <w:sz w:val="20"/>
        </w:rPr>
        <w:t xml:space="preserve"> </w:t>
      </w:r>
      <w:r>
        <w:rPr>
          <w:rFonts w:ascii="Book Antiqua" w:hAnsi="Book Antiqua"/>
          <w:sz w:val="20"/>
        </w:rPr>
        <w:t>Bowel</w:t>
      </w:r>
      <w:r>
        <w:rPr>
          <w:rFonts w:ascii="Book Antiqua" w:hAnsi="Book Antiqua"/>
          <w:spacing w:val="-3"/>
          <w:sz w:val="20"/>
        </w:rPr>
        <w:t xml:space="preserve"> </w:t>
      </w:r>
      <w:r>
        <w:rPr>
          <w:rFonts w:ascii="Book Antiqua" w:hAnsi="Book Antiqua"/>
          <w:sz w:val="20"/>
        </w:rPr>
        <w:t>Disease.”</w:t>
      </w:r>
      <w:r>
        <w:rPr>
          <w:rFonts w:ascii="Book Antiqua" w:hAnsi="Book Antiqua"/>
          <w:spacing w:val="45"/>
          <w:sz w:val="20"/>
        </w:rPr>
        <w:t xml:space="preserve"> </w:t>
      </w:r>
      <w:r>
        <w:rPr>
          <w:rFonts w:ascii="Book Antiqua" w:hAnsi="Book Antiqua"/>
          <w:i/>
          <w:sz w:val="20"/>
        </w:rPr>
        <w:t>Journal</w:t>
      </w:r>
      <w:r>
        <w:rPr>
          <w:rFonts w:ascii="Book Antiqua" w:hAnsi="Book Antiqua"/>
          <w:i/>
          <w:spacing w:val="-3"/>
          <w:sz w:val="20"/>
        </w:rPr>
        <w:t xml:space="preserve"> </w:t>
      </w:r>
      <w:r>
        <w:rPr>
          <w:rFonts w:ascii="Book Antiqua" w:hAnsi="Book Antiqua"/>
          <w:i/>
          <w:sz w:val="20"/>
        </w:rPr>
        <w:t>of</w:t>
      </w:r>
      <w:r>
        <w:rPr>
          <w:rFonts w:ascii="Book Antiqua" w:hAnsi="Book Antiqua"/>
          <w:i/>
          <w:spacing w:val="-4"/>
          <w:sz w:val="20"/>
        </w:rPr>
        <w:t xml:space="preserve"> </w:t>
      </w:r>
      <w:r>
        <w:rPr>
          <w:rFonts w:ascii="Book Antiqua" w:hAnsi="Book Antiqua"/>
          <w:i/>
          <w:sz w:val="20"/>
        </w:rPr>
        <w:t>Pediatric</w:t>
      </w:r>
      <w:r>
        <w:rPr>
          <w:rFonts w:ascii="Book Antiqua" w:hAnsi="Book Antiqua"/>
          <w:i/>
          <w:spacing w:val="-3"/>
          <w:sz w:val="20"/>
        </w:rPr>
        <w:t xml:space="preserve"> </w:t>
      </w:r>
      <w:r>
        <w:rPr>
          <w:rFonts w:ascii="Book Antiqua" w:hAnsi="Book Antiqua"/>
          <w:i/>
          <w:sz w:val="20"/>
        </w:rPr>
        <w:t>Gastroenterology</w:t>
      </w:r>
      <w:r>
        <w:rPr>
          <w:rFonts w:ascii="Book Antiqua" w:hAnsi="Book Antiqua"/>
          <w:i/>
          <w:spacing w:val="-2"/>
          <w:sz w:val="20"/>
        </w:rPr>
        <w:t xml:space="preserve"> </w:t>
      </w:r>
      <w:r>
        <w:rPr>
          <w:rFonts w:ascii="Book Antiqua" w:hAnsi="Book Antiqua"/>
          <w:i/>
          <w:sz w:val="20"/>
        </w:rPr>
        <w:t>and</w:t>
      </w:r>
      <w:r>
        <w:rPr>
          <w:rFonts w:ascii="Book Antiqua" w:hAnsi="Book Antiqua"/>
          <w:i/>
          <w:spacing w:val="-3"/>
          <w:sz w:val="20"/>
        </w:rPr>
        <w:t xml:space="preserve"> </w:t>
      </w:r>
      <w:r>
        <w:rPr>
          <w:rFonts w:ascii="Book Antiqua" w:hAnsi="Book Antiqua"/>
          <w:i/>
          <w:sz w:val="20"/>
        </w:rPr>
        <w:t>Nutrition,</w:t>
      </w:r>
      <w:r>
        <w:rPr>
          <w:rFonts w:ascii="Book Antiqua" w:hAnsi="Book Antiqua"/>
          <w:i/>
          <w:spacing w:val="-2"/>
          <w:sz w:val="20"/>
        </w:rPr>
        <w:t xml:space="preserve"> </w:t>
      </w:r>
      <w:r>
        <w:rPr>
          <w:rFonts w:ascii="Book Antiqua" w:hAnsi="Book Antiqua"/>
          <w:i/>
          <w:sz w:val="20"/>
        </w:rPr>
        <w:t>69(5):</w:t>
      </w:r>
      <w:r>
        <w:rPr>
          <w:rFonts w:ascii="Book Antiqua" w:hAnsi="Book Antiqua"/>
          <w:i/>
          <w:spacing w:val="-5"/>
          <w:sz w:val="20"/>
        </w:rPr>
        <w:t xml:space="preserve"> </w:t>
      </w:r>
      <w:r>
        <w:rPr>
          <w:rFonts w:ascii="Book Antiqua" w:hAnsi="Book Antiqua"/>
          <w:i/>
          <w:sz w:val="20"/>
        </w:rPr>
        <w:t>544-550.</w:t>
      </w:r>
    </w:p>
    <w:p w:rsidR="00D862F2" w:rsidRDefault="00250945">
      <w:pPr>
        <w:spacing w:line="248" w:lineRule="exact"/>
        <w:ind w:left="219"/>
        <w:rPr>
          <w:rFonts w:ascii="Book Antiqua"/>
          <w:sz w:val="20"/>
        </w:rPr>
      </w:pPr>
      <w:hyperlink r:id="rId42">
        <w:r w:rsidR="00884FE4">
          <w:rPr>
            <w:rFonts w:ascii="Book Antiqua"/>
            <w:color w:val="0000FF"/>
            <w:sz w:val="20"/>
            <w:u w:val="single" w:color="0000FF"/>
          </w:rPr>
          <w:t>https://doi.org/10.1097/MPG.0000000000002422</w:t>
        </w:r>
        <w:r w:rsidR="00884FE4">
          <w:rPr>
            <w:rFonts w:ascii="Book Antiqua"/>
            <w:sz w:val="20"/>
          </w:rPr>
          <w:t>.</w:t>
        </w:r>
      </w:hyperlink>
    </w:p>
    <w:p w:rsidR="00D862F2" w:rsidRDefault="00884FE4">
      <w:pPr>
        <w:spacing w:before="1"/>
        <w:ind w:left="219" w:right="386"/>
        <w:rPr>
          <w:rFonts w:ascii="Book Antiqua" w:hAnsi="Book Antiqua"/>
          <w:sz w:val="20"/>
        </w:rPr>
      </w:pPr>
      <w:bookmarkStart w:id="36" w:name="_bookmark35"/>
      <w:bookmarkEnd w:id="36"/>
      <w:r>
        <w:rPr>
          <w:rFonts w:ascii="Book Antiqua" w:hAnsi="Book Antiqua"/>
          <w:position w:val="5"/>
          <w:sz w:val="13"/>
        </w:rPr>
        <w:t xml:space="preserve">36 </w:t>
      </w:r>
      <w:r>
        <w:rPr>
          <w:rFonts w:ascii="Book Antiqua" w:hAnsi="Book Antiqua"/>
          <w:sz w:val="20"/>
        </w:rPr>
        <w:t>Bernstein, D.T., Chen, C., Zhang, W., McKay, S.D.</w:t>
      </w:r>
      <w:r>
        <w:rPr>
          <w:rFonts w:ascii="Book Antiqua" w:hAnsi="Book Antiqua"/>
          <w:spacing w:val="1"/>
          <w:sz w:val="20"/>
        </w:rPr>
        <w:t xml:space="preserve"> </w:t>
      </w:r>
      <w:r>
        <w:rPr>
          <w:rFonts w:ascii="Book Antiqua" w:hAnsi="Book Antiqua"/>
          <w:sz w:val="20"/>
        </w:rPr>
        <w:t>(2015).</w:t>
      </w:r>
      <w:r>
        <w:rPr>
          <w:rFonts w:ascii="Book Antiqua" w:hAnsi="Book Antiqua"/>
          <w:spacing w:val="1"/>
          <w:sz w:val="20"/>
        </w:rPr>
        <w:t xml:space="preserve"> </w:t>
      </w:r>
      <w:r>
        <w:rPr>
          <w:rFonts w:ascii="Book Antiqua" w:hAnsi="Book Antiqua"/>
          <w:sz w:val="20"/>
        </w:rPr>
        <w:t>“National Trends in Operative Treatment of</w:t>
      </w:r>
      <w:r>
        <w:rPr>
          <w:rFonts w:ascii="Book Antiqua" w:hAnsi="Book Antiqua"/>
          <w:spacing w:val="-47"/>
          <w:sz w:val="20"/>
        </w:rPr>
        <w:t xml:space="preserve"> </w:t>
      </w:r>
      <w:r>
        <w:rPr>
          <w:rFonts w:ascii="Book Antiqua" w:hAnsi="Book Antiqua"/>
          <w:sz w:val="20"/>
        </w:rPr>
        <w:t>Pediatric Fractures in the Ambulatory Setting.”</w:t>
      </w:r>
      <w:r>
        <w:rPr>
          <w:rFonts w:ascii="Book Antiqua" w:hAnsi="Book Antiqua"/>
          <w:spacing w:val="1"/>
          <w:sz w:val="20"/>
        </w:rPr>
        <w:t xml:space="preserve"> </w:t>
      </w:r>
      <w:r>
        <w:rPr>
          <w:rFonts w:ascii="Book Antiqua" w:hAnsi="Book Antiqua"/>
          <w:i/>
          <w:sz w:val="20"/>
        </w:rPr>
        <w:t>Orthopedics, 28(10): e869-e873</w:t>
      </w:r>
      <w:r>
        <w:rPr>
          <w:rFonts w:ascii="Book Antiqua" w:hAnsi="Book Antiqua"/>
          <w:sz w:val="20"/>
        </w:rPr>
        <w:t>.</w:t>
      </w:r>
      <w:r>
        <w:rPr>
          <w:rFonts w:ascii="Book Antiqua" w:hAnsi="Book Antiqua"/>
          <w:spacing w:val="1"/>
          <w:sz w:val="20"/>
        </w:rPr>
        <w:t xml:space="preserve"> </w:t>
      </w:r>
      <w:hyperlink r:id="rId43">
        <w:r>
          <w:rPr>
            <w:rFonts w:ascii="Book Antiqua" w:hAnsi="Book Antiqua"/>
            <w:color w:val="0000FF"/>
            <w:sz w:val="20"/>
            <w:u w:val="single" w:color="0000FF"/>
          </w:rPr>
          <w:t>https://doi.org/10.3928/01477447-20151002-52</w:t>
        </w:r>
        <w:r>
          <w:rPr>
            <w:rFonts w:ascii="Book Antiqua" w:hAnsi="Book Antiqua"/>
            <w:sz w:val="20"/>
          </w:rPr>
          <w:t>.</w:t>
        </w:r>
      </w:hyperlink>
    </w:p>
    <w:p w:rsidR="00D862F2" w:rsidRDefault="00884FE4">
      <w:pPr>
        <w:ind w:left="219" w:right="497"/>
        <w:rPr>
          <w:rFonts w:ascii="Book Antiqua" w:hAnsi="Book Antiqua"/>
          <w:sz w:val="20"/>
        </w:rPr>
      </w:pPr>
      <w:bookmarkStart w:id="37" w:name="_bookmark36"/>
      <w:bookmarkEnd w:id="37"/>
      <w:r>
        <w:rPr>
          <w:rFonts w:ascii="Book Antiqua" w:hAnsi="Book Antiqua"/>
          <w:position w:val="5"/>
          <w:sz w:val="13"/>
        </w:rPr>
        <w:t xml:space="preserve">37 </w:t>
      </w:r>
      <w:r>
        <w:rPr>
          <w:rFonts w:ascii="Book Antiqua" w:hAnsi="Book Antiqua"/>
          <w:sz w:val="20"/>
        </w:rPr>
        <w:t>Beste, C.</w:t>
      </w:r>
      <w:r>
        <w:rPr>
          <w:rFonts w:ascii="Book Antiqua" w:hAnsi="Book Antiqua"/>
          <w:spacing w:val="1"/>
          <w:sz w:val="20"/>
        </w:rPr>
        <w:t xml:space="preserve"> </w:t>
      </w:r>
      <w:r>
        <w:rPr>
          <w:rFonts w:ascii="Book Antiqua" w:hAnsi="Book Antiqua"/>
          <w:sz w:val="20"/>
        </w:rPr>
        <w:t>(2020).</w:t>
      </w:r>
      <w:r>
        <w:rPr>
          <w:rFonts w:ascii="Book Antiqua" w:hAnsi="Book Antiqua"/>
          <w:spacing w:val="1"/>
          <w:sz w:val="20"/>
        </w:rPr>
        <w:t xml:space="preserve"> </w:t>
      </w:r>
      <w:r>
        <w:rPr>
          <w:rFonts w:ascii="Book Antiqua" w:hAnsi="Book Antiqua"/>
          <w:sz w:val="20"/>
        </w:rPr>
        <w:t>“Proposed CMS Medicare Rule Signals New Era of Orthopedics.”</w:t>
      </w:r>
      <w:r>
        <w:rPr>
          <w:rFonts w:ascii="Book Antiqua" w:hAnsi="Book Antiqua"/>
          <w:spacing w:val="1"/>
          <w:sz w:val="20"/>
        </w:rPr>
        <w:t xml:space="preserve"> </w:t>
      </w:r>
      <w:r>
        <w:rPr>
          <w:rFonts w:ascii="Book Antiqua" w:hAnsi="Book Antiqua"/>
          <w:i/>
          <w:sz w:val="20"/>
        </w:rPr>
        <w:t>Becker’s ASC</w:t>
      </w:r>
      <w:r>
        <w:rPr>
          <w:rFonts w:ascii="Book Antiqua" w:hAnsi="Book Antiqua"/>
          <w:i/>
          <w:spacing w:val="1"/>
          <w:sz w:val="20"/>
        </w:rPr>
        <w:t xml:space="preserve"> </w:t>
      </w:r>
      <w:r>
        <w:rPr>
          <w:rFonts w:ascii="Book Antiqua" w:hAnsi="Book Antiqua"/>
          <w:i/>
          <w:sz w:val="20"/>
        </w:rPr>
        <w:t>Review</w:t>
      </w:r>
      <w:r>
        <w:rPr>
          <w:rFonts w:ascii="Book Antiqua" w:hAnsi="Book Antiqua"/>
          <w:sz w:val="20"/>
        </w:rPr>
        <w:t>.</w:t>
      </w:r>
      <w:r>
        <w:rPr>
          <w:rFonts w:ascii="Book Antiqua" w:hAnsi="Book Antiqua"/>
          <w:spacing w:val="1"/>
          <w:sz w:val="20"/>
        </w:rPr>
        <w:t xml:space="preserve"> </w:t>
      </w:r>
      <w:r>
        <w:rPr>
          <w:rFonts w:ascii="Book Antiqua" w:hAnsi="Book Antiqua"/>
          <w:sz w:val="20"/>
        </w:rPr>
        <w:t xml:space="preserve">Retrieved from </w:t>
      </w:r>
      <w:hyperlink r:id="rId44">
        <w:r>
          <w:rPr>
            <w:rFonts w:ascii="Book Antiqua" w:hAnsi="Book Antiqua"/>
            <w:color w:val="0000FF"/>
            <w:sz w:val="20"/>
            <w:u w:val="single" w:color="0000FF"/>
          </w:rPr>
          <w:t>https://www.beckersasc.com/asc-news/proposed-cms-medicare-rule-signals-</w:t>
        </w:r>
      </w:hyperlink>
      <w:r>
        <w:rPr>
          <w:rFonts w:ascii="Book Antiqua" w:hAnsi="Book Antiqua"/>
          <w:color w:val="0000FF"/>
          <w:spacing w:val="-48"/>
          <w:sz w:val="20"/>
        </w:rPr>
        <w:t xml:space="preserve"> </w:t>
      </w:r>
      <w:hyperlink r:id="rId45">
        <w:bookmarkStart w:id="38" w:name="_bookmark37"/>
        <w:bookmarkEnd w:id="38"/>
        <w:r>
          <w:rPr>
            <w:rFonts w:ascii="Book Antiqua" w:hAnsi="Book Antiqua"/>
            <w:color w:val="0000FF"/>
            <w:sz w:val="20"/>
            <w:u w:val="single" w:color="0000FF"/>
          </w:rPr>
          <w:t>new-era-of-orthopedics.html</w:t>
        </w:r>
        <w:r>
          <w:rPr>
            <w:rFonts w:ascii="Book Antiqua" w:hAnsi="Book Antiqua"/>
            <w:sz w:val="20"/>
          </w:rPr>
          <w:t>.</w:t>
        </w:r>
      </w:hyperlink>
    </w:p>
    <w:p w:rsidR="00D862F2" w:rsidRDefault="00884FE4">
      <w:pPr>
        <w:ind w:left="219" w:right="385"/>
        <w:jc w:val="both"/>
        <w:rPr>
          <w:rFonts w:ascii="Book Antiqua" w:hAnsi="Book Antiqua"/>
          <w:sz w:val="20"/>
        </w:rPr>
      </w:pPr>
      <w:r>
        <w:rPr>
          <w:rFonts w:ascii="Book Antiqua" w:hAnsi="Book Antiqua"/>
          <w:position w:val="5"/>
          <w:sz w:val="13"/>
        </w:rPr>
        <w:t xml:space="preserve">38 </w:t>
      </w:r>
      <w:r>
        <w:rPr>
          <w:rFonts w:ascii="Book Antiqua" w:hAnsi="Book Antiqua"/>
          <w:sz w:val="20"/>
        </w:rPr>
        <w:t>Waters, P.M., Yang, B.W., White, D., Barth, E., Chiang, V., Mizrahi-Arnaud, A., Sparks, W.</w:t>
      </w:r>
      <w:r>
        <w:rPr>
          <w:rFonts w:ascii="Book Antiqua" w:hAnsi="Book Antiqua"/>
          <w:spacing w:val="1"/>
          <w:sz w:val="20"/>
        </w:rPr>
        <w:t xml:space="preserve"> </w:t>
      </w:r>
      <w:r>
        <w:rPr>
          <w:rFonts w:ascii="Book Antiqua" w:hAnsi="Book Antiqua"/>
          <w:sz w:val="20"/>
        </w:rPr>
        <w:t>(2018). “A</w:t>
      </w:r>
      <w:r>
        <w:rPr>
          <w:rFonts w:ascii="Book Antiqua" w:hAnsi="Book Antiqua"/>
          <w:spacing w:val="1"/>
          <w:sz w:val="20"/>
        </w:rPr>
        <w:t xml:space="preserve"> </w:t>
      </w:r>
      <w:r>
        <w:rPr>
          <w:rFonts w:ascii="Book Antiqua" w:hAnsi="Book Antiqua"/>
          <w:sz w:val="20"/>
        </w:rPr>
        <w:t xml:space="preserve">Dedicated Satellite Trauma Orthopaedic Program Operating Room Safely Increases Capacity.” </w:t>
      </w:r>
      <w:r>
        <w:rPr>
          <w:rFonts w:ascii="Book Antiqua" w:hAnsi="Book Antiqua"/>
          <w:i/>
          <w:sz w:val="20"/>
        </w:rPr>
        <w:t>Journal of</w:t>
      </w:r>
      <w:r>
        <w:rPr>
          <w:rFonts w:ascii="Book Antiqua" w:hAnsi="Book Antiqua"/>
          <w:i/>
          <w:spacing w:val="1"/>
          <w:sz w:val="20"/>
        </w:rPr>
        <w:t xml:space="preserve"> </w:t>
      </w:r>
      <w:r>
        <w:rPr>
          <w:rFonts w:ascii="Book Antiqua" w:hAnsi="Book Antiqua"/>
          <w:i/>
          <w:sz w:val="20"/>
        </w:rPr>
        <w:t>Bone</w:t>
      </w:r>
      <w:r>
        <w:rPr>
          <w:rFonts w:ascii="Book Antiqua" w:hAnsi="Book Antiqua"/>
          <w:i/>
          <w:spacing w:val="-2"/>
          <w:sz w:val="20"/>
        </w:rPr>
        <w:t xml:space="preserve"> </w:t>
      </w:r>
      <w:r>
        <w:rPr>
          <w:rFonts w:ascii="Book Antiqua" w:hAnsi="Book Antiqua"/>
          <w:i/>
          <w:sz w:val="20"/>
        </w:rPr>
        <w:t>and</w:t>
      </w:r>
      <w:r>
        <w:rPr>
          <w:rFonts w:ascii="Book Antiqua" w:hAnsi="Book Antiqua"/>
          <w:i/>
          <w:spacing w:val="1"/>
          <w:sz w:val="20"/>
        </w:rPr>
        <w:t xml:space="preserve"> </w:t>
      </w:r>
      <w:r>
        <w:rPr>
          <w:rFonts w:ascii="Book Antiqua" w:hAnsi="Book Antiqua"/>
          <w:i/>
          <w:sz w:val="20"/>
        </w:rPr>
        <w:t>Joint Surgery, 100(10):</w:t>
      </w:r>
      <w:r>
        <w:rPr>
          <w:rFonts w:ascii="Book Antiqua" w:hAnsi="Book Antiqua"/>
          <w:i/>
          <w:spacing w:val="1"/>
          <w:sz w:val="20"/>
        </w:rPr>
        <w:t xml:space="preserve"> </w:t>
      </w:r>
      <w:r>
        <w:rPr>
          <w:rFonts w:ascii="Book Antiqua" w:hAnsi="Book Antiqua"/>
          <w:i/>
          <w:sz w:val="20"/>
        </w:rPr>
        <w:t>e70</w:t>
      </w:r>
      <w:r>
        <w:rPr>
          <w:rFonts w:ascii="Book Antiqua" w:hAnsi="Book Antiqua"/>
          <w:sz w:val="20"/>
        </w:rPr>
        <w:t>.</w:t>
      </w:r>
      <w:r>
        <w:rPr>
          <w:rFonts w:ascii="Book Antiqua" w:hAnsi="Book Antiqua"/>
          <w:spacing w:val="50"/>
          <w:sz w:val="20"/>
        </w:rPr>
        <w:t xml:space="preserve"> </w:t>
      </w:r>
      <w:hyperlink r:id="rId46">
        <w:r>
          <w:rPr>
            <w:rFonts w:ascii="Book Antiqua" w:hAnsi="Book Antiqua"/>
            <w:color w:val="0000FF"/>
            <w:sz w:val="20"/>
            <w:u w:val="single" w:color="0000FF"/>
          </w:rPr>
          <w:t>https://doi.org/10.2106/JBJS.17.01368</w:t>
        </w:r>
        <w:r>
          <w:rPr>
            <w:rFonts w:ascii="Book Antiqua" w:hAnsi="Book Antiqua"/>
            <w:sz w:val="20"/>
          </w:rPr>
          <w:t>.</w:t>
        </w:r>
      </w:hyperlink>
    </w:p>
    <w:p w:rsidR="00D862F2" w:rsidRDefault="00884FE4">
      <w:pPr>
        <w:ind w:left="219" w:right="331"/>
        <w:jc w:val="both"/>
        <w:rPr>
          <w:rFonts w:ascii="Book Antiqua" w:hAnsi="Book Antiqua"/>
          <w:sz w:val="20"/>
        </w:rPr>
      </w:pPr>
      <w:bookmarkStart w:id="39" w:name="_bookmark38"/>
      <w:bookmarkEnd w:id="39"/>
      <w:r>
        <w:rPr>
          <w:rFonts w:ascii="Book Antiqua" w:hAnsi="Book Antiqua"/>
          <w:position w:val="5"/>
          <w:sz w:val="13"/>
        </w:rPr>
        <w:t xml:space="preserve">39 </w:t>
      </w:r>
      <w:r>
        <w:rPr>
          <w:rFonts w:ascii="Book Antiqua" w:hAnsi="Book Antiqua"/>
          <w:sz w:val="20"/>
        </w:rPr>
        <w:t>Mininder, K. (2015). “Value of Pediatric Orthopaedic Surgery.”</w:t>
      </w:r>
      <w:r>
        <w:rPr>
          <w:rFonts w:ascii="Book Antiqua" w:hAnsi="Book Antiqua"/>
          <w:spacing w:val="1"/>
          <w:sz w:val="20"/>
        </w:rPr>
        <w:t xml:space="preserve"> </w:t>
      </w:r>
      <w:r>
        <w:rPr>
          <w:rFonts w:ascii="Book Antiqua" w:hAnsi="Book Antiqua"/>
          <w:i/>
          <w:sz w:val="20"/>
        </w:rPr>
        <w:t>Journal of Pediatric Orthopaedics</w:t>
      </w:r>
      <w:r>
        <w:rPr>
          <w:rFonts w:ascii="Book Antiqua" w:hAnsi="Book Antiqua"/>
          <w:sz w:val="20"/>
        </w:rPr>
        <w:t>, 35: S9-</w:t>
      </w:r>
      <w:r>
        <w:rPr>
          <w:rFonts w:ascii="Book Antiqua" w:hAnsi="Book Antiqua"/>
          <w:spacing w:val="1"/>
          <w:sz w:val="20"/>
        </w:rPr>
        <w:t xml:space="preserve"> </w:t>
      </w:r>
      <w:bookmarkStart w:id="40" w:name="_bookmark39"/>
      <w:bookmarkEnd w:id="40"/>
      <w:r>
        <w:rPr>
          <w:rFonts w:ascii="Book Antiqua" w:hAnsi="Book Antiqua"/>
          <w:sz w:val="20"/>
        </w:rPr>
        <w:t>13</w:t>
      </w:r>
      <w:r>
        <w:rPr>
          <w:rFonts w:ascii="Book Antiqua" w:hAnsi="Book Antiqua"/>
          <w:i/>
          <w:sz w:val="20"/>
        </w:rPr>
        <w:t>.</w:t>
      </w:r>
      <w:r>
        <w:rPr>
          <w:rFonts w:ascii="Book Antiqua" w:hAnsi="Book Antiqua"/>
          <w:i/>
          <w:spacing w:val="1"/>
          <w:sz w:val="20"/>
        </w:rPr>
        <w:t xml:space="preserve"> </w:t>
      </w:r>
      <w:hyperlink r:id="rId47">
        <w:r>
          <w:rPr>
            <w:rFonts w:ascii="Book Antiqua" w:hAnsi="Book Antiqua"/>
            <w:color w:val="0000FF"/>
            <w:sz w:val="20"/>
            <w:u w:val="single" w:color="0000FF"/>
          </w:rPr>
          <w:t>https://doi.org/10.1097/BPO.0000000000000536</w:t>
        </w:r>
        <w:r>
          <w:rPr>
            <w:rFonts w:ascii="Book Antiqua" w:hAnsi="Book Antiqua"/>
            <w:sz w:val="20"/>
          </w:rPr>
          <w:t>.</w:t>
        </w:r>
      </w:hyperlink>
    </w:p>
    <w:p w:rsidR="00D862F2" w:rsidRDefault="00884FE4">
      <w:pPr>
        <w:ind w:left="220" w:right="626" w:hanging="1"/>
        <w:jc w:val="both"/>
        <w:rPr>
          <w:rFonts w:ascii="Book Antiqua" w:hAnsi="Book Antiqua"/>
          <w:sz w:val="20"/>
        </w:rPr>
      </w:pPr>
      <w:r>
        <w:rPr>
          <w:rFonts w:ascii="Book Antiqua" w:hAnsi="Book Antiqua"/>
          <w:position w:val="5"/>
          <w:sz w:val="13"/>
        </w:rPr>
        <w:t xml:space="preserve">40 </w:t>
      </w:r>
      <w:r>
        <w:rPr>
          <w:rFonts w:ascii="Book Antiqua" w:hAnsi="Book Antiqua"/>
          <w:sz w:val="20"/>
        </w:rPr>
        <w:t>Kelley-Quon, L.I., Kirkpatrick, M.G., Ricca, R.L., et al. (2020). “Guidelines for Opioid Prescribing in</w:t>
      </w:r>
      <w:r>
        <w:rPr>
          <w:rFonts w:ascii="Book Antiqua" w:hAnsi="Book Antiqua"/>
          <w:spacing w:val="1"/>
          <w:sz w:val="20"/>
        </w:rPr>
        <w:t xml:space="preserve"> </w:t>
      </w:r>
      <w:r>
        <w:rPr>
          <w:rFonts w:ascii="Book Antiqua" w:hAnsi="Book Antiqua"/>
          <w:sz w:val="20"/>
        </w:rPr>
        <w:t>Children</w:t>
      </w:r>
      <w:r>
        <w:rPr>
          <w:rFonts w:ascii="Book Antiqua" w:hAnsi="Book Antiqua"/>
          <w:spacing w:val="-5"/>
          <w:sz w:val="20"/>
        </w:rPr>
        <w:t xml:space="preserve"> </w:t>
      </w:r>
      <w:r>
        <w:rPr>
          <w:rFonts w:ascii="Book Antiqua" w:hAnsi="Book Antiqua"/>
          <w:sz w:val="20"/>
        </w:rPr>
        <w:t>and</w:t>
      </w:r>
      <w:r>
        <w:rPr>
          <w:rFonts w:ascii="Book Antiqua" w:hAnsi="Book Antiqua"/>
          <w:spacing w:val="-3"/>
          <w:sz w:val="20"/>
        </w:rPr>
        <w:t xml:space="preserve"> </w:t>
      </w:r>
      <w:r>
        <w:rPr>
          <w:rFonts w:ascii="Book Antiqua" w:hAnsi="Book Antiqua"/>
          <w:sz w:val="20"/>
        </w:rPr>
        <w:t>Adolescents</w:t>
      </w:r>
      <w:r>
        <w:rPr>
          <w:rFonts w:ascii="Book Antiqua" w:hAnsi="Book Antiqua"/>
          <w:spacing w:val="-2"/>
          <w:sz w:val="20"/>
        </w:rPr>
        <w:t xml:space="preserve"> </w:t>
      </w:r>
      <w:r>
        <w:rPr>
          <w:rFonts w:ascii="Book Antiqua" w:hAnsi="Book Antiqua"/>
          <w:sz w:val="20"/>
        </w:rPr>
        <w:t>After</w:t>
      </w:r>
      <w:r>
        <w:rPr>
          <w:rFonts w:ascii="Book Antiqua" w:hAnsi="Book Antiqua"/>
          <w:spacing w:val="-4"/>
          <w:sz w:val="20"/>
        </w:rPr>
        <w:t xml:space="preserve"> </w:t>
      </w:r>
      <w:r>
        <w:rPr>
          <w:rFonts w:ascii="Book Antiqua" w:hAnsi="Book Antiqua"/>
          <w:sz w:val="20"/>
        </w:rPr>
        <w:t>Surgery.”</w:t>
      </w:r>
      <w:r>
        <w:rPr>
          <w:rFonts w:ascii="Book Antiqua" w:hAnsi="Book Antiqua"/>
          <w:spacing w:val="44"/>
          <w:sz w:val="20"/>
        </w:rPr>
        <w:t xml:space="preserve"> </w:t>
      </w:r>
      <w:r>
        <w:rPr>
          <w:rFonts w:ascii="Book Antiqua" w:hAnsi="Book Antiqua"/>
          <w:i/>
          <w:sz w:val="20"/>
        </w:rPr>
        <w:t>JAMA</w:t>
      </w:r>
      <w:r>
        <w:rPr>
          <w:rFonts w:ascii="Book Antiqua" w:hAnsi="Book Antiqua"/>
          <w:i/>
          <w:spacing w:val="-4"/>
          <w:sz w:val="20"/>
        </w:rPr>
        <w:t xml:space="preserve"> </w:t>
      </w:r>
      <w:r>
        <w:rPr>
          <w:rFonts w:ascii="Book Antiqua" w:hAnsi="Book Antiqua"/>
          <w:i/>
          <w:sz w:val="20"/>
        </w:rPr>
        <w:t>Surg.</w:t>
      </w:r>
      <w:r>
        <w:rPr>
          <w:rFonts w:ascii="Book Antiqua" w:hAnsi="Book Antiqua"/>
          <w:i/>
          <w:spacing w:val="44"/>
          <w:sz w:val="20"/>
        </w:rPr>
        <w:t xml:space="preserve"> </w:t>
      </w:r>
      <w:hyperlink r:id="rId48">
        <w:r>
          <w:rPr>
            <w:rFonts w:ascii="Book Antiqua" w:hAnsi="Book Antiqua"/>
            <w:color w:val="0000FF"/>
            <w:sz w:val="20"/>
            <w:u w:val="single" w:color="0000FF"/>
          </w:rPr>
          <w:t>https://doi.org/10.1001/jamasurg.2020.5045</w:t>
        </w:r>
        <w:r>
          <w:rPr>
            <w:rFonts w:ascii="Book Antiqua" w:hAnsi="Book Antiqua"/>
            <w:sz w:val="20"/>
          </w:rPr>
          <w:t>.</w:t>
        </w:r>
      </w:hyperlink>
    </w:p>
    <w:p w:rsidR="00D862F2" w:rsidRDefault="00D862F2">
      <w:pPr>
        <w:jc w:val="both"/>
        <w:rPr>
          <w:rFonts w:ascii="Book Antiqua" w:hAnsi="Book Antiqua"/>
          <w:sz w:val="20"/>
        </w:rPr>
        <w:sectPr w:rsidR="00D862F2">
          <w:headerReference w:type="default" r:id="rId49"/>
          <w:footerReference w:type="default" r:id="rId50"/>
          <w:pgSz w:w="12240" w:h="15840"/>
          <w:pgMar w:top="1360" w:right="1160" w:bottom="280" w:left="1220" w:header="0" w:footer="0" w:gutter="0"/>
          <w:cols w:space="720"/>
        </w:sectPr>
      </w:pPr>
    </w:p>
    <w:p w:rsidR="00D862F2" w:rsidRDefault="00884FE4">
      <w:pPr>
        <w:spacing w:before="77"/>
        <w:ind w:left="580" w:right="330"/>
        <w:rPr>
          <w:rFonts w:ascii="Book Antiqua" w:hAnsi="Book Antiqua"/>
        </w:rPr>
      </w:pPr>
      <w:r>
        <w:rPr>
          <w:rFonts w:ascii="Book Antiqua" w:hAnsi="Book Antiqua"/>
        </w:rPr>
        <w:lastRenderedPageBreak/>
        <w:t>in Massachusetts, such as Boston Children’s, Boston Medical Center, Mass General Hospital</w:t>
      </w:r>
      <w:r>
        <w:rPr>
          <w:rFonts w:ascii="Book Antiqua" w:hAnsi="Book Antiqua"/>
          <w:spacing w:val="-52"/>
        </w:rPr>
        <w:t xml:space="preserve"> </w:t>
      </w:r>
      <w:r>
        <w:rPr>
          <w:rFonts w:ascii="Book Antiqua" w:hAnsi="Book Antiqua"/>
        </w:rPr>
        <w:t>for Children and Tufts Children’s Hospital.</w:t>
      </w:r>
      <w:r>
        <w:rPr>
          <w:rFonts w:ascii="Book Antiqua" w:hAnsi="Book Antiqua"/>
          <w:spacing w:val="1"/>
        </w:rPr>
        <w:t xml:space="preserve"> </w:t>
      </w:r>
      <w:r>
        <w:rPr>
          <w:rFonts w:ascii="Book Antiqua" w:hAnsi="Book Antiqua"/>
        </w:rPr>
        <w:t>Availability of pediatric orthopedic care,</w:t>
      </w:r>
      <w:r>
        <w:rPr>
          <w:rFonts w:ascii="Book Antiqua" w:hAnsi="Book Antiqua"/>
          <w:spacing w:val="1"/>
        </w:rPr>
        <w:t xml:space="preserve"> </w:t>
      </w:r>
      <w:r>
        <w:rPr>
          <w:rFonts w:ascii="Book Antiqua" w:hAnsi="Book Antiqua"/>
        </w:rPr>
        <w:t>however, is challenging to find in community settings, other than the satellite locations of</w:t>
      </w:r>
      <w:r>
        <w:rPr>
          <w:rFonts w:ascii="Book Antiqua" w:hAnsi="Book Antiqua"/>
          <w:spacing w:val="1"/>
        </w:rPr>
        <w:t xml:space="preserve"> </w:t>
      </w:r>
      <w:r>
        <w:rPr>
          <w:rFonts w:ascii="Book Antiqua" w:hAnsi="Book Antiqua"/>
        </w:rPr>
        <w:t>Boston Children’s and Mass General Hospital.</w:t>
      </w:r>
      <w:r>
        <w:rPr>
          <w:rFonts w:ascii="Book Antiqua" w:hAnsi="Book Antiqua"/>
          <w:spacing w:val="1"/>
        </w:rPr>
        <w:t xml:space="preserve"> </w:t>
      </w:r>
      <w:r>
        <w:rPr>
          <w:rFonts w:ascii="Book Antiqua" w:hAnsi="Book Antiqua"/>
        </w:rPr>
        <w:t>Further, while pediatric patients may seek</w:t>
      </w:r>
      <w:r>
        <w:rPr>
          <w:rFonts w:ascii="Book Antiqua" w:hAnsi="Book Antiqua"/>
          <w:spacing w:val="1"/>
        </w:rPr>
        <w:t xml:space="preserve"> </w:t>
      </w:r>
      <w:r>
        <w:rPr>
          <w:rFonts w:ascii="Book Antiqua" w:hAnsi="Book Antiqua"/>
        </w:rPr>
        <w:t>care for orthopedic/sports medicine needs in alternate, easier-to-access, non-pediatric</w:t>
      </w:r>
      <w:r>
        <w:rPr>
          <w:rFonts w:ascii="Book Antiqua" w:hAnsi="Book Antiqua"/>
          <w:spacing w:val="1"/>
        </w:rPr>
        <w:t xml:space="preserve"> </w:t>
      </w:r>
      <w:r>
        <w:rPr>
          <w:rFonts w:ascii="Book Antiqua" w:hAnsi="Book Antiqua"/>
        </w:rPr>
        <w:t>settings (e.g., adult-focused facilities), this care is not of the highest quality children can</w:t>
      </w:r>
      <w:r>
        <w:rPr>
          <w:rFonts w:ascii="Book Antiqua" w:hAnsi="Book Antiqua"/>
          <w:spacing w:val="1"/>
        </w:rPr>
        <w:t xml:space="preserve"> </w:t>
      </w:r>
      <w:r>
        <w:rPr>
          <w:rFonts w:ascii="Book Antiqua" w:hAnsi="Book Antiqua"/>
        </w:rPr>
        <w:t>receive because the facilities are most often do not have the staff or equipment needed to</w:t>
      </w:r>
      <w:r>
        <w:rPr>
          <w:rFonts w:ascii="Book Antiqua" w:hAnsi="Book Antiqua"/>
          <w:spacing w:val="1"/>
        </w:rPr>
        <w:t xml:space="preserve"> </w:t>
      </w:r>
      <w:r>
        <w:rPr>
          <w:rFonts w:ascii="Book Antiqua" w:hAnsi="Book Antiqua"/>
        </w:rPr>
        <w:t>provide safe and effective pediatric-focused care.</w:t>
      </w:r>
      <w:r>
        <w:rPr>
          <w:rFonts w:ascii="Book Antiqua" w:hAnsi="Book Antiqua"/>
          <w:spacing w:val="1"/>
        </w:rPr>
        <w:t xml:space="preserve"> </w:t>
      </w:r>
      <w:r>
        <w:rPr>
          <w:rFonts w:ascii="Book Antiqua" w:hAnsi="Book Antiqua"/>
        </w:rPr>
        <w:t>Rather than seeking care in settings that</w:t>
      </w:r>
      <w:r>
        <w:rPr>
          <w:rFonts w:ascii="Book Antiqua" w:hAnsi="Book Antiqua"/>
          <w:spacing w:val="1"/>
        </w:rPr>
        <w:t xml:space="preserve"> </w:t>
      </w:r>
      <w:r>
        <w:rPr>
          <w:rFonts w:ascii="Book Antiqua" w:hAnsi="Book Antiqua"/>
        </w:rPr>
        <w:t>can lead to unintended consequences, these pediatric patients would likely prefer accessing</w:t>
      </w:r>
      <w:r>
        <w:rPr>
          <w:rFonts w:ascii="Book Antiqua" w:hAnsi="Book Antiqua"/>
          <w:spacing w:val="-52"/>
        </w:rPr>
        <w:t xml:space="preserve"> </w:t>
      </w:r>
      <w:r>
        <w:rPr>
          <w:rFonts w:ascii="Book Antiqua" w:hAnsi="Book Antiqua"/>
        </w:rPr>
        <w:t>the</w:t>
      </w:r>
      <w:r>
        <w:rPr>
          <w:rFonts w:ascii="Book Antiqua" w:hAnsi="Book Antiqua"/>
          <w:spacing w:val="-1"/>
        </w:rPr>
        <w:t xml:space="preserve"> </w:t>
      </w:r>
      <w:r>
        <w:rPr>
          <w:rFonts w:ascii="Book Antiqua" w:hAnsi="Book Antiqua"/>
        </w:rPr>
        <w:t>right care</w:t>
      </w:r>
      <w:r>
        <w:rPr>
          <w:rFonts w:ascii="Book Antiqua" w:hAnsi="Book Antiqua"/>
          <w:spacing w:val="-3"/>
        </w:rPr>
        <w:t xml:space="preserve"> </w:t>
      </w:r>
      <w:r>
        <w:rPr>
          <w:rFonts w:ascii="Book Antiqua" w:hAnsi="Book Antiqua"/>
        </w:rPr>
        <w:t>in</w:t>
      </w:r>
      <w:r>
        <w:rPr>
          <w:rFonts w:ascii="Book Antiqua" w:hAnsi="Book Antiqua"/>
          <w:spacing w:val="1"/>
        </w:rPr>
        <w:t xml:space="preserve"> </w:t>
      </w:r>
      <w:r>
        <w:rPr>
          <w:rFonts w:ascii="Book Antiqua" w:hAnsi="Book Antiqua"/>
        </w:rPr>
        <w:t>a</w:t>
      </w:r>
      <w:r>
        <w:rPr>
          <w:rFonts w:ascii="Book Antiqua" w:hAnsi="Book Antiqua"/>
          <w:spacing w:val="-3"/>
        </w:rPr>
        <w:t xml:space="preserve"> </w:t>
      </w:r>
      <w:r>
        <w:rPr>
          <w:rFonts w:ascii="Book Antiqua" w:hAnsi="Book Antiqua"/>
        </w:rPr>
        <w:t>location</w:t>
      </w:r>
      <w:r>
        <w:rPr>
          <w:rFonts w:ascii="Book Antiqua" w:hAnsi="Book Antiqua"/>
          <w:spacing w:val="1"/>
        </w:rPr>
        <w:t xml:space="preserve"> </w:t>
      </w:r>
      <w:r>
        <w:rPr>
          <w:rFonts w:ascii="Book Antiqua" w:hAnsi="Book Antiqua"/>
        </w:rPr>
        <w:t>that</w:t>
      </w:r>
      <w:r>
        <w:rPr>
          <w:rFonts w:ascii="Book Antiqua" w:hAnsi="Book Antiqua"/>
          <w:spacing w:val="-1"/>
        </w:rPr>
        <w:t xml:space="preserve"> </w:t>
      </w:r>
      <w:r>
        <w:rPr>
          <w:rFonts w:ascii="Book Antiqua" w:hAnsi="Book Antiqua"/>
        </w:rPr>
        <w:t>is more</w:t>
      </w:r>
      <w:r>
        <w:rPr>
          <w:rFonts w:ascii="Book Antiqua" w:hAnsi="Book Antiqua"/>
          <w:spacing w:val="-3"/>
        </w:rPr>
        <w:t xml:space="preserve"> </w:t>
      </w:r>
      <w:r>
        <w:rPr>
          <w:rFonts w:ascii="Book Antiqua" w:hAnsi="Book Antiqua"/>
        </w:rPr>
        <w:t>convenient for</w:t>
      </w:r>
      <w:r>
        <w:rPr>
          <w:rFonts w:ascii="Book Antiqua" w:hAnsi="Book Antiqua"/>
          <w:spacing w:val="-1"/>
        </w:rPr>
        <w:t xml:space="preserve"> </w:t>
      </w:r>
      <w:r>
        <w:rPr>
          <w:rFonts w:ascii="Book Antiqua" w:hAnsi="Book Antiqua"/>
        </w:rPr>
        <w:t>them.</w:t>
      </w:r>
    </w:p>
    <w:p w:rsidR="00D862F2" w:rsidRDefault="00D862F2">
      <w:pPr>
        <w:pStyle w:val="BodyText"/>
        <w:spacing w:before="6"/>
        <w:rPr>
          <w:rFonts w:ascii="Book Antiqua"/>
          <w:sz w:val="19"/>
        </w:rPr>
      </w:pPr>
    </w:p>
    <w:p w:rsidR="00D862F2" w:rsidRDefault="00884FE4">
      <w:pPr>
        <w:pStyle w:val="ListParagraph"/>
        <w:numPr>
          <w:ilvl w:val="0"/>
          <w:numId w:val="2"/>
        </w:numPr>
        <w:tabs>
          <w:tab w:val="left" w:pos="941"/>
        </w:tabs>
        <w:ind w:left="940" w:hanging="361"/>
        <w:rPr>
          <w:rFonts w:ascii="Book Antiqua"/>
          <w:b/>
          <w:i/>
        </w:rPr>
      </w:pPr>
      <w:r>
        <w:rPr>
          <w:rFonts w:ascii="Book Antiqua"/>
          <w:b/>
          <w:i/>
        </w:rPr>
        <w:t>Ophthalmology</w:t>
      </w:r>
    </w:p>
    <w:p w:rsidR="00D862F2" w:rsidRDefault="00884FE4">
      <w:pPr>
        <w:spacing w:before="119"/>
        <w:ind w:left="579" w:right="270"/>
        <w:rPr>
          <w:rFonts w:ascii="Book Antiqua"/>
          <w:sz w:val="14"/>
        </w:rPr>
      </w:pPr>
      <w:r>
        <w:rPr>
          <w:rFonts w:ascii="Book Antiqua"/>
        </w:rPr>
        <w:t>There is limited availability of pediatric ophthalmologists in the country, but a high number</w:t>
      </w:r>
      <w:r>
        <w:rPr>
          <w:rFonts w:ascii="Book Antiqua"/>
          <w:spacing w:val="1"/>
        </w:rPr>
        <w:t xml:space="preserve"> </w:t>
      </w:r>
      <w:r>
        <w:rPr>
          <w:rFonts w:ascii="Book Antiqua"/>
        </w:rPr>
        <w:t>of pediatric eye care needs.</w:t>
      </w:r>
      <w:r>
        <w:rPr>
          <w:rFonts w:ascii="Book Antiqua"/>
          <w:spacing w:val="1"/>
        </w:rPr>
        <w:t xml:space="preserve"> </w:t>
      </w:r>
      <w:r>
        <w:rPr>
          <w:rFonts w:ascii="Book Antiqua"/>
        </w:rPr>
        <w:t>There are 1,000 pediatric ophthalmologists in the U.S., but more</w:t>
      </w:r>
      <w:r>
        <w:rPr>
          <w:rFonts w:ascii="Book Antiqua"/>
          <w:spacing w:val="-52"/>
        </w:rPr>
        <w:t xml:space="preserve"> </w:t>
      </w:r>
      <w:r>
        <w:rPr>
          <w:rFonts w:ascii="Book Antiqua"/>
        </w:rPr>
        <w:t>than 12.1 million school-age children have a vision problem and only one-third of children</w:t>
      </w:r>
      <w:r>
        <w:rPr>
          <w:rFonts w:ascii="Book Antiqua"/>
          <w:spacing w:val="1"/>
        </w:rPr>
        <w:t xml:space="preserve"> </w:t>
      </w:r>
      <w:r>
        <w:rPr>
          <w:rFonts w:ascii="Book Antiqua"/>
        </w:rPr>
        <w:t>receive eye care before the age of six.</w:t>
      </w:r>
      <w:hyperlink w:anchor="_bookmark40" w:history="1">
        <w:r>
          <w:rPr>
            <w:rFonts w:ascii="Book Antiqua"/>
            <w:position w:val="5"/>
            <w:sz w:val="14"/>
          </w:rPr>
          <w:t>41</w:t>
        </w:r>
      </w:hyperlink>
      <w:r>
        <w:rPr>
          <w:rFonts w:ascii="Book Antiqua"/>
          <w:color w:val="0000FF"/>
          <w:position w:val="5"/>
          <w:sz w:val="14"/>
        </w:rPr>
        <w:t>,</w:t>
      </w:r>
      <w:hyperlink w:anchor="_bookmark41" w:history="1">
        <w:r>
          <w:rPr>
            <w:rFonts w:ascii="Book Antiqua"/>
            <w:position w:val="5"/>
            <w:sz w:val="14"/>
          </w:rPr>
          <w:t>42</w:t>
        </w:r>
      </w:hyperlink>
      <w:r>
        <w:rPr>
          <w:rFonts w:ascii="Book Antiqua"/>
          <w:spacing w:val="1"/>
          <w:position w:val="5"/>
          <w:sz w:val="14"/>
        </w:rPr>
        <w:t xml:space="preserve"> </w:t>
      </w:r>
      <w:r>
        <w:rPr>
          <w:rFonts w:ascii="Book Antiqua"/>
        </w:rPr>
        <w:t>Despite the importance of early identification of</w:t>
      </w:r>
      <w:r>
        <w:rPr>
          <w:rFonts w:ascii="Book Antiqua"/>
          <w:spacing w:val="1"/>
        </w:rPr>
        <w:t xml:space="preserve"> </w:t>
      </w:r>
      <w:r>
        <w:rPr>
          <w:rFonts w:ascii="Book Antiqua"/>
        </w:rPr>
        <w:t>vision problems in establishing an effective treatment plan, screening for young children in</w:t>
      </w:r>
      <w:r>
        <w:rPr>
          <w:rFonts w:ascii="Book Antiqua"/>
          <w:spacing w:val="1"/>
        </w:rPr>
        <w:t xml:space="preserve"> </w:t>
      </w:r>
      <w:r>
        <w:rPr>
          <w:rFonts w:ascii="Book Antiqua"/>
        </w:rPr>
        <w:t>Massachusetts is low, especially among non-White pediatric patients that are</w:t>
      </w:r>
      <w:r>
        <w:rPr>
          <w:rFonts w:ascii="Book Antiqua"/>
          <w:spacing w:val="1"/>
        </w:rPr>
        <w:t xml:space="preserve"> </w:t>
      </w:r>
      <w:r>
        <w:rPr>
          <w:rFonts w:ascii="Book Antiqua"/>
        </w:rPr>
        <w:t>socioeconomically disadvantaged.</w:t>
      </w:r>
      <w:r>
        <w:rPr>
          <w:rFonts w:ascii="Book Antiqua"/>
          <w:spacing w:val="1"/>
        </w:rPr>
        <w:t xml:space="preserve"> </w:t>
      </w:r>
      <w:r>
        <w:rPr>
          <w:rFonts w:ascii="Book Antiqua"/>
        </w:rPr>
        <w:t>72 percent of children in Massachusetts in households</w:t>
      </w:r>
      <w:r>
        <w:rPr>
          <w:rFonts w:ascii="Book Antiqua"/>
          <w:spacing w:val="1"/>
        </w:rPr>
        <w:t xml:space="preserve"> </w:t>
      </w:r>
      <w:r>
        <w:rPr>
          <w:rFonts w:ascii="Book Antiqua"/>
        </w:rPr>
        <w:t>with incomes 400 percent of the federal poverty level (FPL) or greater received vision</w:t>
      </w:r>
      <w:r>
        <w:rPr>
          <w:rFonts w:ascii="Book Antiqua"/>
          <w:spacing w:val="1"/>
        </w:rPr>
        <w:t xml:space="preserve"> </w:t>
      </w:r>
      <w:r>
        <w:rPr>
          <w:rFonts w:ascii="Book Antiqua"/>
        </w:rPr>
        <w:t>screening, compared to 56 percent of children in households with incomes between 0 to 99</w:t>
      </w:r>
      <w:r>
        <w:rPr>
          <w:rFonts w:ascii="Book Antiqua"/>
          <w:spacing w:val="1"/>
        </w:rPr>
        <w:t xml:space="preserve"> </w:t>
      </w:r>
      <w:r>
        <w:rPr>
          <w:rFonts w:ascii="Book Antiqua"/>
        </w:rPr>
        <w:t>percent of the FPL.</w:t>
      </w:r>
      <w:hyperlink w:anchor="_bookmark42" w:history="1">
        <w:r>
          <w:rPr>
            <w:rFonts w:ascii="Book Antiqua"/>
            <w:position w:val="5"/>
            <w:sz w:val="14"/>
          </w:rPr>
          <w:t>43</w:t>
        </w:r>
      </w:hyperlink>
      <w:r>
        <w:rPr>
          <w:rFonts w:ascii="Book Antiqua"/>
          <w:spacing w:val="1"/>
          <w:position w:val="5"/>
          <w:sz w:val="14"/>
        </w:rPr>
        <w:t xml:space="preserve"> </w:t>
      </w:r>
      <w:r>
        <w:rPr>
          <w:rFonts w:ascii="Book Antiqua"/>
        </w:rPr>
        <w:t>74 percent of White, non-Hispanic children received vision screening,</w:t>
      </w:r>
      <w:r>
        <w:rPr>
          <w:rFonts w:ascii="Book Antiqua"/>
          <w:spacing w:val="1"/>
        </w:rPr>
        <w:t xml:space="preserve"> </w:t>
      </w:r>
      <w:r>
        <w:rPr>
          <w:rFonts w:ascii="Book Antiqua"/>
        </w:rPr>
        <w:t>compared to 56 percent of Hispanic children, 59 percent of Black, non-Hispanic children and</w:t>
      </w:r>
      <w:r>
        <w:rPr>
          <w:rFonts w:ascii="Book Antiqua"/>
          <w:spacing w:val="-52"/>
        </w:rPr>
        <w:t xml:space="preserve"> </w:t>
      </w:r>
      <w:r>
        <w:rPr>
          <w:rFonts w:ascii="Book Antiqua"/>
        </w:rPr>
        <w:t>63 percent of</w:t>
      </w:r>
      <w:r>
        <w:rPr>
          <w:rFonts w:ascii="Book Antiqua"/>
          <w:spacing w:val="-2"/>
        </w:rPr>
        <w:t xml:space="preserve"> </w:t>
      </w:r>
      <w:r>
        <w:rPr>
          <w:rFonts w:ascii="Book Antiqua"/>
        </w:rPr>
        <w:t>Asian,</w:t>
      </w:r>
      <w:r>
        <w:rPr>
          <w:rFonts w:ascii="Book Antiqua"/>
          <w:spacing w:val="-3"/>
        </w:rPr>
        <w:t xml:space="preserve"> </w:t>
      </w:r>
      <w:r>
        <w:rPr>
          <w:rFonts w:ascii="Book Antiqua"/>
        </w:rPr>
        <w:t>non-Hispanic children.</w:t>
      </w:r>
      <w:hyperlink w:anchor="_bookmark43" w:history="1">
        <w:r>
          <w:rPr>
            <w:rFonts w:ascii="Book Antiqua"/>
            <w:position w:val="5"/>
            <w:sz w:val="14"/>
          </w:rPr>
          <w:t>44</w:t>
        </w:r>
      </w:hyperlink>
    </w:p>
    <w:p w:rsidR="00D862F2" w:rsidRDefault="00884FE4">
      <w:pPr>
        <w:spacing w:before="120"/>
        <w:ind w:left="580" w:right="279"/>
        <w:rPr>
          <w:rFonts w:ascii="Book Antiqua" w:hAnsi="Book Antiqua"/>
        </w:rPr>
      </w:pPr>
      <w:r>
        <w:rPr>
          <w:rFonts w:ascii="Book Antiqua" w:hAnsi="Book Antiqua"/>
        </w:rPr>
        <w:t>Boston Children’s proposed expansion of ophthalmology services can begin to address the</w:t>
      </w:r>
      <w:r>
        <w:rPr>
          <w:rFonts w:ascii="Book Antiqua" w:hAnsi="Book Antiqua"/>
          <w:spacing w:val="1"/>
        </w:rPr>
        <w:t xml:space="preserve"> </w:t>
      </w:r>
      <w:r>
        <w:rPr>
          <w:rFonts w:ascii="Book Antiqua" w:hAnsi="Book Antiqua"/>
        </w:rPr>
        <w:t>need for more comprehensive vision screens in the Commonwealth.</w:t>
      </w:r>
      <w:r>
        <w:rPr>
          <w:rFonts w:ascii="Book Antiqua" w:hAnsi="Book Antiqua"/>
          <w:spacing w:val="1"/>
        </w:rPr>
        <w:t xml:space="preserve"> </w:t>
      </w:r>
      <w:r>
        <w:rPr>
          <w:rFonts w:ascii="Book Antiqua" w:hAnsi="Book Antiqua"/>
        </w:rPr>
        <w:t>Increasing availability</w:t>
      </w:r>
      <w:r>
        <w:rPr>
          <w:rFonts w:ascii="Book Antiqua" w:hAnsi="Book Antiqua"/>
          <w:spacing w:val="-52"/>
        </w:rPr>
        <w:t xml:space="preserve"> </w:t>
      </w:r>
      <w:r>
        <w:rPr>
          <w:rFonts w:ascii="Book Antiqua" w:hAnsi="Book Antiqua"/>
        </w:rPr>
        <w:t>of services in Needham is helpful because there is a limited availability of ophthalmologic</w:t>
      </w:r>
      <w:r>
        <w:rPr>
          <w:rFonts w:ascii="Book Antiqua" w:hAnsi="Book Antiqua"/>
          <w:spacing w:val="1"/>
        </w:rPr>
        <w:t xml:space="preserve"> </w:t>
      </w:r>
      <w:r>
        <w:rPr>
          <w:rFonts w:ascii="Book Antiqua" w:hAnsi="Book Antiqua"/>
        </w:rPr>
        <w:t>care in community hospitals and Needham is closer to several communities with high</w:t>
      </w:r>
      <w:r>
        <w:rPr>
          <w:rFonts w:ascii="Book Antiqua" w:hAnsi="Book Antiqua"/>
          <w:spacing w:val="1"/>
        </w:rPr>
        <w:t xml:space="preserve"> </w:t>
      </w:r>
      <w:r>
        <w:rPr>
          <w:rFonts w:ascii="Book Antiqua" w:hAnsi="Book Antiqua"/>
        </w:rPr>
        <w:t>percentages of non-White people and persons in poverty (e.g., Brockton, Randolph,</w:t>
      </w:r>
      <w:r>
        <w:rPr>
          <w:rFonts w:ascii="Book Antiqua" w:hAnsi="Book Antiqua"/>
          <w:spacing w:val="1"/>
        </w:rPr>
        <w:t xml:space="preserve"> </w:t>
      </w:r>
      <w:r>
        <w:rPr>
          <w:rFonts w:ascii="Book Antiqua" w:hAnsi="Book Antiqua"/>
        </w:rPr>
        <w:t>Waltham) compared to Boston.</w:t>
      </w:r>
      <w:r>
        <w:rPr>
          <w:rFonts w:ascii="Book Antiqua" w:hAnsi="Book Antiqua"/>
          <w:spacing w:val="1"/>
        </w:rPr>
        <w:t xml:space="preserve"> </w:t>
      </w:r>
      <w:r>
        <w:rPr>
          <w:rFonts w:ascii="Book Antiqua" w:hAnsi="Book Antiqua"/>
        </w:rPr>
        <w:t>New ambulatory services can supplement the current care</w:t>
      </w:r>
      <w:r>
        <w:rPr>
          <w:rFonts w:ascii="Book Antiqua" w:hAnsi="Book Antiqua"/>
          <w:spacing w:val="1"/>
        </w:rPr>
        <w:t xml:space="preserve"> </w:t>
      </w:r>
      <w:r>
        <w:rPr>
          <w:rFonts w:ascii="Book Antiqua" w:hAnsi="Book Antiqua"/>
        </w:rPr>
        <w:t>offerings that are limited to a few facilities in Massachusetts, including Boston Children’s,</w:t>
      </w:r>
      <w:r>
        <w:rPr>
          <w:rFonts w:ascii="Book Antiqua" w:hAnsi="Book Antiqua"/>
          <w:spacing w:val="1"/>
        </w:rPr>
        <w:t xml:space="preserve"> </w:t>
      </w:r>
      <w:r>
        <w:rPr>
          <w:rFonts w:ascii="Book Antiqua" w:hAnsi="Book Antiqua"/>
        </w:rPr>
        <w:t>Mass Eye and Ear and UMass Memorial Hospital.</w:t>
      </w:r>
      <w:r>
        <w:rPr>
          <w:rFonts w:ascii="Book Antiqua" w:hAnsi="Book Antiqua"/>
          <w:spacing w:val="1"/>
        </w:rPr>
        <w:t xml:space="preserve"> </w:t>
      </w:r>
      <w:r>
        <w:rPr>
          <w:rFonts w:ascii="Book Antiqua" w:hAnsi="Book Antiqua"/>
        </w:rPr>
        <w:t>In addition, Boston Children’s has</w:t>
      </w:r>
      <w:r>
        <w:rPr>
          <w:rFonts w:ascii="Book Antiqua" w:hAnsi="Book Antiqua"/>
          <w:spacing w:val="1"/>
        </w:rPr>
        <w:t xml:space="preserve"> </w:t>
      </w:r>
      <w:r>
        <w:rPr>
          <w:rFonts w:ascii="Book Antiqua" w:hAnsi="Book Antiqua"/>
        </w:rPr>
        <w:t>relationships with many of these facilities.</w:t>
      </w:r>
      <w:r>
        <w:rPr>
          <w:rFonts w:ascii="Book Antiqua" w:hAnsi="Book Antiqua"/>
          <w:spacing w:val="1"/>
        </w:rPr>
        <w:t xml:space="preserve"> </w:t>
      </w:r>
      <w:r>
        <w:rPr>
          <w:rFonts w:ascii="Book Antiqua" w:hAnsi="Book Antiqua"/>
        </w:rPr>
        <w:t>For example, it helped UMass build its pediatric</w:t>
      </w:r>
      <w:r>
        <w:rPr>
          <w:rFonts w:ascii="Book Antiqua" w:hAnsi="Book Antiqua"/>
          <w:spacing w:val="-52"/>
        </w:rPr>
        <w:t xml:space="preserve"> </w:t>
      </w:r>
      <w:r>
        <w:rPr>
          <w:rFonts w:ascii="Book Antiqua" w:hAnsi="Book Antiqua"/>
        </w:rPr>
        <w:t>ophthalmology</w:t>
      </w:r>
      <w:r>
        <w:rPr>
          <w:rFonts w:ascii="Book Antiqua" w:hAnsi="Book Antiqua"/>
          <w:spacing w:val="-4"/>
        </w:rPr>
        <w:t xml:space="preserve"> </w:t>
      </w:r>
      <w:r>
        <w:rPr>
          <w:rFonts w:ascii="Book Antiqua" w:hAnsi="Book Antiqua"/>
        </w:rPr>
        <w:t>residency</w:t>
      </w:r>
      <w:r>
        <w:rPr>
          <w:rFonts w:ascii="Book Antiqua" w:hAnsi="Book Antiqua"/>
          <w:spacing w:val="-3"/>
        </w:rPr>
        <w:t xml:space="preserve"> </w:t>
      </w:r>
      <w:r>
        <w:rPr>
          <w:rFonts w:ascii="Book Antiqua" w:hAnsi="Book Antiqua"/>
        </w:rPr>
        <w:t>program,</w:t>
      </w:r>
      <w:r>
        <w:rPr>
          <w:rFonts w:ascii="Book Antiqua" w:hAnsi="Book Antiqua"/>
          <w:spacing w:val="-3"/>
        </w:rPr>
        <w:t xml:space="preserve"> </w:t>
      </w:r>
      <w:r>
        <w:rPr>
          <w:rFonts w:ascii="Book Antiqua" w:hAnsi="Book Antiqua"/>
        </w:rPr>
        <w:t>collaborates</w:t>
      </w:r>
      <w:r>
        <w:rPr>
          <w:rFonts w:ascii="Book Antiqua" w:hAnsi="Book Antiqua"/>
          <w:spacing w:val="-5"/>
        </w:rPr>
        <w:t xml:space="preserve"> </w:t>
      </w:r>
      <w:r>
        <w:rPr>
          <w:rFonts w:ascii="Book Antiqua" w:hAnsi="Book Antiqua"/>
        </w:rPr>
        <w:t>with</w:t>
      </w:r>
      <w:r>
        <w:rPr>
          <w:rFonts w:ascii="Book Antiqua" w:hAnsi="Book Antiqua"/>
          <w:spacing w:val="-2"/>
        </w:rPr>
        <w:t xml:space="preserve"> </w:t>
      </w:r>
      <w:r>
        <w:rPr>
          <w:rFonts w:ascii="Book Antiqua" w:hAnsi="Book Antiqua"/>
        </w:rPr>
        <w:t>Tufts</w:t>
      </w:r>
      <w:r>
        <w:rPr>
          <w:rFonts w:ascii="Book Antiqua" w:hAnsi="Book Antiqua"/>
          <w:spacing w:val="-2"/>
        </w:rPr>
        <w:t xml:space="preserve"> </w:t>
      </w:r>
      <w:r>
        <w:rPr>
          <w:rFonts w:ascii="Book Antiqua" w:hAnsi="Book Antiqua"/>
        </w:rPr>
        <w:t>Medical</w:t>
      </w:r>
      <w:r>
        <w:rPr>
          <w:rFonts w:ascii="Book Antiqua" w:hAnsi="Book Antiqua"/>
          <w:spacing w:val="-3"/>
        </w:rPr>
        <w:t xml:space="preserve"> </w:t>
      </w:r>
      <w:r>
        <w:rPr>
          <w:rFonts w:ascii="Book Antiqua" w:hAnsi="Book Antiqua"/>
        </w:rPr>
        <w:t>Center</w:t>
      </w:r>
      <w:r>
        <w:rPr>
          <w:rFonts w:ascii="Book Antiqua" w:hAnsi="Book Antiqua"/>
          <w:spacing w:val="-3"/>
        </w:rPr>
        <w:t xml:space="preserve"> </w:t>
      </w:r>
      <w:r>
        <w:rPr>
          <w:rFonts w:ascii="Book Antiqua" w:hAnsi="Book Antiqua"/>
        </w:rPr>
        <w:t>to</w:t>
      </w:r>
      <w:r>
        <w:rPr>
          <w:rFonts w:ascii="Book Antiqua" w:hAnsi="Book Antiqua"/>
          <w:spacing w:val="-4"/>
        </w:rPr>
        <w:t xml:space="preserve"> </w:t>
      </w:r>
      <w:r>
        <w:rPr>
          <w:rFonts w:ascii="Book Antiqua" w:hAnsi="Book Antiqua"/>
        </w:rPr>
        <w:t>run</w:t>
      </w:r>
      <w:r>
        <w:rPr>
          <w:rFonts w:ascii="Book Antiqua" w:hAnsi="Book Antiqua"/>
          <w:spacing w:val="-1"/>
        </w:rPr>
        <w:t xml:space="preserve"> </w:t>
      </w:r>
      <w:r>
        <w:rPr>
          <w:rFonts w:ascii="Book Antiqua" w:hAnsi="Book Antiqua"/>
        </w:rPr>
        <w:t>a</w:t>
      </w:r>
      <w:r>
        <w:rPr>
          <w:rFonts w:ascii="Book Antiqua" w:hAnsi="Book Antiqua"/>
          <w:spacing w:val="-2"/>
        </w:rPr>
        <w:t xml:space="preserve"> </w:t>
      </w:r>
      <w:r>
        <w:rPr>
          <w:rFonts w:ascii="Book Antiqua" w:hAnsi="Book Antiqua"/>
        </w:rPr>
        <w:t>training</w:t>
      </w:r>
    </w:p>
    <w:p w:rsidR="00D862F2" w:rsidRDefault="00337703">
      <w:pPr>
        <w:pStyle w:val="BodyText"/>
        <w:spacing w:before="3"/>
        <w:rPr>
          <w:rFonts w:ascii="Book Antiqua"/>
          <w:sz w:val="27"/>
        </w:rPr>
      </w:pPr>
      <w:r>
        <w:rPr>
          <w:noProof/>
        </w:rPr>
        <mc:AlternateContent>
          <mc:Choice Requires="wps">
            <w:drawing>
              <wp:anchor distT="0" distB="0" distL="0" distR="0" simplePos="0" relativeHeight="487596032" behindDoc="1" locked="0" layoutInCell="1" allowOverlap="1">
                <wp:simplePos x="0" y="0"/>
                <wp:positionH relativeFrom="page">
                  <wp:posOffset>914400</wp:posOffset>
                </wp:positionH>
                <wp:positionV relativeFrom="paragraph">
                  <wp:posOffset>230505</wp:posOffset>
                </wp:positionV>
                <wp:extent cx="1828800" cy="7620"/>
                <wp:effectExtent l="0" t="0" r="0" b="0"/>
                <wp:wrapTopAndBottom/>
                <wp:docPr id="13" name="docshape19"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5A28B" id="docshape19" o:spid="_x0000_s1026" alt="Title: Division Line - Description: Division Line between the main content and the footnotes" style="position:absolute;margin-left:1in;margin-top:18.15pt;width:2in;height:.6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" fillcolor="black" stroked="f">
                <w10:wrap type="topAndBottom" anchorx="page"/>
              </v:rect>
            </w:pict>
          </mc:Fallback>
        </mc:AlternateContent>
      </w:r>
    </w:p>
    <w:p w:rsidR="00D862F2" w:rsidRDefault="00884FE4">
      <w:pPr>
        <w:spacing w:before="110"/>
        <w:ind w:left="219" w:right="362"/>
        <w:rPr>
          <w:rFonts w:ascii="Book Antiqua" w:hAnsi="Book Antiqua"/>
          <w:sz w:val="20"/>
        </w:rPr>
      </w:pPr>
      <w:bookmarkStart w:id="41" w:name="_bookmark40"/>
      <w:bookmarkEnd w:id="41"/>
      <w:r>
        <w:rPr>
          <w:rFonts w:ascii="Book Antiqua" w:hAnsi="Book Antiqua"/>
          <w:position w:val="5"/>
          <w:sz w:val="13"/>
        </w:rPr>
        <w:t xml:space="preserve">41 </w:t>
      </w:r>
      <w:r>
        <w:rPr>
          <w:rFonts w:ascii="Book Antiqua" w:hAnsi="Book Antiqua"/>
          <w:sz w:val="20"/>
        </w:rPr>
        <w:t>American Academy of Ophthalmology (AAO) and American Association for Pediatric Ophthalmology</w:t>
      </w:r>
      <w:r>
        <w:rPr>
          <w:rFonts w:ascii="Book Antiqua" w:hAnsi="Book Antiqua"/>
          <w:spacing w:val="-47"/>
          <w:sz w:val="20"/>
        </w:rPr>
        <w:t xml:space="preserve"> </w:t>
      </w:r>
      <w:r>
        <w:rPr>
          <w:rFonts w:ascii="Book Antiqua" w:hAnsi="Book Antiqua"/>
          <w:sz w:val="20"/>
        </w:rPr>
        <w:t>and Strabismus (AAPOS).</w:t>
      </w:r>
      <w:r>
        <w:rPr>
          <w:rFonts w:ascii="Book Antiqua" w:hAnsi="Book Antiqua"/>
          <w:spacing w:val="1"/>
          <w:sz w:val="20"/>
        </w:rPr>
        <w:t xml:space="preserve"> </w:t>
      </w:r>
      <w:r>
        <w:rPr>
          <w:rFonts w:ascii="Book Antiqua" w:hAnsi="Book Antiqua"/>
          <w:sz w:val="20"/>
        </w:rPr>
        <w:t>(2020).</w:t>
      </w:r>
      <w:r>
        <w:rPr>
          <w:rFonts w:ascii="Book Antiqua" w:hAnsi="Book Antiqua"/>
          <w:spacing w:val="1"/>
          <w:sz w:val="20"/>
        </w:rPr>
        <w:t xml:space="preserve"> </w:t>
      </w:r>
      <w:r>
        <w:rPr>
          <w:rFonts w:ascii="Book Antiqua" w:hAnsi="Book Antiqua"/>
          <w:sz w:val="20"/>
        </w:rPr>
        <w:t>“Pandemic will Leave Children with Less Access to Eye Care, New</w:t>
      </w:r>
      <w:r>
        <w:rPr>
          <w:rFonts w:ascii="Book Antiqua" w:hAnsi="Book Antiqua"/>
          <w:spacing w:val="1"/>
          <w:sz w:val="20"/>
        </w:rPr>
        <w:t xml:space="preserve"> </w:t>
      </w:r>
      <w:r>
        <w:rPr>
          <w:rFonts w:ascii="Book Antiqua" w:hAnsi="Book Antiqua"/>
          <w:sz w:val="20"/>
        </w:rPr>
        <w:t>Survey Shows.”</w:t>
      </w:r>
      <w:r>
        <w:rPr>
          <w:rFonts w:ascii="Book Antiqua" w:hAnsi="Book Antiqua"/>
          <w:spacing w:val="1"/>
          <w:sz w:val="20"/>
        </w:rPr>
        <w:t xml:space="preserve"> </w:t>
      </w:r>
      <w:r>
        <w:rPr>
          <w:rFonts w:ascii="Book Antiqua" w:hAnsi="Book Antiqua"/>
          <w:sz w:val="20"/>
        </w:rPr>
        <w:t xml:space="preserve">Retrieved from </w:t>
      </w:r>
      <w:hyperlink r:id="rId51">
        <w:r>
          <w:rPr>
            <w:rFonts w:ascii="Book Antiqua" w:hAnsi="Book Antiqua"/>
            <w:color w:val="0000FF"/>
            <w:sz w:val="20"/>
            <w:u w:val="single" w:color="0000FF"/>
          </w:rPr>
          <w:t>https://www.newswise.com/coronavirus/pandemic-will-leave-</w:t>
        </w:r>
      </w:hyperlink>
      <w:r>
        <w:rPr>
          <w:rFonts w:ascii="Book Antiqua" w:hAnsi="Book Antiqua"/>
          <w:color w:val="0000FF"/>
          <w:spacing w:val="1"/>
          <w:sz w:val="20"/>
        </w:rPr>
        <w:t xml:space="preserve"> </w:t>
      </w:r>
      <w:hyperlink r:id="rId52">
        <w:r>
          <w:rPr>
            <w:rFonts w:ascii="Book Antiqua" w:hAnsi="Book Antiqua"/>
            <w:color w:val="0000FF"/>
            <w:sz w:val="20"/>
            <w:u w:val="single" w:color="0000FF"/>
          </w:rPr>
          <w:t>children-with-less-access-to-eye-care-new-survey-shows/?article_id=737258</w:t>
        </w:r>
        <w:r>
          <w:rPr>
            <w:rFonts w:ascii="Book Antiqua" w:hAnsi="Book Antiqua"/>
            <w:sz w:val="20"/>
          </w:rPr>
          <w:t>.</w:t>
        </w:r>
      </w:hyperlink>
    </w:p>
    <w:p w:rsidR="00D862F2" w:rsidRDefault="00884FE4">
      <w:pPr>
        <w:spacing w:before="2"/>
        <w:ind w:left="219" w:right="331"/>
        <w:rPr>
          <w:rFonts w:ascii="Book Antiqua" w:hAnsi="Book Antiqua"/>
          <w:sz w:val="20"/>
        </w:rPr>
      </w:pPr>
      <w:bookmarkStart w:id="42" w:name="_bookmark41"/>
      <w:bookmarkEnd w:id="42"/>
      <w:r>
        <w:rPr>
          <w:rFonts w:ascii="Book Antiqua" w:hAnsi="Book Antiqua"/>
          <w:position w:val="5"/>
          <w:sz w:val="13"/>
        </w:rPr>
        <w:t xml:space="preserve">42 </w:t>
      </w:r>
      <w:r>
        <w:rPr>
          <w:rFonts w:ascii="Book Antiqua" w:hAnsi="Book Antiqua"/>
          <w:sz w:val="20"/>
        </w:rPr>
        <w:t>National Center for Children’s Vision and Eye Health.</w:t>
      </w:r>
      <w:r>
        <w:rPr>
          <w:rFonts w:ascii="Book Antiqua" w:hAnsi="Book Antiqua"/>
          <w:spacing w:val="1"/>
          <w:sz w:val="20"/>
        </w:rPr>
        <w:t xml:space="preserve"> </w:t>
      </w:r>
      <w:r>
        <w:rPr>
          <w:rFonts w:ascii="Book Antiqua" w:hAnsi="Book Antiqua"/>
          <w:sz w:val="20"/>
        </w:rPr>
        <w:t>“Health Education Resources.”</w:t>
      </w:r>
      <w:r>
        <w:rPr>
          <w:rFonts w:ascii="Book Antiqua" w:hAnsi="Book Antiqua"/>
          <w:spacing w:val="1"/>
          <w:sz w:val="20"/>
        </w:rPr>
        <w:t xml:space="preserve"> </w:t>
      </w:r>
      <w:r>
        <w:rPr>
          <w:rFonts w:ascii="Book Antiqua" w:hAnsi="Book Antiqua"/>
          <w:sz w:val="20"/>
        </w:rPr>
        <w:t>Retrieved from:</w:t>
      </w:r>
      <w:r>
        <w:rPr>
          <w:rFonts w:ascii="Book Antiqua" w:hAnsi="Book Antiqua"/>
          <w:spacing w:val="-47"/>
          <w:sz w:val="20"/>
        </w:rPr>
        <w:t xml:space="preserve"> </w:t>
      </w:r>
      <w:hyperlink r:id="rId53">
        <w:r>
          <w:rPr>
            <w:rFonts w:ascii="Book Antiqua" w:hAnsi="Book Antiqua"/>
            <w:color w:val="0000FF"/>
            <w:sz w:val="20"/>
            <w:u w:val="single" w:color="0000FF"/>
          </w:rPr>
          <w:t>https://nationalcenter.preventblindness.org/policy-issues/</w:t>
        </w:r>
        <w:r>
          <w:rPr>
            <w:rFonts w:ascii="Book Antiqua" w:hAnsi="Book Antiqua"/>
            <w:sz w:val="20"/>
          </w:rPr>
          <w:t>.</w:t>
        </w:r>
      </w:hyperlink>
    </w:p>
    <w:p w:rsidR="00D862F2" w:rsidRDefault="00884FE4">
      <w:pPr>
        <w:ind w:left="219" w:right="353"/>
        <w:rPr>
          <w:rFonts w:ascii="Book Antiqua" w:hAnsi="Book Antiqua"/>
          <w:sz w:val="20"/>
        </w:rPr>
      </w:pPr>
      <w:bookmarkStart w:id="43" w:name="_bookmark42"/>
      <w:bookmarkEnd w:id="43"/>
      <w:r>
        <w:rPr>
          <w:rFonts w:ascii="Book Antiqua" w:hAnsi="Book Antiqua"/>
          <w:position w:val="5"/>
          <w:sz w:val="13"/>
        </w:rPr>
        <w:t xml:space="preserve">43 </w:t>
      </w:r>
      <w:r>
        <w:rPr>
          <w:rFonts w:ascii="Book Antiqua" w:hAnsi="Book Antiqua"/>
          <w:sz w:val="20"/>
        </w:rPr>
        <w:t>Data Resource Center for Child &amp; Adolescent Health.</w:t>
      </w:r>
      <w:r>
        <w:rPr>
          <w:rFonts w:ascii="Book Antiqua" w:hAnsi="Book Antiqua"/>
          <w:spacing w:val="1"/>
          <w:sz w:val="20"/>
        </w:rPr>
        <w:t xml:space="preserve"> </w:t>
      </w:r>
      <w:r>
        <w:rPr>
          <w:rFonts w:ascii="Book Antiqua" w:hAnsi="Book Antiqua"/>
          <w:sz w:val="20"/>
        </w:rPr>
        <w:t>“Receipt of Vision Screening by Household</w:t>
      </w:r>
      <w:r>
        <w:rPr>
          <w:rFonts w:ascii="Book Antiqua" w:hAnsi="Book Antiqua"/>
          <w:spacing w:val="-47"/>
          <w:sz w:val="20"/>
        </w:rPr>
        <w:t xml:space="preserve"> </w:t>
      </w:r>
      <w:r>
        <w:rPr>
          <w:rFonts w:ascii="Book Antiqua" w:hAnsi="Book Antiqua"/>
          <w:sz w:val="20"/>
        </w:rPr>
        <w:t>Income Level: Children</w:t>
      </w:r>
      <w:r>
        <w:rPr>
          <w:rFonts w:ascii="Book Antiqua" w:hAnsi="Book Antiqua"/>
          <w:spacing w:val="-1"/>
          <w:sz w:val="20"/>
        </w:rPr>
        <w:t xml:space="preserve"> </w:t>
      </w:r>
      <w:r>
        <w:rPr>
          <w:rFonts w:ascii="Book Antiqua" w:hAnsi="Book Antiqua"/>
          <w:sz w:val="20"/>
        </w:rPr>
        <w:t>Age 0-17</w:t>
      </w:r>
      <w:r>
        <w:rPr>
          <w:rFonts w:ascii="Book Antiqua" w:hAnsi="Book Antiqua"/>
          <w:spacing w:val="-1"/>
          <w:sz w:val="20"/>
        </w:rPr>
        <w:t xml:space="preserve"> </w:t>
      </w:r>
      <w:r>
        <w:rPr>
          <w:rFonts w:ascii="Book Antiqua" w:hAnsi="Book Antiqua"/>
          <w:sz w:val="20"/>
        </w:rPr>
        <w:t>Years, Massachusetts.”</w:t>
      </w:r>
      <w:r>
        <w:rPr>
          <w:rFonts w:ascii="Book Antiqua" w:hAnsi="Book Antiqua"/>
          <w:spacing w:val="2"/>
          <w:sz w:val="20"/>
        </w:rPr>
        <w:t xml:space="preserve"> </w:t>
      </w:r>
      <w:r>
        <w:rPr>
          <w:rFonts w:ascii="Book Antiqua" w:hAnsi="Book Antiqua"/>
          <w:sz w:val="20"/>
        </w:rPr>
        <w:t>Retrieved</w:t>
      </w:r>
      <w:r>
        <w:rPr>
          <w:rFonts w:ascii="Book Antiqua" w:hAnsi="Book Antiqua"/>
          <w:spacing w:val="1"/>
          <w:sz w:val="20"/>
        </w:rPr>
        <w:t xml:space="preserve"> </w:t>
      </w:r>
      <w:r>
        <w:rPr>
          <w:rFonts w:ascii="Book Antiqua" w:hAnsi="Book Antiqua"/>
          <w:sz w:val="20"/>
        </w:rPr>
        <w:t>from</w:t>
      </w:r>
      <w:r>
        <w:rPr>
          <w:rFonts w:ascii="Book Antiqua" w:hAnsi="Book Antiqua"/>
          <w:spacing w:val="1"/>
          <w:sz w:val="20"/>
        </w:rPr>
        <w:t xml:space="preserve"> </w:t>
      </w:r>
      <w:hyperlink r:id="rId54">
        <w:r>
          <w:rPr>
            <w:rFonts w:ascii="Book Antiqua" w:hAnsi="Book Antiqua"/>
            <w:color w:val="0000FF"/>
            <w:sz w:val="20"/>
            <w:u w:val="single" w:color="0000FF"/>
          </w:rPr>
          <w:t>https://www.childhealthdata.org/browse/survey/results?q=7737&amp;r=23&amp;g=803</w:t>
        </w:r>
        <w:r>
          <w:rPr>
            <w:rFonts w:ascii="Book Antiqua" w:hAnsi="Book Antiqua"/>
            <w:sz w:val="20"/>
          </w:rPr>
          <w:t>.</w:t>
        </w:r>
      </w:hyperlink>
    </w:p>
    <w:p w:rsidR="00D862F2" w:rsidRDefault="00884FE4">
      <w:pPr>
        <w:ind w:left="220" w:hanging="1"/>
        <w:rPr>
          <w:rFonts w:ascii="Book Antiqua" w:hAnsi="Book Antiqua"/>
          <w:sz w:val="20"/>
        </w:rPr>
      </w:pPr>
      <w:bookmarkStart w:id="44" w:name="_bookmark43"/>
      <w:bookmarkEnd w:id="44"/>
      <w:r>
        <w:rPr>
          <w:rFonts w:ascii="Book Antiqua" w:hAnsi="Book Antiqua"/>
          <w:position w:val="5"/>
          <w:sz w:val="13"/>
        </w:rPr>
        <w:t xml:space="preserve">44 </w:t>
      </w:r>
      <w:r>
        <w:rPr>
          <w:rFonts w:ascii="Book Antiqua" w:hAnsi="Book Antiqua"/>
          <w:sz w:val="20"/>
        </w:rPr>
        <w:t>Data Resource Center for Child &amp; Adolescent Health.</w:t>
      </w:r>
      <w:r>
        <w:rPr>
          <w:rFonts w:ascii="Book Antiqua" w:hAnsi="Book Antiqua"/>
          <w:spacing w:val="1"/>
          <w:sz w:val="20"/>
        </w:rPr>
        <w:t xml:space="preserve"> </w:t>
      </w:r>
      <w:r>
        <w:rPr>
          <w:rFonts w:ascii="Book Antiqua" w:hAnsi="Book Antiqua"/>
          <w:sz w:val="20"/>
        </w:rPr>
        <w:t>“Receipt of Vision Screening by Race/Ethnicity:</w:t>
      </w:r>
      <w:r>
        <w:rPr>
          <w:rFonts w:ascii="Book Antiqua" w:hAnsi="Book Antiqua"/>
          <w:spacing w:val="-47"/>
          <w:sz w:val="20"/>
        </w:rPr>
        <w:t xml:space="preserve"> </w:t>
      </w:r>
      <w:r>
        <w:rPr>
          <w:rFonts w:ascii="Book Antiqua" w:hAnsi="Book Antiqua"/>
          <w:sz w:val="20"/>
        </w:rPr>
        <w:t>Children</w:t>
      </w:r>
      <w:r>
        <w:rPr>
          <w:rFonts w:ascii="Book Antiqua" w:hAnsi="Book Antiqua"/>
          <w:spacing w:val="-2"/>
          <w:sz w:val="20"/>
        </w:rPr>
        <w:t xml:space="preserve"> </w:t>
      </w:r>
      <w:r>
        <w:rPr>
          <w:rFonts w:ascii="Book Antiqua" w:hAnsi="Book Antiqua"/>
          <w:sz w:val="20"/>
        </w:rPr>
        <w:t>Age 0-17</w:t>
      </w:r>
      <w:r>
        <w:rPr>
          <w:rFonts w:ascii="Book Antiqua" w:hAnsi="Book Antiqua"/>
          <w:spacing w:val="1"/>
          <w:sz w:val="20"/>
        </w:rPr>
        <w:t xml:space="preserve"> </w:t>
      </w:r>
      <w:r>
        <w:rPr>
          <w:rFonts w:ascii="Book Antiqua" w:hAnsi="Book Antiqua"/>
          <w:sz w:val="20"/>
        </w:rPr>
        <w:t>Years, Massachusetts.”</w:t>
      </w:r>
      <w:r>
        <w:rPr>
          <w:rFonts w:ascii="Book Antiqua" w:hAnsi="Book Antiqua"/>
          <w:spacing w:val="2"/>
          <w:sz w:val="20"/>
        </w:rPr>
        <w:t xml:space="preserve"> </w:t>
      </w:r>
      <w:r>
        <w:rPr>
          <w:rFonts w:ascii="Book Antiqua" w:hAnsi="Book Antiqua"/>
          <w:sz w:val="20"/>
        </w:rPr>
        <w:t>Retrieved</w:t>
      </w:r>
      <w:r>
        <w:rPr>
          <w:rFonts w:ascii="Book Antiqua" w:hAnsi="Book Antiqua"/>
          <w:spacing w:val="1"/>
          <w:sz w:val="20"/>
        </w:rPr>
        <w:t xml:space="preserve"> </w:t>
      </w:r>
      <w:r>
        <w:rPr>
          <w:rFonts w:ascii="Book Antiqua" w:hAnsi="Book Antiqua"/>
          <w:sz w:val="20"/>
        </w:rPr>
        <w:t>from</w:t>
      </w:r>
      <w:r>
        <w:rPr>
          <w:rFonts w:ascii="Book Antiqua" w:hAnsi="Book Antiqua"/>
          <w:spacing w:val="1"/>
          <w:sz w:val="20"/>
        </w:rPr>
        <w:t xml:space="preserve"> </w:t>
      </w:r>
      <w:hyperlink r:id="rId55">
        <w:r>
          <w:rPr>
            <w:rFonts w:ascii="Book Antiqua" w:hAnsi="Book Antiqua"/>
            <w:color w:val="0000FF"/>
            <w:sz w:val="20"/>
            <w:u w:val="single" w:color="0000FF"/>
          </w:rPr>
          <w:t>https://www.childhealthdata.org/browse/survey/results?q=7737&amp;r=23&amp;g=795</w:t>
        </w:r>
        <w:r>
          <w:rPr>
            <w:rFonts w:ascii="Book Antiqua" w:hAnsi="Book Antiqua"/>
            <w:sz w:val="20"/>
          </w:rPr>
          <w:t>.</w:t>
        </w:r>
      </w:hyperlink>
    </w:p>
    <w:p w:rsidR="00D862F2" w:rsidRDefault="00D862F2">
      <w:pPr>
        <w:rPr>
          <w:rFonts w:ascii="Book Antiqua" w:hAnsi="Book Antiqua"/>
          <w:sz w:val="20"/>
        </w:rPr>
        <w:sectPr w:rsidR="00D862F2">
          <w:headerReference w:type="default" r:id="rId56"/>
          <w:footerReference w:type="default" r:id="rId57"/>
          <w:pgSz w:w="12240" w:h="15840"/>
          <w:pgMar w:top="1360" w:right="1160" w:bottom="280" w:left="1220" w:header="0" w:footer="0" w:gutter="0"/>
          <w:cols w:space="720"/>
        </w:sectPr>
      </w:pPr>
    </w:p>
    <w:p w:rsidR="00D862F2" w:rsidRDefault="00884FE4">
      <w:pPr>
        <w:spacing w:before="77"/>
        <w:ind w:left="580" w:right="767"/>
        <w:rPr>
          <w:rFonts w:ascii="Book Antiqua" w:hAnsi="Book Antiqua"/>
          <w:sz w:val="14"/>
        </w:rPr>
      </w:pPr>
      <w:r>
        <w:rPr>
          <w:rFonts w:ascii="Book Antiqua" w:hAnsi="Book Antiqua"/>
        </w:rPr>
        <w:lastRenderedPageBreak/>
        <w:t>program for orthoptists and plays a major role in staffing Mass Eye and Ear Infirmary’s</w:t>
      </w:r>
      <w:r>
        <w:rPr>
          <w:rFonts w:ascii="Book Antiqua" w:hAnsi="Book Antiqua"/>
          <w:spacing w:val="-52"/>
        </w:rPr>
        <w:t xml:space="preserve"> </w:t>
      </w:r>
      <w:r>
        <w:rPr>
          <w:rFonts w:ascii="Book Antiqua" w:hAnsi="Book Antiqua"/>
        </w:rPr>
        <w:t>Children’s</w:t>
      </w:r>
      <w:r>
        <w:rPr>
          <w:rFonts w:ascii="Book Antiqua" w:hAnsi="Book Antiqua"/>
          <w:spacing w:val="-4"/>
        </w:rPr>
        <w:t xml:space="preserve"> </w:t>
      </w:r>
      <w:r>
        <w:rPr>
          <w:rFonts w:ascii="Book Antiqua" w:hAnsi="Book Antiqua"/>
        </w:rPr>
        <w:t>Hospital Ophthalmology</w:t>
      </w:r>
      <w:r>
        <w:rPr>
          <w:rFonts w:ascii="Book Antiqua" w:hAnsi="Book Antiqua"/>
          <w:spacing w:val="-1"/>
        </w:rPr>
        <w:t xml:space="preserve"> </w:t>
      </w:r>
      <w:r>
        <w:rPr>
          <w:rFonts w:ascii="Book Antiqua" w:hAnsi="Book Antiqua"/>
        </w:rPr>
        <w:t>Foundation’s clinics.</w:t>
      </w:r>
      <w:hyperlink w:anchor="_bookmark44" w:history="1">
        <w:r>
          <w:rPr>
            <w:rFonts w:ascii="Book Antiqua" w:hAnsi="Book Antiqua"/>
            <w:position w:val="5"/>
            <w:sz w:val="14"/>
          </w:rPr>
          <w:t>45</w:t>
        </w:r>
      </w:hyperlink>
      <w:r>
        <w:rPr>
          <w:rFonts w:ascii="Book Antiqua" w:hAnsi="Book Antiqua"/>
          <w:position w:val="5"/>
          <w:sz w:val="14"/>
        </w:rPr>
        <w:t>,</w:t>
      </w:r>
      <w:hyperlink w:anchor="_bookmark45" w:history="1">
        <w:r>
          <w:rPr>
            <w:rFonts w:ascii="Book Antiqua" w:hAnsi="Book Antiqua"/>
            <w:position w:val="5"/>
            <w:sz w:val="14"/>
          </w:rPr>
          <w:t>46</w:t>
        </w:r>
      </w:hyperlink>
    </w:p>
    <w:p w:rsidR="00D862F2" w:rsidRDefault="00D862F2">
      <w:pPr>
        <w:pStyle w:val="BodyText"/>
        <w:spacing w:before="7"/>
        <w:rPr>
          <w:rFonts w:ascii="Book Antiqua"/>
          <w:sz w:val="19"/>
        </w:rPr>
      </w:pPr>
    </w:p>
    <w:p w:rsidR="00D862F2" w:rsidRDefault="00884FE4">
      <w:pPr>
        <w:pStyle w:val="ListParagraph"/>
        <w:numPr>
          <w:ilvl w:val="0"/>
          <w:numId w:val="2"/>
        </w:numPr>
        <w:tabs>
          <w:tab w:val="left" w:pos="941"/>
        </w:tabs>
        <w:ind w:left="940" w:hanging="362"/>
        <w:rPr>
          <w:rFonts w:ascii="Book Antiqua"/>
          <w:b/>
          <w:i/>
        </w:rPr>
      </w:pPr>
      <w:r>
        <w:rPr>
          <w:rFonts w:ascii="Book Antiqua"/>
          <w:b/>
          <w:i/>
        </w:rPr>
        <w:t>Operating</w:t>
      </w:r>
      <w:r>
        <w:rPr>
          <w:rFonts w:ascii="Book Antiqua"/>
          <w:b/>
          <w:i/>
          <w:spacing w:val="-3"/>
        </w:rPr>
        <w:t xml:space="preserve"> </w:t>
      </w:r>
      <w:r>
        <w:rPr>
          <w:rFonts w:ascii="Book Antiqua"/>
          <w:b/>
          <w:i/>
        </w:rPr>
        <w:t>Rooms</w:t>
      </w:r>
      <w:r>
        <w:rPr>
          <w:rFonts w:ascii="Book Antiqua"/>
          <w:b/>
          <w:i/>
          <w:spacing w:val="-2"/>
        </w:rPr>
        <w:t xml:space="preserve"> </w:t>
      </w:r>
      <w:r>
        <w:rPr>
          <w:rFonts w:ascii="Book Antiqua"/>
          <w:b/>
          <w:i/>
        </w:rPr>
        <w:t>and</w:t>
      </w:r>
      <w:r>
        <w:rPr>
          <w:rFonts w:ascii="Book Antiqua"/>
          <w:b/>
          <w:i/>
          <w:spacing w:val="-3"/>
        </w:rPr>
        <w:t xml:space="preserve"> </w:t>
      </w:r>
      <w:r>
        <w:rPr>
          <w:rFonts w:ascii="Book Antiqua"/>
          <w:b/>
          <w:i/>
        </w:rPr>
        <w:t>Related</w:t>
      </w:r>
      <w:r>
        <w:rPr>
          <w:rFonts w:ascii="Book Antiqua"/>
          <w:b/>
          <w:i/>
          <w:spacing w:val="-5"/>
        </w:rPr>
        <w:t xml:space="preserve"> </w:t>
      </w:r>
      <w:r>
        <w:rPr>
          <w:rFonts w:ascii="Book Antiqua"/>
          <w:b/>
          <w:i/>
        </w:rPr>
        <w:t>Services</w:t>
      </w:r>
    </w:p>
    <w:p w:rsidR="00D862F2" w:rsidRDefault="00884FE4">
      <w:pPr>
        <w:spacing w:before="116"/>
        <w:ind w:left="579" w:right="319"/>
        <w:rPr>
          <w:rFonts w:ascii="Book Antiqua"/>
          <w:sz w:val="14"/>
        </w:rPr>
      </w:pPr>
      <w:r>
        <w:rPr>
          <w:rFonts w:ascii="Book Antiqua"/>
        </w:rPr>
        <w:t>Pediatric patients require special operating rooms with the right equipment and personnel</w:t>
      </w:r>
      <w:r>
        <w:rPr>
          <w:rFonts w:ascii="Book Antiqua"/>
          <w:spacing w:val="1"/>
        </w:rPr>
        <w:t xml:space="preserve"> </w:t>
      </w:r>
      <w:r>
        <w:rPr>
          <w:rFonts w:ascii="Book Antiqua"/>
        </w:rPr>
        <w:t>to ensure safety and quality.</w:t>
      </w:r>
      <w:r>
        <w:rPr>
          <w:rFonts w:ascii="Book Antiqua"/>
          <w:spacing w:val="1"/>
        </w:rPr>
        <w:t xml:space="preserve"> </w:t>
      </w:r>
      <w:r>
        <w:rPr>
          <w:rFonts w:ascii="Book Antiqua"/>
        </w:rPr>
        <w:t>The American Society of Anesthesiologists and Society of</w:t>
      </w:r>
      <w:r>
        <w:rPr>
          <w:rFonts w:ascii="Book Antiqua"/>
          <w:spacing w:val="1"/>
        </w:rPr>
        <w:t xml:space="preserve"> </w:t>
      </w:r>
      <w:r>
        <w:rPr>
          <w:rFonts w:ascii="Book Antiqua"/>
        </w:rPr>
        <w:t>Pediatric Anesthesia issued separate statements that highlight the importance of proper</w:t>
      </w:r>
      <w:r>
        <w:rPr>
          <w:rFonts w:ascii="Book Antiqua"/>
          <w:spacing w:val="1"/>
        </w:rPr>
        <w:t xml:space="preserve"> </w:t>
      </w:r>
      <w:r>
        <w:rPr>
          <w:rFonts w:ascii="Book Antiqua"/>
        </w:rPr>
        <w:t>categorization of pediatric surgical procedures, an annual minimum case volume for</w:t>
      </w:r>
      <w:r>
        <w:rPr>
          <w:rFonts w:ascii="Book Antiqua"/>
          <w:spacing w:val="1"/>
        </w:rPr>
        <w:t xml:space="preserve"> </w:t>
      </w:r>
      <w:r>
        <w:rPr>
          <w:rFonts w:ascii="Book Antiqua"/>
        </w:rPr>
        <w:t>pediatric anesthesiologists to maintain clinical competence, specialized policies for pediatric</w:t>
      </w:r>
      <w:r>
        <w:rPr>
          <w:rFonts w:ascii="Book Antiqua"/>
          <w:spacing w:val="-52"/>
        </w:rPr>
        <w:t xml:space="preserve"> </w:t>
      </w:r>
      <w:r>
        <w:rPr>
          <w:rFonts w:ascii="Book Antiqua"/>
        </w:rPr>
        <w:t>pain treatment, pediatric surgical equipment and drugs and the availability of pediatric-</w:t>
      </w:r>
      <w:r>
        <w:rPr>
          <w:rFonts w:ascii="Book Antiqua"/>
          <w:spacing w:val="1"/>
        </w:rPr>
        <w:t xml:space="preserve"> </w:t>
      </w:r>
      <w:r>
        <w:rPr>
          <w:rFonts w:ascii="Book Antiqua"/>
        </w:rPr>
        <w:t>specific operating</w:t>
      </w:r>
      <w:r>
        <w:rPr>
          <w:rFonts w:ascii="Book Antiqua"/>
          <w:spacing w:val="-1"/>
        </w:rPr>
        <w:t xml:space="preserve"> </w:t>
      </w:r>
      <w:r>
        <w:rPr>
          <w:rFonts w:ascii="Book Antiqua"/>
        </w:rPr>
        <w:t>rooms,</w:t>
      </w:r>
      <w:r>
        <w:rPr>
          <w:rFonts w:ascii="Book Antiqua"/>
          <w:spacing w:val="-3"/>
        </w:rPr>
        <w:t xml:space="preserve"> </w:t>
      </w:r>
      <w:r>
        <w:rPr>
          <w:rFonts w:ascii="Book Antiqua"/>
        </w:rPr>
        <w:t>post-anesthesia</w:t>
      </w:r>
      <w:r>
        <w:rPr>
          <w:rFonts w:ascii="Book Antiqua"/>
          <w:spacing w:val="-3"/>
        </w:rPr>
        <w:t xml:space="preserve"> </w:t>
      </w:r>
      <w:r>
        <w:rPr>
          <w:rFonts w:ascii="Book Antiqua"/>
        </w:rPr>
        <w:t>care units</w:t>
      </w:r>
      <w:r>
        <w:rPr>
          <w:rFonts w:ascii="Book Antiqua"/>
          <w:spacing w:val="1"/>
        </w:rPr>
        <w:t xml:space="preserve"> </w:t>
      </w:r>
      <w:r>
        <w:rPr>
          <w:rFonts w:ascii="Book Antiqua"/>
        </w:rPr>
        <w:t>and</w:t>
      </w:r>
      <w:r>
        <w:rPr>
          <w:rFonts w:ascii="Book Antiqua"/>
          <w:spacing w:val="-3"/>
        </w:rPr>
        <w:t xml:space="preserve"> </w:t>
      </w:r>
      <w:r>
        <w:rPr>
          <w:rFonts w:ascii="Book Antiqua"/>
        </w:rPr>
        <w:t>intensive care units.</w:t>
      </w:r>
      <w:hyperlink w:anchor="_bookmark46" w:history="1">
        <w:r>
          <w:rPr>
            <w:rFonts w:ascii="Book Antiqua"/>
            <w:position w:val="5"/>
            <w:sz w:val="14"/>
          </w:rPr>
          <w:t>47</w:t>
        </w:r>
      </w:hyperlink>
      <w:r>
        <w:rPr>
          <w:rFonts w:ascii="Book Antiqua"/>
          <w:position w:val="5"/>
          <w:sz w:val="14"/>
        </w:rPr>
        <w:t>,</w:t>
      </w:r>
      <w:hyperlink w:anchor="_bookmark47" w:history="1">
        <w:r>
          <w:rPr>
            <w:rFonts w:ascii="Book Antiqua"/>
            <w:position w:val="5"/>
            <w:sz w:val="14"/>
          </w:rPr>
          <w:t>48</w:t>
        </w:r>
      </w:hyperlink>
    </w:p>
    <w:p w:rsidR="00D862F2" w:rsidRDefault="00884FE4">
      <w:pPr>
        <w:spacing w:before="122"/>
        <w:ind w:left="580" w:right="303"/>
        <w:rPr>
          <w:rFonts w:ascii="Book Antiqua" w:hAnsi="Book Antiqua"/>
          <w:sz w:val="14"/>
        </w:rPr>
      </w:pPr>
      <w:r>
        <w:rPr>
          <w:rFonts w:ascii="Book Antiqua" w:hAnsi="Book Antiqua"/>
        </w:rPr>
        <w:t>The complexity of running and staffing pediatric operating rooms is significant.</w:t>
      </w:r>
      <w:r>
        <w:rPr>
          <w:rFonts w:ascii="Book Antiqua" w:hAnsi="Book Antiqua"/>
          <w:spacing w:val="1"/>
        </w:rPr>
        <w:t xml:space="preserve"> </w:t>
      </w:r>
      <w:r>
        <w:rPr>
          <w:rFonts w:ascii="Book Antiqua" w:hAnsi="Book Antiqua"/>
        </w:rPr>
        <w:t>Children’s</w:t>
      </w:r>
      <w:r>
        <w:rPr>
          <w:rFonts w:ascii="Book Antiqua" w:hAnsi="Book Antiqua"/>
          <w:spacing w:val="1"/>
        </w:rPr>
        <w:t xml:space="preserve"> </w:t>
      </w:r>
      <w:r>
        <w:rPr>
          <w:rFonts w:ascii="Book Antiqua" w:hAnsi="Book Antiqua"/>
        </w:rPr>
        <w:t>is unique in the Massachusetts and New England market in terms of the depth and breadth</w:t>
      </w:r>
      <w:r>
        <w:rPr>
          <w:rFonts w:ascii="Book Antiqua" w:hAnsi="Book Antiqua"/>
          <w:spacing w:val="1"/>
        </w:rPr>
        <w:t xml:space="preserve"> </w:t>
      </w:r>
      <w:r>
        <w:rPr>
          <w:rFonts w:ascii="Book Antiqua" w:hAnsi="Book Antiqua"/>
        </w:rPr>
        <w:t>of its pediatric surgical offerings across multiple subspecialties.</w:t>
      </w:r>
      <w:r>
        <w:rPr>
          <w:rFonts w:ascii="Book Antiqua" w:hAnsi="Book Antiqua"/>
          <w:spacing w:val="1"/>
        </w:rPr>
        <w:t xml:space="preserve"> </w:t>
      </w:r>
      <w:r>
        <w:rPr>
          <w:rFonts w:ascii="Book Antiqua" w:hAnsi="Book Antiqua"/>
        </w:rPr>
        <w:t>Boston Children’s is also</w:t>
      </w:r>
      <w:r>
        <w:rPr>
          <w:rFonts w:ascii="Book Antiqua" w:hAnsi="Book Antiqua"/>
          <w:spacing w:val="1"/>
        </w:rPr>
        <w:t xml:space="preserve"> </w:t>
      </w:r>
      <w:r>
        <w:rPr>
          <w:rFonts w:ascii="Book Antiqua" w:hAnsi="Book Antiqua"/>
        </w:rPr>
        <w:t>unique in the significant integration between its surgical program and its ongoing care for</w:t>
      </w:r>
      <w:r>
        <w:rPr>
          <w:rFonts w:ascii="Book Antiqua" w:hAnsi="Book Antiqua"/>
          <w:spacing w:val="1"/>
        </w:rPr>
        <w:t xml:space="preserve"> </w:t>
      </w:r>
      <w:r>
        <w:rPr>
          <w:rFonts w:ascii="Book Antiqua" w:hAnsi="Book Antiqua"/>
        </w:rPr>
        <w:t>children with more complex medical conditions (e.g., spina bifida, gastrointestinal/motility,</w:t>
      </w:r>
      <w:r>
        <w:rPr>
          <w:rFonts w:ascii="Book Antiqua" w:hAnsi="Book Antiqua"/>
          <w:spacing w:val="-52"/>
        </w:rPr>
        <w:t xml:space="preserve"> </w:t>
      </w:r>
      <w:r>
        <w:rPr>
          <w:rFonts w:ascii="Book Antiqua" w:hAnsi="Book Antiqua"/>
        </w:rPr>
        <w:t>cardiovascular care, etc.)</w:t>
      </w:r>
      <w:r>
        <w:rPr>
          <w:rFonts w:ascii="Book Antiqua" w:hAnsi="Book Antiqua"/>
          <w:spacing w:val="1"/>
        </w:rPr>
        <w:t xml:space="preserve"> </w:t>
      </w:r>
      <w:r>
        <w:rPr>
          <w:rFonts w:ascii="Book Antiqua" w:hAnsi="Book Antiqua"/>
        </w:rPr>
        <w:t>It can be challenging to expect adult-focused facilities to be able to</w:t>
      </w:r>
      <w:r>
        <w:rPr>
          <w:rFonts w:ascii="Book Antiqua" w:hAnsi="Book Antiqua"/>
          <w:spacing w:val="-52"/>
        </w:rPr>
        <w:t xml:space="preserve"> </w:t>
      </w:r>
      <w:r>
        <w:rPr>
          <w:rFonts w:ascii="Book Antiqua" w:hAnsi="Book Antiqua"/>
        </w:rPr>
        <w:t>effectively run both adult and pediatric operating rooms, especially given the importance of</w:t>
      </w:r>
      <w:r>
        <w:rPr>
          <w:rFonts w:ascii="Book Antiqua" w:hAnsi="Book Antiqua"/>
          <w:spacing w:val="-52"/>
        </w:rPr>
        <w:t xml:space="preserve"> </w:t>
      </w:r>
      <w:r>
        <w:rPr>
          <w:rFonts w:ascii="Book Antiqua" w:hAnsi="Book Antiqua"/>
        </w:rPr>
        <w:t>having a minimum volume of procedures for surgeons and anesthesiologists to maintain</w:t>
      </w:r>
      <w:r>
        <w:rPr>
          <w:rFonts w:ascii="Book Antiqua" w:hAnsi="Book Antiqua"/>
          <w:spacing w:val="1"/>
        </w:rPr>
        <w:t xml:space="preserve"> </w:t>
      </w:r>
      <w:r>
        <w:rPr>
          <w:rFonts w:ascii="Book Antiqua" w:hAnsi="Book Antiqua"/>
        </w:rPr>
        <w:t>their expertise.</w:t>
      </w:r>
      <w:r>
        <w:rPr>
          <w:rFonts w:ascii="Book Antiqua" w:hAnsi="Book Antiqua"/>
          <w:spacing w:val="1"/>
        </w:rPr>
        <w:t xml:space="preserve"> </w:t>
      </w:r>
      <w:r>
        <w:rPr>
          <w:rFonts w:ascii="Book Antiqua" w:hAnsi="Book Antiqua"/>
        </w:rPr>
        <w:t>Having dedicated pediatric operating rooms has the potential to reduce</w:t>
      </w:r>
      <w:r>
        <w:rPr>
          <w:rFonts w:ascii="Book Antiqua" w:hAnsi="Book Antiqua"/>
          <w:spacing w:val="1"/>
        </w:rPr>
        <w:t xml:space="preserve"> </w:t>
      </w:r>
      <w:r>
        <w:rPr>
          <w:rFonts w:ascii="Book Antiqua" w:hAnsi="Book Antiqua"/>
        </w:rPr>
        <w:t>crowing in adult operating rooms, expand pediatric surgical services and improve</w:t>
      </w:r>
      <w:r>
        <w:rPr>
          <w:rFonts w:ascii="Book Antiqua" w:hAnsi="Book Antiqua"/>
          <w:spacing w:val="1"/>
        </w:rPr>
        <w:t xml:space="preserve"> </w:t>
      </w:r>
      <w:r>
        <w:rPr>
          <w:rFonts w:ascii="Book Antiqua" w:hAnsi="Book Antiqua"/>
        </w:rPr>
        <w:t>margins.</w:t>
      </w:r>
      <w:hyperlink w:anchor="_bookmark48" w:history="1">
        <w:r>
          <w:rPr>
            <w:rFonts w:ascii="Book Antiqua" w:hAnsi="Book Antiqua"/>
            <w:position w:val="5"/>
            <w:sz w:val="14"/>
          </w:rPr>
          <w:t>49</w:t>
        </w:r>
      </w:hyperlink>
    </w:p>
    <w:p w:rsidR="00D862F2" w:rsidRDefault="00D862F2">
      <w:pPr>
        <w:pStyle w:val="BodyText"/>
        <w:spacing w:before="3"/>
        <w:rPr>
          <w:rFonts w:ascii="Book Antiqua"/>
          <w:sz w:val="19"/>
        </w:rPr>
      </w:pPr>
    </w:p>
    <w:p w:rsidR="00D862F2" w:rsidRDefault="00884FE4">
      <w:pPr>
        <w:spacing w:before="1"/>
        <w:ind w:left="579" w:right="276"/>
        <w:rPr>
          <w:rFonts w:ascii="Book Antiqua" w:hAnsi="Book Antiqua"/>
        </w:rPr>
      </w:pPr>
      <w:r>
        <w:rPr>
          <w:rFonts w:ascii="Book Antiqua" w:hAnsi="Book Antiqua"/>
        </w:rPr>
        <w:t>Further, the expansion of operating capacity in ambulatory surgical centers offers a cost-</w:t>
      </w:r>
      <w:r>
        <w:rPr>
          <w:rFonts w:ascii="Book Antiqua" w:hAnsi="Book Antiqua"/>
          <w:spacing w:val="1"/>
        </w:rPr>
        <w:t xml:space="preserve"> </w:t>
      </w:r>
      <w:r>
        <w:rPr>
          <w:rFonts w:ascii="Book Antiqua" w:hAnsi="Book Antiqua"/>
        </w:rPr>
        <w:t>effective</w:t>
      </w:r>
      <w:r>
        <w:rPr>
          <w:rFonts w:ascii="Book Antiqua" w:hAnsi="Book Antiqua"/>
          <w:spacing w:val="2"/>
        </w:rPr>
        <w:t xml:space="preserve"> </w:t>
      </w:r>
      <w:r>
        <w:rPr>
          <w:rFonts w:ascii="Book Antiqua" w:hAnsi="Book Antiqua"/>
        </w:rPr>
        <w:t>way</w:t>
      </w:r>
      <w:r>
        <w:rPr>
          <w:rFonts w:ascii="Book Antiqua" w:hAnsi="Book Antiqua"/>
          <w:spacing w:val="4"/>
        </w:rPr>
        <w:t xml:space="preserve"> </w:t>
      </w:r>
      <w:r>
        <w:rPr>
          <w:rFonts w:ascii="Book Antiqua" w:hAnsi="Book Antiqua"/>
        </w:rPr>
        <w:t>to</w:t>
      </w:r>
      <w:r>
        <w:rPr>
          <w:rFonts w:ascii="Book Antiqua" w:hAnsi="Book Antiqua"/>
          <w:spacing w:val="4"/>
        </w:rPr>
        <w:t xml:space="preserve"> </w:t>
      </w:r>
      <w:r>
        <w:rPr>
          <w:rFonts w:ascii="Book Antiqua" w:hAnsi="Book Antiqua"/>
        </w:rPr>
        <w:t>increase</w:t>
      </w:r>
      <w:r>
        <w:rPr>
          <w:rFonts w:ascii="Book Antiqua" w:hAnsi="Book Antiqua"/>
          <w:spacing w:val="2"/>
        </w:rPr>
        <w:t xml:space="preserve"> </w:t>
      </w:r>
      <w:r>
        <w:rPr>
          <w:rFonts w:ascii="Book Antiqua" w:hAnsi="Book Antiqua"/>
        </w:rPr>
        <w:t>access</w:t>
      </w:r>
      <w:r>
        <w:rPr>
          <w:rFonts w:ascii="Book Antiqua" w:hAnsi="Book Antiqua"/>
          <w:spacing w:val="6"/>
        </w:rPr>
        <w:t xml:space="preserve"> </w:t>
      </w:r>
      <w:r>
        <w:rPr>
          <w:rFonts w:ascii="Book Antiqua" w:hAnsi="Book Antiqua"/>
        </w:rPr>
        <w:t>to</w:t>
      </w:r>
      <w:r>
        <w:rPr>
          <w:rFonts w:ascii="Book Antiqua" w:hAnsi="Book Antiqua"/>
          <w:spacing w:val="2"/>
        </w:rPr>
        <w:t xml:space="preserve"> </w:t>
      </w:r>
      <w:r>
        <w:rPr>
          <w:rFonts w:ascii="Book Antiqua" w:hAnsi="Book Antiqua"/>
        </w:rPr>
        <w:t>services</w:t>
      </w:r>
      <w:r>
        <w:rPr>
          <w:rFonts w:ascii="Book Antiqua" w:hAnsi="Book Antiqua"/>
          <w:spacing w:val="2"/>
        </w:rPr>
        <w:t xml:space="preserve"> </w:t>
      </w:r>
      <w:r>
        <w:rPr>
          <w:rFonts w:ascii="Book Antiqua" w:hAnsi="Book Antiqua"/>
        </w:rPr>
        <w:t>in</w:t>
      </w:r>
      <w:r>
        <w:rPr>
          <w:rFonts w:ascii="Book Antiqua" w:hAnsi="Book Antiqua"/>
          <w:spacing w:val="6"/>
        </w:rPr>
        <w:t xml:space="preserve"> </w:t>
      </w:r>
      <w:r>
        <w:rPr>
          <w:rFonts w:ascii="Book Antiqua" w:hAnsi="Book Antiqua"/>
        </w:rPr>
        <w:t>a</w:t>
      </w:r>
      <w:r>
        <w:rPr>
          <w:rFonts w:ascii="Book Antiqua" w:hAnsi="Book Antiqua"/>
          <w:spacing w:val="5"/>
        </w:rPr>
        <w:t xml:space="preserve"> </w:t>
      </w:r>
      <w:r>
        <w:rPr>
          <w:rFonts w:ascii="Book Antiqua" w:hAnsi="Book Antiqua"/>
        </w:rPr>
        <w:t>setting</w:t>
      </w:r>
      <w:r>
        <w:rPr>
          <w:rFonts w:ascii="Book Antiqua" w:hAnsi="Book Antiqua"/>
          <w:spacing w:val="5"/>
        </w:rPr>
        <w:t xml:space="preserve"> </w:t>
      </w:r>
      <w:r>
        <w:rPr>
          <w:rFonts w:ascii="Book Antiqua" w:hAnsi="Book Antiqua"/>
        </w:rPr>
        <w:t>that</w:t>
      </w:r>
      <w:r>
        <w:rPr>
          <w:rFonts w:ascii="Book Antiqua" w:hAnsi="Book Antiqua"/>
          <w:spacing w:val="5"/>
        </w:rPr>
        <w:t xml:space="preserve"> </w:t>
      </w:r>
      <w:r>
        <w:rPr>
          <w:rFonts w:ascii="Book Antiqua" w:hAnsi="Book Antiqua"/>
        </w:rPr>
        <w:t>patients</w:t>
      </w:r>
      <w:r>
        <w:rPr>
          <w:rFonts w:ascii="Book Antiqua" w:hAnsi="Book Antiqua"/>
          <w:spacing w:val="5"/>
        </w:rPr>
        <w:t xml:space="preserve"> </w:t>
      </w:r>
      <w:r>
        <w:rPr>
          <w:rFonts w:ascii="Book Antiqua" w:hAnsi="Book Antiqua"/>
        </w:rPr>
        <w:t>prefer.</w:t>
      </w:r>
      <w:hyperlink w:anchor="_bookmark49" w:history="1">
        <w:r>
          <w:rPr>
            <w:rFonts w:ascii="Book Antiqua" w:hAnsi="Book Antiqua"/>
            <w:position w:val="5"/>
            <w:sz w:val="14"/>
          </w:rPr>
          <w:t>50</w:t>
        </w:r>
      </w:hyperlink>
      <w:r>
        <w:rPr>
          <w:rFonts w:ascii="Book Antiqua" w:hAnsi="Book Antiqua"/>
          <w:position w:val="5"/>
          <w:sz w:val="14"/>
        </w:rPr>
        <w:t xml:space="preserve">  </w:t>
      </w:r>
      <w:r>
        <w:rPr>
          <w:rFonts w:ascii="Book Antiqua" w:hAnsi="Book Antiqua"/>
          <w:spacing w:val="10"/>
          <w:position w:val="5"/>
          <w:sz w:val="14"/>
        </w:rPr>
        <w:t xml:space="preserve"> </w:t>
      </w:r>
      <w:r>
        <w:rPr>
          <w:rFonts w:ascii="Book Antiqua" w:hAnsi="Book Antiqua"/>
        </w:rPr>
        <w:t>Children</w:t>
      </w:r>
      <w:r>
        <w:rPr>
          <w:rFonts w:ascii="Book Antiqua" w:hAnsi="Book Antiqua"/>
          <w:spacing w:val="6"/>
        </w:rPr>
        <w:t xml:space="preserve"> </w:t>
      </w:r>
      <w:r>
        <w:rPr>
          <w:rFonts w:ascii="Book Antiqua" w:hAnsi="Book Antiqua"/>
        </w:rPr>
        <w:t>do</w:t>
      </w:r>
      <w:r>
        <w:rPr>
          <w:rFonts w:ascii="Book Antiqua" w:hAnsi="Book Antiqua"/>
          <w:spacing w:val="1"/>
        </w:rPr>
        <w:t xml:space="preserve"> </w:t>
      </w:r>
      <w:r>
        <w:rPr>
          <w:rFonts w:ascii="Book Antiqua" w:hAnsi="Book Antiqua"/>
        </w:rPr>
        <w:t>not always need to visit a Level I surgical center to receive the services they need, especially</w:t>
      </w:r>
      <w:r>
        <w:rPr>
          <w:rFonts w:ascii="Book Antiqua" w:hAnsi="Book Antiqua"/>
          <w:spacing w:val="1"/>
        </w:rPr>
        <w:t xml:space="preserve"> </w:t>
      </w:r>
      <w:r>
        <w:rPr>
          <w:rFonts w:ascii="Book Antiqua" w:hAnsi="Book Antiqua"/>
        </w:rPr>
        <w:t>given that these facilities are harder for families and their support networks to access.</w:t>
      </w:r>
      <w:r>
        <w:rPr>
          <w:rFonts w:ascii="Book Antiqua" w:hAnsi="Book Antiqua"/>
          <w:spacing w:val="1"/>
        </w:rPr>
        <w:t xml:space="preserve"> </w:t>
      </w:r>
      <w:r>
        <w:rPr>
          <w:rFonts w:ascii="Book Antiqua" w:hAnsi="Book Antiqua"/>
        </w:rPr>
        <w:t>The</w:t>
      </w:r>
      <w:r>
        <w:rPr>
          <w:rFonts w:ascii="Book Antiqua" w:hAnsi="Book Antiqua"/>
          <w:spacing w:val="1"/>
        </w:rPr>
        <w:t xml:space="preserve"> </w:t>
      </w:r>
      <w:r>
        <w:rPr>
          <w:rFonts w:ascii="Book Antiqua" w:hAnsi="Book Antiqua"/>
        </w:rPr>
        <w:t>American College of Surgeons’ highlights the importance of ambulatory surgical centers in</w:t>
      </w:r>
      <w:r>
        <w:rPr>
          <w:rFonts w:ascii="Book Antiqua" w:hAnsi="Book Antiqua"/>
          <w:spacing w:val="1"/>
        </w:rPr>
        <w:t xml:space="preserve"> </w:t>
      </w:r>
      <w:r>
        <w:rPr>
          <w:rFonts w:ascii="Book Antiqua" w:hAnsi="Book Antiqua"/>
        </w:rPr>
        <w:t>providing an accessible, appropriate outpatient treatment option for children in its “Optimal</w:t>
      </w:r>
      <w:r>
        <w:rPr>
          <w:rFonts w:ascii="Book Antiqua" w:hAnsi="Book Antiqua"/>
          <w:spacing w:val="-52"/>
        </w:rPr>
        <w:t xml:space="preserve"> </w:t>
      </w:r>
      <w:r>
        <w:rPr>
          <w:rFonts w:ascii="Book Antiqua" w:hAnsi="Book Antiqua"/>
        </w:rPr>
        <w:t>Resources for Children’s Surgical Care” document.</w:t>
      </w:r>
      <w:hyperlink w:anchor="_bookmark50" w:history="1">
        <w:r>
          <w:rPr>
            <w:rFonts w:ascii="Book Antiqua" w:hAnsi="Book Antiqua"/>
            <w:position w:val="5"/>
            <w:sz w:val="14"/>
          </w:rPr>
          <w:t>51</w:t>
        </w:r>
      </w:hyperlink>
      <w:r>
        <w:rPr>
          <w:rFonts w:ascii="Book Antiqua" w:hAnsi="Book Antiqua"/>
          <w:spacing w:val="1"/>
          <w:position w:val="5"/>
          <w:sz w:val="14"/>
        </w:rPr>
        <w:t xml:space="preserve"> </w:t>
      </w:r>
      <w:r>
        <w:rPr>
          <w:rFonts w:ascii="Book Antiqua" w:hAnsi="Book Antiqua"/>
        </w:rPr>
        <w:t>In addition, pediatric-focused</w:t>
      </w:r>
      <w:r>
        <w:rPr>
          <w:rFonts w:ascii="Book Antiqua" w:hAnsi="Book Antiqua"/>
          <w:spacing w:val="1"/>
        </w:rPr>
        <w:t xml:space="preserve"> </w:t>
      </w:r>
      <w:r>
        <w:rPr>
          <w:rFonts w:ascii="Book Antiqua" w:hAnsi="Book Antiqua"/>
        </w:rPr>
        <w:t>ambulatory</w:t>
      </w:r>
      <w:r>
        <w:rPr>
          <w:rFonts w:ascii="Book Antiqua" w:hAnsi="Book Antiqua"/>
          <w:spacing w:val="-2"/>
        </w:rPr>
        <w:t xml:space="preserve"> </w:t>
      </w:r>
      <w:r>
        <w:rPr>
          <w:rFonts w:ascii="Book Antiqua" w:hAnsi="Book Antiqua"/>
        </w:rPr>
        <w:t>surgical</w:t>
      </w:r>
      <w:r>
        <w:rPr>
          <w:rFonts w:ascii="Book Antiqua" w:hAnsi="Book Antiqua"/>
          <w:spacing w:val="-3"/>
        </w:rPr>
        <w:t xml:space="preserve"> </w:t>
      </w:r>
      <w:r>
        <w:rPr>
          <w:rFonts w:ascii="Book Antiqua" w:hAnsi="Book Antiqua"/>
        </w:rPr>
        <w:t>centers</w:t>
      </w:r>
      <w:r>
        <w:rPr>
          <w:rFonts w:ascii="Book Antiqua" w:hAnsi="Book Antiqua"/>
          <w:spacing w:val="-1"/>
        </w:rPr>
        <w:t xml:space="preserve"> </w:t>
      </w:r>
      <w:r>
        <w:rPr>
          <w:rFonts w:ascii="Book Antiqua" w:hAnsi="Book Antiqua"/>
        </w:rPr>
        <w:t>associated</w:t>
      </w:r>
      <w:r>
        <w:rPr>
          <w:rFonts w:ascii="Book Antiqua" w:hAnsi="Book Antiqua"/>
          <w:spacing w:val="-4"/>
        </w:rPr>
        <w:t xml:space="preserve"> </w:t>
      </w:r>
      <w:r>
        <w:rPr>
          <w:rFonts w:ascii="Book Antiqua" w:hAnsi="Book Antiqua"/>
        </w:rPr>
        <w:t>with more</w:t>
      </w:r>
      <w:r>
        <w:rPr>
          <w:rFonts w:ascii="Book Antiqua" w:hAnsi="Book Antiqua"/>
          <w:spacing w:val="-4"/>
        </w:rPr>
        <w:t xml:space="preserve"> </w:t>
      </w:r>
      <w:r>
        <w:rPr>
          <w:rFonts w:ascii="Book Antiqua" w:hAnsi="Book Antiqua"/>
        </w:rPr>
        <w:t>intensive hospital-based</w:t>
      </w:r>
      <w:r>
        <w:rPr>
          <w:rFonts w:ascii="Book Antiqua" w:hAnsi="Book Antiqua"/>
          <w:spacing w:val="-4"/>
        </w:rPr>
        <w:t xml:space="preserve"> </w:t>
      </w:r>
      <w:r>
        <w:rPr>
          <w:rFonts w:ascii="Book Antiqua" w:hAnsi="Book Antiqua"/>
        </w:rPr>
        <w:t>programs</w:t>
      </w:r>
      <w:r>
        <w:rPr>
          <w:rFonts w:ascii="Book Antiqua" w:hAnsi="Book Antiqua"/>
          <w:spacing w:val="-1"/>
        </w:rPr>
        <w:t xml:space="preserve"> </w:t>
      </w:r>
      <w:r>
        <w:rPr>
          <w:rFonts w:ascii="Book Antiqua" w:hAnsi="Book Antiqua"/>
        </w:rPr>
        <w:t>have</w:t>
      </w:r>
    </w:p>
    <w:p w:rsidR="00D862F2" w:rsidRDefault="00337703">
      <w:pPr>
        <w:pStyle w:val="BodyText"/>
        <w:spacing w:before="12"/>
        <w:rPr>
          <w:rFonts w:ascii="Book Antiqua"/>
          <w:sz w:val="15"/>
        </w:rPr>
      </w:pPr>
      <w:r>
        <w:rPr>
          <w:noProof/>
        </w:rPr>
        <mc:AlternateContent>
          <mc:Choice Requires="wps">
            <w:drawing>
              <wp:anchor distT="0" distB="0" distL="0" distR="0" simplePos="0" relativeHeight="487596544" behindDoc="1" locked="0" layoutInCell="1" allowOverlap="1">
                <wp:simplePos x="0" y="0"/>
                <wp:positionH relativeFrom="page">
                  <wp:posOffset>914400</wp:posOffset>
                </wp:positionH>
                <wp:positionV relativeFrom="paragraph">
                  <wp:posOffset>140970</wp:posOffset>
                </wp:positionV>
                <wp:extent cx="1828800" cy="7620"/>
                <wp:effectExtent l="0" t="0" r="0" b="11430"/>
                <wp:wrapTopAndBottom/>
                <wp:docPr id="12" name="docshape20"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BBB7F" id="docshape20" o:spid="_x0000_s1026" alt="Title: Division Line - Description: Division Line between the main content and the footnotes" style="position:absolute;margin-left:1in;margin-top:11.1pt;width:2in;height:.6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" fillcolor="black" stroked="f">
                <w10:wrap type="topAndBottom" anchorx="page"/>
              </v:rect>
            </w:pict>
          </mc:Fallback>
        </mc:AlternateContent>
      </w:r>
    </w:p>
    <w:p w:rsidR="00D862F2" w:rsidRDefault="00884FE4">
      <w:pPr>
        <w:spacing w:before="110"/>
        <w:ind w:left="219" w:right="1918"/>
        <w:rPr>
          <w:rFonts w:ascii="Book Antiqua" w:hAnsi="Book Antiqua"/>
          <w:sz w:val="20"/>
        </w:rPr>
      </w:pPr>
      <w:bookmarkStart w:id="45" w:name="_bookmark44"/>
      <w:bookmarkEnd w:id="45"/>
      <w:r>
        <w:rPr>
          <w:rFonts w:ascii="Book Antiqua" w:hAnsi="Book Antiqua"/>
          <w:position w:val="5"/>
          <w:sz w:val="13"/>
        </w:rPr>
        <w:t xml:space="preserve">45 </w:t>
      </w:r>
      <w:r>
        <w:rPr>
          <w:rFonts w:ascii="Book Antiqua" w:hAnsi="Book Antiqua"/>
          <w:sz w:val="20"/>
        </w:rPr>
        <w:t>Boston Children’s Hospital.</w:t>
      </w:r>
      <w:r>
        <w:rPr>
          <w:rFonts w:ascii="Book Antiqua" w:hAnsi="Book Antiqua"/>
          <w:spacing w:val="1"/>
          <w:sz w:val="20"/>
        </w:rPr>
        <w:t xml:space="preserve"> </w:t>
      </w:r>
      <w:r>
        <w:rPr>
          <w:rFonts w:ascii="Book Antiqua" w:hAnsi="Book Antiqua"/>
          <w:sz w:val="20"/>
        </w:rPr>
        <w:t>(2020).</w:t>
      </w:r>
      <w:r>
        <w:rPr>
          <w:rFonts w:ascii="Book Antiqua" w:hAnsi="Book Antiqua"/>
          <w:spacing w:val="1"/>
          <w:sz w:val="20"/>
        </w:rPr>
        <w:t xml:space="preserve"> </w:t>
      </w:r>
      <w:r>
        <w:rPr>
          <w:rFonts w:ascii="Book Antiqua" w:hAnsi="Book Antiqua"/>
          <w:sz w:val="20"/>
        </w:rPr>
        <w:t>Chief Notes for the Ophthalmology Department.</w:t>
      </w:r>
      <w:r>
        <w:rPr>
          <w:rFonts w:ascii="Book Antiqua" w:hAnsi="Book Antiqua"/>
          <w:spacing w:val="-47"/>
          <w:sz w:val="20"/>
        </w:rPr>
        <w:t xml:space="preserve"> </w:t>
      </w:r>
      <w:bookmarkStart w:id="46" w:name="_bookmark45"/>
      <w:bookmarkEnd w:id="46"/>
      <w:r>
        <w:rPr>
          <w:rFonts w:ascii="Book Antiqua" w:hAnsi="Book Antiqua"/>
          <w:position w:val="5"/>
          <w:sz w:val="13"/>
        </w:rPr>
        <w:t>46</w:t>
      </w:r>
      <w:r>
        <w:rPr>
          <w:rFonts w:ascii="Book Antiqua" w:hAnsi="Book Antiqua"/>
          <w:spacing w:val="1"/>
          <w:position w:val="5"/>
          <w:sz w:val="13"/>
        </w:rPr>
        <w:t xml:space="preserve"> </w:t>
      </w:r>
      <w:r>
        <w:rPr>
          <w:rFonts w:ascii="Book Antiqua" w:hAnsi="Book Antiqua"/>
          <w:sz w:val="20"/>
        </w:rPr>
        <w:t>Massachusetts Eye and Ear.</w:t>
      </w:r>
      <w:r>
        <w:rPr>
          <w:rFonts w:ascii="Book Antiqua" w:hAnsi="Book Antiqua"/>
          <w:spacing w:val="1"/>
          <w:sz w:val="20"/>
        </w:rPr>
        <w:t xml:space="preserve"> </w:t>
      </w:r>
      <w:r>
        <w:rPr>
          <w:rFonts w:ascii="Book Antiqua" w:hAnsi="Book Antiqua"/>
          <w:sz w:val="20"/>
        </w:rPr>
        <w:t>“Pediatric Ophthalmology.”</w:t>
      </w:r>
      <w:r>
        <w:rPr>
          <w:rFonts w:ascii="Book Antiqua" w:hAnsi="Book Antiqua"/>
          <w:spacing w:val="1"/>
          <w:sz w:val="20"/>
        </w:rPr>
        <w:t xml:space="preserve"> </w:t>
      </w:r>
      <w:r>
        <w:rPr>
          <w:rFonts w:ascii="Book Antiqua" w:hAnsi="Book Antiqua"/>
          <w:sz w:val="20"/>
        </w:rPr>
        <w:t>Retrieved from</w:t>
      </w:r>
      <w:r>
        <w:rPr>
          <w:rFonts w:ascii="Book Antiqua" w:hAnsi="Book Antiqua"/>
          <w:spacing w:val="1"/>
          <w:sz w:val="20"/>
        </w:rPr>
        <w:t xml:space="preserve"> </w:t>
      </w:r>
      <w:hyperlink r:id="rId58">
        <w:r>
          <w:rPr>
            <w:rFonts w:ascii="Book Antiqua" w:hAnsi="Book Antiqua"/>
            <w:color w:val="0000FF"/>
            <w:sz w:val="20"/>
            <w:u w:val="single" w:color="0000FF"/>
          </w:rPr>
          <w:t>https://www.masseyeandear.org/specialties/pediatric-eye</w:t>
        </w:r>
        <w:r>
          <w:rPr>
            <w:rFonts w:ascii="Book Antiqua" w:hAnsi="Book Antiqua"/>
            <w:sz w:val="20"/>
          </w:rPr>
          <w:t>.</w:t>
        </w:r>
      </w:hyperlink>
    </w:p>
    <w:p w:rsidR="00D862F2" w:rsidRDefault="00884FE4">
      <w:pPr>
        <w:spacing w:before="1"/>
        <w:ind w:left="219" w:right="375"/>
        <w:jc w:val="both"/>
        <w:rPr>
          <w:rFonts w:ascii="Book Antiqua" w:hAnsi="Book Antiqua"/>
          <w:sz w:val="20"/>
        </w:rPr>
      </w:pPr>
      <w:bookmarkStart w:id="47" w:name="_bookmark46"/>
      <w:bookmarkEnd w:id="47"/>
      <w:r>
        <w:rPr>
          <w:rFonts w:ascii="Book Antiqua" w:hAnsi="Book Antiqua"/>
          <w:position w:val="5"/>
          <w:sz w:val="13"/>
        </w:rPr>
        <w:t xml:space="preserve">47 </w:t>
      </w:r>
      <w:r>
        <w:rPr>
          <w:rFonts w:ascii="Book Antiqua" w:hAnsi="Book Antiqua"/>
          <w:sz w:val="20"/>
        </w:rPr>
        <w:t>American Society of Anesthesiologists. (2016). “Statement on Practice Recommendations for Pediatric</w:t>
      </w:r>
      <w:r>
        <w:rPr>
          <w:rFonts w:ascii="Book Antiqua" w:hAnsi="Book Antiqua"/>
          <w:spacing w:val="1"/>
          <w:sz w:val="20"/>
        </w:rPr>
        <w:t xml:space="preserve"> </w:t>
      </w:r>
      <w:r>
        <w:rPr>
          <w:rFonts w:ascii="Book Antiqua" w:hAnsi="Book Antiqua"/>
          <w:sz w:val="20"/>
        </w:rPr>
        <w:t xml:space="preserve">Anesthesia.” Retrieved from </w:t>
      </w:r>
      <w:hyperlink r:id="rId59">
        <w:r>
          <w:rPr>
            <w:rFonts w:ascii="Book Antiqua" w:hAnsi="Book Antiqua"/>
            <w:color w:val="0000FF"/>
            <w:sz w:val="20"/>
            <w:u w:val="single" w:color="0000FF"/>
          </w:rPr>
          <w:t>https://www.asahq.org/standards-and-guidelines/statement-on-practice-</w:t>
        </w:r>
      </w:hyperlink>
      <w:r>
        <w:rPr>
          <w:rFonts w:ascii="Book Antiqua" w:hAnsi="Book Antiqua"/>
          <w:color w:val="0000FF"/>
          <w:spacing w:val="-47"/>
          <w:sz w:val="20"/>
        </w:rPr>
        <w:t xml:space="preserve"> </w:t>
      </w:r>
      <w:hyperlink r:id="rId60">
        <w:r>
          <w:rPr>
            <w:rFonts w:ascii="Book Antiqua" w:hAnsi="Book Antiqua"/>
            <w:color w:val="0000FF"/>
            <w:sz w:val="20"/>
            <w:u w:val="single" w:color="0000FF"/>
          </w:rPr>
          <w:t>recommendations-for-pediatric-anesthesia</w:t>
        </w:r>
        <w:r>
          <w:rPr>
            <w:rFonts w:ascii="Book Antiqua" w:hAnsi="Book Antiqua"/>
            <w:sz w:val="20"/>
          </w:rPr>
          <w:t>.</w:t>
        </w:r>
      </w:hyperlink>
    </w:p>
    <w:p w:rsidR="00D862F2" w:rsidRDefault="00884FE4">
      <w:pPr>
        <w:ind w:left="219" w:right="320"/>
        <w:rPr>
          <w:rFonts w:ascii="Book Antiqua" w:hAnsi="Book Antiqua"/>
          <w:sz w:val="20"/>
        </w:rPr>
      </w:pPr>
      <w:bookmarkStart w:id="48" w:name="_bookmark47"/>
      <w:bookmarkEnd w:id="48"/>
      <w:r>
        <w:rPr>
          <w:rFonts w:ascii="Book Antiqua" w:hAnsi="Book Antiqua"/>
          <w:position w:val="5"/>
          <w:sz w:val="13"/>
        </w:rPr>
        <w:t xml:space="preserve">48 </w:t>
      </w:r>
      <w:r>
        <w:rPr>
          <w:rFonts w:ascii="Book Antiqua" w:hAnsi="Book Antiqua"/>
          <w:sz w:val="20"/>
        </w:rPr>
        <w:t>Society for Pediatric Anesthesia.</w:t>
      </w:r>
      <w:r>
        <w:rPr>
          <w:rFonts w:ascii="Book Antiqua" w:hAnsi="Book Antiqua"/>
          <w:spacing w:val="1"/>
          <w:sz w:val="20"/>
        </w:rPr>
        <w:t xml:space="preserve"> </w:t>
      </w:r>
      <w:r>
        <w:rPr>
          <w:rFonts w:ascii="Book Antiqua" w:hAnsi="Book Antiqua"/>
          <w:sz w:val="20"/>
        </w:rPr>
        <w:t>“Policy Statement on Provision of Pediatric Anesthesia Care.”</w:t>
      </w:r>
      <w:r>
        <w:rPr>
          <w:rFonts w:ascii="Book Antiqua" w:hAnsi="Book Antiqua"/>
          <w:spacing w:val="-47"/>
          <w:sz w:val="20"/>
        </w:rPr>
        <w:t xml:space="preserve"> </w:t>
      </w:r>
      <w:r>
        <w:rPr>
          <w:rFonts w:ascii="Book Antiqua" w:hAnsi="Book Antiqua"/>
          <w:sz w:val="20"/>
        </w:rPr>
        <w:t>Retrieved</w:t>
      </w:r>
      <w:r>
        <w:rPr>
          <w:rFonts w:ascii="Book Antiqua" w:hAnsi="Book Antiqua"/>
          <w:spacing w:val="-3"/>
          <w:sz w:val="20"/>
        </w:rPr>
        <w:t xml:space="preserve"> </w:t>
      </w:r>
      <w:r>
        <w:rPr>
          <w:rFonts w:ascii="Book Antiqua" w:hAnsi="Book Antiqua"/>
          <w:sz w:val="20"/>
        </w:rPr>
        <w:t>from</w:t>
      </w:r>
      <w:r>
        <w:rPr>
          <w:rFonts w:ascii="Book Antiqua" w:hAnsi="Book Antiqua"/>
          <w:spacing w:val="-2"/>
          <w:sz w:val="20"/>
        </w:rPr>
        <w:t xml:space="preserve"> </w:t>
      </w:r>
      <w:hyperlink r:id="rId61">
        <w:r>
          <w:rPr>
            <w:rFonts w:ascii="Book Antiqua" w:hAnsi="Book Antiqua"/>
            <w:color w:val="0000FF"/>
            <w:sz w:val="20"/>
            <w:u w:val="single" w:color="0000FF"/>
          </w:rPr>
          <w:t>https://pedsanesthesia.org/about/provision-of-pediatric-anesthesia-care/</w:t>
        </w:r>
        <w:r>
          <w:rPr>
            <w:rFonts w:ascii="Book Antiqua" w:hAnsi="Book Antiqua"/>
            <w:sz w:val="20"/>
          </w:rPr>
          <w:t>.</w:t>
        </w:r>
      </w:hyperlink>
    </w:p>
    <w:p w:rsidR="00D862F2" w:rsidRDefault="00884FE4">
      <w:pPr>
        <w:ind w:left="220" w:right="451"/>
        <w:rPr>
          <w:rFonts w:ascii="Book Antiqua" w:hAnsi="Book Antiqua"/>
          <w:sz w:val="20"/>
        </w:rPr>
      </w:pPr>
      <w:bookmarkStart w:id="49" w:name="_bookmark48"/>
      <w:bookmarkEnd w:id="49"/>
      <w:r>
        <w:rPr>
          <w:rFonts w:ascii="Book Antiqua" w:hAnsi="Book Antiqua"/>
          <w:position w:val="5"/>
          <w:sz w:val="13"/>
        </w:rPr>
        <w:t>49</w:t>
      </w:r>
      <w:r>
        <w:rPr>
          <w:rFonts w:ascii="Book Antiqua" w:hAnsi="Book Antiqua"/>
          <w:spacing w:val="1"/>
          <w:position w:val="5"/>
          <w:sz w:val="13"/>
        </w:rPr>
        <w:t xml:space="preserve"> </w:t>
      </w:r>
      <w:r>
        <w:rPr>
          <w:rFonts w:ascii="Book Antiqua" w:hAnsi="Book Antiqua"/>
          <w:sz w:val="20"/>
        </w:rPr>
        <w:t>Gantner, J., Lee, Y.H., Barone, J.G.</w:t>
      </w:r>
      <w:r>
        <w:rPr>
          <w:rFonts w:ascii="Book Antiqua" w:hAnsi="Book Antiqua"/>
          <w:spacing w:val="1"/>
          <w:sz w:val="20"/>
        </w:rPr>
        <w:t xml:space="preserve"> </w:t>
      </w:r>
      <w:r>
        <w:rPr>
          <w:rFonts w:ascii="Book Antiqua" w:hAnsi="Book Antiqua"/>
          <w:sz w:val="20"/>
        </w:rPr>
        <w:t>(2019).</w:t>
      </w:r>
      <w:r>
        <w:rPr>
          <w:rFonts w:ascii="Book Antiqua" w:hAnsi="Book Antiqua"/>
          <w:spacing w:val="1"/>
          <w:sz w:val="20"/>
        </w:rPr>
        <w:t xml:space="preserve"> </w:t>
      </w:r>
      <w:r>
        <w:rPr>
          <w:rFonts w:ascii="Book Antiqua" w:hAnsi="Book Antiqua"/>
          <w:sz w:val="20"/>
        </w:rPr>
        <w:t>“How Adding Pediatric ORs Changed A Children’s</w:t>
      </w:r>
      <w:r>
        <w:rPr>
          <w:rFonts w:ascii="Book Antiqua" w:hAnsi="Book Antiqua"/>
          <w:spacing w:val="1"/>
          <w:sz w:val="20"/>
        </w:rPr>
        <w:t xml:space="preserve"> </w:t>
      </w:r>
      <w:r>
        <w:rPr>
          <w:rFonts w:ascii="Book Antiqua" w:hAnsi="Book Antiqua"/>
          <w:sz w:val="20"/>
        </w:rPr>
        <w:t>Hospital.”</w:t>
      </w:r>
      <w:r>
        <w:rPr>
          <w:rFonts w:ascii="Book Antiqua" w:hAnsi="Book Antiqua"/>
          <w:spacing w:val="3"/>
          <w:sz w:val="20"/>
        </w:rPr>
        <w:t xml:space="preserve"> </w:t>
      </w:r>
      <w:r>
        <w:rPr>
          <w:rFonts w:ascii="Book Antiqua" w:hAnsi="Book Antiqua"/>
          <w:i/>
          <w:sz w:val="20"/>
        </w:rPr>
        <w:t>Children’s</w:t>
      </w:r>
      <w:r>
        <w:rPr>
          <w:rFonts w:ascii="Book Antiqua" w:hAnsi="Book Antiqua"/>
          <w:i/>
          <w:spacing w:val="-2"/>
          <w:sz w:val="20"/>
        </w:rPr>
        <w:t xml:space="preserve"> </w:t>
      </w:r>
      <w:r>
        <w:rPr>
          <w:rFonts w:ascii="Book Antiqua" w:hAnsi="Book Antiqua"/>
          <w:i/>
          <w:sz w:val="20"/>
        </w:rPr>
        <w:t>Hospital Association</w:t>
      </w:r>
      <w:r>
        <w:rPr>
          <w:rFonts w:ascii="Book Antiqua" w:hAnsi="Book Antiqua"/>
          <w:sz w:val="20"/>
        </w:rPr>
        <w:t>.</w:t>
      </w:r>
      <w:r>
        <w:rPr>
          <w:rFonts w:ascii="Book Antiqua" w:hAnsi="Book Antiqua"/>
          <w:spacing w:val="3"/>
          <w:sz w:val="20"/>
        </w:rPr>
        <w:t xml:space="preserve"> </w:t>
      </w:r>
      <w:r>
        <w:rPr>
          <w:rFonts w:ascii="Book Antiqua" w:hAnsi="Book Antiqua"/>
          <w:sz w:val="20"/>
        </w:rPr>
        <w:t>Retrieved from</w:t>
      </w:r>
      <w:r>
        <w:rPr>
          <w:rFonts w:ascii="Book Antiqua" w:hAnsi="Book Antiqua"/>
          <w:spacing w:val="1"/>
          <w:sz w:val="20"/>
        </w:rPr>
        <w:t xml:space="preserve"> </w:t>
      </w:r>
      <w:hyperlink r:id="rId62">
        <w:r>
          <w:rPr>
            <w:rFonts w:ascii="Book Antiqua" w:hAnsi="Book Antiqua"/>
            <w:color w:val="0000FF"/>
            <w:spacing w:val="-1"/>
            <w:sz w:val="20"/>
            <w:u w:val="single" w:color="0000FF"/>
          </w:rPr>
          <w:t>https://www.childrenshospitals.org/Newsroom/Childrens-Hospitals-Today/Articles/2019/06/How-</w:t>
        </w:r>
      </w:hyperlink>
      <w:r>
        <w:rPr>
          <w:rFonts w:ascii="Book Antiqua" w:hAnsi="Book Antiqua"/>
          <w:color w:val="0000FF"/>
          <w:sz w:val="20"/>
        </w:rPr>
        <w:t xml:space="preserve"> </w:t>
      </w:r>
      <w:hyperlink r:id="rId63">
        <w:r>
          <w:rPr>
            <w:rFonts w:ascii="Book Antiqua" w:hAnsi="Book Antiqua"/>
            <w:color w:val="0000FF"/>
            <w:sz w:val="20"/>
            <w:u w:val="single" w:color="0000FF"/>
          </w:rPr>
          <w:t>Adding-Pediatric-ORs-Changed-a-Childrens-Hospital</w:t>
        </w:r>
        <w:r>
          <w:rPr>
            <w:rFonts w:ascii="Book Antiqua" w:hAnsi="Book Antiqua"/>
            <w:sz w:val="20"/>
          </w:rPr>
          <w:t>.</w:t>
        </w:r>
      </w:hyperlink>
    </w:p>
    <w:p w:rsidR="00D862F2" w:rsidRDefault="00884FE4">
      <w:pPr>
        <w:ind w:left="219" w:right="320"/>
        <w:rPr>
          <w:rFonts w:ascii="Book Antiqua" w:hAnsi="Book Antiqua"/>
          <w:sz w:val="20"/>
        </w:rPr>
      </w:pPr>
      <w:bookmarkStart w:id="50" w:name="_bookmark49"/>
      <w:bookmarkEnd w:id="50"/>
      <w:r>
        <w:rPr>
          <w:rFonts w:ascii="Book Antiqua" w:hAnsi="Book Antiqua"/>
          <w:position w:val="5"/>
          <w:sz w:val="13"/>
        </w:rPr>
        <w:t xml:space="preserve">50 </w:t>
      </w:r>
      <w:r>
        <w:rPr>
          <w:rFonts w:ascii="Book Antiqua" w:hAnsi="Book Antiqua"/>
          <w:sz w:val="20"/>
        </w:rPr>
        <w:t>Nordin, A.B., Shah, S.R., Kenney, B.D.</w:t>
      </w:r>
      <w:r>
        <w:rPr>
          <w:rFonts w:ascii="Book Antiqua" w:hAnsi="Book Antiqua"/>
          <w:spacing w:val="1"/>
          <w:sz w:val="20"/>
        </w:rPr>
        <w:t xml:space="preserve"> </w:t>
      </w:r>
      <w:r>
        <w:rPr>
          <w:rFonts w:ascii="Book Antiqua" w:hAnsi="Book Antiqua"/>
          <w:sz w:val="20"/>
        </w:rPr>
        <w:t>(2018).</w:t>
      </w:r>
      <w:r>
        <w:rPr>
          <w:rFonts w:ascii="Book Antiqua" w:hAnsi="Book Antiqua"/>
          <w:spacing w:val="1"/>
          <w:sz w:val="20"/>
        </w:rPr>
        <w:t xml:space="preserve"> </w:t>
      </w:r>
      <w:r>
        <w:rPr>
          <w:rFonts w:ascii="Book Antiqua" w:hAnsi="Book Antiqua"/>
          <w:sz w:val="20"/>
        </w:rPr>
        <w:t>“Ambulatory Pediatric Surgery.”</w:t>
      </w:r>
      <w:r>
        <w:rPr>
          <w:rFonts w:ascii="Book Antiqua" w:hAnsi="Book Antiqua"/>
          <w:spacing w:val="1"/>
          <w:sz w:val="20"/>
        </w:rPr>
        <w:t xml:space="preserve"> </w:t>
      </w:r>
      <w:r>
        <w:rPr>
          <w:rFonts w:ascii="Book Antiqua" w:hAnsi="Book Antiqua"/>
          <w:i/>
          <w:sz w:val="20"/>
        </w:rPr>
        <w:t>Seminars in Pediatric</w:t>
      </w:r>
      <w:r>
        <w:rPr>
          <w:rFonts w:ascii="Book Antiqua" w:hAnsi="Book Antiqua"/>
          <w:i/>
          <w:spacing w:val="-47"/>
          <w:sz w:val="20"/>
        </w:rPr>
        <w:t xml:space="preserve"> </w:t>
      </w:r>
      <w:bookmarkStart w:id="51" w:name="_bookmark50"/>
      <w:bookmarkEnd w:id="51"/>
      <w:r>
        <w:rPr>
          <w:rFonts w:ascii="Book Antiqua" w:hAnsi="Book Antiqua"/>
          <w:i/>
          <w:sz w:val="20"/>
        </w:rPr>
        <w:t>Surgery</w:t>
      </w:r>
      <w:r>
        <w:rPr>
          <w:rFonts w:ascii="Book Antiqua" w:hAnsi="Book Antiqua"/>
          <w:sz w:val="20"/>
        </w:rPr>
        <w:t xml:space="preserve">, 27(2): 75-78.  </w:t>
      </w:r>
      <w:hyperlink r:id="rId64">
        <w:r>
          <w:rPr>
            <w:rFonts w:ascii="Book Antiqua" w:hAnsi="Book Antiqua"/>
            <w:color w:val="0000FF"/>
            <w:sz w:val="20"/>
            <w:u w:val="single" w:color="0000FF"/>
          </w:rPr>
          <w:t>https://doi.org/10.1053/j.sempedsurg.2018.02.003</w:t>
        </w:r>
        <w:r>
          <w:rPr>
            <w:rFonts w:ascii="Book Antiqua" w:hAnsi="Book Antiqua"/>
            <w:sz w:val="20"/>
          </w:rPr>
          <w:t>.</w:t>
        </w:r>
      </w:hyperlink>
    </w:p>
    <w:p w:rsidR="00D862F2" w:rsidRDefault="00884FE4">
      <w:pPr>
        <w:ind w:left="219" w:right="320"/>
        <w:rPr>
          <w:rFonts w:ascii="Book Antiqua" w:hAnsi="Book Antiqua"/>
          <w:sz w:val="20"/>
        </w:rPr>
      </w:pPr>
      <w:r>
        <w:rPr>
          <w:rFonts w:ascii="Book Antiqua" w:hAnsi="Book Antiqua"/>
          <w:position w:val="5"/>
          <w:sz w:val="13"/>
        </w:rPr>
        <w:t xml:space="preserve">51 </w:t>
      </w:r>
      <w:r>
        <w:rPr>
          <w:rFonts w:ascii="Book Antiqua" w:hAnsi="Book Antiqua"/>
          <w:sz w:val="20"/>
        </w:rPr>
        <w:t>American College of Surgeons.</w:t>
      </w:r>
      <w:r>
        <w:rPr>
          <w:rFonts w:ascii="Book Antiqua" w:hAnsi="Book Antiqua"/>
          <w:spacing w:val="1"/>
          <w:sz w:val="20"/>
        </w:rPr>
        <w:t xml:space="preserve"> </w:t>
      </w:r>
      <w:r>
        <w:rPr>
          <w:rFonts w:ascii="Book Antiqua" w:hAnsi="Book Antiqua"/>
          <w:sz w:val="20"/>
        </w:rPr>
        <w:t>(2015).</w:t>
      </w:r>
      <w:r>
        <w:rPr>
          <w:rFonts w:ascii="Book Antiqua" w:hAnsi="Book Antiqua"/>
          <w:spacing w:val="1"/>
          <w:sz w:val="20"/>
        </w:rPr>
        <w:t xml:space="preserve"> </w:t>
      </w:r>
      <w:r>
        <w:rPr>
          <w:rFonts w:ascii="Book Antiqua" w:hAnsi="Book Antiqua"/>
          <w:sz w:val="20"/>
        </w:rPr>
        <w:t>“Optimal Resources for Children’s Surgical Care.”</w:t>
      </w:r>
      <w:r>
        <w:rPr>
          <w:rFonts w:ascii="Book Antiqua" w:hAnsi="Book Antiqua"/>
          <w:spacing w:val="1"/>
          <w:sz w:val="20"/>
        </w:rPr>
        <w:t xml:space="preserve"> </w:t>
      </w:r>
      <w:r>
        <w:rPr>
          <w:rFonts w:ascii="Book Antiqua" w:hAnsi="Book Antiqua"/>
          <w:sz w:val="20"/>
        </w:rPr>
        <w:t>Retrieved</w:t>
      </w:r>
      <w:r>
        <w:rPr>
          <w:rFonts w:ascii="Book Antiqua" w:hAnsi="Book Antiqua"/>
          <w:spacing w:val="-47"/>
          <w:sz w:val="20"/>
        </w:rPr>
        <w:t xml:space="preserve"> </w:t>
      </w:r>
      <w:r>
        <w:rPr>
          <w:rFonts w:ascii="Book Antiqua" w:hAnsi="Book Antiqua"/>
          <w:sz w:val="20"/>
        </w:rPr>
        <w:t>from</w:t>
      </w:r>
      <w:r>
        <w:rPr>
          <w:rFonts w:ascii="Book Antiqua" w:hAnsi="Book Antiqua"/>
          <w:spacing w:val="-7"/>
          <w:sz w:val="20"/>
        </w:rPr>
        <w:t xml:space="preserve"> </w:t>
      </w:r>
      <w:hyperlink r:id="rId65">
        <w:r>
          <w:rPr>
            <w:rFonts w:ascii="Book Antiqua" w:hAnsi="Book Antiqua"/>
            <w:color w:val="0000FF"/>
            <w:sz w:val="20"/>
            <w:u w:val="single" w:color="0000FF"/>
          </w:rPr>
          <w:t>https://www.facs.org/-/media/files/quality-programs/csv/acs-csv_standardsmanual.ashx</w:t>
        </w:r>
        <w:r>
          <w:rPr>
            <w:rFonts w:ascii="Book Antiqua" w:hAnsi="Book Antiqua"/>
            <w:sz w:val="20"/>
          </w:rPr>
          <w:t>.</w:t>
        </w:r>
      </w:hyperlink>
    </w:p>
    <w:p w:rsidR="00D862F2" w:rsidRDefault="00D862F2">
      <w:pPr>
        <w:rPr>
          <w:rFonts w:ascii="Book Antiqua" w:hAnsi="Book Antiqua"/>
          <w:sz w:val="20"/>
        </w:rPr>
        <w:sectPr w:rsidR="00D862F2">
          <w:headerReference w:type="default" r:id="rId66"/>
          <w:footerReference w:type="default" r:id="rId67"/>
          <w:pgSz w:w="12240" w:h="15840"/>
          <w:pgMar w:top="1360" w:right="1160" w:bottom="280" w:left="1220" w:header="0" w:footer="0" w:gutter="0"/>
          <w:cols w:space="720"/>
        </w:sectPr>
      </w:pPr>
    </w:p>
    <w:p w:rsidR="00D862F2" w:rsidRDefault="00884FE4">
      <w:pPr>
        <w:spacing w:before="77"/>
        <w:ind w:left="580" w:right="488"/>
        <w:rPr>
          <w:rFonts w:ascii="Book Antiqua" w:hAnsi="Book Antiqua"/>
        </w:rPr>
      </w:pPr>
      <w:r>
        <w:rPr>
          <w:rFonts w:ascii="Book Antiqua" w:hAnsi="Book Antiqua"/>
        </w:rPr>
        <w:lastRenderedPageBreak/>
        <w:t>been an important contributor to expanded access at a lower cost than similar services</w:t>
      </w:r>
      <w:r>
        <w:rPr>
          <w:rFonts w:ascii="Book Antiqua" w:hAnsi="Book Antiqua"/>
          <w:spacing w:val="1"/>
        </w:rPr>
        <w:t xml:space="preserve"> </w:t>
      </w:r>
      <w:r>
        <w:rPr>
          <w:rFonts w:ascii="Book Antiqua" w:hAnsi="Book Antiqua"/>
        </w:rPr>
        <w:t>accessed at university-based hospital facilities.</w:t>
      </w:r>
      <w:hyperlink w:anchor="_bookmark51" w:history="1">
        <w:r>
          <w:rPr>
            <w:rFonts w:ascii="Book Antiqua" w:hAnsi="Book Antiqua"/>
            <w:position w:val="5"/>
            <w:sz w:val="14"/>
          </w:rPr>
          <w:t>52</w:t>
        </w:r>
      </w:hyperlink>
      <w:r>
        <w:rPr>
          <w:rFonts w:ascii="Book Antiqua" w:hAnsi="Book Antiqua"/>
          <w:spacing w:val="1"/>
          <w:position w:val="5"/>
          <w:sz w:val="14"/>
        </w:rPr>
        <w:t xml:space="preserve"> </w:t>
      </w:r>
      <w:r>
        <w:rPr>
          <w:rFonts w:ascii="Book Antiqua" w:hAnsi="Book Antiqua"/>
        </w:rPr>
        <w:t>Expanding the availability of pediatric</w:t>
      </w:r>
      <w:r>
        <w:rPr>
          <w:rFonts w:ascii="Book Antiqua" w:hAnsi="Book Antiqua"/>
          <w:spacing w:val="1"/>
        </w:rPr>
        <w:t xml:space="preserve"> </w:t>
      </w:r>
      <w:r>
        <w:rPr>
          <w:rFonts w:ascii="Book Antiqua" w:hAnsi="Book Antiqua"/>
        </w:rPr>
        <w:t>operating rooms within a children’s facility, like Boston Children’s, therefore is a valuable,</w:t>
      </w:r>
      <w:r>
        <w:rPr>
          <w:rFonts w:ascii="Book Antiqua" w:hAnsi="Book Antiqua"/>
          <w:spacing w:val="-52"/>
        </w:rPr>
        <w:t xml:space="preserve"> </w:t>
      </w:r>
      <w:r>
        <w:rPr>
          <w:rFonts w:ascii="Book Antiqua" w:hAnsi="Book Antiqua"/>
        </w:rPr>
        <w:t>cost-effective</w:t>
      </w:r>
      <w:r>
        <w:rPr>
          <w:rFonts w:ascii="Book Antiqua" w:hAnsi="Book Antiqua"/>
          <w:spacing w:val="-4"/>
        </w:rPr>
        <w:t xml:space="preserve"> </w:t>
      </w:r>
      <w:r>
        <w:rPr>
          <w:rFonts w:ascii="Book Antiqua" w:hAnsi="Book Antiqua"/>
        </w:rPr>
        <w:t>way</w:t>
      </w:r>
      <w:r>
        <w:rPr>
          <w:rFonts w:ascii="Book Antiqua" w:hAnsi="Book Antiqua"/>
          <w:spacing w:val="-1"/>
        </w:rPr>
        <w:t xml:space="preserve"> </w:t>
      </w:r>
      <w:r>
        <w:rPr>
          <w:rFonts w:ascii="Book Antiqua" w:hAnsi="Book Antiqua"/>
        </w:rPr>
        <w:t>to</w:t>
      </w:r>
      <w:r>
        <w:rPr>
          <w:rFonts w:ascii="Book Antiqua" w:hAnsi="Book Antiqua"/>
          <w:spacing w:val="-1"/>
        </w:rPr>
        <w:t xml:space="preserve"> </w:t>
      </w:r>
      <w:r>
        <w:rPr>
          <w:rFonts w:ascii="Book Antiqua" w:hAnsi="Book Antiqua"/>
        </w:rPr>
        <w:t>improve access to</w:t>
      </w:r>
      <w:r>
        <w:rPr>
          <w:rFonts w:ascii="Book Antiqua" w:hAnsi="Book Antiqua"/>
          <w:spacing w:val="-3"/>
        </w:rPr>
        <w:t xml:space="preserve"> </w:t>
      </w:r>
      <w:r>
        <w:rPr>
          <w:rFonts w:ascii="Book Antiqua" w:hAnsi="Book Antiqua"/>
        </w:rPr>
        <w:t>surgical</w:t>
      </w:r>
      <w:r>
        <w:rPr>
          <w:rFonts w:ascii="Book Antiqua" w:hAnsi="Book Antiqua"/>
          <w:spacing w:val="-2"/>
        </w:rPr>
        <w:t xml:space="preserve"> </w:t>
      </w:r>
      <w:r>
        <w:rPr>
          <w:rFonts w:ascii="Book Antiqua" w:hAnsi="Book Antiqua"/>
        </w:rPr>
        <w:t>care.</w:t>
      </w:r>
    </w:p>
    <w:p w:rsidR="00D862F2" w:rsidRDefault="00D862F2">
      <w:pPr>
        <w:pStyle w:val="BodyText"/>
        <w:spacing w:before="8"/>
        <w:rPr>
          <w:rFonts w:ascii="Book Antiqua"/>
          <w:sz w:val="19"/>
        </w:rPr>
      </w:pPr>
    </w:p>
    <w:p w:rsidR="00D862F2" w:rsidRDefault="00884FE4">
      <w:pPr>
        <w:pStyle w:val="ListParagraph"/>
        <w:numPr>
          <w:ilvl w:val="0"/>
          <w:numId w:val="2"/>
        </w:numPr>
        <w:tabs>
          <w:tab w:val="left" w:pos="940"/>
        </w:tabs>
        <w:ind w:left="940"/>
        <w:rPr>
          <w:rFonts w:ascii="Book Antiqua"/>
          <w:b/>
          <w:i/>
        </w:rPr>
      </w:pPr>
      <w:r>
        <w:rPr>
          <w:rFonts w:ascii="Book Antiqua"/>
          <w:b/>
          <w:i/>
        </w:rPr>
        <w:t>Sleep</w:t>
      </w:r>
    </w:p>
    <w:p w:rsidR="00D862F2" w:rsidRDefault="00884FE4">
      <w:pPr>
        <w:spacing w:before="116"/>
        <w:ind w:left="579" w:right="303"/>
        <w:rPr>
          <w:rFonts w:ascii="Book Antiqua"/>
          <w:sz w:val="14"/>
        </w:rPr>
      </w:pPr>
      <w:r>
        <w:rPr>
          <w:rFonts w:ascii="Book Antiqua"/>
        </w:rPr>
        <w:t>Up to 50 percent of children have a sleep disorder, which may require them to seek care that</w:t>
      </w:r>
      <w:r>
        <w:rPr>
          <w:rFonts w:ascii="Book Antiqua"/>
          <w:spacing w:val="-52"/>
        </w:rPr>
        <w:t xml:space="preserve"> </w:t>
      </w:r>
      <w:r>
        <w:rPr>
          <w:rFonts w:ascii="Book Antiqua"/>
        </w:rPr>
        <w:t>is tailored to identifying the cause of their condition in a manner that is child-friendly,</w:t>
      </w:r>
      <w:r>
        <w:rPr>
          <w:rFonts w:ascii="Book Antiqua"/>
          <w:spacing w:val="1"/>
        </w:rPr>
        <w:t xml:space="preserve"> </w:t>
      </w:r>
      <w:r>
        <w:rPr>
          <w:rFonts w:ascii="Book Antiqua"/>
        </w:rPr>
        <w:t>equipped with specialized equipment and staffed with providers that understand how to</w:t>
      </w:r>
      <w:r>
        <w:rPr>
          <w:rFonts w:ascii="Book Antiqua"/>
          <w:spacing w:val="1"/>
        </w:rPr>
        <w:t xml:space="preserve"> </w:t>
      </w:r>
      <w:r>
        <w:rPr>
          <w:rFonts w:ascii="Book Antiqua"/>
        </w:rPr>
        <w:t>apply techniques tailored to their developmental stage and interpret results based on their</w:t>
      </w:r>
      <w:r>
        <w:rPr>
          <w:rFonts w:ascii="Book Antiqua"/>
          <w:spacing w:val="1"/>
        </w:rPr>
        <w:t xml:space="preserve"> </w:t>
      </w:r>
      <w:r>
        <w:rPr>
          <w:rFonts w:ascii="Book Antiqua"/>
        </w:rPr>
        <w:t>age.</w:t>
      </w:r>
      <w:hyperlink w:anchor="_bookmark52" w:history="1">
        <w:r>
          <w:rPr>
            <w:rFonts w:ascii="Book Antiqua"/>
            <w:position w:val="5"/>
            <w:sz w:val="14"/>
          </w:rPr>
          <w:t>53</w:t>
        </w:r>
      </w:hyperlink>
      <w:r>
        <w:rPr>
          <w:rFonts w:ascii="Book Antiqua"/>
          <w:position w:val="5"/>
          <w:sz w:val="14"/>
        </w:rPr>
        <w:t>,</w:t>
      </w:r>
      <w:hyperlink w:anchor="_bookmark53" w:history="1">
        <w:r>
          <w:rPr>
            <w:rFonts w:ascii="Book Antiqua"/>
            <w:position w:val="5"/>
            <w:sz w:val="14"/>
          </w:rPr>
          <w:t>54</w:t>
        </w:r>
      </w:hyperlink>
      <w:r>
        <w:rPr>
          <w:rFonts w:ascii="Book Antiqua"/>
          <w:spacing w:val="40"/>
          <w:position w:val="5"/>
          <w:sz w:val="14"/>
        </w:rPr>
        <w:t xml:space="preserve"> </w:t>
      </w:r>
      <w:r>
        <w:rPr>
          <w:rFonts w:ascii="Book Antiqua"/>
        </w:rPr>
        <w:t>Polysomnograms,</w:t>
      </w:r>
      <w:r>
        <w:rPr>
          <w:rFonts w:ascii="Book Antiqua"/>
          <w:spacing w:val="6"/>
        </w:rPr>
        <w:t xml:space="preserve"> </w:t>
      </w:r>
      <w:r>
        <w:rPr>
          <w:rFonts w:ascii="Book Antiqua"/>
        </w:rPr>
        <w:t>or</w:t>
      </w:r>
      <w:r>
        <w:rPr>
          <w:rFonts w:ascii="Book Antiqua"/>
          <w:spacing w:val="5"/>
        </w:rPr>
        <w:t xml:space="preserve"> </w:t>
      </w:r>
      <w:r>
        <w:rPr>
          <w:rFonts w:ascii="Book Antiqua"/>
        </w:rPr>
        <w:t>sleep</w:t>
      </w:r>
      <w:r>
        <w:rPr>
          <w:rFonts w:ascii="Book Antiqua"/>
          <w:spacing w:val="6"/>
        </w:rPr>
        <w:t xml:space="preserve"> </w:t>
      </w:r>
      <w:r>
        <w:rPr>
          <w:rFonts w:ascii="Book Antiqua"/>
        </w:rPr>
        <w:t>studies,</w:t>
      </w:r>
      <w:r>
        <w:rPr>
          <w:rFonts w:ascii="Book Antiqua"/>
          <w:spacing w:val="6"/>
        </w:rPr>
        <w:t xml:space="preserve"> </w:t>
      </w:r>
      <w:r>
        <w:rPr>
          <w:rFonts w:ascii="Book Antiqua"/>
        </w:rPr>
        <w:t>are</w:t>
      </w:r>
      <w:r>
        <w:rPr>
          <w:rFonts w:ascii="Book Antiqua"/>
          <w:spacing w:val="3"/>
        </w:rPr>
        <w:t xml:space="preserve"> </w:t>
      </w:r>
      <w:r>
        <w:rPr>
          <w:rFonts w:ascii="Book Antiqua"/>
        </w:rPr>
        <w:t>frequently</w:t>
      </w:r>
      <w:r>
        <w:rPr>
          <w:rFonts w:ascii="Book Antiqua"/>
          <w:spacing w:val="6"/>
        </w:rPr>
        <w:t xml:space="preserve"> </w:t>
      </w:r>
      <w:r>
        <w:rPr>
          <w:rFonts w:ascii="Book Antiqua"/>
        </w:rPr>
        <w:t>ordered</w:t>
      </w:r>
      <w:r>
        <w:rPr>
          <w:rFonts w:ascii="Book Antiqua"/>
          <w:spacing w:val="3"/>
        </w:rPr>
        <w:t xml:space="preserve"> </w:t>
      </w:r>
      <w:r>
        <w:rPr>
          <w:rFonts w:ascii="Book Antiqua"/>
        </w:rPr>
        <w:t>for</w:t>
      </w:r>
      <w:r>
        <w:rPr>
          <w:rFonts w:ascii="Book Antiqua"/>
          <w:spacing w:val="5"/>
        </w:rPr>
        <w:t xml:space="preserve"> </w:t>
      </w:r>
      <w:r>
        <w:rPr>
          <w:rFonts w:ascii="Book Antiqua"/>
        </w:rPr>
        <w:t>pediatric</w:t>
      </w:r>
      <w:r>
        <w:rPr>
          <w:rFonts w:ascii="Book Antiqua"/>
          <w:spacing w:val="7"/>
        </w:rPr>
        <w:t xml:space="preserve"> </w:t>
      </w:r>
      <w:r>
        <w:rPr>
          <w:rFonts w:ascii="Book Antiqua"/>
        </w:rPr>
        <w:t>patients,</w:t>
      </w:r>
      <w:r>
        <w:rPr>
          <w:rFonts w:ascii="Book Antiqua"/>
          <w:spacing w:val="1"/>
        </w:rPr>
        <w:t xml:space="preserve"> </w:t>
      </w:r>
      <w:r>
        <w:rPr>
          <w:rFonts w:ascii="Book Antiqua"/>
        </w:rPr>
        <w:t>and are grouped into three main categories based on age-specific behavior patterns: birth to</w:t>
      </w:r>
      <w:r>
        <w:rPr>
          <w:rFonts w:ascii="Book Antiqua"/>
          <w:spacing w:val="1"/>
        </w:rPr>
        <w:t xml:space="preserve"> </w:t>
      </w:r>
      <w:r>
        <w:rPr>
          <w:rFonts w:ascii="Book Antiqua"/>
        </w:rPr>
        <w:t>age two, age two to five and age five to 18.</w:t>
      </w:r>
      <w:r>
        <w:rPr>
          <w:rFonts w:ascii="Book Antiqua"/>
          <w:spacing w:val="1"/>
        </w:rPr>
        <w:t xml:space="preserve"> </w:t>
      </w:r>
      <w:r>
        <w:rPr>
          <w:rFonts w:ascii="Book Antiqua"/>
        </w:rPr>
        <w:t>There are unique medical conditions that appear</w:t>
      </w:r>
      <w:r>
        <w:rPr>
          <w:rFonts w:ascii="Book Antiqua"/>
          <w:spacing w:val="-52"/>
        </w:rPr>
        <w:t xml:space="preserve"> </w:t>
      </w:r>
      <w:r>
        <w:rPr>
          <w:rFonts w:ascii="Book Antiqua"/>
        </w:rPr>
        <w:t>in each category, which requires providers and sleep technologists to have a deep</w:t>
      </w:r>
      <w:r>
        <w:rPr>
          <w:rFonts w:ascii="Book Antiqua"/>
          <w:spacing w:val="1"/>
        </w:rPr>
        <w:t xml:space="preserve"> </w:t>
      </w:r>
      <w:r>
        <w:rPr>
          <w:rFonts w:ascii="Book Antiqua"/>
        </w:rPr>
        <w:t>understanding of not only the clinical field, but the required polysomnography techniques</w:t>
      </w:r>
      <w:r>
        <w:rPr>
          <w:rFonts w:ascii="Book Antiqua"/>
          <w:spacing w:val="1"/>
        </w:rPr>
        <w:t xml:space="preserve"> </w:t>
      </w:r>
      <w:r>
        <w:rPr>
          <w:rFonts w:ascii="Book Antiqua"/>
        </w:rPr>
        <w:t>to</w:t>
      </w:r>
      <w:r>
        <w:rPr>
          <w:rFonts w:ascii="Book Antiqua"/>
          <w:spacing w:val="-1"/>
        </w:rPr>
        <w:t xml:space="preserve"> </w:t>
      </w:r>
      <w:r>
        <w:rPr>
          <w:rFonts w:ascii="Book Antiqua"/>
        </w:rPr>
        <w:t>detect and</w:t>
      </w:r>
      <w:r>
        <w:rPr>
          <w:rFonts w:ascii="Book Antiqua"/>
          <w:spacing w:val="-1"/>
        </w:rPr>
        <w:t xml:space="preserve"> </w:t>
      </w:r>
      <w:r>
        <w:rPr>
          <w:rFonts w:ascii="Book Antiqua"/>
        </w:rPr>
        <w:t>diagnose.</w:t>
      </w:r>
      <w:hyperlink w:anchor="_bookmark54" w:history="1">
        <w:r>
          <w:rPr>
            <w:rFonts w:ascii="Book Antiqua"/>
            <w:position w:val="5"/>
            <w:sz w:val="14"/>
          </w:rPr>
          <w:t>55</w:t>
        </w:r>
      </w:hyperlink>
    </w:p>
    <w:p w:rsidR="00D862F2" w:rsidRDefault="00884FE4">
      <w:pPr>
        <w:spacing w:before="120"/>
        <w:ind w:left="579" w:right="375"/>
        <w:rPr>
          <w:rFonts w:ascii="Book Antiqua"/>
        </w:rPr>
      </w:pPr>
      <w:r>
        <w:rPr>
          <w:rFonts w:ascii="Book Antiqua"/>
        </w:rPr>
        <w:t>Polysomnograms have been trusted techniques to diagnose conditions like sleep apnea and</w:t>
      </w:r>
      <w:r>
        <w:rPr>
          <w:rFonts w:ascii="Book Antiqua"/>
          <w:spacing w:val="-52"/>
        </w:rPr>
        <w:t xml:space="preserve"> </w:t>
      </w:r>
      <w:r>
        <w:rPr>
          <w:rFonts w:ascii="Book Antiqua"/>
        </w:rPr>
        <w:t>provide greater insight into sleep disturbance associated with conditions like COPD and</w:t>
      </w:r>
      <w:r>
        <w:rPr>
          <w:rFonts w:ascii="Book Antiqua"/>
          <w:spacing w:val="1"/>
        </w:rPr>
        <w:t xml:space="preserve"> </w:t>
      </w:r>
      <w:r>
        <w:rPr>
          <w:rFonts w:ascii="Book Antiqua"/>
        </w:rPr>
        <w:t>asthma.</w:t>
      </w:r>
      <w:hyperlink w:anchor="_bookmark55" w:history="1">
        <w:r>
          <w:rPr>
            <w:rFonts w:ascii="Book Antiqua"/>
            <w:position w:val="5"/>
            <w:sz w:val="14"/>
          </w:rPr>
          <w:t>56</w:t>
        </w:r>
      </w:hyperlink>
      <w:r>
        <w:rPr>
          <w:rFonts w:ascii="Book Antiqua"/>
          <w:spacing w:val="1"/>
          <w:position w:val="5"/>
          <w:sz w:val="14"/>
        </w:rPr>
        <w:t xml:space="preserve"> </w:t>
      </w:r>
      <w:r>
        <w:rPr>
          <w:rFonts w:ascii="Book Antiqua"/>
        </w:rPr>
        <w:t>Further, polysomnograms and other diagnostic techniques can be effective tools</w:t>
      </w:r>
      <w:r>
        <w:rPr>
          <w:rFonts w:ascii="Book Antiqua"/>
          <w:spacing w:val="1"/>
        </w:rPr>
        <w:t xml:space="preserve"> </w:t>
      </w:r>
      <w:r>
        <w:rPr>
          <w:rFonts w:ascii="Book Antiqua"/>
        </w:rPr>
        <w:t>to</w:t>
      </w:r>
      <w:r>
        <w:rPr>
          <w:rFonts w:ascii="Book Antiqua"/>
          <w:spacing w:val="-2"/>
        </w:rPr>
        <w:t xml:space="preserve"> </w:t>
      </w:r>
      <w:r>
        <w:rPr>
          <w:rFonts w:ascii="Book Antiqua"/>
        </w:rPr>
        <w:t>diagnose</w:t>
      </w:r>
      <w:r>
        <w:rPr>
          <w:rFonts w:ascii="Book Antiqua"/>
          <w:spacing w:val="-4"/>
        </w:rPr>
        <w:t xml:space="preserve"> </w:t>
      </w:r>
      <w:r>
        <w:rPr>
          <w:rFonts w:ascii="Book Antiqua"/>
        </w:rPr>
        <w:t>and</w:t>
      </w:r>
      <w:r>
        <w:rPr>
          <w:rFonts w:ascii="Book Antiqua"/>
          <w:spacing w:val="-4"/>
        </w:rPr>
        <w:t xml:space="preserve"> </w:t>
      </w:r>
      <w:r>
        <w:rPr>
          <w:rFonts w:ascii="Book Antiqua"/>
        </w:rPr>
        <w:t>treat</w:t>
      </w:r>
      <w:r>
        <w:rPr>
          <w:rFonts w:ascii="Book Antiqua"/>
          <w:spacing w:val="-1"/>
        </w:rPr>
        <w:t xml:space="preserve"> </w:t>
      </w:r>
      <w:r>
        <w:rPr>
          <w:rFonts w:ascii="Book Antiqua"/>
        </w:rPr>
        <w:t>conditions</w:t>
      </w:r>
      <w:r>
        <w:rPr>
          <w:rFonts w:ascii="Book Antiqua"/>
          <w:spacing w:val="-4"/>
        </w:rPr>
        <w:t xml:space="preserve"> </w:t>
      </w:r>
      <w:r>
        <w:rPr>
          <w:rFonts w:ascii="Book Antiqua"/>
        </w:rPr>
        <w:t>early</w:t>
      </w:r>
      <w:r>
        <w:rPr>
          <w:rFonts w:ascii="Book Antiqua"/>
          <w:spacing w:val="-1"/>
        </w:rPr>
        <w:t xml:space="preserve"> </w:t>
      </w:r>
      <w:r>
        <w:rPr>
          <w:rFonts w:ascii="Book Antiqua"/>
        </w:rPr>
        <w:t>on,</w:t>
      </w:r>
      <w:r>
        <w:rPr>
          <w:rFonts w:ascii="Book Antiqua"/>
          <w:spacing w:val="-1"/>
        </w:rPr>
        <w:t xml:space="preserve"> </w:t>
      </w:r>
      <w:r>
        <w:rPr>
          <w:rFonts w:ascii="Book Antiqua"/>
        </w:rPr>
        <w:t>reducing</w:t>
      </w:r>
      <w:r>
        <w:rPr>
          <w:rFonts w:ascii="Book Antiqua"/>
          <w:spacing w:val="-2"/>
        </w:rPr>
        <w:t xml:space="preserve"> </w:t>
      </w:r>
      <w:r>
        <w:rPr>
          <w:rFonts w:ascii="Book Antiqua"/>
        </w:rPr>
        <w:t>the</w:t>
      </w:r>
      <w:r>
        <w:rPr>
          <w:rFonts w:ascii="Book Antiqua"/>
          <w:spacing w:val="-4"/>
        </w:rPr>
        <w:t xml:space="preserve"> </w:t>
      </w:r>
      <w:r>
        <w:rPr>
          <w:rFonts w:ascii="Book Antiqua"/>
        </w:rPr>
        <w:t>need</w:t>
      </w:r>
      <w:r>
        <w:rPr>
          <w:rFonts w:ascii="Book Antiqua"/>
          <w:spacing w:val="-2"/>
        </w:rPr>
        <w:t xml:space="preserve"> </w:t>
      </w:r>
      <w:r>
        <w:rPr>
          <w:rFonts w:ascii="Book Antiqua"/>
        </w:rPr>
        <w:t>for</w:t>
      </w:r>
      <w:r>
        <w:rPr>
          <w:rFonts w:ascii="Book Antiqua"/>
          <w:spacing w:val="-2"/>
        </w:rPr>
        <w:t xml:space="preserve"> </w:t>
      </w:r>
      <w:r>
        <w:rPr>
          <w:rFonts w:ascii="Book Antiqua"/>
        </w:rPr>
        <w:t>more</w:t>
      </w:r>
      <w:r>
        <w:rPr>
          <w:rFonts w:ascii="Book Antiqua"/>
          <w:spacing w:val="-1"/>
        </w:rPr>
        <w:t xml:space="preserve"> </w:t>
      </w:r>
      <w:r>
        <w:rPr>
          <w:rFonts w:ascii="Book Antiqua"/>
        </w:rPr>
        <w:t>costly</w:t>
      </w:r>
      <w:r>
        <w:rPr>
          <w:rFonts w:ascii="Book Antiqua"/>
          <w:spacing w:val="-1"/>
        </w:rPr>
        <w:t xml:space="preserve"> </w:t>
      </w:r>
      <w:r>
        <w:rPr>
          <w:rFonts w:ascii="Book Antiqua"/>
        </w:rPr>
        <w:t>procedures.</w:t>
      </w:r>
    </w:p>
    <w:p w:rsidR="00D862F2" w:rsidRDefault="00884FE4">
      <w:pPr>
        <w:ind w:left="580" w:right="331"/>
        <w:rPr>
          <w:rFonts w:ascii="Book Antiqua"/>
          <w:sz w:val="14"/>
        </w:rPr>
      </w:pPr>
      <w:r>
        <w:rPr>
          <w:rFonts w:ascii="Book Antiqua"/>
        </w:rPr>
        <w:t>For example, infants diagnosed with obstructive sleep apnea and eustachian tube</w:t>
      </w:r>
      <w:r>
        <w:rPr>
          <w:rFonts w:ascii="Book Antiqua"/>
          <w:spacing w:val="1"/>
        </w:rPr>
        <w:t xml:space="preserve"> </w:t>
      </w:r>
      <w:r>
        <w:rPr>
          <w:rFonts w:ascii="Book Antiqua"/>
        </w:rPr>
        <w:t>dysfunction using polysomnography and myringotomy, respectively, received a ventilation</w:t>
      </w:r>
      <w:r>
        <w:rPr>
          <w:rFonts w:ascii="Book Antiqua"/>
          <w:spacing w:val="-52"/>
        </w:rPr>
        <w:t xml:space="preserve"> </w:t>
      </w:r>
      <w:r>
        <w:rPr>
          <w:rFonts w:ascii="Book Antiqua"/>
        </w:rPr>
        <w:t>tube placement concurrent with treatment for sleep apnea.</w:t>
      </w:r>
      <w:r>
        <w:rPr>
          <w:rFonts w:ascii="Book Antiqua"/>
          <w:spacing w:val="1"/>
        </w:rPr>
        <w:t xml:space="preserve"> </w:t>
      </w:r>
      <w:r>
        <w:rPr>
          <w:rFonts w:ascii="Book Antiqua"/>
        </w:rPr>
        <w:t>This significantly reduced the</w:t>
      </w:r>
      <w:r>
        <w:rPr>
          <w:rFonts w:ascii="Book Antiqua"/>
          <w:spacing w:val="1"/>
        </w:rPr>
        <w:t xml:space="preserve"> </w:t>
      </w:r>
      <w:r>
        <w:rPr>
          <w:rFonts w:ascii="Book Antiqua"/>
        </w:rPr>
        <w:t>need</w:t>
      </w:r>
      <w:r>
        <w:rPr>
          <w:rFonts w:ascii="Book Antiqua"/>
          <w:spacing w:val="-2"/>
        </w:rPr>
        <w:t xml:space="preserve"> </w:t>
      </w:r>
      <w:r>
        <w:rPr>
          <w:rFonts w:ascii="Book Antiqua"/>
        </w:rPr>
        <w:t>for</w:t>
      </w:r>
      <w:r>
        <w:rPr>
          <w:rFonts w:ascii="Book Antiqua"/>
          <w:spacing w:val="-4"/>
        </w:rPr>
        <w:t xml:space="preserve"> </w:t>
      </w:r>
      <w:r>
        <w:rPr>
          <w:rFonts w:ascii="Book Antiqua"/>
        </w:rPr>
        <w:t>future surgical interventions.</w:t>
      </w:r>
      <w:hyperlink w:anchor="_bookmark56" w:history="1">
        <w:r>
          <w:rPr>
            <w:rFonts w:ascii="Book Antiqua"/>
            <w:position w:val="5"/>
            <w:sz w:val="14"/>
          </w:rPr>
          <w:t>57</w:t>
        </w:r>
      </w:hyperlink>
    </w:p>
    <w:p w:rsidR="00D862F2" w:rsidRDefault="00D862F2">
      <w:pPr>
        <w:pStyle w:val="BodyText"/>
        <w:spacing w:before="5"/>
        <w:rPr>
          <w:rFonts w:ascii="Book Antiqua"/>
          <w:sz w:val="19"/>
        </w:rPr>
      </w:pPr>
    </w:p>
    <w:p w:rsidR="00D862F2" w:rsidRDefault="00884FE4">
      <w:pPr>
        <w:ind w:left="580" w:right="286"/>
        <w:rPr>
          <w:rFonts w:ascii="Book Antiqua" w:hAnsi="Book Antiqua"/>
        </w:rPr>
      </w:pPr>
      <w:r>
        <w:rPr>
          <w:rFonts w:ascii="Book Antiqua" w:hAnsi="Book Antiqua"/>
        </w:rPr>
        <w:t>Within the Greater Boston area, pediatric sleep specialists are available through Boston</w:t>
      </w:r>
      <w:r>
        <w:rPr>
          <w:rFonts w:ascii="Book Antiqua" w:hAnsi="Book Antiqua"/>
          <w:spacing w:val="1"/>
        </w:rPr>
        <w:t xml:space="preserve"> </w:t>
      </w:r>
      <w:r>
        <w:rPr>
          <w:rFonts w:ascii="Book Antiqua" w:hAnsi="Book Antiqua"/>
        </w:rPr>
        <w:t>Children’s Hospital (Boston, Lexington, Peabody, Waltham), Boston Medical Center</w:t>
      </w:r>
      <w:r>
        <w:rPr>
          <w:rFonts w:ascii="Book Antiqua" w:hAnsi="Book Antiqua"/>
          <w:spacing w:val="1"/>
        </w:rPr>
        <w:t xml:space="preserve"> </w:t>
      </w:r>
      <w:r>
        <w:rPr>
          <w:rFonts w:ascii="Book Antiqua" w:hAnsi="Book Antiqua"/>
        </w:rPr>
        <w:t>(Boston), Mass General Hospital for Children (Boston), Tufts Children’s Hospital (Boston)</w:t>
      </w:r>
      <w:r>
        <w:rPr>
          <w:rFonts w:ascii="Book Antiqua" w:hAnsi="Book Antiqua"/>
          <w:spacing w:val="1"/>
        </w:rPr>
        <w:t xml:space="preserve"> </w:t>
      </w:r>
      <w:r>
        <w:rPr>
          <w:rFonts w:ascii="Book Antiqua" w:hAnsi="Book Antiqua"/>
        </w:rPr>
        <w:t>and UMass Memorial Hospital (Worcester).</w:t>
      </w:r>
      <w:r>
        <w:rPr>
          <w:rFonts w:ascii="Book Antiqua" w:hAnsi="Book Antiqua"/>
          <w:spacing w:val="1"/>
        </w:rPr>
        <w:t xml:space="preserve"> </w:t>
      </w:r>
      <w:r>
        <w:rPr>
          <w:rFonts w:ascii="Book Antiqua" w:hAnsi="Book Antiqua"/>
        </w:rPr>
        <w:t>Boston Children’s is unique in that it provides</w:t>
      </w:r>
      <w:r>
        <w:rPr>
          <w:rFonts w:ascii="Book Antiqua" w:hAnsi="Book Antiqua"/>
          <w:spacing w:val="1"/>
        </w:rPr>
        <w:t xml:space="preserve"> </w:t>
      </w:r>
      <w:r>
        <w:rPr>
          <w:rFonts w:ascii="Book Antiqua" w:hAnsi="Book Antiqua"/>
        </w:rPr>
        <w:t>access</w:t>
      </w:r>
      <w:r>
        <w:rPr>
          <w:rFonts w:ascii="Book Antiqua" w:hAnsi="Book Antiqua"/>
          <w:spacing w:val="-2"/>
        </w:rPr>
        <w:t xml:space="preserve"> </w:t>
      </w:r>
      <w:r>
        <w:rPr>
          <w:rFonts w:ascii="Book Antiqua" w:hAnsi="Book Antiqua"/>
        </w:rPr>
        <w:t>to</w:t>
      </w:r>
      <w:r>
        <w:rPr>
          <w:rFonts w:ascii="Book Antiqua" w:hAnsi="Book Antiqua"/>
          <w:spacing w:val="-5"/>
        </w:rPr>
        <w:t xml:space="preserve"> </w:t>
      </w:r>
      <w:r>
        <w:rPr>
          <w:rFonts w:ascii="Book Antiqua" w:hAnsi="Book Antiqua"/>
        </w:rPr>
        <w:t>sleep</w:t>
      </w:r>
      <w:r>
        <w:rPr>
          <w:rFonts w:ascii="Book Antiqua" w:hAnsi="Book Antiqua"/>
          <w:spacing w:val="-2"/>
        </w:rPr>
        <w:t xml:space="preserve"> </w:t>
      </w:r>
      <w:r>
        <w:rPr>
          <w:rFonts w:ascii="Book Antiqua" w:hAnsi="Book Antiqua"/>
        </w:rPr>
        <w:t>services</w:t>
      </w:r>
      <w:r>
        <w:rPr>
          <w:rFonts w:ascii="Book Antiqua" w:hAnsi="Book Antiqua"/>
          <w:spacing w:val="-2"/>
        </w:rPr>
        <w:t xml:space="preserve"> </w:t>
      </w:r>
      <w:r>
        <w:rPr>
          <w:rFonts w:ascii="Book Antiqua" w:hAnsi="Book Antiqua"/>
        </w:rPr>
        <w:t>outside</w:t>
      </w:r>
      <w:r>
        <w:rPr>
          <w:rFonts w:ascii="Book Antiqua" w:hAnsi="Book Antiqua"/>
          <w:spacing w:val="-1"/>
        </w:rPr>
        <w:t xml:space="preserve"> </w:t>
      </w:r>
      <w:r>
        <w:rPr>
          <w:rFonts w:ascii="Book Antiqua" w:hAnsi="Book Antiqua"/>
        </w:rPr>
        <w:t>of</w:t>
      </w:r>
      <w:r>
        <w:rPr>
          <w:rFonts w:ascii="Book Antiqua" w:hAnsi="Book Antiqua"/>
          <w:spacing w:val="-1"/>
        </w:rPr>
        <w:t xml:space="preserve"> </w:t>
      </w:r>
      <w:r>
        <w:rPr>
          <w:rFonts w:ascii="Book Antiqua" w:hAnsi="Book Antiqua"/>
        </w:rPr>
        <w:t>Boston,</w:t>
      </w:r>
      <w:r>
        <w:rPr>
          <w:rFonts w:ascii="Book Antiqua" w:hAnsi="Book Antiqua"/>
          <w:spacing w:val="-1"/>
        </w:rPr>
        <w:t xml:space="preserve"> </w:t>
      </w:r>
      <w:r>
        <w:rPr>
          <w:rFonts w:ascii="Book Antiqua" w:hAnsi="Book Antiqua"/>
        </w:rPr>
        <w:t>which</w:t>
      </w:r>
      <w:r>
        <w:rPr>
          <w:rFonts w:ascii="Book Antiqua" w:hAnsi="Book Antiqua"/>
          <w:spacing w:val="-4"/>
        </w:rPr>
        <w:t xml:space="preserve"> </w:t>
      </w:r>
      <w:r>
        <w:rPr>
          <w:rFonts w:ascii="Book Antiqua" w:hAnsi="Book Antiqua"/>
        </w:rPr>
        <w:t>offers</w:t>
      </w:r>
      <w:r>
        <w:rPr>
          <w:rFonts w:ascii="Book Antiqua" w:hAnsi="Book Antiqua"/>
          <w:spacing w:val="-1"/>
        </w:rPr>
        <w:t xml:space="preserve"> </w:t>
      </w:r>
      <w:r>
        <w:rPr>
          <w:rFonts w:ascii="Book Antiqua" w:hAnsi="Book Antiqua"/>
        </w:rPr>
        <w:t>greater</w:t>
      </w:r>
      <w:r>
        <w:rPr>
          <w:rFonts w:ascii="Book Antiqua" w:hAnsi="Book Antiqua"/>
          <w:spacing w:val="-5"/>
        </w:rPr>
        <w:t xml:space="preserve"> </w:t>
      </w:r>
      <w:r>
        <w:rPr>
          <w:rFonts w:ascii="Book Antiqua" w:hAnsi="Book Antiqua"/>
        </w:rPr>
        <w:t>flexibility</w:t>
      </w:r>
      <w:r>
        <w:rPr>
          <w:rFonts w:ascii="Book Antiqua" w:hAnsi="Book Antiqua"/>
          <w:spacing w:val="-4"/>
        </w:rPr>
        <w:t xml:space="preserve"> </w:t>
      </w:r>
      <w:r>
        <w:rPr>
          <w:rFonts w:ascii="Book Antiqua" w:hAnsi="Book Antiqua"/>
        </w:rPr>
        <w:t>for</w:t>
      </w:r>
      <w:r>
        <w:rPr>
          <w:rFonts w:ascii="Book Antiqua" w:hAnsi="Book Antiqua"/>
          <w:spacing w:val="-3"/>
        </w:rPr>
        <w:t xml:space="preserve"> </w:t>
      </w:r>
      <w:r>
        <w:rPr>
          <w:rFonts w:ascii="Book Antiqua" w:hAnsi="Book Antiqua"/>
        </w:rPr>
        <w:t>families</w:t>
      </w:r>
      <w:r>
        <w:rPr>
          <w:rFonts w:ascii="Book Antiqua" w:hAnsi="Book Antiqua"/>
          <w:spacing w:val="-1"/>
        </w:rPr>
        <w:t xml:space="preserve"> </w:t>
      </w:r>
      <w:r>
        <w:rPr>
          <w:rFonts w:ascii="Book Antiqua" w:hAnsi="Book Antiqua"/>
        </w:rPr>
        <w:t>seeking</w:t>
      </w:r>
    </w:p>
    <w:p w:rsidR="00D862F2" w:rsidRDefault="00337703">
      <w:pPr>
        <w:pStyle w:val="BodyText"/>
        <w:rPr>
          <w:rFonts w:ascii="Book Antiqua"/>
          <w:sz w:val="18"/>
        </w:rPr>
      </w:pPr>
      <w:r>
        <w:rPr>
          <w:noProof/>
        </w:rPr>
        <mc:AlternateContent>
          <mc:Choice Requires="wps">
            <w:drawing>
              <wp:anchor distT="0" distB="0" distL="0" distR="0" simplePos="0" relativeHeight="487597056" behindDoc="1" locked="0" layoutInCell="1" allowOverlap="1">
                <wp:simplePos x="0" y="0"/>
                <wp:positionH relativeFrom="page">
                  <wp:posOffset>914400</wp:posOffset>
                </wp:positionH>
                <wp:positionV relativeFrom="paragraph">
                  <wp:posOffset>158115</wp:posOffset>
                </wp:positionV>
                <wp:extent cx="1828800" cy="7620"/>
                <wp:effectExtent l="0" t="0" r="0" b="0"/>
                <wp:wrapTopAndBottom/>
                <wp:docPr id="11" name="docshape21"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70B4B" id="docshape21" o:spid="_x0000_s1026" alt="Title: Division Line - Description: Division Line between the main content and the footnotes" style="position:absolute;margin-left:1in;margin-top:12.45pt;width:2in;height:.6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" fillcolor="black" stroked="f">
                <w10:wrap type="topAndBottom" anchorx="page"/>
              </v:rect>
            </w:pict>
          </mc:Fallback>
        </mc:AlternateContent>
      </w:r>
    </w:p>
    <w:p w:rsidR="00D862F2" w:rsidRDefault="00884FE4">
      <w:pPr>
        <w:spacing w:before="110"/>
        <w:ind w:left="219" w:right="320"/>
        <w:rPr>
          <w:rFonts w:ascii="Book Antiqua" w:hAnsi="Book Antiqua"/>
          <w:sz w:val="20"/>
        </w:rPr>
      </w:pPr>
      <w:bookmarkStart w:id="52" w:name="_bookmark51"/>
      <w:bookmarkEnd w:id="52"/>
      <w:r>
        <w:rPr>
          <w:rFonts w:ascii="Book Antiqua" w:hAnsi="Book Antiqua"/>
          <w:position w:val="5"/>
          <w:sz w:val="13"/>
        </w:rPr>
        <w:t xml:space="preserve">52 </w:t>
      </w:r>
      <w:r>
        <w:rPr>
          <w:rFonts w:ascii="Book Antiqua" w:hAnsi="Book Antiqua"/>
          <w:sz w:val="20"/>
        </w:rPr>
        <w:t>Fabricant, P.D., Seeley, M.A., Rozell, J.C., Fieldston, E.</w:t>
      </w:r>
      <w:r>
        <w:rPr>
          <w:rFonts w:ascii="Book Antiqua" w:hAnsi="Book Antiqua"/>
          <w:spacing w:val="1"/>
          <w:sz w:val="20"/>
        </w:rPr>
        <w:t xml:space="preserve"> </w:t>
      </w:r>
      <w:r>
        <w:rPr>
          <w:rFonts w:ascii="Book Antiqua" w:hAnsi="Book Antiqua"/>
          <w:sz w:val="20"/>
        </w:rPr>
        <w:t>(2018).</w:t>
      </w:r>
      <w:r>
        <w:rPr>
          <w:rFonts w:ascii="Book Antiqua" w:hAnsi="Book Antiqua"/>
          <w:spacing w:val="1"/>
          <w:sz w:val="20"/>
        </w:rPr>
        <w:t xml:space="preserve"> </w:t>
      </w:r>
      <w:r>
        <w:rPr>
          <w:rFonts w:ascii="Book Antiqua" w:hAnsi="Book Antiqua"/>
          <w:sz w:val="20"/>
        </w:rPr>
        <w:t>“Cost Savings from Utilization of a</w:t>
      </w:r>
      <w:r>
        <w:rPr>
          <w:rFonts w:ascii="Book Antiqua" w:hAnsi="Book Antiqua"/>
          <w:spacing w:val="-47"/>
          <w:sz w:val="20"/>
        </w:rPr>
        <w:t xml:space="preserve"> </w:t>
      </w:r>
      <w:r>
        <w:rPr>
          <w:rFonts w:ascii="Book Antiqua" w:hAnsi="Book Antiqua"/>
          <w:sz w:val="20"/>
        </w:rPr>
        <w:t xml:space="preserve">Pediatric Ambulatory Surgery Center for Orthopaedic Day Surgery.” </w:t>
      </w:r>
      <w:r>
        <w:rPr>
          <w:rFonts w:ascii="Book Antiqua" w:hAnsi="Book Antiqua"/>
          <w:i/>
          <w:sz w:val="20"/>
        </w:rPr>
        <w:t>Pediatrics</w:t>
      </w:r>
      <w:r>
        <w:rPr>
          <w:rFonts w:ascii="Book Antiqua" w:hAnsi="Book Antiqua"/>
          <w:sz w:val="20"/>
        </w:rPr>
        <w:t>, 141(1) 616.</w:t>
      </w:r>
      <w:r>
        <w:rPr>
          <w:rFonts w:ascii="Book Antiqua" w:hAnsi="Book Antiqua"/>
          <w:spacing w:val="1"/>
          <w:sz w:val="20"/>
        </w:rPr>
        <w:t xml:space="preserve"> </w:t>
      </w:r>
      <w:hyperlink r:id="rId68">
        <w:bookmarkStart w:id="53" w:name="_bookmark52"/>
        <w:bookmarkEnd w:id="53"/>
        <w:r>
          <w:rPr>
            <w:rFonts w:ascii="Book Antiqua" w:hAnsi="Book Antiqua"/>
            <w:color w:val="0000FF"/>
            <w:sz w:val="20"/>
            <w:u w:val="single" w:color="0000FF"/>
          </w:rPr>
          <w:t>https://doi.org/10.1542/peds.141.1_MeetingAbstract.616</w:t>
        </w:r>
        <w:r>
          <w:rPr>
            <w:rFonts w:ascii="Book Antiqua" w:hAnsi="Book Antiqua"/>
            <w:sz w:val="20"/>
          </w:rPr>
          <w:t>.</w:t>
        </w:r>
      </w:hyperlink>
    </w:p>
    <w:p w:rsidR="00D862F2" w:rsidRDefault="00884FE4">
      <w:pPr>
        <w:ind w:left="219" w:right="353"/>
        <w:rPr>
          <w:rFonts w:ascii="Book Antiqua" w:hAnsi="Book Antiqua"/>
          <w:sz w:val="20"/>
        </w:rPr>
      </w:pPr>
      <w:r>
        <w:rPr>
          <w:rFonts w:ascii="Book Antiqua" w:hAnsi="Book Antiqua"/>
          <w:position w:val="5"/>
          <w:sz w:val="13"/>
        </w:rPr>
        <w:t xml:space="preserve">53 </w:t>
      </w:r>
      <w:r>
        <w:rPr>
          <w:rFonts w:ascii="Book Antiqua" w:hAnsi="Book Antiqua"/>
          <w:sz w:val="20"/>
        </w:rPr>
        <w:t>Beck, S.E., Marcus, C.L.</w:t>
      </w:r>
      <w:r>
        <w:rPr>
          <w:rFonts w:ascii="Book Antiqua" w:hAnsi="Book Antiqua"/>
          <w:spacing w:val="1"/>
          <w:sz w:val="20"/>
        </w:rPr>
        <w:t xml:space="preserve"> </w:t>
      </w:r>
      <w:r>
        <w:rPr>
          <w:rFonts w:ascii="Book Antiqua" w:hAnsi="Book Antiqua"/>
          <w:sz w:val="20"/>
        </w:rPr>
        <w:t>(2009).</w:t>
      </w:r>
      <w:r>
        <w:rPr>
          <w:rFonts w:ascii="Book Antiqua" w:hAnsi="Book Antiqua"/>
          <w:spacing w:val="1"/>
          <w:sz w:val="20"/>
        </w:rPr>
        <w:t xml:space="preserve"> </w:t>
      </w:r>
      <w:r>
        <w:rPr>
          <w:rFonts w:ascii="Book Antiqua" w:hAnsi="Book Antiqua"/>
          <w:sz w:val="20"/>
        </w:rPr>
        <w:t>“Pediatric Polysomnography.”</w:t>
      </w:r>
      <w:r>
        <w:rPr>
          <w:rFonts w:ascii="Book Antiqua" w:hAnsi="Book Antiqua"/>
          <w:spacing w:val="1"/>
          <w:sz w:val="20"/>
        </w:rPr>
        <w:t xml:space="preserve"> </w:t>
      </w:r>
      <w:r>
        <w:rPr>
          <w:rFonts w:ascii="Book Antiqua" w:hAnsi="Book Antiqua"/>
          <w:i/>
          <w:sz w:val="20"/>
        </w:rPr>
        <w:t>Sleep Medicine Clinics, 4(3) 393-406</w:t>
      </w:r>
      <w:r>
        <w:rPr>
          <w:rFonts w:ascii="Book Antiqua" w:hAnsi="Book Antiqua"/>
          <w:sz w:val="20"/>
        </w:rPr>
        <w:t>.</w:t>
      </w:r>
      <w:r>
        <w:rPr>
          <w:rFonts w:ascii="Book Antiqua" w:hAnsi="Book Antiqua"/>
          <w:spacing w:val="-47"/>
          <w:sz w:val="20"/>
        </w:rPr>
        <w:t xml:space="preserve"> </w:t>
      </w:r>
      <w:hyperlink r:id="rId69">
        <w:r>
          <w:rPr>
            <w:rFonts w:ascii="Book Antiqua" w:hAnsi="Book Antiqua"/>
            <w:color w:val="0000FF"/>
            <w:sz w:val="20"/>
            <w:u w:val="single" w:color="0000FF"/>
          </w:rPr>
          <w:t>https://doi.org/10.1016/j.jsmc.2009.04.007</w:t>
        </w:r>
        <w:r>
          <w:rPr>
            <w:rFonts w:ascii="Book Antiqua" w:hAnsi="Book Antiqua"/>
            <w:sz w:val="20"/>
          </w:rPr>
          <w:t>.</w:t>
        </w:r>
      </w:hyperlink>
    </w:p>
    <w:p w:rsidR="00D862F2" w:rsidRDefault="00884FE4">
      <w:pPr>
        <w:ind w:left="219" w:right="320"/>
        <w:rPr>
          <w:rFonts w:ascii="Book Antiqua" w:hAnsi="Book Antiqua"/>
          <w:sz w:val="20"/>
        </w:rPr>
      </w:pPr>
      <w:bookmarkStart w:id="54" w:name="_bookmark53"/>
      <w:bookmarkEnd w:id="54"/>
      <w:r>
        <w:rPr>
          <w:rFonts w:ascii="Book Antiqua" w:hAnsi="Book Antiqua"/>
          <w:position w:val="5"/>
          <w:sz w:val="13"/>
        </w:rPr>
        <w:t xml:space="preserve">54 </w:t>
      </w:r>
      <w:r>
        <w:rPr>
          <w:rFonts w:ascii="Book Antiqua" w:hAnsi="Book Antiqua"/>
          <w:sz w:val="20"/>
        </w:rPr>
        <w:t>Brooks, R.</w:t>
      </w:r>
      <w:r>
        <w:rPr>
          <w:rFonts w:ascii="Book Antiqua" w:hAnsi="Book Antiqua"/>
          <w:spacing w:val="1"/>
          <w:sz w:val="20"/>
        </w:rPr>
        <w:t xml:space="preserve"> </w:t>
      </w:r>
      <w:r>
        <w:rPr>
          <w:rFonts w:ascii="Book Antiqua" w:hAnsi="Book Antiqua"/>
          <w:sz w:val="20"/>
        </w:rPr>
        <w:t>(2017).</w:t>
      </w:r>
      <w:r>
        <w:rPr>
          <w:rFonts w:ascii="Book Antiqua" w:hAnsi="Book Antiqua"/>
          <w:spacing w:val="1"/>
          <w:sz w:val="20"/>
        </w:rPr>
        <w:t xml:space="preserve"> </w:t>
      </w:r>
      <w:r>
        <w:rPr>
          <w:rFonts w:ascii="Book Antiqua" w:hAnsi="Book Antiqua"/>
          <w:sz w:val="20"/>
        </w:rPr>
        <w:t>“Pediatric Sleep Studies: A Sleep Tech’s Guide.”</w:t>
      </w:r>
      <w:r>
        <w:rPr>
          <w:rFonts w:ascii="Book Antiqua" w:hAnsi="Book Antiqua"/>
          <w:spacing w:val="1"/>
          <w:sz w:val="20"/>
        </w:rPr>
        <w:t xml:space="preserve"> </w:t>
      </w:r>
      <w:r>
        <w:rPr>
          <w:rFonts w:ascii="Book Antiqua" w:hAnsi="Book Antiqua"/>
          <w:i/>
          <w:sz w:val="20"/>
        </w:rPr>
        <w:t>American Association of Sleep</w:t>
      </w:r>
      <w:r>
        <w:rPr>
          <w:rFonts w:ascii="Book Antiqua" w:hAnsi="Book Antiqua"/>
          <w:i/>
          <w:spacing w:val="-47"/>
          <w:sz w:val="20"/>
        </w:rPr>
        <w:t xml:space="preserve"> </w:t>
      </w:r>
      <w:r>
        <w:rPr>
          <w:rFonts w:ascii="Book Antiqua" w:hAnsi="Book Antiqua"/>
          <w:i/>
          <w:sz w:val="20"/>
        </w:rPr>
        <w:t>Technologists.</w:t>
      </w:r>
      <w:r>
        <w:rPr>
          <w:rFonts w:ascii="Book Antiqua" w:hAnsi="Book Antiqua"/>
          <w:i/>
          <w:spacing w:val="44"/>
          <w:sz w:val="20"/>
        </w:rPr>
        <w:t xml:space="preserve"> </w:t>
      </w:r>
      <w:hyperlink r:id="rId70">
        <w:r>
          <w:rPr>
            <w:rFonts w:ascii="Book Antiqua" w:hAnsi="Book Antiqua"/>
            <w:color w:val="0000FF"/>
            <w:sz w:val="20"/>
            <w:u w:val="single" w:color="0000FF"/>
          </w:rPr>
          <w:t>https://www.aastweb.org/blog/pediatric-sleep-studies-a-sleep-techs-guide</w:t>
        </w:r>
        <w:r>
          <w:rPr>
            <w:rFonts w:ascii="Book Antiqua" w:hAnsi="Book Antiqua"/>
            <w:sz w:val="20"/>
          </w:rPr>
          <w:t>.</w:t>
        </w:r>
      </w:hyperlink>
    </w:p>
    <w:p w:rsidR="00D862F2" w:rsidRDefault="00884FE4">
      <w:pPr>
        <w:ind w:left="220" w:right="919"/>
        <w:rPr>
          <w:rFonts w:ascii="Book Antiqua" w:hAnsi="Book Antiqua"/>
          <w:sz w:val="20"/>
        </w:rPr>
      </w:pPr>
      <w:bookmarkStart w:id="55" w:name="_bookmark54"/>
      <w:bookmarkEnd w:id="55"/>
      <w:r>
        <w:rPr>
          <w:rFonts w:ascii="Book Antiqua" w:hAnsi="Book Antiqua"/>
          <w:position w:val="5"/>
          <w:sz w:val="13"/>
        </w:rPr>
        <w:t xml:space="preserve">55 </w:t>
      </w:r>
      <w:r>
        <w:rPr>
          <w:rFonts w:ascii="Book Antiqua" w:hAnsi="Book Antiqua"/>
          <w:sz w:val="20"/>
        </w:rPr>
        <w:t>RT Staff.</w:t>
      </w:r>
      <w:r>
        <w:rPr>
          <w:rFonts w:ascii="Book Antiqua" w:hAnsi="Book Antiqua"/>
          <w:spacing w:val="1"/>
          <w:sz w:val="20"/>
        </w:rPr>
        <w:t xml:space="preserve"> </w:t>
      </w:r>
      <w:r>
        <w:rPr>
          <w:rFonts w:ascii="Book Antiqua" w:hAnsi="Book Antiqua"/>
          <w:sz w:val="20"/>
        </w:rPr>
        <w:t>(2009).</w:t>
      </w:r>
      <w:r>
        <w:rPr>
          <w:rFonts w:ascii="Book Antiqua" w:hAnsi="Book Antiqua"/>
          <w:spacing w:val="1"/>
          <w:sz w:val="20"/>
        </w:rPr>
        <w:t xml:space="preserve"> </w:t>
      </w:r>
      <w:r>
        <w:rPr>
          <w:rFonts w:ascii="Book Antiqua" w:hAnsi="Book Antiqua"/>
          <w:sz w:val="20"/>
        </w:rPr>
        <w:t>“Polysomnography and the Pediatric Patient.”</w:t>
      </w:r>
      <w:r>
        <w:rPr>
          <w:rFonts w:ascii="Book Antiqua" w:hAnsi="Book Antiqua"/>
          <w:spacing w:val="1"/>
          <w:sz w:val="20"/>
        </w:rPr>
        <w:t xml:space="preserve"> </w:t>
      </w:r>
      <w:r>
        <w:rPr>
          <w:rFonts w:ascii="Book Antiqua" w:hAnsi="Book Antiqua"/>
          <w:i/>
          <w:sz w:val="20"/>
        </w:rPr>
        <w:t>RT Magazine</w:t>
      </w:r>
      <w:r>
        <w:rPr>
          <w:rFonts w:ascii="Book Antiqua" w:hAnsi="Book Antiqua"/>
          <w:sz w:val="20"/>
        </w:rPr>
        <w:t>.</w:t>
      </w:r>
      <w:r>
        <w:rPr>
          <w:rFonts w:ascii="Book Antiqua" w:hAnsi="Book Antiqua"/>
          <w:spacing w:val="1"/>
          <w:sz w:val="20"/>
        </w:rPr>
        <w:t xml:space="preserve"> </w:t>
      </w:r>
      <w:r>
        <w:rPr>
          <w:rFonts w:ascii="Book Antiqua" w:hAnsi="Book Antiqua"/>
          <w:sz w:val="20"/>
        </w:rPr>
        <w:t>Retrieved from</w:t>
      </w:r>
      <w:r>
        <w:rPr>
          <w:rFonts w:ascii="Book Antiqua" w:hAnsi="Book Antiqua"/>
          <w:spacing w:val="1"/>
          <w:sz w:val="20"/>
        </w:rPr>
        <w:t xml:space="preserve"> </w:t>
      </w:r>
      <w:hyperlink r:id="rId71">
        <w:r>
          <w:rPr>
            <w:rFonts w:ascii="Book Antiqua" w:hAnsi="Book Antiqua"/>
            <w:color w:val="0000FF"/>
            <w:spacing w:val="-1"/>
            <w:sz w:val="20"/>
            <w:u w:val="single" w:color="0000FF"/>
          </w:rPr>
          <w:t>https://rtmagazine.com/department-management/clinical/polysomnography-and-the-pediatric-</w:t>
        </w:r>
      </w:hyperlink>
      <w:r>
        <w:rPr>
          <w:rFonts w:ascii="Book Antiqua" w:hAnsi="Book Antiqua"/>
          <w:color w:val="0000FF"/>
          <w:sz w:val="20"/>
        </w:rPr>
        <w:t xml:space="preserve"> </w:t>
      </w:r>
      <w:hyperlink r:id="rId72">
        <w:bookmarkStart w:id="56" w:name="_bookmark55"/>
        <w:bookmarkEnd w:id="56"/>
        <w:r>
          <w:rPr>
            <w:rFonts w:ascii="Book Antiqua" w:hAnsi="Book Antiqua"/>
            <w:color w:val="0000FF"/>
            <w:sz w:val="20"/>
            <w:u w:val="single" w:color="0000FF"/>
          </w:rPr>
          <w:t>patient/</w:t>
        </w:r>
        <w:r>
          <w:rPr>
            <w:rFonts w:ascii="Book Antiqua" w:hAnsi="Book Antiqua"/>
            <w:sz w:val="20"/>
          </w:rPr>
          <w:t>.</w:t>
        </w:r>
      </w:hyperlink>
    </w:p>
    <w:p w:rsidR="00D862F2" w:rsidRDefault="00884FE4">
      <w:pPr>
        <w:ind w:left="219"/>
        <w:rPr>
          <w:rFonts w:ascii="Book Antiqua" w:hAnsi="Book Antiqua"/>
          <w:sz w:val="20"/>
        </w:rPr>
      </w:pPr>
      <w:r>
        <w:rPr>
          <w:rFonts w:ascii="Book Antiqua" w:hAnsi="Book Antiqua"/>
          <w:position w:val="5"/>
          <w:sz w:val="13"/>
        </w:rPr>
        <w:t xml:space="preserve">56 </w:t>
      </w:r>
      <w:r>
        <w:rPr>
          <w:rFonts w:ascii="Book Antiqua" w:hAnsi="Book Antiqua"/>
          <w:sz w:val="20"/>
        </w:rPr>
        <w:t>Chesson, A.L., Ferber, R.A., Fry, J.M., Grigg-Damberger, M., Hartse, K.M., Hurwitz, T.D., Johnson, S.,</w:t>
      </w:r>
      <w:r>
        <w:rPr>
          <w:rFonts w:ascii="Book Antiqua" w:hAnsi="Book Antiqua"/>
          <w:spacing w:val="1"/>
          <w:sz w:val="20"/>
        </w:rPr>
        <w:t xml:space="preserve"> </w:t>
      </w:r>
      <w:r>
        <w:rPr>
          <w:rFonts w:ascii="Book Antiqua" w:hAnsi="Book Antiqua"/>
          <w:sz w:val="20"/>
        </w:rPr>
        <w:t>Kader,</w:t>
      </w:r>
      <w:r>
        <w:rPr>
          <w:rFonts w:ascii="Book Antiqua" w:hAnsi="Book Antiqua"/>
          <w:spacing w:val="-2"/>
          <w:sz w:val="20"/>
        </w:rPr>
        <w:t xml:space="preserve"> </w:t>
      </w:r>
      <w:r>
        <w:rPr>
          <w:rFonts w:ascii="Book Antiqua" w:hAnsi="Book Antiqua"/>
          <w:sz w:val="20"/>
        </w:rPr>
        <w:t>G.A.,</w:t>
      </w:r>
      <w:r>
        <w:rPr>
          <w:rFonts w:ascii="Book Antiqua" w:hAnsi="Book Antiqua"/>
          <w:spacing w:val="-2"/>
          <w:sz w:val="20"/>
        </w:rPr>
        <w:t xml:space="preserve"> </w:t>
      </w:r>
      <w:r>
        <w:rPr>
          <w:rFonts w:ascii="Book Antiqua" w:hAnsi="Book Antiqua"/>
          <w:sz w:val="20"/>
        </w:rPr>
        <w:t>Littner,</w:t>
      </w:r>
      <w:r>
        <w:rPr>
          <w:rFonts w:ascii="Book Antiqua" w:hAnsi="Book Antiqua"/>
          <w:spacing w:val="-2"/>
          <w:sz w:val="20"/>
        </w:rPr>
        <w:t xml:space="preserve"> </w:t>
      </w:r>
      <w:r>
        <w:rPr>
          <w:rFonts w:ascii="Book Antiqua" w:hAnsi="Book Antiqua"/>
          <w:sz w:val="20"/>
        </w:rPr>
        <w:t>M.,</w:t>
      </w:r>
      <w:r>
        <w:rPr>
          <w:rFonts w:ascii="Book Antiqua" w:hAnsi="Book Antiqua"/>
          <w:spacing w:val="-2"/>
          <w:sz w:val="20"/>
        </w:rPr>
        <w:t xml:space="preserve"> </w:t>
      </w:r>
      <w:r>
        <w:rPr>
          <w:rFonts w:ascii="Book Antiqua" w:hAnsi="Book Antiqua"/>
          <w:sz w:val="20"/>
        </w:rPr>
        <w:t>Rosen,</w:t>
      </w:r>
      <w:r>
        <w:rPr>
          <w:rFonts w:ascii="Book Antiqua" w:hAnsi="Book Antiqua"/>
          <w:spacing w:val="-1"/>
          <w:sz w:val="20"/>
        </w:rPr>
        <w:t xml:space="preserve"> </w:t>
      </w:r>
      <w:r>
        <w:rPr>
          <w:rFonts w:ascii="Book Antiqua" w:hAnsi="Book Antiqua"/>
          <w:sz w:val="20"/>
        </w:rPr>
        <w:t>G.,</w:t>
      </w:r>
      <w:r>
        <w:rPr>
          <w:rFonts w:ascii="Book Antiqua" w:hAnsi="Book Antiqua"/>
          <w:spacing w:val="-2"/>
          <w:sz w:val="20"/>
        </w:rPr>
        <w:t xml:space="preserve"> </w:t>
      </w:r>
      <w:r>
        <w:rPr>
          <w:rFonts w:ascii="Book Antiqua" w:hAnsi="Book Antiqua"/>
          <w:sz w:val="20"/>
        </w:rPr>
        <w:t>Sangal,</w:t>
      </w:r>
      <w:r>
        <w:rPr>
          <w:rFonts w:ascii="Book Antiqua" w:hAnsi="Book Antiqua"/>
          <w:spacing w:val="-2"/>
          <w:sz w:val="20"/>
        </w:rPr>
        <w:t xml:space="preserve"> </w:t>
      </w:r>
      <w:r>
        <w:rPr>
          <w:rFonts w:ascii="Book Antiqua" w:hAnsi="Book Antiqua"/>
          <w:sz w:val="20"/>
        </w:rPr>
        <w:t>B.,</w:t>
      </w:r>
      <w:r>
        <w:rPr>
          <w:rFonts w:ascii="Book Antiqua" w:hAnsi="Book Antiqua"/>
          <w:spacing w:val="-2"/>
          <w:sz w:val="20"/>
        </w:rPr>
        <w:t xml:space="preserve"> </w:t>
      </w:r>
      <w:r>
        <w:rPr>
          <w:rFonts w:ascii="Book Antiqua" w:hAnsi="Book Antiqua"/>
          <w:sz w:val="20"/>
        </w:rPr>
        <w:t>Schmidt-Nowara,</w:t>
      </w:r>
      <w:r>
        <w:rPr>
          <w:rFonts w:ascii="Book Antiqua" w:hAnsi="Book Antiqua"/>
          <w:spacing w:val="-1"/>
          <w:sz w:val="20"/>
        </w:rPr>
        <w:t xml:space="preserve"> </w:t>
      </w:r>
      <w:r>
        <w:rPr>
          <w:rFonts w:ascii="Book Antiqua" w:hAnsi="Book Antiqua"/>
          <w:sz w:val="20"/>
        </w:rPr>
        <w:t>W.,</w:t>
      </w:r>
      <w:r>
        <w:rPr>
          <w:rFonts w:ascii="Book Antiqua" w:hAnsi="Book Antiqua"/>
          <w:spacing w:val="-2"/>
          <w:sz w:val="20"/>
        </w:rPr>
        <w:t xml:space="preserve"> </w:t>
      </w:r>
      <w:r>
        <w:rPr>
          <w:rFonts w:ascii="Book Antiqua" w:hAnsi="Book Antiqua"/>
          <w:sz w:val="20"/>
        </w:rPr>
        <w:t>Sher,</w:t>
      </w:r>
      <w:r>
        <w:rPr>
          <w:rFonts w:ascii="Book Antiqua" w:hAnsi="Book Antiqua"/>
          <w:spacing w:val="-2"/>
          <w:sz w:val="20"/>
        </w:rPr>
        <w:t xml:space="preserve"> </w:t>
      </w:r>
      <w:r>
        <w:rPr>
          <w:rFonts w:ascii="Book Antiqua" w:hAnsi="Book Antiqua"/>
          <w:sz w:val="20"/>
        </w:rPr>
        <w:t>A.</w:t>
      </w:r>
      <w:r>
        <w:rPr>
          <w:rFonts w:ascii="Book Antiqua" w:hAnsi="Book Antiqua"/>
          <w:spacing w:val="46"/>
          <w:sz w:val="20"/>
        </w:rPr>
        <w:t xml:space="preserve"> </w:t>
      </w:r>
      <w:r>
        <w:rPr>
          <w:rFonts w:ascii="Book Antiqua" w:hAnsi="Book Antiqua"/>
          <w:sz w:val="20"/>
        </w:rPr>
        <w:t>(1997).</w:t>
      </w:r>
      <w:r>
        <w:rPr>
          <w:rFonts w:ascii="Book Antiqua" w:hAnsi="Book Antiqua"/>
          <w:spacing w:val="45"/>
          <w:sz w:val="20"/>
        </w:rPr>
        <w:t xml:space="preserve"> </w:t>
      </w:r>
      <w:r>
        <w:rPr>
          <w:rFonts w:ascii="Book Antiqua" w:hAnsi="Book Antiqua"/>
          <w:sz w:val="20"/>
        </w:rPr>
        <w:t>“The</w:t>
      </w:r>
      <w:r>
        <w:rPr>
          <w:rFonts w:ascii="Book Antiqua" w:hAnsi="Book Antiqua"/>
          <w:spacing w:val="-2"/>
          <w:sz w:val="20"/>
        </w:rPr>
        <w:t xml:space="preserve"> </w:t>
      </w:r>
      <w:r>
        <w:rPr>
          <w:rFonts w:ascii="Book Antiqua" w:hAnsi="Book Antiqua"/>
          <w:sz w:val="20"/>
        </w:rPr>
        <w:t>Indications</w:t>
      </w:r>
      <w:r>
        <w:rPr>
          <w:rFonts w:ascii="Book Antiqua" w:hAnsi="Book Antiqua"/>
          <w:spacing w:val="-3"/>
          <w:sz w:val="20"/>
        </w:rPr>
        <w:t xml:space="preserve"> </w:t>
      </w:r>
      <w:r>
        <w:rPr>
          <w:rFonts w:ascii="Book Antiqua" w:hAnsi="Book Antiqua"/>
          <w:sz w:val="20"/>
        </w:rPr>
        <w:t>for</w:t>
      </w:r>
      <w:r>
        <w:rPr>
          <w:rFonts w:ascii="Book Antiqua" w:hAnsi="Book Antiqua"/>
          <w:spacing w:val="-47"/>
          <w:sz w:val="20"/>
        </w:rPr>
        <w:t xml:space="preserve"> </w:t>
      </w:r>
      <w:r>
        <w:rPr>
          <w:rFonts w:ascii="Book Antiqua" w:hAnsi="Book Antiqua"/>
          <w:sz w:val="20"/>
        </w:rPr>
        <w:t>Polysomnography and Related Procedures.”</w:t>
      </w:r>
      <w:r>
        <w:rPr>
          <w:rFonts w:ascii="Book Antiqua" w:hAnsi="Book Antiqua"/>
          <w:spacing w:val="1"/>
          <w:sz w:val="20"/>
        </w:rPr>
        <w:t xml:space="preserve"> </w:t>
      </w:r>
      <w:r>
        <w:rPr>
          <w:rFonts w:ascii="Book Antiqua" w:hAnsi="Book Antiqua"/>
          <w:i/>
          <w:sz w:val="20"/>
        </w:rPr>
        <w:t>Sleep Research Society</w:t>
      </w:r>
      <w:r>
        <w:rPr>
          <w:rFonts w:ascii="Book Antiqua" w:hAnsi="Book Antiqua"/>
          <w:sz w:val="20"/>
        </w:rPr>
        <w:t>, 20(6): 423-487.</w:t>
      </w:r>
      <w:r>
        <w:rPr>
          <w:rFonts w:ascii="Book Antiqua" w:hAnsi="Book Antiqua"/>
          <w:spacing w:val="1"/>
          <w:sz w:val="20"/>
        </w:rPr>
        <w:t xml:space="preserve"> </w:t>
      </w:r>
      <w:hyperlink r:id="rId73">
        <w:r>
          <w:rPr>
            <w:rFonts w:ascii="Book Antiqua" w:hAnsi="Book Antiqua"/>
            <w:color w:val="0000FF"/>
            <w:sz w:val="20"/>
            <w:u w:val="single" w:color="0000FF"/>
          </w:rPr>
          <w:t>https://doi.org/10.1093/sleep/20.6.423</w:t>
        </w:r>
        <w:r>
          <w:rPr>
            <w:rFonts w:ascii="Book Antiqua" w:hAnsi="Book Antiqua"/>
            <w:sz w:val="20"/>
          </w:rPr>
          <w:t>.</w:t>
        </w:r>
      </w:hyperlink>
    </w:p>
    <w:p w:rsidR="00D862F2" w:rsidRDefault="00884FE4">
      <w:pPr>
        <w:ind w:left="219" w:right="320"/>
        <w:rPr>
          <w:rFonts w:ascii="Book Antiqua" w:hAnsi="Book Antiqua"/>
          <w:sz w:val="20"/>
        </w:rPr>
      </w:pPr>
      <w:bookmarkStart w:id="57" w:name="_bookmark56"/>
      <w:bookmarkEnd w:id="57"/>
      <w:r>
        <w:rPr>
          <w:rFonts w:ascii="Book Antiqua" w:hAnsi="Book Antiqua"/>
          <w:position w:val="5"/>
          <w:sz w:val="13"/>
        </w:rPr>
        <w:t xml:space="preserve">57 </w:t>
      </w:r>
      <w:r>
        <w:rPr>
          <w:rFonts w:ascii="Book Antiqua" w:hAnsi="Book Antiqua"/>
          <w:sz w:val="20"/>
        </w:rPr>
        <w:t>Robison, J.G., Wilson, C., Otteson, T.D., Chakravorty, S.S., Mehta, D.K.</w:t>
      </w:r>
      <w:r>
        <w:rPr>
          <w:rFonts w:ascii="Book Antiqua" w:hAnsi="Book Antiqua"/>
          <w:spacing w:val="1"/>
          <w:sz w:val="20"/>
        </w:rPr>
        <w:t xml:space="preserve"> </w:t>
      </w:r>
      <w:r>
        <w:rPr>
          <w:rFonts w:ascii="Book Antiqua" w:hAnsi="Book Antiqua"/>
          <w:sz w:val="20"/>
        </w:rPr>
        <w:t>(2012).</w:t>
      </w:r>
      <w:r>
        <w:rPr>
          <w:rFonts w:ascii="Book Antiqua" w:hAnsi="Book Antiqua"/>
          <w:spacing w:val="1"/>
          <w:sz w:val="20"/>
        </w:rPr>
        <w:t xml:space="preserve"> </w:t>
      </w:r>
      <w:r>
        <w:rPr>
          <w:rFonts w:ascii="Book Antiqua" w:hAnsi="Book Antiqua"/>
          <w:sz w:val="20"/>
        </w:rPr>
        <w:t>“Increased Eustachian</w:t>
      </w:r>
      <w:r>
        <w:rPr>
          <w:rFonts w:ascii="Book Antiqua" w:hAnsi="Book Antiqua"/>
          <w:spacing w:val="-47"/>
          <w:sz w:val="20"/>
        </w:rPr>
        <w:t xml:space="preserve"> </w:t>
      </w:r>
      <w:r>
        <w:rPr>
          <w:rFonts w:ascii="Book Antiqua" w:hAnsi="Book Antiqua"/>
          <w:sz w:val="20"/>
        </w:rPr>
        <w:t>Tube Dysfunction in Infants with Obstructive Sleep Apnea.”</w:t>
      </w:r>
      <w:r>
        <w:rPr>
          <w:rFonts w:ascii="Book Antiqua" w:hAnsi="Book Antiqua"/>
          <w:spacing w:val="1"/>
          <w:sz w:val="20"/>
        </w:rPr>
        <w:t xml:space="preserve"> </w:t>
      </w:r>
      <w:r>
        <w:rPr>
          <w:rFonts w:ascii="Book Antiqua" w:hAnsi="Book Antiqua"/>
          <w:i/>
          <w:sz w:val="20"/>
        </w:rPr>
        <w:t>Laryngoscope</w:t>
      </w:r>
      <w:r>
        <w:rPr>
          <w:rFonts w:ascii="Book Antiqua" w:hAnsi="Book Antiqua"/>
          <w:sz w:val="20"/>
        </w:rPr>
        <w:t>, 122(5): 1170-1177.</w:t>
      </w:r>
      <w:r>
        <w:rPr>
          <w:rFonts w:ascii="Book Antiqua" w:hAnsi="Book Antiqua"/>
          <w:spacing w:val="1"/>
          <w:sz w:val="20"/>
        </w:rPr>
        <w:t xml:space="preserve"> </w:t>
      </w:r>
      <w:hyperlink r:id="rId74">
        <w:r>
          <w:rPr>
            <w:rFonts w:ascii="Book Antiqua" w:hAnsi="Book Antiqua"/>
            <w:color w:val="0000FF"/>
            <w:sz w:val="20"/>
            <w:u w:val="single" w:color="0000FF"/>
          </w:rPr>
          <w:t>https://doi.org/10.1002/lary.22473</w:t>
        </w:r>
        <w:r>
          <w:rPr>
            <w:rFonts w:ascii="Book Antiqua" w:hAnsi="Book Antiqua"/>
            <w:sz w:val="20"/>
          </w:rPr>
          <w:t>.</w:t>
        </w:r>
      </w:hyperlink>
    </w:p>
    <w:p w:rsidR="00D862F2" w:rsidRDefault="00D862F2">
      <w:pPr>
        <w:rPr>
          <w:rFonts w:ascii="Book Antiqua" w:hAnsi="Book Antiqua"/>
          <w:sz w:val="20"/>
        </w:rPr>
        <w:sectPr w:rsidR="00D862F2">
          <w:headerReference w:type="default" r:id="rId75"/>
          <w:footerReference w:type="default" r:id="rId76"/>
          <w:pgSz w:w="12240" w:h="15840"/>
          <w:pgMar w:top="1360" w:right="1160" w:bottom="280" w:left="1220" w:header="0" w:footer="0" w:gutter="0"/>
          <w:cols w:space="720"/>
        </w:sectPr>
      </w:pPr>
    </w:p>
    <w:p w:rsidR="00D862F2" w:rsidRDefault="00884FE4">
      <w:pPr>
        <w:spacing w:before="77"/>
        <w:ind w:left="579" w:right="306"/>
        <w:rPr>
          <w:rFonts w:ascii="Book Antiqua"/>
        </w:rPr>
      </w:pPr>
      <w:r>
        <w:rPr>
          <w:rFonts w:ascii="Book Antiqua"/>
        </w:rPr>
        <w:lastRenderedPageBreak/>
        <w:t>care.</w:t>
      </w:r>
      <w:r>
        <w:rPr>
          <w:rFonts w:ascii="Book Antiqua"/>
          <w:spacing w:val="1"/>
        </w:rPr>
        <w:t xml:space="preserve"> </w:t>
      </w:r>
      <w:r>
        <w:rPr>
          <w:rFonts w:ascii="Book Antiqua"/>
        </w:rPr>
        <w:t>This is especially important for communities with high percentages of non-White</w:t>
      </w:r>
      <w:r>
        <w:rPr>
          <w:rFonts w:ascii="Book Antiqua"/>
          <w:spacing w:val="1"/>
        </w:rPr>
        <w:t xml:space="preserve"> </w:t>
      </w:r>
      <w:r>
        <w:rPr>
          <w:rFonts w:ascii="Book Antiqua"/>
        </w:rPr>
        <w:t>people and persons in poverty in and near Waltham, where the proposed sleep expansion is</w:t>
      </w:r>
      <w:r>
        <w:rPr>
          <w:rFonts w:ascii="Book Antiqua"/>
          <w:spacing w:val="-52"/>
        </w:rPr>
        <w:t xml:space="preserve"> </w:t>
      </w:r>
      <w:r>
        <w:rPr>
          <w:rFonts w:ascii="Book Antiqua"/>
        </w:rPr>
        <w:t>to</w:t>
      </w:r>
      <w:r>
        <w:rPr>
          <w:rFonts w:ascii="Book Antiqua"/>
          <w:spacing w:val="-2"/>
        </w:rPr>
        <w:t xml:space="preserve"> </w:t>
      </w:r>
      <w:r>
        <w:rPr>
          <w:rFonts w:ascii="Book Antiqua"/>
        </w:rPr>
        <w:t>occur, that</w:t>
      </w:r>
      <w:r>
        <w:rPr>
          <w:rFonts w:ascii="Book Antiqua"/>
          <w:spacing w:val="-3"/>
        </w:rPr>
        <w:t xml:space="preserve"> </w:t>
      </w:r>
      <w:r>
        <w:rPr>
          <w:rFonts w:ascii="Book Antiqua"/>
        </w:rPr>
        <w:t>typically</w:t>
      </w:r>
      <w:r>
        <w:rPr>
          <w:rFonts w:ascii="Book Antiqua"/>
          <w:spacing w:val="-3"/>
        </w:rPr>
        <w:t xml:space="preserve"> </w:t>
      </w:r>
      <w:r>
        <w:rPr>
          <w:rFonts w:ascii="Book Antiqua"/>
        </w:rPr>
        <w:t>have limited</w:t>
      </w:r>
      <w:r>
        <w:rPr>
          <w:rFonts w:ascii="Book Antiqua"/>
          <w:spacing w:val="-1"/>
        </w:rPr>
        <w:t xml:space="preserve"> </w:t>
      </w:r>
      <w:r>
        <w:rPr>
          <w:rFonts w:ascii="Book Antiqua"/>
        </w:rPr>
        <w:t>access to</w:t>
      </w:r>
      <w:r>
        <w:rPr>
          <w:rFonts w:ascii="Book Antiqua"/>
          <w:spacing w:val="-4"/>
        </w:rPr>
        <w:t xml:space="preserve"> </w:t>
      </w:r>
      <w:r>
        <w:rPr>
          <w:rFonts w:ascii="Book Antiqua"/>
        </w:rPr>
        <w:t>care.</w:t>
      </w:r>
    </w:p>
    <w:p w:rsidR="00D862F2" w:rsidRDefault="00D862F2">
      <w:pPr>
        <w:pStyle w:val="BodyText"/>
        <w:spacing w:before="6"/>
        <w:rPr>
          <w:rFonts w:ascii="Book Antiqua"/>
          <w:sz w:val="19"/>
        </w:rPr>
      </w:pPr>
    </w:p>
    <w:p w:rsidR="00D862F2" w:rsidRDefault="00884FE4">
      <w:pPr>
        <w:pStyle w:val="ListParagraph"/>
        <w:numPr>
          <w:ilvl w:val="0"/>
          <w:numId w:val="3"/>
        </w:numPr>
        <w:tabs>
          <w:tab w:val="left" w:pos="667"/>
        </w:tabs>
        <w:spacing w:before="1"/>
        <w:ind w:left="666" w:hanging="447"/>
        <w:rPr>
          <w:rFonts w:ascii="Book Antiqua" w:hAnsi="Book Antiqua"/>
          <w:b/>
        </w:rPr>
      </w:pPr>
      <w:r>
        <w:rPr>
          <w:rFonts w:ascii="Book Antiqua" w:hAnsi="Book Antiqua"/>
          <w:b/>
        </w:rPr>
        <w:t>Bailit</w:t>
      </w:r>
      <w:r>
        <w:rPr>
          <w:rFonts w:ascii="Book Antiqua" w:hAnsi="Book Antiqua"/>
          <w:b/>
          <w:spacing w:val="-4"/>
        </w:rPr>
        <w:t xml:space="preserve"> </w:t>
      </w:r>
      <w:r>
        <w:rPr>
          <w:rFonts w:ascii="Book Antiqua" w:hAnsi="Book Antiqua"/>
          <w:b/>
        </w:rPr>
        <w:t>Health’s</w:t>
      </w:r>
      <w:r>
        <w:rPr>
          <w:rFonts w:ascii="Book Antiqua" w:hAnsi="Book Antiqua"/>
          <w:b/>
          <w:spacing w:val="-2"/>
        </w:rPr>
        <w:t xml:space="preserve"> </w:t>
      </w:r>
      <w:r>
        <w:rPr>
          <w:rFonts w:ascii="Book Antiqua" w:hAnsi="Book Antiqua"/>
          <w:b/>
        </w:rPr>
        <w:t>Feedback</w:t>
      </w:r>
      <w:r>
        <w:rPr>
          <w:rFonts w:ascii="Book Antiqua" w:hAnsi="Book Antiqua"/>
          <w:b/>
          <w:spacing w:val="-5"/>
        </w:rPr>
        <w:t xml:space="preserve"> </w:t>
      </w:r>
      <w:r>
        <w:rPr>
          <w:rFonts w:ascii="Book Antiqua" w:hAnsi="Book Antiqua"/>
          <w:b/>
        </w:rPr>
        <w:t>to</w:t>
      </w:r>
      <w:r>
        <w:rPr>
          <w:rFonts w:ascii="Book Antiqua" w:hAnsi="Book Antiqua"/>
          <w:b/>
          <w:spacing w:val="-3"/>
        </w:rPr>
        <w:t xml:space="preserve"> </w:t>
      </w:r>
      <w:r>
        <w:rPr>
          <w:rFonts w:ascii="Book Antiqua" w:hAnsi="Book Antiqua"/>
          <w:b/>
        </w:rPr>
        <w:t>Boston</w:t>
      </w:r>
      <w:r>
        <w:rPr>
          <w:rFonts w:ascii="Book Antiqua" w:hAnsi="Book Antiqua"/>
          <w:b/>
          <w:spacing w:val="-3"/>
        </w:rPr>
        <w:t xml:space="preserve"> </w:t>
      </w:r>
      <w:r>
        <w:rPr>
          <w:rFonts w:ascii="Book Antiqua" w:hAnsi="Book Antiqua"/>
          <w:b/>
        </w:rPr>
        <w:t>Children’s</w:t>
      </w:r>
      <w:r>
        <w:rPr>
          <w:rFonts w:ascii="Book Antiqua" w:hAnsi="Book Antiqua"/>
          <w:b/>
          <w:spacing w:val="-4"/>
        </w:rPr>
        <w:t xml:space="preserve"> </w:t>
      </w:r>
      <w:r>
        <w:rPr>
          <w:rFonts w:ascii="Book Antiqua" w:hAnsi="Book Antiqua"/>
          <w:b/>
        </w:rPr>
        <w:t>Community</w:t>
      </w:r>
      <w:r>
        <w:rPr>
          <w:rFonts w:ascii="Book Antiqua" w:hAnsi="Book Antiqua"/>
          <w:b/>
          <w:spacing w:val="-3"/>
        </w:rPr>
        <w:t xml:space="preserve"> </w:t>
      </w:r>
      <w:r>
        <w:rPr>
          <w:rFonts w:ascii="Book Antiqua" w:hAnsi="Book Antiqua"/>
          <w:b/>
        </w:rPr>
        <w:t>Engagement</w:t>
      </w:r>
      <w:r>
        <w:rPr>
          <w:rFonts w:ascii="Book Antiqua" w:hAnsi="Book Antiqua"/>
          <w:b/>
          <w:spacing w:val="-4"/>
        </w:rPr>
        <w:t xml:space="preserve"> </w:t>
      </w:r>
      <w:r>
        <w:rPr>
          <w:rFonts w:ascii="Book Antiqua" w:hAnsi="Book Antiqua"/>
          <w:b/>
        </w:rPr>
        <w:t>Plan</w:t>
      </w:r>
    </w:p>
    <w:p w:rsidR="00D862F2" w:rsidRDefault="00884FE4">
      <w:pPr>
        <w:spacing w:before="116"/>
        <w:ind w:left="219" w:right="341"/>
        <w:rPr>
          <w:rFonts w:ascii="Book Antiqua" w:hAnsi="Book Antiqua"/>
        </w:rPr>
      </w:pPr>
      <w:r>
        <w:rPr>
          <w:rFonts w:ascii="Book Antiqua" w:hAnsi="Book Antiqua"/>
        </w:rPr>
        <w:t>Bailit Health also provided feedback on Boston Children’s community engagement as it relates</w:t>
      </w:r>
      <w:r>
        <w:rPr>
          <w:rFonts w:ascii="Book Antiqua" w:hAnsi="Book Antiqua"/>
          <w:spacing w:val="1"/>
        </w:rPr>
        <w:t xml:space="preserve"> </w:t>
      </w:r>
      <w:r>
        <w:rPr>
          <w:rFonts w:ascii="Book Antiqua" w:hAnsi="Book Antiqua"/>
        </w:rPr>
        <w:t>to Factors 1, 2 and 6 of the DON application to ensure Boston Children’s was in alignment with</w:t>
      </w:r>
      <w:r>
        <w:rPr>
          <w:rFonts w:ascii="Book Antiqua" w:hAnsi="Book Antiqua"/>
          <w:spacing w:val="-52"/>
        </w:rPr>
        <w:t xml:space="preserve"> </w:t>
      </w:r>
      <w:r>
        <w:rPr>
          <w:rFonts w:ascii="Book Antiqua" w:hAnsi="Book Antiqua"/>
        </w:rPr>
        <w:t>the Department of Public Health’s “Community Engagement Standards for Community Health</w:t>
      </w:r>
      <w:r>
        <w:rPr>
          <w:rFonts w:ascii="Book Antiqua" w:hAnsi="Book Antiqua"/>
          <w:spacing w:val="-52"/>
        </w:rPr>
        <w:t xml:space="preserve"> </w:t>
      </w:r>
      <w:r>
        <w:rPr>
          <w:rFonts w:ascii="Book Antiqua" w:hAnsi="Book Antiqua"/>
        </w:rPr>
        <w:t>Planning Guideline.”</w:t>
      </w:r>
      <w:hyperlink w:anchor="_bookmark57" w:history="1">
        <w:r>
          <w:rPr>
            <w:rFonts w:ascii="Book Antiqua" w:hAnsi="Book Antiqua"/>
            <w:position w:val="5"/>
            <w:sz w:val="14"/>
          </w:rPr>
          <w:t>58</w:t>
        </w:r>
      </w:hyperlink>
      <w:r>
        <w:rPr>
          <w:rFonts w:ascii="Book Antiqua" w:hAnsi="Book Antiqua"/>
          <w:spacing w:val="1"/>
          <w:position w:val="5"/>
          <w:sz w:val="14"/>
        </w:rPr>
        <w:t xml:space="preserve"> </w:t>
      </w:r>
      <w:r>
        <w:rPr>
          <w:rFonts w:ascii="Book Antiqua" w:hAnsi="Book Antiqua"/>
        </w:rPr>
        <w:t>There were two main components of this work: (a)</w:t>
      </w:r>
      <w:r>
        <w:rPr>
          <w:rFonts w:ascii="Book Antiqua" w:hAnsi="Book Antiqua"/>
          <w:spacing w:val="1"/>
        </w:rPr>
        <w:t xml:space="preserve"> </w:t>
      </w:r>
      <w:r>
        <w:rPr>
          <w:rFonts w:ascii="Book Antiqua" w:hAnsi="Book Antiqua"/>
        </w:rPr>
        <w:t>identify</w:t>
      </w:r>
      <w:r>
        <w:rPr>
          <w:rFonts w:ascii="Book Antiqua" w:hAnsi="Book Antiqua"/>
          <w:spacing w:val="1"/>
        </w:rPr>
        <w:t xml:space="preserve"> </w:t>
      </w:r>
      <w:r>
        <w:rPr>
          <w:rFonts w:ascii="Book Antiqua" w:hAnsi="Book Antiqua"/>
        </w:rPr>
        <w:t>organizations and agencies for Boston Children’s to consider engaging with prior to submitting</w:t>
      </w:r>
      <w:r>
        <w:rPr>
          <w:rFonts w:ascii="Book Antiqua" w:hAnsi="Book Antiqua"/>
          <w:spacing w:val="-52"/>
        </w:rPr>
        <w:t xml:space="preserve"> </w:t>
      </w:r>
      <w:r>
        <w:rPr>
          <w:rFonts w:ascii="Book Antiqua" w:hAnsi="Book Antiqua"/>
        </w:rPr>
        <w:t>the application and (b) provide input on Boston Children’s ongoing community-based health</w:t>
      </w:r>
      <w:r>
        <w:rPr>
          <w:rFonts w:ascii="Book Antiqua" w:hAnsi="Book Antiqua"/>
          <w:spacing w:val="1"/>
        </w:rPr>
        <w:t xml:space="preserve"> </w:t>
      </w:r>
      <w:r>
        <w:rPr>
          <w:rFonts w:ascii="Book Antiqua" w:hAnsi="Book Antiqua"/>
        </w:rPr>
        <w:t>initiative</w:t>
      </w:r>
      <w:r>
        <w:rPr>
          <w:rFonts w:ascii="Book Antiqua" w:hAnsi="Book Antiqua"/>
          <w:spacing w:val="-1"/>
        </w:rPr>
        <w:t xml:space="preserve"> </w:t>
      </w:r>
      <w:r>
        <w:rPr>
          <w:rFonts w:ascii="Book Antiqua" w:hAnsi="Book Antiqua"/>
        </w:rPr>
        <w:t>(CHI)</w:t>
      </w:r>
      <w:r>
        <w:rPr>
          <w:rFonts w:ascii="Book Antiqua" w:hAnsi="Book Antiqua"/>
          <w:spacing w:val="-2"/>
        </w:rPr>
        <w:t xml:space="preserve"> </w:t>
      </w:r>
      <w:r>
        <w:rPr>
          <w:rFonts w:ascii="Book Antiqua" w:hAnsi="Book Antiqua"/>
        </w:rPr>
        <w:t>work.</w:t>
      </w:r>
    </w:p>
    <w:p w:rsidR="00D862F2" w:rsidRDefault="00D862F2">
      <w:pPr>
        <w:pStyle w:val="BodyText"/>
        <w:spacing w:before="9"/>
        <w:rPr>
          <w:rFonts w:ascii="Book Antiqua"/>
          <w:sz w:val="19"/>
        </w:rPr>
      </w:pPr>
    </w:p>
    <w:p w:rsidR="00D862F2" w:rsidRDefault="00884FE4">
      <w:pPr>
        <w:pStyle w:val="ListParagraph"/>
        <w:numPr>
          <w:ilvl w:val="0"/>
          <w:numId w:val="1"/>
        </w:numPr>
        <w:tabs>
          <w:tab w:val="left" w:pos="940"/>
        </w:tabs>
        <w:rPr>
          <w:rFonts w:ascii="Book Antiqua"/>
          <w:b/>
          <w:i/>
        </w:rPr>
      </w:pPr>
      <w:r>
        <w:rPr>
          <w:rFonts w:ascii="Book Antiqua"/>
          <w:b/>
          <w:i/>
        </w:rPr>
        <w:t>Community</w:t>
      </w:r>
      <w:r>
        <w:rPr>
          <w:rFonts w:ascii="Book Antiqua"/>
          <w:b/>
          <w:i/>
          <w:spacing w:val="-4"/>
        </w:rPr>
        <w:t xml:space="preserve"> </w:t>
      </w:r>
      <w:r>
        <w:rPr>
          <w:rFonts w:ascii="Book Antiqua"/>
          <w:b/>
          <w:i/>
        </w:rPr>
        <w:t>Engagement</w:t>
      </w:r>
      <w:r>
        <w:rPr>
          <w:rFonts w:ascii="Book Antiqua"/>
          <w:b/>
          <w:i/>
          <w:spacing w:val="-5"/>
        </w:rPr>
        <w:t xml:space="preserve"> </w:t>
      </w:r>
      <w:r>
        <w:rPr>
          <w:rFonts w:ascii="Book Antiqua"/>
          <w:b/>
          <w:i/>
        </w:rPr>
        <w:t>for</w:t>
      </w:r>
      <w:r>
        <w:rPr>
          <w:rFonts w:ascii="Book Antiqua"/>
          <w:b/>
          <w:i/>
          <w:spacing w:val="-3"/>
        </w:rPr>
        <w:t xml:space="preserve"> </w:t>
      </w:r>
      <w:r>
        <w:rPr>
          <w:rFonts w:ascii="Book Antiqua"/>
          <w:b/>
          <w:i/>
        </w:rPr>
        <w:t>the</w:t>
      </w:r>
      <w:r>
        <w:rPr>
          <w:rFonts w:ascii="Book Antiqua"/>
          <w:b/>
          <w:i/>
          <w:spacing w:val="-3"/>
        </w:rPr>
        <w:t xml:space="preserve"> </w:t>
      </w:r>
      <w:r>
        <w:rPr>
          <w:rFonts w:ascii="Book Antiqua"/>
          <w:b/>
          <w:i/>
        </w:rPr>
        <w:t>DON</w:t>
      </w:r>
      <w:r>
        <w:rPr>
          <w:rFonts w:ascii="Book Antiqua"/>
          <w:b/>
          <w:i/>
          <w:spacing w:val="-2"/>
        </w:rPr>
        <w:t xml:space="preserve"> </w:t>
      </w:r>
      <w:r>
        <w:rPr>
          <w:rFonts w:ascii="Book Antiqua"/>
          <w:b/>
          <w:i/>
        </w:rPr>
        <w:t>Application</w:t>
      </w:r>
    </w:p>
    <w:p w:rsidR="00D862F2" w:rsidRDefault="00884FE4">
      <w:pPr>
        <w:spacing w:before="116"/>
        <w:ind w:left="580" w:right="260"/>
        <w:rPr>
          <w:rFonts w:ascii="Book Antiqua" w:hAnsi="Book Antiqua"/>
        </w:rPr>
      </w:pPr>
      <w:r>
        <w:rPr>
          <w:rFonts w:ascii="Book Antiqua" w:hAnsi="Book Antiqua"/>
        </w:rPr>
        <w:t>Boston Children’s is committed to engaging with the community as part of its process for</w:t>
      </w:r>
      <w:r>
        <w:rPr>
          <w:rFonts w:ascii="Book Antiqua" w:hAnsi="Book Antiqua"/>
          <w:spacing w:val="1"/>
        </w:rPr>
        <w:t xml:space="preserve"> </w:t>
      </w:r>
      <w:r>
        <w:rPr>
          <w:rFonts w:ascii="Book Antiqua" w:hAnsi="Book Antiqua"/>
        </w:rPr>
        <w:t>submitting a DON application to ensure the services proposed are clinically appropriate and</w:t>
      </w:r>
      <w:r>
        <w:rPr>
          <w:rFonts w:ascii="Book Antiqua" w:hAnsi="Book Antiqua"/>
          <w:spacing w:val="-52"/>
        </w:rPr>
        <w:t xml:space="preserve"> </w:t>
      </w:r>
      <w:r>
        <w:rPr>
          <w:rFonts w:ascii="Book Antiqua" w:hAnsi="Book Antiqua"/>
        </w:rPr>
        <w:t>needed by the community.</w:t>
      </w:r>
      <w:r>
        <w:rPr>
          <w:rFonts w:ascii="Book Antiqua" w:hAnsi="Book Antiqua"/>
          <w:spacing w:val="1"/>
        </w:rPr>
        <w:t xml:space="preserve"> </w:t>
      </w:r>
      <w:r>
        <w:rPr>
          <w:rFonts w:ascii="Book Antiqua" w:hAnsi="Book Antiqua"/>
        </w:rPr>
        <w:t>First, Bailit Health helped Boston Children’s identify local and</w:t>
      </w:r>
      <w:r>
        <w:rPr>
          <w:rFonts w:ascii="Book Antiqua" w:hAnsi="Book Antiqua"/>
          <w:spacing w:val="1"/>
        </w:rPr>
        <w:t xml:space="preserve"> </w:t>
      </w:r>
      <w:r>
        <w:rPr>
          <w:rFonts w:ascii="Book Antiqua" w:hAnsi="Book Antiqua"/>
        </w:rPr>
        <w:t>state government agencies, community and grasstops groups, specialty disease and</w:t>
      </w:r>
      <w:r>
        <w:rPr>
          <w:rFonts w:ascii="Book Antiqua" w:hAnsi="Book Antiqua"/>
          <w:spacing w:val="1"/>
        </w:rPr>
        <w:t xml:space="preserve"> </w:t>
      </w:r>
      <w:r>
        <w:rPr>
          <w:rFonts w:ascii="Book Antiqua" w:hAnsi="Book Antiqua"/>
        </w:rPr>
        <w:t>advocacy groups, provider groups and patient groups that Boston Children’s should contact</w:t>
      </w:r>
      <w:r>
        <w:rPr>
          <w:rFonts w:ascii="Book Antiqua" w:hAnsi="Book Antiqua"/>
          <w:spacing w:val="-52"/>
        </w:rPr>
        <w:t xml:space="preserve"> </w:t>
      </w:r>
      <w:r>
        <w:rPr>
          <w:rFonts w:ascii="Book Antiqua" w:hAnsi="Book Antiqua"/>
        </w:rPr>
        <w:t>while drafting its DON application.</w:t>
      </w:r>
      <w:r>
        <w:rPr>
          <w:rFonts w:ascii="Book Antiqua" w:hAnsi="Book Antiqua"/>
          <w:spacing w:val="1"/>
        </w:rPr>
        <w:t xml:space="preserve"> </w:t>
      </w:r>
      <w:r>
        <w:rPr>
          <w:rFonts w:ascii="Book Antiqua" w:hAnsi="Book Antiqua"/>
        </w:rPr>
        <w:t>Bailit Health utilized Census data to identify which</w:t>
      </w:r>
      <w:r>
        <w:rPr>
          <w:rFonts w:ascii="Book Antiqua" w:hAnsi="Book Antiqua"/>
          <w:spacing w:val="1"/>
        </w:rPr>
        <w:t xml:space="preserve"> </w:t>
      </w:r>
      <w:r>
        <w:rPr>
          <w:rFonts w:ascii="Book Antiqua" w:hAnsi="Book Antiqua"/>
        </w:rPr>
        <w:t>communities on which Boston Children’s should consider meeting with.</w:t>
      </w:r>
      <w:r>
        <w:rPr>
          <w:rFonts w:ascii="Book Antiqua" w:hAnsi="Book Antiqua"/>
          <w:spacing w:val="1"/>
        </w:rPr>
        <w:t xml:space="preserve"> </w:t>
      </w:r>
      <w:r>
        <w:rPr>
          <w:rFonts w:ascii="Book Antiqua" w:hAnsi="Book Antiqua"/>
        </w:rPr>
        <w:t>Specifically, it</w:t>
      </w:r>
      <w:r>
        <w:rPr>
          <w:rFonts w:ascii="Book Antiqua" w:hAnsi="Book Antiqua"/>
          <w:spacing w:val="1"/>
        </w:rPr>
        <w:t xml:space="preserve"> </w:t>
      </w:r>
      <w:r>
        <w:rPr>
          <w:rFonts w:ascii="Book Antiqua" w:hAnsi="Book Antiqua"/>
        </w:rPr>
        <w:t>identified which cities and towns surrounding Needham and Weymouth, the two major</w:t>
      </w:r>
      <w:r>
        <w:rPr>
          <w:rFonts w:ascii="Book Antiqua" w:hAnsi="Book Antiqua"/>
          <w:spacing w:val="1"/>
        </w:rPr>
        <w:t xml:space="preserve"> </w:t>
      </w:r>
      <w:r>
        <w:rPr>
          <w:rFonts w:ascii="Book Antiqua" w:hAnsi="Book Antiqua"/>
        </w:rPr>
        <w:t>locations in the application, had a high percentage of families with persons under 18, of</w:t>
      </w:r>
      <w:r>
        <w:rPr>
          <w:rFonts w:ascii="Book Antiqua" w:hAnsi="Book Antiqua"/>
          <w:spacing w:val="1"/>
        </w:rPr>
        <w:t xml:space="preserve"> </w:t>
      </w:r>
      <w:r>
        <w:rPr>
          <w:rFonts w:ascii="Book Antiqua" w:hAnsi="Book Antiqua"/>
        </w:rPr>
        <w:t>persons in poverty and/or persons who identify as Black, Asian or Hispanic/Latino.</w:t>
      </w:r>
      <w:r>
        <w:rPr>
          <w:rFonts w:ascii="Book Antiqua" w:hAnsi="Book Antiqua"/>
          <w:spacing w:val="1"/>
        </w:rPr>
        <w:t xml:space="preserve"> </w:t>
      </w:r>
      <w:r>
        <w:rPr>
          <w:rFonts w:ascii="Book Antiqua" w:hAnsi="Book Antiqua"/>
        </w:rPr>
        <w:t>It was</w:t>
      </w:r>
      <w:r>
        <w:rPr>
          <w:rFonts w:ascii="Book Antiqua" w:hAnsi="Book Antiqua"/>
          <w:spacing w:val="1"/>
        </w:rPr>
        <w:t xml:space="preserve"> </w:t>
      </w:r>
      <w:r>
        <w:rPr>
          <w:rFonts w:ascii="Book Antiqua" w:hAnsi="Book Antiqua"/>
        </w:rPr>
        <w:t>challenging to identify disease, advocacy, provider and patient groups located in these</w:t>
      </w:r>
      <w:r>
        <w:rPr>
          <w:rFonts w:ascii="Book Antiqua" w:hAnsi="Book Antiqua"/>
          <w:spacing w:val="1"/>
        </w:rPr>
        <w:t xml:space="preserve"> </w:t>
      </w:r>
      <w:r>
        <w:rPr>
          <w:rFonts w:ascii="Book Antiqua" w:hAnsi="Book Antiqua"/>
        </w:rPr>
        <w:t>communities that were relevant to Boston Children’s initial plan, so Bailit Health aimed to</w:t>
      </w:r>
      <w:r>
        <w:rPr>
          <w:rFonts w:ascii="Book Antiqua" w:hAnsi="Book Antiqua"/>
          <w:spacing w:val="1"/>
        </w:rPr>
        <w:t xml:space="preserve"> </w:t>
      </w:r>
      <w:r>
        <w:rPr>
          <w:rFonts w:ascii="Book Antiqua" w:hAnsi="Book Antiqua"/>
        </w:rPr>
        <w:t>identify</w:t>
      </w:r>
      <w:r>
        <w:rPr>
          <w:rFonts w:ascii="Book Antiqua" w:hAnsi="Book Antiqua"/>
          <w:spacing w:val="-2"/>
        </w:rPr>
        <w:t xml:space="preserve"> </w:t>
      </w:r>
      <w:r>
        <w:rPr>
          <w:rFonts w:ascii="Book Antiqua" w:hAnsi="Book Antiqua"/>
        </w:rPr>
        <w:t>appropriate state-level organizations to</w:t>
      </w:r>
      <w:r>
        <w:rPr>
          <w:rFonts w:ascii="Book Antiqua" w:hAnsi="Book Antiqua"/>
          <w:spacing w:val="-4"/>
        </w:rPr>
        <w:t xml:space="preserve"> </w:t>
      </w:r>
      <w:r>
        <w:rPr>
          <w:rFonts w:ascii="Book Antiqua" w:hAnsi="Book Antiqua"/>
        </w:rPr>
        <w:t>contact.</w:t>
      </w:r>
    </w:p>
    <w:p w:rsidR="00D862F2" w:rsidRDefault="00884FE4">
      <w:pPr>
        <w:spacing w:before="120"/>
        <w:ind w:left="579" w:right="271"/>
        <w:rPr>
          <w:rFonts w:ascii="Book Antiqua" w:hAnsi="Book Antiqua"/>
        </w:rPr>
      </w:pPr>
      <w:r>
        <w:rPr>
          <w:rFonts w:ascii="Book Antiqua" w:hAnsi="Book Antiqua"/>
        </w:rPr>
        <w:t>Then, Bailit Health developed separate interview guides/talking points to utilize with local</w:t>
      </w:r>
      <w:r>
        <w:rPr>
          <w:rFonts w:ascii="Book Antiqua" w:hAnsi="Book Antiqua"/>
          <w:spacing w:val="1"/>
        </w:rPr>
        <w:t xml:space="preserve"> </w:t>
      </w:r>
      <w:r>
        <w:rPr>
          <w:rFonts w:ascii="Book Antiqua" w:hAnsi="Book Antiqua"/>
        </w:rPr>
        <w:t>government agencies, state government agencies, specialty disease groups and community</w:t>
      </w:r>
      <w:r>
        <w:rPr>
          <w:rFonts w:ascii="Book Antiqua" w:hAnsi="Book Antiqua"/>
          <w:spacing w:val="1"/>
        </w:rPr>
        <w:t xml:space="preserve"> </w:t>
      </w:r>
      <w:r>
        <w:rPr>
          <w:rFonts w:ascii="Book Antiqua" w:hAnsi="Book Antiqua"/>
        </w:rPr>
        <w:t>and grasstops groups.</w:t>
      </w:r>
      <w:r>
        <w:rPr>
          <w:rFonts w:ascii="Book Antiqua" w:hAnsi="Book Antiqua"/>
          <w:spacing w:val="55"/>
        </w:rPr>
        <w:t xml:space="preserve"> </w:t>
      </w:r>
      <w:r>
        <w:rPr>
          <w:rFonts w:ascii="Book Antiqua" w:hAnsi="Book Antiqua"/>
        </w:rPr>
        <w:t>The questions were developed to ensure they would align with</w:t>
      </w:r>
      <w:r>
        <w:rPr>
          <w:rFonts w:ascii="Book Antiqua" w:hAnsi="Book Antiqua"/>
          <w:spacing w:val="1"/>
        </w:rPr>
        <w:t xml:space="preserve"> </w:t>
      </w:r>
      <w:r>
        <w:rPr>
          <w:rFonts w:ascii="Book Antiqua" w:hAnsi="Book Antiqua"/>
        </w:rPr>
        <w:t>Factor 1’s focus on patient panel need, 2’s focus on public health values and 6’s focus on</w:t>
      </w:r>
      <w:r>
        <w:rPr>
          <w:rFonts w:ascii="Book Antiqua" w:hAnsi="Book Antiqua"/>
          <w:spacing w:val="1"/>
        </w:rPr>
        <w:t xml:space="preserve"> </w:t>
      </w:r>
      <w:r>
        <w:rPr>
          <w:rFonts w:ascii="Book Antiqua" w:hAnsi="Book Antiqua"/>
        </w:rPr>
        <w:t>CHIs.</w:t>
      </w:r>
      <w:r>
        <w:rPr>
          <w:rFonts w:ascii="Book Antiqua" w:hAnsi="Book Antiqua"/>
          <w:spacing w:val="1"/>
        </w:rPr>
        <w:t xml:space="preserve"> </w:t>
      </w:r>
      <w:r>
        <w:rPr>
          <w:rFonts w:ascii="Book Antiqua" w:hAnsi="Book Antiqua"/>
        </w:rPr>
        <w:t>Bailit Health also prioritized including questions that were challenging to find in its</w:t>
      </w:r>
      <w:r>
        <w:rPr>
          <w:rFonts w:ascii="Book Antiqua" w:hAnsi="Book Antiqua"/>
          <w:spacing w:val="1"/>
        </w:rPr>
        <w:t xml:space="preserve"> </w:t>
      </w:r>
      <w:r>
        <w:rPr>
          <w:rFonts w:ascii="Book Antiqua" w:hAnsi="Book Antiqua"/>
        </w:rPr>
        <w:t>environmental scan (e.g., do the communities need better access to these specialized services</w:t>
      </w:r>
      <w:r>
        <w:rPr>
          <w:rFonts w:ascii="Book Antiqua" w:hAnsi="Book Antiqua"/>
          <w:spacing w:val="-52"/>
        </w:rPr>
        <w:t xml:space="preserve"> </w:t>
      </w:r>
      <w:r>
        <w:rPr>
          <w:rFonts w:ascii="Book Antiqua" w:hAnsi="Book Antiqua"/>
        </w:rPr>
        <w:t>outside of Boston?).</w:t>
      </w:r>
      <w:r>
        <w:rPr>
          <w:rFonts w:ascii="Book Antiqua" w:hAnsi="Book Antiqua"/>
          <w:spacing w:val="1"/>
        </w:rPr>
        <w:t xml:space="preserve"> </w:t>
      </w:r>
      <w:r>
        <w:rPr>
          <w:rFonts w:ascii="Book Antiqua" w:hAnsi="Book Antiqua"/>
        </w:rPr>
        <w:t>Boston Children’s is also engaging with existing provider and patient</w:t>
      </w:r>
      <w:r>
        <w:rPr>
          <w:rFonts w:ascii="Book Antiqua" w:hAnsi="Book Antiqua"/>
          <w:spacing w:val="1"/>
        </w:rPr>
        <w:t xml:space="preserve"> </w:t>
      </w:r>
      <w:r>
        <w:rPr>
          <w:rFonts w:ascii="Book Antiqua" w:hAnsi="Book Antiqua"/>
        </w:rPr>
        <w:t>groups</w:t>
      </w:r>
      <w:r>
        <w:rPr>
          <w:rFonts w:ascii="Book Antiqua" w:hAnsi="Book Antiqua"/>
          <w:spacing w:val="-1"/>
        </w:rPr>
        <w:t xml:space="preserve"> </w:t>
      </w:r>
      <w:r>
        <w:rPr>
          <w:rFonts w:ascii="Book Antiqua" w:hAnsi="Book Antiqua"/>
        </w:rPr>
        <w:t>to</w:t>
      </w:r>
      <w:r>
        <w:rPr>
          <w:rFonts w:ascii="Book Antiqua" w:hAnsi="Book Antiqua"/>
          <w:spacing w:val="-2"/>
        </w:rPr>
        <w:t xml:space="preserve"> </w:t>
      </w:r>
      <w:r>
        <w:rPr>
          <w:rFonts w:ascii="Book Antiqua" w:hAnsi="Book Antiqua"/>
        </w:rPr>
        <w:t>ensure</w:t>
      </w:r>
      <w:r>
        <w:rPr>
          <w:rFonts w:ascii="Book Antiqua" w:hAnsi="Book Antiqua"/>
          <w:spacing w:val="-1"/>
        </w:rPr>
        <w:t xml:space="preserve"> </w:t>
      </w:r>
      <w:r>
        <w:rPr>
          <w:rFonts w:ascii="Book Antiqua" w:hAnsi="Book Antiqua"/>
        </w:rPr>
        <w:t>the</w:t>
      </w:r>
      <w:r>
        <w:rPr>
          <w:rFonts w:ascii="Book Antiqua" w:hAnsi="Book Antiqua"/>
          <w:spacing w:val="-1"/>
        </w:rPr>
        <w:t xml:space="preserve"> </w:t>
      </w:r>
      <w:r>
        <w:rPr>
          <w:rFonts w:ascii="Book Antiqua" w:hAnsi="Book Antiqua"/>
        </w:rPr>
        <w:t>proposed</w:t>
      </w:r>
      <w:r>
        <w:rPr>
          <w:rFonts w:ascii="Book Antiqua" w:hAnsi="Book Antiqua"/>
          <w:spacing w:val="-2"/>
        </w:rPr>
        <w:t xml:space="preserve"> </w:t>
      </w:r>
      <w:r>
        <w:rPr>
          <w:rFonts w:ascii="Book Antiqua" w:hAnsi="Book Antiqua"/>
        </w:rPr>
        <w:t>services</w:t>
      </w:r>
      <w:r>
        <w:rPr>
          <w:rFonts w:ascii="Book Antiqua" w:hAnsi="Book Antiqua"/>
          <w:spacing w:val="-4"/>
        </w:rPr>
        <w:t xml:space="preserve"> </w:t>
      </w:r>
      <w:r>
        <w:rPr>
          <w:rFonts w:ascii="Book Antiqua" w:hAnsi="Book Antiqua"/>
        </w:rPr>
        <w:t>are</w:t>
      </w:r>
      <w:r>
        <w:rPr>
          <w:rFonts w:ascii="Book Antiqua" w:hAnsi="Book Antiqua"/>
          <w:spacing w:val="-1"/>
        </w:rPr>
        <w:t xml:space="preserve"> </w:t>
      </w:r>
      <w:r>
        <w:rPr>
          <w:rFonts w:ascii="Book Antiqua" w:hAnsi="Book Antiqua"/>
        </w:rPr>
        <w:t>desired</w:t>
      </w:r>
      <w:r>
        <w:rPr>
          <w:rFonts w:ascii="Book Antiqua" w:hAnsi="Book Antiqua"/>
          <w:spacing w:val="-1"/>
        </w:rPr>
        <w:t xml:space="preserve"> </w:t>
      </w:r>
      <w:r>
        <w:rPr>
          <w:rFonts w:ascii="Book Antiqua" w:hAnsi="Book Antiqua"/>
        </w:rPr>
        <w:t>by</w:t>
      </w:r>
      <w:r>
        <w:rPr>
          <w:rFonts w:ascii="Book Antiqua" w:hAnsi="Book Antiqua"/>
          <w:spacing w:val="-2"/>
        </w:rPr>
        <w:t xml:space="preserve"> </w:t>
      </w:r>
      <w:r>
        <w:rPr>
          <w:rFonts w:ascii="Book Antiqua" w:hAnsi="Book Antiqua"/>
        </w:rPr>
        <w:t>the</w:t>
      </w:r>
      <w:r>
        <w:rPr>
          <w:rFonts w:ascii="Book Antiqua" w:hAnsi="Book Antiqua"/>
          <w:spacing w:val="-4"/>
        </w:rPr>
        <w:t xml:space="preserve"> </w:t>
      </w:r>
      <w:r>
        <w:rPr>
          <w:rFonts w:ascii="Book Antiqua" w:hAnsi="Book Antiqua"/>
        </w:rPr>
        <w:t>hospital’s</w:t>
      </w:r>
      <w:r>
        <w:rPr>
          <w:rFonts w:ascii="Book Antiqua" w:hAnsi="Book Antiqua"/>
          <w:spacing w:val="-1"/>
        </w:rPr>
        <w:t xml:space="preserve"> </w:t>
      </w:r>
      <w:r>
        <w:rPr>
          <w:rFonts w:ascii="Book Antiqua" w:hAnsi="Book Antiqua"/>
        </w:rPr>
        <w:t>current</w:t>
      </w:r>
      <w:r>
        <w:rPr>
          <w:rFonts w:ascii="Book Antiqua" w:hAnsi="Book Antiqua"/>
          <w:spacing w:val="-1"/>
        </w:rPr>
        <w:t xml:space="preserve"> </w:t>
      </w:r>
      <w:r>
        <w:rPr>
          <w:rFonts w:ascii="Book Antiqua" w:hAnsi="Book Antiqua"/>
        </w:rPr>
        <w:t>patient</w:t>
      </w:r>
      <w:r>
        <w:rPr>
          <w:rFonts w:ascii="Book Antiqua" w:hAnsi="Book Antiqua"/>
          <w:spacing w:val="-1"/>
        </w:rPr>
        <w:t xml:space="preserve"> </w:t>
      </w:r>
      <w:r>
        <w:rPr>
          <w:rFonts w:ascii="Book Antiqua" w:hAnsi="Book Antiqua"/>
        </w:rPr>
        <w:t>panel.</w:t>
      </w:r>
    </w:p>
    <w:p w:rsidR="00D862F2" w:rsidRDefault="00884FE4">
      <w:pPr>
        <w:spacing w:before="119"/>
        <w:ind w:left="579" w:right="1019"/>
        <w:rPr>
          <w:rFonts w:ascii="Book Antiqua" w:hAnsi="Book Antiqua"/>
        </w:rPr>
      </w:pPr>
      <w:r>
        <w:rPr>
          <w:rFonts w:ascii="Book Antiqua" w:hAnsi="Book Antiqua"/>
        </w:rPr>
        <w:t>Bailit Health confirms that Boston Children’s planned level of engagement for this</w:t>
      </w:r>
      <w:r>
        <w:rPr>
          <w:rFonts w:ascii="Book Antiqua" w:hAnsi="Book Antiqua"/>
          <w:spacing w:val="1"/>
        </w:rPr>
        <w:t xml:space="preserve"> </w:t>
      </w:r>
      <w:r>
        <w:rPr>
          <w:rFonts w:ascii="Book Antiqua" w:hAnsi="Book Antiqua"/>
        </w:rPr>
        <w:t>component of its DON application meets the “Consult” level, as outlined in the DPH</w:t>
      </w:r>
      <w:r>
        <w:rPr>
          <w:rFonts w:ascii="Book Antiqua" w:hAnsi="Book Antiqua"/>
          <w:spacing w:val="-52"/>
        </w:rPr>
        <w:t xml:space="preserve"> </w:t>
      </w:r>
      <w:r>
        <w:rPr>
          <w:rFonts w:ascii="Book Antiqua" w:hAnsi="Book Antiqua"/>
        </w:rPr>
        <w:t>guidelines.</w:t>
      </w: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337703">
      <w:pPr>
        <w:pStyle w:val="BodyText"/>
        <w:spacing w:before="5"/>
        <w:rPr>
          <w:rFonts w:ascii="Book Antiqua"/>
          <w:sz w:val="23"/>
        </w:rPr>
      </w:pPr>
      <w:r>
        <w:rPr>
          <w:noProof/>
        </w:rPr>
        <mc:AlternateContent>
          <mc:Choice Requires="wps">
            <w:drawing>
              <wp:anchor distT="0" distB="0" distL="0" distR="0" simplePos="0" relativeHeight="487597568" behindDoc="1" locked="0" layoutInCell="1" allowOverlap="1">
                <wp:simplePos x="0" y="0"/>
                <wp:positionH relativeFrom="page">
                  <wp:posOffset>914400</wp:posOffset>
                </wp:positionH>
                <wp:positionV relativeFrom="paragraph">
                  <wp:posOffset>200025</wp:posOffset>
                </wp:positionV>
                <wp:extent cx="1828800" cy="7620"/>
                <wp:effectExtent l="0" t="0" r="0" b="11430"/>
                <wp:wrapTopAndBottom/>
                <wp:docPr id="10" name="docshape22"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FBDBD" id="docshape22" o:spid="_x0000_s1026" alt="Title: Division Line - Description: Division Line between the main content and the footnotes" style="position:absolute;margin-left:1in;margin-top:15.75pt;width:2in;height:.6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" fillcolor="black" stroked="f">
                <w10:wrap type="topAndBottom" anchorx="page"/>
              </v:rect>
            </w:pict>
          </mc:Fallback>
        </mc:AlternateContent>
      </w:r>
    </w:p>
    <w:p w:rsidR="00D862F2" w:rsidRDefault="00884FE4">
      <w:pPr>
        <w:spacing w:before="110"/>
        <w:ind w:left="220" w:right="720"/>
        <w:rPr>
          <w:rFonts w:ascii="Book Antiqua" w:hAnsi="Book Antiqua"/>
          <w:sz w:val="20"/>
        </w:rPr>
      </w:pPr>
      <w:bookmarkStart w:id="58" w:name="_bookmark57"/>
      <w:bookmarkEnd w:id="58"/>
      <w:r>
        <w:rPr>
          <w:rFonts w:ascii="Book Antiqua" w:hAnsi="Book Antiqua"/>
          <w:position w:val="5"/>
          <w:sz w:val="13"/>
        </w:rPr>
        <w:t xml:space="preserve">58 </w:t>
      </w:r>
      <w:r>
        <w:rPr>
          <w:rFonts w:ascii="Book Antiqua" w:hAnsi="Book Antiqua"/>
          <w:sz w:val="20"/>
        </w:rPr>
        <w:t>Massachusetts Department of Public Health.</w:t>
      </w:r>
      <w:r>
        <w:rPr>
          <w:rFonts w:ascii="Book Antiqua" w:hAnsi="Book Antiqua"/>
          <w:spacing w:val="1"/>
          <w:sz w:val="20"/>
        </w:rPr>
        <w:t xml:space="preserve"> </w:t>
      </w:r>
      <w:r>
        <w:rPr>
          <w:rFonts w:ascii="Book Antiqua" w:hAnsi="Book Antiqua"/>
          <w:sz w:val="20"/>
        </w:rPr>
        <w:t>(2017).</w:t>
      </w:r>
      <w:r>
        <w:rPr>
          <w:rFonts w:ascii="Book Antiqua" w:hAnsi="Book Antiqua"/>
          <w:spacing w:val="1"/>
          <w:sz w:val="20"/>
        </w:rPr>
        <w:t xml:space="preserve"> </w:t>
      </w:r>
      <w:r>
        <w:rPr>
          <w:rFonts w:ascii="Book Antiqua" w:hAnsi="Book Antiqua"/>
          <w:sz w:val="20"/>
        </w:rPr>
        <w:t>“Community Engagement Standards for</w:t>
      </w:r>
      <w:r>
        <w:rPr>
          <w:rFonts w:ascii="Book Antiqua" w:hAnsi="Book Antiqua"/>
          <w:spacing w:val="1"/>
          <w:sz w:val="20"/>
        </w:rPr>
        <w:t xml:space="preserve"> </w:t>
      </w:r>
      <w:r>
        <w:rPr>
          <w:rFonts w:ascii="Book Antiqua" w:hAnsi="Book Antiqua"/>
          <w:sz w:val="20"/>
        </w:rPr>
        <w:t>Community</w:t>
      </w:r>
      <w:r>
        <w:rPr>
          <w:rFonts w:ascii="Book Antiqua" w:hAnsi="Book Antiqua"/>
          <w:spacing w:val="-7"/>
          <w:sz w:val="20"/>
        </w:rPr>
        <w:t xml:space="preserve"> </w:t>
      </w:r>
      <w:r>
        <w:rPr>
          <w:rFonts w:ascii="Book Antiqua" w:hAnsi="Book Antiqua"/>
          <w:sz w:val="20"/>
        </w:rPr>
        <w:t>Health</w:t>
      </w:r>
      <w:r>
        <w:rPr>
          <w:rFonts w:ascii="Book Antiqua" w:hAnsi="Book Antiqua"/>
          <w:spacing w:val="-6"/>
          <w:sz w:val="20"/>
        </w:rPr>
        <w:t xml:space="preserve"> </w:t>
      </w:r>
      <w:r>
        <w:rPr>
          <w:rFonts w:ascii="Book Antiqua" w:hAnsi="Book Antiqua"/>
          <w:sz w:val="20"/>
        </w:rPr>
        <w:t>Planning</w:t>
      </w:r>
      <w:r>
        <w:rPr>
          <w:rFonts w:ascii="Book Antiqua" w:hAnsi="Book Antiqua"/>
          <w:spacing w:val="-6"/>
          <w:sz w:val="20"/>
        </w:rPr>
        <w:t xml:space="preserve"> </w:t>
      </w:r>
      <w:r>
        <w:rPr>
          <w:rFonts w:ascii="Book Antiqua" w:hAnsi="Book Antiqua"/>
          <w:sz w:val="20"/>
        </w:rPr>
        <w:t>Guideline.”</w:t>
      </w:r>
      <w:r>
        <w:rPr>
          <w:rFonts w:ascii="Book Antiqua" w:hAnsi="Book Antiqua"/>
          <w:spacing w:val="41"/>
          <w:sz w:val="20"/>
        </w:rPr>
        <w:t xml:space="preserve"> </w:t>
      </w:r>
      <w:r>
        <w:rPr>
          <w:rFonts w:ascii="Book Antiqua" w:hAnsi="Book Antiqua"/>
          <w:sz w:val="20"/>
        </w:rPr>
        <w:t>Retrieved</w:t>
      </w:r>
      <w:r>
        <w:rPr>
          <w:rFonts w:ascii="Book Antiqua" w:hAnsi="Book Antiqua"/>
          <w:spacing w:val="-5"/>
          <w:sz w:val="20"/>
        </w:rPr>
        <w:t xml:space="preserve"> </w:t>
      </w:r>
      <w:r>
        <w:rPr>
          <w:rFonts w:ascii="Book Antiqua" w:hAnsi="Book Antiqua"/>
          <w:sz w:val="20"/>
        </w:rPr>
        <w:t>from</w:t>
      </w:r>
      <w:r>
        <w:rPr>
          <w:rFonts w:ascii="Book Antiqua" w:hAnsi="Book Antiqua"/>
          <w:spacing w:val="-5"/>
          <w:sz w:val="20"/>
        </w:rPr>
        <w:t xml:space="preserve"> </w:t>
      </w:r>
      <w:hyperlink r:id="rId77">
        <w:r>
          <w:rPr>
            <w:rFonts w:ascii="Book Antiqua" w:hAnsi="Book Antiqua"/>
            <w:color w:val="0000FF"/>
            <w:sz w:val="20"/>
            <w:u w:val="single" w:color="0000FF"/>
          </w:rPr>
          <w:t>https://www.mass.gov/doc/community-</w:t>
        </w:r>
      </w:hyperlink>
      <w:r>
        <w:rPr>
          <w:rFonts w:ascii="Book Antiqua" w:hAnsi="Book Antiqua"/>
          <w:color w:val="0000FF"/>
          <w:spacing w:val="-47"/>
          <w:sz w:val="20"/>
        </w:rPr>
        <w:t xml:space="preserve"> </w:t>
      </w:r>
      <w:hyperlink r:id="rId78">
        <w:r>
          <w:rPr>
            <w:rFonts w:ascii="Book Antiqua" w:hAnsi="Book Antiqua"/>
            <w:color w:val="0000FF"/>
            <w:sz w:val="20"/>
            <w:u w:val="single" w:color="0000FF"/>
          </w:rPr>
          <w:t>engagement-guidelines-for-community-health-planning-pdf/download</w:t>
        </w:r>
        <w:r>
          <w:rPr>
            <w:rFonts w:ascii="Book Antiqua" w:hAnsi="Book Antiqua"/>
            <w:sz w:val="20"/>
          </w:rPr>
          <w:t>.</w:t>
        </w:r>
      </w:hyperlink>
    </w:p>
    <w:p w:rsidR="00D862F2" w:rsidRDefault="00D862F2">
      <w:pPr>
        <w:rPr>
          <w:rFonts w:ascii="Book Antiqua" w:hAnsi="Book Antiqua"/>
          <w:sz w:val="20"/>
        </w:rPr>
        <w:sectPr w:rsidR="00D862F2">
          <w:headerReference w:type="default" r:id="rId79"/>
          <w:footerReference w:type="default" r:id="rId80"/>
          <w:pgSz w:w="12240" w:h="15840"/>
          <w:pgMar w:top="1360" w:right="1160" w:bottom="280" w:left="1220" w:header="0" w:footer="0" w:gutter="0"/>
          <w:cols w:space="720"/>
        </w:sectPr>
      </w:pPr>
    </w:p>
    <w:p w:rsidR="00D862F2" w:rsidRDefault="00884FE4">
      <w:pPr>
        <w:pStyle w:val="ListParagraph"/>
        <w:numPr>
          <w:ilvl w:val="0"/>
          <w:numId w:val="1"/>
        </w:numPr>
        <w:tabs>
          <w:tab w:val="left" w:pos="940"/>
        </w:tabs>
        <w:spacing w:before="80"/>
        <w:rPr>
          <w:rFonts w:ascii="Book Antiqua"/>
          <w:b/>
          <w:i/>
        </w:rPr>
      </w:pPr>
      <w:r>
        <w:rPr>
          <w:rFonts w:ascii="Book Antiqua"/>
          <w:b/>
          <w:i/>
        </w:rPr>
        <w:lastRenderedPageBreak/>
        <w:t>Community</w:t>
      </w:r>
      <w:r>
        <w:rPr>
          <w:rFonts w:ascii="Book Antiqua"/>
          <w:b/>
          <w:i/>
          <w:spacing w:val="-5"/>
        </w:rPr>
        <w:t xml:space="preserve"> </w:t>
      </w:r>
      <w:r>
        <w:rPr>
          <w:rFonts w:ascii="Book Antiqua"/>
          <w:b/>
          <w:i/>
        </w:rPr>
        <w:t>Engagement</w:t>
      </w:r>
      <w:r>
        <w:rPr>
          <w:rFonts w:ascii="Book Antiqua"/>
          <w:b/>
          <w:i/>
          <w:spacing w:val="-5"/>
        </w:rPr>
        <w:t xml:space="preserve"> </w:t>
      </w:r>
      <w:r>
        <w:rPr>
          <w:rFonts w:ascii="Book Antiqua"/>
          <w:b/>
          <w:i/>
        </w:rPr>
        <w:t>for</w:t>
      </w:r>
      <w:r>
        <w:rPr>
          <w:rFonts w:ascii="Book Antiqua"/>
          <w:b/>
          <w:i/>
          <w:spacing w:val="-3"/>
        </w:rPr>
        <w:t xml:space="preserve"> </w:t>
      </w:r>
      <w:r>
        <w:rPr>
          <w:rFonts w:ascii="Book Antiqua"/>
          <w:b/>
          <w:i/>
        </w:rPr>
        <w:t>the</w:t>
      </w:r>
      <w:r>
        <w:rPr>
          <w:rFonts w:ascii="Book Antiqua"/>
          <w:b/>
          <w:i/>
          <w:spacing w:val="-3"/>
        </w:rPr>
        <w:t xml:space="preserve"> </w:t>
      </w:r>
      <w:r>
        <w:rPr>
          <w:rFonts w:ascii="Book Antiqua"/>
          <w:b/>
          <w:i/>
        </w:rPr>
        <w:t>Community-based</w:t>
      </w:r>
      <w:r>
        <w:rPr>
          <w:rFonts w:ascii="Book Antiqua"/>
          <w:b/>
          <w:i/>
          <w:spacing w:val="-4"/>
        </w:rPr>
        <w:t xml:space="preserve"> </w:t>
      </w:r>
      <w:r>
        <w:rPr>
          <w:rFonts w:ascii="Book Antiqua"/>
          <w:b/>
          <w:i/>
        </w:rPr>
        <w:t>Health</w:t>
      </w:r>
      <w:r>
        <w:rPr>
          <w:rFonts w:ascii="Book Antiqua"/>
          <w:b/>
          <w:i/>
          <w:spacing w:val="-4"/>
        </w:rPr>
        <w:t xml:space="preserve"> </w:t>
      </w:r>
      <w:r>
        <w:rPr>
          <w:rFonts w:ascii="Book Antiqua"/>
          <w:b/>
          <w:i/>
        </w:rPr>
        <w:t>Initiative</w:t>
      </w:r>
    </w:p>
    <w:p w:rsidR="00D862F2" w:rsidRDefault="00884FE4">
      <w:pPr>
        <w:spacing w:before="118"/>
        <w:ind w:left="579" w:right="312"/>
        <w:rPr>
          <w:rFonts w:ascii="Book Antiqua" w:hAnsi="Book Antiqua"/>
          <w:sz w:val="14"/>
        </w:rPr>
      </w:pPr>
      <w:r>
        <w:rPr>
          <w:rFonts w:ascii="Book Antiqua" w:hAnsi="Book Antiqua"/>
        </w:rPr>
        <w:t>In addition to the work performed prior to its DON application submission, Boston</w:t>
      </w:r>
      <w:r>
        <w:rPr>
          <w:rFonts w:ascii="Book Antiqua" w:hAnsi="Book Antiqua"/>
          <w:spacing w:val="1"/>
        </w:rPr>
        <w:t xml:space="preserve"> </w:t>
      </w:r>
      <w:r>
        <w:rPr>
          <w:rFonts w:ascii="Book Antiqua" w:hAnsi="Book Antiqua"/>
        </w:rPr>
        <w:t>Children’s is committed to performing ongoing community engagement through its CHI.</w:t>
      </w:r>
      <w:r>
        <w:rPr>
          <w:rFonts w:ascii="Book Antiqua" w:hAnsi="Book Antiqua"/>
          <w:spacing w:val="1"/>
        </w:rPr>
        <w:t xml:space="preserve"> </w:t>
      </w:r>
      <w:r>
        <w:rPr>
          <w:rFonts w:ascii="Book Antiqua" w:hAnsi="Book Antiqua"/>
        </w:rPr>
        <w:t>Boston Children’s has historically demonstrated its intentional effort to engage underserved</w:t>
      </w:r>
      <w:r>
        <w:rPr>
          <w:rFonts w:ascii="Book Antiqua" w:hAnsi="Book Antiqua"/>
          <w:spacing w:val="-52"/>
        </w:rPr>
        <w:t xml:space="preserve"> </w:t>
      </w:r>
      <w:r>
        <w:rPr>
          <w:rFonts w:ascii="Book Antiqua" w:hAnsi="Book Antiqua"/>
        </w:rPr>
        <w:t>communities, as defined as municipalities with disproportionately large populations of</w:t>
      </w:r>
      <w:r>
        <w:rPr>
          <w:rFonts w:ascii="Book Antiqua" w:hAnsi="Book Antiqua"/>
          <w:spacing w:val="1"/>
        </w:rPr>
        <w:t xml:space="preserve"> </w:t>
      </w:r>
      <w:r>
        <w:rPr>
          <w:rFonts w:ascii="Book Antiqua" w:hAnsi="Book Antiqua"/>
        </w:rPr>
        <w:t>children, low income individuals and/or people of color.</w:t>
      </w:r>
      <w:r>
        <w:rPr>
          <w:rFonts w:ascii="Book Antiqua" w:hAnsi="Book Antiqua"/>
          <w:spacing w:val="55"/>
        </w:rPr>
        <w:t xml:space="preserve"> </w:t>
      </w:r>
      <w:r>
        <w:rPr>
          <w:rFonts w:ascii="Book Antiqua" w:hAnsi="Book Antiqua"/>
        </w:rPr>
        <w:t>As part of the 2016 DON</w:t>
      </w:r>
      <w:r>
        <w:rPr>
          <w:rFonts w:ascii="Book Antiqua" w:hAnsi="Book Antiqua"/>
          <w:spacing w:val="1"/>
        </w:rPr>
        <w:t xml:space="preserve"> </w:t>
      </w:r>
      <w:r>
        <w:rPr>
          <w:rFonts w:ascii="Book Antiqua" w:hAnsi="Book Antiqua"/>
        </w:rPr>
        <w:t>approval, Boston Children’s invested $53.4 million to benefit children’s health and well-</w:t>
      </w:r>
      <w:r>
        <w:rPr>
          <w:rFonts w:ascii="Book Antiqua" w:hAnsi="Book Antiqua"/>
          <w:spacing w:val="1"/>
        </w:rPr>
        <w:t xml:space="preserve"> </w:t>
      </w:r>
      <w:r>
        <w:rPr>
          <w:rFonts w:ascii="Book Antiqua" w:hAnsi="Book Antiqua"/>
        </w:rPr>
        <w:t>being over ten years.</w:t>
      </w:r>
      <w:r>
        <w:rPr>
          <w:rFonts w:ascii="Book Antiqua" w:hAnsi="Book Antiqua"/>
          <w:spacing w:val="1"/>
        </w:rPr>
        <w:t xml:space="preserve"> </w:t>
      </w:r>
      <w:r>
        <w:rPr>
          <w:rFonts w:ascii="Book Antiqua" w:hAnsi="Book Antiqua"/>
        </w:rPr>
        <w:t>It convened a Community Advisory Committee and engaged with</w:t>
      </w:r>
      <w:r>
        <w:rPr>
          <w:rFonts w:ascii="Book Antiqua" w:hAnsi="Book Antiqua"/>
          <w:spacing w:val="1"/>
        </w:rPr>
        <w:t xml:space="preserve"> </w:t>
      </w:r>
      <w:r>
        <w:rPr>
          <w:rFonts w:ascii="Book Antiqua" w:hAnsi="Book Antiqua"/>
        </w:rPr>
        <w:t>more than 300 individuals to identify community health priorities, one of which was to</w:t>
      </w:r>
      <w:r>
        <w:rPr>
          <w:rFonts w:ascii="Book Antiqua" w:hAnsi="Book Antiqua"/>
          <w:spacing w:val="1"/>
        </w:rPr>
        <w:t xml:space="preserve"> </w:t>
      </w:r>
      <w:r>
        <w:rPr>
          <w:rFonts w:ascii="Book Antiqua" w:hAnsi="Book Antiqua"/>
        </w:rPr>
        <w:t>“foster collaboration and cohesion in communities disproportionately impacted by</w:t>
      </w:r>
      <w:r>
        <w:rPr>
          <w:rFonts w:ascii="Book Antiqua" w:hAnsi="Book Antiqua"/>
          <w:spacing w:val="1"/>
        </w:rPr>
        <w:t xml:space="preserve"> </w:t>
      </w:r>
      <w:r>
        <w:rPr>
          <w:rFonts w:ascii="Book Antiqua" w:hAnsi="Book Antiqua"/>
        </w:rPr>
        <w:t>racial/ethnic and socioeconomic inequities in health and the social determinants of</w:t>
      </w:r>
      <w:r>
        <w:rPr>
          <w:rFonts w:ascii="Book Antiqua" w:hAnsi="Book Antiqua"/>
          <w:spacing w:val="1"/>
        </w:rPr>
        <w:t xml:space="preserve"> </w:t>
      </w:r>
      <w:r>
        <w:rPr>
          <w:rFonts w:ascii="Book Antiqua" w:hAnsi="Book Antiqua"/>
        </w:rPr>
        <w:t>health.”</w:t>
      </w:r>
      <w:hyperlink w:anchor="_bookmark58" w:history="1">
        <w:r>
          <w:rPr>
            <w:rFonts w:ascii="Book Antiqua" w:hAnsi="Book Antiqua"/>
            <w:position w:val="5"/>
            <w:sz w:val="14"/>
          </w:rPr>
          <w:t>59</w:t>
        </w:r>
      </w:hyperlink>
    </w:p>
    <w:p w:rsidR="00D862F2" w:rsidRDefault="00884FE4">
      <w:pPr>
        <w:spacing w:before="120"/>
        <w:ind w:left="579" w:right="280"/>
        <w:rPr>
          <w:rFonts w:ascii="Book Antiqua" w:hAnsi="Book Antiqua"/>
        </w:rPr>
      </w:pPr>
      <w:r>
        <w:rPr>
          <w:rFonts w:ascii="Book Antiqua" w:hAnsi="Book Antiqua"/>
        </w:rPr>
        <w:t>Bailit Health has been reviewing and providing input on Boston Children’s plans for its CHI</w:t>
      </w:r>
      <w:r>
        <w:rPr>
          <w:rFonts w:ascii="Book Antiqua" w:hAnsi="Book Antiqua"/>
          <w:spacing w:val="-52"/>
        </w:rPr>
        <w:t xml:space="preserve"> </w:t>
      </w:r>
      <w:r>
        <w:rPr>
          <w:rFonts w:ascii="Book Antiqua" w:hAnsi="Book Antiqua"/>
        </w:rPr>
        <w:t>as part of its 2021 DON application.</w:t>
      </w:r>
      <w:r>
        <w:rPr>
          <w:rFonts w:ascii="Book Antiqua" w:hAnsi="Book Antiqua"/>
          <w:spacing w:val="1"/>
        </w:rPr>
        <w:t xml:space="preserve"> </w:t>
      </w:r>
      <w:r>
        <w:rPr>
          <w:rFonts w:ascii="Book Antiqua" w:hAnsi="Book Antiqua"/>
        </w:rPr>
        <w:t>For example, Bailit Health has already offered some</w:t>
      </w:r>
      <w:r>
        <w:rPr>
          <w:rFonts w:ascii="Book Antiqua" w:hAnsi="Book Antiqua"/>
          <w:spacing w:val="1"/>
        </w:rPr>
        <w:t xml:space="preserve"> </w:t>
      </w:r>
      <w:r>
        <w:rPr>
          <w:rFonts w:ascii="Book Antiqua" w:hAnsi="Book Antiqua"/>
        </w:rPr>
        <w:t>suggestions for how Boston Children’s should leverage its community-based health</w:t>
      </w:r>
      <w:r>
        <w:rPr>
          <w:rFonts w:ascii="Book Antiqua" w:hAnsi="Book Antiqua"/>
          <w:spacing w:val="1"/>
        </w:rPr>
        <w:t xml:space="preserve"> </w:t>
      </w:r>
      <w:r>
        <w:rPr>
          <w:rFonts w:ascii="Book Antiqua" w:hAnsi="Book Antiqua"/>
        </w:rPr>
        <w:t>initiative to obtain input on how to address the community- and individual-level behavioral</w:t>
      </w:r>
      <w:r>
        <w:rPr>
          <w:rFonts w:ascii="Book Antiqua" w:hAnsi="Book Antiqua"/>
          <w:spacing w:val="-52"/>
        </w:rPr>
        <w:t xml:space="preserve"> </w:t>
      </w:r>
      <w:r>
        <w:rPr>
          <w:rFonts w:ascii="Book Antiqua" w:hAnsi="Book Antiqua"/>
        </w:rPr>
        <w:t>health needs of its patient population.</w:t>
      </w:r>
      <w:r>
        <w:rPr>
          <w:rFonts w:ascii="Book Antiqua" w:hAnsi="Book Antiqua"/>
          <w:spacing w:val="1"/>
        </w:rPr>
        <w:t xml:space="preserve"> </w:t>
      </w:r>
      <w:r>
        <w:rPr>
          <w:rFonts w:ascii="Book Antiqua" w:hAnsi="Book Antiqua"/>
        </w:rPr>
        <w:t>It is evident that Boston Children’s continues to</w:t>
      </w:r>
      <w:r>
        <w:rPr>
          <w:rFonts w:ascii="Book Antiqua" w:hAnsi="Book Antiqua"/>
          <w:spacing w:val="1"/>
        </w:rPr>
        <w:t xml:space="preserve"> </w:t>
      </w:r>
      <w:r>
        <w:rPr>
          <w:rFonts w:ascii="Book Antiqua" w:hAnsi="Book Antiqua"/>
        </w:rPr>
        <w:t>develop a strategy that is rooted in the guidelines set forth by DPH and that is committed to</w:t>
      </w:r>
      <w:r>
        <w:rPr>
          <w:rFonts w:ascii="Book Antiqua" w:hAnsi="Book Antiqua"/>
          <w:spacing w:val="-52"/>
        </w:rPr>
        <w:t xml:space="preserve"> </w:t>
      </w:r>
      <w:r>
        <w:rPr>
          <w:rFonts w:ascii="Book Antiqua" w:hAnsi="Book Antiqua"/>
        </w:rPr>
        <w:t>supporting underserved communities, which we believe will yield meaningful engagement.</w:t>
      </w:r>
      <w:r>
        <w:rPr>
          <w:rFonts w:ascii="Book Antiqua" w:hAnsi="Book Antiqua"/>
          <w:spacing w:val="-52"/>
        </w:rPr>
        <w:t xml:space="preserve"> </w:t>
      </w:r>
      <w:r>
        <w:rPr>
          <w:rFonts w:ascii="Book Antiqua" w:hAnsi="Book Antiqua"/>
        </w:rPr>
        <w:t>Based on this, Bailit Health believes that Boston Children’s planned level of engagement for</w:t>
      </w:r>
      <w:r>
        <w:rPr>
          <w:rFonts w:ascii="Book Antiqua" w:hAnsi="Book Antiqua"/>
          <w:spacing w:val="1"/>
        </w:rPr>
        <w:t xml:space="preserve"> </w:t>
      </w:r>
      <w:r>
        <w:rPr>
          <w:rFonts w:ascii="Book Antiqua" w:hAnsi="Book Antiqua"/>
        </w:rPr>
        <w:t>its</w:t>
      </w:r>
      <w:r>
        <w:rPr>
          <w:rFonts w:ascii="Book Antiqua" w:hAnsi="Book Antiqua"/>
          <w:spacing w:val="-1"/>
        </w:rPr>
        <w:t xml:space="preserve"> </w:t>
      </w:r>
      <w:r>
        <w:rPr>
          <w:rFonts w:ascii="Book Antiqua" w:hAnsi="Book Antiqua"/>
        </w:rPr>
        <w:t>CHI</w:t>
      </w:r>
      <w:r>
        <w:rPr>
          <w:rFonts w:ascii="Book Antiqua" w:hAnsi="Book Antiqua"/>
          <w:spacing w:val="-3"/>
        </w:rPr>
        <w:t xml:space="preserve"> </w:t>
      </w:r>
      <w:r>
        <w:rPr>
          <w:rFonts w:ascii="Book Antiqua" w:hAnsi="Book Antiqua"/>
        </w:rPr>
        <w:t>meets the</w:t>
      </w:r>
      <w:r>
        <w:rPr>
          <w:rFonts w:ascii="Book Antiqua" w:hAnsi="Book Antiqua"/>
          <w:spacing w:val="-1"/>
        </w:rPr>
        <w:t xml:space="preserve"> </w:t>
      </w:r>
      <w:r>
        <w:rPr>
          <w:rFonts w:ascii="Book Antiqua" w:hAnsi="Book Antiqua"/>
        </w:rPr>
        <w:t>“Collaborate” level, as</w:t>
      </w:r>
      <w:r>
        <w:rPr>
          <w:rFonts w:ascii="Book Antiqua" w:hAnsi="Book Antiqua"/>
          <w:spacing w:val="-1"/>
        </w:rPr>
        <w:t xml:space="preserve"> </w:t>
      </w:r>
      <w:r>
        <w:rPr>
          <w:rFonts w:ascii="Book Antiqua" w:hAnsi="Book Antiqua"/>
        </w:rPr>
        <w:t>outlined</w:t>
      </w:r>
      <w:r>
        <w:rPr>
          <w:rFonts w:ascii="Book Antiqua" w:hAnsi="Book Antiqua"/>
          <w:spacing w:val="-3"/>
        </w:rPr>
        <w:t xml:space="preserve"> </w:t>
      </w:r>
      <w:r>
        <w:rPr>
          <w:rFonts w:ascii="Book Antiqua" w:hAnsi="Book Antiqua"/>
        </w:rPr>
        <w:t>in</w:t>
      </w:r>
      <w:r>
        <w:rPr>
          <w:rFonts w:ascii="Book Antiqua" w:hAnsi="Book Antiqua"/>
          <w:spacing w:val="1"/>
        </w:rPr>
        <w:t xml:space="preserve"> </w:t>
      </w:r>
      <w:r>
        <w:rPr>
          <w:rFonts w:ascii="Book Antiqua" w:hAnsi="Book Antiqua"/>
        </w:rPr>
        <w:t>the</w:t>
      </w:r>
      <w:r>
        <w:rPr>
          <w:rFonts w:ascii="Book Antiqua" w:hAnsi="Book Antiqua"/>
          <w:spacing w:val="-1"/>
        </w:rPr>
        <w:t xml:space="preserve"> </w:t>
      </w:r>
      <w:r>
        <w:rPr>
          <w:rFonts w:ascii="Book Antiqua" w:hAnsi="Book Antiqua"/>
        </w:rPr>
        <w:t>DPH</w:t>
      </w:r>
      <w:r>
        <w:rPr>
          <w:rFonts w:ascii="Book Antiqua" w:hAnsi="Book Antiqua"/>
          <w:spacing w:val="-2"/>
        </w:rPr>
        <w:t xml:space="preserve"> </w:t>
      </w:r>
      <w:r>
        <w:rPr>
          <w:rFonts w:ascii="Book Antiqua" w:hAnsi="Book Antiqua"/>
        </w:rPr>
        <w:t>guidelines.</w:t>
      </w:r>
    </w:p>
    <w:p w:rsidR="00D862F2" w:rsidRDefault="00D862F2">
      <w:pPr>
        <w:pStyle w:val="BodyText"/>
        <w:spacing w:before="5"/>
        <w:rPr>
          <w:rFonts w:ascii="Book Antiqua"/>
          <w:sz w:val="19"/>
        </w:rPr>
      </w:pPr>
    </w:p>
    <w:p w:rsidR="00D862F2" w:rsidRDefault="00884FE4">
      <w:pPr>
        <w:pStyle w:val="ListParagraph"/>
        <w:numPr>
          <w:ilvl w:val="0"/>
          <w:numId w:val="3"/>
        </w:numPr>
        <w:tabs>
          <w:tab w:val="left" w:pos="666"/>
          <w:tab w:val="left" w:pos="667"/>
        </w:tabs>
        <w:ind w:left="666" w:hanging="447"/>
        <w:rPr>
          <w:rFonts w:ascii="Book Antiqua"/>
          <w:b/>
        </w:rPr>
      </w:pPr>
      <w:r>
        <w:rPr>
          <w:rFonts w:ascii="Book Antiqua"/>
          <w:b/>
        </w:rPr>
        <w:t>Conclusion</w:t>
      </w:r>
    </w:p>
    <w:p w:rsidR="00D862F2" w:rsidRDefault="00884FE4">
      <w:pPr>
        <w:spacing w:before="117"/>
        <w:ind w:left="220" w:right="281"/>
        <w:rPr>
          <w:rFonts w:ascii="Book Antiqua" w:hAnsi="Book Antiqua"/>
        </w:rPr>
      </w:pPr>
      <w:r>
        <w:rPr>
          <w:rFonts w:ascii="Book Antiqua" w:hAnsi="Book Antiqua"/>
        </w:rPr>
        <w:t>Based</w:t>
      </w:r>
      <w:r>
        <w:rPr>
          <w:rFonts w:ascii="Book Antiqua" w:hAnsi="Book Antiqua"/>
          <w:spacing w:val="3"/>
        </w:rPr>
        <w:t xml:space="preserve"> </w:t>
      </w:r>
      <w:r>
        <w:rPr>
          <w:rFonts w:ascii="Book Antiqua" w:hAnsi="Book Antiqua"/>
        </w:rPr>
        <w:t>on</w:t>
      </w:r>
      <w:r>
        <w:rPr>
          <w:rFonts w:ascii="Book Antiqua" w:hAnsi="Book Antiqua"/>
          <w:spacing w:val="5"/>
        </w:rPr>
        <w:t xml:space="preserve"> </w:t>
      </w:r>
      <w:r>
        <w:rPr>
          <w:rFonts w:ascii="Book Antiqua" w:hAnsi="Book Antiqua"/>
        </w:rPr>
        <w:t>our</w:t>
      </w:r>
      <w:r>
        <w:rPr>
          <w:rFonts w:ascii="Book Antiqua" w:hAnsi="Book Antiqua"/>
          <w:spacing w:val="4"/>
        </w:rPr>
        <w:t xml:space="preserve"> </w:t>
      </w:r>
      <w:r>
        <w:rPr>
          <w:rFonts w:ascii="Book Antiqua" w:hAnsi="Book Antiqua"/>
        </w:rPr>
        <w:t>literature</w:t>
      </w:r>
      <w:r>
        <w:rPr>
          <w:rFonts w:ascii="Book Antiqua" w:hAnsi="Book Antiqua"/>
          <w:spacing w:val="4"/>
        </w:rPr>
        <w:t xml:space="preserve"> </w:t>
      </w:r>
      <w:r>
        <w:rPr>
          <w:rFonts w:ascii="Book Antiqua" w:hAnsi="Book Antiqua"/>
        </w:rPr>
        <w:t>review</w:t>
      </w:r>
      <w:r>
        <w:rPr>
          <w:rFonts w:ascii="Book Antiqua" w:hAnsi="Book Antiqua"/>
          <w:spacing w:val="5"/>
        </w:rPr>
        <w:t xml:space="preserve"> </w:t>
      </w:r>
      <w:r>
        <w:rPr>
          <w:rFonts w:ascii="Book Antiqua" w:hAnsi="Book Antiqua"/>
        </w:rPr>
        <w:t>of</w:t>
      </w:r>
      <w:r>
        <w:rPr>
          <w:rFonts w:ascii="Book Antiqua" w:hAnsi="Book Antiqua"/>
          <w:spacing w:val="5"/>
        </w:rPr>
        <w:t xml:space="preserve"> </w:t>
      </w:r>
      <w:r>
        <w:rPr>
          <w:rFonts w:ascii="Book Antiqua" w:hAnsi="Book Antiqua"/>
        </w:rPr>
        <w:t>pediatric</w:t>
      </w:r>
      <w:r>
        <w:rPr>
          <w:rFonts w:ascii="Book Antiqua" w:hAnsi="Book Antiqua"/>
          <w:spacing w:val="5"/>
        </w:rPr>
        <w:t xml:space="preserve"> </w:t>
      </w:r>
      <w:r>
        <w:rPr>
          <w:rFonts w:ascii="Book Antiqua" w:hAnsi="Book Antiqua"/>
        </w:rPr>
        <w:t>care</w:t>
      </w:r>
      <w:r>
        <w:rPr>
          <w:rFonts w:ascii="Book Antiqua" w:hAnsi="Book Antiqua"/>
          <w:spacing w:val="1"/>
        </w:rPr>
        <w:t xml:space="preserve"> </w:t>
      </w:r>
      <w:r>
        <w:rPr>
          <w:rFonts w:ascii="Book Antiqua" w:hAnsi="Book Antiqua"/>
        </w:rPr>
        <w:t>needs</w:t>
      </w:r>
      <w:r>
        <w:rPr>
          <w:rFonts w:ascii="Book Antiqua" w:hAnsi="Book Antiqua"/>
          <w:spacing w:val="4"/>
        </w:rPr>
        <w:t xml:space="preserve"> </w:t>
      </w:r>
      <w:r>
        <w:rPr>
          <w:rFonts w:ascii="Book Antiqua" w:hAnsi="Book Antiqua"/>
        </w:rPr>
        <w:t>and</w:t>
      </w:r>
      <w:r>
        <w:rPr>
          <w:rFonts w:ascii="Book Antiqua" w:hAnsi="Book Antiqua"/>
          <w:spacing w:val="4"/>
        </w:rPr>
        <w:t xml:space="preserve"> </w:t>
      </w:r>
      <w:r>
        <w:rPr>
          <w:rFonts w:ascii="Book Antiqua" w:hAnsi="Book Antiqua"/>
        </w:rPr>
        <w:t>our</w:t>
      </w:r>
      <w:r>
        <w:rPr>
          <w:rFonts w:ascii="Book Antiqua" w:hAnsi="Book Antiqua"/>
          <w:spacing w:val="3"/>
        </w:rPr>
        <w:t xml:space="preserve"> </w:t>
      </w:r>
      <w:r>
        <w:rPr>
          <w:rFonts w:ascii="Book Antiqua" w:hAnsi="Book Antiqua"/>
        </w:rPr>
        <w:t>work</w:t>
      </w:r>
      <w:r>
        <w:rPr>
          <w:rFonts w:ascii="Book Antiqua" w:hAnsi="Book Antiqua"/>
          <w:spacing w:val="4"/>
        </w:rPr>
        <w:t xml:space="preserve"> </w:t>
      </w:r>
      <w:r>
        <w:rPr>
          <w:rFonts w:ascii="Book Antiqua" w:hAnsi="Book Antiqua"/>
        </w:rPr>
        <w:t>to</w:t>
      </w:r>
      <w:r>
        <w:rPr>
          <w:rFonts w:ascii="Book Antiqua" w:hAnsi="Book Antiqua"/>
          <w:spacing w:val="1"/>
        </w:rPr>
        <w:t xml:space="preserve"> </w:t>
      </w:r>
      <w:r>
        <w:rPr>
          <w:rFonts w:ascii="Book Antiqua" w:hAnsi="Book Antiqua"/>
        </w:rPr>
        <w:t>support</w:t>
      </w:r>
      <w:r>
        <w:rPr>
          <w:rFonts w:ascii="Book Antiqua" w:hAnsi="Book Antiqua"/>
          <w:spacing w:val="5"/>
        </w:rPr>
        <w:t xml:space="preserve"> </w:t>
      </w:r>
      <w:r>
        <w:rPr>
          <w:rFonts w:ascii="Book Antiqua" w:hAnsi="Book Antiqua"/>
        </w:rPr>
        <w:t>the</w:t>
      </w:r>
      <w:r>
        <w:rPr>
          <w:rFonts w:ascii="Book Antiqua" w:hAnsi="Book Antiqua"/>
          <w:spacing w:val="1"/>
        </w:rPr>
        <w:t xml:space="preserve"> </w:t>
      </w:r>
      <w:r>
        <w:rPr>
          <w:rFonts w:ascii="Book Antiqua" w:hAnsi="Book Antiqua"/>
        </w:rPr>
        <w:t>development of a community engagement plan, Bailit Health believes that Boston Children’s</w:t>
      </w:r>
      <w:r>
        <w:rPr>
          <w:rFonts w:ascii="Book Antiqua" w:hAnsi="Book Antiqua"/>
          <w:spacing w:val="1"/>
        </w:rPr>
        <w:t xml:space="preserve"> </w:t>
      </w:r>
      <w:r>
        <w:rPr>
          <w:rFonts w:ascii="Book Antiqua" w:hAnsi="Book Antiqua"/>
        </w:rPr>
        <w:t>proposed 2021 DON approach meets the state’s DON submission requirements.</w:t>
      </w:r>
      <w:r>
        <w:rPr>
          <w:rFonts w:ascii="Book Antiqua" w:hAnsi="Book Antiqua"/>
          <w:spacing w:val="1"/>
        </w:rPr>
        <w:t xml:space="preserve"> </w:t>
      </w:r>
      <w:r>
        <w:rPr>
          <w:rFonts w:ascii="Book Antiqua" w:hAnsi="Book Antiqua"/>
        </w:rPr>
        <w:t>Boston</w:t>
      </w:r>
      <w:r>
        <w:rPr>
          <w:rFonts w:ascii="Book Antiqua" w:hAnsi="Book Antiqua"/>
          <w:spacing w:val="1"/>
        </w:rPr>
        <w:t xml:space="preserve"> </w:t>
      </w:r>
      <w:r>
        <w:rPr>
          <w:rFonts w:ascii="Book Antiqua" w:hAnsi="Book Antiqua"/>
        </w:rPr>
        <w:t>Children’s proposed expansions are aimed at providing services that are uniquely tailored to</w:t>
      </w:r>
      <w:r>
        <w:rPr>
          <w:rFonts w:ascii="Book Antiqua" w:hAnsi="Book Antiqua"/>
          <w:spacing w:val="1"/>
        </w:rPr>
        <w:t xml:space="preserve"> </w:t>
      </w:r>
      <w:r>
        <w:rPr>
          <w:rFonts w:ascii="Book Antiqua" w:hAnsi="Book Antiqua"/>
        </w:rPr>
        <w:t>pediatric patients and that are either currently limited in scope or not sufficiently provided in</w:t>
      </w:r>
      <w:r>
        <w:rPr>
          <w:rFonts w:ascii="Book Antiqua" w:hAnsi="Book Antiqua"/>
          <w:spacing w:val="1"/>
        </w:rPr>
        <w:t xml:space="preserve"> </w:t>
      </w:r>
      <w:r>
        <w:rPr>
          <w:rFonts w:ascii="Book Antiqua" w:hAnsi="Book Antiqua"/>
        </w:rPr>
        <w:t>Massachusetts.</w:t>
      </w:r>
      <w:r>
        <w:rPr>
          <w:rFonts w:ascii="Book Antiqua" w:hAnsi="Book Antiqua"/>
          <w:spacing w:val="1"/>
        </w:rPr>
        <w:t xml:space="preserve"> </w:t>
      </w:r>
      <w:r>
        <w:rPr>
          <w:rFonts w:ascii="Book Antiqua" w:hAnsi="Book Antiqua"/>
        </w:rPr>
        <w:t>Further, its community engagement, both conducted in preparation for its DON</w:t>
      </w:r>
      <w:r>
        <w:rPr>
          <w:rFonts w:ascii="Book Antiqua" w:hAnsi="Book Antiqua"/>
          <w:spacing w:val="-52"/>
        </w:rPr>
        <w:t xml:space="preserve"> </w:t>
      </w:r>
      <w:r>
        <w:rPr>
          <w:rFonts w:ascii="Book Antiqua" w:hAnsi="Book Antiqua"/>
        </w:rPr>
        <w:t>submission and planned for its CHI, is aligned with DPH’s guidelines and intentionally focused</w:t>
      </w:r>
      <w:r>
        <w:rPr>
          <w:rFonts w:ascii="Book Antiqua" w:hAnsi="Book Antiqua"/>
          <w:spacing w:val="-52"/>
        </w:rPr>
        <w:t xml:space="preserve"> </w:t>
      </w:r>
      <w:r>
        <w:rPr>
          <w:rFonts w:ascii="Book Antiqua" w:hAnsi="Book Antiqua"/>
        </w:rPr>
        <w:t>on underserved</w:t>
      </w:r>
      <w:r>
        <w:rPr>
          <w:rFonts w:ascii="Book Antiqua" w:hAnsi="Book Antiqua"/>
          <w:spacing w:val="-3"/>
        </w:rPr>
        <w:t xml:space="preserve"> </w:t>
      </w:r>
      <w:r>
        <w:rPr>
          <w:rFonts w:ascii="Book Antiqua" w:hAnsi="Book Antiqua"/>
        </w:rPr>
        <w:t>communities.</w:t>
      </w: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D862F2">
      <w:pPr>
        <w:pStyle w:val="BodyText"/>
        <w:rPr>
          <w:rFonts w:ascii="Book Antiqua"/>
          <w:sz w:val="20"/>
        </w:rPr>
      </w:pPr>
    </w:p>
    <w:p w:rsidR="00D862F2" w:rsidRDefault="00337703">
      <w:pPr>
        <w:pStyle w:val="BodyText"/>
        <w:spacing w:before="6"/>
        <w:rPr>
          <w:rFonts w:ascii="Book Antiqua"/>
        </w:rPr>
      </w:pPr>
      <w:r>
        <w:rPr>
          <w:noProof/>
        </w:rPr>
        <mc:AlternateContent>
          <mc:Choice Requires="wps">
            <w:drawing>
              <wp:anchor distT="0" distB="0" distL="0" distR="0" simplePos="0" relativeHeight="487598080" behindDoc="1" locked="0" layoutInCell="1" allowOverlap="1">
                <wp:simplePos x="0" y="0"/>
                <wp:positionH relativeFrom="page">
                  <wp:posOffset>914400</wp:posOffset>
                </wp:positionH>
                <wp:positionV relativeFrom="paragraph">
                  <wp:posOffset>208915</wp:posOffset>
                </wp:positionV>
                <wp:extent cx="1828800" cy="7620"/>
                <wp:effectExtent l="0" t="0" r="0" b="0"/>
                <wp:wrapTopAndBottom/>
                <wp:docPr id="8" name="docshape23" descr="Division Line between the main content and the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D1F96" id="docshape23" o:spid="_x0000_s1026" alt="Title: Division Line - Description: Division Line between the main content and the footnotes" style="position:absolute;margin-left:1in;margin-top:16.45pt;width:2in;height:.6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" fillcolor="black" stroked="f">
                <w10:wrap type="topAndBottom" anchorx="page"/>
              </v:rect>
            </w:pict>
          </mc:Fallback>
        </mc:AlternateContent>
      </w:r>
    </w:p>
    <w:p w:rsidR="00D862F2" w:rsidRDefault="00884FE4">
      <w:pPr>
        <w:spacing w:before="110"/>
        <w:ind w:left="219" w:right="353"/>
        <w:rPr>
          <w:rFonts w:ascii="Book Antiqua" w:hAnsi="Book Antiqua"/>
          <w:sz w:val="20"/>
        </w:rPr>
      </w:pPr>
      <w:bookmarkStart w:id="59" w:name="_bookmark58"/>
      <w:bookmarkEnd w:id="59"/>
      <w:r>
        <w:rPr>
          <w:rFonts w:ascii="Book Antiqua" w:hAnsi="Book Antiqua"/>
          <w:position w:val="5"/>
          <w:sz w:val="13"/>
        </w:rPr>
        <w:t xml:space="preserve">59 </w:t>
      </w:r>
      <w:r>
        <w:rPr>
          <w:rFonts w:ascii="Book Antiqua" w:hAnsi="Book Antiqua"/>
          <w:sz w:val="20"/>
        </w:rPr>
        <w:t>Boston Children’s Hospital.</w:t>
      </w:r>
      <w:r>
        <w:rPr>
          <w:rFonts w:ascii="Book Antiqua" w:hAnsi="Book Antiqua"/>
          <w:spacing w:val="1"/>
          <w:sz w:val="20"/>
        </w:rPr>
        <w:t xml:space="preserve"> </w:t>
      </w:r>
      <w:r>
        <w:rPr>
          <w:rFonts w:ascii="Book Antiqua" w:hAnsi="Book Antiqua"/>
          <w:sz w:val="20"/>
        </w:rPr>
        <w:t>(2018).</w:t>
      </w:r>
      <w:r>
        <w:rPr>
          <w:rFonts w:ascii="Book Antiqua" w:hAnsi="Book Antiqua"/>
          <w:spacing w:val="1"/>
          <w:sz w:val="20"/>
        </w:rPr>
        <w:t xml:space="preserve"> </w:t>
      </w:r>
      <w:r>
        <w:rPr>
          <w:rFonts w:ascii="Book Antiqua" w:hAnsi="Book Antiqua"/>
          <w:sz w:val="20"/>
        </w:rPr>
        <w:t>“Boston Children’s Hospital Determination of Need/Community</w:t>
      </w:r>
      <w:r>
        <w:rPr>
          <w:rFonts w:ascii="Book Antiqua" w:hAnsi="Book Antiqua"/>
          <w:spacing w:val="-47"/>
          <w:sz w:val="20"/>
        </w:rPr>
        <w:t xml:space="preserve"> </w:t>
      </w:r>
      <w:r>
        <w:rPr>
          <w:rFonts w:ascii="Book Antiqua" w:hAnsi="Book Antiqua"/>
          <w:sz w:val="20"/>
        </w:rPr>
        <w:t>Health</w:t>
      </w:r>
      <w:r>
        <w:rPr>
          <w:rFonts w:ascii="Book Antiqua" w:hAnsi="Book Antiqua"/>
          <w:spacing w:val="-4"/>
          <w:sz w:val="20"/>
        </w:rPr>
        <w:t xml:space="preserve"> </w:t>
      </w:r>
      <w:r>
        <w:rPr>
          <w:rFonts w:ascii="Book Antiqua" w:hAnsi="Book Antiqua"/>
          <w:sz w:val="20"/>
        </w:rPr>
        <w:t>Initiative</w:t>
      </w:r>
      <w:r>
        <w:rPr>
          <w:rFonts w:ascii="Book Antiqua" w:hAnsi="Book Antiqua"/>
          <w:spacing w:val="-1"/>
          <w:sz w:val="20"/>
        </w:rPr>
        <w:t xml:space="preserve"> </w:t>
      </w:r>
      <w:r>
        <w:rPr>
          <w:rFonts w:ascii="Book Antiqua" w:hAnsi="Book Antiqua"/>
          <w:sz w:val="20"/>
        </w:rPr>
        <w:t>Funding</w:t>
      </w:r>
      <w:r>
        <w:rPr>
          <w:rFonts w:ascii="Book Antiqua" w:hAnsi="Book Antiqua"/>
          <w:spacing w:val="-2"/>
          <w:sz w:val="20"/>
        </w:rPr>
        <w:t xml:space="preserve"> </w:t>
      </w:r>
      <w:r>
        <w:rPr>
          <w:rFonts w:ascii="Book Antiqua" w:hAnsi="Book Antiqua"/>
          <w:sz w:val="20"/>
        </w:rPr>
        <w:t>Strategy</w:t>
      </w:r>
      <w:r>
        <w:rPr>
          <w:rFonts w:ascii="Book Antiqua" w:hAnsi="Book Antiqua"/>
          <w:spacing w:val="-3"/>
          <w:sz w:val="20"/>
        </w:rPr>
        <w:t xml:space="preserve"> </w:t>
      </w:r>
      <w:r>
        <w:rPr>
          <w:rFonts w:ascii="Book Antiqua" w:hAnsi="Book Antiqua"/>
          <w:sz w:val="20"/>
        </w:rPr>
        <w:t>Report.”</w:t>
      </w:r>
      <w:r>
        <w:rPr>
          <w:rFonts w:ascii="Book Antiqua" w:hAnsi="Book Antiqua"/>
          <w:spacing w:val="48"/>
          <w:sz w:val="20"/>
        </w:rPr>
        <w:t xml:space="preserve"> </w:t>
      </w:r>
      <w:r>
        <w:rPr>
          <w:rFonts w:ascii="Book Antiqua" w:hAnsi="Book Antiqua"/>
          <w:sz w:val="20"/>
        </w:rPr>
        <w:t>Retrieved</w:t>
      </w:r>
      <w:r>
        <w:rPr>
          <w:rFonts w:ascii="Book Antiqua" w:hAnsi="Book Antiqua"/>
          <w:spacing w:val="-2"/>
          <w:sz w:val="20"/>
        </w:rPr>
        <w:t xml:space="preserve"> </w:t>
      </w:r>
      <w:r>
        <w:rPr>
          <w:rFonts w:ascii="Book Antiqua" w:hAnsi="Book Antiqua"/>
          <w:sz w:val="20"/>
        </w:rPr>
        <w:t>from</w:t>
      </w:r>
      <w:r>
        <w:rPr>
          <w:rFonts w:ascii="Book Antiqua" w:hAnsi="Book Antiqua"/>
          <w:spacing w:val="-3"/>
          <w:sz w:val="20"/>
        </w:rPr>
        <w:t xml:space="preserve"> </w:t>
      </w:r>
      <w:hyperlink r:id="rId81">
        <w:r>
          <w:rPr>
            <w:rFonts w:ascii="Book Antiqua" w:hAnsi="Book Antiqua"/>
            <w:color w:val="0000FF"/>
            <w:sz w:val="20"/>
            <w:u w:val="single" w:color="0000FF"/>
          </w:rPr>
          <w:t>http://www.childrenshospital.org/-</w:t>
        </w:r>
      </w:hyperlink>
    </w:p>
    <w:p w:rsidR="00D862F2" w:rsidRDefault="00250945">
      <w:pPr>
        <w:ind w:left="220"/>
        <w:rPr>
          <w:rFonts w:ascii="Book Antiqua"/>
          <w:sz w:val="20"/>
        </w:rPr>
      </w:pPr>
      <w:hyperlink r:id="rId82">
        <w:r w:rsidR="00884FE4">
          <w:rPr>
            <w:rFonts w:ascii="Book Antiqua"/>
            <w:color w:val="0000FF"/>
            <w:sz w:val="20"/>
            <w:u w:val="single" w:color="0000FF"/>
          </w:rPr>
          <w:t>/media/About-Us/Boston-Childrens-Funding-Strategy-Report-2018-</w:t>
        </w:r>
      </w:hyperlink>
      <w:r w:rsidR="00884FE4">
        <w:rPr>
          <w:rFonts w:ascii="Book Antiqua"/>
          <w:color w:val="0000FF"/>
          <w:spacing w:val="1"/>
          <w:sz w:val="20"/>
        </w:rPr>
        <w:t xml:space="preserve"> </w:t>
      </w:r>
      <w:hyperlink r:id="rId83">
        <w:r w:rsidR="00884FE4">
          <w:rPr>
            <w:rFonts w:ascii="Book Antiqua"/>
            <w:color w:val="0000FF"/>
            <w:w w:val="95"/>
            <w:sz w:val="20"/>
            <w:u w:val="single" w:color="0000FF"/>
          </w:rPr>
          <w:t>(5).ashx?la=en&amp;hash=E17FD3C11166039BAC05DAFC071C626556E7C99A</w:t>
        </w:r>
        <w:r w:rsidR="00884FE4">
          <w:rPr>
            <w:rFonts w:ascii="Book Antiqua"/>
            <w:w w:val="95"/>
            <w:sz w:val="20"/>
          </w:rPr>
          <w:t>.</w:t>
        </w:r>
      </w:hyperlink>
    </w:p>
    <w:sectPr w:rsidR="00D862F2">
      <w:headerReference w:type="default" r:id="rId84"/>
      <w:footerReference w:type="default" r:id="rId85"/>
      <w:pgSz w:w="12240" w:h="15840"/>
      <w:pgMar w:top="1360" w:right="1160" w:bottom="280" w:left="12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C2E" w:rsidRDefault="00010C2E">
      <w:r>
        <w:separator/>
      </w:r>
    </w:p>
  </w:endnote>
  <w:endnote w:type="continuationSeparator" w:id="0">
    <w:p w:rsidR="00010C2E" w:rsidRDefault="0001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337703">
    <w:pPr>
      <w:pStyle w:val="BodyText"/>
      <w:spacing w:line="14" w:lineRule="auto"/>
      <w:rPr>
        <w:sz w:val="20"/>
      </w:rPr>
    </w:pPr>
    <w:r>
      <w:rPr>
        <w:noProof/>
      </w:rPr>
      <mc:AlternateContent>
        <mc:Choice Requires="wps">
          <w:drawing>
            <wp:anchor distT="0" distB="0" distL="114300" distR="114300" simplePos="0" relativeHeight="485959168" behindDoc="1" locked="0" layoutInCell="1" allowOverlap="1">
              <wp:simplePos x="0" y="0"/>
              <wp:positionH relativeFrom="page">
                <wp:posOffset>3771900</wp:posOffset>
              </wp:positionH>
              <wp:positionV relativeFrom="page">
                <wp:posOffset>9414510</wp:posOffset>
              </wp:positionV>
              <wp:extent cx="241300" cy="19431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2F2" w:rsidRDefault="00884FE4">
                          <w:pPr>
                            <w:pStyle w:val="BodyText"/>
                            <w:spacing w:before="10"/>
                            <w:ind w:left="60"/>
                          </w:pPr>
                          <w:r>
                            <w:fldChar w:fldCharType="begin"/>
                          </w:r>
                          <w:r>
                            <w:instrText xml:space="preserve"> PAGE </w:instrText>
                          </w:r>
                          <w:r>
                            <w:fldChar w:fldCharType="separate"/>
                          </w:r>
                          <w:r w:rsidR="002509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9" type="#_x0000_t202" style="position:absolute;margin-left:297pt;margin-top:741.3pt;width:19pt;height:15.3pt;z-index:-173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KLsAIAAK4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" filled="f" stroked="f">
              <v:textbox inset="0,0,0,0">
                <w:txbxContent>
                  <w:p w:rsidR="00D862F2" w:rsidRDefault="00884FE4">
                    <w:pPr>
                      <w:pStyle w:val="BodyText"/>
                      <w:spacing w:before="10"/>
                      <w:ind w:left="60"/>
                    </w:pPr>
                    <w:r>
                      <w:fldChar w:fldCharType="begin"/>
                    </w:r>
                    <w:r>
                      <w:instrText xml:space="preserve"> PAGE </w:instrText>
                    </w:r>
                    <w:r>
                      <w:fldChar w:fldCharType="separate"/>
                    </w:r>
                    <w:r w:rsidR="00250945">
                      <w:rPr>
                        <w:noProof/>
                      </w:rPr>
                      <w:t>1</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C2E" w:rsidRDefault="00010C2E">
      <w:r>
        <w:separator/>
      </w:r>
    </w:p>
  </w:footnote>
  <w:footnote w:type="continuationSeparator" w:id="0">
    <w:p w:rsidR="00010C2E" w:rsidRDefault="00010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337703">
    <w:pPr>
      <w:pStyle w:val="BodyText"/>
      <w:spacing w:line="14" w:lineRule="auto"/>
      <w:rPr>
        <w:sz w:val="20"/>
      </w:rPr>
    </w:pPr>
    <w:r>
      <w:rPr>
        <w:noProof/>
      </w:rPr>
      <mc:AlternateContent>
        <mc:Choice Requires="wps">
          <w:drawing>
            <wp:anchor distT="0" distB="0" distL="114300" distR="114300" simplePos="0" relativeHeight="485958144" behindDoc="1" locked="0" layoutInCell="1" allowOverlap="1">
              <wp:simplePos x="0" y="0"/>
              <wp:positionH relativeFrom="page">
                <wp:posOffset>901700</wp:posOffset>
              </wp:positionH>
              <wp:positionV relativeFrom="page">
                <wp:posOffset>445770</wp:posOffset>
              </wp:positionV>
              <wp:extent cx="2605405" cy="19431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4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2F2" w:rsidRDefault="00884FE4">
                          <w:pPr>
                            <w:pStyle w:val="BodyText"/>
                            <w:spacing w:before="10"/>
                            <w:ind w:left="20"/>
                          </w:pPr>
                          <w:r>
                            <w:t>DoN</w:t>
                          </w:r>
                          <w:r>
                            <w:rPr>
                              <w:spacing w:val="-5"/>
                            </w:rPr>
                            <w:t xml:space="preserve"> </w:t>
                          </w:r>
                          <w:r>
                            <w:t>Application</w:t>
                          </w:r>
                          <w:r>
                            <w:rPr>
                              <w:spacing w:val="-3"/>
                            </w:rPr>
                            <w:t xml:space="preserve"> </w:t>
                          </w:r>
                          <w:r>
                            <w:t>No.</w:t>
                          </w:r>
                          <w:r>
                            <w:rPr>
                              <w:spacing w:val="-2"/>
                            </w:rPr>
                            <w:t xml:space="preserve"> </w:t>
                          </w:r>
                          <w:r>
                            <w:t>BCH-20171411-HE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7" type="#_x0000_t202" style="position:absolute;margin-left:71pt;margin-top:35.1pt;width:205.15pt;height:15.3pt;z-index:-173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" filled="f" stroked="f">
              <v:textbox inset="0,0,0,0">
                <w:txbxContent>
                  <w:p w:rsidR="00D862F2" w:rsidRDefault="00884FE4">
                    <w:pPr>
                      <w:pStyle w:val="BodyText"/>
                      <w:spacing w:before="10"/>
                      <w:ind w:left="20"/>
                    </w:pPr>
                    <w:r>
                      <w:t>DoN</w:t>
                    </w:r>
                    <w:r>
                      <w:rPr>
                        <w:spacing w:val="-5"/>
                      </w:rPr>
                      <w:t xml:space="preserve"> </w:t>
                    </w:r>
                    <w:r>
                      <w:t>Application</w:t>
                    </w:r>
                    <w:r>
                      <w:rPr>
                        <w:spacing w:val="-3"/>
                      </w:rPr>
                      <w:t xml:space="preserve"> </w:t>
                    </w:r>
                    <w:r>
                      <w:t>No.</w:t>
                    </w:r>
                    <w:r>
                      <w:rPr>
                        <w:spacing w:val="-2"/>
                      </w:rPr>
                      <w:t xml:space="preserve"> </w:t>
                    </w:r>
                    <w:r>
                      <w:t>BCH-20171411-HE</w:t>
                    </w:r>
                  </w:p>
                </w:txbxContent>
              </v:textbox>
              <w10:wrap anchorx="page" anchory="page"/>
            </v:shape>
          </w:pict>
        </mc:Fallback>
      </mc:AlternateContent>
    </w:r>
    <w:r>
      <w:rPr>
        <w:noProof/>
      </w:rPr>
      <mc:AlternateContent>
        <mc:Choice Requires="wps">
          <w:drawing>
            <wp:anchor distT="0" distB="0" distL="114300" distR="114300" simplePos="0" relativeHeight="485958656" behindDoc="1" locked="0" layoutInCell="1" allowOverlap="1">
              <wp:simplePos x="0" y="0"/>
              <wp:positionH relativeFrom="page">
                <wp:posOffset>4170680</wp:posOffset>
              </wp:positionH>
              <wp:positionV relativeFrom="page">
                <wp:posOffset>445770</wp:posOffset>
              </wp:positionV>
              <wp:extent cx="2698750" cy="19431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2F2" w:rsidRDefault="00884FE4">
                          <w:pPr>
                            <w:pStyle w:val="BodyText"/>
                            <w:spacing w:before="10"/>
                            <w:ind w:left="20"/>
                          </w:pPr>
                          <w:r>
                            <w:t>The</w:t>
                          </w:r>
                          <w:r>
                            <w:rPr>
                              <w:spacing w:val="-4"/>
                            </w:rPr>
                            <w:t xml:space="preserve"> </w:t>
                          </w:r>
                          <w:r>
                            <w:t>Children’s</w:t>
                          </w:r>
                          <w:r>
                            <w:rPr>
                              <w:spacing w:val="-2"/>
                            </w:rPr>
                            <w:t xml:space="preserve"> </w:t>
                          </w:r>
                          <w:r>
                            <w:t>Medical</w:t>
                          </w:r>
                          <w:r>
                            <w:rPr>
                              <w:spacing w:val="-2"/>
                            </w:rPr>
                            <w:t xml:space="preserve"> </w:t>
                          </w:r>
                          <w:r>
                            <w:t>Center</w:t>
                          </w:r>
                          <w:r>
                            <w:rPr>
                              <w:spacing w:val="-3"/>
                            </w:rPr>
                            <w:t xml:space="preserve"> </w:t>
                          </w:r>
                          <w:r>
                            <w:t>Corporation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28" type="#_x0000_t202" style="position:absolute;margin-left:328.4pt;margin-top:35.1pt;width:212.5pt;height:15.3pt;z-index:-173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j1sQIAAK8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" filled="f" stroked="f">
              <v:textbox inset="0,0,0,0">
                <w:txbxContent>
                  <w:p w:rsidR="00D862F2" w:rsidRDefault="00884FE4">
                    <w:pPr>
                      <w:pStyle w:val="BodyText"/>
                      <w:spacing w:before="10"/>
                      <w:ind w:left="20"/>
                    </w:pPr>
                    <w:r>
                      <w:t>The</w:t>
                    </w:r>
                    <w:r>
                      <w:rPr>
                        <w:spacing w:val="-4"/>
                      </w:rPr>
                      <w:t xml:space="preserve"> </w:t>
                    </w:r>
                    <w:r>
                      <w:t>Children’s</w:t>
                    </w:r>
                    <w:r>
                      <w:rPr>
                        <w:spacing w:val="-2"/>
                      </w:rPr>
                      <w:t xml:space="preserve"> </w:t>
                    </w:r>
                    <w:r>
                      <w:t>Medical</w:t>
                    </w:r>
                    <w:r>
                      <w:rPr>
                        <w:spacing w:val="-2"/>
                      </w:rPr>
                      <w:t xml:space="preserve"> </w:t>
                    </w:r>
                    <w:r>
                      <w:t>Center</w:t>
                    </w:r>
                    <w:r>
                      <w:rPr>
                        <w:spacing w:val="-3"/>
                      </w:rPr>
                      <w:t xml:space="preserve"> </w:t>
                    </w:r>
                    <w:r>
                      <w:t>Corporation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F2" w:rsidRDefault="00D862F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87FA3"/>
    <w:multiLevelType w:val="hybridMultilevel"/>
    <w:tmpl w:val="E268595A"/>
    <w:lvl w:ilvl="0" w:tplc="44D28B04">
      <w:numFmt w:val="bullet"/>
      <w:lvlText w:val=""/>
      <w:lvlJc w:val="left"/>
      <w:pPr>
        <w:ind w:left="940" w:hanging="360"/>
      </w:pPr>
      <w:rPr>
        <w:rFonts w:ascii="Symbol" w:eastAsia="Symbol" w:hAnsi="Symbol" w:cs="Symbol" w:hint="default"/>
        <w:b w:val="0"/>
        <w:bCs w:val="0"/>
        <w:i w:val="0"/>
        <w:iCs w:val="0"/>
        <w:w w:val="100"/>
        <w:sz w:val="24"/>
        <w:szCs w:val="24"/>
        <w:lang w:val="en-US" w:eastAsia="en-US" w:bidi="ar-SA"/>
      </w:rPr>
    </w:lvl>
    <w:lvl w:ilvl="1" w:tplc="97647AA4">
      <w:numFmt w:val="bullet"/>
      <w:lvlText w:val="•"/>
      <w:lvlJc w:val="left"/>
      <w:pPr>
        <w:ind w:left="1832" w:hanging="360"/>
      </w:pPr>
      <w:rPr>
        <w:rFonts w:hint="default"/>
        <w:lang w:val="en-US" w:eastAsia="en-US" w:bidi="ar-SA"/>
      </w:rPr>
    </w:lvl>
    <w:lvl w:ilvl="2" w:tplc="8B0CBE5E">
      <w:numFmt w:val="bullet"/>
      <w:lvlText w:val="•"/>
      <w:lvlJc w:val="left"/>
      <w:pPr>
        <w:ind w:left="2724" w:hanging="360"/>
      </w:pPr>
      <w:rPr>
        <w:rFonts w:hint="default"/>
        <w:lang w:val="en-US" w:eastAsia="en-US" w:bidi="ar-SA"/>
      </w:rPr>
    </w:lvl>
    <w:lvl w:ilvl="3" w:tplc="D3167448">
      <w:numFmt w:val="bullet"/>
      <w:lvlText w:val="•"/>
      <w:lvlJc w:val="left"/>
      <w:pPr>
        <w:ind w:left="3616" w:hanging="360"/>
      </w:pPr>
      <w:rPr>
        <w:rFonts w:hint="default"/>
        <w:lang w:val="en-US" w:eastAsia="en-US" w:bidi="ar-SA"/>
      </w:rPr>
    </w:lvl>
    <w:lvl w:ilvl="4" w:tplc="604CD290">
      <w:numFmt w:val="bullet"/>
      <w:lvlText w:val="•"/>
      <w:lvlJc w:val="left"/>
      <w:pPr>
        <w:ind w:left="4508" w:hanging="360"/>
      </w:pPr>
      <w:rPr>
        <w:rFonts w:hint="default"/>
        <w:lang w:val="en-US" w:eastAsia="en-US" w:bidi="ar-SA"/>
      </w:rPr>
    </w:lvl>
    <w:lvl w:ilvl="5" w:tplc="7B36574A">
      <w:numFmt w:val="bullet"/>
      <w:lvlText w:val="•"/>
      <w:lvlJc w:val="left"/>
      <w:pPr>
        <w:ind w:left="5400" w:hanging="360"/>
      </w:pPr>
      <w:rPr>
        <w:rFonts w:hint="default"/>
        <w:lang w:val="en-US" w:eastAsia="en-US" w:bidi="ar-SA"/>
      </w:rPr>
    </w:lvl>
    <w:lvl w:ilvl="6" w:tplc="1C147C64">
      <w:numFmt w:val="bullet"/>
      <w:lvlText w:val="•"/>
      <w:lvlJc w:val="left"/>
      <w:pPr>
        <w:ind w:left="6292" w:hanging="360"/>
      </w:pPr>
      <w:rPr>
        <w:rFonts w:hint="default"/>
        <w:lang w:val="en-US" w:eastAsia="en-US" w:bidi="ar-SA"/>
      </w:rPr>
    </w:lvl>
    <w:lvl w:ilvl="7" w:tplc="6A047AF2">
      <w:numFmt w:val="bullet"/>
      <w:lvlText w:val="•"/>
      <w:lvlJc w:val="left"/>
      <w:pPr>
        <w:ind w:left="7184" w:hanging="360"/>
      </w:pPr>
      <w:rPr>
        <w:rFonts w:hint="default"/>
        <w:lang w:val="en-US" w:eastAsia="en-US" w:bidi="ar-SA"/>
      </w:rPr>
    </w:lvl>
    <w:lvl w:ilvl="8" w:tplc="FA564176">
      <w:numFmt w:val="bullet"/>
      <w:lvlText w:val="•"/>
      <w:lvlJc w:val="left"/>
      <w:pPr>
        <w:ind w:left="8076" w:hanging="360"/>
      </w:pPr>
      <w:rPr>
        <w:rFonts w:hint="default"/>
        <w:lang w:val="en-US" w:eastAsia="en-US" w:bidi="ar-SA"/>
      </w:rPr>
    </w:lvl>
  </w:abstractNum>
  <w:abstractNum w:abstractNumId="1" w15:restartNumberingAfterBreak="0">
    <w:nsid w:val="30F84F3B"/>
    <w:multiLevelType w:val="hybridMultilevel"/>
    <w:tmpl w:val="A07C6738"/>
    <w:lvl w:ilvl="0" w:tplc="6B40DF72">
      <w:start w:val="1"/>
      <w:numFmt w:val="upperLetter"/>
      <w:lvlText w:val="%1."/>
      <w:lvlJc w:val="left"/>
      <w:pPr>
        <w:ind w:left="939" w:hanging="360"/>
      </w:pPr>
      <w:rPr>
        <w:rFonts w:ascii="Book Antiqua" w:eastAsia="Book Antiqua" w:hAnsi="Book Antiqua" w:cs="Book Antiqua" w:hint="default"/>
        <w:b/>
        <w:bCs/>
        <w:i/>
        <w:iCs/>
        <w:spacing w:val="-2"/>
        <w:w w:val="100"/>
        <w:sz w:val="22"/>
        <w:szCs w:val="22"/>
        <w:lang w:val="en-US" w:eastAsia="en-US" w:bidi="ar-SA"/>
      </w:rPr>
    </w:lvl>
    <w:lvl w:ilvl="1" w:tplc="9CA4E684">
      <w:numFmt w:val="bullet"/>
      <w:lvlText w:val="•"/>
      <w:lvlJc w:val="left"/>
      <w:pPr>
        <w:ind w:left="1832" w:hanging="360"/>
      </w:pPr>
      <w:rPr>
        <w:rFonts w:hint="default"/>
        <w:lang w:val="en-US" w:eastAsia="en-US" w:bidi="ar-SA"/>
      </w:rPr>
    </w:lvl>
    <w:lvl w:ilvl="2" w:tplc="1BA29F00">
      <w:numFmt w:val="bullet"/>
      <w:lvlText w:val="•"/>
      <w:lvlJc w:val="left"/>
      <w:pPr>
        <w:ind w:left="2724" w:hanging="360"/>
      </w:pPr>
      <w:rPr>
        <w:rFonts w:hint="default"/>
        <w:lang w:val="en-US" w:eastAsia="en-US" w:bidi="ar-SA"/>
      </w:rPr>
    </w:lvl>
    <w:lvl w:ilvl="3" w:tplc="5B1E16AC">
      <w:numFmt w:val="bullet"/>
      <w:lvlText w:val="•"/>
      <w:lvlJc w:val="left"/>
      <w:pPr>
        <w:ind w:left="3616" w:hanging="360"/>
      </w:pPr>
      <w:rPr>
        <w:rFonts w:hint="default"/>
        <w:lang w:val="en-US" w:eastAsia="en-US" w:bidi="ar-SA"/>
      </w:rPr>
    </w:lvl>
    <w:lvl w:ilvl="4" w:tplc="4A6EE73C">
      <w:numFmt w:val="bullet"/>
      <w:lvlText w:val="•"/>
      <w:lvlJc w:val="left"/>
      <w:pPr>
        <w:ind w:left="4508" w:hanging="360"/>
      </w:pPr>
      <w:rPr>
        <w:rFonts w:hint="default"/>
        <w:lang w:val="en-US" w:eastAsia="en-US" w:bidi="ar-SA"/>
      </w:rPr>
    </w:lvl>
    <w:lvl w:ilvl="5" w:tplc="8DBA8258">
      <w:numFmt w:val="bullet"/>
      <w:lvlText w:val="•"/>
      <w:lvlJc w:val="left"/>
      <w:pPr>
        <w:ind w:left="5400" w:hanging="360"/>
      </w:pPr>
      <w:rPr>
        <w:rFonts w:hint="default"/>
        <w:lang w:val="en-US" w:eastAsia="en-US" w:bidi="ar-SA"/>
      </w:rPr>
    </w:lvl>
    <w:lvl w:ilvl="6" w:tplc="CE98133E">
      <w:numFmt w:val="bullet"/>
      <w:lvlText w:val="•"/>
      <w:lvlJc w:val="left"/>
      <w:pPr>
        <w:ind w:left="6292" w:hanging="360"/>
      </w:pPr>
      <w:rPr>
        <w:rFonts w:hint="default"/>
        <w:lang w:val="en-US" w:eastAsia="en-US" w:bidi="ar-SA"/>
      </w:rPr>
    </w:lvl>
    <w:lvl w:ilvl="7" w:tplc="8DCEBA1E">
      <w:numFmt w:val="bullet"/>
      <w:lvlText w:val="•"/>
      <w:lvlJc w:val="left"/>
      <w:pPr>
        <w:ind w:left="7184" w:hanging="360"/>
      </w:pPr>
      <w:rPr>
        <w:rFonts w:hint="default"/>
        <w:lang w:val="en-US" w:eastAsia="en-US" w:bidi="ar-SA"/>
      </w:rPr>
    </w:lvl>
    <w:lvl w:ilvl="8" w:tplc="C2E69850">
      <w:numFmt w:val="bullet"/>
      <w:lvlText w:val="•"/>
      <w:lvlJc w:val="left"/>
      <w:pPr>
        <w:ind w:left="8076" w:hanging="360"/>
      </w:pPr>
      <w:rPr>
        <w:rFonts w:hint="default"/>
        <w:lang w:val="en-US" w:eastAsia="en-US" w:bidi="ar-SA"/>
      </w:rPr>
    </w:lvl>
  </w:abstractNum>
  <w:abstractNum w:abstractNumId="2" w15:restartNumberingAfterBreak="0">
    <w:nsid w:val="39715AB0"/>
    <w:multiLevelType w:val="hybridMultilevel"/>
    <w:tmpl w:val="95D6D530"/>
    <w:lvl w:ilvl="0" w:tplc="09B4BAFA">
      <w:numFmt w:val="bullet"/>
      <w:lvlText w:val=""/>
      <w:lvlJc w:val="left"/>
      <w:pPr>
        <w:ind w:left="940" w:hanging="360"/>
      </w:pPr>
      <w:rPr>
        <w:rFonts w:ascii="Symbol" w:eastAsia="Symbol" w:hAnsi="Symbol" w:cs="Symbol" w:hint="default"/>
        <w:b w:val="0"/>
        <w:bCs w:val="0"/>
        <w:i w:val="0"/>
        <w:iCs w:val="0"/>
        <w:w w:val="100"/>
        <w:sz w:val="24"/>
        <w:szCs w:val="24"/>
        <w:lang w:val="en-US" w:eastAsia="en-US" w:bidi="ar-SA"/>
      </w:rPr>
    </w:lvl>
    <w:lvl w:ilvl="1" w:tplc="B204B0B6">
      <w:numFmt w:val="bullet"/>
      <w:lvlText w:val="•"/>
      <w:lvlJc w:val="left"/>
      <w:pPr>
        <w:ind w:left="1832" w:hanging="360"/>
      </w:pPr>
      <w:rPr>
        <w:rFonts w:hint="default"/>
        <w:lang w:val="en-US" w:eastAsia="en-US" w:bidi="ar-SA"/>
      </w:rPr>
    </w:lvl>
    <w:lvl w:ilvl="2" w:tplc="A672F1D0">
      <w:numFmt w:val="bullet"/>
      <w:lvlText w:val="•"/>
      <w:lvlJc w:val="left"/>
      <w:pPr>
        <w:ind w:left="2724" w:hanging="360"/>
      </w:pPr>
      <w:rPr>
        <w:rFonts w:hint="default"/>
        <w:lang w:val="en-US" w:eastAsia="en-US" w:bidi="ar-SA"/>
      </w:rPr>
    </w:lvl>
    <w:lvl w:ilvl="3" w:tplc="51208792">
      <w:numFmt w:val="bullet"/>
      <w:lvlText w:val="•"/>
      <w:lvlJc w:val="left"/>
      <w:pPr>
        <w:ind w:left="3616" w:hanging="360"/>
      </w:pPr>
      <w:rPr>
        <w:rFonts w:hint="default"/>
        <w:lang w:val="en-US" w:eastAsia="en-US" w:bidi="ar-SA"/>
      </w:rPr>
    </w:lvl>
    <w:lvl w:ilvl="4" w:tplc="4F0A9D7C">
      <w:numFmt w:val="bullet"/>
      <w:lvlText w:val="•"/>
      <w:lvlJc w:val="left"/>
      <w:pPr>
        <w:ind w:left="4508" w:hanging="360"/>
      </w:pPr>
      <w:rPr>
        <w:rFonts w:hint="default"/>
        <w:lang w:val="en-US" w:eastAsia="en-US" w:bidi="ar-SA"/>
      </w:rPr>
    </w:lvl>
    <w:lvl w:ilvl="5" w:tplc="47B08E8E">
      <w:numFmt w:val="bullet"/>
      <w:lvlText w:val="•"/>
      <w:lvlJc w:val="left"/>
      <w:pPr>
        <w:ind w:left="5400" w:hanging="360"/>
      </w:pPr>
      <w:rPr>
        <w:rFonts w:hint="default"/>
        <w:lang w:val="en-US" w:eastAsia="en-US" w:bidi="ar-SA"/>
      </w:rPr>
    </w:lvl>
    <w:lvl w:ilvl="6" w:tplc="5E0A0548">
      <w:numFmt w:val="bullet"/>
      <w:lvlText w:val="•"/>
      <w:lvlJc w:val="left"/>
      <w:pPr>
        <w:ind w:left="6292" w:hanging="360"/>
      </w:pPr>
      <w:rPr>
        <w:rFonts w:hint="default"/>
        <w:lang w:val="en-US" w:eastAsia="en-US" w:bidi="ar-SA"/>
      </w:rPr>
    </w:lvl>
    <w:lvl w:ilvl="7" w:tplc="E4E00162">
      <w:numFmt w:val="bullet"/>
      <w:lvlText w:val="•"/>
      <w:lvlJc w:val="left"/>
      <w:pPr>
        <w:ind w:left="7184" w:hanging="360"/>
      </w:pPr>
      <w:rPr>
        <w:rFonts w:hint="default"/>
        <w:lang w:val="en-US" w:eastAsia="en-US" w:bidi="ar-SA"/>
      </w:rPr>
    </w:lvl>
    <w:lvl w:ilvl="8" w:tplc="8D347E90">
      <w:numFmt w:val="bullet"/>
      <w:lvlText w:val="•"/>
      <w:lvlJc w:val="left"/>
      <w:pPr>
        <w:ind w:left="8076" w:hanging="360"/>
      </w:pPr>
      <w:rPr>
        <w:rFonts w:hint="default"/>
        <w:lang w:val="en-US" w:eastAsia="en-US" w:bidi="ar-SA"/>
      </w:rPr>
    </w:lvl>
  </w:abstractNum>
  <w:abstractNum w:abstractNumId="3" w15:restartNumberingAfterBreak="0">
    <w:nsid w:val="4E473756"/>
    <w:multiLevelType w:val="hybridMultilevel"/>
    <w:tmpl w:val="4E268BBA"/>
    <w:lvl w:ilvl="0" w:tplc="D3BC6D80">
      <w:start w:val="1"/>
      <w:numFmt w:val="upperLetter"/>
      <w:lvlText w:val="%1."/>
      <w:lvlJc w:val="left"/>
      <w:pPr>
        <w:ind w:left="939" w:hanging="360"/>
      </w:pPr>
      <w:rPr>
        <w:rFonts w:ascii="Book Antiqua" w:eastAsia="Book Antiqua" w:hAnsi="Book Antiqua" w:cs="Book Antiqua" w:hint="default"/>
        <w:b/>
        <w:bCs/>
        <w:i/>
        <w:iCs/>
        <w:spacing w:val="-2"/>
        <w:w w:val="100"/>
        <w:sz w:val="22"/>
        <w:szCs w:val="22"/>
        <w:lang w:val="en-US" w:eastAsia="en-US" w:bidi="ar-SA"/>
      </w:rPr>
    </w:lvl>
    <w:lvl w:ilvl="1" w:tplc="241834D2">
      <w:numFmt w:val="bullet"/>
      <w:lvlText w:val="•"/>
      <w:lvlJc w:val="left"/>
      <w:pPr>
        <w:ind w:left="1832" w:hanging="360"/>
      </w:pPr>
      <w:rPr>
        <w:rFonts w:hint="default"/>
        <w:lang w:val="en-US" w:eastAsia="en-US" w:bidi="ar-SA"/>
      </w:rPr>
    </w:lvl>
    <w:lvl w:ilvl="2" w:tplc="D88621C6">
      <w:numFmt w:val="bullet"/>
      <w:lvlText w:val="•"/>
      <w:lvlJc w:val="left"/>
      <w:pPr>
        <w:ind w:left="2724" w:hanging="360"/>
      </w:pPr>
      <w:rPr>
        <w:rFonts w:hint="default"/>
        <w:lang w:val="en-US" w:eastAsia="en-US" w:bidi="ar-SA"/>
      </w:rPr>
    </w:lvl>
    <w:lvl w:ilvl="3" w:tplc="32BA5AC6">
      <w:numFmt w:val="bullet"/>
      <w:lvlText w:val="•"/>
      <w:lvlJc w:val="left"/>
      <w:pPr>
        <w:ind w:left="3616" w:hanging="360"/>
      </w:pPr>
      <w:rPr>
        <w:rFonts w:hint="default"/>
        <w:lang w:val="en-US" w:eastAsia="en-US" w:bidi="ar-SA"/>
      </w:rPr>
    </w:lvl>
    <w:lvl w:ilvl="4" w:tplc="DA3E338E">
      <w:numFmt w:val="bullet"/>
      <w:lvlText w:val="•"/>
      <w:lvlJc w:val="left"/>
      <w:pPr>
        <w:ind w:left="4508" w:hanging="360"/>
      </w:pPr>
      <w:rPr>
        <w:rFonts w:hint="default"/>
        <w:lang w:val="en-US" w:eastAsia="en-US" w:bidi="ar-SA"/>
      </w:rPr>
    </w:lvl>
    <w:lvl w:ilvl="5" w:tplc="26A4C77E">
      <w:numFmt w:val="bullet"/>
      <w:lvlText w:val="•"/>
      <w:lvlJc w:val="left"/>
      <w:pPr>
        <w:ind w:left="5400" w:hanging="360"/>
      </w:pPr>
      <w:rPr>
        <w:rFonts w:hint="default"/>
        <w:lang w:val="en-US" w:eastAsia="en-US" w:bidi="ar-SA"/>
      </w:rPr>
    </w:lvl>
    <w:lvl w:ilvl="6" w:tplc="CB54C8BC">
      <w:numFmt w:val="bullet"/>
      <w:lvlText w:val="•"/>
      <w:lvlJc w:val="left"/>
      <w:pPr>
        <w:ind w:left="6292" w:hanging="360"/>
      </w:pPr>
      <w:rPr>
        <w:rFonts w:hint="default"/>
        <w:lang w:val="en-US" w:eastAsia="en-US" w:bidi="ar-SA"/>
      </w:rPr>
    </w:lvl>
    <w:lvl w:ilvl="7" w:tplc="78248452">
      <w:numFmt w:val="bullet"/>
      <w:lvlText w:val="•"/>
      <w:lvlJc w:val="left"/>
      <w:pPr>
        <w:ind w:left="7184" w:hanging="360"/>
      </w:pPr>
      <w:rPr>
        <w:rFonts w:hint="default"/>
        <w:lang w:val="en-US" w:eastAsia="en-US" w:bidi="ar-SA"/>
      </w:rPr>
    </w:lvl>
    <w:lvl w:ilvl="8" w:tplc="D2581D72">
      <w:numFmt w:val="bullet"/>
      <w:lvlText w:val="•"/>
      <w:lvlJc w:val="left"/>
      <w:pPr>
        <w:ind w:left="8076" w:hanging="360"/>
      </w:pPr>
      <w:rPr>
        <w:rFonts w:hint="default"/>
        <w:lang w:val="en-US" w:eastAsia="en-US" w:bidi="ar-SA"/>
      </w:rPr>
    </w:lvl>
  </w:abstractNum>
  <w:abstractNum w:abstractNumId="4" w15:restartNumberingAfterBreak="0">
    <w:nsid w:val="6DC15AF1"/>
    <w:multiLevelType w:val="hybridMultilevel"/>
    <w:tmpl w:val="3AF42732"/>
    <w:lvl w:ilvl="0" w:tplc="17A6ACD2">
      <w:start w:val="1"/>
      <w:numFmt w:val="decimal"/>
      <w:lvlText w:val="%1."/>
      <w:lvlJc w:val="left"/>
      <w:pPr>
        <w:ind w:left="940" w:hanging="360"/>
      </w:pPr>
      <w:rPr>
        <w:rFonts w:ascii="Times New Roman" w:eastAsia="Times New Roman" w:hAnsi="Times New Roman" w:cs="Times New Roman" w:hint="default"/>
        <w:b w:val="0"/>
        <w:bCs w:val="0"/>
        <w:i w:val="0"/>
        <w:iCs w:val="0"/>
        <w:w w:val="100"/>
        <w:sz w:val="24"/>
        <w:szCs w:val="24"/>
        <w:lang w:val="en-US" w:eastAsia="en-US" w:bidi="ar-SA"/>
      </w:rPr>
    </w:lvl>
    <w:lvl w:ilvl="1" w:tplc="65501B3E">
      <w:start w:val="1"/>
      <w:numFmt w:val="lowerLetter"/>
      <w:lvlText w:val="%2."/>
      <w:lvlJc w:val="left"/>
      <w:pPr>
        <w:ind w:left="16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82CE7AA0">
      <w:numFmt w:val="bullet"/>
      <w:lvlText w:val="•"/>
      <w:lvlJc w:val="left"/>
      <w:pPr>
        <w:ind w:left="2571" w:hanging="360"/>
      </w:pPr>
      <w:rPr>
        <w:rFonts w:hint="default"/>
        <w:lang w:val="en-US" w:eastAsia="en-US" w:bidi="ar-SA"/>
      </w:rPr>
    </w:lvl>
    <w:lvl w:ilvl="3" w:tplc="D946D64E">
      <w:numFmt w:val="bullet"/>
      <w:lvlText w:val="•"/>
      <w:lvlJc w:val="left"/>
      <w:pPr>
        <w:ind w:left="3482" w:hanging="360"/>
      </w:pPr>
      <w:rPr>
        <w:rFonts w:hint="default"/>
        <w:lang w:val="en-US" w:eastAsia="en-US" w:bidi="ar-SA"/>
      </w:rPr>
    </w:lvl>
    <w:lvl w:ilvl="4" w:tplc="F6C8F47A">
      <w:numFmt w:val="bullet"/>
      <w:lvlText w:val="•"/>
      <w:lvlJc w:val="left"/>
      <w:pPr>
        <w:ind w:left="4393" w:hanging="360"/>
      </w:pPr>
      <w:rPr>
        <w:rFonts w:hint="default"/>
        <w:lang w:val="en-US" w:eastAsia="en-US" w:bidi="ar-SA"/>
      </w:rPr>
    </w:lvl>
    <w:lvl w:ilvl="5" w:tplc="855449AE">
      <w:numFmt w:val="bullet"/>
      <w:lvlText w:val="•"/>
      <w:lvlJc w:val="left"/>
      <w:pPr>
        <w:ind w:left="5304" w:hanging="360"/>
      </w:pPr>
      <w:rPr>
        <w:rFonts w:hint="default"/>
        <w:lang w:val="en-US" w:eastAsia="en-US" w:bidi="ar-SA"/>
      </w:rPr>
    </w:lvl>
    <w:lvl w:ilvl="6" w:tplc="F64A25B8">
      <w:numFmt w:val="bullet"/>
      <w:lvlText w:val="•"/>
      <w:lvlJc w:val="left"/>
      <w:pPr>
        <w:ind w:left="6215" w:hanging="360"/>
      </w:pPr>
      <w:rPr>
        <w:rFonts w:hint="default"/>
        <w:lang w:val="en-US" w:eastAsia="en-US" w:bidi="ar-SA"/>
      </w:rPr>
    </w:lvl>
    <w:lvl w:ilvl="7" w:tplc="8B2C7EE8">
      <w:numFmt w:val="bullet"/>
      <w:lvlText w:val="•"/>
      <w:lvlJc w:val="left"/>
      <w:pPr>
        <w:ind w:left="7126" w:hanging="360"/>
      </w:pPr>
      <w:rPr>
        <w:rFonts w:hint="default"/>
        <w:lang w:val="en-US" w:eastAsia="en-US" w:bidi="ar-SA"/>
      </w:rPr>
    </w:lvl>
    <w:lvl w:ilvl="8" w:tplc="12604720">
      <w:numFmt w:val="bullet"/>
      <w:lvlText w:val="•"/>
      <w:lvlJc w:val="left"/>
      <w:pPr>
        <w:ind w:left="8037" w:hanging="360"/>
      </w:pPr>
      <w:rPr>
        <w:rFonts w:hint="default"/>
        <w:lang w:val="en-US" w:eastAsia="en-US" w:bidi="ar-SA"/>
      </w:rPr>
    </w:lvl>
  </w:abstractNum>
  <w:abstractNum w:abstractNumId="5" w15:restartNumberingAfterBreak="0">
    <w:nsid w:val="6ED23D0C"/>
    <w:multiLevelType w:val="hybridMultilevel"/>
    <w:tmpl w:val="8662DCDC"/>
    <w:lvl w:ilvl="0" w:tplc="8F3EB730">
      <w:start w:val="1"/>
      <w:numFmt w:val="upperRoman"/>
      <w:lvlText w:val="%1."/>
      <w:lvlJc w:val="left"/>
      <w:pPr>
        <w:ind w:left="671" w:hanging="452"/>
      </w:pPr>
      <w:rPr>
        <w:rFonts w:ascii="Book Antiqua" w:eastAsia="Book Antiqua" w:hAnsi="Book Antiqua" w:cs="Book Antiqua" w:hint="default"/>
        <w:b/>
        <w:bCs/>
        <w:i w:val="0"/>
        <w:iCs w:val="0"/>
        <w:w w:val="100"/>
        <w:sz w:val="22"/>
        <w:szCs w:val="22"/>
        <w:lang w:val="en-US" w:eastAsia="en-US" w:bidi="ar-SA"/>
      </w:rPr>
    </w:lvl>
    <w:lvl w:ilvl="1" w:tplc="5658BEF0">
      <w:numFmt w:val="bullet"/>
      <w:lvlText w:val=""/>
      <w:lvlJc w:val="left"/>
      <w:pPr>
        <w:ind w:left="940" w:hanging="361"/>
      </w:pPr>
      <w:rPr>
        <w:rFonts w:ascii="Symbol" w:eastAsia="Symbol" w:hAnsi="Symbol" w:cs="Symbol" w:hint="default"/>
        <w:b w:val="0"/>
        <w:bCs w:val="0"/>
        <w:i w:val="0"/>
        <w:iCs w:val="0"/>
        <w:w w:val="100"/>
        <w:sz w:val="22"/>
        <w:szCs w:val="22"/>
        <w:lang w:val="en-US" w:eastAsia="en-US" w:bidi="ar-SA"/>
      </w:rPr>
    </w:lvl>
    <w:lvl w:ilvl="2" w:tplc="7C8A2B16">
      <w:numFmt w:val="bullet"/>
      <w:lvlText w:val="•"/>
      <w:lvlJc w:val="left"/>
      <w:pPr>
        <w:ind w:left="1931" w:hanging="361"/>
      </w:pPr>
      <w:rPr>
        <w:rFonts w:hint="default"/>
        <w:lang w:val="en-US" w:eastAsia="en-US" w:bidi="ar-SA"/>
      </w:rPr>
    </w:lvl>
    <w:lvl w:ilvl="3" w:tplc="460E123C">
      <w:numFmt w:val="bullet"/>
      <w:lvlText w:val="•"/>
      <w:lvlJc w:val="left"/>
      <w:pPr>
        <w:ind w:left="2922" w:hanging="361"/>
      </w:pPr>
      <w:rPr>
        <w:rFonts w:hint="default"/>
        <w:lang w:val="en-US" w:eastAsia="en-US" w:bidi="ar-SA"/>
      </w:rPr>
    </w:lvl>
    <w:lvl w:ilvl="4" w:tplc="023C3238">
      <w:numFmt w:val="bullet"/>
      <w:lvlText w:val="•"/>
      <w:lvlJc w:val="left"/>
      <w:pPr>
        <w:ind w:left="3913" w:hanging="361"/>
      </w:pPr>
      <w:rPr>
        <w:rFonts w:hint="default"/>
        <w:lang w:val="en-US" w:eastAsia="en-US" w:bidi="ar-SA"/>
      </w:rPr>
    </w:lvl>
    <w:lvl w:ilvl="5" w:tplc="E4A67534">
      <w:numFmt w:val="bullet"/>
      <w:lvlText w:val="•"/>
      <w:lvlJc w:val="left"/>
      <w:pPr>
        <w:ind w:left="4904" w:hanging="361"/>
      </w:pPr>
      <w:rPr>
        <w:rFonts w:hint="default"/>
        <w:lang w:val="en-US" w:eastAsia="en-US" w:bidi="ar-SA"/>
      </w:rPr>
    </w:lvl>
    <w:lvl w:ilvl="6" w:tplc="EA263A74">
      <w:numFmt w:val="bullet"/>
      <w:lvlText w:val="•"/>
      <w:lvlJc w:val="left"/>
      <w:pPr>
        <w:ind w:left="5895" w:hanging="361"/>
      </w:pPr>
      <w:rPr>
        <w:rFonts w:hint="default"/>
        <w:lang w:val="en-US" w:eastAsia="en-US" w:bidi="ar-SA"/>
      </w:rPr>
    </w:lvl>
    <w:lvl w:ilvl="7" w:tplc="C3A892BC">
      <w:numFmt w:val="bullet"/>
      <w:lvlText w:val="•"/>
      <w:lvlJc w:val="left"/>
      <w:pPr>
        <w:ind w:left="6886" w:hanging="361"/>
      </w:pPr>
      <w:rPr>
        <w:rFonts w:hint="default"/>
        <w:lang w:val="en-US" w:eastAsia="en-US" w:bidi="ar-SA"/>
      </w:rPr>
    </w:lvl>
    <w:lvl w:ilvl="8" w:tplc="B5CE284C">
      <w:numFmt w:val="bullet"/>
      <w:lvlText w:val="•"/>
      <w:lvlJc w:val="left"/>
      <w:pPr>
        <w:ind w:left="7877" w:hanging="361"/>
      </w:pPr>
      <w:rPr>
        <w:rFonts w:hint="default"/>
        <w:lang w:val="en-US" w:eastAsia="en-US" w:bidi="ar-SA"/>
      </w:rPr>
    </w:lvl>
  </w:abstractNum>
  <w:abstractNum w:abstractNumId="6" w15:restartNumberingAfterBreak="0">
    <w:nsid w:val="70E7200E"/>
    <w:multiLevelType w:val="hybridMultilevel"/>
    <w:tmpl w:val="E9783956"/>
    <w:lvl w:ilvl="0" w:tplc="18385EB2">
      <w:start w:val="1"/>
      <w:numFmt w:val="decimal"/>
      <w:lvlText w:val="%1."/>
      <w:lvlJc w:val="left"/>
      <w:pPr>
        <w:ind w:left="940" w:hanging="360"/>
      </w:pPr>
      <w:rPr>
        <w:rFonts w:ascii="Times New Roman" w:eastAsia="Times New Roman" w:hAnsi="Times New Roman" w:cs="Times New Roman" w:hint="default"/>
        <w:b w:val="0"/>
        <w:bCs w:val="0"/>
        <w:i w:val="0"/>
        <w:iCs w:val="0"/>
        <w:w w:val="100"/>
        <w:sz w:val="24"/>
        <w:szCs w:val="24"/>
        <w:lang w:val="en-US" w:eastAsia="en-US" w:bidi="ar-SA"/>
      </w:rPr>
    </w:lvl>
    <w:lvl w:ilvl="1" w:tplc="48183FE6">
      <w:start w:val="1"/>
      <w:numFmt w:val="lowerLetter"/>
      <w:lvlText w:val="%2."/>
      <w:lvlJc w:val="left"/>
      <w:pPr>
        <w:ind w:left="16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7BC5AC2">
      <w:numFmt w:val="bullet"/>
      <w:lvlText w:val="•"/>
      <w:lvlJc w:val="left"/>
      <w:pPr>
        <w:ind w:left="2571" w:hanging="360"/>
      </w:pPr>
      <w:rPr>
        <w:rFonts w:hint="default"/>
        <w:lang w:val="en-US" w:eastAsia="en-US" w:bidi="ar-SA"/>
      </w:rPr>
    </w:lvl>
    <w:lvl w:ilvl="3" w:tplc="5CF49044">
      <w:numFmt w:val="bullet"/>
      <w:lvlText w:val="•"/>
      <w:lvlJc w:val="left"/>
      <w:pPr>
        <w:ind w:left="3482" w:hanging="360"/>
      </w:pPr>
      <w:rPr>
        <w:rFonts w:hint="default"/>
        <w:lang w:val="en-US" w:eastAsia="en-US" w:bidi="ar-SA"/>
      </w:rPr>
    </w:lvl>
    <w:lvl w:ilvl="4" w:tplc="2BDE3D62">
      <w:numFmt w:val="bullet"/>
      <w:lvlText w:val="•"/>
      <w:lvlJc w:val="left"/>
      <w:pPr>
        <w:ind w:left="4393" w:hanging="360"/>
      </w:pPr>
      <w:rPr>
        <w:rFonts w:hint="default"/>
        <w:lang w:val="en-US" w:eastAsia="en-US" w:bidi="ar-SA"/>
      </w:rPr>
    </w:lvl>
    <w:lvl w:ilvl="5" w:tplc="5B38E320">
      <w:numFmt w:val="bullet"/>
      <w:lvlText w:val="•"/>
      <w:lvlJc w:val="left"/>
      <w:pPr>
        <w:ind w:left="5304" w:hanging="360"/>
      </w:pPr>
      <w:rPr>
        <w:rFonts w:hint="default"/>
        <w:lang w:val="en-US" w:eastAsia="en-US" w:bidi="ar-SA"/>
      </w:rPr>
    </w:lvl>
    <w:lvl w:ilvl="6" w:tplc="D242D356">
      <w:numFmt w:val="bullet"/>
      <w:lvlText w:val="•"/>
      <w:lvlJc w:val="left"/>
      <w:pPr>
        <w:ind w:left="6215" w:hanging="360"/>
      </w:pPr>
      <w:rPr>
        <w:rFonts w:hint="default"/>
        <w:lang w:val="en-US" w:eastAsia="en-US" w:bidi="ar-SA"/>
      </w:rPr>
    </w:lvl>
    <w:lvl w:ilvl="7" w:tplc="1CB6B2A0">
      <w:numFmt w:val="bullet"/>
      <w:lvlText w:val="•"/>
      <w:lvlJc w:val="left"/>
      <w:pPr>
        <w:ind w:left="7126" w:hanging="360"/>
      </w:pPr>
      <w:rPr>
        <w:rFonts w:hint="default"/>
        <w:lang w:val="en-US" w:eastAsia="en-US" w:bidi="ar-SA"/>
      </w:rPr>
    </w:lvl>
    <w:lvl w:ilvl="8" w:tplc="2BA01C66">
      <w:numFmt w:val="bullet"/>
      <w:lvlText w:val="•"/>
      <w:lvlJc w:val="left"/>
      <w:pPr>
        <w:ind w:left="8037" w:hanging="360"/>
      </w:pPr>
      <w:rPr>
        <w:rFonts w:hint="default"/>
        <w:lang w:val="en-US" w:eastAsia="en-US" w:bidi="ar-SA"/>
      </w:rPr>
    </w:lvl>
  </w:abstractNum>
  <w:num w:numId="1">
    <w:abstractNumId w:val="1"/>
  </w:num>
  <w:num w:numId="2">
    <w:abstractNumId w:val="3"/>
  </w:num>
  <w:num w:numId="3">
    <w:abstractNumId w:val="5"/>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F2"/>
    <w:rsid w:val="00010C2E"/>
    <w:rsid w:val="00225B32"/>
    <w:rsid w:val="002438EE"/>
    <w:rsid w:val="00250945"/>
    <w:rsid w:val="002C14E1"/>
    <w:rsid w:val="00337703"/>
    <w:rsid w:val="00495940"/>
    <w:rsid w:val="005E655D"/>
    <w:rsid w:val="00884FE4"/>
    <w:rsid w:val="00C71C53"/>
    <w:rsid w:val="00D03D0E"/>
    <w:rsid w:val="00D862F2"/>
    <w:rsid w:val="00ED0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ED1C407-CCC6-4B82-B6C8-0A695A45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6"/>
      <w:ind w:left="2792" w:right="2490"/>
      <w:jc w:val="center"/>
      <w:outlineLvl w:val="0"/>
    </w:pPr>
    <w:rPr>
      <w:sz w:val="36"/>
      <w:szCs w:val="36"/>
      <w:u w:val="single" w:color="000000"/>
    </w:rPr>
  </w:style>
  <w:style w:type="paragraph" w:styleId="Heading2">
    <w:name w:val="heading 2"/>
    <w:basedOn w:val="Normal"/>
    <w:uiPriority w:val="1"/>
    <w:qFormat/>
    <w:pPr>
      <w:spacing w:before="89"/>
      <w:ind w:left="2792" w:right="2493"/>
      <w:jc w:val="center"/>
      <w:outlineLvl w:val="1"/>
    </w:pPr>
    <w:rPr>
      <w:sz w:val="28"/>
      <w:szCs w:val="28"/>
    </w:rPr>
  </w:style>
  <w:style w:type="paragraph" w:styleId="Heading3">
    <w:name w:val="heading 3"/>
    <w:basedOn w:val="Normal"/>
    <w:uiPriority w:val="1"/>
    <w:qFormat/>
    <w:pPr>
      <w:ind w:left="22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jc w:val="righ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15585/mmwr.mm6945a3external" TargetMode="External"/><Relationship Id="rId18" Type="http://schemas.openxmlformats.org/officeDocument/2006/relationships/image" Target="media/image5.png"/><Relationship Id="rId26" Type="http://schemas.openxmlformats.org/officeDocument/2006/relationships/hyperlink" Target="https://doi.org/10.1542/peds.2017-1940" TargetMode="External"/><Relationship Id="rId39" Type="http://schemas.openxmlformats.org/officeDocument/2006/relationships/hyperlink" Target="https://doi.org/10.1097/MPG.0000000000001890" TargetMode="External"/><Relationship Id="rId21" Type="http://schemas.openxmlformats.org/officeDocument/2006/relationships/footer" Target="footer2.xml"/><Relationship Id="rId34" Type="http://schemas.openxmlformats.org/officeDocument/2006/relationships/header" Target="header4.xml"/><Relationship Id="rId42" Type="http://schemas.openxmlformats.org/officeDocument/2006/relationships/hyperlink" Target="https://doi.org/10.1097/MPG.0000000000002422" TargetMode="External"/><Relationship Id="rId47" Type="http://schemas.openxmlformats.org/officeDocument/2006/relationships/hyperlink" Target="https://doi.org/10.1097/BPO.0000000000000536" TargetMode="External"/><Relationship Id="rId50" Type="http://schemas.openxmlformats.org/officeDocument/2006/relationships/footer" Target="footer6.xml"/><Relationship Id="rId55" Type="http://schemas.openxmlformats.org/officeDocument/2006/relationships/hyperlink" Target="https://www.childhealthdata.org/browse/survey/results?q=7737&amp;r=23&amp;g=795" TargetMode="External"/><Relationship Id="rId63" Type="http://schemas.openxmlformats.org/officeDocument/2006/relationships/hyperlink" Target="https://www.childrenshospitals.org/Newsroom/Childrens-Hospitals-Today/Articles/2019/06/How-Adding-Pediatric-ORs-Changed-a-Childrens-Hospital" TargetMode="External"/><Relationship Id="rId68" Type="http://schemas.openxmlformats.org/officeDocument/2006/relationships/hyperlink" Target="https://doi.org/10.1542/peds.141.1_MeetingAbstract.616" TargetMode="External"/><Relationship Id="rId76" Type="http://schemas.openxmlformats.org/officeDocument/2006/relationships/footer" Target="footer9.xml"/><Relationship Id="rId84" Type="http://schemas.openxmlformats.org/officeDocument/2006/relationships/header" Target="header11.xml"/><Relationship Id="rId7" Type="http://schemas.openxmlformats.org/officeDocument/2006/relationships/header" Target="header1.xml"/><Relationship Id="rId71" Type="http://schemas.openxmlformats.org/officeDocument/2006/relationships/hyperlink" Target="https://rtmagazine.com/department-management/clinical/polysomnography-and-the-pediatric-patient/" TargetMode="Externa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eader" Target="header3.xml"/><Relationship Id="rId11" Type="http://schemas.openxmlformats.org/officeDocument/2006/relationships/image" Target="media/image1.png"/><Relationship Id="rId24" Type="http://schemas.openxmlformats.org/officeDocument/2006/relationships/hyperlink" Target="https://doi.org/10.1377/hlthaff.2014.0828" TargetMode="External"/><Relationship Id="rId32" Type="http://schemas.openxmlformats.org/officeDocument/2006/relationships/hyperlink" Target="https://www.apa.org/advocacy/health/children" TargetMode="External"/><Relationship Id="rId37" Type="http://schemas.openxmlformats.org/officeDocument/2006/relationships/hyperlink" Target="https://doi.org/10.14309/01.ajg.0000594128.17059.40" TargetMode="External"/><Relationship Id="rId40" Type="http://schemas.openxmlformats.org/officeDocument/2006/relationships/header" Target="header5.xml"/><Relationship Id="rId45" Type="http://schemas.openxmlformats.org/officeDocument/2006/relationships/hyperlink" Target="https://www.beckersasc.com/asc-news/proposed-cms-medicare-rule-signals-new-era-of-orthopedics.html" TargetMode="External"/><Relationship Id="rId53" Type="http://schemas.openxmlformats.org/officeDocument/2006/relationships/hyperlink" Target="https://nationalcenter.preventblindness.org/policy-issues/" TargetMode="External"/><Relationship Id="rId58" Type="http://schemas.openxmlformats.org/officeDocument/2006/relationships/hyperlink" Target="https://www.masseyeandear.org/specialties/pediatric-eye" TargetMode="External"/><Relationship Id="rId66" Type="http://schemas.openxmlformats.org/officeDocument/2006/relationships/header" Target="header8.xml"/><Relationship Id="rId74" Type="http://schemas.openxmlformats.org/officeDocument/2006/relationships/hyperlink" Target="https://doi.org/10.1002/lary.22473" TargetMode="External"/><Relationship Id="rId79" Type="http://schemas.openxmlformats.org/officeDocument/2006/relationships/header" Target="header10.xml"/><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pedsanesthesia.org/about/provision-of-pediatric-anesthesia-care/" TargetMode="External"/><Relationship Id="rId82" Type="http://schemas.openxmlformats.org/officeDocument/2006/relationships/hyperlink" Target="http://www.childrenshospital.org/-/media/About-Us/Boston-Childrens-Funding-Strategy-Report-2018-(5).ashx?la=en&amp;hash=E17FD3C11166039BAC05DAFC071C626556E7C99A" TargetMode="External"/><Relationship Id="rId19" Type="http://schemas.openxmlformats.org/officeDocument/2006/relationships/hyperlink" Target="http://www.bailit-health.com/" TargetMode="External"/><Relationship Id="rId4" Type="http://schemas.openxmlformats.org/officeDocument/2006/relationships/webSettings" Target="webSettings.xml"/><Relationship Id="rId9" Type="http://schemas.openxmlformats.org/officeDocument/2006/relationships/hyperlink" Target="https://matracking.ehs.state.ma.us/eohhs_regions/eohhs_regions.html" TargetMode="External"/><Relationship Id="rId14" Type="http://schemas.openxmlformats.org/officeDocument/2006/relationships/hyperlink" Target="https://downloads.aap.org/AAP/PDF/Advocacy/Massachusetts_SubspecialtyFactSheet.pdf" TargetMode="External"/><Relationship Id="rId22" Type="http://schemas.openxmlformats.org/officeDocument/2006/relationships/image" Target="media/image6.png"/><Relationship Id="rId27" Type="http://schemas.openxmlformats.org/officeDocument/2006/relationships/hyperlink" Target="https://doi.org/10.1001/archpedi.152.10.1003" TargetMode="External"/><Relationship Id="rId30" Type="http://schemas.openxmlformats.org/officeDocument/2006/relationships/footer" Target="footer3.xml"/><Relationship Id="rId35" Type="http://schemas.openxmlformats.org/officeDocument/2006/relationships/footer" Target="footer4.xml"/><Relationship Id="rId43" Type="http://schemas.openxmlformats.org/officeDocument/2006/relationships/hyperlink" Target="https://doi.org/10.3928/01477447-20151002-52" TargetMode="External"/><Relationship Id="rId48" Type="http://schemas.openxmlformats.org/officeDocument/2006/relationships/hyperlink" Target="https://doi.org/10.1001/jamasurg.2020.5045" TargetMode="External"/><Relationship Id="rId56" Type="http://schemas.openxmlformats.org/officeDocument/2006/relationships/header" Target="header7.xml"/><Relationship Id="rId64" Type="http://schemas.openxmlformats.org/officeDocument/2006/relationships/hyperlink" Target="https://doi.org/10.1053/j.sempedsurg.2018.02.003" TargetMode="External"/><Relationship Id="rId69" Type="http://schemas.openxmlformats.org/officeDocument/2006/relationships/hyperlink" Target="https://doi.org/10.1016/j.jsmc.2009.04.007" TargetMode="External"/><Relationship Id="rId77" Type="http://schemas.openxmlformats.org/officeDocument/2006/relationships/hyperlink" Target="https://www.mass.gov/doc/community-engagement-guidelines-for-community-health-planning-pdf/download" TargetMode="External"/><Relationship Id="rId8" Type="http://schemas.openxmlformats.org/officeDocument/2006/relationships/footer" Target="footer1.xml"/><Relationship Id="rId51" Type="http://schemas.openxmlformats.org/officeDocument/2006/relationships/hyperlink" Target="https://www.newswise.com/coronavirus/pandemic-will-leave-children-with-less-access-to-eye-care-new-survey-shows/?article_id=737258" TargetMode="External"/><Relationship Id="rId72" Type="http://schemas.openxmlformats.org/officeDocument/2006/relationships/hyperlink" Target="https://rtmagazine.com/department-management/clinical/polysomnography-and-the-pediatric-patient/" TargetMode="External"/><Relationship Id="rId80" Type="http://schemas.openxmlformats.org/officeDocument/2006/relationships/footer" Target="footer10.xml"/><Relationship Id="rId85" Type="http://schemas.openxmlformats.org/officeDocument/2006/relationships/footer" Target="footer11.xml"/><Relationship Id="rId3" Type="http://schemas.openxmlformats.org/officeDocument/2006/relationships/settings" Target="settings.xml"/><Relationship Id="rId12" Type="http://schemas.openxmlformats.org/officeDocument/2006/relationships/hyperlink" Target="http://www.psychiatrictimes.com/view/newfindings-children-mental-health-" TargetMode="External"/><Relationship Id="rId17" Type="http://schemas.openxmlformats.org/officeDocument/2006/relationships/image" Target="media/image4.png"/><Relationship Id="rId25" Type="http://schemas.openxmlformats.org/officeDocument/2006/relationships/hyperlink" Target="https://doi.org/10.1001/jamapediatrics.2017.1096" TargetMode="External"/><Relationship Id="rId33" Type="http://schemas.openxmlformats.org/officeDocument/2006/relationships/hyperlink" Target="https://www.milbank.org/wp-content/uploads/2017/03/MMF_BHI_REPORT_FINAL.pdf" TargetMode="External"/><Relationship Id="rId38" Type="http://schemas.openxmlformats.org/officeDocument/2006/relationships/hyperlink" Target="https://doi.org/10.1093/jpepsy/jsv112" TargetMode="External"/><Relationship Id="rId46" Type="http://schemas.openxmlformats.org/officeDocument/2006/relationships/hyperlink" Target="https://doi.org/10.2106/JBJS.17.01368" TargetMode="External"/><Relationship Id="rId59" Type="http://schemas.openxmlformats.org/officeDocument/2006/relationships/hyperlink" Target="https://www.asahq.org/standards-and-guidelines/statement-on-practice-recommendations-for-pediatric-anesthesia" TargetMode="External"/><Relationship Id="rId67" Type="http://schemas.openxmlformats.org/officeDocument/2006/relationships/footer" Target="footer8.xml"/><Relationship Id="rId20" Type="http://schemas.openxmlformats.org/officeDocument/2006/relationships/header" Target="header2.xml"/><Relationship Id="rId41" Type="http://schemas.openxmlformats.org/officeDocument/2006/relationships/footer" Target="footer5.xml"/><Relationship Id="rId54" Type="http://schemas.openxmlformats.org/officeDocument/2006/relationships/hyperlink" Target="https://www.childhealthdata.org/browse/survey/results?q=7737&amp;r=23&amp;g=803" TargetMode="External"/><Relationship Id="rId62" Type="http://schemas.openxmlformats.org/officeDocument/2006/relationships/hyperlink" Target="https://www.childrenshospitals.org/Newsroom/Childrens-Hospitals-Today/Articles/2019/06/How-Adding-Pediatric-ORs-Changed-a-Childrens-Hospital" TargetMode="External"/><Relationship Id="rId70" Type="http://schemas.openxmlformats.org/officeDocument/2006/relationships/hyperlink" Target="https://www.aastweb.org/blog/pediatric-sleep-studies-a-sleep-techs-guide" TargetMode="External"/><Relationship Id="rId75" Type="http://schemas.openxmlformats.org/officeDocument/2006/relationships/header" Target="header9.xml"/><Relationship Id="rId83" Type="http://schemas.openxmlformats.org/officeDocument/2006/relationships/hyperlink" Target="http://www.childrenshospital.org/-/media/About-Us/Boston-Childrens-Funding-Strategy-Report-2018-(5).ashx?la=en&amp;hash=E17FD3C11166039BAC05DAFC071C626556E7C99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hyperlink" Target="https://doi.org/10.1377/hlthaff.22.5.39" TargetMode="External"/><Relationship Id="rId36" Type="http://schemas.openxmlformats.org/officeDocument/2006/relationships/hyperlink" Target="https://www.texaschildrens.org/blog/2016/06/new-model-gi-care" TargetMode="External"/><Relationship Id="rId49" Type="http://schemas.openxmlformats.org/officeDocument/2006/relationships/header" Target="header6.xml"/><Relationship Id="rId57" Type="http://schemas.openxmlformats.org/officeDocument/2006/relationships/footer" Target="footer7.xml"/><Relationship Id="rId10" Type="http://schemas.openxmlformats.org/officeDocument/2006/relationships/hyperlink" Target="https://downloads.aap.org/AAP/PDF/Advocacy/Massachusetts_SubspecialtyFactSheet.pdf" TargetMode="External"/><Relationship Id="rId31" Type="http://schemas.openxmlformats.org/officeDocument/2006/relationships/hyperlink" Target="https://www.apa.org/advocacy/health/children" TargetMode="External"/><Relationship Id="rId44" Type="http://schemas.openxmlformats.org/officeDocument/2006/relationships/hyperlink" Target="https://www.beckersasc.com/asc-news/proposed-cms-medicare-rule-signals-new-era-of-orthopedics.html" TargetMode="External"/><Relationship Id="rId52" Type="http://schemas.openxmlformats.org/officeDocument/2006/relationships/hyperlink" Target="https://www.newswise.com/coronavirus/pandemic-will-leave-children-with-less-access-to-eye-care-new-survey-shows/?article_id=737258" TargetMode="External"/><Relationship Id="rId60" Type="http://schemas.openxmlformats.org/officeDocument/2006/relationships/hyperlink" Target="https://www.asahq.org/standards-and-guidelines/statement-on-practice-recommendations-for-pediatric-anesthesia" TargetMode="External"/><Relationship Id="rId65" Type="http://schemas.openxmlformats.org/officeDocument/2006/relationships/hyperlink" Target="https://www.facs.org/-/media/files/quality-programs/csv/acs-csv_standardsmanual.ashx" TargetMode="External"/><Relationship Id="rId73" Type="http://schemas.openxmlformats.org/officeDocument/2006/relationships/hyperlink" Target="https://doi.org/10.1093/sleep/20.6.423" TargetMode="External"/><Relationship Id="rId78" Type="http://schemas.openxmlformats.org/officeDocument/2006/relationships/hyperlink" Target="https://www.mass.gov/doc/community-engagement-guidelines-for-community-health-planning-pdf/download" TargetMode="External"/><Relationship Id="rId81" Type="http://schemas.openxmlformats.org/officeDocument/2006/relationships/hyperlink" Target="http://www.childrenshospital.org/-/media/About-Us/Boston-Childrens-Funding-Strategy-Report-2018-(5).ashx?la=en&amp;hash=E17FD3C11166039BAC05DAFC071C626556E7C99A"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41</Pages>
  <Words>16410</Words>
  <Characters>93539</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Cioffari-Macphee, Diana (DPH)</dc:creator>
  <cp:lastModifiedBy>Cioffari-Macphee, Diana (DPH)</cp:lastModifiedBy>
  <cp:revision>9</cp:revision>
  <dcterms:created xsi:type="dcterms:W3CDTF">2021-08-04T19:10:00Z</dcterms:created>
  <dcterms:modified xsi:type="dcterms:W3CDTF">2021-08-10T15:56:00Z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Acrobat PDFMaker 21 for Word</vt:lpwstr>
  </property>
  <property fmtid="{D5CDD505-2E9C-101B-9397-08002B2CF9AE}" pid="4" name="LastSaved">
    <vt:filetime>2021-07-19T00:00:00Z</vt:filetime>
  </property>
  <property fmtid="{D5CDD505-2E9C-101B-9397-08002B2CF9AE}" pid="5" name="_MarkAsFinal">
    <vt:bool>true</vt:bool>
  </property>
</Properties>
</file>