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9" w:type="dxa"/>
        <w:tblLayout w:type="fixed"/>
        <w:tblCellMar>
          <w:left w:w="0" w:type="dxa"/>
          <w:right w:w="0" w:type="dxa"/>
        </w:tblCellMar>
        <w:tblLook w:val="01E0" w:firstRow="1" w:lastRow="1" w:firstColumn="1" w:lastColumn="1" w:noHBand="0" w:noVBand="0"/>
      </w:tblPr>
      <w:tblGrid>
        <w:gridCol w:w="3360"/>
        <w:gridCol w:w="4308"/>
        <w:gridCol w:w="3311"/>
      </w:tblGrid>
      <w:tr w:rsidR="00C64C35" w:rsidTr="00C904D5">
        <w:trPr>
          <w:trHeight w:val="1875"/>
        </w:trPr>
        <w:tc>
          <w:tcPr>
            <w:tcW w:w="10979" w:type="dxa"/>
            <w:gridSpan w:val="3"/>
          </w:tcPr>
          <w:p w:rsidR="00C64C35" w:rsidRDefault="00C64C35" w:rsidP="00C904D5">
            <w:pPr>
              <w:pStyle w:val="TableParagraph"/>
              <w:spacing w:line="402" w:lineRule="exact"/>
              <w:ind w:right="2031"/>
              <w:rPr>
                <w:sz w:val="36"/>
              </w:rPr>
            </w:pPr>
            <w:r>
              <w:rPr>
                <w:sz w:val="36"/>
              </w:rPr>
              <w:t>The Commonwealth of Massachusetts</w:t>
            </w:r>
          </w:p>
          <w:p w:rsidR="00C64C35" w:rsidRDefault="00C64C35" w:rsidP="00C904D5">
            <w:pPr>
              <w:pStyle w:val="TableParagraph"/>
              <w:ind w:right="2021"/>
              <w:rPr>
                <w:sz w:val="28"/>
              </w:rPr>
            </w:pPr>
            <w:r>
              <w:rPr>
                <w:sz w:val="28"/>
              </w:rPr>
              <w:t>Executive Office of Health and Human Services Department of Public Health</w:t>
            </w:r>
          </w:p>
          <w:p w:rsidR="00C64C35" w:rsidRDefault="00C64C35" w:rsidP="00C904D5">
            <w:pPr>
              <w:pStyle w:val="TableParagraph"/>
              <w:spacing w:line="321" w:lineRule="exact"/>
              <w:ind w:right="2024"/>
              <w:rPr>
                <w:sz w:val="28"/>
              </w:rPr>
            </w:pPr>
            <w:r>
              <w:rPr>
                <w:sz w:val="28"/>
              </w:rPr>
              <w:t>250 Washington Street</w:t>
            </w:r>
          </w:p>
          <w:p w:rsidR="00C64C35" w:rsidRDefault="00C64C35" w:rsidP="00C904D5">
            <w:pPr>
              <w:pStyle w:val="TableParagraph"/>
              <w:spacing w:line="322" w:lineRule="exact"/>
              <w:ind w:right="2025"/>
              <w:rPr>
                <w:sz w:val="28"/>
              </w:rPr>
            </w:pPr>
            <w:r>
              <w:rPr>
                <w:sz w:val="28"/>
              </w:rPr>
              <w:t>Boston, MA 02108</w:t>
            </w:r>
          </w:p>
        </w:tc>
      </w:tr>
      <w:tr w:rsidR="00C64C35" w:rsidTr="00C904D5">
        <w:trPr>
          <w:trHeight w:val="1016"/>
        </w:trPr>
        <w:tc>
          <w:tcPr>
            <w:tcW w:w="3360" w:type="dxa"/>
          </w:tcPr>
          <w:p w:rsidR="00C64C35" w:rsidRDefault="00C64C35" w:rsidP="00C904D5">
            <w:pPr>
              <w:pStyle w:val="TableParagraph"/>
              <w:spacing w:before="4"/>
              <w:ind w:left="0"/>
              <w:jc w:val="left"/>
              <w:rPr>
                <w:rFonts w:ascii="Times New Roman"/>
                <w:sz w:val="17"/>
              </w:rPr>
            </w:pPr>
          </w:p>
          <w:p w:rsidR="00C64C35" w:rsidRDefault="00C64C35" w:rsidP="00C904D5">
            <w:pPr>
              <w:pStyle w:val="TableParagraph"/>
              <w:ind w:left="182" w:right="1538"/>
              <w:rPr>
                <w:rFonts w:ascii="Arial Rounded MT Bold"/>
                <w:sz w:val="16"/>
              </w:rPr>
            </w:pPr>
            <w:r>
              <w:rPr>
                <w:rFonts w:ascii="Arial Rounded MT Bold"/>
                <w:sz w:val="16"/>
              </w:rPr>
              <w:t>CHARLES D. BAKER</w:t>
            </w:r>
          </w:p>
          <w:p w:rsidR="00C64C35" w:rsidRDefault="00C64C35" w:rsidP="00C904D5">
            <w:pPr>
              <w:pStyle w:val="TableParagraph"/>
              <w:spacing w:before="2"/>
              <w:ind w:left="180" w:right="1538"/>
              <w:rPr>
                <w:rFonts w:ascii="Arial Rounded MT Bold"/>
                <w:sz w:val="14"/>
              </w:rPr>
            </w:pPr>
            <w:r>
              <w:rPr>
                <w:rFonts w:ascii="Arial Rounded MT Bold"/>
                <w:sz w:val="14"/>
              </w:rPr>
              <w:t>Governor</w:t>
            </w:r>
          </w:p>
          <w:p w:rsidR="00C64C35" w:rsidRDefault="00C64C35" w:rsidP="00C904D5">
            <w:pPr>
              <w:pStyle w:val="TableParagraph"/>
              <w:spacing w:before="119"/>
              <w:ind w:left="182" w:right="1536"/>
              <w:rPr>
                <w:rFonts w:ascii="Arial Rounded MT Bold"/>
                <w:sz w:val="16"/>
              </w:rPr>
            </w:pPr>
            <w:r>
              <w:rPr>
                <w:rFonts w:ascii="Arial Rounded MT Bold"/>
                <w:sz w:val="16"/>
              </w:rPr>
              <w:t>KARYN E.</w:t>
            </w:r>
            <w:r>
              <w:rPr>
                <w:rFonts w:ascii="Arial Rounded MT Bold"/>
                <w:spacing w:val="-5"/>
                <w:sz w:val="16"/>
              </w:rPr>
              <w:t xml:space="preserve"> </w:t>
            </w:r>
            <w:r>
              <w:rPr>
                <w:rFonts w:ascii="Arial Rounded MT Bold"/>
                <w:sz w:val="16"/>
              </w:rPr>
              <w:t>POLITO</w:t>
            </w:r>
          </w:p>
          <w:p w:rsidR="00C64C35" w:rsidRDefault="00C64C35" w:rsidP="00C904D5">
            <w:pPr>
              <w:pStyle w:val="TableParagraph"/>
              <w:spacing w:before="2" w:line="142" w:lineRule="exact"/>
              <w:ind w:left="178" w:right="1538"/>
              <w:rPr>
                <w:rFonts w:ascii="Arial Rounded MT Bold"/>
                <w:sz w:val="14"/>
              </w:rPr>
            </w:pPr>
            <w:r>
              <w:rPr>
                <w:rFonts w:ascii="Arial Rounded MT Bold"/>
                <w:sz w:val="14"/>
              </w:rPr>
              <w:t>Lieutenant</w:t>
            </w:r>
            <w:r>
              <w:rPr>
                <w:rFonts w:ascii="Arial Rounded MT Bold"/>
                <w:spacing w:val="-11"/>
                <w:sz w:val="14"/>
              </w:rPr>
              <w:t xml:space="preserve"> </w:t>
            </w:r>
            <w:r>
              <w:rPr>
                <w:rFonts w:ascii="Arial Rounded MT Bold"/>
                <w:sz w:val="14"/>
              </w:rPr>
              <w:t>Governor</w:t>
            </w:r>
          </w:p>
        </w:tc>
        <w:tc>
          <w:tcPr>
            <w:tcW w:w="4308" w:type="dxa"/>
          </w:tcPr>
          <w:p w:rsidR="00C64C35" w:rsidRDefault="00C64C35" w:rsidP="00C904D5">
            <w:pPr>
              <w:pStyle w:val="TableParagraph"/>
              <w:spacing w:before="187" w:line="229" w:lineRule="exact"/>
              <w:ind w:left="1558"/>
              <w:jc w:val="left"/>
              <w:rPr>
                <w:sz w:val="20"/>
              </w:rPr>
            </w:pPr>
            <w:r>
              <w:rPr>
                <w:sz w:val="20"/>
              </w:rPr>
              <w:t>Tel</w:t>
            </w:r>
            <w:proofErr w:type="gramStart"/>
            <w:r>
              <w:rPr>
                <w:sz w:val="20"/>
              </w:rPr>
              <w:t>:  (</w:t>
            </w:r>
            <w:proofErr w:type="gramEnd"/>
            <w:r>
              <w:rPr>
                <w:sz w:val="20"/>
              </w:rPr>
              <w:t>617)</w:t>
            </w:r>
            <w:r>
              <w:rPr>
                <w:spacing w:val="-12"/>
                <w:sz w:val="20"/>
              </w:rPr>
              <w:t xml:space="preserve"> </w:t>
            </w:r>
            <w:r>
              <w:rPr>
                <w:sz w:val="20"/>
              </w:rPr>
              <w:t>983-6550</w:t>
            </w:r>
          </w:p>
          <w:p w:rsidR="00C64C35" w:rsidRDefault="00C64C35" w:rsidP="00C904D5">
            <w:pPr>
              <w:pStyle w:val="TableParagraph"/>
              <w:spacing w:line="229" w:lineRule="exact"/>
              <w:ind w:left="1558"/>
              <w:jc w:val="left"/>
              <w:rPr>
                <w:sz w:val="20"/>
              </w:rPr>
            </w:pPr>
            <w:r>
              <w:rPr>
                <w:sz w:val="20"/>
              </w:rPr>
              <w:t>Fax: (617)</w:t>
            </w:r>
            <w:r>
              <w:rPr>
                <w:spacing w:val="-11"/>
                <w:sz w:val="20"/>
              </w:rPr>
              <w:t xml:space="preserve"> </w:t>
            </w:r>
            <w:r>
              <w:rPr>
                <w:sz w:val="20"/>
              </w:rPr>
              <w:t>983-6925</w:t>
            </w:r>
          </w:p>
          <w:p w:rsidR="00C64C35" w:rsidRDefault="009871F0" w:rsidP="00C904D5">
            <w:pPr>
              <w:pStyle w:val="TableParagraph"/>
              <w:spacing w:before="1"/>
              <w:ind w:left="1596"/>
              <w:jc w:val="left"/>
              <w:rPr>
                <w:sz w:val="20"/>
              </w:rPr>
            </w:pPr>
            <w:hyperlink r:id="rId6">
              <w:r w:rsidR="00C151E2">
                <w:rPr>
                  <w:color w:val="0000FF"/>
                  <w:sz w:val="20"/>
                  <w:u w:val="single" w:color="0000FF"/>
                </w:rPr>
                <w:t>Massachusetts Department of Public Health website at www.mass.gov/dph</w:t>
              </w:r>
            </w:hyperlink>
          </w:p>
        </w:tc>
        <w:tc>
          <w:tcPr>
            <w:tcW w:w="3311" w:type="dxa"/>
          </w:tcPr>
          <w:p w:rsidR="00C64C35" w:rsidRDefault="00C64C35" w:rsidP="00C904D5">
            <w:pPr>
              <w:pStyle w:val="TableParagraph"/>
              <w:spacing w:before="3"/>
              <w:ind w:left="0"/>
              <w:jc w:val="left"/>
              <w:rPr>
                <w:rFonts w:ascii="Times New Roman"/>
                <w:sz w:val="16"/>
              </w:rPr>
            </w:pPr>
          </w:p>
          <w:p w:rsidR="00C64C35" w:rsidRDefault="00C64C35" w:rsidP="00C904D5">
            <w:pPr>
              <w:pStyle w:val="TableParagraph"/>
              <w:spacing w:before="1"/>
              <w:ind w:left="919" w:right="181"/>
              <w:rPr>
                <w:rFonts w:ascii="Arial Rounded MT Bold"/>
                <w:sz w:val="16"/>
              </w:rPr>
            </w:pPr>
            <w:r>
              <w:rPr>
                <w:rFonts w:ascii="Arial Rounded MT Bold"/>
                <w:sz w:val="16"/>
              </w:rPr>
              <w:t>MARYLOU SUDDERS</w:t>
            </w:r>
          </w:p>
          <w:p w:rsidR="00C64C35" w:rsidRDefault="00C64C35" w:rsidP="00C904D5">
            <w:pPr>
              <w:pStyle w:val="TableParagraph"/>
              <w:spacing w:before="1"/>
              <w:ind w:left="920" w:right="180"/>
              <w:rPr>
                <w:rFonts w:ascii="Arial Rounded MT Bold"/>
                <w:sz w:val="14"/>
              </w:rPr>
            </w:pPr>
            <w:r>
              <w:rPr>
                <w:rFonts w:ascii="Arial Rounded MT Bold"/>
                <w:sz w:val="14"/>
              </w:rPr>
              <w:t>Secretary</w:t>
            </w:r>
          </w:p>
          <w:p w:rsidR="00C64C35" w:rsidRDefault="00C64C35" w:rsidP="00C904D5">
            <w:pPr>
              <w:pStyle w:val="TableParagraph"/>
              <w:spacing w:before="117"/>
              <w:ind w:left="920" w:right="181"/>
              <w:rPr>
                <w:rFonts w:ascii="Arial Rounded MT Bold"/>
                <w:sz w:val="16"/>
              </w:rPr>
            </w:pPr>
            <w:r>
              <w:rPr>
                <w:rFonts w:ascii="Arial Rounded MT Bold"/>
                <w:sz w:val="16"/>
              </w:rPr>
              <w:t>MONICA BHAREL, MD, MPH</w:t>
            </w:r>
          </w:p>
          <w:p w:rsidR="00C64C35" w:rsidRDefault="00C64C35" w:rsidP="00C904D5">
            <w:pPr>
              <w:pStyle w:val="TableParagraph"/>
              <w:spacing w:before="2" w:line="156" w:lineRule="exact"/>
              <w:ind w:left="918" w:right="181"/>
              <w:rPr>
                <w:rFonts w:ascii="Arial Rounded MT Bold"/>
                <w:sz w:val="14"/>
              </w:rPr>
            </w:pPr>
            <w:r>
              <w:rPr>
                <w:rFonts w:ascii="Arial Rounded MT Bold"/>
                <w:sz w:val="14"/>
              </w:rPr>
              <w:t>Commissioner</w:t>
            </w:r>
          </w:p>
        </w:tc>
      </w:tr>
    </w:tbl>
    <w:bookmarkStart w:id="0" w:name="_GoBack"/>
    <w:p w:rsidR="00C64C35" w:rsidRDefault="00C64C35" w:rsidP="00C64C35">
      <w:pPr>
        <w:pStyle w:val="BodyText"/>
        <w:rPr>
          <w:sz w:val="20"/>
        </w:rPr>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5613400</wp:posOffset>
                </wp:positionH>
                <wp:positionV relativeFrom="page">
                  <wp:posOffset>10021570</wp:posOffset>
                </wp:positionV>
                <wp:extent cx="2158365" cy="0"/>
                <wp:effectExtent l="12700" t="10795" r="10160" b="8255"/>
                <wp:wrapNone/>
                <wp:docPr id="4" name="Straight Connector 4"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line">
                          <a:avLst/>
                        </a:prstGeom>
                        <a:noFill/>
                        <a:ln w="91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B29E0" id="Straight Connector 4" o:spid="_x0000_s1026" alt="Title: Division Line - Description: Division Line"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2pt,789.1pt" to="611.95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" strokeweight=".25436mm">
                <w10:wrap anchorx="page" anchory="page"/>
              </v:line>
            </w:pict>
          </mc:Fallback>
        </mc:AlternateContent>
      </w:r>
      <w:bookmarkEnd w:id="0"/>
    </w:p>
    <w:p w:rsidR="00C64C35" w:rsidRDefault="00C64C35" w:rsidP="00C64C35">
      <w:pPr>
        <w:pStyle w:val="BodyText"/>
        <w:spacing w:before="4"/>
        <w:rPr>
          <w:sz w:val="28"/>
        </w:rPr>
      </w:pPr>
    </w:p>
    <w:p w:rsidR="00C64C35" w:rsidRDefault="00C64C35" w:rsidP="00C64C35">
      <w:pPr>
        <w:pStyle w:val="BodyText"/>
        <w:spacing w:before="90"/>
        <w:ind w:left="220"/>
      </w:pPr>
      <w:r>
        <w:rPr>
          <w:noProof/>
          <w:lang w:bidi="ar-SA"/>
        </w:rPr>
        <w:drawing>
          <wp:inline distT="0" distB="0" distL="0" distR="0">
            <wp:extent cx="971550" cy="1162050"/>
            <wp:effectExtent l="0" t="0" r="0" b="0"/>
            <wp:docPr id="1" name="image1.png"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1162050"/>
                    </a:xfrm>
                    <a:prstGeom prst="rect">
                      <a:avLst/>
                    </a:prstGeom>
                  </pic:spPr>
                </pic:pic>
              </a:graphicData>
            </a:graphic>
          </wp:inline>
        </w:drawing>
      </w:r>
      <w:r>
        <w:t>March 1, 2021</w:t>
      </w:r>
    </w:p>
    <w:p w:rsidR="00C64C35" w:rsidRDefault="00C64C35" w:rsidP="00C64C35">
      <w:pPr>
        <w:pStyle w:val="BodyText"/>
        <w:spacing w:before="10"/>
      </w:pPr>
    </w:p>
    <w:p w:rsidR="00C64C35" w:rsidRDefault="00C64C35" w:rsidP="00C64C35">
      <w:pPr>
        <w:pStyle w:val="BodyText"/>
        <w:ind w:left="220"/>
      </w:pPr>
      <w:r>
        <w:rPr>
          <w:w w:val="105"/>
        </w:rPr>
        <w:t>Andrew Levine</w:t>
      </w:r>
    </w:p>
    <w:p w:rsidR="00C64C35" w:rsidRDefault="00C64C35" w:rsidP="00C64C35">
      <w:pPr>
        <w:pStyle w:val="BodyText"/>
        <w:spacing w:line="249" w:lineRule="auto"/>
        <w:ind w:left="220" w:right="7859"/>
      </w:pPr>
      <w:r>
        <w:rPr>
          <w:w w:val="105"/>
        </w:rPr>
        <w:t>Summit Health Law Partners One Beacon Street, Suite 1320 Boston, MA 02108-3106</w:t>
      </w:r>
    </w:p>
    <w:p w:rsidR="00C64C35" w:rsidRDefault="00C64C35" w:rsidP="00C64C35">
      <w:pPr>
        <w:pStyle w:val="BodyText"/>
        <w:spacing w:before="7"/>
        <w:rPr>
          <w:sz w:val="32"/>
        </w:rPr>
      </w:pPr>
    </w:p>
    <w:p w:rsidR="00C64C35" w:rsidRDefault="00C64C35" w:rsidP="00C64C35">
      <w:pPr>
        <w:pStyle w:val="BodyText"/>
        <w:ind w:left="1060" w:right="748" w:hanging="720"/>
        <w:jc w:val="both"/>
      </w:pPr>
      <w:r>
        <w:t xml:space="preserve">Re: </w:t>
      </w:r>
      <w:r>
        <w:rPr>
          <w:u w:val="single"/>
        </w:rPr>
        <w:t>Brigham and Women’s Hospital, Inc. – Application for a Substantial Change in Service</w:t>
      </w:r>
      <w:r>
        <w:t xml:space="preserve"> </w:t>
      </w:r>
      <w:r>
        <w:rPr>
          <w:u w:val="single"/>
        </w:rPr>
        <w:t>Pursuant to</w:t>
      </w:r>
      <w:r>
        <w:t xml:space="preserve"> </w:t>
      </w:r>
      <w:r>
        <w:rPr>
          <w:u w:val="single"/>
        </w:rPr>
        <w:t>Order</w:t>
      </w:r>
      <w:r>
        <w:rPr>
          <w:spacing w:val="-9"/>
          <w:u w:val="single"/>
        </w:rPr>
        <w:t xml:space="preserve"> </w:t>
      </w:r>
      <w:r>
        <w:rPr>
          <w:u w:val="single"/>
        </w:rPr>
        <w:t>of</w:t>
      </w:r>
      <w:r>
        <w:rPr>
          <w:spacing w:val="-10"/>
          <w:u w:val="single"/>
        </w:rPr>
        <w:t xml:space="preserve"> </w:t>
      </w:r>
      <w:r>
        <w:rPr>
          <w:u w:val="single"/>
        </w:rPr>
        <w:t>the</w:t>
      </w:r>
      <w:r>
        <w:rPr>
          <w:spacing w:val="-11"/>
          <w:u w:val="single"/>
        </w:rPr>
        <w:t xml:space="preserve"> </w:t>
      </w:r>
      <w:r>
        <w:rPr>
          <w:u w:val="single"/>
        </w:rPr>
        <w:t>Commissioner</w:t>
      </w:r>
      <w:r>
        <w:rPr>
          <w:spacing w:val="-8"/>
          <w:u w:val="single"/>
        </w:rPr>
        <w:t xml:space="preserve"> </w:t>
      </w:r>
      <w:r>
        <w:rPr>
          <w:u w:val="single"/>
        </w:rPr>
        <w:t>of</w:t>
      </w:r>
      <w:r>
        <w:rPr>
          <w:spacing w:val="-10"/>
          <w:u w:val="single"/>
        </w:rPr>
        <w:t xml:space="preserve"> </w:t>
      </w:r>
      <w:r>
        <w:rPr>
          <w:u w:val="single"/>
        </w:rPr>
        <w:t>Public</w:t>
      </w:r>
      <w:r>
        <w:rPr>
          <w:spacing w:val="-11"/>
          <w:u w:val="single"/>
        </w:rPr>
        <w:t xml:space="preserve"> </w:t>
      </w:r>
      <w:r>
        <w:rPr>
          <w:u w:val="single"/>
        </w:rPr>
        <w:t>Health</w:t>
      </w:r>
      <w:r>
        <w:rPr>
          <w:spacing w:val="-7"/>
          <w:u w:val="single"/>
        </w:rPr>
        <w:t xml:space="preserve"> </w:t>
      </w:r>
      <w:r>
        <w:rPr>
          <w:u w:val="single"/>
        </w:rPr>
        <w:t>Regarding</w:t>
      </w:r>
      <w:r>
        <w:rPr>
          <w:spacing w:val="-11"/>
          <w:u w:val="single"/>
        </w:rPr>
        <w:t xml:space="preserve"> </w:t>
      </w:r>
      <w:r>
        <w:rPr>
          <w:u w:val="single"/>
        </w:rPr>
        <w:t>Determination</w:t>
      </w:r>
      <w:r>
        <w:rPr>
          <w:spacing w:val="-7"/>
          <w:u w:val="single"/>
        </w:rPr>
        <w:t xml:space="preserve"> </w:t>
      </w:r>
      <w:r>
        <w:rPr>
          <w:u w:val="single"/>
        </w:rPr>
        <w:t>of</w:t>
      </w:r>
      <w:r>
        <w:rPr>
          <w:spacing w:val="-10"/>
          <w:u w:val="single"/>
        </w:rPr>
        <w:t xml:space="preserve"> </w:t>
      </w:r>
      <w:r>
        <w:rPr>
          <w:u w:val="single"/>
        </w:rPr>
        <w:t>Need</w:t>
      </w:r>
      <w:r>
        <w:rPr>
          <w:spacing w:val="2"/>
        </w:rPr>
        <w:t xml:space="preserve"> </w:t>
      </w:r>
      <w:r>
        <w:rPr>
          <w:u w:val="single"/>
        </w:rPr>
        <w:t>Approvals</w:t>
      </w:r>
      <w:r>
        <w:rPr>
          <w:spacing w:val="3"/>
          <w:u w:val="single"/>
        </w:rPr>
        <w:t xml:space="preserve"> </w:t>
      </w:r>
      <w:r>
        <w:rPr>
          <w:u w:val="single"/>
        </w:rPr>
        <w:t>Related</w:t>
      </w:r>
      <w:r>
        <w:t xml:space="preserve"> </w:t>
      </w:r>
      <w:r>
        <w:rPr>
          <w:u w:val="single"/>
        </w:rPr>
        <w:t>to</w:t>
      </w:r>
      <w:r>
        <w:rPr>
          <w:spacing w:val="-1"/>
          <w:u w:val="single"/>
        </w:rPr>
        <w:t xml:space="preserve"> </w:t>
      </w:r>
      <w:r>
        <w:rPr>
          <w:u w:val="single"/>
        </w:rPr>
        <w:t>COVID-19</w:t>
      </w:r>
    </w:p>
    <w:p w:rsidR="00C64C35" w:rsidRDefault="00C64C35" w:rsidP="00C64C35">
      <w:pPr>
        <w:pStyle w:val="BodyText"/>
        <w:rPr>
          <w:sz w:val="20"/>
        </w:rPr>
      </w:pPr>
    </w:p>
    <w:p w:rsidR="00C64C35" w:rsidRDefault="00C64C35" w:rsidP="00C64C35">
      <w:pPr>
        <w:pStyle w:val="BodyText"/>
        <w:spacing w:before="219"/>
        <w:ind w:left="220"/>
      </w:pPr>
      <w:r>
        <w:t>Dear Mr. Levine:</w:t>
      </w:r>
    </w:p>
    <w:p w:rsidR="00C64C35" w:rsidRDefault="00C64C35" w:rsidP="00C64C35">
      <w:pPr>
        <w:pStyle w:val="BodyText"/>
        <w:spacing w:before="6"/>
        <w:rPr>
          <w:sz w:val="23"/>
        </w:rPr>
      </w:pPr>
    </w:p>
    <w:p w:rsidR="00C64C35" w:rsidRDefault="00C64C35" w:rsidP="00C64C35">
      <w:pPr>
        <w:pStyle w:val="BodyText"/>
        <w:spacing w:line="235" w:lineRule="auto"/>
        <w:ind w:left="219" w:right="344"/>
      </w:pPr>
      <w:r>
        <w:t>The Department received the notification above on February 16, 2021 to convert the research-only neonatal intensive care unit (“NICU”) magnetic resonance imaging (“MRI”) modality at Brigham and Women’s Hospital (BWH) to clinical use.</w:t>
      </w:r>
    </w:p>
    <w:p w:rsidR="00C64C35" w:rsidRDefault="00C64C35" w:rsidP="00C64C35">
      <w:pPr>
        <w:pStyle w:val="BodyText"/>
        <w:spacing w:before="4"/>
        <w:rPr>
          <w:sz w:val="22"/>
        </w:rPr>
      </w:pPr>
    </w:p>
    <w:p w:rsidR="00C64C35" w:rsidRDefault="00C64C35" w:rsidP="00C64C35">
      <w:pPr>
        <w:pStyle w:val="BodyText"/>
        <w:spacing w:line="247" w:lineRule="auto"/>
        <w:ind w:left="219" w:right="924"/>
      </w:pPr>
      <w:r>
        <w:t xml:space="preserve">Presently, BWH has an Aspect Imaging Embrace Neonatal MRI scanner installed and available for investigational applications in its NICU, located on the 6th floor of the Connors Center for Women’s Health (“CCWH”) at 75 Francis Street in Boston (“NICU MRI”). This NICU MRI is operated pursuant to an approved research exemption from the </w:t>
      </w:r>
      <w:proofErr w:type="spellStart"/>
      <w:r>
        <w:t>DoN</w:t>
      </w:r>
      <w:proofErr w:type="spellEnd"/>
      <w:r>
        <w:t xml:space="preserve"> program. Since receiving </w:t>
      </w:r>
      <w:proofErr w:type="spellStart"/>
      <w:r>
        <w:t>DoN</w:t>
      </w:r>
      <w:proofErr w:type="spellEnd"/>
      <w:r>
        <w:t xml:space="preserve"> approval to operate the NICU MRI for research purposes and going live in September 2018, the Applicant and BWH have been committed to researching the applications of the NICU MRI technology for neonatal patients and using the NICU MRI unit to elevate and expand the Hospital’s Neonatology Department’s focus on neurocritical care.</w:t>
      </w:r>
    </w:p>
    <w:p w:rsidR="00C64C35" w:rsidRDefault="00C64C35" w:rsidP="00C64C35">
      <w:pPr>
        <w:pStyle w:val="BodyText"/>
        <w:rPr>
          <w:sz w:val="22"/>
        </w:rPr>
      </w:pPr>
    </w:p>
    <w:p w:rsidR="00C64C35" w:rsidRDefault="00C64C35" w:rsidP="00C64C35">
      <w:pPr>
        <w:pStyle w:val="BodyText"/>
        <w:spacing w:line="232" w:lineRule="auto"/>
        <w:ind w:left="220" w:right="747"/>
        <w:jc w:val="both"/>
      </w:pPr>
      <w:r>
        <w:t>The Applicant notes the importance of diagnostic imaging generally in the care of neonates particularly for preterm babies at a higher risk of feeding, vision, and hearing problems, as well as cognitive, behavioral, and social difficulties whose problems are generally the result of premature neonatal brain injuries.</w:t>
      </w:r>
      <w:hyperlink w:anchor="_bookmark0" w:history="1">
        <w:r>
          <w:rPr>
            <w:position w:val="9"/>
            <w:sz w:val="16"/>
          </w:rPr>
          <w:t>1</w:t>
        </w:r>
      </w:hyperlink>
      <w:r>
        <w:rPr>
          <w:position w:val="9"/>
          <w:sz w:val="16"/>
        </w:rPr>
        <w:t xml:space="preserve"> </w:t>
      </w:r>
      <w:r>
        <w:t xml:space="preserve">In this </w:t>
      </w:r>
      <w:r>
        <w:lastRenderedPageBreak/>
        <w:t>context, diagnostic imaging is required to identify the presence and extent of any brain injuries and guide treatment and care management</w:t>
      </w:r>
      <w:hyperlink w:anchor="_bookmark1" w:history="1">
        <w:r>
          <w:rPr>
            <w:position w:val="9"/>
            <w:sz w:val="16"/>
          </w:rPr>
          <w:t>2</w:t>
        </w:r>
      </w:hyperlink>
      <w:r>
        <w:rPr>
          <w:position w:val="9"/>
          <w:sz w:val="16"/>
        </w:rPr>
        <w:t xml:space="preserve"> </w:t>
      </w:r>
      <w:r>
        <w:t>and MRI is the preferred imaging method</w:t>
      </w:r>
      <w:r>
        <w:rPr>
          <w:spacing w:val="49"/>
        </w:rPr>
        <w:t xml:space="preserve"> </w:t>
      </w:r>
      <w:r>
        <w:t>for</w:t>
      </w:r>
    </w:p>
    <w:p w:rsidR="00C64C35" w:rsidRDefault="00C64C35" w:rsidP="00C64C35">
      <w:pPr>
        <w:pStyle w:val="BodyText"/>
        <w:spacing w:before="10"/>
        <w:rPr>
          <w:sz w:val="17"/>
        </w:rPr>
      </w:pPr>
      <w:r>
        <w:rPr>
          <w:noProof/>
          <w:lang w:bidi="ar-SA"/>
        </w:rPr>
        <mc:AlternateContent>
          <mc:Choice Requires="wps">
            <w:drawing>
              <wp:inline distT="0" distB="0" distL="0" distR="0">
                <wp:extent cx="1828800" cy="1270"/>
                <wp:effectExtent l="0" t="0" r="19050" b="17780"/>
                <wp:docPr id="2" name="Freeform: Shape 2" descr="Division line between main content and footnotes" title="Division line between main content and footnot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35F687F" id="Freeform: Shape 2" o:spid="_x0000_s1026" alt="Title: Division line between main content and footnotes - Description: Division line between main content and footnotes" style="width:2in;height:.1pt;visibility:visible;mso-wrap-style:square;mso-left-percent:-10001;mso-top-percent:-10001;mso-position-horizontal:absolute;mso-position-horizontal-relative:char;mso-position-vertical:absolute;mso-position-vertical-relative:line;mso-left-percent:-10001;mso-top-percent:-10001;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" path="m,l2880,e" filled="f" strokeweight=".72pt">
                <v:path arrowok="t" o:connecttype="custom" o:connectlocs="0,0;1828800,0" o:connectangles="0,0"/>
                <w10:anchorlock/>
              </v:shape>
            </w:pict>
          </mc:Fallback>
        </mc:AlternateContent>
      </w:r>
    </w:p>
    <w:p w:rsidR="00C64C35" w:rsidRDefault="00C64C35" w:rsidP="00C64C35">
      <w:pPr>
        <w:spacing w:before="67"/>
        <w:ind w:left="219"/>
        <w:rPr>
          <w:sz w:val="20"/>
        </w:rPr>
      </w:pPr>
      <w:bookmarkStart w:id="1" w:name="_bookmark0"/>
      <w:bookmarkEnd w:id="1"/>
      <w:r>
        <w:rPr>
          <w:position w:val="7"/>
          <w:sz w:val="13"/>
        </w:rPr>
        <w:t xml:space="preserve">1 </w:t>
      </w:r>
      <w:r>
        <w:rPr>
          <w:sz w:val="20"/>
        </w:rPr>
        <w:t xml:space="preserve">Stephen A. Back, </w:t>
      </w:r>
      <w:r>
        <w:rPr>
          <w:i/>
          <w:sz w:val="20"/>
        </w:rPr>
        <w:t>White Matter Injury in the Preterm Infant: Pathology and Mechanisms</w:t>
      </w:r>
      <w:r>
        <w:rPr>
          <w:sz w:val="20"/>
        </w:rPr>
        <w:t>, 134 A</w:t>
      </w:r>
      <w:r>
        <w:rPr>
          <w:sz w:val="16"/>
        </w:rPr>
        <w:t xml:space="preserve">CTA </w:t>
      </w:r>
      <w:r>
        <w:rPr>
          <w:sz w:val="20"/>
        </w:rPr>
        <w:t>N</w:t>
      </w:r>
      <w:r>
        <w:rPr>
          <w:sz w:val="16"/>
        </w:rPr>
        <w:t xml:space="preserve">EUROPATHOLOGICA </w:t>
      </w:r>
      <w:r>
        <w:rPr>
          <w:sz w:val="20"/>
        </w:rPr>
        <w:t>331-349</w:t>
      </w:r>
      <w:bookmarkStart w:id="2" w:name="_bookmark1"/>
      <w:bookmarkEnd w:id="2"/>
      <w:r>
        <w:rPr>
          <w:sz w:val="20"/>
        </w:rPr>
        <w:t xml:space="preserve"> (2017), </w:t>
      </w:r>
      <w:r>
        <w:rPr>
          <w:i/>
          <w:sz w:val="20"/>
        </w:rPr>
        <w:t xml:space="preserve">available at </w:t>
      </w:r>
      <w:r>
        <w:rPr>
          <w:sz w:val="20"/>
        </w:rPr>
        <w:t>https://</w:t>
      </w:r>
      <w:hyperlink r:id="rId8">
        <w:r>
          <w:rPr>
            <w:sz w:val="20"/>
          </w:rPr>
          <w:t>www.ncbi.nlm.nih.gov/pmc/articles/PMC5973818/</w:t>
        </w:r>
      </w:hyperlink>
    </w:p>
    <w:p w:rsidR="00C64C35" w:rsidRDefault="00C64C35" w:rsidP="00C64C35">
      <w:pPr>
        <w:ind w:left="220" w:right="60" w:hanging="1"/>
        <w:rPr>
          <w:sz w:val="20"/>
        </w:rPr>
      </w:pPr>
      <w:r>
        <w:rPr>
          <w:position w:val="7"/>
          <w:sz w:val="13"/>
        </w:rPr>
        <w:t xml:space="preserve">2 </w:t>
      </w:r>
      <w:r>
        <w:rPr>
          <w:sz w:val="20"/>
        </w:rPr>
        <w:t xml:space="preserve">Stephen A. Back &amp; Steven P. Miller, </w:t>
      </w:r>
      <w:r>
        <w:rPr>
          <w:i/>
          <w:sz w:val="20"/>
        </w:rPr>
        <w:t xml:space="preserve">Brain Injury in Premature Neonates: A Primary Cerebral </w:t>
      </w:r>
      <w:proofErr w:type="spellStart"/>
      <w:r>
        <w:rPr>
          <w:i/>
          <w:sz w:val="20"/>
        </w:rPr>
        <w:t>Dysmaturation</w:t>
      </w:r>
      <w:proofErr w:type="spellEnd"/>
      <w:r>
        <w:rPr>
          <w:i/>
          <w:sz w:val="20"/>
        </w:rPr>
        <w:t xml:space="preserve"> </w:t>
      </w:r>
      <w:proofErr w:type="gramStart"/>
      <w:r>
        <w:rPr>
          <w:i/>
          <w:sz w:val="20"/>
        </w:rPr>
        <w:t>Disorder?</w:t>
      </w:r>
      <w:r>
        <w:rPr>
          <w:sz w:val="20"/>
        </w:rPr>
        <w:t>,</w:t>
      </w:r>
      <w:proofErr w:type="gramEnd"/>
      <w:r>
        <w:rPr>
          <w:sz w:val="20"/>
        </w:rPr>
        <w:t xml:space="preserve"> 75 Annals of Neurology 469-486 (2014), </w:t>
      </w:r>
      <w:r>
        <w:rPr>
          <w:i/>
          <w:sz w:val="20"/>
        </w:rPr>
        <w:t xml:space="preserve">available at </w:t>
      </w:r>
      <w:r>
        <w:rPr>
          <w:sz w:val="20"/>
        </w:rPr>
        <w:t>https://</w:t>
      </w:r>
      <w:hyperlink r:id="rId9">
        <w:r>
          <w:rPr>
            <w:sz w:val="20"/>
          </w:rPr>
          <w:t>www.ncbi.nlm.nih.gov/pmc/articles/PMC5989572/.</w:t>
        </w:r>
      </w:hyperlink>
    </w:p>
    <w:p w:rsidR="00C64C35" w:rsidRDefault="00C64C35" w:rsidP="00C64C35">
      <w:pPr>
        <w:rPr>
          <w:sz w:val="20"/>
        </w:rPr>
        <w:sectPr w:rsidR="00C64C35" w:rsidSect="00C64C35">
          <w:footerReference w:type="default" r:id="rId10"/>
          <w:pgSz w:w="12240" w:h="15840"/>
          <w:pgMar w:top="940" w:right="540" w:bottom="1120" w:left="500" w:header="720" w:footer="930" w:gutter="0"/>
          <w:pgNumType w:start="1"/>
          <w:cols w:space="720"/>
        </w:sectPr>
      </w:pPr>
    </w:p>
    <w:p w:rsidR="00C64C35" w:rsidRDefault="00C64C35" w:rsidP="00C64C35">
      <w:pPr>
        <w:pStyle w:val="BodyText"/>
        <w:spacing w:before="76"/>
        <w:ind w:left="220"/>
        <w:jc w:val="both"/>
      </w:pPr>
      <w:r>
        <w:lastRenderedPageBreak/>
        <w:t>assessing brain injury and development for neonates.</w:t>
      </w:r>
    </w:p>
    <w:p w:rsidR="00C64C35" w:rsidRDefault="00C64C35" w:rsidP="00C64C35">
      <w:pPr>
        <w:pStyle w:val="BodyText"/>
      </w:pPr>
    </w:p>
    <w:p w:rsidR="00C64C35" w:rsidRDefault="00C64C35" w:rsidP="00C64C35">
      <w:pPr>
        <w:pStyle w:val="BodyText"/>
        <w:ind w:left="219" w:right="749"/>
        <w:jc w:val="both"/>
      </w:pPr>
      <w:r>
        <w:t>While the Hospital operates other MRI units that are licensed by the Department for clinical use, none of these clinical-use MRI units are located within the NICU. Accordingly, infants in the NICU that require MRI must be transported outside of the NICU for imaging to one of three locations across the hospital campus. Transporting infants to an MRI poses a public health risk for such infants in the context of the COVID-19 emergency as the process of transporting the infant out of the NICU through the Hospital increases</w:t>
      </w:r>
      <w:r>
        <w:rPr>
          <w:spacing w:val="-7"/>
        </w:rPr>
        <w:t xml:space="preserve"> </w:t>
      </w:r>
      <w:r>
        <w:t>the</w:t>
      </w:r>
      <w:r>
        <w:rPr>
          <w:spacing w:val="-8"/>
        </w:rPr>
        <w:t xml:space="preserve"> </w:t>
      </w:r>
      <w:r>
        <w:t>potential</w:t>
      </w:r>
      <w:r>
        <w:rPr>
          <w:spacing w:val="-4"/>
        </w:rPr>
        <w:t xml:space="preserve"> </w:t>
      </w:r>
      <w:r>
        <w:t>for</w:t>
      </w:r>
      <w:r>
        <w:rPr>
          <w:spacing w:val="-6"/>
        </w:rPr>
        <w:t xml:space="preserve"> </w:t>
      </w:r>
      <w:r>
        <w:t>COVID-19</w:t>
      </w:r>
      <w:r>
        <w:rPr>
          <w:spacing w:val="-2"/>
        </w:rPr>
        <w:t xml:space="preserve"> </w:t>
      </w:r>
      <w:r>
        <w:t>exposure.</w:t>
      </w:r>
      <w:r>
        <w:rPr>
          <w:spacing w:val="-5"/>
        </w:rPr>
        <w:t xml:space="preserve"> </w:t>
      </w:r>
      <w:r>
        <w:t>Overall,</w:t>
      </w:r>
      <w:r>
        <w:rPr>
          <w:spacing w:val="-12"/>
        </w:rPr>
        <w:t xml:space="preserve"> </w:t>
      </w:r>
      <w:r>
        <w:t>clinical</w:t>
      </w:r>
      <w:r>
        <w:rPr>
          <w:spacing w:val="-11"/>
        </w:rPr>
        <w:t xml:space="preserve"> </w:t>
      </w:r>
      <w:r>
        <w:t>access</w:t>
      </w:r>
      <w:r>
        <w:rPr>
          <w:spacing w:val="-14"/>
        </w:rPr>
        <w:t xml:space="preserve"> </w:t>
      </w:r>
      <w:r>
        <w:t>to</w:t>
      </w:r>
      <w:r>
        <w:rPr>
          <w:spacing w:val="-12"/>
        </w:rPr>
        <w:t xml:space="preserve"> </w:t>
      </w:r>
      <w:r>
        <w:t>this</w:t>
      </w:r>
      <w:r>
        <w:rPr>
          <w:spacing w:val="-13"/>
        </w:rPr>
        <w:t xml:space="preserve"> </w:t>
      </w:r>
      <w:r>
        <w:t>technology</w:t>
      </w:r>
      <w:r>
        <w:rPr>
          <w:spacing w:val="-12"/>
        </w:rPr>
        <w:t xml:space="preserve"> </w:t>
      </w:r>
      <w:r>
        <w:t>within</w:t>
      </w:r>
      <w:r>
        <w:rPr>
          <w:spacing w:val="-15"/>
        </w:rPr>
        <w:t xml:space="preserve"> </w:t>
      </w:r>
      <w:r>
        <w:t>the</w:t>
      </w:r>
      <w:r>
        <w:rPr>
          <w:spacing w:val="-10"/>
        </w:rPr>
        <w:t xml:space="preserve"> </w:t>
      </w:r>
      <w:r>
        <w:t>NICU will reduce COVID-19 exposure risk associated with transport to traditional MRI, allow the sickest patients to undergo imaging for targeted neurological</w:t>
      </w:r>
      <w:r>
        <w:rPr>
          <w:spacing w:val="-7"/>
        </w:rPr>
        <w:t xml:space="preserve"> </w:t>
      </w:r>
      <w:r>
        <w:t>care.</w:t>
      </w:r>
    </w:p>
    <w:p w:rsidR="00C64C35" w:rsidRDefault="00C64C35" w:rsidP="00C64C35">
      <w:pPr>
        <w:pStyle w:val="BodyText"/>
        <w:spacing w:before="10"/>
        <w:rPr>
          <w:sz w:val="23"/>
        </w:rPr>
      </w:pPr>
    </w:p>
    <w:p w:rsidR="00C64C35" w:rsidRDefault="00C64C35" w:rsidP="00C64C35">
      <w:pPr>
        <w:pStyle w:val="BodyText"/>
        <w:ind w:left="220" w:right="749"/>
        <w:jc w:val="both"/>
      </w:pPr>
      <w:r>
        <w:t>In consideration of the above-outlined information as part of its infection prevention protocols to manage and prevent the spread of COVID-19, the Applicant seeks approval for the Proposed Project and convert the</w:t>
      </w:r>
      <w:r>
        <w:rPr>
          <w:spacing w:val="-12"/>
        </w:rPr>
        <w:t xml:space="preserve"> </w:t>
      </w:r>
      <w:r>
        <w:t>current</w:t>
      </w:r>
      <w:r>
        <w:rPr>
          <w:spacing w:val="-11"/>
        </w:rPr>
        <w:t xml:space="preserve"> </w:t>
      </w:r>
      <w:r>
        <w:t>research-only</w:t>
      </w:r>
      <w:r>
        <w:rPr>
          <w:spacing w:val="-9"/>
        </w:rPr>
        <w:t xml:space="preserve"> </w:t>
      </w:r>
      <w:r>
        <w:t>NICU</w:t>
      </w:r>
      <w:r>
        <w:rPr>
          <w:spacing w:val="-12"/>
        </w:rPr>
        <w:t xml:space="preserve"> </w:t>
      </w:r>
      <w:r>
        <w:t>MRI</w:t>
      </w:r>
      <w:r>
        <w:rPr>
          <w:spacing w:val="-13"/>
        </w:rPr>
        <w:t xml:space="preserve"> </w:t>
      </w:r>
      <w:r>
        <w:t>at</w:t>
      </w:r>
      <w:r>
        <w:rPr>
          <w:spacing w:val="-8"/>
        </w:rPr>
        <w:t xml:space="preserve"> </w:t>
      </w:r>
      <w:r>
        <w:t>BWH</w:t>
      </w:r>
      <w:r>
        <w:rPr>
          <w:spacing w:val="-12"/>
        </w:rPr>
        <w:t xml:space="preserve"> </w:t>
      </w:r>
      <w:r>
        <w:t>to</w:t>
      </w:r>
      <w:r>
        <w:rPr>
          <w:spacing w:val="-9"/>
        </w:rPr>
        <w:t xml:space="preserve"> </w:t>
      </w:r>
      <w:r>
        <w:t>clinical</w:t>
      </w:r>
      <w:r>
        <w:rPr>
          <w:spacing w:val="-10"/>
        </w:rPr>
        <w:t xml:space="preserve"> </w:t>
      </w:r>
      <w:r>
        <w:t>use to</w:t>
      </w:r>
      <w:r>
        <w:rPr>
          <w:spacing w:val="3"/>
        </w:rPr>
        <w:t xml:space="preserve"> </w:t>
      </w:r>
      <w:r>
        <w:t>assist</w:t>
      </w:r>
      <w:r>
        <w:rPr>
          <w:spacing w:val="1"/>
        </w:rPr>
        <w:t xml:space="preserve"> </w:t>
      </w:r>
      <w:r>
        <w:t>in</w:t>
      </w:r>
      <w:r>
        <w:rPr>
          <w:spacing w:val="1"/>
        </w:rPr>
        <w:t xml:space="preserve"> </w:t>
      </w:r>
      <w:r>
        <w:t>keeping</w:t>
      </w:r>
      <w:r>
        <w:rPr>
          <w:spacing w:val="1"/>
        </w:rPr>
        <w:t xml:space="preserve"> </w:t>
      </w:r>
      <w:r>
        <w:t>infants</w:t>
      </w:r>
      <w:r>
        <w:rPr>
          <w:spacing w:val="1"/>
        </w:rPr>
        <w:t xml:space="preserve"> </w:t>
      </w:r>
      <w:r>
        <w:t>safe</w:t>
      </w:r>
      <w:r>
        <w:rPr>
          <w:spacing w:val="2"/>
        </w:rPr>
        <w:t xml:space="preserve"> </w:t>
      </w:r>
      <w:r>
        <w:t>from</w:t>
      </w:r>
      <w:r>
        <w:rPr>
          <w:spacing w:val="1"/>
        </w:rPr>
        <w:t xml:space="preserve"> </w:t>
      </w:r>
      <w:r>
        <w:t>potential COVID-19 exposure by not moving</w:t>
      </w:r>
      <w:r>
        <w:rPr>
          <w:spacing w:val="-45"/>
        </w:rPr>
        <w:t xml:space="preserve"> </w:t>
      </w:r>
      <w:r>
        <w:t>them out of the NICU for MRI services.</w:t>
      </w:r>
    </w:p>
    <w:p w:rsidR="00C64C35" w:rsidRDefault="00C64C35" w:rsidP="00C64C35">
      <w:pPr>
        <w:pStyle w:val="BodyText"/>
      </w:pPr>
    </w:p>
    <w:p w:rsidR="00C64C35" w:rsidRDefault="00C64C35" w:rsidP="00C64C35">
      <w:pPr>
        <w:pStyle w:val="BodyText"/>
        <w:ind w:left="220" w:right="774"/>
        <w:jc w:val="both"/>
      </w:pPr>
      <w:r>
        <w:t xml:space="preserve">The projected cost associated with the Proposed Project is $1,220,052, which includes the cost of </w:t>
      </w:r>
      <w:proofErr w:type="gramStart"/>
      <w:r>
        <w:t>the  MRI</w:t>
      </w:r>
      <w:proofErr w:type="gramEnd"/>
      <w:r>
        <w:t xml:space="preserve"> unit when originally purchased and related construction</w:t>
      </w:r>
      <w:r>
        <w:rPr>
          <w:spacing w:val="-4"/>
        </w:rPr>
        <w:t xml:space="preserve"> </w:t>
      </w:r>
      <w:r>
        <w:t>costs.</w:t>
      </w:r>
    </w:p>
    <w:p w:rsidR="00C64C35" w:rsidRDefault="00C64C35" w:rsidP="00C64C35">
      <w:pPr>
        <w:pStyle w:val="BodyText"/>
        <w:spacing w:before="2"/>
      </w:pPr>
    </w:p>
    <w:p w:rsidR="00C64C35" w:rsidRDefault="00C64C35" w:rsidP="00C64C35">
      <w:pPr>
        <w:pStyle w:val="BodyText"/>
        <w:spacing w:line="235" w:lineRule="auto"/>
        <w:ind w:left="219" w:right="344"/>
      </w:pPr>
      <w:r>
        <w:t xml:space="preserve">After review, DPH has determined the need for the Proposed Project relates to the State of Emergency and therefore the </w:t>
      </w:r>
      <w:proofErr w:type="spellStart"/>
      <w:r>
        <w:t>DoN</w:t>
      </w:r>
      <w:proofErr w:type="spellEnd"/>
      <w:r>
        <w:t xml:space="preserve"> approval requirement is temporarily waived pursuant to the COVID-19 order. </w:t>
      </w:r>
      <w:proofErr w:type="gramStart"/>
      <w:r>
        <w:t>As a result</w:t>
      </w:r>
      <w:proofErr w:type="gramEnd"/>
      <w:r>
        <w:t xml:space="preserve">, you may begin to use the NICU MRI for clinical use for the remainder of the COVID-19 State of Emergency. Upon termination of the COVID-19 State of Emergency, the Applicant must cease using the NICU MRI for clinical purposes. If the Applicant would like to continue to use the NICU MRI for clinical use, it must submit a request for review to the </w:t>
      </w:r>
      <w:proofErr w:type="spellStart"/>
      <w:r>
        <w:t>DoN</w:t>
      </w:r>
      <w:proofErr w:type="spellEnd"/>
      <w:r>
        <w:t xml:space="preserve"> at which time the Department will </w:t>
      </w:r>
      <w:proofErr w:type="gramStart"/>
      <w:r>
        <w:t>make a determination</w:t>
      </w:r>
      <w:proofErr w:type="gramEnd"/>
      <w:r>
        <w:t xml:space="preserve"> if the Applicant must apply for a full Notice of Determination of Need, including all applicable Factors.</w:t>
      </w:r>
    </w:p>
    <w:p w:rsidR="00C64C35" w:rsidRDefault="00C64C35" w:rsidP="00C64C35">
      <w:pPr>
        <w:pStyle w:val="BodyText"/>
        <w:rPr>
          <w:sz w:val="26"/>
        </w:rPr>
      </w:pPr>
    </w:p>
    <w:p w:rsidR="00C64C35" w:rsidRDefault="00C64C35" w:rsidP="00C64C35">
      <w:pPr>
        <w:pStyle w:val="BodyText"/>
        <w:rPr>
          <w:sz w:val="26"/>
        </w:rPr>
      </w:pPr>
    </w:p>
    <w:p w:rsidR="00C64C35" w:rsidRDefault="00C64C35" w:rsidP="00C64C35">
      <w:pPr>
        <w:pStyle w:val="BodyText"/>
        <w:spacing w:before="207"/>
        <w:ind w:left="219"/>
      </w:pPr>
      <w:r>
        <w:t>Sincerely,</w:t>
      </w:r>
    </w:p>
    <w:p w:rsidR="00AC3A3B" w:rsidRDefault="00AC3A3B" w:rsidP="00C64C35">
      <w:pPr>
        <w:pStyle w:val="BodyText"/>
        <w:spacing w:before="207"/>
        <w:ind w:left="219"/>
      </w:pPr>
      <w:r>
        <w:t>&lt;signature on file&gt;</w:t>
      </w:r>
    </w:p>
    <w:p w:rsidR="00C64C35" w:rsidRDefault="00C64C35" w:rsidP="00C64C35">
      <w:pPr>
        <w:pStyle w:val="BodyText"/>
        <w:spacing w:before="176" w:line="272" w:lineRule="exact"/>
        <w:ind w:left="220"/>
      </w:pPr>
      <w:r>
        <w:t>Lara Szent-Gyorgyi</w:t>
      </w:r>
    </w:p>
    <w:p w:rsidR="00C64C35" w:rsidRDefault="00C64C35" w:rsidP="00C64C35">
      <w:pPr>
        <w:pStyle w:val="BodyText"/>
        <w:spacing w:line="272" w:lineRule="exact"/>
        <w:ind w:left="219"/>
      </w:pPr>
      <w:r>
        <w:t>Director, Determination of Need</w:t>
      </w:r>
    </w:p>
    <w:p w:rsidR="00C64C35" w:rsidRDefault="00C64C35" w:rsidP="00C64C35">
      <w:pPr>
        <w:pStyle w:val="BodyText"/>
        <w:spacing w:before="6"/>
        <w:rPr>
          <w:sz w:val="23"/>
        </w:rPr>
      </w:pPr>
    </w:p>
    <w:p w:rsidR="00C64C35" w:rsidRDefault="00C64C35" w:rsidP="00C64C35">
      <w:pPr>
        <w:pStyle w:val="BodyText"/>
        <w:spacing w:before="1" w:line="235" w:lineRule="auto"/>
        <w:ind w:left="700" w:right="1926" w:hanging="480"/>
      </w:pPr>
      <w:r>
        <w:t>cc:</w:t>
      </w:r>
      <w:r>
        <w:rPr>
          <w:spacing w:val="59"/>
        </w:rPr>
        <w:t xml:space="preserve"> </w:t>
      </w:r>
      <w:r>
        <w:t>Sherman</w:t>
      </w:r>
      <w:r>
        <w:rPr>
          <w:spacing w:val="-35"/>
        </w:rPr>
        <w:t xml:space="preserve"> </w:t>
      </w:r>
      <w:proofErr w:type="spellStart"/>
      <w:r>
        <w:t>Lohnes</w:t>
      </w:r>
      <w:proofErr w:type="spellEnd"/>
      <w:r>
        <w:t>,</w:t>
      </w:r>
      <w:r>
        <w:rPr>
          <w:spacing w:val="-29"/>
        </w:rPr>
        <w:t xml:space="preserve"> </w:t>
      </w:r>
      <w:r>
        <w:t>Division</w:t>
      </w:r>
      <w:r>
        <w:rPr>
          <w:spacing w:val="2"/>
        </w:rPr>
        <w:t xml:space="preserve"> </w:t>
      </w:r>
      <w:r>
        <w:t>of</w:t>
      </w:r>
      <w:r>
        <w:rPr>
          <w:spacing w:val="-30"/>
        </w:rPr>
        <w:t xml:space="preserve"> </w:t>
      </w:r>
      <w:r>
        <w:t>Health</w:t>
      </w:r>
      <w:r>
        <w:rPr>
          <w:spacing w:val="-34"/>
        </w:rPr>
        <w:t xml:space="preserve"> </w:t>
      </w:r>
      <w:r>
        <w:t>Care</w:t>
      </w:r>
      <w:r>
        <w:rPr>
          <w:spacing w:val="-29"/>
        </w:rPr>
        <w:t xml:space="preserve"> </w:t>
      </w:r>
      <w:r>
        <w:t>Facility</w:t>
      </w:r>
      <w:r>
        <w:rPr>
          <w:spacing w:val="-34"/>
        </w:rPr>
        <w:t xml:space="preserve"> </w:t>
      </w:r>
      <w:r>
        <w:t>Licensure</w:t>
      </w:r>
      <w:r>
        <w:rPr>
          <w:spacing w:val="-33"/>
        </w:rPr>
        <w:t xml:space="preserve"> </w:t>
      </w:r>
      <w:r>
        <w:t>and</w:t>
      </w:r>
      <w:r>
        <w:rPr>
          <w:spacing w:val="-34"/>
        </w:rPr>
        <w:t xml:space="preserve"> </w:t>
      </w:r>
      <w:r>
        <w:t>Certification, DPH Rebecca Rodman, Senior Deputy General Counsel,</w:t>
      </w:r>
      <w:r>
        <w:rPr>
          <w:spacing w:val="-30"/>
        </w:rPr>
        <w:t xml:space="preserve"> </w:t>
      </w:r>
      <w:r>
        <w:t>DPH</w:t>
      </w:r>
    </w:p>
    <w:p w:rsidR="00C64C35" w:rsidRDefault="00C64C35" w:rsidP="00C64C35">
      <w:pPr>
        <w:pStyle w:val="BodyText"/>
        <w:spacing w:line="235" w:lineRule="auto"/>
        <w:ind w:left="700" w:right="3269"/>
      </w:pPr>
      <w:r>
        <w:t>Elizabeth Kelley, Director Bureau of Health Care Safety and Quality, DPH Margret Cooke, Deputy Commissioner, DPH</w:t>
      </w:r>
    </w:p>
    <w:p w:rsidR="00C64C35" w:rsidRDefault="00C64C35" w:rsidP="00C64C35">
      <w:pPr>
        <w:pStyle w:val="BodyText"/>
        <w:spacing w:line="271" w:lineRule="exact"/>
        <w:ind w:left="700"/>
      </w:pPr>
      <w:r>
        <w:t>Crystal Bloom, Esq.</w:t>
      </w:r>
    </w:p>
    <w:p w:rsidR="00C64C35" w:rsidRDefault="00C64C35" w:rsidP="00C64C35">
      <w:pPr>
        <w:spacing w:line="271" w:lineRule="exact"/>
        <w:sectPr w:rsidR="00C64C35">
          <w:pgSz w:w="12240" w:h="15840"/>
          <w:pgMar w:top="1180" w:right="540" w:bottom="1200" w:left="500" w:header="0" w:footer="930" w:gutter="0"/>
          <w:cols w:space="720"/>
        </w:sectPr>
      </w:pPr>
    </w:p>
    <w:p w:rsidR="00D85A99" w:rsidRDefault="00D85A99"/>
    <w:sectPr w:rsidR="00D85A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B7A" w:rsidRDefault="00EE5F4B">
      <w:r>
        <w:separator/>
      </w:r>
    </w:p>
  </w:endnote>
  <w:endnote w:type="continuationSeparator" w:id="0">
    <w:p w:rsidR="00034B7A" w:rsidRDefault="00EE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B2F" w:rsidRDefault="00C64C35">
    <w:pPr>
      <w:pStyle w:val="BodyText"/>
      <w:spacing w:line="14" w:lineRule="auto"/>
      <w:rPr>
        <w:sz w:val="19"/>
      </w:rPr>
    </w:pPr>
    <w:r>
      <w:rPr>
        <w:noProof/>
        <w:lang w:bidi="ar-SA"/>
      </w:rPr>
      <mc:AlternateContent>
        <mc:Choice Requires="wps">
          <w:drawing>
            <wp:inline distT="0" distB="0" distL="0" distR="0">
              <wp:extent cx="185420" cy="165735"/>
              <wp:effectExtent l="0" t="0" r="5080"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2F" w:rsidRDefault="00DF2882">
                          <w:pPr>
                            <w:spacing w:before="10"/>
                            <w:ind w:left="60"/>
                            <w:rPr>
                              <w:sz w:val="20"/>
                            </w:rPr>
                          </w:pPr>
                          <w:r>
                            <w:fldChar w:fldCharType="begin"/>
                          </w:r>
                          <w:r>
                            <w:rPr>
                              <w:w w:val="99"/>
                              <w:sz w:val="20"/>
                            </w:rPr>
                            <w:instrText xml:space="preserve"> PAGE </w:instrText>
                          </w:r>
                          <w:r>
                            <w:fldChar w:fldCharType="separate"/>
                          </w:r>
                          <w:r w:rsidR="009871F0">
                            <w:rPr>
                              <w:noProof/>
                              <w:w w:val="99"/>
                              <w:sz w:val="20"/>
                            </w:rPr>
                            <w:t>4</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14.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4VrQIAAKg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" filled="f" stroked="f">
              <v:textbox inset="0,0,0,0">
                <w:txbxContent>
                  <w:p w:rsidR="00D53B2F" w:rsidRDefault="00DF2882">
                    <w:pPr>
                      <w:spacing w:before="10"/>
                      <w:ind w:left="60"/>
                      <w:rPr>
                        <w:sz w:val="20"/>
                      </w:rPr>
                    </w:pPr>
                    <w:r>
                      <w:fldChar w:fldCharType="begin"/>
                    </w:r>
                    <w:r>
                      <w:rPr>
                        <w:w w:val="99"/>
                        <w:sz w:val="20"/>
                      </w:rPr>
                      <w:instrText xml:space="preserve"> PAGE </w:instrText>
                    </w:r>
                    <w:r>
                      <w:fldChar w:fldCharType="separate"/>
                    </w:r>
                    <w:r w:rsidR="009871F0">
                      <w:rPr>
                        <w:noProof/>
                        <w:w w:val="99"/>
                        <w:sz w:val="20"/>
                      </w:rPr>
                      <w:t>4</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B7A" w:rsidRDefault="00EE5F4B">
      <w:r>
        <w:separator/>
      </w:r>
    </w:p>
  </w:footnote>
  <w:footnote w:type="continuationSeparator" w:id="0">
    <w:p w:rsidR="00034B7A" w:rsidRDefault="00EE5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35"/>
    <w:rsid w:val="00034B7A"/>
    <w:rsid w:val="003A3893"/>
    <w:rsid w:val="005537EF"/>
    <w:rsid w:val="009871F0"/>
    <w:rsid w:val="00A36E55"/>
    <w:rsid w:val="00AC3A3B"/>
    <w:rsid w:val="00B47D8B"/>
    <w:rsid w:val="00C151E2"/>
    <w:rsid w:val="00C64C35"/>
    <w:rsid w:val="00D85A99"/>
    <w:rsid w:val="00DF2882"/>
    <w:rsid w:val="00E2389B"/>
    <w:rsid w:val="00EE5F4B"/>
    <w:rsid w:val="00FB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CFB8D6D-C638-4A91-99CC-F557A6CF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C64C35"/>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64C35"/>
    <w:rPr>
      <w:sz w:val="24"/>
      <w:szCs w:val="24"/>
    </w:rPr>
  </w:style>
  <w:style w:type="character" w:customStyle="1" w:styleId="BodyTextChar">
    <w:name w:val="Body Text Char"/>
    <w:basedOn w:val="DefaultParagraphFont"/>
    <w:link w:val="BodyText"/>
    <w:uiPriority w:val="1"/>
    <w:rsid w:val="00C64C35"/>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C64C35"/>
    <w:pPr>
      <w:ind w:left="2785"/>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5973818/%3B"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dp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ncbi.nlm.nih.gov/pmc/articles/PMC5989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12</cp:revision>
  <dcterms:created xsi:type="dcterms:W3CDTF">2021-10-05T17:18:00Z</dcterms:created>
  <dcterms:modified xsi:type="dcterms:W3CDTF">2021-10-05T19:35:00Z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