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F9" w:rsidRDefault="00A41EF9" w:rsidP="00A41EF9">
      <w:pPr>
        <w:spacing w:before="150" w:line="414" w:lineRule="exact"/>
        <w:ind w:left="2423"/>
        <w:rPr>
          <w:sz w:val="36"/>
        </w:rPr>
      </w:pPr>
      <w:r>
        <w:rPr>
          <w:noProof/>
        </w:rPr>
        <w:drawing>
          <wp:inline distT="0" distB="0" distL="0" distR="0">
            <wp:extent cx="890493" cy="1064414"/>
            <wp:effectExtent l="0" t="0" r="5080" b="2540"/>
            <wp:docPr id="1" name="image1.pn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93" cy="10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36"/>
        </w:rPr>
        <w:t>The Commonwealth of Massachusetts</w:t>
      </w:r>
    </w:p>
    <w:p w:rsidR="00A41EF9" w:rsidRDefault="00A41EF9" w:rsidP="00A41EF9">
      <w:pPr>
        <w:pStyle w:val="Heading1"/>
      </w:pPr>
      <w:r>
        <w:rPr>
          <w:w w:val="110"/>
        </w:rPr>
        <w:t>Executive Office of Health and Human Services Department of Public Health</w:t>
      </w:r>
    </w:p>
    <w:p w:rsidR="00A41EF9" w:rsidRDefault="00A41EF9" w:rsidP="00A41EF9">
      <w:pPr>
        <w:spacing w:before="1"/>
        <w:ind w:left="2497" w:right="1693"/>
        <w:jc w:val="center"/>
        <w:rPr>
          <w:sz w:val="28"/>
        </w:rPr>
      </w:pPr>
      <w:r>
        <w:rPr>
          <w:w w:val="105"/>
          <w:sz w:val="28"/>
        </w:rPr>
        <w:t xml:space="preserve">Bureau of Health Care Safety and Quality Determination </w:t>
      </w:r>
      <w:r>
        <w:rPr>
          <w:spacing w:val="-3"/>
          <w:w w:val="105"/>
          <w:sz w:val="28"/>
        </w:rPr>
        <w:t xml:space="preserve">of </w:t>
      </w:r>
      <w:r>
        <w:rPr>
          <w:w w:val="105"/>
          <w:sz w:val="28"/>
        </w:rPr>
        <w:t>Need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Program</w:t>
      </w:r>
    </w:p>
    <w:p w:rsidR="00A41EF9" w:rsidRDefault="00A41EF9" w:rsidP="00A41EF9">
      <w:pPr>
        <w:spacing w:line="321" w:lineRule="exact"/>
        <w:ind w:left="2501" w:right="1693"/>
        <w:jc w:val="center"/>
        <w:rPr>
          <w:sz w:val="28"/>
        </w:rPr>
      </w:pPr>
      <w:r>
        <w:rPr>
          <w:w w:val="110"/>
          <w:sz w:val="28"/>
        </w:rPr>
        <w:t>250 Washington Street, Boston MA 02511</w:t>
      </w:r>
    </w:p>
    <w:p w:rsidR="00A41EF9" w:rsidRDefault="00A41EF9" w:rsidP="00A41EF9">
      <w:pPr>
        <w:pStyle w:val="BodyText"/>
        <w:rPr>
          <w:sz w:val="20"/>
        </w:rPr>
      </w:pPr>
    </w:p>
    <w:p w:rsidR="00A41EF9" w:rsidRDefault="00A41EF9" w:rsidP="00A41EF9">
      <w:pPr>
        <w:pStyle w:val="BodyText"/>
        <w:rPr>
          <w:sz w:val="20"/>
        </w:rPr>
      </w:pPr>
    </w:p>
    <w:p w:rsidR="00A41EF9" w:rsidRDefault="00A41EF9" w:rsidP="00A41EF9">
      <w:pPr>
        <w:rPr>
          <w:sz w:val="21"/>
        </w:rPr>
        <w:sectPr w:rsidR="00A41EF9" w:rsidSect="00A41EF9">
          <w:pgSz w:w="12240" w:h="15840"/>
          <w:pgMar w:top="560" w:right="1220" w:bottom="280" w:left="860" w:header="720" w:footer="720" w:gutter="0"/>
          <w:cols w:space="720"/>
        </w:sectPr>
      </w:pPr>
    </w:p>
    <w:p w:rsidR="00A41EF9" w:rsidRDefault="00A41EF9" w:rsidP="00A41EF9">
      <w:pPr>
        <w:pStyle w:val="BodyText"/>
        <w:spacing w:before="3"/>
        <w:rPr>
          <w:sz w:val="15"/>
        </w:rPr>
      </w:pPr>
    </w:p>
    <w:p w:rsidR="00A41EF9" w:rsidRDefault="00A41EF9" w:rsidP="00A41EF9">
      <w:pPr>
        <w:ind w:left="423"/>
        <w:rPr>
          <w:sz w:val="16"/>
        </w:rPr>
      </w:pPr>
      <w:r>
        <w:rPr>
          <w:w w:val="110"/>
          <w:sz w:val="16"/>
        </w:rPr>
        <w:t>CHARLES D. BAKER</w:t>
      </w:r>
    </w:p>
    <w:p w:rsidR="00A41EF9" w:rsidRDefault="00A41EF9" w:rsidP="00A41EF9">
      <w:pPr>
        <w:spacing w:before="3"/>
        <w:ind w:left="879" w:right="807"/>
        <w:jc w:val="center"/>
        <w:rPr>
          <w:sz w:val="14"/>
        </w:rPr>
      </w:pPr>
      <w:r>
        <w:rPr>
          <w:w w:val="120"/>
          <w:sz w:val="14"/>
        </w:rPr>
        <w:t>Governor</w:t>
      </w:r>
    </w:p>
    <w:p w:rsidR="00A41EF9" w:rsidRDefault="00A41EF9" w:rsidP="00A41EF9">
      <w:pPr>
        <w:spacing w:before="120"/>
        <w:ind w:left="515"/>
        <w:rPr>
          <w:sz w:val="16"/>
        </w:rPr>
      </w:pPr>
      <w:r>
        <w:rPr>
          <w:w w:val="105"/>
          <w:sz w:val="16"/>
        </w:rPr>
        <w:t>KARYN E. POLITO</w:t>
      </w:r>
    </w:p>
    <w:p w:rsidR="00A41EF9" w:rsidRDefault="00A41EF9" w:rsidP="00A41EF9">
      <w:pPr>
        <w:spacing w:before="3"/>
        <w:ind w:left="520"/>
        <w:rPr>
          <w:sz w:val="14"/>
        </w:rPr>
      </w:pPr>
      <w:r>
        <w:rPr>
          <w:w w:val="120"/>
          <w:sz w:val="14"/>
        </w:rPr>
        <w:t>Lieutenant Governor</w:t>
      </w:r>
    </w:p>
    <w:p w:rsidR="00A41EF9" w:rsidRDefault="00A41EF9" w:rsidP="00A41EF9">
      <w:pPr>
        <w:pStyle w:val="BodyText"/>
        <w:rPr>
          <w:sz w:val="14"/>
        </w:rPr>
      </w:pPr>
    </w:p>
    <w:p w:rsidR="00A41EF9" w:rsidRDefault="00A41EF9" w:rsidP="00A41EF9">
      <w:pPr>
        <w:pStyle w:val="BodyText"/>
        <w:spacing w:before="10"/>
        <w:rPr>
          <w:sz w:val="17"/>
        </w:rPr>
      </w:pPr>
    </w:p>
    <w:p w:rsidR="00A41EF9" w:rsidRDefault="00A41EF9" w:rsidP="00A41EF9">
      <w:pPr>
        <w:pStyle w:val="BodyText"/>
        <w:ind w:left="491"/>
      </w:pPr>
      <w:r>
        <w:t>via email</w:t>
      </w:r>
    </w:p>
    <w:p w:rsidR="00A41EF9" w:rsidRDefault="00A41EF9" w:rsidP="00A41EF9">
      <w:pPr>
        <w:pStyle w:val="BodyText"/>
        <w:rPr>
          <w:sz w:val="23"/>
        </w:rPr>
      </w:pPr>
    </w:p>
    <w:p w:rsidR="00A41EF9" w:rsidRDefault="00A41EF9" w:rsidP="00A41EF9">
      <w:pPr>
        <w:pStyle w:val="BodyText"/>
        <w:ind w:left="491"/>
      </w:pPr>
      <w:r>
        <w:t>April 17, 2020</w:t>
      </w:r>
    </w:p>
    <w:p w:rsidR="00A41EF9" w:rsidRDefault="00A41EF9" w:rsidP="00A41EF9">
      <w:pPr>
        <w:pStyle w:val="BodyText"/>
        <w:rPr>
          <w:sz w:val="26"/>
        </w:rPr>
      </w:pPr>
    </w:p>
    <w:p w:rsidR="00A41EF9" w:rsidRDefault="00A41EF9" w:rsidP="00A41EF9">
      <w:pPr>
        <w:pStyle w:val="BodyText"/>
        <w:spacing w:before="1"/>
        <w:rPr>
          <w:sz w:val="21"/>
        </w:rPr>
      </w:pPr>
    </w:p>
    <w:p w:rsidR="00A41EF9" w:rsidRDefault="00A41EF9" w:rsidP="00A41EF9">
      <w:pPr>
        <w:pStyle w:val="BodyText"/>
        <w:spacing w:line="232" w:lineRule="auto"/>
        <w:ind w:left="491" w:right="41"/>
      </w:pPr>
      <w:r>
        <w:rPr>
          <w:w w:val="95"/>
        </w:rPr>
        <w:t xml:space="preserve">Mr. Andrew Levine </w:t>
      </w:r>
      <w:r>
        <w:t xml:space="preserve">Barrett &amp; </w:t>
      </w:r>
      <w:proofErr w:type="spellStart"/>
      <w:r>
        <w:t>Singal</w:t>
      </w:r>
      <w:proofErr w:type="spellEnd"/>
    </w:p>
    <w:p w:rsidR="00A41EF9" w:rsidRDefault="00A41EF9" w:rsidP="00A41EF9">
      <w:pPr>
        <w:pStyle w:val="BodyText"/>
        <w:spacing w:line="270" w:lineRule="exact"/>
        <w:ind w:left="491"/>
      </w:pPr>
      <w:r>
        <w:t xml:space="preserve">1 Beacon St </w:t>
      </w:r>
      <w:r>
        <w:rPr>
          <w:w w:val="105"/>
        </w:rPr>
        <w:t>#</w:t>
      </w:r>
      <w:r>
        <w:rPr>
          <w:spacing w:val="-47"/>
          <w:w w:val="105"/>
        </w:rPr>
        <w:t xml:space="preserve"> </w:t>
      </w:r>
      <w:r>
        <w:t>1320</w:t>
      </w:r>
    </w:p>
    <w:p w:rsidR="00A41EF9" w:rsidRDefault="00A41EF9" w:rsidP="00A41EF9">
      <w:pPr>
        <w:pStyle w:val="BodyText"/>
        <w:spacing w:line="272" w:lineRule="exact"/>
        <w:ind w:left="491"/>
      </w:pPr>
      <w:r>
        <w:t>Boston, MA 02108</w:t>
      </w:r>
    </w:p>
    <w:p w:rsidR="00A41EF9" w:rsidRDefault="00A41EF9" w:rsidP="00A41EF9">
      <w:pPr>
        <w:spacing w:before="94"/>
        <w:ind w:left="388" w:right="69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t>MARYLOU SUDDERS</w:t>
      </w:r>
    </w:p>
    <w:p w:rsidR="00A41EF9" w:rsidRDefault="00A41EF9" w:rsidP="00A41EF9">
      <w:pPr>
        <w:spacing w:before="3"/>
        <w:ind w:left="385" w:right="69"/>
        <w:jc w:val="center"/>
        <w:rPr>
          <w:sz w:val="14"/>
        </w:rPr>
      </w:pPr>
      <w:r>
        <w:rPr>
          <w:w w:val="125"/>
          <w:sz w:val="14"/>
        </w:rPr>
        <w:t>Secretary</w:t>
      </w:r>
    </w:p>
    <w:p w:rsidR="00A41EF9" w:rsidRDefault="00A41EF9" w:rsidP="00A41EF9">
      <w:pPr>
        <w:spacing w:before="120"/>
        <w:ind w:left="389" w:right="69"/>
        <w:jc w:val="center"/>
        <w:rPr>
          <w:sz w:val="16"/>
        </w:rPr>
      </w:pPr>
      <w:r>
        <w:rPr>
          <w:w w:val="105"/>
          <w:sz w:val="16"/>
        </w:rPr>
        <w:t>MONICA BHAREL, MD, MPH</w:t>
      </w:r>
    </w:p>
    <w:p w:rsidR="00A41EF9" w:rsidRDefault="00A41EF9" w:rsidP="00A41EF9">
      <w:pPr>
        <w:spacing w:before="3"/>
        <w:ind w:left="383" w:right="69"/>
        <w:jc w:val="center"/>
        <w:rPr>
          <w:sz w:val="14"/>
        </w:rPr>
      </w:pPr>
      <w:r>
        <w:rPr>
          <w:w w:val="120"/>
          <w:sz w:val="14"/>
        </w:rPr>
        <w:t>Commissioner</w:t>
      </w:r>
    </w:p>
    <w:p w:rsidR="00A41EF9" w:rsidRDefault="00A41EF9" w:rsidP="00A41EF9">
      <w:pPr>
        <w:pStyle w:val="BodyText"/>
        <w:spacing w:before="10"/>
        <w:rPr>
          <w:sz w:val="13"/>
        </w:rPr>
      </w:pPr>
    </w:p>
    <w:p w:rsidR="00A41EF9" w:rsidRDefault="00A41EF9" w:rsidP="00A41EF9">
      <w:pPr>
        <w:spacing w:before="1"/>
        <w:ind w:left="382" w:right="69"/>
        <w:jc w:val="center"/>
        <w:rPr>
          <w:sz w:val="14"/>
        </w:rPr>
      </w:pPr>
      <w:r>
        <w:rPr>
          <w:w w:val="110"/>
          <w:sz w:val="14"/>
        </w:rPr>
        <w:t>Tel: 617-624-6000</w:t>
      </w:r>
    </w:p>
    <w:p w:rsidR="00A41EF9" w:rsidRDefault="00B22A19" w:rsidP="00A41EF9">
      <w:pPr>
        <w:ind w:left="384" w:right="69"/>
        <w:jc w:val="center"/>
        <w:rPr>
          <w:sz w:val="14"/>
        </w:rPr>
      </w:pPr>
      <w:hyperlink r:id="rId5">
        <w:r w:rsidR="00EB74E2">
          <w:rPr>
            <w:w w:val="115"/>
            <w:sz w:val="14"/>
          </w:rPr>
          <w:t>Masschusetts Department of Public Health website at www.mass.gov/dph</w:t>
        </w:r>
      </w:hyperlink>
    </w:p>
    <w:p w:rsidR="00A41EF9" w:rsidRDefault="00A41EF9" w:rsidP="00A41EF9">
      <w:pPr>
        <w:jc w:val="center"/>
        <w:rPr>
          <w:sz w:val="14"/>
        </w:rPr>
        <w:sectPr w:rsidR="00A41EF9">
          <w:type w:val="continuous"/>
          <w:pgSz w:w="12240" w:h="15840"/>
          <w:pgMar w:top="560" w:right="1220" w:bottom="280" w:left="860" w:header="720" w:footer="720" w:gutter="0"/>
          <w:cols w:num="2" w:space="720" w:equalWidth="0">
            <w:col w:w="2370" w:space="5092"/>
            <w:col w:w="2698"/>
          </w:cols>
        </w:sectPr>
      </w:pPr>
    </w:p>
    <w:p w:rsidR="00A41EF9" w:rsidRDefault="00A41EF9" w:rsidP="00A41EF9">
      <w:pPr>
        <w:pStyle w:val="BodyText"/>
        <w:spacing w:before="2"/>
        <w:rPr>
          <w:sz w:val="15"/>
        </w:rPr>
      </w:pPr>
    </w:p>
    <w:p w:rsidR="00A41EF9" w:rsidRDefault="00A41EF9" w:rsidP="00A41EF9">
      <w:pPr>
        <w:pStyle w:val="BodyText"/>
        <w:spacing w:before="94" w:line="235" w:lineRule="auto"/>
        <w:ind w:left="491" w:right="493"/>
      </w:pPr>
      <w:r>
        <w:rPr>
          <w:w w:val="105"/>
        </w:rPr>
        <w:t xml:space="preserve">RE: Notification for Emerson Hospital Acquisition of 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>-Required Equipment Related to COVID-19 State of</w:t>
      </w:r>
      <w:r>
        <w:rPr>
          <w:spacing w:val="-14"/>
          <w:w w:val="105"/>
        </w:rPr>
        <w:t xml:space="preserve"> </w:t>
      </w:r>
      <w:r>
        <w:rPr>
          <w:w w:val="105"/>
        </w:rPr>
        <w:t>Emergency</w:t>
      </w:r>
    </w:p>
    <w:p w:rsidR="00A41EF9" w:rsidRDefault="00A41EF9" w:rsidP="00A41EF9">
      <w:pPr>
        <w:pStyle w:val="BodyText"/>
      </w:pPr>
    </w:p>
    <w:p w:rsidR="00A41EF9" w:rsidRDefault="00A41EF9" w:rsidP="00A41EF9">
      <w:pPr>
        <w:pStyle w:val="BodyText"/>
        <w:ind w:left="491"/>
      </w:pPr>
      <w:r>
        <w:t>Dear Mr. Levine:</w:t>
      </w:r>
    </w:p>
    <w:p w:rsidR="00A41EF9" w:rsidRDefault="00A41EF9" w:rsidP="00A41EF9">
      <w:pPr>
        <w:pStyle w:val="BodyText"/>
        <w:spacing w:before="2"/>
      </w:pPr>
    </w:p>
    <w:p w:rsidR="00A41EF9" w:rsidRDefault="00A41EF9" w:rsidP="00A41EF9">
      <w:pPr>
        <w:pStyle w:val="BodyText"/>
        <w:spacing w:line="235" w:lineRule="auto"/>
        <w:ind w:left="491" w:right="318"/>
      </w:pPr>
      <w:r>
        <w:t xml:space="preserve">The Department received the notification above on April 15, 2020 for the acquisition of a Canon </w:t>
      </w:r>
      <w:proofErr w:type="spellStart"/>
      <w:r>
        <w:t>Aquilion</w:t>
      </w:r>
      <w:proofErr w:type="spellEnd"/>
      <w:r>
        <w:rPr>
          <w:spacing w:val="-22"/>
        </w:rPr>
        <w:t xml:space="preserve"> </w:t>
      </w:r>
      <w:r>
        <w:t>Prime</w:t>
      </w:r>
      <w:r>
        <w:rPr>
          <w:spacing w:val="-21"/>
        </w:rPr>
        <w:t xml:space="preserve"> </w:t>
      </w:r>
      <w:r>
        <w:t>SP</w:t>
      </w:r>
      <w:r>
        <w:rPr>
          <w:spacing w:val="-21"/>
        </w:rPr>
        <w:t xml:space="preserve"> </w:t>
      </w:r>
      <w:r>
        <w:t>80</w:t>
      </w:r>
      <w:r>
        <w:rPr>
          <w:spacing w:val="-21"/>
        </w:rPr>
        <w:t xml:space="preserve"> </w:t>
      </w:r>
      <w:r>
        <w:t>Slice</w:t>
      </w:r>
      <w:r>
        <w:rPr>
          <w:spacing w:val="-20"/>
        </w:rPr>
        <w:t xml:space="preserve"> </w:t>
      </w:r>
      <w:r>
        <w:t>CT</w:t>
      </w:r>
      <w:r>
        <w:rPr>
          <w:spacing w:val="-20"/>
        </w:rPr>
        <w:t xml:space="preserve"> </w:t>
      </w:r>
      <w:r>
        <w:t>Scanner</w:t>
      </w:r>
      <w:r>
        <w:rPr>
          <w:spacing w:val="-21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Emerson</w:t>
      </w:r>
      <w:r>
        <w:rPr>
          <w:spacing w:val="-23"/>
        </w:rPr>
        <w:t xml:space="preserve"> </w:t>
      </w:r>
      <w:r>
        <w:t>Hospital,</w:t>
      </w:r>
      <w:r>
        <w:rPr>
          <w:spacing w:val="-21"/>
        </w:rPr>
        <w:t xml:space="preserve"> </w:t>
      </w:r>
      <w:r>
        <w:t>located</w:t>
      </w:r>
      <w:r>
        <w:rPr>
          <w:spacing w:val="-22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133</w:t>
      </w:r>
      <w:r>
        <w:rPr>
          <w:spacing w:val="-23"/>
        </w:rPr>
        <w:t xml:space="preserve"> </w:t>
      </w:r>
      <w:r>
        <w:t>Old</w:t>
      </w:r>
      <w:r>
        <w:rPr>
          <w:spacing w:val="-22"/>
        </w:rPr>
        <w:t xml:space="preserve"> </w:t>
      </w:r>
      <w:r>
        <w:t>Road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Nine</w:t>
      </w:r>
      <w:r>
        <w:rPr>
          <w:spacing w:val="-21"/>
        </w:rPr>
        <w:t xml:space="preserve"> </w:t>
      </w:r>
      <w:r>
        <w:t>Acre Corner,</w:t>
      </w:r>
      <w:r>
        <w:rPr>
          <w:spacing w:val="-12"/>
        </w:rPr>
        <w:t xml:space="preserve"> </w:t>
      </w:r>
      <w:r>
        <w:t>Concord,</w:t>
      </w:r>
      <w:r>
        <w:rPr>
          <w:spacing w:val="-11"/>
        </w:rPr>
        <w:t xml:space="preserve"> </w:t>
      </w:r>
      <w:r>
        <w:t>MA,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population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outbreak</w:t>
      </w:r>
      <w:r>
        <w:rPr>
          <w:spacing w:val="-11"/>
        </w:rPr>
        <w:t xml:space="preserve"> </w:t>
      </w:r>
      <w:r>
        <w:t xml:space="preserve">of COVID-19. After review, DPH has determined the need for the Proposed Project relates to the State of Emergency. </w:t>
      </w:r>
      <w:proofErr w:type="gramStart"/>
      <w:r>
        <w:t>As a result</w:t>
      </w:r>
      <w:proofErr w:type="gramEnd"/>
      <w:r>
        <w:t>, the Applicant may commence the Proposed</w:t>
      </w:r>
      <w:r>
        <w:rPr>
          <w:spacing w:val="-41"/>
        </w:rPr>
        <w:t xml:space="preserve"> </w:t>
      </w:r>
      <w:r>
        <w:t>Project.</w:t>
      </w:r>
    </w:p>
    <w:p w:rsidR="00A41EF9" w:rsidRDefault="00A41EF9" w:rsidP="00A41EF9">
      <w:pPr>
        <w:pStyle w:val="BodyText"/>
        <w:spacing w:before="1"/>
      </w:pPr>
    </w:p>
    <w:p w:rsidR="00A41EF9" w:rsidRDefault="00A41EF9" w:rsidP="00A41EF9">
      <w:pPr>
        <w:pStyle w:val="BodyText"/>
        <w:spacing w:line="235" w:lineRule="auto"/>
        <w:ind w:left="491" w:right="318"/>
      </w:pPr>
      <w:r>
        <w:t>Since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Proposed</w:t>
      </w:r>
      <w:r>
        <w:rPr>
          <w:spacing w:val="-17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t>does</w:t>
      </w:r>
      <w:r>
        <w:rPr>
          <w:spacing w:val="-16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appear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temporary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nature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remain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place</w:t>
      </w:r>
      <w:r>
        <w:rPr>
          <w:spacing w:val="-16"/>
        </w:rPr>
        <w:t xml:space="preserve"> </w:t>
      </w:r>
      <w:r>
        <w:t>after the</w:t>
      </w:r>
      <w:r>
        <w:rPr>
          <w:spacing w:val="-16"/>
        </w:rPr>
        <w:t xml:space="preserve"> </w:t>
      </w:r>
      <w:r>
        <w:t>termination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Emergency,</w:t>
      </w:r>
      <w:r>
        <w:rPr>
          <w:spacing w:val="-18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may,</w:t>
      </w:r>
      <w:r>
        <w:rPr>
          <w:spacing w:val="-18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discretion,</w:t>
      </w:r>
      <w:r>
        <w:rPr>
          <w:spacing w:val="-16"/>
        </w:rPr>
        <w:t xml:space="preserve"> </w:t>
      </w:r>
      <w:r>
        <w:t>direct</w:t>
      </w:r>
      <w:r>
        <w:rPr>
          <w:spacing w:val="-16"/>
        </w:rPr>
        <w:t xml:space="preserve"> </w:t>
      </w:r>
      <w:r>
        <w:t>Emerson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apply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 full</w:t>
      </w:r>
      <w:r>
        <w:rPr>
          <w:spacing w:val="-23"/>
        </w:rPr>
        <w:t xml:space="preserve"> </w:t>
      </w:r>
      <w:r>
        <w:t>Notice</w:t>
      </w:r>
      <w:r>
        <w:rPr>
          <w:spacing w:val="-21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Determination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Need,</w:t>
      </w:r>
      <w:r>
        <w:rPr>
          <w:spacing w:val="-22"/>
        </w:rPr>
        <w:t xml:space="preserve"> </w:t>
      </w:r>
      <w:r>
        <w:t>including</w:t>
      </w:r>
      <w:r>
        <w:rPr>
          <w:spacing w:val="-22"/>
        </w:rPr>
        <w:t xml:space="preserve"> </w:t>
      </w:r>
      <w:r>
        <w:t>all</w:t>
      </w:r>
      <w:r>
        <w:rPr>
          <w:spacing w:val="-24"/>
        </w:rPr>
        <w:t xml:space="preserve"> </w:t>
      </w:r>
      <w:r>
        <w:t>applicable</w:t>
      </w:r>
      <w:r>
        <w:rPr>
          <w:spacing w:val="-22"/>
        </w:rPr>
        <w:t xml:space="preserve"> </w:t>
      </w:r>
      <w:r>
        <w:t>Factors,</w:t>
      </w:r>
      <w:r>
        <w:rPr>
          <w:spacing w:val="-22"/>
        </w:rPr>
        <w:t xml:space="preserve"> </w:t>
      </w:r>
      <w:r>
        <w:t>upon</w:t>
      </w:r>
      <w:r>
        <w:rPr>
          <w:spacing w:val="-23"/>
        </w:rPr>
        <w:t xml:space="preserve"> </w:t>
      </w:r>
      <w:r>
        <w:t>termination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Emergency.</w:t>
      </w:r>
    </w:p>
    <w:p w:rsidR="00A41EF9" w:rsidRDefault="00A41EF9" w:rsidP="00A41EF9">
      <w:pPr>
        <w:pStyle w:val="BodyText"/>
        <w:spacing w:before="10"/>
        <w:rPr>
          <w:sz w:val="23"/>
        </w:rPr>
      </w:pPr>
    </w:p>
    <w:p w:rsidR="00A41EF9" w:rsidRDefault="00A41EF9" w:rsidP="00A41EF9">
      <w:pPr>
        <w:pStyle w:val="BodyText"/>
        <w:spacing w:after="11"/>
        <w:ind w:left="491"/>
      </w:pPr>
      <w:r>
        <w:t>Sincerely,</w:t>
      </w:r>
    </w:p>
    <w:p w:rsidR="00A41EF9" w:rsidRPr="007B1463" w:rsidRDefault="007B1463" w:rsidP="00A41EF9">
      <w:pPr>
        <w:pStyle w:val="BodyText"/>
        <w:ind w:left="491"/>
      </w:pPr>
      <w:r w:rsidRPr="007B1463">
        <w:rPr>
          <w:noProof/>
        </w:rPr>
        <w:t>&lt;signature on file&gt;</w:t>
      </w:r>
    </w:p>
    <w:p w:rsidR="00A41EF9" w:rsidRDefault="00A41EF9" w:rsidP="00A41EF9">
      <w:pPr>
        <w:pStyle w:val="BodyText"/>
        <w:spacing w:line="259" w:lineRule="exact"/>
        <w:ind w:left="491"/>
      </w:pPr>
      <w:r>
        <w:t>Margo Michaels, MPH</w:t>
      </w:r>
      <w:bookmarkStart w:id="0" w:name="_GoBack"/>
      <w:bookmarkEnd w:id="0"/>
    </w:p>
    <w:p w:rsidR="00A41EF9" w:rsidRDefault="00A41EF9" w:rsidP="00A41EF9">
      <w:pPr>
        <w:pStyle w:val="BodyText"/>
        <w:spacing w:line="274" w:lineRule="exact"/>
        <w:ind w:left="491"/>
      </w:pPr>
      <w:r>
        <w:t>Director, Determination of Need</w:t>
      </w:r>
    </w:p>
    <w:p w:rsidR="00A41EF9" w:rsidRDefault="00A41EF9" w:rsidP="00A41EF9">
      <w:pPr>
        <w:pStyle w:val="BodyText"/>
        <w:spacing w:before="4"/>
        <w:rPr>
          <w:sz w:val="23"/>
        </w:rPr>
      </w:pPr>
    </w:p>
    <w:p w:rsidR="00A41EF9" w:rsidRDefault="00A41EF9" w:rsidP="00A41EF9">
      <w:pPr>
        <w:tabs>
          <w:tab w:val="left" w:pos="850"/>
        </w:tabs>
        <w:spacing w:line="235" w:lineRule="auto"/>
        <w:ind w:left="851" w:right="2784" w:hanging="360"/>
        <w:rPr>
          <w:sz w:val="20"/>
        </w:rPr>
      </w:pPr>
      <w:r>
        <w:rPr>
          <w:sz w:val="20"/>
        </w:rPr>
        <w:t>c:</w:t>
      </w:r>
      <w:r>
        <w:rPr>
          <w:sz w:val="20"/>
        </w:rPr>
        <w:tab/>
        <w:t>Sherman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Lohnes</w:t>
      </w:r>
      <w:proofErr w:type="spellEnd"/>
      <w:r>
        <w:rPr>
          <w:sz w:val="20"/>
        </w:rPr>
        <w:t>,</w:t>
      </w:r>
      <w:r>
        <w:rPr>
          <w:spacing w:val="-26"/>
          <w:sz w:val="20"/>
        </w:rPr>
        <w:t xml:space="preserve"> </w:t>
      </w:r>
      <w:r>
        <w:rPr>
          <w:sz w:val="20"/>
        </w:rPr>
        <w:t>Division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Health</w:t>
      </w:r>
      <w:r>
        <w:rPr>
          <w:spacing w:val="-26"/>
          <w:sz w:val="20"/>
        </w:rPr>
        <w:t xml:space="preserve"> </w:t>
      </w:r>
      <w:r>
        <w:rPr>
          <w:sz w:val="20"/>
        </w:rPr>
        <w:t>Care</w:t>
      </w:r>
      <w:r>
        <w:rPr>
          <w:spacing w:val="-25"/>
          <w:sz w:val="20"/>
        </w:rPr>
        <w:t xml:space="preserve"> </w:t>
      </w:r>
      <w:r>
        <w:rPr>
          <w:sz w:val="20"/>
        </w:rPr>
        <w:t>Facility</w:t>
      </w:r>
      <w:r>
        <w:rPr>
          <w:spacing w:val="-25"/>
          <w:sz w:val="20"/>
        </w:rPr>
        <w:t xml:space="preserve"> </w:t>
      </w:r>
      <w:r>
        <w:rPr>
          <w:sz w:val="20"/>
        </w:rPr>
        <w:t>Licensure</w:t>
      </w:r>
      <w:r>
        <w:rPr>
          <w:spacing w:val="-26"/>
          <w:sz w:val="20"/>
        </w:rPr>
        <w:t xml:space="preserve"> </w:t>
      </w:r>
      <w:r>
        <w:rPr>
          <w:sz w:val="20"/>
        </w:rPr>
        <w:t>and</w:t>
      </w:r>
      <w:r>
        <w:rPr>
          <w:spacing w:val="-26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26"/>
          <w:sz w:val="20"/>
        </w:rPr>
        <w:t xml:space="preserve"> </w:t>
      </w:r>
      <w:r>
        <w:rPr>
          <w:sz w:val="20"/>
        </w:rPr>
        <w:t>DPH Daniel Gent, Plan Review,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</w:p>
    <w:p w:rsidR="00A41EF9" w:rsidRDefault="00A41EF9" w:rsidP="00A41EF9">
      <w:pPr>
        <w:spacing w:line="235" w:lineRule="auto"/>
        <w:ind w:left="851" w:right="4432"/>
        <w:rPr>
          <w:sz w:val="20"/>
        </w:rPr>
      </w:pPr>
      <w:r>
        <w:rPr>
          <w:sz w:val="20"/>
        </w:rPr>
        <w:t>Rebecca Rodman, Senior Deputy General Counsel, DPH Elizabeth</w:t>
      </w:r>
      <w:r>
        <w:rPr>
          <w:spacing w:val="-22"/>
          <w:sz w:val="20"/>
        </w:rPr>
        <w:t xml:space="preserve"> </w:t>
      </w:r>
      <w:r>
        <w:rPr>
          <w:sz w:val="20"/>
        </w:rPr>
        <w:t>Kelley,</w:t>
      </w:r>
      <w:r>
        <w:rPr>
          <w:spacing w:val="7"/>
          <w:sz w:val="20"/>
        </w:rPr>
        <w:t xml:space="preserve"> </w:t>
      </w:r>
      <w:r>
        <w:rPr>
          <w:sz w:val="20"/>
        </w:rPr>
        <w:t>Director</w:t>
      </w:r>
      <w:r>
        <w:rPr>
          <w:spacing w:val="-21"/>
          <w:sz w:val="20"/>
        </w:rPr>
        <w:t xml:space="preserve"> </w:t>
      </w:r>
      <w:r>
        <w:rPr>
          <w:sz w:val="20"/>
        </w:rPr>
        <w:t>Bureau</w:t>
      </w:r>
      <w:r>
        <w:rPr>
          <w:spacing w:val="-22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Safety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Quality,</w:t>
      </w:r>
      <w:r>
        <w:rPr>
          <w:spacing w:val="-21"/>
          <w:sz w:val="20"/>
        </w:rPr>
        <w:t xml:space="preserve"> </w:t>
      </w:r>
      <w:r>
        <w:rPr>
          <w:sz w:val="20"/>
        </w:rPr>
        <w:t>DPH</w:t>
      </w:r>
    </w:p>
    <w:p w:rsidR="00F74357" w:rsidRDefault="00F74357"/>
    <w:sectPr w:rsidR="00F74357">
      <w:type w:val="continuous"/>
      <w:pgSz w:w="12240" w:h="15840"/>
      <w:pgMar w:top="56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F9"/>
    <w:rsid w:val="007B1463"/>
    <w:rsid w:val="00A41EF9"/>
    <w:rsid w:val="00B76A8B"/>
    <w:rsid w:val="00B947BF"/>
    <w:rsid w:val="00EB74E2"/>
    <w:rsid w:val="00F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A1B8"/>
  <w15:chartTrackingRefBased/>
  <w15:docId w15:val="{C073B20E-E95D-4CC1-BB6B-95059AA2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A41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41EF9"/>
    <w:pPr>
      <w:ind w:left="2501" w:right="169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1EF9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41E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1E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8</cp:revision>
  <dcterms:created xsi:type="dcterms:W3CDTF">2021-10-18T17:20:00Z</dcterms:created>
  <dcterms:modified xsi:type="dcterms:W3CDTF">2021-10-21T18:24:00Z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