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0F" w:rsidRDefault="0025500F" w:rsidP="0025500F">
      <w:pPr>
        <w:spacing w:before="150" w:line="414" w:lineRule="exact"/>
        <w:ind w:left="2423"/>
        <w:rPr>
          <w:sz w:val="36"/>
        </w:rPr>
      </w:pPr>
      <w:r>
        <w:rPr>
          <w:noProof/>
        </w:rPr>
        <w:drawing>
          <wp:inline distT="0" distB="0" distL="0" distR="0">
            <wp:extent cx="890493" cy="1064414"/>
            <wp:effectExtent l="0" t="0" r="5080" b="2540"/>
            <wp:docPr id="1" name="image1.pn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493" cy="106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  <w:sz w:val="36"/>
        </w:rPr>
        <w:t>The Commonwealth of Massachusetts</w:t>
      </w:r>
    </w:p>
    <w:p w:rsidR="0025500F" w:rsidRDefault="0025500F" w:rsidP="0025500F">
      <w:pPr>
        <w:pStyle w:val="Heading1"/>
      </w:pPr>
      <w:r>
        <w:rPr>
          <w:w w:val="110"/>
        </w:rPr>
        <w:t>Executive Office of Health and Human Services Department of Public Health</w:t>
      </w:r>
    </w:p>
    <w:p w:rsidR="0025500F" w:rsidRDefault="0025500F" w:rsidP="0025500F">
      <w:pPr>
        <w:spacing w:before="1"/>
        <w:ind w:left="2497" w:right="1693"/>
        <w:jc w:val="center"/>
        <w:rPr>
          <w:sz w:val="28"/>
        </w:rPr>
      </w:pPr>
      <w:r>
        <w:rPr>
          <w:w w:val="105"/>
          <w:sz w:val="28"/>
        </w:rPr>
        <w:t xml:space="preserve">Bureau of Health Care Safety and Quality Determination </w:t>
      </w:r>
      <w:r>
        <w:rPr>
          <w:spacing w:val="-3"/>
          <w:w w:val="105"/>
          <w:sz w:val="28"/>
        </w:rPr>
        <w:t xml:space="preserve">of </w:t>
      </w:r>
      <w:r>
        <w:rPr>
          <w:w w:val="105"/>
          <w:sz w:val="28"/>
        </w:rPr>
        <w:t>Need</w:t>
      </w:r>
      <w:r>
        <w:rPr>
          <w:spacing w:val="56"/>
          <w:w w:val="105"/>
          <w:sz w:val="28"/>
        </w:rPr>
        <w:t xml:space="preserve"> </w:t>
      </w:r>
      <w:r>
        <w:rPr>
          <w:w w:val="105"/>
          <w:sz w:val="28"/>
        </w:rPr>
        <w:t>Program</w:t>
      </w:r>
    </w:p>
    <w:p w:rsidR="0025500F" w:rsidRDefault="0025500F" w:rsidP="0025500F">
      <w:pPr>
        <w:spacing w:line="321" w:lineRule="exact"/>
        <w:ind w:left="2501" w:right="1693"/>
        <w:jc w:val="center"/>
        <w:rPr>
          <w:sz w:val="28"/>
        </w:rPr>
      </w:pPr>
      <w:r>
        <w:rPr>
          <w:w w:val="110"/>
          <w:sz w:val="28"/>
        </w:rPr>
        <w:t>250 Washington Street, Boston MA 02511</w:t>
      </w:r>
    </w:p>
    <w:p w:rsidR="0025500F" w:rsidRDefault="0025500F" w:rsidP="0025500F">
      <w:pPr>
        <w:pStyle w:val="BodyText"/>
        <w:rPr>
          <w:sz w:val="20"/>
        </w:rPr>
      </w:pPr>
      <w:bookmarkStart w:id="0" w:name="_GoBack"/>
      <w:bookmarkEnd w:id="0"/>
    </w:p>
    <w:p w:rsidR="0025500F" w:rsidRDefault="0025500F" w:rsidP="0025500F">
      <w:pPr>
        <w:pStyle w:val="BodyText"/>
        <w:spacing w:before="3"/>
        <w:rPr>
          <w:sz w:val="21"/>
        </w:rPr>
      </w:pPr>
    </w:p>
    <w:p w:rsidR="0025500F" w:rsidRDefault="0025500F" w:rsidP="0025500F">
      <w:pPr>
        <w:rPr>
          <w:sz w:val="21"/>
        </w:rPr>
        <w:sectPr w:rsidR="0025500F" w:rsidSect="0025500F">
          <w:pgSz w:w="12240" w:h="15840"/>
          <w:pgMar w:top="560" w:right="1220" w:bottom="280" w:left="860" w:header="720" w:footer="720" w:gutter="0"/>
          <w:cols w:space="720"/>
        </w:sectPr>
      </w:pPr>
    </w:p>
    <w:p w:rsidR="0025500F" w:rsidRDefault="0025500F" w:rsidP="0025500F">
      <w:pPr>
        <w:pStyle w:val="BodyText"/>
        <w:spacing w:before="3"/>
        <w:rPr>
          <w:sz w:val="15"/>
        </w:rPr>
      </w:pPr>
    </w:p>
    <w:p w:rsidR="0025500F" w:rsidRDefault="0025500F" w:rsidP="0025500F">
      <w:pPr>
        <w:ind w:left="383"/>
        <w:jc w:val="center"/>
        <w:rPr>
          <w:sz w:val="16"/>
        </w:rPr>
      </w:pPr>
      <w:r>
        <w:rPr>
          <w:w w:val="110"/>
          <w:sz w:val="16"/>
        </w:rPr>
        <w:t>CHARLES D. BAKER</w:t>
      </w:r>
    </w:p>
    <w:p w:rsidR="0025500F" w:rsidRDefault="0025500F" w:rsidP="0025500F">
      <w:pPr>
        <w:spacing w:before="3"/>
        <w:ind w:left="377"/>
        <w:jc w:val="center"/>
        <w:rPr>
          <w:sz w:val="14"/>
        </w:rPr>
      </w:pPr>
      <w:r>
        <w:rPr>
          <w:w w:val="120"/>
          <w:sz w:val="14"/>
        </w:rPr>
        <w:t>Governor</w:t>
      </w:r>
    </w:p>
    <w:p w:rsidR="0025500F" w:rsidRDefault="0025500F" w:rsidP="0025500F">
      <w:pPr>
        <w:spacing w:before="120"/>
        <w:ind w:left="381"/>
        <w:jc w:val="center"/>
        <w:rPr>
          <w:sz w:val="16"/>
        </w:rPr>
      </w:pPr>
      <w:r>
        <w:rPr>
          <w:w w:val="105"/>
          <w:sz w:val="16"/>
        </w:rPr>
        <w:t>KARYN E. POLITO</w:t>
      </w:r>
    </w:p>
    <w:p w:rsidR="0025500F" w:rsidRDefault="0025500F" w:rsidP="0025500F">
      <w:pPr>
        <w:spacing w:before="3"/>
        <w:ind w:left="380"/>
        <w:jc w:val="center"/>
        <w:rPr>
          <w:sz w:val="14"/>
        </w:rPr>
      </w:pPr>
      <w:r>
        <w:rPr>
          <w:w w:val="120"/>
          <w:sz w:val="14"/>
        </w:rPr>
        <w:t>Lieutenant Governor</w:t>
      </w:r>
    </w:p>
    <w:p w:rsidR="0025500F" w:rsidRDefault="0025500F" w:rsidP="0025500F">
      <w:pPr>
        <w:spacing w:before="94"/>
        <w:ind w:left="388" w:right="69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t>MARYLOU SUDDERS</w:t>
      </w:r>
    </w:p>
    <w:p w:rsidR="0025500F" w:rsidRDefault="0025500F" w:rsidP="0025500F">
      <w:pPr>
        <w:spacing w:before="3"/>
        <w:ind w:left="385" w:right="69"/>
        <w:jc w:val="center"/>
        <w:rPr>
          <w:sz w:val="14"/>
        </w:rPr>
      </w:pPr>
      <w:r>
        <w:rPr>
          <w:w w:val="125"/>
          <w:sz w:val="14"/>
        </w:rPr>
        <w:t>Secretary</w:t>
      </w:r>
    </w:p>
    <w:p w:rsidR="0025500F" w:rsidRDefault="0025500F" w:rsidP="0025500F">
      <w:pPr>
        <w:spacing w:before="120"/>
        <w:ind w:left="389" w:right="69"/>
        <w:jc w:val="center"/>
        <w:rPr>
          <w:sz w:val="16"/>
        </w:rPr>
      </w:pPr>
      <w:r>
        <w:rPr>
          <w:w w:val="105"/>
          <w:sz w:val="16"/>
        </w:rPr>
        <w:t>MONICA BHAREL, MD, MPH</w:t>
      </w:r>
    </w:p>
    <w:p w:rsidR="0025500F" w:rsidRDefault="0025500F" w:rsidP="0025500F">
      <w:pPr>
        <w:spacing w:before="3"/>
        <w:ind w:left="383" w:right="69"/>
        <w:jc w:val="center"/>
        <w:rPr>
          <w:sz w:val="14"/>
        </w:rPr>
      </w:pPr>
      <w:r>
        <w:rPr>
          <w:w w:val="120"/>
          <w:sz w:val="14"/>
        </w:rPr>
        <w:t>Commissioner</w:t>
      </w:r>
    </w:p>
    <w:p w:rsidR="0025500F" w:rsidRDefault="0025500F" w:rsidP="0025500F">
      <w:pPr>
        <w:pStyle w:val="BodyText"/>
        <w:spacing w:before="10"/>
        <w:rPr>
          <w:sz w:val="13"/>
        </w:rPr>
      </w:pPr>
    </w:p>
    <w:p w:rsidR="0025500F" w:rsidRDefault="0025500F" w:rsidP="0025500F">
      <w:pPr>
        <w:spacing w:before="1"/>
        <w:ind w:left="382" w:right="69"/>
        <w:jc w:val="center"/>
        <w:rPr>
          <w:sz w:val="14"/>
        </w:rPr>
      </w:pPr>
      <w:r>
        <w:rPr>
          <w:w w:val="110"/>
          <w:sz w:val="14"/>
        </w:rPr>
        <w:t>Tel: 617-624-6000</w:t>
      </w:r>
    </w:p>
    <w:p w:rsidR="0025500F" w:rsidRDefault="0025500F" w:rsidP="0025500F">
      <w:pPr>
        <w:ind w:left="384" w:right="69"/>
        <w:jc w:val="center"/>
        <w:rPr>
          <w:sz w:val="14"/>
        </w:rPr>
      </w:pPr>
      <w:hyperlink r:id="rId5">
        <w:r w:rsidR="001D5333">
          <w:rPr>
            <w:w w:val="115"/>
            <w:sz w:val="14"/>
          </w:rPr>
          <w:t>Massachusetts Department of Public Health website at www.mass.gov/dph</w:t>
        </w:r>
      </w:hyperlink>
    </w:p>
    <w:p w:rsidR="0025500F" w:rsidRDefault="0025500F" w:rsidP="0025500F">
      <w:pPr>
        <w:jc w:val="center"/>
        <w:rPr>
          <w:sz w:val="14"/>
        </w:rPr>
        <w:sectPr w:rsidR="0025500F">
          <w:type w:val="continuous"/>
          <w:pgSz w:w="12240" w:h="15840"/>
          <w:pgMar w:top="560" w:right="1220" w:bottom="280" w:left="860" w:header="720" w:footer="720" w:gutter="0"/>
          <w:cols w:num="2" w:space="720" w:equalWidth="0">
            <w:col w:w="2064" w:space="5398"/>
            <w:col w:w="2698"/>
          </w:cols>
        </w:sectPr>
      </w:pPr>
    </w:p>
    <w:p w:rsidR="0025500F" w:rsidRDefault="0025500F" w:rsidP="0025500F">
      <w:pPr>
        <w:pStyle w:val="BodyText"/>
        <w:rPr>
          <w:sz w:val="20"/>
        </w:rPr>
      </w:pPr>
    </w:p>
    <w:p w:rsidR="0025500F" w:rsidRDefault="0025500F" w:rsidP="0025500F">
      <w:pPr>
        <w:pStyle w:val="BodyText"/>
        <w:rPr>
          <w:sz w:val="20"/>
        </w:rPr>
      </w:pPr>
    </w:p>
    <w:p w:rsidR="0025500F" w:rsidRDefault="0025500F" w:rsidP="0025500F">
      <w:pPr>
        <w:pStyle w:val="BodyText"/>
        <w:spacing w:before="207"/>
        <w:ind w:left="491"/>
      </w:pPr>
      <w:r>
        <w:t>April 7, 2020</w:t>
      </w:r>
    </w:p>
    <w:p w:rsidR="0025500F" w:rsidRDefault="0025500F" w:rsidP="0025500F">
      <w:pPr>
        <w:pStyle w:val="BodyText"/>
        <w:rPr>
          <w:sz w:val="26"/>
        </w:rPr>
      </w:pPr>
    </w:p>
    <w:p w:rsidR="0025500F" w:rsidRDefault="0025500F" w:rsidP="0025500F">
      <w:pPr>
        <w:pStyle w:val="BodyText"/>
        <w:spacing w:before="1"/>
        <w:rPr>
          <w:sz w:val="21"/>
        </w:rPr>
      </w:pPr>
    </w:p>
    <w:p w:rsidR="0025500F" w:rsidRDefault="0025500F" w:rsidP="0025500F">
      <w:pPr>
        <w:pStyle w:val="BodyText"/>
        <w:spacing w:line="232" w:lineRule="auto"/>
        <w:ind w:left="491" w:right="7831"/>
      </w:pPr>
      <w:r>
        <w:rPr>
          <w:w w:val="95"/>
        </w:rPr>
        <w:t xml:space="preserve">Mr. Andrew Levine </w:t>
      </w:r>
      <w:r>
        <w:t xml:space="preserve">Barrett &amp; </w:t>
      </w:r>
      <w:proofErr w:type="spellStart"/>
      <w:r>
        <w:t>Singal</w:t>
      </w:r>
      <w:proofErr w:type="spellEnd"/>
    </w:p>
    <w:p w:rsidR="0025500F" w:rsidRDefault="0025500F" w:rsidP="0025500F">
      <w:pPr>
        <w:pStyle w:val="BodyText"/>
        <w:spacing w:line="270" w:lineRule="exact"/>
        <w:ind w:left="491"/>
      </w:pPr>
      <w:r>
        <w:t xml:space="preserve">1 Beacon St </w:t>
      </w:r>
      <w:r>
        <w:rPr>
          <w:w w:val="105"/>
        </w:rPr>
        <w:t xml:space="preserve"># </w:t>
      </w:r>
      <w:r>
        <w:t>1320</w:t>
      </w:r>
    </w:p>
    <w:p w:rsidR="0025500F" w:rsidRDefault="0025500F" w:rsidP="0025500F">
      <w:pPr>
        <w:pStyle w:val="BodyText"/>
        <w:spacing w:line="272" w:lineRule="exact"/>
        <w:ind w:left="491"/>
      </w:pPr>
      <w:r>
        <w:t>Boston, MA 02108</w:t>
      </w:r>
    </w:p>
    <w:p w:rsidR="0025500F" w:rsidRDefault="0025500F" w:rsidP="0025500F">
      <w:pPr>
        <w:pStyle w:val="BodyText"/>
        <w:spacing w:before="4"/>
        <w:rPr>
          <w:sz w:val="23"/>
        </w:rPr>
      </w:pPr>
    </w:p>
    <w:p w:rsidR="0025500F" w:rsidRDefault="0025500F" w:rsidP="0025500F">
      <w:pPr>
        <w:pStyle w:val="BodyText"/>
        <w:spacing w:line="235" w:lineRule="auto"/>
        <w:ind w:left="491" w:right="377"/>
      </w:pPr>
      <w:r>
        <w:rPr>
          <w:w w:val="105"/>
        </w:rPr>
        <w:t>RE: Notification for Partners HealthCare System, Inc. to Open a Hospital Inpatient Bed Satellite Related to COVID-19 State of Emergency</w:t>
      </w:r>
    </w:p>
    <w:p w:rsidR="0025500F" w:rsidRDefault="0025500F" w:rsidP="0025500F">
      <w:pPr>
        <w:pStyle w:val="BodyText"/>
      </w:pPr>
    </w:p>
    <w:p w:rsidR="0025500F" w:rsidRDefault="0025500F" w:rsidP="0025500F">
      <w:pPr>
        <w:pStyle w:val="BodyText"/>
        <w:ind w:left="491"/>
      </w:pPr>
      <w:r>
        <w:t>Dear Mr. Levine:</w:t>
      </w:r>
    </w:p>
    <w:p w:rsidR="0025500F" w:rsidRDefault="0025500F" w:rsidP="0025500F">
      <w:pPr>
        <w:pStyle w:val="BodyText"/>
        <w:spacing w:before="2"/>
      </w:pPr>
    </w:p>
    <w:p w:rsidR="0025500F" w:rsidRDefault="0025500F" w:rsidP="0025500F">
      <w:pPr>
        <w:pStyle w:val="BodyText"/>
        <w:spacing w:line="235" w:lineRule="auto"/>
        <w:ind w:left="491" w:right="377"/>
      </w:pPr>
      <w:r>
        <w:t xml:space="preserve">The Department received the notification above on April 6, 2020 to establish an inpatient </w:t>
      </w:r>
      <w:r>
        <w:rPr>
          <w:w w:val="93"/>
        </w:rPr>
        <w:t>s</w:t>
      </w:r>
      <w:r>
        <w:rPr>
          <w:w w:val="91"/>
        </w:rPr>
        <w:t>a</w:t>
      </w:r>
      <w:r>
        <w:rPr>
          <w:w w:val="104"/>
        </w:rPr>
        <w:t>t</w:t>
      </w:r>
      <w:r>
        <w:rPr>
          <w:w w:val="93"/>
        </w:rPr>
        <w:t>e</w:t>
      </w:r>
      <w:r>
        <w:rPr>
          <w:w w:val="82"/>
        </w:rPr>
        <w:t>lli</w:t>
      </w:r>
      <w:r>
        <w:rPr>
          <w:w w:val="104"/>
        </w:rPr>
        <w:t>t</w:t>
      </w:r>
      <w:r>
        <w:rPr>
          <w:w w:val="93"/>
        </w:rPr>
        <w:t>e</w:t>
      </w:r>
      <w:r>
        <w:rPr>
          <w:w w:val="179"/>
        </w:rPr>
        <w:t>/</w:t>
      </w:r>
      <w:r>
        <w:rPr>
          <w:w w:val="93"/>
        </w:rPr>
        <w:t>c</w:t>
      </w:r>
      <w:r>
        <w:rPr>
          <w:w w:val="91"/>
        </w:rPr>
        <w:t>a</w:t>
      </w:r>
      <w:r>
        <w:rPr>
          <w:w w:val="98"/>
        </w:rPr>
        <w:t>m</w:t>
      </w:r>
      <w:r>
        <w:rPr>
          <w:w w:val="101"/>
        </w:rPr>
        <w:t>p</w:t>
      </w:r>
      <w:r>
        <w:rPr>
          <w:w w:val="97"/>
        </w:rPr>
        <w:t>u</w:t>
      </w:r>
      <w:r>
        <w:rPr>
          <w:w w:val="93"/>
        </w:rPr>
        <w:t>s</w:t>
      </w:r>
      <w:r>
        <w:t xml:space="preserve"> </w:t>
      </w:r>
      <w:r>
        <w:rPr>
          <w:w w:val="101"/>
        </w:rPr>
        <w:t>o</w:t>
      </w:r>
      <w:r>
        <w:rPr>
          <w:w w:val="96"/>
        </w:rPr>
        <w:t>f</w:t>
      </w:r>
      <w:r>
        <w:t xml:space="preserve"> </w:t>
      </w:r>
      <w:r>
        <w:rPr>
          <w:w w:val="104"/>
        </w:rPr>
        <w:t>t</w:t>
      </w:r>
      <w:r>
        <w:rPr>
          <w:w w:val="101"/>
        </w:rPr>
        <w:t>h</w:t>
      </w:r>
      <w:r>
        <w:rPr>
          <w:w w:val="93"/>
        </w:rPr>
        <w:t>e</w:t>
      </w:r>
      <w:r>
        <w:t xml:space="preserve"> </w:t>
      </w:r>
      <w:r>
        <w:rPr>
          <w:w w:val="105"/>
        </w:rPr>
        <w:t>H</w:t>
      </w:r>
      <w:r>
        <w:rPr>
          <w:w w:val="101"/>
        </w:rPr>
        <w:t>o</w:t>
      </w:r>
      <w:r>
        <w:rPr>
          <w:w w:val="93"/>
        </w:rPr>
        <w:t>s</w:t>
      </w:r>
      <w:r>
        <w:rPr>
          <w:w w:val="101"/>
        </w:rPr>
        <w:t>p</w:t>
      </w:r>
      <w:r>
        <w:rPr>
          <w:w w:val="82"/>
        </w:rPr>
        <w:t>i</w:t>
      </w:r>
      <w:r>
        <w:rPr>
          <w:w w:val="104"/>
        </w:rPr>
        <w:t>t</w:t>
      </w:r>
      <w:r>
        <w:rPr>
          <w:w w:val="91"/>
        </w:rPr>
        <w:t>a</w:t>
      </w:r>
      <w:r>
        <w:rPr>
          <w:w w:val="82"/>
        </w:rPr>
        <w:t>l</w:t>
      </w:r>
      <w:r>
        <w:t xml:space="preserve"> </w:t>
      </w:r>
      <w:r>
        <w:rPr>
          <w:w w:val="91"/>
        </w:rPr>
        <w:t>a</w:t>
      </w:r>
      <w:r>
        <w:rPr>
          <w:w w:val="104"/>
        </w:rPr>
        <w:t>t</w:t>
      </w:r>
      <w:r>
        <w:t xml:space="preserve"> </w:t>
      </w:r>
      <w:r>
        <w:rPr>
          <w:w w:val="104"/>
        </w:rPr>
        <w:t>t</w:t>
      </w:r>
      <w:r>
        <w:rPr>
          <w:w w:val="101"/>
        </w:rPr>
        <w:t>h</w:t>
      </w:r>
      <w:r>
        <w:rPr>
          <w:w w:val="93"/>
        </w:rPr>
        <w:t>e</w:t>
      </w:r>
      <w:r>
        <w:t xml:space="preserve"> </w:t>
      </w:r>
      <w:r>
        <w:rPr>
          <w:w w:val="91"/>
        </w:rPr>
        <w:t>B</w:t>
      </w:r>
      <w:r>
        <w:rPr>
          <w:w w:val="101"/>
        </w:rPr>
        <w:t>o</w:t>
      </w:r>
      <w:r>
        <w:rPr>
          <w:w w:val="93"/>
        </w:rPr>
        <w:t>s</w:t>
      </w:r>
      <w:r>
        <w:rPr>
          <w:w w:val="104"/>
        </w:rPr>
        <w:t>t</w:t>
      </w:r>
      <w:r>
        <w:rPr>
          <w:w w:val="101"/>
        </w:rPr>
        <w:t>on</w:t>
      </w:r>
      <w:r>
        <w:t xml:space="preserve"> </w:t>
      </w:r>
      <w:r>
        <w:rPr>
          <w:w w:val="95"/>
        </w:rPr>
        <w:t>C</w:t>
      </w:r>
      <w:r>
        <w:rPr>
          <w:w w:val="101"/>
        </w:rPr>
        <w:t>on</w:t>
      </w:r>
      <w:r>
        <w:rPr>
          <w:w w:val="93"/>
        </w:rPr>
        <w:t>ve</w:t>
      </w:r>
      <w:r>
        <w:rPr>
          <w:w w:val="101"/>
        </w:rPr>
        <w:t>n</w:t>
      </w:r>
      <w:r>
        <w:rPr>
          <w:w w:val="104"/>
        </w:rPr>
        <w:t>t</w:t>
      </w:r>
      <w:r>
        <w:rPr>
          <w:w w:val="82"/>
        </w:rPr>
        <w:t>i</w:t>
      </w:r>
      <w:r>
        <w:rPr>
          <w:w w:val="101"/>
        </w:rPr>
        <w:t>on</w:t>
      </w:r>
      <w:r>
        <w:t xml:space="preserve"> </w:t>
      </w:r>
      <w:r>
        <w:rPr>
          <w:w w:val="91"/>
        </w:rPr>
        <w:t>a</w:t>
      </w:r>
      <w:r>
        <w:rPr>
          <w:w w:val="101"/>
        </w:rPr>
        <w:t>n</w:t>
      </w:r>
      <w:r>
        <w:rPr>
          <w:w w:val="99"/>
        </w:rPr>
        <w:t>d</w:t>
      </w:r>
      <w:r>
        <w:t xml:space="preserve"> </w:t>
      </w:r>
      <w:r>
        <w:rPr>
          <w:w w:val="107"/>
        </w:rPr>
        <w:t>E</w:t>
      </w:r>
      <w:r>
        <w:rPr>
          <w:w w:val="91"/>
        </w:rPr>
        <w:t>x</w:t>
      </w:r>
      <w:r>
        <w:rPr>
          <w:w w:val="101"/>
        </w:rPr>
        <w:t>h</w:t>
      </w:r>
      <w:r>
        <w:rPr>
          <w:w w:val="82"/>
        </w:rPr>
        <w:t>i</w:t>
      </w:r>
      <w:r>
        <w:rPr>
          <w:w w:val="101"/>
        </w:rPr>
        <w:t>b</w:t>
      </w:r>
      <w:r>
        <w:rPr>
          <w:w w:val="82"/>
        </w:rPr>
        <w:t>i</w:t>
      </w:r>
      <w:r>
        <w:rPr>
          <w:w w:val="104"/>
        </w:rPr>
        <w:t>t</w:t>
      </w:r>
      <w:r>
        <w:rPr>
          <w:w w:val="82"/>
        </w:rPr>
        <w:t>i</w:t>
      </w:r>
      <w:r>
        <w:rPr>
          <w:w w:val="101"/>
        </w:rPr>
        <w:t>on</w:t>
      </w:r>
      <w:r>
        <w:t xml:space="preserve"> </w:t>
      </w:r>
      <w:r>
        <w:rPr>
          <w:w w:val="95"/>
        </w:rPr>
        <w:t>C</w:t>
      </w:r>
      <w:r>
        <w:rPr>
          <w:w w:val="93"/>
        </w:rPr>
        <w:t>e</w:t>
      </w:r>
      <w:r>
        <w:rPr>
          <w:w w:val="101"/>
        </w:rPr>
        <w:t>n</w:t>
      </w:r>
      <w:r>
        <w:rPr>
          <w:w w:val="104"/>
        </w:rPr>
        <w:t>t</w:t>
      </w:r>
      <w:r>
        <w:rPr>
          <w:w w:val="93"/>
        </w:rPr>
        <w:t>e</w:t>
      </w:r>
      <w:r>
        <w:rPr>
          <w:w w:val="99"/>
        </w:rPr>
        <w:t>r</w:t>
      </w:r>
      <w:r>
        <w:rPr>
          <w:w w:val="87"/>
        </w:rPr>
        <w:t>,</w:t>
      </w:r>
      <w:r>
        <w:t xml:space="preserve"> </w:t>
      </w:r>
      <w:r>
        <w:rPr>
          <w:w w:val="93"/>
        </w:rPr>
        <w:t>c</w:t>
      </w:r>
      <w:r>
        <w:rPr>
          <w:w w:val="101"/>
        </w:rPr>
        <w:t>on</w:t>
      </w:r>
      <w:r>
        <w:rPr>
          <w:w w:val="93"/>
        </w:rPr>
        <w:t>s</w:t>
      </w:r>
      <w:r>
        <w:rPr>
          <w:w w:val="82"/>
        </w:rPr>
        <w:t>i</w:t>
      </w:r>
      <w:r>
        <w:rPr>
          <w:w w:val="93"/>
        </w:rPr>
        <w:t>s</w:t>
      </w:r>
      <w:r>
        <w:rPr>
          <w:w w:val="104"/>
        </w:rPr>
        <w:t>t</w:t>
      </w:r>
      <w:r>
        <w:rPr>
          <w:w w:val="82"/>
        </w:rPr>
        <w:t>i</w:t>
      </w:r>
      <w:r>
        <w:rPr>
          <w:w w:val="101"/>
        </w:rPr>
        <w:t>n</w:t>
      </w:r>
      <w:r>
        <w:rPr>
          <w:w w:val="89"/>
        </w:rPr>
        <w:t>g</w:t>
      </w:r>
      <w:r>
        <w:t xml:space="preserve"> </w:t>
      </w:r>
      <w:r>
        <w:rPr>
          <w:w w:val="101"/>
        </w:rPr>
        <w:t>o</w:t>
      </w:r>
      <w:r>
        <w:rPr>
          <w:w w:val="96"/>
        </w:rPr>
        <w:t>f</w:t>
      </w:r>
      <w:r>
        <w:t xml:space="preserve"> </w:t>
      </w:r>
      <w:r>
        <w:rPr>
          <w:w w:val="93"/>
        </w:rPr>
        <w:t xml:space="preserve">500 </w:t>
      </w:r>
      <w:r>
        <w:t>beds to address the COVID-19 State of Emergency.</w:t>
      </w:r>
    </w:p>
    <w:p w:rsidR="0025500F" w:rsidRDefault="0025500F" w:rsidP="0025500F">
      <w:pPr>
        <w:pStyle w:val="BodyText"/>
        <w:spacing w:before="2"/>
      </w:pPr>
    </w:p>
    <w:p w:rsidR="0025500F" w:rsidRDefault="0025500F" w:rsidP="0025500F">
      <w:pPr>
        <w:pStyle w:val="BodyText"/>
        <w:spacing w:line="235" w:lineRule="auto"/>
        <w:ind w:left="491" w:right="377"/>
      </w:pPr>
      <w:r>
        <w:t>After review, DPH has determined the need for the Proposed Project relates to the state of emergency.</w:t>
      </w:r>
      <w:r>
        <w:rPr>
          <w:spacing w:val="17"/>
        </w:rPr>
        <w:t xml:space="preserve"> </w:t>
      </w:r>
      <w:proofErr w:type="gramStart"/>
      <w:r>
        <w:t>As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result</w:t>
      </w:r>
      <w:proofErr w:type="gramEnd"/>
      <w:r>
        <w:t>,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Applicant</w:t>
      </w:r>
      <w:r>
        <w:rPr>
          <w:spacing w:val="-23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commence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Proposed</w:t>
      </w:r>
      <w:r>
        <w:rPr>
          <w:spacing w:val="-21"/>
        </w:rPr>
        <w:t xml:space="preserve"> </w:t>
      </w:r>
      <w:r>
        <w:t>Project.</w:t>
      </w:r>
      <w:r>
        <w:rPr>
          <w:spacing w:val="16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understand</w:t>
      </w:r>
      <w:r>
        <w:rPr>
          <w:spacing w:val="-21"/>
        </w:rPr>
        <w:t xml:space="preserve"> </w:t>
      </w:r>
      <w:r>
        <w:t>that this</w:t>
      </w:r>
      <w:r>
        <w:rPr>
          <w:spacing w:val="-19"/>
        </w:rPr>
        <w:t xml:space="preserve"> </w:t>
      </w:r>
      <w:r>
        <w:t>Change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Service</w:t>
      </w:r>
      <w:r>
        <w:rPr>
          <w:spacing w:val="-18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temporary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nature</w:t>
      </w:r>
      <w:r>
        <w:rPr>
          <w:spacing w:val="-1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Applicant</w:t>
      </w:r>
      <w:r>
        <w:rPr>
          <w:spacing w:val="-21"/>
        </w:rPr>
        <w:t xml:space="preserve"> </w:t>
      </w:r>
      <w:r>
        <w:t>will</w:t>
      </w:r>
      <w:r>
        <w:rPr>
          <w:spacing w:val="-20"/>
        </w:rPr>
        <w:t xml:space="preserve"> </w:t>
      </w:r>
      <w:r>
        <w:t>provide</w:t>
      </w:r>
      <w:r>
        <w:rPr>
          <w:spacing w:val="-19"/>
        </w:rPr>
        <w:t xml:space="preserve"> </w:t>
      </w:r>
      <w:r>
        <w:t>costs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DPH</w:t>
      </w:r>
      <w:r>
        <w:rPr>
          <w:spacing w:val="-20"/>
        </w:rPr>
        <w:t xml:space="preserve"> </w:t>
      </w:r>
      <w:r>
        <w:t>as soon as they are</w:t>
      </w:r>
      <w:r>
        <w:rPr>
          <w:spacing w:val="-7"/>
        </w:rPr>
        <w:t xml:space="preserve"> </w:t>
      </w:r>
      <w:r>
        <w:t>available.</w:t>
      </w:r>
    </w:p>
    <w:p w:rsidR="0025500F" w:rsidRDefault="0025500F" w:rsidP="0025500F">
      <w:pPr>
        <w:pStyle w:val="BodyText"/>
        <w:spacing w:before="10"/>
        <w:rPr>
          <w:sz w:val="23"/>
        </w:rPr>
      </w:pPr>
    </w:p>
    <w:p w:rsidR="0025500F" w:rsidRDefault="0025500F" w:rsidP="0025500F">
      <w:pPr>
        <w:pStyle w:val="BodyText"/>
        <w:spacing w:after="11"/>
        <w:ind w:left="491"/>
      </w:pPr>
      <w:r>
        <w:t>Sincerely,</w:t>
      </w:r>
    </w:p>
    <w:p w:rsidR="0025500F" w:rsidRDefault="0025500F" w:rsidP="0025500F">
      <w:pPr>
        <w:pStyle w:val="BodyText"/>
        <w:ind w:left="541"/>
        <w:rPr>
          <w:sz w:val="20"/>
        </w:rPr>
      </w:pPr>
      <w:r>
        <w:rPr>
          <w:noProof/>
          <w:sz w:val="20"/>
        </w:rPr>
        <w:drawing>
          <wp:inline distT="0" distB="0" distL="0" distR="0" wp14:anchorId="145A4E05" wp14:editId="676FC000">
            <wp:extent cx="1762137" cy="416051"/>
            <wp:effectExtent l="0" t="0" r="0" b="3175"/>
            <wp:docPr id="3" name="image2.jpeg" descr="Margo Michales signature" title="Margo Michale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37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00F" w:rsidRDefault="0025500F" w:rsidP="0025500F">
      <w:pPr>
        <w:pStyle w:val="BodyText"/>
        <w:spacing w:before="9"/>
        <w:rPr>
          <w:sz w:val="22"/>
        </w:rPr>
      </w:pPr>
    </w:p>
    <w:p w:rsidR="0025500F" w:rsidRDefault="0025500F" w:rsidP="0025500F">
      <w:pPr>
        <w:pStyle w:val="BodyText"/>
        <w:spacing w:line="272" w:lineRule="exact"/>
        <w:ind w:left="491"/>
      </w:pPr>
      <w:r>
        <w:t>Margo Michaels, MPH</w:t>
      </w:r>
    </w:p>
    <w:p w:rsidR="0025500F" w:rsidRDefault="0025500F" w:rsidP="0025500F">
      <w:pPr>
        <w:pStyle w:val="BodyText"/>
        <w:spacing w:line="272" w:lineRule="exact"/>
        <w:ind w:left="491"/>
      </w:pPr>
      <w:r>
        <w:t>Director, Determination of Need</w:t>
      </w:r>
    </w:p>
    <w:p w:rsidR="0025500F" w:rsidRDefault="0025500F" w:rsidP="0025500F">
      <w:pPr>
        <w:pStyle w:val="BodyText"/>
        <w:spacing w:before="4"/>
        <w:rPr>
          <w:sz w:val="23"/>
        </w:rPr>
      </w:pPr>
    </w:p>
    <w:p w:rsidR="0025500F" w:rsidRDefault="0025500F" w:rsidP="0025500F">
      <w:pPr>
        <w:pStyle w:val="BodyText"/>
        <w:tabs>
          <w:tab w:val="left" w:pos="851"/>
        </w:tabs>
        <w:spacing w:line="235" w:lineRule="auto"/>
        <w:ind w:left="850" w:right="1479" w:hanging="360"/>
      </w:pPr>
      <w:r>
        <w:t>c:</w:t>
      </w:r>
      <w:r>
        <w:tab/>
      </w:r>
      <w:r>
        <w:tab/>
        <w:t>Sherman</w:t>
      </w:r>
      <w:r>
        <w:rPr>
          <w:spacing w:val="-31"/>
        </w:rPr>
        <w:t xml:space="preserve"> </w:t>
      </w:r>
      <w:proofErr w:type="spellStart"/>
      <w:r>
        <w:t>Lohnes</w:t>
      </w:r>
      <w:proofErr w:type="spellEnd"/>
      <w:r>
        <w:t>,</w:t>
      </w:r>
      <w:r>
        <w:rPr>
          <w:spacing w:val="-29"/>
        </w:rPr>
        <w:t xml:space="preserve"> </w:t>
      </w:r>
      <w:r>
        <w:t>Division</w:t>
      </w:r>
      <w:r>
        <w:rPr>
          <w:spacing w:val="-31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Health</w:t>
      </w:r>
      <w:r>
        <w:rPr>
          <w:spacing w:val="-31"/>
        </w:rPr>
        <w:t xml:space="preserve"> </w:t>
      </w:r>
      <w:r>
        <w:t>Care</w:t>
      </w:r>
      <w:r>
        <w:rPr>
          <w:spacing w:val="-30"/>
        </w:rPr>
        <w:t xml:space="preserve"> </w:t>
      </w:r>
      <w:r>
        <w:t>Facility</w:t>
      </w:r>
      <w:r>
        <w:rPr>
          <w:spacing w:val="-32"/>
        </w:rPr>
        <w:t xml:space="preserve"> </w:t>
      </w:r>
      <w:r>
        <w:t>Licensure</w:t>
      </w:r>
      <w:r>
        <w:rPr>
          <w:spacing w:val="-30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Certification,</w:t>
      </w:r>
      <w:r>
        <w:rPr>
          <w:spacing w:val="-30"/>
        </w:rPr>
        <w:t xml:space="preserve"> </w:t>
      </w:r>
      <w:r>
        <w:t>DPH Rebecca Rodman, Senior Deputy General Counsel,</w:t>
      </w:r>
      <w:r>
        <w:rPr>
          <w:spacing w:val="-23"/>
        </w:rPr>
        <w:t xml:space="preserve"> </w:t>
      </w:r>
      <w:r>
        <w:t>DPH</w:t>
      </w:r>
    </w:p>
    <w:p w:rsidR="0025500F" w:rsidRDefault="0025500F" w:rsidP="0025500F">
      <w:pPr>
        <w:pStyle w:val="BodyText"/>
        <w:spacing w:line="271" w:lineRule="exact"/>
        <w:ind w:left="850"/>
      </w:pPr>
      <w:r>
        <w:t>Elizabeth Kelley, Director Bureau of Safety and Quality, DPH</w:t>
      </w:r>
    </w:p>
    <w:p w:rsidR="00F74357" w:rsidRDefault="00F74357"/>
    <w:sectPr w:rsidR="00F74357">
      <w:type w:val="continuous"/>
      <w:pgSz w:w="12240" w:h="15840"/>
      <w:pgMar w:top="56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0F"/>
    <w:rsid w:val="001D5333"/>
    <w:rsid w:val="00211043"/>
    <w:rsid w:val="0025500F"/>
    <w:rsid w:val="00782D8C"/>
    <w:rsid w:val="00A81356"/>
    <w:rsid w:val="00F7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C93A6"/>
  <w15:chartTrackingRefBased/>
  <w15:docId w15:val="{6788C25F-8984-4141-8FD9-118B511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255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5500F"/>
    <w:pPr>
      <w:ind w:left="2501" w:right="1693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5500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5500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50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mass.gov/dp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6</cp:revision>
  <dcterms:created xsi:type="dcterms:W3CDTF">2021-10-18T19:02:00Z</dcterms:created>
  <dcterms:modified xsi:type="dcterms:W3CDTF">2021-10-18T19:24:00Z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