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6B5" w14:textId="1E641F55" w:rsidR="00F00327" w:rsidRPr="009910BA" w:rsidRDefault="00F00327" w:rsidP="001A26E9">
      <w:pPr>
        <w:snapToGrid w:val="0"/>
        <w:spacing w:after="0" w:line="240" w:lineRule="auto"/>
        <w:contextualSpacing/>
        <w:jc w:val="center"/>
        <w:textAlignment w:val="baseline"/>
        <w:rPr>
          <w:rFonts w:eastAsiaTheme="minorEastAsia"/>
          <w:b/>
          <w:bCs/>
          <w:sz w:val="22"/>
          <w:szCs w:val="22"/>
        </w:rPr>
      </w:pPr>
      <w:r w:rsidRPr="289FADF1">
        <w:rPr>
          <w:rFonts w:eastAsiaTheme="minorEastAsia"/>
          <w:b/>
          <w:bCs/>
          <w:sz w:val="22"/>
          <w:szCs w:val="22"/>
        </w:rPr>
        <w:t>Opioid Recovery and Remediation Fund (ORRF) Advisory Council </w:t>
      </w:r>
    </w:p>
    <w:p w14:paraId="154754B7" w14:textId="77777777" w:rsidR="00F00327" w:rsidRPr="009910BA" w:rsidRDefault="00F00327" w:rsidP="001A26E9">
      <w:pPr>
        <w:snapToGrid w:val="0"/>
        <w:spacing w:after="0" w:line="240" w:lineRule="auto"/>
        <w:contextualSpacing/>
        <w:jc w:val="center"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  <w:u w:val="single"/>
        </w:rPr>
        <w:t>Meeting Minutes</w:t>
      </w:r>
      <w:r w:rsidRPr="289FADF1">
        <w:rPr>
          <w:rFonts w:eastAsiaTheme="minorEastAsia"/>
          <w:sz w:val="22"/>
          <w:szCs w:val="22"/>
        </w:rPr>
        <w:t> </w:t>
      </w:r>
    </w:p>
    <w:p w14:paraId="6C89A47A" w14:textId="0FA11A6B" w:rsidR="00F00327" w:rsidRPr="009910BA" w:rsidRDefault="005B0500" w:rsidP="001A26E9">
      <w:pPr>
        <w:snapToGrid w:val="0"/>
        <w:spacing w:after="0" w:line="240" w:lineRule="auto"/>
        <w:contextualSpacing/>
        <w:jc w:val="center"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</w:rPr>
        <w:t xml:space="preserve">December </w:t>
      </w:r>
      <w:r w:rsidR="009D30CC" w:rsidRPr="289FADF1">
        <w:rPr>
          <w:rFonts w:eastAsiaTheme="minorEastAsia"/>
          <w:sz w:val="22"/>
          <w:szCs w:val="22"/>
        </w:rPr>
        <w:t>10</w:t>
      </w:r>
      <w:r w:rsidRPr="289FADF1">
        <w:rPr>
          <w:rFonts w:eastAsiaTheme="minorEastAsia"/>
          <w:sz w:val="22"/>
          <w:szCs w:val="22"/>
        </w:rPr>
        <w:t>,</w:t>
      </w:r>
      <w:r w:rsidR="009E3075" w:rsidRPr="289FADF1">
        <w:rPr>
          <w:rFonts w:eastAsiaTheme="minorEastAsia"/>
          <w:sz w:val="22"/>
          <w:szCs w:val="22"/>
        </w:rPr>
        <w:t xml:space="preserve"> 2025</w:t>
      </w:r>
    </w:p>
    <w:p w14:paraId="4CAA0E8C" w14:textId="22278F74" w:rsidR="00F00327" w:rsidRPr="009910BA" w:rsidRDefault="00F00327" w:rsidP="001A26E9">
      <w:pPr>
        <w:snapToGrid w:val="0"/>
        <w:spacing w:after="0" w:line="240" w:lineRule="auto"/>
        <w:contextualSpacing/>
        <w:jc w:val="center"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</w:rPr>
        <w:t>1</w:t>
      </w:r>
      <w:r w:rsidR="009D30CC" w:rsidRPr="289FADF1">
        <w:rPr>
          <w:rFonts w:eastAsiaTheme="minorEastAsia"/>
          <w:sz w:val="22"/>
          <w:szCs w:val="22"/>
        </w:rPr>
        <w:t>2</w:t>
      </w:r>
      <w:r w:rsidRPr="289FADF1">
        <w:rPr>
          <w:rFonts w:eastAsiaTheme="minorEastAsia"/>
          <w:sz w:val="22"/>
          <w:szCs w:val="22"/>
        </w:rPr>
        <w:t>:30 to 2:00 pm </w:t>
      </w:r>
    </w:p>
    <w:p w14:paraId="32FCE8C0" w14:textId="77777777" w:rsidR="00F00327" w:rsidRPr="009910BA" w:rsidRDefault="00F00327" w:rsidP="001A26E9">
      <w:pPr>
        <w:snapToGrid w:val="0"/>
        <w:spacing w:after="0" w:line="240" w:lineRule="auto"/>
        <w:contextualSpacing/>
        <w:jc w:val="center"/>
        <w:textAlignment w:val="baseline"/>
        <w:rPr>
          <w:rFonts w:eastAsiaTheme="minorEastAsia"/>
          <w:sz w:val="22"/>
          <w:szCs w:val="22"/>
        </w:rPr>
      </w:pPr>
      <w:r>
        <w:rPr>
          <w:noProof/>
        </w:rPr>
        <w:drawing>
          <wp:inline distT="0" distB="0" distL="0" distR="0" wp14:anchorId="03FD9873" wp14:editId="3C1ABC0A">
            <wp:extent cx="5943600" cy="41275"/>
            <wp:effectExtent l="0" t="0" r="0" b="0"/>
            <wp:docPr id="40982269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89FADF1">
        <w:rPr>
          <w:rFonts w:eastAsiaTheme="minorEastAsia"/>
          <w:sz w:val="22"/>
          <w:szCs w:val="22"/>
        </w:rPr>
        <w:t> </w:t>
      </w:r>
    </w:p>
    <w:p w14:paraId="2B79EA10" w14:textId="57307421" w:rsidR="00F00327" w:rsidRPr="009910BA" w:rsidRDefault="00F00327" w:rsidP="001A26E9">
      <w:pPr>
        <w:snapToGrid w:val="0"/>
        <w:spacing w:after="0" w:line="240" w:lineRule="auto"/>
        <w:ind w:left="735"/>
        <w:contextualSpacing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  <w:u w:val="single"/>
        </w:rPr>
        <w:t>Date of meeting:</w:t>
      </w:r>
      <w:r w:rsidRPr="289FADF1">
        <w:rPr>
          <w:rFonts w:eastAsiaTheme="minorEastAsia"/>
          <w:sz w:val="22"/>
          <w:szCs w:val="22"/>
        </w:rPr>
        <w:t xml:space="preserve"> </w:t>
      </w:r>
      <w:r w:rsidR="005B0500" w:rsidRPr="289FADF1">
        <w:rPr>
          <w:rFonts w:eastAsiaTheme="minorEastAsia"/>
          <w:sz w:val="22"/>
          <w:szCs w:val="22"/>
        </w:rPr>
        <w:t xml:space="preserve">December </w:t>
      </w:r>
      <w:r w:rsidR="07605A8A" w:rsidRPr="289FADF1">
        <w:rPr>
          <w:rFonts w:eastAsiaTheme="minorEastAsia"/>
          <w:sz w:val="22"/>
          <w:szCs w:val="22"/>
        </w:rPr>
        <w:t>10</w:t>
      </w:r>
      <w:r w:rsidR="00303132" w:rsidRPr="289FADF1">
        <w:rPr>
          <w:rFonts w:eastAsiaTheme="minorEastAsia"/>
          <w:sz w:val="22"/>
          <w:szCs w:val="22"/>
        </w:rPr>
        <w:t>, 2025</w:t>
      </w:r>
      <w:r w:rsidRPr="289FADF1">
        <w:rPr>
          <w:rFonts w:eastAsiaTheme="minorEastAsia"/>
          <w:sz w:val="22"/>
          <w:szCs w:val="22"/>
        </w:rPr>
        <w:t> </w:t>
      </w:r>
    </w:p>
    <w:p w14:paraId="7F153942" w14:textId="74D24A98" w:rsidR="00F00327" w:rsidRPr="009910BA" w:rsidRDefault="00F00327" w:rsidP="001A26E9">
      <w:pPr>
        <w:snapToGrid w:val="0"/>
        <w:spacing w:after="0" w:line="240" w:lineRule="auto"/>
        <w:ind w:left="735"/>
        <w:contextualSpacing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  <w:u w:val="single"/>
        </w:rPr>
        <w:t>Start time:</w:t>
      </w:r>
      <w:r w:rsidRPr="289FADF1">
        <w:rPr>
          <w:rFonts w:eastAsiaTheme="minorEastAsia"/>
          <w:sz w:val="22"/>
          <w:szCs w:val="22"/>
        </w:rPr>
        <w:t xml:space="preserve"> </w:t>
      </w:r>
      <w:r w:rsidR="00303132" w:rsidRPr="289FADF1">
        <w:rPr>
          <w:rFonts w:eastAsiaTheme="minorEastAsia"/>
          <w:sz w:val="22"/>
          <w:szCs w:val="22"/>
        </w:rPr>
        <w:t>1</w:t>
      </w:r>
      <w:r w:rsidR="009D30CC" w:rsidRPr="289FADF1">
        <w:rPr>
          <w:rFonts w:eastAsiaTheme="minorEastAsia"/>
          <w:sz w:val="22"/>
          <w:szCs w:val="22"/>
        </w:rPr>
        <w:t>2:</w:t>
      </w:r>
      <w:r w:rsidR="00303132" w:rsidRPr="289FADF1">
        <w:rPr>
          <w:rFonts w:eastAsiaTheme="minorEastAsia"/>
          <w:sz w:val="22"/>
          <w:szCs w:val="22"/>
        </w:rPr>
        <w:t>3</w:t>
      </w:r>
      <w:r w:rsidR="39D6EC5A" w:rsidRPr="289FADF1">
        <w:rPr>
          <w:rFonts w:eastAsiaTheme="minorEastAsia"/>
          <w:sz w:val="22"/>
          <w:szCs w:val="22"/>
        </w:rPr>
        <w:t>5</w:t>
      </w:r>
      <w:r w:rsidR="00303132" w:rsidRPr="289FADF1">
        <w:rPr>
          <w:rFonts w:eastAsiaTheme="minorEastAsia"/>
          <w:sz w:val="22"/>
          <w:szCs w:val="22"/>
        </w:rPr>
        <w:t xml:space="preserve"> </w:t>
      </w:r>
      <w:r w:rsidR="3B3D71C0" w:rsidRPr="289FADF1">
        <w:rPr>
          <w:rFonts w:eastAsiaTheme="minorEastAsia"/>
          <w:sz w:val="22"/>
          <w:szCs w:val="22"/>
        </w:rPr>
        <w:t>P</w:t>
      </w:r>
      <w:r w:rsidR="00303132" w:rsidRPr="289FADF1">
        <w:rPr>
          <w:rFonts w:eastAsiaTheme="minorEastAsia"/>
          <w:sz w:val="22"/>
          <w:szCs w:val="22"/>
        </w:rPr>
        <w:t>M</w:t>
      </w:r>
    </w:p>
    <w:p w14:paraId="6C4283D2" w14:textId="55590041" w:rsidR="00F00327" w:rsidRPr="009910BA" w:rsidRDefault="00F00327" w:rsidP="001A26E9">
      <w:pPr>
        <w:snapToGrid w:val="0"/>
        <w:spacing w:after="0" w:line="240" w:lineRule="auto"/>
        <w:ind w:left="735"/>
        <w:contextualSpacing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  <w:u w:val="single"/>
        </w:rPr>
        <w:t>End time:</w:t>
      </w:r>
      <w:r w:rsidRPr="289FADF1">
        <w:rPr>
          <w:rFonts w:eastAsiaTheme="minorEastAsia"/>
          <w:sz w:val="22"/>
          <w:szCs w:val="22"/>
        </w:rPr>
        <w:t xml:space="preserve">   </w:t>
      </w:r>
      <w:r w:rsidR="005A52FE">
        <w:rPr>
          <w:rFonts w:eastAsiaTheme="minorEastAsia"/>
          <w:sz w:val="22"/>
          <w:szCs w:val="22"/>
        </w:rPr>
        <w:t>1:37</w:t>
      </w:r>
      <w:r w:rsidR="007940B8" w:rsidRPr="289FADF1">
        <w:rPr>
          <w:rFonts w:eastAsiaTheme="minorEastAsia"/>
          <w:sz w:val="22"/>
          <w:szCs w:val="22"/>
        </w:rPr>
        <w:t xml:space="preserve"> </w:t>
      </w:r>
      <w:r w:rsidR="1F0DE745" w:rsidRPr="289FADF1">
        <w:rPr>
          <w:rFonts w:eastAsiaTheme="minorEastAsia"/>
          <w:sz w:val="22"/>
          <w:szCs w:val="22"/>
        </w:rPr>
        <w:t>P</w:t>
      </w:r>
      <w:r w:rsidR="00303132" w:rsidRPr="289FADF1">
        <w:rPr>
          <w:rFonts w:eastAsiaTheme="minorEastAsia"/>
          <w:sz w:val="22"/>
          <w:szCs w:val="22"/>
        </w:rPr>
        <w:t>M</w:t>
      </w:r>
    </w:p>
    <w:p w14:paraId="4EC81064" w14:textId="6F4B004E" w:rsidR="00F00327" w:rsidRPr="009910BA" w:rsidRDefault="00F00327" w:rsidP="001A26E9">
      <w:pPr>
        <w:snapToGrid w:val="0"/>
        <w:spacing w:after="0" w:line="240" w:lineRule="auto"/>
        <w:ind w:left="735"/>
        <w:contextualSpacing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  <w:u w:val="single"/>
        </w:rPr>
        <w:t>Location:</w:t>
      </w:r>
      <w:r w:rsidRPr="289FADF1">
        <w:rPr>
          <w:rFonts w:eastAsiaTheme="minorEastAsia"/>
          <w:sz w:val="22"/>
          <w:szCs w:val="22"/>
        </w:rPr>
        <w:t xml:space="preserve"> </w:t>
      </w:r>
      <w:r w:rsidR="00CB7EB4" w:rsidRPr="289FADF1">
        <w:rPr>
          <w:rFonts w:eastAsiaTheme="minorEastAsia"/>
          <w:sz w:val="22"/>
          <w:szCs w:val="22"/>
        </w:rPr>
        <w:t>Virtually</w:t>
      </w:r>
      <w:r w:rsidRPr="289FADF1">
        <w:rPr>
          <w:rFonts w:eastAsiaTheme="minorEastAsia"/>
          <w:sz w:val="22"/>
          <w:szCs w:val="22"/>
        </w:rPr>
        <w:t xml:space="preserve"> on Zoom</w:t>
      </w:r>
    </w:p>
    <w:p w14:paraId="6C29A4F7" w14:textId="77777777" w:rsidR="00F00327" w:rsidRPr="009910BA" w:rsidRDefault="00F00327" w:rsidP="001A26E9">
      <w:pPr>
        <w:snapToGrid w:val="0"/>
        <w:spacing w:after="0" w:line="240" w:lineRule="auto"/>
        <w:ind w:left="735"/>
        <w:contextualSpacing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</w:rPr>
        <w:t> </w:t>
      </w:r>
    </w:p>
    <w:tbl>
      <w:tblPr>
        <w:tblW w:w="8823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5921"/>
        <w:gridCol w:w="718"/>
        <w:gridCol w:w="749"/>
        <w:gridCol w:w="922"/>
      </w:tblGrid>
      <w:tr w:rsidR="005A52FE" w:rsidRPr="009910BA" w14:paraId="72669074" w14:textId="77777777" w:rsidTr="289FADF1">
        <w:trPr>
          <w:trHeight w:val="360"/>
        </w:trPr>
        <w:tc>
          <w:tcPr>
            <w:tcW w:w="64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14AA935D" w14:textId="77777777" w:rsidR="00F00327" w:rsidRPr="009910BA" w:rsidRDefault="00F0032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Members participating remotely or in person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6EE42588" w14:textId="77777777" w:rsidR="00F00327" w:rsidRPr="009910BA" w:rsidRDefault="00F0032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Vote 1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4180CEF0" w14:textId="77777777" w:rsidR="00F00327" w:rsidRPr="009910BA" w:rsidRDefault="00F0032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Vote 2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058FA2D6" w14:textId="77777777" w:rsidR="00F00327" w:rsidRPr="009910BA" w:rsidRDefault="00F0032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Vote 3</w:t>
            </w:r>
          </w:p>
        </w:tc>
      </w:tr>
      <w:tr w:rsidR="00F00327" w:rsidRPr="009910BA" w14:paraId="60F70DA7" w14:textId="77777777" w:rsidTr="289FADF1">
        <w:trPr>
          <w:trHeight w:val="43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C0B27E" w14:textId="77777777" w:rsidR="00F00327" w:rsidRPr="009910BA" w:rsidRDefault="00F00327" w:rsidP="001A26E9">
            <w:pPr>
              <w:snapToGrid w:val="0"/>
              <w:spacing w:after="0" w:line="240" w:lineRule="auto"/>
              <w:ind w:left="22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</w:t>
            </w:r>
            <w:r w:rsidRPr="289FADF1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8C6B74" w14:textId="6A499CA3" w:rsidR="00F00327" w:rsidRPr="009910BA" w:rsidRDefault="00F6488C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Joanne Marqusee</w:t>
            </w:r>
            <w:r w:rsidR="00F00327"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F00327" w:rsidRPr="289FADF1">
              <w:rPr>
                <w:rFonts w:eastAsiaTheme="minorEastAsia"/>
                <w:i/>
                <w:iCs/>
                <w:sz w:val="22"/>
                <w:szCs w:val="22"/>
              </w:rPr>
              <w:t xml:space="preserve">(non-voting chair designee) – </w:t>
            </w:r>
            <w:r w:rsidR="00F00327" w:rsidRPr="289FADF1">
              <w:rPr>
                <w:rFonts w:eastAsiaTheme="minorEastAsia"/>
                <w:sz w:val="22"/>
                <w:szCs w:val="22"/>
              </w:rPr>
              <w:t>Executive Office of Health and Human Services (EHS)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033F9F" w14:textId="77777777" w:rsidR="00F00327" w:rsidRPr="009910BA" w:rsidRDefault="00F0032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N/A 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AC819D" w14:textId="77777777" w:rsidR="00F00327" w:rsidRPr="009910BA" w:rsidRDefault="00F0032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N/A 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F54F7B" w14:textId="77777777" w:rsidR="00F00327" w:rsidRPr="009910BA" w:rsidRDefault="00F0032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N/A </w:t>
            </w:r>
          </w:p>
        </w:tc>
      </w:tr>
      <w:tr w:rsidR="000A5747" w:rsidRPr="009910BA" w14:paraId="069F66FC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D3B60F" w14:textId="77777777" w:rsidR="000A5747" w:rsidRPr="009910BA" w:rsidRDefault="000A5747" w:rsidP="001A26E9">
            <w:pPr>
              <w:snapToGrid w:val="0"/>
              <w:spacing w:after="0" w:line="240" w:lineRule="auto"/>
              <w:ind w:left="22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2</w:t>
            </w:r>
            <w:r w:rsidRPr="289FADF1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FC10A0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Charles Anderson, MD, MPH, MBA </w:t>
            </w:r>
            <w:r w:rsidRPr="289FADF1">
              <w:rPr>
                <w:rFonts w:eastAsiaTheme="minorEastAsia"/>
                <w:sz w:val="22"/>
                <w:szCs w:val="22"/>
              </w:rPr>
              <w:t>– The Dimock Center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16A649" w14:textId="5F2E62C5" w:rsidR="000A5747" w:rsidRPr="009910BA" w:rsidRDefault="006D5624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F633DC" w14:textId="076E1E50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2D2068B2"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3043A1" w14:textId="5BDCDF48" w:rsidR="000A5747" w:rsidRPr="009910BA" w:rsidRDefault="2D2068B2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CB7EB4" w:rsidRPr="009910BA" w14:paraId="35B16403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9C3AF6" w14:textId="3E35F8EB" w:rsidR="00CB7EB4" w:rsidRPr="009910BA" w:rsidRDefault="00CB7EB4" w:rsidP="001A26E9">
            <w:pPr>
              <w:snapToGrid w:val="0"/>
              <w:spacing w:after="0" w:line="240" w:lineRule="auto"/>
              <w:ind w:left="225"/>
              <w:contextualSpacing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EE501" w14:textId="41E14861" w:rsidR="00CB7EB4" w:rsidRPr="009910BA" w:rsidRDefault="00CB7EB4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Alex Ar</w:t>
            </w:r>
            <w:r w:rsidR="000713EB" w:rsidRPr="289FADF1">
              <w:rPr>
                <w:rFonts w:eastAsiaTheme="minorEastAsia"/>
                <w:b/>
                <w:bCs/>
                <w:sz w:val="22"/>
                <w:szCs w:val="22"/>
              </w:rPr>
              <w:t>r</w:t>
            </w: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iaga – </w:t>
            </w:r>
            <w:r w:rsidRPr="289FADF1">
              <w:rPr>
                <w:rFonts w:eastAsiaTheme="minorEastAsia"/>
                <w:sz w:val="22"/>
                <w:szCs w:val="22"/>
              </w:rPr>
              <w:t>Worcester Department of Health and Human Services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43818" w14:textId="312F10CD" w:rsidR="00CB7EB4" w:rsidRPr="009910BA" w:rsidRDefault="00CC753B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18DDAA" w14:textId="529FA1D4" w:rsidR="00CB7EB4" w:rsidRPr="009910BA" w:rsidRDefault="603F9C0B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FCA0CB" w14:textId="3CC16954" w:rsidR="00CB7EB4" w:rsidRPr="009910BA" w:rsidRDefault="603F9C0B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0A5747" w:rsidRPr="009910BA" w14:paraId="165DCD6E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E15169" w14:textId="02A7F6D0" w:rsidR="000A5747" w:rsidRPr="009910BA" w:rsidRDefault="0D5761BD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  4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D0947" w14:textId="3A5436C0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Marci Bailey </w:t>
            </w:r>
            <w:r w:rsidRPr="289FADF1">
              <w:rPr>
                <w:rFonts w:eastAsiaTheme="minorEastAsia"/>
                <w:sz w:val="22"/>
                <w:szCs w:val="22"/>
              </w:rPr>
              <w:t>– North Reading Substance Use Prevention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59C45B" w14:textId="6161B9D7" w:rsidR="000A5747" w:rsidRPr="009910BA" w:rsidRDefault="0070120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EAF8C" w14:textId="3803DF5F" w:rsidR="000A5747" w:rsidRPr="009910BA" w:rsidRDefault="2F149A94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17B8E" w14:textId="0BDAE188" w:rsidR="000A5747" w:rsidRPr="009910BA" w:rsidRDefault="2F149A94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0A5747" w:rsidRPr="009910BA" w14:paraId="36D7DCDD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96D6F9" w14:textId="64C71CBF" w:rsidR="000A5747" w:rsidRPr="009910BA" w:rsidRDefault="000A5747" w:rsidP="001A26E9">
            <w:pPr>
              <w:snapToGrid w:val="0"/>
              <w:spacing w:after="0" w:line="240" w:lineRule="auto"/>
              <w:ind w:left="22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C1F9E8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Michelle Clark </w:t>
            </w:r>
            <w:r w:rsidRPr="289FADF1">
              <w:rPr>
                <w:rFonts w:eastAsiaTheme="minorEastAsia"/>
                <w:sz w:val="22"/>
                <w:szCs w:val="22"/>
              </w:rPr>
              <w:t>– Boston Mayor's Office of Recovery Services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9CFF0B" w14:textId="13BA20B6" w:rsidR="000A5747" w:rsidRPr="009910BA" w:rsidRDefault="0099565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10097" w14:textId="6685B05E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00995657"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09884" w14:textId="31CC0694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00995657"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289FADF1" w14:paraId="32078622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1071B" w14:textId="77777777" w:rsidR="289FADF1" w:rsidRDefault="289FADF1" w:rsidP="001A26E9">
            <w:pPr>
              <w:snapToGrid w:val="0"/>
              <w:spacing w:after="0" w:line="240" w:lineRule="auto"/>
              <w:ind w:left="225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6</w:t>
            </w:r>
            <w:r w:rsidRPr="289FADF1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62D35" w14:textId="3E682E10" w:rsidR="59EE9ABD" w:rsidRDefault="59EE9ABD" w:rsidP="001A26E9">
            <w:pPr>
              <w:snapToGrid w:val="0"/>
              <w:spacing w:after="0" w:line="240" w:lineRule="auto"/>
              <w:ind w:left="105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Tess Curran </w:t>
            </w:r>
            <w:r w:rsidRPr="289FADF1">
              <w:rPr>
                <w:rFonts w:eastAsiaTheme="minorEastAsia"/>
                <w:sz w:val="22"/>
                <w:szCs w:val="22"/>
              </w:rPr>
              <w:t>– Fall River Health Department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E50CFA" w14:textId="0D8F478B" w:rsidR="59EE9ABD" w:rsidRDefault="59EE9ABD" w:rsidP="001A26E9">
            <w:pPr>
              <w:snapToGrid w:val="0"/>
              <w:spacing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673C93" w14:textId="50F18908" w:rsidR="59EE9ABD" w:rsidRDefault="59EE9ABD" w:rsidP="001A26E9">
            <w:pPr>
              <w:snapToGrid w:val="0"/>
              <w:spacing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57EB3" w14:textId="3677382B" w:rsidR="59EE9ABD" w:rsidRDefault="59EE9ABD" w:rsidP="001A26E9">
            <w:pPr>
              <w:snapToGrid w:val="0"/>
              <w:spacing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A5747" w:rsidRPr="009910BA" w14:paraId="08A6037B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BF4C0" w14:textId="77777777" w:rsidR="289FADF1" w:rsidRDefault="289FADF1" w:rsidP="001A26E9">
            <w:pPr>
              <w:snapToGrid w:val="0"/>
              <w:spacing w:after="0" w:line="240" w:lineRule="auto"/>
              <w:ind w:left="225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7</w:t>
            </w:r>
            <w:r w:rsidRPr="289FADF1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D561C7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Gabrielle Dean, LICSW</w:t>
            </w:r>
            <w:r w:rsidRPr="289FADF1">
              <w:rPr>
                <w:rFonts w:eastAsiaTheme="minorEastAsia"/>
                <w:sz w:val="22"/>
                <w:szCs w:val="22"/>
              </w:rPr>
              <w:t xml:space="preserve"> – Brookline Health Department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4ECE2" w14:textId="25DA36FD" w:rsidR="000A5747" w:rsidRPr="009910BA" w:rsidRDefault="008574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0488E" w14:textId="3F65F11C" w:rsidR="000A5747" w:rsidRPr="009910BA" w:rsidRDefault="0E24E8C0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C611A" w14:textId="38F1ACF7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03EDB71E"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0A5747" w:rsidRPr="009910BA" w14:paraId="46B90A5A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7F92AE" w14:textId="77777777" w:rsidR="289FADF1" w:rsidRDefault="289FADF1" w:rsidP="001A26E9">
            <w:pPr>
              <w:snapToGrid w:val="0"/>
              <w:spacing w:after="0" w:line="240" w:lineRule="auto"/>
              <w:ind w:left="225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8</w:t>
            </w:r>
            <w:r w:rsidRPr="289FADF1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83CB2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Lisa Golden</w:t>
            </w:r>
            <w:r w:rsidRPr="289FADF1">
              <w:rPr>
                <w:rFonts w:eastAsiaTheme="minorEastAsia"/>
                <w:sz w:val="22"/>
                <w:szCs w:val="22"/>
              </w:rPr>
              <w:t xml:space="preserve"> – City of Lowell Department of Health and Human Services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D447E" w14:textId="00632A9A" w:rsidR="000A5747" w:rsidRPr="009910BA" w:rsidRDefault="007A72DB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968B7" w14:textId="3663F140" w:rsidR="000A5747" w:rsidRPr="009910BA" w:rsidRDefault="2D4DF943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3379A" w14:textId="43A3E2F5" w:rsidR="000A5747" w:rsidRPr="009910BA" w:rsidRDefault="5F8F5EAB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0A5747" w:rsidRPr="009910BA" w14:paraId="086F05DF" w14:textId="77777777" w:rsidTr="289FADF1">
        <w:trPr>
          <w:trHeight w:val="360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BAD479" w14:textId="7777777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12E693" w14:textId="6980A62D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Stephanie Tonelli </w:t>
            </w:r>
            <w:r w:rsidRPr="289FADF1">
              <w:rPr>
                <w:rFonts w:eastAsiaTheme="minorEastAsia"/>
                <w:sz w:val="22"/>
                <w:szCs w:val="22"/>
              </w:rPr>
              <w:t>– Springfield Police Dept.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49442" w14:textId="28121F17" w:rsidR="000A5747" w:rsidRPr="009910BA" w:rsidRDefault="0099565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586F62" w14:textId="045CDB2F" w:rsidR="000A5747" w:rsidRPr="009910BA" w:rsidRDefault="0099565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5E06A" w14:textId="36EBDEAB" w:rsidR="000A5747" w:rsidRPr="009910BA" w:rsidRDefault="0099565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  <w:r w:rsidR="000A5747" w:rsidRPr="289FADF1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0A5747" w:rsidRPr="009910BA" w14:paraId="2FA3CE79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97CA8" w14:textId="6CD8D789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E26C8E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Vaira Harik </w:t>
            </w:r>
            <w:r w:rsidRPr="289FADF1">
              <w:rPr>
                <w:rFonts w:eastAsiaTheme="minorEastAsia"/>
                <w:sz w:val="22"/>
                <w:szCs w:val="22"/>
              </w:rPr>
              <w:t>– Barnstable County Department of Human Services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B5481" w14:textId="6A8EF286" w:rsidR="000A5747" w:rsidRPr="009910BA" w:rsidRDefault="2359B882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95DFAA" w14:textId="345645BA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2359B882"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2278B" w14:textId="01EC09B7" w:rsidR="000A5747" w:rsidRPr="009910BA" w:rsidRDefault="2359B882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  <w:r w:rsidR="000A5747" w:rsidRPr="289FADF1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0A5747" w:rsidRPr="009910BA" w14:paraId="434937A1" w14:textId="77777777" w:rsidTr="289FADF1">
        <w:trPr>
          <w:trHeight w:val="360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1EB3F" w14:textId="7763DA2D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0D99A" w14:textId="64C3AD18" w:rsidR="000A5747" w:rsidRPr="009910BA" w:rsidRDefault="000A5747" w:rsidP="001A26E9">
            <w:pPr>
              <w:snapToGrid w:val="0"/>
              <w:spacing w:line="240" w:lineRule="auto"/>
              <w:ind w:left="97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Erika Hensel </w:t>
            </w:r>
            <w:r w:rsidRPr="289FADF1">
              <w:rPr>
                <w:rFonts w:eastAsiaTheme="minorEastAsia"/>
                <w:sz w:val="22"/>
                <w:szCs w:val="22"/>
              </w:rPr>
              <w:t>– Massachusetts Attorney General’s Office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B6F79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12F195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8239D4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00F88787" w14:textId="77777777" w:rsidTr="289FADF1">
        <w:trPr>
          <w:trHeight w:val="360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C798E9" w14:textId="4CB5E982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92D8D" w14:textId="51BFF6F1" w:rsidR="000A5747" w:rsidRPr="009910BA" w:rsidRDefault="000A5747" w:rsidP="001A26E9">
            <w:pPr>
              <w:snapToGrid w:val="0"/>
              <w:spacing w:line="240" w:lineRule="auto"/>
              <w:ind w:left="97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Adrian Madaro</w:t>
            </w:r>
            <w:r w:rsidRPr="289FADF1">
              <w:rPr>
                <w:rFonts w:eastAsiaTheme="minorEastAsia"/>
                <w:sz w:val="22"/>
                <w:szCs w:val="22"/>
              </w:rPr>
              <w:t xml:space="preserve"> – Massachusetts House of Representatives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453950" w14:textId="22C18BC9" w:rsidR="000A5747" w:rsidRPr="009910BA" w:rsidRDefault="576E8DF1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  <w:r w:rsidR="000A5747" w:rsidRPr="289FADF1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B489A8" w14:textId="48C44AB0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25927CD6"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11B278" w14:textId="692948CA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25927CD6"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A5747" w:rsidRPr="009910BA" w14:paraId="39A9A9CA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38D9B" w14:textId="79CBEF1F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B3A38" w14:textId="77777777" w:rsidR="000A5747" w:rsidRPr="009910BA" w:rsidRDefault="000A5747" w:rsidP="001A26E9">
            <w:pPr>
              <w:snapToGrid w:val="0"/>
              <w:spacing w:after="0" w:line="240" w:lineRule="auto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 Candice McClory </w:t>
            </w:r>
            <w:r w:rsidRPr="289FADF1">
              <w:rPr>
                <w:rFonts w:eastAsiaTheme="minorEastAsia"/>
                <w:sz w:val="22"/>
                <w:szCs w:val="22"/>
              </w:rPr>
              <w:t>– Lynn Department of Public Health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EBA9AC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28547A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43A48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43041BA1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9F3265" w14:textId="12210D30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BE8B8D" w14:textId="70CDA6CF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John McGahan </w:t>
            </w:r>
            <w:r w:rsidRPr="289FADF1">
              <w:rPr>
                <w:rFonts w:eastAsiaTheme="minorEastAsia"/>
                <w:sz w:val="22"/>
                <w:szCs w:val="22"/>
              </w:rPr>
              <w:t>– Gavin Foundation</w:t>
            </w:r>
            <w:r w:rsidR="00482BFD" w:rsidRPr="289FADF1">
              <w:rPr>
                <w:rFonts w:eastAsiaTheme="minorEastAsia"/>
                <w:sz w:val="22"/>
                <w:szCs w:val="22"/>
              </w:rPr>
              <w:t>, retired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CE086B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E0DC2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BFC4A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3EB9E247" w14:textId="77777777" w:rsidTr="289FADF1">
        <w:trPr>
          <w:trHeight w:val="360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DA6127" w14:textId="1903A855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6ADD18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Carla B. Monteiro, MSW, LICSW</w:t>
            </w:r>
            <w:r w:rsidRPr="289FADF1">
              <w:rPr>
                <w:rFonts w:eastAsiaTheme="minorEastAsia"/>
                <w:sz w:val="22"/>
                <w:szCs w:val="22"/>
              </w:rPr>
              <w:t xml:space="preserve"> – </w:t>
            </w:r>
            <w:r w:rsidRPr="289FADF1">
              <w:rPr>
                <w:rFonts w:eastAsiaTheme="minorEastAsia"/>
                <w:color w:val="000000" w:themeColor="text1"/>
                <w:sz w:val="22"/>
                <w:szCs w:val="22"/>
              </w:rPr>
              <w:t>Grayken Center for Addiction at Boston Medical Center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D4B5E0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56B800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053CB2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0A8A42A1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E5141" w14:textId="7B77A9C1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AA89A" w14:textId="5E63E779" w:rsidR="000A5747" w:rsidRPr="009910BA" w:rsidRDefault="2EF8D99F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Patrick </w:t>
            </w:r>
            <w:r w:rsidR="000A5747" w:rsidRPr="289FADF1">
              <w:rPr>
                <w:rFonts w:eastAsiaTheme="minorEastAsia"/>
                <w:b/>
                <w:bCs/>
                <w:sz w:val="22"/>
                <w:szCs w:val="22"/>
              </w:rPr>
              <w:t>O’Connor</w:t>
            </w:r>
            <w:r w:rsidR="000A5747" w:rsidRPr="289FADF1">
              <w:rPr>
                <w:rFonts w:eastAsiaTheme="minorEastAsia"/>
                <w:sz w:val="22"/>
                <w:szCs w:val="22"/>
              </w:rPr>
              <w:t> – Massachusetts Senate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2CD2C" w14:textId="3452EE1A" w:rsidR="000A5747" w:rsidRPr="009910BA" w:rsidRDefault="000A5747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</w:t>
            </w:r>
            <w:r w:rsidR="002C37C4"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5F7C9" w14:textId="68F8AD31" w:rsidR="000A5747" w:rsidRPr="009910BA" w:rsidRDefault="002C37C4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6FBBF3" w14:textId="4F18D592" w:rsidR="000A5747" w:rsidRPr="009910BA" w:rsidRDefault="002C37C4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A5747" w:rsidRPr="009910BA" w14:paraId="09E766AC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46A84" w14:textId="3C5D79B4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0D87C2" w14:textId="1BD9B623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Taylor McAndrew </w:t>
            </w:r>
            <w:r w:rsidRPr="289FADF1">
              <w:rPr>
                <w:rFonts w:eastAsiaTheme="minorEastAsia"/>
                <w:sz w:val="22"/>
                <w:szCs w:val="22"/>
              </w:rPr>
              <w:t>– Northampton Health Department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5DD29C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6393F5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45EF88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12B1D7EE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FEDCC" w14:textId="7EDFEFCE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32569A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Andy Ottoson</w:t>
            </w:r>
            <w:r w:rsidRPr="289FADF1">
              <w:rPr>
                <w:rFonts w:eastAsiaTheme="minorEastAsia"/>
                <w:sz w:val="22"/>
                <w:szCs w:val="22"/>
              </w:rPr>
              <w:t xml:space="preserve"> – Berkshire Regional Planning Commission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D7E78D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5BB149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D34327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008DFED8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A4D3CA" w14:textId="6912CA66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F85DD1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Alyssa Peterkin, MD </w:t>
            </w:r>
            <w:r w:rsidRPr="289FADF1">
              <w:rPr>
                <w:rFonts w:eastAsiaTheme="minorEastAsia"/>
                <w:sz w:val="22"/>
                <w:szCs w:val="22"/>
              </w:rPr>
              <w:t>– Grayken Center for Addiction at Boston Medical Center came late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33C9AE" w14:textId="3A12E55D" w:rsidR="000A5747" w:rsidRPr="009910BA" w:rsidRDefault="5D6B6D76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CCFF3E" w14:textId="2BB0BC91" w:rsidR="000A5747" w:rsidRPr="009910BA" w:rsidRDefault="5D6B6D76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6897A3" w14:textId="3174A638" w:rsidR="000A5747" w:rsidRPr="009910BA" w:rsidRDefault="00EA53EB" w:rsidP="001A26E9">
            <w:pPr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  <w:r w:rsidR="000A5747" w:rsidRPr="289FADF1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0A5747" w:rsidRPr="009910BA" w14:paraId="35E7CA12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C3543E" w14:textId="77777777" w:rsidR="289FADF1" w:rsidRDefault="289FADF1" w:rsidP="001A26E9">
            <w:pPr>
              <w:snapToGrid w:val="0"/>
              <w:spacing w:after="0" w:line="240" w:lineRule="auto"/>
              <w:ind w:left="165"/>
              <w:contextualSpacing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A62511" w14:textId="77777777" w:rsidR="000A5747" w:rsidRPr="009910BA" w:rsidRDefault="000A5747" w:rsidP="001A26E9">
            <w:pPr>
              <w:snapToGrid w:val="0"/>
              <w:spacing w:after="0" w:line="240" w:lineRule="auto"/>
              <w:ind w:left="105"/>
              <w:contextualSpacing/>
              <w:textAlignment w:val="baseline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David Rosenbloom, PhD </w:t>
            </w:r>
            <w:r w:rsidRPr="289FADF1">
              <w:rPr>
                <w:rFonts w:eastAsiaTheme="minorEastAsia"/>
                <w:sz w:val="22"/>
                <w:szCs w:val="22"/>
              </w:rPr>
              <w:t>– Boston University School of Public Health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048736" w14:textId="25DA36FD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805E98" w14:textId="3F65F11C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498491" w14:textId="38F1ACF7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 xml:space="preserve"> x</w:t>
            </w:r>
          </w:p>
        </w:tc>
      </w:tr>
      <w:tr w:rsidR="000A5747" w:rsidRPr="009910BA" w14:paraId="6A2603B5" w14:textId="77777777" w:rsidTr="289FADF1">
        <w:trPr>
          <w:trHeight w:val="345"/>
        </w:trPr>
        <w:tc>
          <w:tcPr>
            <w:tcW w:w="5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51C07" w14:textId="3C3F52A2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 21</w:t>
            </w:r>
          </w:p>
        </w:tc>
        <w:tc>
          <w:tcPr>
            <w:tcW w:w="5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3462C4" w14:textId="77777777" w:rsidR="289FADF1" w:rsidRDefault="289FADF1" w:rsidP="001A26E9">
            <w:pPr>
              <w:snapToGrid w:val="0"/>
              <w:spacing w:after="0" w:line="240" w:lineRule="auto"/>
              <w:contextualSpacing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b/>
                <w:bCs/>
                <w:sz w:val="22"/>
                <w:szCs w:val="22"/>
              </w:rPr>
              <w:t xml:space="preserve"> LaToya Whiteside </w:t>
            </w:r>
            <w:r w:rsidRPr="289FADF1">
              <w:rPr>
                <w:rFonts w:eastAsiaTheme="minorEastAsia"/>
                <w:sz w:val="22"/>
                <w:szCs w:val="22"/>
              </w:rPr>
              <w:t>– Prisoners’ Legal Services </w:t>
            </w:r>
          </w:p>
        </w:tc>
        <w:tc>
          <w:tcPr>
            <w:tcW w:w="7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0556F6" w14:textId="0A4A15CE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7DC174" w14:textId="1293EF05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470609" w14:textId="069FF188" w:rsidR="289FADF1" w:rsidRDefault="289FADF1" w:rsidP="001A26E9">
            <w:pPr>
              <w:snapToGrid w:val="0"/>
              <w:spacing w:after="0" w:line="240" w:lineRule="auto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289FADF1">
              <w:rPr>
                <w:rFonts w:eastAsiaTheme="minorEastAsia"/>
                <w:sz w:val="22"/>
                <w:szCs w:val="22"/>
              </w:rPr>
              <w:t>x</w:t>
            </w:r>
          </w:p>
        </w:tc>
      </w:tr>
    </w:tbl>
    <w:p w14:paraId="63924F8C" w14:textId="48692D10" w:rsidR="00F00327" w:rsidRPr="009910BA" w:rsidRDefault="00F00327" w:rsidP="001A26E9">
      <w:pPr>
        <w:snapToGrid w:val="0"/>
        <w:spacing w:after="0" w:line="240" w:lineRule="auto"/>
        <w:contextualSpacing/>
        <w:textAlignment w:val="baseline"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</w:rPr>
        <w:t> (X) Voted in favor; (O) Opposed; (A) Abstained from vote; (-) Absent from meeting or during vote </w:t>
      </w:r>
    </w:p>
    <w:p w14:paraId="7F02AA03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7579E933" w14:textId="16BA1EF3" w:rsidR="289FADF1" w:rsidRDefault="289FADF1" w:rsidP="001A26E9">
      <w:pPr>
        <w:pStyle w:val="paragraph"/>
        <w:snapToGrid w:val="0"/>
        <w:spacing w:before="0" w:beforeAutospacing="0" w:after="0" w:afterAutospacing="0"/>
        <w:contextualSpacing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24413478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89FADF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Proceedings</w:t>
      </w:r>
      <w:r w:rsidRPr="289FADF1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> </w:t>
      </w:r>
    </w:p>
    <w:p w14:paraId="7486B156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E4E36F6" w14:textId="448E6883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89FADF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Vote to Call to Order</w:t>
      </w:r>
      <w:r w:rsidRPr="289FADF1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="44639A7D" w:rsidRPr="289FADF1">
        <w:rPr>
          <w:rFonts w:asciiTheme="minorHAnsi" w:eastAsiaTheme="minorEastAsia" w:hAnsiTheme="minorHAnsi" w:cstheme="minorBidi"/>
          <w:sz w:val="22"/>
          <w:szCs w:val="22"/>
        </w:rPr>
        <w:t xml:space="preserve">EOHHS Assistant Secretary Joanne Marqusee called the meeting to order with a roll call vote (see detailed record of votes above – Vote 1).  </w:t>
      </w:r>
    </w:p>
    <w:p w14:paraId="1D714EF2" w14:textId="77777777" w:rsidR="009E3075" w:rsidRPr="009910BA" w:rsidRDefault="009E3075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06964CDF" w14:textId="5B9E4B72" w:rsidR="44639A7D" w:rsidRDefault="44639A7D" w:rsidP="001A26E9">
      <w:pPr>
        <w:pStyle w:val="paragraph"/>
        <w:snapToGrid w:val="0"/>
        <w:spacing w:before="0" w:beforeAutospacing="0" w:after="0" w:afterAutospacing="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289FADF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Introduction</w:t>
      </w:r>
      <w:r w:rsidR="00E6115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 of New Council Member</w:t>
      </w:r>
      <w:r w:rsidRPr="289FADF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:</w:t>
      </w:r>
      <w:r w:rsidRPr="289FADF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4BEDB248" w:rsidRPr="289FADF1">
        <w:rPr>
          <w:rFonts w:asciiTheme="minorHAnsi" w:eastAsiaTheme="minorEastAsia" w:hAnsiTheme="minorHAnsi" w:cstheme="minorBidi"/>
          <w:sz w:val="22"/>
          <w:szCs w:val="22"/>
        </w:rPr>
        <w:t>Assistant Secretary Marqusee</w:t>
      </w:r>
      <w:r w:rsidRPr="289FADF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5C228859" w:rsidRPr="289FADF1">
        <w:rPr>
          <w:rFonts w:asciiTheme="minorHAnsi" w:eastAsiaTheme="minorEastAsia" w:hAnsiTheme="minorHAnsi" w:cstheme="minorBidi"/>
          <w:sz w:val="22"/>
          <w:szCs w:val="22"/>
        </w:rPr>
        <w:t xml:space="preserve">welcomed Alex Arriaga from the Worcester Department of Health and Human Services to the ORRF Advisory Council. </w:t>
      </w:r>
    </w:p>
    <w:p w14:paraId="3D9D19BE" w14:textId="7BA04285" w:rsidR="289FADF1" w:rsidRDefault="289FADF1" w:rsidP="001A26E9">
      <w:pPr>
        <w:pStyle w:val="paragraph"/>
        <w:snapToGrid w:val="0"/>
        <w:spacing w:before="0" w:beforeAutospacing="0" w:after="0" w:afterAutospacing="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14:paraId="640EE014" w14:textId="28B93E0B" w:rsidR="00C1259B" w:rsidRPr="009910BA" w:rsidRDefault="00C1259B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89FADF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Vote to Approve September 10, </w:t>
      </w:r>
      <w:r w:rsidR="0077465C" w:rsidRPr="289FADF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2025,</w:t>
      </w:r>
      <w:r w:rsidRPr="289FADF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 Meeting Minutes</w:t>
      </w:r>
      <w:r w:rsidRPr="289FADF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: </w:t>
      </w:r>
      <w:r w:rsidR="2C4D8269" w:rsidRPr="289FADF1">
        <w:rPr>
          <w:rFonts w:asciiTheme="minorHAnsi" w:eastAsiaTheme="minorEastAsia" w:hAnsiTheme="minorHAnsi" w:cstheme="minorBidi"/>
          <w:sz w:val="22"/>
          <w:szCs w:val="22"/>
        </w:rPr>
        <w:t xml:space="preserve">Assistant Secretary Marqusee asked if anyone had any edits to the draft minutes. Hearing none, she asked for a motion, made by </w:t>
      </w:r>
      <w:r w:rsidR="00E6115C">
        <w:rPr>
          <w:rFonts w:asciiTheme="minorHAnsi" w:eastAsiaTheme="minorEastAsia" w:hAnsiTheme="minorHAnsi" w:cstheme="minorBidi"/>
          <w:sz w:val="22"/>
          <w:szCs w:val="22"/>
        </w:rPr>
        <w:t>J</w:t>
      </w:r>
      <w:r w:rsidR="2C4D8269" w:rsidRPr="289FADF1">
        <w:rPr>
          <w:rFonts w:asciiTheme="minorHAnsi" w:eastAsiaTheme="minorEastAsia" w:hAnsiTheme="minorHAnsi" w:cstheme="minorBidi"/>
          <w:sz w:val="22"/>
          <w:szCs w:val="22"/>
        </w:rPr>
        <w:t>ohn McGahan and s</w:t>
      </w:r>
      <w:r w:rsidR="2C4D8269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econded by Carla B. Monteiro to approve the minutes. Motion carried (see detailed record of votes above – Vote 2).</w:t>
      </w:r>
    </w:p>
    <w:p w14:paraId="0E299CE7" w14:textId="483A5920" w:rsidR="289FADF1" w:rsidRDefault="289FADF1" w:rsidP="001A26E9">
      <w:pPr>
        <w:pStyle w:val="paragraph"/>
        <w:snapToGrid w:val="0"/>
        <w:spacing w:before="0" w:beforeAutospacing="0" w:after="0" w:afterAutospacing="0"/>
        <w:contextualSpacing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EEE6A13" w14:textId="70A4EB3D" w:rsidR="003505B4" w:rsidRPr="009910BA" w:rsidRDefault="2C4D8269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89FADF1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Important Announcements:</w:t>
      </w:r>
      <w:r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Bureau of Substance Addiction Services (BSAS) </w:t>
      </w:r>
      <w:r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Director of Opioid Abatement Julia Newhall shared th</w:t>
      </w:r>
      <w:r w:rsidR="150D8566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at </w:t>
      </w:r>
      <w:r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ORRF is holding the next Regional Listening Session on March 12, </w:t>
      </w:r>
      <w:r w:rsidR="002304B1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2026,</w:t>
      </w:r>
      <w:r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Berkshire Cou</w:t>
      </w:r>
      <w:r w:rsidR="452EB1E2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nty. </w:t>
      </w:r>
      <w:r w:rsidR="7D49830A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She also shared that the RIZE team will be hosting information sessions for the Advisory Council to better understand grantmaking and the training and technical assistance.</w:t>
      </w:r>
      <w:r w:rsidR="25E8DCFB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7D49830A" w:rsidRPr="289FADF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Lastly, Julia Newhall shared that the next ORRF Advisory Council meeting will be held in-person in March 2026 in Marlborough and will be a strategic planning session. </w:t>
      </w:r>
    </w:p>
    <w:p w14:paraId="7A928385" w14:textId="0F3F4599" w:rsidR="003505B4" w:rsidRPr="009910BA" w:rsidRDefault="003505B4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052E472C" w14:textId="2C97AB92" w:rsidR="003505B4" w:rsidRPr="009910BA" w:rsidRDefault="148B2B98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289FADF1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Spotlight and Discussion: Shaping Path Forward Part II:</w:t>
      </w:r>
      <w:r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BSAS Director Deirdre Calvert </w:t>
      </w:r>
      <w:r w:rsidR="4424A38A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>reviewed survey results from the September 2025 ORRF Advisory Council Meetin</w:t>
      </w:r>
      <w:r w:rsidR="67F16159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>g,</w:t>
      </w:r>
      <w:r w:rsidR="4424A38A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provided an overview of BSAS’s budget</w:t>
      </w:r>
      <w:r w:rsidR="65B2D54B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and services, and</w:t>
      </w:r>
      <w:r w:rsidR="1009F9F2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spoke about</w:t>
      </w:r>
      <w:r w:rsidR="65B2D54B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how t</w:t>
      </w:r>
      <w:r w:rsidR="1EEAF15C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he ORRF fits into the agency’s budget. </w:t>
      </w:r>
      <w:r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See </w:t>
      </w:r>
      <w:hyperlink r:id="rId11">
        <w:r w:rsidRPr="289FADF1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meeting slides</w:t>
        </w:r>
      </w:hyperlink>
      <w:r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for more information</w:t>
      </w:r>
      <w:r w:rsidR="548E4790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614BF48A" w14:textId="4511B745" w:rsidR="289FADF1" w:rsidRDefault="289FADF1" w:rsidP="001A26E9">
      <w:pPr>
        <w:pStyle w:val="paragraph"/>
        <w:snapToGrid w:val="0"/>
        <w:spacing w:before="0" w:beforeAutospacing="0" w:after="0" w:afterAutospacing="0"/>
        <w:contextualSpacing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3C95FC24" w14:textId="4B9958F9" w:rsidR="548E4790" w:rsidRDefault="548E4790" w:rsidP="001A26E9">
      <w:pPr>
        <w:pStyle w:val="paragraph"/>
        <w:snapToGrid w:val="0"/>
        <w:spacing w:before="0" w:beforeAutospacing="0" w:after="0" w:afterAutospacing="0"/>
        <w:contextualSpacing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Deirdre Calvert </w:t>
      </w:r>
      <w:r w:rsidR="4FF0753B" w:rsidRPr="289FADF1">
        <w:rPr>
          <w:rStyle w:val="eop"/>
          <w:rFonts w:asciiTheme="minorHAnsi" w:eastAsiaTheme="minorEastAsia" w:hAnsiTheme="minorHAnsi" w:cstheme="minorBidi"/>
          <w:sz w:val="22"/>
          <w:szCs w:val="22"/>
        </w:rPr>
        <w:t>shared a proposed process for the March 2026 strategic planning ORRF Advisory Council meeting. Highlights from the ensuing discussion are summarized below:</w:t>
      </w:r>
    </w:p>
    <w:p w14:paraId="5E0F87EA" w14:textId="354D3E43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Joanne Marqusee: Emphasized the need to ensure continuity of funding, noting that contracts must be in place by July 2027 to avoid service disruptions.</w:t>
      </w:r>
    </w:p>
    <w:p w14:paraId="59116D85" w14:textId="6559B947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Marci Bailey: Asked about meeting logistics and whether substitutes are permitted.</w:t>
      </w:r>
    </w:p>
    <w:p w14:paraId="482CBE45" w14:textId="56578EF3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Joanne Marqusee: Clarified that members are appointed as individuals rather than organizational representatives and that this will be further reviewed.</w:t>
      </w:r>
    </w:p>
    <w:p w14:paraId="20F27AF1" w14:textId="61FBC15F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John McGahan: Requested information on program goals and outcomes to support evaluation efforts.</w:t>
      </w:r>
    </w:p>
    <w:p w14:paraId="7089BDA7" w14:textId="269B379D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Julia Newhall: Confirmed that program overviews and performance metrics will be shared in advance.</w:t>
      </w:r>
    </w:p>
    <w:p w14:paraId="4D3B6844" w14:textId="77726D28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Erika Hensel: Asked about decision-making processes and voting structure.</w:t>
      </w:r>
    </w:p>
    <w:p w14:paraId="1A335EF8" w14:textId="39AF6BA4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Julia Newhall: Clarified that the March meeting will focus on developing evaluation criteria, with further refinement anticipated at the June meeting.</w:t>
      </w:r>
    </w:p>
    <w:p w14:paraId="51CD2230" w14:textId="7B95D4D7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Andy Ottoson: Suggested exploring more frequent meetings to expedite the process.</w:t>
      </w:r>
    </w:p>
    <w:p w14:paraId="53A31CC2" w14:textId="23AC9BBE" w:rsidR="4FF0753B" w:rsidRPr="001A26E9" w:rsidRDefault="4FF0753B" w:rsidP="001A26E9">
      <w:pPr>
        <w:pStyle w:val="ListParagraph"/>
        <w:numPr>
          <w:ilvl w:val="0"/>
          <w:numId w:val="1"/>
        </w:numPr>
        <w:snapToGrid w:val="0"/>
        <w:spacing w:before="240" w:after="240" w:line="240" w:lineRule="auto"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t>Nicole Schmitt: Noted that decisions regarding program continuation and wind-down are expected by July 2026.</w:t>
      </w:r>
    </w:p>
    <w:p w14:paraId="56D247E3" w14:textId="2DC2675C" w:rsidR="4FF0753B" w:rsidRDefault="4FF0753B" w:rsidP="001A26E9">
      <w:pPr>
        <w:snapToGrid w:val="0"/>
        <w:spacing w:before="240" w:after="240" w:line="240" w:lineRule="auto"/>
        <w:contextualSpacing/>
        <w:rPr>
          <w:rFonts w:eastAsiaTheme="minorEastAsia"/>
          <w:sz w:val="22"/>
          <w:szCs w:val="22"/>
        </w:rPr>
      </w:pPr>
      <w:r w:rsidRPr="001A26E9">
        <w:rPr>
          <w:rFonts w:eastAsiaTheme="minorEastAsia"/>
          <w:sz w:val="22"/>
          <w:szCs w:val="22"/>
        </w:rPr>
        <w:lastRenderedPageBreak/>
        <w:t>Council members broadly expressed support for the proposed process and the emphasis on strategic, data-informed decision-making. Several members emphasized the importance of both qualitat</w:t>
      </w:r>
      <w:r w:rsidRPr="289FADF1">
        <w:rPr>
          <w:rFonts w:eastAsiaTheme="minorEastAsia"/>
          <w:sz w:val="22"/>
          <w:szCs w:val="22"/>
        </w:rPr>
        <w:t>ive and quantitative analysis, return on investment, and ensuring that funding decisions are aligned with demonstrated impact.</w:t>
      </w:r>
    </w:p>
    <w:p w14:paraId="5E0ADA11" w14:textId="77777777" w:rsidR="000402C8" w:rsidRDefault="000402C8" w:rsidP="001A26E9">
      <w:pPr>
        <w:snapToGrid w:val="0"/>
        <w:spacing w:before="240" w:after="240" w:line="240" w:lineRule="auto"/>
        <w:contextualSpacing/>
        <w:rPr>
          <w:rFonts w:eastAsiaTheme="minorEastAsia"/>
          <w:sz w:val="22"/>
          <w:szCs w:val="22"/>
        </w:rPr>
      </w:pPr>
    </w:p>
    <w:p w14:paraId="59B4BE69" w14:textId="519DD0A9" w:rsidR="01DD5BA6" w:rsidRDefault="01DD5BA6" w:rsidP="001A26E9">
      <w:pPr>
        <w:snapToGrid w:val="0"/>
        <w:spacing w:before="240" w:after="240" w:line="240" w:lineRule="auto"/>
        <w:contextualSpacing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sz w:val="22"/>
          <w:szCs w:val="22"/>
        </w:rPr>
        <w:t xml:space="preserve">Following the discussion, Deirdre Calvert presented an overview of BSAS’s continuum of care and how ORRF funds support these efforts. </w:t>
      </w:r>
      <w:r w:rsidR="000531F7" w:rsidRPr="289FADF1">
        <w:rPr>
          <w:rStyle w:val="eop"/>
          <w:rFonts w:eastAsiaTheme="minorEastAsia"/>
          <w:sz w:val="22"/>
          <w:szCs w:val="22"/>
        </w:rPr>
        <w:t xml:space="preserve">See </w:t>
      </w:r>
      <w:hyperlink r:id="rId12">
        <w:r w:rsidR="000531F7" w:rsidRPr="289FADF1">
          <w:rPr>
            <w:rStyle w:val="Hyperlink"/>
            <w:rFonts w:eastAsiaTheme="minorEastAsia"/>
            <w:sz w:val="22"/>
            <w:szCs w:val="22"/>
          </w:rPr>
          <w:t>meeting slides</w:t>
        </w:r>
      </w:hyperlink>
      <w:r w:rsidR="000531F7" w:rsidRPr="289FADF1">
        <w:rPr>
          <w:rStyle w:val="eop"/>
          <w:rFonts w:eastAsiaTheme="minorEastAsia"/>
          <w:sz w:val="22"/>
          <w:szCs w:val="22"/>
        </w:rPr>
        <w:t xml:space="preserve"> for more information. </w:t>
      </w:r>
      <w:r w:rsidRPr="289FADF1">
        <w:rPr>
          <w:rFonts w:eastAsiaTheme="minorEastAsia"/>
          <w:sz w:val="22"/>
          <w:szCs w:val="22"/>
        </w:rPr>
        <w:t>Council members expressed appreciation for the overview and emphasized the importance of aligning ORRF investments with broader BSAS strategies and demonstrated areas of impact.</w:t>
      </w:r>
    </w:p>
    <w:p w14:paraId="0E85ED1F" w14:textId="77777777" w:rsidR="000531F7" w:rsidRDefault="000531F7" w:rsidP="001A26E9">
      <w:pPr>
        <w:snapToGrid w:val="0"/>
        <w:spacing w:before="240" w:after="240" w:line="240" w:lineRule="auto"/>
        <w:contextualSpacing/>
        <w:rPr>
          <w:rFonts w:eastAsiaTheme="minorEastAsia"/>
          <w:b/>
          <w:bCs/>
          <w:sz w:val="22"/>
          <w:szCs w:val="22"/>
          <w:u w:val="single"/>
        </w:rPr>
      </w:pPr>
    </w:p>
    <w:p w14:paraId="298A8765" w14:textId="1F3C6806" w:rsidR="24FAB94A" w:rsidRDefault="24FAB94A" w:rsidP="001A26E9">
      <w:pPr>
        <w:snapToGrid w:val="0"/>
        <w:spacing w:before="240" w:after="240" w:line="240" w:lineRule="auto"/>
        <w:contextualSpacing/>
        <w:rPr>
          <w:rFonts w:eastAsiaTheme="minorEastAsia"/>
          <w:sz w:val="22"/>
          <w:szCs w:val="22"/>
        </w:rPr>
      </w:pPr>
      <w:r w:rsidRPr="289FADF1">
        <w:rPr>
          <w:rFonts w:eastAsiaTheme="minorEastAsia"/>
          <w:b/>
          <w:bCs/>
          <w:sz w:val="22"/>
          <w:szCs w:val="22"/>
          <w:u w:val="single"/>
        </w:rPr>
        <w:t>Vote to Adjourn:</w:t>
      </w:r>
      <w:r w:rsidRPr="004B1072">
        <w:rPr>
          <w:rFonts w:eastAsiaTheme="minorEastAsia"/>
          <w:b/>
          <w:bCs/>
          <w:sz w:val="22"/>
          <w:szCs w:val="22"/>
        </w:rPr>
        <w:t xml:space="preserve"> </w:t>
      </w:r>
      <w:r w:rsidRPr="289FADF1">
        <w:rPr>
          <w:rFonts w:eastAsiaTheme="minorEastAsia"/>
          <w:sz w:val="22"/>
          <w:szCs w:val="22"/>
        </w:rPr>
        <w:t>Assistant Secretary Marqusee requested a motion to adjourn, made by John McGahan and seconded by Vaira Harik. The meeting adjourned at 1:37 PM (see detailed record of votes above – Vote 3).</w:t>
      </w:r>
    </w:p>
    <w:p w14:paraId="070ACDAB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</w:pPr>
    </w:p>
    <w:p w14:paraId="4480D61D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</w:pPr>
    </w:p>
    <w:p w14:paraId="1DA2EAD5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Style w:val="eop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</w:pPr>
    </w:p>
    <w:p w14:paraId="32DA83C3" w14:textId="77777777" w:rsidR="00F00327" w:rsidRPr="009910BA" w:rsidRDefault="00F00327" w:rsidP="001A26E9">
      <w:pPr>
        <w:pStyle w:val="paragraph"/>
        <w:snapToGrid w:val="0"/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75C1136C" w14:textId="44BD8543" w:rsidR="00EF26AF" w:rsidRPr="009910BA" w:rsidRDefault="00EF26AF" w:rsidP="001A26E9">
      <w:pPr>
        <w:snapToGrid w:val="0"/>
        <w:spacing w:line="240" w:lineRule="auto"/>
        <w:contextualSpacing/>
        <w:rPr>
          <w:rFonts w:eastAsiaTheme="minorEastAsia"/>
          <w:sz w:val="22"/>
          <w:szCs w:val="22"/>
        </w:rPr>
      </w:pPr>
    </w:p>
    <w:sectPr w:rsidR="00EF26AF" w:rsidRPr="009910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40F0" w14:textId="77777777" w:rsidR="00C93436" w:rsidRDefault="00C93436" w:rsidP="00BA4C05">
      <w:pPr>
        <w:spacing w:after="0" w:line="240" w:lineRule="auto"/>
      </w:pPr>
      <w:r>
        <w:separator/>
      </w:r>
    </w:p>
  </w:endnote>
  <w:endnote w:type="continuationSeparator" w:id="0">
    <w:p w14:paraId="77EA1494" w14:textId="77777777" w:rsidR="00C93436" w:rsidRDefault="00C93436" w:rsidP="00BA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E63C" w14:textId="77777777" w:rsidR="00BA4C05" w:rsidRDefault="00BA4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57A7" w14:textId="77777777" w:rsidR="00BA4C05" w:rsidRDefault="00BA4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0AE4" w14:textId="77777777" w:rsidR="00BA4C05" w:rsidRDefault="00BA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FC3" w14:textId="77777777" w:rsidR="00C93436" w:rsidRDefault="00C93436" w:rsidP="00BA4C05">
      <w:pPr>
        <w:spacing w:after="0" w:line="240" w:lineRule="auto"/>
      </w:pPr>
      <w:r>
        <w:separator/>
      </w:r>
    </w:p>
  </w:footnote>
  <w:footnote w:type="continuationSeparator" w:id="0">
    <w:p w14:paraId="607C35F9" w14:textId="77777777" w:rsidR="00C93436" w:rsidRDefault="00C93436" w:rsidP="00BA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44DF" w14:textId="77777777" w:rsidR="00BA4C05" w:rsidRDefault="00BA4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5E8" w14:textId="77777777" w:rsidR="00BA4C05" w:rsidRDefault="00BA4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BFAB" w14:textId="77777777" w:rsidR="00BA4C05" w:rsidRDefault="00BA4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30D"/>
    <w:multiLevelType w:val="hybridMultilevel"/>
    <w:tmpl w:val="37ECA8E6"/>
    <w:lvl w:ilvl="0" w:tplc="FF7CB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ED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20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0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0D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4D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A8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0C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29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40CD"/>
    <w:multiLevelType w:val="hybridMultilevel"/>
    <w:tmpl w:val="644A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A190"/>
    <w:multiLevelType w:val="hybridMultilevel"/>
    <w:tmpl w:val="99969516"/>
    <w:lvl w:ilvl="0" w:tplc="E0EE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1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25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CC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60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85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A0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09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E6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F7F3C"/>
    <w:multiLevelType w:val="hybridMultilevel"/>
    <w:tmpl w:val="FA98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76678">
    <w:abstractNumId w:val="0"/>
  </w:num>
  <w:num w:numId="2" w16cid:durableId="1564560747">
    <w:abstractNumId w:val="2"/>
  </w:num>
  <w:num w:numId="3" w16cid:durableId="471681512">
    <w:abstractNumId w:val="1"/>
  </w:num>
  <w:num w:numId="4" w16cid:durableId="1052657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AF"/>
    <w:rsid w:val="00000710"/>
    <w:rsid w:val="00006AC2"/>
    <w:rsid w:val="00015849"/>
    <w:rsid w:val="00017698"/>
    <w:rsid w:val="0001772A"/>
    <w:rsid w:val="00022350"/>
    <w:rsid w:val="0002703F"/>
    <w:rsid w:val="00037CAD"/>
    <w:rsid w:val="000401F2"/>
    <w:rsid w:val="000402C8"/>
    <w:rsid w:val="000531F7"/>
    <w:rsid w:val="00054114"/>
    <w:rsid w:val="000713EB"/>
    <w:rsid w:val="0007428D"/>
    <w:rsid w:val="000836FE"/>
    <w:rsid w:val="000864CF"/>
    <w:rsid w:val="0008691B"/>
    <w:rsid w:val="00093050"/>
    <w:rsid w:val="00095CFD"/>
    <w:rsid w:val="000A5747"/>
    <w:rsid w:val="000B3D64"/>
    <w:rsid w:val="000D16F7"/>
    <w:rsid w:val="000E7A4F"/>
    <w:rsid w:val="000F25AF"/>
    <w:rsid w:val="000F4D64"/>
    <w:rsid w:val="000F7C9F"/>
    <w:rsid w:val="001114E9"/>
    <w:rsid w:val="00111FB7"/>
    <w:rsid w:val="00120DAD"/>
    <w:rsid w:val="00125EEE"/>
    <w:rsid w:val="00127EE2"/>
    <w:rsid w:val="00131A1E"/>
    <w:rsid w:val="00142A03"/>
    <w:rsid w:val="001459F2"/>
    <w:rsid w:val="001548D9"/>
    <w:rsid w:val="0016262B"/>
    <w:rsid w:val="001638D4"/>
    <w:rsid w:val="00170F5C"/>
    <w:rsid w:val="001942A2"/>
    <w:rsid w:val="001971EE"/>
    <w:rsid w:val="001A2285"/>
    <w:rsid w:val="001A2295"/>
    <w:rsid w:val="001A26E9"/>
    <w:rsid w:val="001A4870"/>
    <w:rsid w:val="001A5738"/>
    <w:rsid w:val="001B09E5"/>
    <w:rsid w:val="001D37DD"/>
    <w:rsid w:val="001D3E54"/>
    <w:rsid w:val="001D45D3"/>
    <w:rsid w:val="001E290B"/>
    <w:rsid w:val="001F075B"/>
    <w:rsid w:val="0021136D"/>
    <w:rsid w:val="0022108C"/>
    <w:rsid w:val="002304B1"/>
    <w:rsid w:val="00234048"/>
    <w:rsid w:val="00251228"/>
    <w:rsid w:val="00251DEC"/>
    <w:rsid w:val="00255316"/>
    <w:rsid w:val="00260737"/>
    <w:rsid w:val="00262EE0"/>
    <w:rsid w:val="00281980"/>
    <w:rsid w:val="002852E1"/>
    <w:rsid w:val="00295668"/>
    <w:rsid w:val="002B1D7A"/>
    <w:rsid w:val="002B4537"/>
    <w:rsid w:val="002B654C"/>
    <w:rsid w:val="002C37C4"/>
    <w:rsid w:val="002E044D"/>
    <w:rsid w:val="002F63B0"/>
    <w:rsid w:val="002F79FF"/>
    <w:rsid w:val="00302F77"/>
    <w:rsid w:val="00303132"/>
    <w:rsid w:val="00335CAE"/>
    <w:rsid w:val="003505B4"/>
    <w:rsid w:val="0035281E"/>
    <w:rsid w:val="00354FE3"/>
    <w:rsid w:val="00364867"/>
    <w:rsid w:val="00373B97"/>
    <w:rsid w:val="00376BCE"/>
    <w:rsid w:val="0038318B"/>
    <w:rsid w:val="00384CC7"/>
    <w:rsid w:val="00386D4D"/>
    <w:rsid w:val="003942FC"/>
    <w:rsid w:val="00396884"/>
    <w:rsid w:val="003A153A"/>
    <w:rsid w:val="003C076C"/>
    <w:rsid w:val="003E01DE"/>
    <w:rsid w:val="003E330D"/>
    <w:rsid w:val="003E6762"/>
    <w:rsid w:val="003E6C60"/>
    <w:rsid w:val="003E7B5E"/>
    <w:rsid w:val="004064D2"/>
    <w:rsid w:val="004125EC"/>
    <w:rsid w:val="0041277F"/>
    <w:rsid w:val="00412B43"/>
    <w:rsid w:val="00413ED2"/>
    <w:rsid w:val="00426FFE"/>
    <w:rsid w:val="00431A7D"/>
    <w:rsid w:val="00443C2B"/>
    <w:rsid w:val="0044484F"/>
    <w:rsid w:val="004533D0"/>
    <w:rsid w:val="0045437B"/>
    <w:rsid w:val="00461752"/>
    <w:rsid w:val="00463E16"/>
    <w:rsid w:val="00471BA1"/>
    <w:rsid w:val="00472EC8"/>
    <w:rsid w:val="004818A1"/>
    <w:rsid w:val="00482BFD"/>
    <w:rsid w:val="00493435"/>
    <w:rsid w:val="00497077"/>
    <w:rsid w:val="004A2608"/>
    <w:rsid w:val="004A47B2"/>
    <w:rsid w:val="004A6698"/>
    <w:rsid w:val="004B1072"/>
    <w:rsid w:val="004C03DA"/>
    <w:rsid w:val="004D01D6"/>
    <w:rsid w:val="004D2550"/>
    <w:rsid w:val="004D306B"/>
    <w:rsid w:val="004D3420"/>
    <w:rsid w:val="004D4E9C"/>
    <w:rsid w:val="004E0971"/>
    <w:rsid w:val="004E42F6"/>
    <w:rsid w:val="004F0778"/>
    <w:rsid w:val="005011FC"/>
    <w:rsid w:val="005447CC"/>
    <w:rsid w:val="00550258"/>
    <w:rsid w:val="00550688"/>
    <w:rsid w:val="00551F07"/>
    <w:rsid w:val="0055549F"/>
    <w:rsid w:val="00582986"/>
    <w:rsid w:val="0058576A"/>
    <w:rsid w:val="005A068B"/>
    <w:rsid w:val="005A52FE"/>
    <w:rsid w:val="005B0500"/>
    <w:rsid w:val="005C74FA"/>
    <w:rsid w:val="00601326"/>
    <w:rsid w:val="0060794F"/>
    <w:rsid w:val="0061772B"/>
    <w:rsid w:val="00623FCD"/>
    <w:rsid w:val="00632184"/>
    <w:rsid w:val="0063596A"/>
    <w:rsid w:val="00636935"/>
    <w:rsid w:val="00643083"/>
    <w:rsid w:val="00647B83"/>
    <w:rsid w:val="00652EDE"/>
    <w:rsid w:val="00663199"/>
    <w:rsid w:val="006670C1"/>
    <w:rsid w:val="00670F43"/>
    <w:rsid w:val="006870CE"/>
    <w:rsid w:val="00694468"/>
    <w:rsid w:val="006A638A"/>
    <w:rsid w:val="006B5F70"/>
    <w:rsid w:val="006C2F32"/>
    <w:rsid w:val="006C6836"/>
    <w:rsid w:val="006D509A"/>
    <w:rsid w:val="006D5624"/>
    <w:rsid w:val="006D6F83"/>
    <w:rsid w:val="006E03E7"/>
    <w:rsid w:val="006E4452"/>
    <w:rsid w:val="006E4F38"/>
    <w:rsid w:val="006E598F"/>
    <w:rsid w:val="00701013"/>
    <w:rsid w:val="00701207"/>
    <w:rsid w:val="00734156"/>
    <w:rsid w:val="007523F7"/>
    <w:rsid w:val="007551CE"/>
    <w:rsid w:val="0077465C"/>
    <w:rsid w:val="00777253"/>
    <w:rsid w:val="00787510"/>
    <w:rsid w:val="007940B8"/>
    <w:rsid w:val="007940E7"/>
    <w:rsid w:val="007A277A"/>
    <w:rsid w:val="007A299E"/>
    <w:rsid w:val="007A36D5"/>
    <w:rsid w:val="007A5233"/>
    <w:rsid w:val="007A72DB"/>
    <w:rsid w:val="007B20A4"/>
    <w:rsid w:val="007C7BCE"/>
    <w:rsid w:val="007D152E"/>
    <w:rsid w:val="007D2284"/>
    <w:rsid w:val="007D3FF5"/>
    <w:rsid w:val="008147C9"/>
    <w:rsid w:val="0082564F"/>
    <w:rsid w:val="00831A64"/>
    <w:rsid w:val="0084205B"/>
    <w:rsid w:val="008459F6"/>
    <w:rsid w:val="00857447"/>
    <w:rsid w:val="00867D5C"/>
    <w:rsid w:val="00873463"/>
    <w:rsid w:val="00880802"/>
    <w:rsid w:val="00885BAC"/>
    <w:rsid w:val="0089394D"/>
    <w:rsid w:val="008A40DC"/>
    <w:rsid w:val="008B3008"/>
    <w:rsid w:val="008C715F"/>
    <w:rsid w:val="008D43E8"/>
    <w:rsid w:val="008E52F1"/>
    <w:rsid w:val="00932268"/>
    <w:rsid w:val="0094489B"/>
    <w:rsid w:val="00951B51"/>
    <w:rsid w:val="0095528A"/>
    <w:rsid w:val="00965F5C"/>
    <w:rsid w:val="00974CF6"/>
    <w:rsid w:val="0098160D"/>
    <w:rsid w:val="009910BA"/>
    <w:rsid w:val="00995657"/>
    <w:rsid w:val="009A0F81"/>
    <w:rsid w:val="009A5010"/>
    <w:rsid w:val="009A7B7D"/>
    <w:rsid w:val="009B700D"/>
    <w:rsid w:val="009C375B"/>
    <w:rsid w:val="009C3EFB"/>
    <w:rsid w:val="009D30CC"/>
    <w:rsid w:val="009E3075"/>
    <w:rsid w:val="009F7109"/>
    <w:rsid w:val="00A01DBD"/>
    <w:rsid w:val="00A05068"/>
    <w:rsid w:val="00A15A83"/>
    <w:rsid w:val="00A235FC"/>
    <w:rsid w:val="00A31352"/>
    <w:rsid w:val="00A40175"/>
    <w:rsid w:val="00A40479"/>
    <w:rsid w:val="00A4773A"/>
    <w:rsid w:val="00A516E5"/>
    <w:rsid w:val="00A54C1B"/>
    <w:rsid w:val="00A6061D"/>
    <w:rsid w:val="00A76538"/>
    <w:rsid w:val="00A8618E"/>
    <w:rsid w:val="00AA3385"/>
    <w:rsid w:val="00AA3C92"/>
    <w:rsid w:val="00AA74F8"/>
    <w:rsid w:val="00AB4DA1"/>
    <w:rsid w:val="00AC752C"/>
    <w:rsid w:val="00AD2C4C"/>
    <w:rsid w:val="00AD3329"/>
    <w:rsid w:val="00AE1D76"/>
    <w:rsid w:val="00AE41AE"/>
    <w:rsid w:val="00AF01CD"/>
    <w:rsid w:val="00AF1E05"/>
    <w:rsid w:val="00AF4908"/>
    <w:rsid w:val="00AFBC42"/>
    <w:rsid w:val="00B003D4"/>
    <w:rsid w:val="00B06E8E"/>
    <w:rsid w:val="00B13281"/>
    <w:rsid w:val="00B23EB8"/>
    <w:rsid w:val="00B26E43"/>
    <w:rsid w:val="00B368AD"/>
    <w:rsid w:val="00B451C5"/>
    <w:rsid w:val="00B47EFC"/>
    <w:rsid w:val="00B50E42"/>
    <w:rsid w:val="00B605B3"/>
    <w:rsid w:val="00B62999"/>
    <w:rsid w:val="00B77700"/>
    <w:rsid w:val="00B80490"/>
    <w:rsid w:val="00BA4C05"/>
    <w:rsid w:val="00BA59AE"/>
    <w:rsid w:val="00BA7F42"/>
    <w:rsid w:val="00BB3003"/>
    <w:rsid w:val="00BB4962"/>
    <w:rsid w:val="00BD7178"/>
    <w:rsid w:val="00BE53F6"/>
    <w:rsid w:val="00BE79ED"/>
    <w:rsid w:val="00BF71F4"/>
    <w:rsid w:val="00C00E99"/>
    <w:rsid w:val="00C054AA"/>
    <w:rsid w:val="00C1259B"/>
    <w:rsid w:val="00C14B9E"/>
    <w:rsid w:val="00C201E0"/>
    <w:rsid w:val="00C451C0"/>
    <w:rsid w:val="00C46C2E"/>
    <w:rsid w:val="00C67C1E"/>
    <w:rsid w:val="00C81A20"/>
    <w:rsid w:val="00C82929"/>
    <w:rsid w:val="00C84184"/>
    <w:rsid w:val="00C931BA"/>
    <w:rsid w:val="00C93436"/>
    <w:rsid w:val="00C93524"/>
    <w:rsid w:val="00C93AE2"/>
    <w:rsid w:val="00CB3CA2"/>
    <w:rsid w:val="00CB5E51"/>
    <w:rsid w:val="00CB7EB4"/>
    <w:rsid w:val="00CC0F4A"/>
    <w:rsid w:val="00CC753B"/>
    <w:rsid w:val="00CF2064"/>
    <w:rsid w:val="00D012E5"/>
    <w:rsid w:val="00D06A38"/>
    <w:rsid w:val="00D1253E"/>
    <w:rsid w:val="00D213CF"/>
    <w:rsid w:val="00D214F1"/>
    <w:rsid w:val="00D22344"/>
    <w:rsid w:val="00D2276D"/>
    <w:rsid w:val="00D2730C"/>
    <w:rsid w:val="00D32AD6"/>
    <w:rsid w:val="00D3697E"/>
    <w:rsid w:val="00D37027"/>
    <w:rsid w:val="00D40B05"/>
    <w:rsid w:val="00D44AD7"/>
    <w:rsid w:val="00D455DF"/>
    <w:rsid w:val="00D65DE3"/>
    <w:rsid w:val="00D83A61"/>
    <w:rsid w:val="00D83ACE"/>
    <w:rsid w:val="00DB15E5"/>
    <w:rsid w:val="00DB1EDF"/>
    <w:rsid w:val="00DB7CA3"/>
    <w:rsid w:val="00DC00F2"/>
    <w:rsid w:val="00DC1782"/>
    <w:rsid w:val="00DC401E"/>
    <w:rsid w:val="00DC69B7"/>
    <w:rsid w:val="00DD7F7B"/>
    <w:rsid w:val="00DE2D9C"/>
    <w:rsid w:val="00DE5CA5"/>
    <w:rsid w:val="00E0077F"/>
    <w:rsid w:val="00E12BED"/>
    <w:rsid w:val="00E13B47"/>
    <w:rsid w:val="00E13C66"/>
    <w:rsid w:val="00E317E1"/>
    <w:rsid w:val="00E3507A"/>
    <w:rsid w:val="00E366CF"/>
    <w:rsid w:val="00E37F76"/>
    <w:rsid w:val="00E40DDA"/>
    <w:rsid w:val="00E44404"/>
    <w:rsid w:val="00E53412"/>
    <w:rsid w:val="00E56A3D"/>
    <w:rsid w:val="00E6115C"/>
    <w:rsid w:val="00E62607"/>
    <w:rsid w:val="00E72509"/>
    <w:rsid w:val="00E849C8"/>
    <w:rsid w:val="00E85FC5"/>
    <w:rsid w:val="00EA03CA"/>
    <w:rsid w:val="00EA2B0D"/>
    <w:rsid w:val="00EA4023"/>
    <w:rsid w:val="00EA53EB"/>
    <w:rsid w:val="00EB6E98"/>
    <w:rsid w:val="00EC6DCD"/>
    <w:rsid w:val="00ED7697"/>
    <w:rsid w:val="00EE089D"/>
    <w:rsid w:val="00EF26AF"/>
    <w:rsid w:val="00EF2C9F"/>
    <w:rsid w:val="00EF3E02"/>
    <w:rsid w:val="00EF5912"/>
    <w:rsid w:val="00F00327"/>
    <w:rsid w:val="00F31F3D"/>
    <w:rsid w:val="00F3348B"/>
    <w:rsid w:val="00F34171"/>
    <w:rsid w:val="00F37B46"/>
    <w:rsid w:val="00F5690A"/>
    <w:rsid w:val="00F6488C"/>
    <w:rsid w:val="00F71F14"/>
    <w:rsid w:val="00F740F0"/>
    <w:rsid w:val="00F8319B"/>
    <w:rsid w:val="00F95359"/>
    <w:rsid w:val="00F95830"/>
    <w:rsid w:val="00F96053"/>
    <w:rsid w:val="00FA6581"/>
    <w:rsid w:val="00FA78E9"/>
    <w:rsid w:val="00FC3E61"/>
    <w:rsid w:val="00FC71F3"/>
    <w:rsid w:val="00FD21AF"/>
    <w:rsid w:val="00FD77D4"/>
    <w:rsid w:val="00FF04EB"/>
    <w:rsid w:val="015F36DC"/>
    <w:rsid w:val="01DD5BA6"/>
    <w:rsid w:val="03EDB71E"/>
    <w:rsid w:val="04E7B3EF"/>
    <w:rsid w:val="063C833C"/>
    <w:rsid w:val="07605A8A"/>
    <w:rsid w:val="087AF4CA"/>
    <w:rsid w:val="089F037A"/>
    <w:rsid w:val="0AE6B852"/>
    <w:rsid w:val="0CDDD13A"/>
    <w:rsid w:val="0D5761BD"/>
    <w:rsid w:val="0E24E8C0"/>
    <w:rsid w:val="0ED923C3"/>
    <w:rsid w:val="1009F9F2"/>
    <w:rsid w:val="10A70E3A"/>
    <w:rsid w:val="148B2B98"/>
    <w:rsid w:val="150D8566"/>
    <w:rsid w:val="1C3C9EED"/>
    <w:rsid w:val="1DC322FA"/>
    <w:rsid w:val="1EEAF15C"/>
    <w:rsid w:val="1F0DE745"/>
    <w:rsid w:val="2359B882"/>
    <w:rsid w:val="23F145B3"/>
    <w:rsid w:val="24A3B9B6"/>
    <w:rsid w:val="24FAB94A"/>
    <w:rsid w:val="25927CD6"/>
    <w:rsid w:val="25E8DCFB"/>
    <w:rsid w:val="279061F0"/>
    <w:rsid w:val="289FADF1"/>
    <w:rsid w:val="28AC1E04"/>
    <w:rsid w:val="2A45638D"/>
    <w:rsid w:val="2C4D8269"/>
    <w:rsid w:val="2C5D5390"/>
    <w:rsid w:val="2D2068B2"/>
    <w:rsid w:val="2D4DF943"/>
    <w:rsid w:val="2EF8D99F"/>
    <w:rsid w:val="2F149A94"/>
    <w:rsid w:val="3430F06C"/>
    <w:rsid w:val="34FBB83E"/>
    <w:rsid w:val="356D9273"/>
    <w:rsid w:val="37A71833"/>
    <w:rsid w:val="39D6EC5A"/>
    <w:rsid w:val="3B3D71C0"/>
    <w:rsid w:val="4424A38A"/>
    <w:rsid w:val="44639A7D"/>
    <w:rsid w:val="44CFE533"/>
    <w:rsid w:val="452EB1E2"/>
    <w:rsid w:val="458035D1"/>
    <w:rsid w:val="463E0815"/>
    <w:rsid w:val="476A6B3A"/>
    <w:rsid w:val="478BA7C1"/>
    <w:rsid w:val="49305E74"/>
    <w:rsid w:val="4A2A54A1"/>
    <w:rsid w:val="4B2504E6"/>
    <w:rsid w:val="4BE89AEA"/>
    <w:rsid w:val="4BEDB248"/>
    <w:rsid w:val="4C6D5CA1"/>
    <w:rsid w:val="4E07B2FE"/>
    <w:rsid w:val="4FF0753B"/>
    <w:rsid w:val="527DF9EE"/>
    <w:rsid w:val="53428755"/>
    <w:rsid w:val="548E4790"/>
    <w:rsid w:val="56C6D628"/>
    <w:rsid w:val="576E8DF1"/>
    <w:rsid w:val="591EB7FA"/>
    <w:rsid w:val="5995269C"/>
    <w:rsid w:val="59C9C813"/>
    <w:rsid w:val="59EE9ABD"/>
    <w:rsid w:val="5BBE365B"/>
    <w:rsid w:val="5C228859"/>
    <w:rsid w:val="5D65E087"/>
    <w:rsid w:val="5D6B6D76"/>
    <w:rsid w:val="5F8F5EAB"/>
    <w:rsid w:val="603F9C0B"/>
    <w:rsid w:val="65B2D54B"/>
    <w:rsid w:val="67F16159"/>
    <w:rsid w:val="6885586B"/>
    <w:rsid w:val="7106E52D"/>
    <w:rsid w:val="726EEAAA"/>
    <w:rsid w:val="73E8463B"/>
    <w:rsid w:val="7803D3D8"/>
    <w:rsid w:val="79C7E037"/>
    <w:rsid w:val="7A3A7A26"/>
    <w:rsid w:val="7B0CF224"/>
    <w:rsid w:val="7C01FC7C"/>
    <w:rsid w:val="7D0801E1"/>
    <w:rsid w:val="7D49830A"/>
    <w:rsid w:val="7DFC4255"/>
    <w:rsid w:val="7F478CB4"/>
    <w:rsid w:val="7FECA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5829"/>
  <w15:chartTrackingRefBased/>
  <w15:docId w15:val="{521B1FD6-DD1F-4081-AAC8-C478F27A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6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2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5"/>
  </w:style>
  <w:style w:type="paragraph" w:styleId="Footer">
    <w:name w:val="footer"/>
    <w:basedOn w:val="Normal"/>
    <w:link w:val="FooterChar"/>
    <w:uiPriority w:val="99"/>
    <w:unhideWhenUsed/>
    <w:rsid w:val="00BA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5"/>
  </w:style>
  <w:style w:type="paragraph" w:customStyle="1" w:styleId="paragraph">
    <w:name w:val="paragraph"/>
    <w:basedOn w:val="Normal"/>
    <w:rsid w:val="00F0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00327"/>
  </w:style>
  <w:style w:type="character" w:customStyle="1" w:styleId="eop">
    <w:name w:val="eop"/>
    <w:basedOn w:val="DefaultParagraphFont"/>
    <w:rsid w:val="00F00327"/>
  </w:style>
  <w:style w:type="character" w:styleId="Hyperlink">
    <w:name w:val="Hyperlink"/>
    <w:basedOn w:val="DefaultParagraphFont"/>
    <w:uiPriority w:val="99"/>
    <w:unhideWhenUsed/>
    <w:rsid w:val="289FAD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1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orrf-meeting-presentation-december-10-2025-0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orrf-meeting-presentation-december-10-2025-0/downloa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b759e079d778d2394275d6be94b83196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1600097b0721aff9b6f9cf5956637b2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63EE0C28-F927-4BD1-93DC-C901C5EC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B92AF-8972-4CB8-A8F7-0E6415435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E0D94-AD7A-46D5-858B-E44C9A2F453C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846</Words>
  <Characters>4827</Characters>
  <Application>Microsoft Office Word</Application>
  <DocSecurity>0</DocSecurity>
  <Lines>40</Lines>
  <Paragraphs>11</Paragraphs>
  <ScaleCrop>false</ScaleCrop>
  <Company>Commonwealth of Massachusetts</Company>
  <LinksUpToDate>false</LinksUpToDate>
  <CharactersWithSpaces>5662</CharactersWithSpaces>
  <SharedDoc>false</SharedDoc>
  <HLinks>
    <vt:vector size="12" baseType="variant"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https://www.mass.gov/doc/orrf-meeting-presentation-december-10-2025-0/download</vt:lpwstr>
      </vt:variant>
      <vt:variant>
        <vt:lpwstr/>
      </vt:variant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https://www.mass.gov/doc/orrf-meeting-presentation-december-10-2025-0/download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Susan P (DPH)</dc:creator>
  <cp:keywords/>
  <dc:description/>
  <cp:lastModifiedBy>Bhatia, Millie (EHS)</cp:lastModifiedBy>
  <cp:revision>106</cp:revision>
  <dcterms:created xsi:type="dcterms:W3CDTF">2025-12-10T22:02:00Z</dcterms:created>
  <dcterms:modified xsi:type="dcterms:W3CDTF">2026-03-30T16:51:00Z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