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E87" w:rsidRDefault="00AA3E87" w:rsidP="00AA3E87">
      <w:pPr>
        <w:spacing w:after="0" w:line="240" w:lineRule="auto"/>
      </w:pPr>
      <w:bookmarkStart w:id="0" w:name="_GoBack"/>
      <w:bookmarkEnd w:id="0"/>
      <w:r>
        <w:t>October 2, 2014</w:t>
      </w:r>
      <w:r w:rsidR="00BC5E3D">
        <w:t>, 1:00 p.m. – 2:30 p.m.</w:t>
      </w:r>
    </w:p>
    <w:p w:rsidR="00AA3E87" w:rsidRDefault="00AA3E87" w:rsidP="00AA3E87">
      <w:pPr>
        <w:spacing w:after="0" w:line="240" w:lineRule="auto"/>
      </w:pPr>
      <w:r>
        <w:t>Massachusetts Department of Public Health</w:t>
      </w:r>
      <w:r w:rsidRPr="00AA3E87">
        <w:t xml:space="preserve"> </w:t>
      </w:r>
    </w:p>
    <w:p w:rsidR="00AA3E87" w:rsidRDefault="00AA3E87" w:rsidP="00AA3E87">
      <w:pPr>
        <w:spacing w:after="0" w:line="240" w:lineRule="auto"/>
      </w:pPr>
      <w:r>
        <w:t>Public Health Council Conference Room</w:t>
      </w:r>
    </w:p>
    <w:p w:rsidR="00AA3E87" w:rsidRDefault="00AA3E87" w:rsidP="00AA3E87">
      <w:pPr>
        <w:spacing w:after="0" w:line="240" w:lineRule="auto"/>
      </w:pPr>
      <w:r>
        <w:t>240 Washington Street, 2</w:t>
      </w:r>
      <w:r w:rsidRPr="00AA3E87">
        <w:rPr>
          <w:vertAlign w:val="superscript"/>
        </w:rPr>
        <w:t>nd</w:t>
      </w:r>
      <w:r>
        <w:t xml:space="preserve"> Floor</w:t>
      </w:r>
    </w:p>
    <w:p w:rsidR="00AA3E87" w:rsidRDefault="00AA3E87" w:rsidP="00AA3E87">
      <w:pPr>
        <w:spacing w:after="0" w:line="240" w:lineRule="auto"/>
      </w:pPr>
      <w:r>
        <w:t>Boston, MA</w:t>
      </w:r>
      <w:r w:rsidR="00AD671F">
        <w:t xml:space="preserve"> 02108</w:t>
      </w:r>
    </w:p>
    <w:p w:rsidR="00AA3E87" w:rsidRDefault="00AA3E87"/>
    <w:p w:rsidR="00AD671F" w:rsidRDefault="00AA3E87">
      <w:r>
        <w:t>Meeting Notes:</w:t>
      </w:r>
    </w:p>
    <w:p w:rsidR="004416F0" w:rsidRDefault="00AD671F">
      <w:r>
        <w:t>I</w:t>
      </w:r>
      <w:r w:rsidR="004416F0">
        <w:t>ntroduction</w:t>
      </w:r>
    </w:p>
    <w:p w:rsidR="008A4332" w:rsidRDefault="00F71CA1" w:rsidP="004416F0">
      <w:pPr>
        <w:pStyle w:val="ListParagraph"/>
        <w:numPr>
          <w:ilvl w:val="0"/>
          <w:numId w:val="2"/>
        </w:numPr>
      </w:pPr>
      <w:r>
        <w:t xml:space="preserve">Commissioner Cheryl Bartlett recommended that the </w:t>
      </w:r>
      <w:r w:rsidR="00061735">
        <w:t xml:space="preserve">Prevention and Wellness Advisory </w:t>
      </w:r>
      <w:r>
        <w:t>Board Members present review the minutes of the last meeting while waiting for a quorum to be present.</w:t>
      </w:r>
    </w:p>
    <w:p w:rsidR="00BC5E3D" w:rsidRDefault="00BC5E3D" w:rsidP="004416F0">
      <w:pPr>
        <w:pStyle w:val="ListParagraph"/>
        <w:numPr>
          <w:ilvl w:val="0"/>
          <w:numId w:val="2"/>
        </w:numPr>
      </w:pPr>
      <w:r>
        <w:t>Quorum confirmed</w:t>
      </w:r>
    </w:p>
    <w:p w:rsidR="00F71CA1" w:rsidRDefault="00F71CA1" w:rsidP="004416F0">
      <w:pPr>
        <w:pStyle w:val="ListParagraph"/>
        <w:numPr>
          <w:ilvl w:val="0"/>
          <w:numId w:val="2"/>
        </w:numPr>
      </w:pPr>
      <w:r>
        <w:t>Minutes</w:t>
      </w:r>
      <w:r w:rsidR="00100CFC">
        <w:t xml:space="preserve"> of the June meeting </w:t>
      </w:r>
      <w:r w:rsidR="00061735">
        <w:t xml:space="preserve"> were </w:t>
      </w:r>
      <w:r>
        <w:t>approved</w:t>
      </w:r>
    </w:p>
    <w:p w:rsidR="00061735" w:rsidRDefault="00061735" w:rsidP="004416F0">
      <w:pPr>
        <w:pStyle w:val="ListParagraph"/>
        <w:numPr>
          <w:ilvl w:val="0"/>
          <w:numId w:val="2"/>
        </w:numPr>
      </w:pPr>
      <w:r>
        <w:t>Commissioner Bartlett announced the resignation of Lisa Renee Holderby-Fox, Executive Director MACHW and thanked Lisa for her service.</w:t>
      </w:r>
    </w:p>
    <w:p w:rsidR="004416F0" w:rsidRDefault="00F71CA1" w:rsidP="00AD671F">
      <w:pPr>
        <w:pStyle w:val="ListParagraph"/>
        <w:numPr>
          <w:ilvl w:val="0"/>
          <w:numId w:val="2"/>
        </w:numPr>
      </w:pPr>
      <w:r>
        <w:t xml:space="preserve">Overview of agenda </w:t>
      </w:r>
    </w:p>
    <w:p w:rsidR="00F71CA1" w:rsidRDefault="0014672D">
      <w:r w:rsidRPr="004416F0">
        <w:t xml:space="preserve">Commissioner Bartlett’s </w:t>
      </w:r>
      <w:r w:rsidR="004416F0" w:rsidRPr="004416F0">
        <w:t>comments:</w:t>
      </w:r>
    </w:p>
    <w:p w:rsidR="00280441" w:rsidRDefault="004416F0" w:rsidP="004416F0">
      <w:pPr>
        <w:ind w:left="720"/>
      </w:pPr>
      <w:proofErr w:type="gramStart"/>
      <w:r>
        <w:t>e-Referral</w:t>
      </w:r>
      <w:proofErr w:type="gramEnd"/>
      <w:r>
        <w:t xml:space="preserve"> is part of the Centers for Medicaid and Medicare SIM</w:t>
      </w:r>
      <w:r w:rsidR="00F71CA1">
        <w:t xml:space="preserve"> Grant</w:t>
      </w:r>
      <w:r>
        <w:t>.</w:t>
      </w:r>
      <w:r w:rsidR="00F71CA1">
        <w:t xml:space="preserve"> The intention</w:t>
      </w:r>
      <w:r>
        <w:t xml:space="preserve"> of the e-referral model</w:t>
      </w:r>
      <w:r w:rsidR="00F71CA1">
        <w:t xml:space="preserve"> is to introduce a method for </w:t>
      </w:r>
      <w:r>
        <w:t xml:space="preserve">electronic </w:t>
      </w:r>
      <w:r w:rsidR="00F71CA1">
        <w:t>two-way communication to enhance colla</w:t>
      </w:r>
      <w:r>
        <w:t xml:space="preserve">boration between community and clinical services. This technological tool compliments the </w:t>
      </w:r>
      <w:r w:rsidR="00F71CA1">
        <w:t xml:space="preserve">development of </w:t>
      </w:r>
      <w:r>
        <w:t xml:space="preserve">PWTF </w:t>
      </w:r>
      <w:r w:rsidR="00F71CA1">
        <w:t xml:space="preserve">Partnerships </w:t>
      </w:r>
      <w:r w:rsidR="00280441">
        <w:t>focused on better health outcomes and health care cost containment.  The Prevention and Wellness Trust Fund is charged with working with and assisting the Partnerships as they develop</w:t>
      </w:r>
      <w:r w:rsidR="007B13E4">
        <w:t xml:space="preserve"> infrastructure, and</w:t>
      </w:r>
      <w:r w:rsidR="0014672D">
        <w:t xml:space="preserve"> </w:t>
      </w:r>
      <w:r w:rsidR="007B13E4">
        <w:t xml:space="preserve">a framework </w:t>
      </w:r>
      <w:r w:rsidR="0014672D">
        <w:t>and implement</w:t>
      </w:r>
      <w:r w:rsidR="007B13E4">
        <w:t>ation strategy for their</w:t>
      </w:r>
      <w:r w:rsidR="00280441">
        <w:t xml:space="preserve"> intervention programs</w:t>
      </w:r>
      <w:r w:rsidR="0014672D">
        <w:t xml:space="preserve">.  </w:t>
      </w:r>
      <w:r w:rsidR="007B13E4">
        <w:t>Internal infrastructure of</w:t>
      </w:r>
      <w:r w:rsidR="0014672D">
        <w:t xml:space="preserve"> the </w:t>
      </w:r>
      <w:r w:rsidR="007B13E4">
        <w:t>Coaching Team, e-Referral Team and Evaluation Team for supporting the interventions may serve as a nationwide model for development.</w:t>
      </w:r>
    </w:p>
    <w:p w:rsidR="00F71CA1" w:rsidRDefault="0014672D">
      <w:r>
        <w:t>Carlene Pavlos</w:t>
      </w:r>
      <w:r w:rsidR="0042577E">
        <w:t>, D</w:t>
      </w:r>
      <w:r w:rsidR="00061735">
        <w:t>irector of Bureau of Community H</w:t>
      </w:r>
      <w:r w:rsidR="004416F0">
        <w:t xml:space="preserve">ealth and Prevention </w:t>
      </w:r>
      <w:r>
        <w:t>introduce</w:t>
      </w:r>
      <w:r w:rsidR="003D3822">
        <w:t>d</w:t>
      </w:r>
      <w:r>
        <w:t xml:space="preserve"> the TA Coaches with a summary of their role</w:t>
      </w:r>
      <w:r w:rsidR="00061735">
        <w:t xml:space="preserve"> with the Prevention and Wellness Trust Fund (PWTF)</w:t>
      </w:r>
      <w:r>
        <w:t>.</w:t>
      </w:r>
      <w:r w:rsidR="0042577E">
        <w:t xml:space="preserve"> </w:t>
      </w:r>
      <w:r>
        <w:t>Coordinating Partners</w:t>
      </w:r>
      <w:r w:rsidR="00061735">
        <w:t xml:space="preserve"> (Grantees)</w:t>
      </w:r>
      <w:r>
        <w:t xml:space="preserve"> are assisted with development of framework and implementation through coaching by TAs, Laura Coe, Pattie Daly, and Lissette Blondet.  </w:t>
      </w:r>
    </w:p>
    <w:p w:rsidR="007B13E4" w:rsidRDefault="007B13E4">
      <w:r>
        <w:t>Laura Coe</w:t>
      </w:r>
      <w:r w:rsidR="00061735">
        <w:t>, Partnership TA/QI,</w:t>
      </w:r>
      <w:r w:rsidR="00DE3EA6">
        <w:t xml:space="preserve"> introduce</w:t>
      </w:r>
      <w:r w:rsidR="003D3822">
        <w:t>d</w:t>
      </w:r>
      <w:r w:rsidR="00DE3EA6">
        <w:t xml:space="preserve"> herself as</w:t>
      </w:r>
      <w:r>
        <w:t xml:space="preserve"> new to the</w:t>
      </w:r>
      <w:r w:rsidR="00DE3EA6">
        <w:t xml:space="preserve"> PWTF Team and summarize</w:t>
      </w:r>
      <w:r w:rsidR="003D3822">
        <w:t>d</w:t>
      </w:r>
      <w:r w:rsidR="00DE3EA6">
        <w:t xml:space="preserve"> her</w:t>
      </w:r>
      <w:r>
        <w:t xml:space="preserve"> background with DPH.  She worked with the CDC Quality Improvement Program on Stroke Prevention using a collaborative approach to QI and hopes to replicate some of the successful strategies used in that program.</w:t>
      </w:r>
      <w:r w:rsidR="00DE3EA6">
        <w:t xml:space="preserve">  Her presentation includes background slides illustrating the role of the TA and their responsibility to improve healthcare, contain costs, and integrate Community and Clinical work-flow and communications that will allow illustrative reporting for evaluation of ROI.</w:t>
      </w:r>
    </w:p>
    <w:p w:rsidR="00D60853" w:rsidRDefault="00DE3EA6" w:rsidP="004416F0">
      <w:r>
        <w:lastRenderedPageBreak/>
        <w:t xml:space="preserve">Key components:  </w:t>
      </w:r>
    </w:p>
    <w:p w:rsidR="00D60853" w:rsidRDefault="00D60853" w:rsidP="004416F0">
      <w:pPr>
        <w:ind w:left="720"/>
      </w:pPr>
      <w:r w:rsidRPr="00D60853">
        <w:rPr>
          <w:u w:val="single"/>
        </w:rPr>
        <w:t>Priority I</w:t>
      </w:r>
      <w:r w:rsidR="004416F0">
        <w:rPr>
          <w:u w:val="single"/>
        </w:rPr>
        <w:t>nterventions based on cost savings</w:t>
      </w:r>
      <w:r w:rsidR="004416F0">
        <w:t>.  Short-term cost savings</w:t>
      </w:r>
      <w:r w:rsidR="00DE3EA6">
        <w:t xml:space="preserve"> can be assessed not just on referrals but on coming together as a group.  Collaborative models</w:t>
      </w:r>
      <w:r>
        <w:t xml:space="preserve"> accelerate the pace of change and improvement.  Data Collection and Analysis components will inform the work and direction of the Trust.</w:t>
      </w:r>
    </w:p>
    <w:p w:rsidR="004416F0" w:rsidRDefault="00D60853" w:rsidP="004416F0">
      <w:pPr>
        <w:ind w:left="720"/>
      </w:pPr>
      <w:proofErr w:type="gramStart"/>
      <w:r w:rsidRPr="00D60853">
        <w:rPr>
          <w:u w:val="single"/>
        </w:rPr>
        <w:t>Capacity/Implementation/ Sustainability.</w:t>
      </w:r>
      <w:proofErr w:type="gramEnd"/>
      <w:r w:rsidRPr="00D60853">
        <w:rPr>
          <w:u w:val="single"/>
        </w:rPr>
        <w:t xml:space="preserve"> </w:t>
      </w:r>
      <w:r w:rsidRPr="00D60853">
        <w:t xml:space="preserve"> 9</w:t>
      </w:r>
      <w:r>
        <w:t xml:space="preserve"> Partnerships are funded and organized in two Cohort groups set on different </w:t>
      </w:r>
      <w:r w:rsidR="0005032F">
        <w:t xml:space="preserve">timelines.  Cohort 1 was given </w:t>
      </w:r>
      <w:r>
        <w:t>a 6-month Capaci</w:t>
      </w:r>
      <w:r w:rsidR="0005032F">
        <w:t>ty phase and Cohort 2 was given</w:t>
      </w:r>
      <w:r>
        <w:t xml:space="preserve"> a 10-month Capacity phase.  We will be looking at the impact of the additional months</w:t>
      </w:r>
      <w:r w:rsidR="0005032F">
        <w:t xml:space="preserve"> on the successful development of i</w:t>
      </w:r>
      <w:r w:rsidR="004416F0">
        <w:t>ntervention programs</w:t>
      </w:r>
      <w:r w:rsidR="0005032F">
        <w:t>.  Some applicants had more experience working together – others</w:t>
      </w:r>
      <w:r w:rsidR="0042577E">
        <w:t xml:space="preserve"> who </w:t>
      </w:r>
      <w:r w:rsidR="0005032F">
        <w:t xml:space="preserve">were new to a more collaborative framework required more work on relationship building.  Cohort 2 had more time to plan and pilot different approaches.  </w:t>
      </w:r>
    </w:p>
    <w:p w:rsidR="0005032F" w:rsidRDefault="0005032F" w:rsidP="004416F0">
      <w:pPr>
        <w:ind w:left="720"/>
      </w:pPr>
      <w:proofErr w:type="gramStart"/>
      <w:r w:rsidRPr="0005032F">
        <w:rPr>
          <w:u w:val="single"/>
        </w:rPr>
        <w:t>Selection of Grantees</w:t>
      </w:r>
      <w:r w:rsidRPr="0005032F">
        <w:t>.</w:t>
      </w:r>
      <w:proofErr w:type="gramEnd"/>
      <w:r>
        <w:t xml:space="preserve">  Distribution of Partnerships across the State, including rural and urban areas allow about 15% of the State population to be </w:t>
      </w:r>
      <w:r w:rsidRPr="009A0E72">
        <w:t>reached.  Priority</w:t>
      </w:r>
      <w:r w:rsidR="0042577E" w:rsidRPr="009A0E72">
        <w:t xml:space="preserve"> Conditions</w:t>
      </w:r>
      <w:r w:rsidRPr="009A0E72">
        <w:t xml:space="preserve"> vs</w:t>
      </w:r>
      <w:r w:rsidR="0042577E" w:rsidRPr="009A0E72">
        <w:t>. Optional C</w:t>
      </w:r>
      <w:r w:rsidRPr="009A0E72">
        <w:t>onditions –</w:t>
      </w:r>
      <w:r w:rsidR="00656211" w:rsidRPr="009A0E72">
        <w:t xml:space="preserve"> Interventions focused on priority c</w:t>
      </w:r>
      <w:r w:rsidR="009C50EC" w:rsidRPr="009A0E72">
        <w:t>onditions are expected to show a positive ROI within 3-5 years, so the applicants were</w:t>
      </w:r>
      <w:r w:rsidR="0042577E" w:rsidRPr="009A0E72">
        <w:t xml:space="preserve"> required to choose 2 of the 4 </w:t>
      </w:r>
      <w:r w:rsidR="009A0E72" w:rsidRPr="009A0E72">
        <w:t>priority conditions</w:t>
      </w:r>
      <w:r w:rsidR="009A0E72">
        <w:t>.</w:t>
      </w:r>
    </w:p>
    <w:p w:rsidR="009C50EC" w:rsidRDefault="009C50EC" w:rsidP="004416F0">
      <w:pPr>
        <w:ind w:left="720"/>
      </w:pPr>
      <w:r w:rsidRPr="00AD671F">
        <w:rPr>
          <w:u w:val="single"/>
        </w:rPr>
        <w:t>Perspective</w:t>
      </w:r>
      <w:r>
        <w:t xml:space="preserve"> – 3 years is a short time to improve a health condition – </w:t>
      </w:r>
      <w:r w:rsidR="009A0E72">
        <w:t xml:space="preserve">the p </w:t>
      </w:r>
      <w:proofErr w:type="spellStart"/>
      <w:r>
        <w:t>riority</w:t>
      </w:r>
      <w:proofErr w:type="spellEnd"/>
      <w:r>
        <w:t xml:space="preserve"> interventions can show improvement in </w:t>
      </w:r>
      <w:r w:rsidR="009A0E72">
        <w:t>a shorter period of time</w:t>
      </w:r>
      <w:r>
        <w:t xml:space="preserve"> therefore, preventable, evidence-based interventions were selected.  Economic factors were taken into consideration – expenditure on specific conditions was used to rank </w:t>
      </w:r>
      <w:r w:rsidR="00E7452D">
        <w:t>or order the health</w:t>
      </w:r>
      <w:r>
        <w:t xml:space="preserve"> conditions</w:t>
      </w:r>
      <w:r w:rsidR="00E7452D">
        <w:t>, then consensus was reached on which trend would most clearly illustrate the impact of interventions.</w:t>
      </w:r>
      <w:r w:rsidR="00F8018B">
        <w:t xml:space="preserve">  Reversing trends on a shorter term to show ROI</w:t>
      </w:r>
      <w:r w:rsidR="00656211">
        <w:t xml:space="preserve"> was primary</w:t>
      </w:r>
      <w:r w:rsidR="00F8018B">
        <w:t xml:space="preserve"> – a lot of research was used in selecting the interventions.  Partnership selection of intervention allows focus on training</w:t>
      </w:r>
      <w:r w:rsidR="00312EDA">
        <w:t>, collaboration</w:t>
      </w:r>
      <w:r w:rsidR="00252F41">
        <w:t xml:space="preserve">, </w:t>
      </w:r>
      <w:r w:rsidR="00312EDA">
        <w:t>support</w:t>
      </w:r>
      <w:r w:rsidR="00252F41">
        <w:t>ing</w:t>
      </w:r>
      <w:r w:rsidR="00312EDA">
        <w:t xml:space="preserve"> </w:t>
      </w:r>
      <w:proofErr w:type="gramStart"/>
      <w:r w:rsidR="00312EDA">
        <w:t>infrastructure</w:t>
      </w:r>
      <w:r w:rsidR="00252F41">
        <w:t xml:space="preserve">  and</w:t>
      </w:r>
      <w:proofErr w:type="gramEnd"/>
      <w:r w:rsidR="00252F41">
        <w:t>, ideally, continuation of intervention efforts beyond the recently developed programs that will soon be transitioning to implementation</w:t>
      </w:r>
      <w:r w:rsidR="00312EDA">
        <w:t>.</w:t>
      </w:r>
    </w:p>
    <w:p w:rsidR="00A24E57" w:rsidRDefault="004416F0">
      <w:r w:rsidRPr="00AD671F">
        <w:rPr>
          <w:i/>
        </w:rPr>
        <w:t>Question:</w:t>
      </w:r>
      <w:r>
        <w:t xml:space="preserve"> </w:t>
      </w:r>
      <w:r w:rsidR="00F8018B">
        <w:t>Representative</w:t>
      </w:r>
      <w:r w:rsidR="00061735">
        <w:t xml:space="preserve"> Jeffrey</w:t>
      </w:r>
      <w:r w:rsidR="00F8018B">
        <w:t xml:space="preserve"> Sanchez asked whether or not and, if so, how</w:t>
      </w:r>
      <w:r w:rsidR="006F45EF">
        <w:t xml:space="preserve"> do</w:t>
      </w:r>
      <w:r w:rsidR="00F8018B">
        <w:t xml:space="preserve"> these programs work with or intersect with other existing initiatives.  Are they a duplication of service</w:t>
      </w:r>
      <w:r w:rsidR="006F45EF">
        <w:t>s</w:t>
      </w:r>
      <w:r w:rsidR="00F8018B">
        <w:t xml:space="preserve">?  An example of an existing program would be Pediatric Asthma.  </w:t>
      </w:r>
    </w:p>
    <w:p w:rsidR="00932CF5" w:rsidRDefault="004416F0">
      <w:r w:rsidRPr="00AD671F">
        <w:rPr>
          <w:i/>
        </w:rPr>
        <w:t>Response</w:t>
      </w:r>
      <w:r>
        <w:t xml:space="preserve">: </w:t>
      </w:r>
      <w:r w:rsidR="00F8018B">
        <w:t>Carlene Pavlos explained that the PWTF Team is working with the Grantees to develop a model, which includes being in sync with other initiatives of the DPH.  There is a conscious effort to create synergy with existing programmatic efforts</w:t>
      </w:r>
      <w:r w:rsidR="00932CF5">
        <w:t xml:space="preserve"> – integrating</w:t>
      </w:r>
      <w:r w:rsidR="00BA647B">
        <w:t xml:space="preserve"> with technical assistance provided to grantees.  Some of the work focuses on behavioral (Mass </w:t>
      </w:r>
      <w:proofErr w:type="gramStart"/>
      <w:r w:rsidR="00BA647B">
        <w:t>In</w:t>
      </w:r>
      <w:proofErr w:type="gramEnd"/>
      <w:r w:rsidR="00BA647B">
        <w:t xml:space="preserve"> Motion) and environmental factors.  </w:t>
      </w:r>
      <w:r w:rsidR="00A24E57">
        <w:t xml:space="preserve">Work on some of the conditions is vital to an </w:t>
      </w:r>
      <w:r w:rsidR="00BA647B">
        <w:t>understanding of the secondary and tertiary layers of impa</w:t>
      </w:r>
      <w:r w:rsidR="00A24E57">
        <w:t>ct to help focus and enhance the ability to create other programs that piggy back on existing programs.  There is and will continue to be</w:t>
      </w:r>
      <w:r w:rsidR="006F45EF">
        <w:t xml:space="preserve"> a dialogue between DPH and HSS.  </w:t>
      </w:r>
    </w:p>
    <w:p w:rsidR="007B13E4" w:rsidRDefault="00932CF5">
      <w:r w:rsidRPr="00AD671F">
        <w:rPr>
          <w:i/>
        </w:rPr>
        <w:lastRenderedPageBreak/>
        <w:t>Response:</w:t>
      </w:r>
      <w:r>
        <w:t xml:space="preserve"> </w:t>
      </w:r>
      <w:r w:rsidR="00061735">
        <w:t xml:space="preserve">Commissioner </w:t>
      </w:r>
      <w:r w:rsidR="00A24E57">
        <w:t>Cheryl Bartlett</w:t>
      </w:r>
      <w:r w:rsidR="007B13E4">
        <w:t xml:space="preserve"> </w:t>
      </w:r>
      <w:r w:rsidR="00A24E57">
        <w:t xml:space="preserve">– being able to charge through CMS for Healthcare Workers is an important consideration </w:t>
      </w:r>
      <w:r>
        <w:t xml:space="preserve">for the future. </w:t>
      </w:r>
    </w:p>
    <w:p w:rsidR="00F17442" w:rsidRDefault="00F17442"/>
    <w:p w:rsidR="00932CF5" w:rsidRDefault="00932CF5">
      <w:r>
        <w:t>Key components (Continued from Laura Coe):</w:t>
      </w:r>
    </w:p>
    <w:p w:rsidR="00625E59" w:rsidRDefault="006F45EF" w:rsidP="00932CF5">
      <w:pPr>
        <w:ind w:left="720"/>
      </w:pPr>
      <w:r>
        <w:t xml:space="preserve">Selection of Clinical and Community Interventions were based partly on the analysis to create each Tier.  </w:t>
      </w:r>
      <w:r w:rsidR="00625E59">
        <w:t xml:space="preserve">The </w:t>
      </w:r>
      <w:r>
        <w:t>Tier 1</w:t>
      </w:r>
      <w:r w:rsidR="00625E59">
        <w:t xml:space="preserve"> focus is </w:t>
      </w:r>
      <w:r w:rsidR="00252F41">
        <w:t xml:space="preserve">on </w:t>
      </w:r>
      <w:r>
        <w:t xml:space="preserve">evidence based </w:t>
      </w:r>
      <w:r w:rsidR="00625E59">
        <w:t>interventions, yet correlations between a Tier 1 and Tier 2 and 3 interventions may exist</w:t>
      </w:r>
      <w:r w:rsidR="00252F41">
        <w:t>,</w:t>
      </w:r>
      <w:r w:rsidR="00625E59">
        <w:t xml:space="preserve"> so they are included in the </w:t>
      </w:r>
      <w:proofErr w:type="spellStart"/>
      <w:r w:rsidR="00625E59">
        <w:t>programs</w:t>
      </w:r>
      <w:r w:rsidR="00252F41">
        <w:t>.T</w:t>
      </w:r>
      <w:r w:rsidR="00625E59">
        <w:t>he</w:t>
      </w:r>
      <w:proofErr w:type="spellEnd"/>
      <w:r w:rsidR="00625E59">
        <w:t xml:space="preserve"> Advisory Board encouraged innovation not simply existing evidence.  Analysis of specific interventions provides information for directing focus.  </w:t>
      </w:r>
    </w:p>
    <w:p w:rsidR="004E1081" w:rsidRDefault="00625E59" w:rsidP="00932CF5">
      <w:pPr>
        <w:ind w:left="720"/>
      </w:pPr>
      <w:r>
        <w:t>Framework/Implementation on the DPH level – determines how we are going to help.  Strategies, resources, templates, tool kits, and technology such as SharePoint – which provides a forum f</w:t>
      </w:r>
      <w:r w:rsidR="00B22F0D">
        <w:t xml:space="preserve">or </w:t>
      </w:r>
      <w:r>
        <w:t>calendars, discuss</w:t>
      </w:r>
      <w:r w:rsidR="00B22F0D">
        <w:t xml:space="preserve">ion boards, and </w:t>
      </w:r>
      <w:r>
        <w:t>storage of</w:t>
      </w:r>
      <w:r w:rsidR="00B22F0D">
        <w:t xml:space="preserve"> information and</w:t>
      </w:r>
      <w:r>
        <w:t xml:space="preserve"> deliverables – help direct the activities between Clinical and Community</w:t>
      </w:r>
      <w:r w:rsidR="00B22F0D">
        <w:t>. Topic-specific Webinars</w:t>
      </w:r>
      <w:r>
        <w:t xml:space="preserve"> </w:t>
      </w:r>
      <w:r w:rsidR="00B22F0D">
        <w:t xml:space="preserve">such as those on Asthma, Budget Development, and Partnership Best Practices provide regular learning opportunities along with the weekly e-newsletter and individual TA coaching to assist with infrastructure and QI Plans.  </w:t>
      </w:r>
    </w:p>
    <w:p w:rsidR="006F45EF" w:rsidRDefault="00B22F0D" w:rsidP="00932CF5">
      <w:pPr>
        <w:ind w:left="720"/>
      </w:pPr>
      <w:r>
        <w:t>An IHI model is used for rapid learning.</w:t>
      </w:r>
      <w:r w:rsidR="00C632FC">
        <w:t xml:space="preserve">  Activities of the PWTF include:</w:t>
      </w:r>
    </w:p>
    <w:p w:rsidR="004E1081" w:rsidRDefault="00C632FC" w:rsidP="009A0E72">
      <w:pPr>
        <w:ind w:left="1440"/>
      </w:pPr>
      <w:r>
        <w:t>Working with Grantees by asking them to share their</w:t>
      </w:r>
      <w:r w:rsidR="00B22F0D">
        <w:t xml:space="preserve"> challenges and encourage them to examine their work – what can they do to improve?  </w:t>
      </w:r>
    </w:p>
    <w:p w:rsidR="00C632FC" w:rsidRDefault="00C632FC" w:rsidP="009A0E72">
      <w:pPr>
        <w:ind w:left="1440"/>
      </w:pPr>
      <w:proofErr w:type="gramStart"/>
      <w:r>
        <w:t>Drawing</w:t>
      </w:r>
      <w:r w:rsidR="004E1081">
        <w:t xml:space="preserve"> on expertise in the field for each intervention/condition – Provide access to Subject Matter Experts (SMEs).</w:t>
      </w:r>
      <w:proofErr w:type="gramEnd"/>
      <w:r w:rsidRPr="00C632FC">
        <w:t xml:space="preserve"> </w:t>
      </w:r>
    </w:p>
    <w:p w:rsidR="00C632FC" w:rsidRDefault="00C632FC" w:rsidP="009A0E72">
      <w:pPr>
        <w:ind w:left="1440"/>
      </w:pPr>
      <w:r>
        <w:t>Performing Coaching Site Visits and provide Individual Support via email and telephone to help grantees develop algorithms that streamline workflow and create a closed information loop.</w:t>
      </w:r>
    </w:p>
    <w:p w:rsidR="004E1081" w:rsidRDefault="00C632FC" w:rsidP="009A0E72">
      <w:pPr>
        <w:ind w:left="1440"/>
      </w:pPr>
      <w:r>
        <w:t>Organizing and hosting</w:t>
      </w:r>
      <w:r w:rsidR="004E1081">
        <w:t xml:space="preserve"> Quarterly Learning Sessions where collaborative learning </w:t>
      </w:r>
      <w:r>
        <w:t xml:space="preserve">is encouraged and </w:t>
      </w:r>
      <w:r w:rsidR="004E1081">
        <w:t>Communities of Practice</w:t>
      </w:r>
      <w:r>
        <w:t xml:space="preserve"> develop.  Smaller groups with specific knowledge meet to </w:t>
      </w:r>
      <w:r w:rsidR="00901062">
        <w:t xml:space="preserve">exchange experiences and share ideas to </w:t>
      </w:r>
      <w:r>
        <w:t>develop resource groups and tools to work collaboratively.  Training takes place internally on Quality Improvement and Topics and the same framework can be used for external training of CHWs.</w:t>
      </w:r>
    </w:p>
    <w:p w:rsidR="00901062" w:rsidRDefault="00C632FC" w:rsidP="009A0E72">
      <w:pPr>
        <w:ind w:left="1440"/>
      </w:pPr>
      <w:r>
        <w:t>Summary evaluations</w:t>
      </w:r>
      <w:r w:rsidR="00901062">
        <w:t xml:space="preserve"> provide us with feedback on Learning Sessions.  Feedback from a recent Learning Session expresses the value of working together collaboratively during breakout sessions.  Also, the review of a Condition Specific Algorithm Sample was appreciated. The work group lead walled through how patients are seen, assessed, referred, and feedback is received and processed.  The group leader encourages various approaches and brainstorms with the group about their processes.  For example: One group arrived at the conclusion that they need a HUB for referral to manage two-way communication.  The Falls Prevention group expressed that the algorithms help frame their process.  Algorithms help them to think connectively about workflow and how information gets back to the Primary Care Clinician.</w:t>
      </w:r>
    </w:p>
    <w:p w:rsidR="00C632FC" w:rsidRDefault="00932CF5">
      <w:r w:rsidRPr="00F17442">
        <w:rPr>
          <w:i/>
        </w:rPr>
        <w:t>Questions:</w:t>
      </w:r>
      <w:r>
        <w:t xml:space="preserve"> </w:t>
      </w:r>
      <w:r w:rsidR="00F01A99">
        <w:t xml:space="preserve"> </w:t>
      </w:r>
      <w:r w:rsidR="00901062">
        <w:t>Susan Servais</w:t>
      </w:r>
      <w:r w:rsidR="00061735">
        <w:t>,</w:t>
      </w:r>
      <w:r w:rsidR="00017F60">
        <w:t xml:space="preserve"> Executive Director Massachusetts Health Council, Inc.</w:t>
      </w:r>
      <w:r w:rsidR="00061735">
        <w:t xml:space="preserve"> (Consumer Health Organization)</w:t>
      </w:r>
      <w:r w:rsidR="00901062">
        <w:t xml:space="preserve"> asked: Where does the algorithm lead when the </w:t>
      </w:r>
      <w:r w:rsidR="002E1AAE">
        <w:t xml:space="preserve">referral hasn’t </w:t>
      </w:r>
      <w:r w:rsidR="00901062">
        <w:t xml:space="preserve">completed the process </w:t>
      </w:r>
      <w:r w:rsidR="002E1AAE">
        <w:t>or is a no show?</w:t>
      </w:r>
    </w:p>
    <w:p w:rsidR="00F17442" w:rsidRDefault="00932CF5">
      <w:r w:rsidRPr="00F17442">
        <w:rPr>
          <w:i/>
        </w:rPr>
        <w:t>Response:</w:t>
      </w:r>
      <w:r>
        <w:t xml:space="preserve"> </w:t>
      </w:r>
      <w:r w:rsidR="00F01A99">
        <w:t xml:space="preserve"> </w:t>
      </w:r>
      <w:r w:rsidR="002E1AAE">
        <w:t>Laura</w:t>
      </w:r>
      <w:r w:rsidR="00061735">
        <w:t xml:space="preserve"> Coe</w:t>
      </w:r>
      <w:r w:rsidR="002E1AAE">
        <w:t xml:space="preserve"> replied that algorithms are new to many community-based agencies and our experience in the field shows that they are developing systems modeled, in part, after the sample algorithm.  </w:t>
      </w:r>
    </w:p>
    <w:p w:rsidR="002E1AAE" w:rsidRDefault="002E1AAE">
      <w:r>
        <w:t>There are examples in each of 9 Partnerships:</w:t>
      </w:r>
    </w:p>
    <w:p w:rsidR="002E1AAE" w:rsidRDefault="002E1AAE" w:rsidP="00932CF5">
      <w:pPr>
        <w:ind w:left="720"/>
      </w:pPr>
      <w:r>
        <w:t>Pediatric Asthma – BPHC will utilize an electronic communications link for Boston Public Schools to allow exchange of information between the School Nurse and PCP.</w:t>
      </w:r>
    </w:p>
    <w:p w:rsidR="002E1AAE" w:rsidRDefault="002E1AAE" w:rsidP="00932CF5">
      <w:pPr>
        <w:ind w:left="720"/>
      </w:pPr>
      <w:r w:rsidRPr="00932CF5">
        <w:t xml:space="preserve">Worcester is using </w:t>
      </w:r>
      <w:r w:rsidR="00932CF5">
        <w:t xml:space="preserve">both clinical and community-based CHWs </w:t>
      </w:r>
      <w:r w:rsidR="00BD3BD8" w:rsidRPr="00932CF5">
        <w:t>for a new innovative approach</w:t>
      </w:r>
      <w:r w:rsidR="00932CF5" w:rsidRPr="00932CF5">
        <w:t>.</w:t>
      </w:r>
    </w:p>
    <w:p w:rsidR="002E1AAE" w:rsidRDefault="002E1AAE" w:rsidP="00932CF5">
      <w:pPr>
        <w:ind w:left="720"/>
      </w:pPr>
      <w:r>
        <w:t xml:space="preserve">Elder Falls </w:t>
      </w:r>
      <w:r w:rsidR="00932CF5">
        <w:t>Prevention –</w:t>
      </w:r>
      <w:r>
        <w:t xml:space="preserve"> Quincy and Weymout</w:t>
      </w:r>
      <w:r w:rsidR="00932CF5">
        <w:t xml:space="preserve">h – Health Department Nurses are </w:t>
      </w:r>
      <w:r>
        <w:t>being funded</w:t>
      </w:r>
      <w:r w:rsidR="00932CF5">
        <w:t xml:space="preserve"> to work preventing falls</w:t>
      </w:r>
      <w:r>
        <w:t xml:space="preserve"> in the community</w:t>
      </w:r>
      <w:r w:rsidR="00932CF5">
        <w:t>.</w:t>
      </w:r>
    </w:p>
    <w:p w:rsidR="00B22F0D" w:rsidRDefault="00BD3BD8" w:rsidP="00932CF5">
      <w:pPr>
        <w:ind w:left="720"/>
      </w:pPr>
      <w:r>
        <w:t>Elder Falls Prevention – New Bedford is implementing a large system for Falls Risk Assessment that will likely serve as a model.</w:t>
      </w:r>
    </w:p>
    <w:p w:rsidR="00BD3BD8" w:rsidRDefault="00BD3BD8" w:rsidP="00932CF5">
      <w:pPr>
        <w:ind w:left="720"/>
      </w:pPr>
      <w:r>
        <w:t>Hypertension – Berkshire Senior Services is embedded at the Community Health Center</w:t>
      </w:r>
    </w:p>
    <w:p w:rsidR="006F45EF" w:rsidRDefault="00BD3BD8" w:rsidP="00932CF5">
      <w:pPr>
        <w:ind w:left="720"/>
      </w:pPr>
      <w:r>
        <w:t>Barnstable – Three Health Centers are collaborating to do referrals</w:t>
      </w:r>
    </w:p>
    <w:p w:rsidR="00BD3BD8" w:rsidRDefault="00BD3BD8" w:rsidP="00932CF5">
      <w:pPr>
        <w:ind w:left="720"/>
      </w:pPr>
      <w:r>
        <w:t>Holyoke – is connecting Clinical Partners</w:t>
      </w:r>
      <w:r w:rsidR="00932CF5">
        <w:t xml:space="preserve"> electronically</w:t>
      </w:r>
    </w:p>
    <w:p w:rsidR="00BD3BD8" w:rsidRDefault="00BD3BD8" w:rsidP="00F17442">
      <w:pPr>
        <w:ind w:left="720"/>
      </w:pPr>
      <w:r>
        <w:t>Metro West</w:t>
      </w:r>
      <w:r w:rsidR="00932CF5">
        <w:t xml:space="preserve"> Partnership – Integrating their programming amongst</w:t>
      </w:r>
      <w:r>
        <w:t xml:space="preserve"> 4 Boards of Health</w:t>
      </w:r>
    </w:p>
    <w:p w:rsidR="00BD3BD8" w:rsidRPr="00DE0199" w:rsidRDefault="00BD3BD8" w:rsidP="00F17442">
      <w:pPr>
        <w:rPr>
          <w:u w:val="single"/>
        </w:rPr>
      </w:pPr>
      <w:r w:rsidRPr="00DE0199">
        <w:rPr>
          <w:u w:val="single"/>
        </w:rPr>
        <w:t>Challenges and Positives</w:t>
      </w:r>
    </w:p>
    <w:p w:rsidR="00BD3BD8" w:rsidRDefault="00BD3BD8" w:rsidP="00932CF5">
      <w:pPr>
        <w:ind w:left="720"/>
      </w:pPr>
      <w:r>
        <w:t>“Favorite days are in the field</w:t>
      </w:r>
      <w:r w:rsidR="00932CF5">
        <w:t>” PWTF</w:t>
      </w:r>
      <w:r>
        <w:t xml:space="preserve"> is in our own capacity-building phase.  We are hiring additional resources and developing a relationship of trust with the Partnerships.</w:t>
      </w:r>
    </w:p>
    <w:p w:rsidR="00DE0199" w:rsidRDefault="00BD3BD8" w:rsidP="00932CF5">
      <w:pPr>
        <w:ind w:left="720" w:firstLine="720"/>
      </w:pPr>
      <w:r>
        <w:t>Challenges</w:t>
      </w:r>
      <w:r w:rsidR="00DE0199">
        <w:t>:</w:t>
      </w:r>
    </w:p>
    <w:p w:rsidR="00BD3BD8" w:rsidRDefault="00DE0199" w:rsidP="00932CF5">
      <w:pPr>
        <w:ind w:left="2160"/>
      </w:pPr>
      <w:proofErr w:type="gramStart"/>
      <w:r>
        <w:t>E</w:t>
      </w:r>
      <w:r w:rsidR="00BD3BD8">
        <w:t>agerness to implement – ahead of anticipating the level of need and setting down the foundation.</w:t>
      </w:r>
      <w:proofErr w:type="gramEnd"/>
      <w:r>
        <w:t xml:space="preserve">  </w:t>
      </w:r>
    </w:p>
    <w:p w:rsidR="00DE0199" w:rsidRDefault="00DE0199" w:rsidP="00F17442">
      <w:pPr>
        <w:ind w:left="1440" w:firstLine="720"/>
      </w:pPr>
      <w:r>
        <w:t>Balance: Evidence Innovation w Robust ROI Evidence</w:t>
      </w:r>
      <w:r w:rsidR="00F17442">
        <w:t xml:space="preserve"> </w:t>
      </w:r>
      <w:r>
        <w:t>Innovating for Cost Savings</w:t>
      </w:r>
    </w:p>
    <w:p w:rsidR="00F01A99" w:rsidRDefault="00F01A99">
      <w:pPr>
        <w:rPr>
          <w:u w:val="single"/>
        </w:rPr>
      </w:pPr>
    </w:p>
    <w:p w:rsidR="00DE0199" w:rsidRPr="00310191" w:rsidRDefault="00DE0199">
      <w:pPr>
        <w:rPr>
          <w:u w:val="single"/>
        </w:rPr>
      </w:pPr>
      <w:proofErr w:type="gramStart"/>
      <w:r w:rsidRPr="00310191">
        <w:rPr>
          <w:u w:val="single"/>
        </w:rPr>
        <w:t>e-Referral</w:t>
      </w:r>
      <w:proofErr w:type="gramEnd"/>
      <w:r w:rsidRPr="00310191">
        <w:rPr>
          <w:u w:val="single"/>
        </w:rPr>
        <w:t xml:space="preserve"> Demonstration – Laura Nasuti</w:t>
      </w:r>
    </w:p>
    <w:p w:rsidR="00932CF5" w:rsidRDefault="00DE0199">
      <w:r>
        <w:t>Where we are – Lessons learned – how e-Referr</w:t>
      </w:r>
      <w:r w:rsidR="00932CF5">
        <w:t>al Team partners with PWTF Tea</w:t>
      </w:r>
      <w:r w:rsidR="00F17442">
        <w:t>m</w:t>
      </w:r>
    </w:p>
    <w:p w:rsidR="00726AEE" w:rsidRDefault="00DE0199">
      <w:r>
        <w:t>6 States were awarded funding to test e-Referral pilot and program software system.  They selected whom they would partner with.  Pilot sit</w:t>
      </w:r>
      <w:r w:rsidR="00726AEE">
        <w:t>es are Community Health Centers</w:t>
      </w:r>
      <w:r w:rsidR="00932CF5">
        <w:t xml:space="preserve">. </w:t>
      </w:r>
      <w:r w:rsidR="00726AEE">
        <w:t xml:space="preserve">A CHIA drive was used </w:t>
      </w:r>
      <w:r w:rsidR="00310191">
        <w:t>for medical records.  CHIA</w:t>
      </w:r>
      <w:r w:rsidR="00726AEE">
        <w:t xml:space="preserve"> has the capacity to extract information on whether or not e-Referral was used and acted upon and, if acted upon, provide the outcome information.  </w:t>
      </w:r>
      <w:r w:rsidR="00310191">
        <w:t>This technology e</w:t>
      </w:r>
      <w:r w:rsidR="00726AEE">
        <w:t xml:space="preserve">nables tracking services to health </w:t>
      </w:r>
      <w:r w:rsidR="00F17442">
        <w:t>outcomes. The</w:t>
      </w:r>
      <w:r w:rsidR="00726AEE">
        <w:t xml:space="preserve"> linkage of Clinical – Community – Clinical can help leverage programs statewide.</w:t>
      </w:r>
    </w:p>
    <w:p w:rsidR="00DE0199" w:rsidRDefault="00932CF5">
      <w:r>
        <w:t>Pilot Community Health C</w:t>
      </w:r>
      <w:r w:rsidR="00726AEE">
        <w:t>enters are Brockton, Harbor Health, and Manet.  They all chose their interventions.</w:t>
      </w:r>
    </w:p>
    <w:p w:rsidR="00340311" w:rsidRDefault="00340311"/>
    <w:p w:rsidR="00310191" w:rsidRDefault="00310191">
      <w:r>
        <w:t>Early lessons learned:</w:t>
      </w:r>
    </w:p>
    <w:p w:rsidR="00310191" w:rsidRDefault="00310191" w:rsidP="00310191">
      <w:pPr>
        <w:ind w:left="720"/>
      </w:pPr>
      <w:r>
        <w:t>Overall workflow and developing business rules where there is no</w:t>
      </w:r>
      <w:r w:rsidR="00932CF5">
        <w:t xml:space="preserve">t a </w:t>
      </w:r>
      <w:r>
        <w:t>formal proce</w:t>
      </w:r>
      <w:r w:rsidR="00932CF5">
        <w:t>ss.  Development of rules needed</w:t>
      </w:r>
      <w:r>
        <w:t xml:space="preserve"> to determine how, when, and how many times a community based organization attempts contact and when do they direct back to </w:t>
      </w:r>
      <w:r w:rsidR="00932CF5">
        <w:t xml:space="preserve">the </w:t>
      </w:r>
      <w:r>
        <w:t>clinical</w:t>
      </w:r>
      <w:r w:rsidR="00932CF5">
        <w:t xml:space="preserve"> organization</w:t>
      </w:r>
      <w:r>
        <w:t xml:space="preserve">.  An example would be Meals </w:t>
      </w:r>
      <w:proofErr w:type="gramStart"/>
      <w:r>
        <w:t>On</w:t>
      </w:r>
      <w:proofErr w:type="gramEnd"/>
      <w:r>
        <w:t xml:space="preserve"> Wheels – When is the appropriate time for the feedback loop to close?  How long does the referral remain open?  </w:t>
      </w:r>
    </w:p>
    <w:p w:rsidR="00310191" w:rsidRDefault="00310191" w:rsidP="00310191">
      <w:pPr>
        <w:ind w:left="720"/>
      </w:pPr>
      <w:r>
        <w:t>Prom</w:t>
      </w:r>
      <w:r w:rsidR="00932CF5">
        <w:t>otion of making the referrals- d</w:t>
      </w:r>
      <w:r>
        <w:t xml:space="preserve">ifferent Partners have distinct needs.  </w:t>
      </w:r>
    </w:p>
    <w:p w:rsidR="00310191" w:rsidRDefault="00310191" w:rsidP="00310191">
      <w:pPr>
        <w:ind w:left="720"/>
      </w:pPr>
      <w:r>
        <w:t xml:space="preserve">Data sharing Agreements – Community-based organizations need </w:t>
      </w:r>
      <w:r w:rsidR="00932CF5">
        <w:t xml:space="preserve">to build </w:t>
      </w:r>
      <w:r>
        <w:t>capacity to deal with data sharing.</w:t>
      </w:r>
    </w:p>
    <w:p w:rsidR="00310191" w:rsidRDefault="00310191" w:rsidP="00310191">
      <w:pPr>
        <w:ind w:left="720"/>
      </w:pPr>
      <w:proofErr w:type="gramStart"/>
      <w:r>
        <w:t>e-Referral</w:t>
      </w:r>
      <w:proofErr w:type="gramEnd"/>
      <w:r w:rsidR="00F01A99">
        <w:t xml:space="preserve"> (</w:t>
      </w:r>
      <w:r>
        <w:t>launched in June</w:t>
      </w:r>
      <w:r w:rsidR="00F01A99">
        <w:t xml:space="preserve">) – working </w:t>
      </w:r>
      <w:r>
        <w:t xml:space="preserve">with PWTF and Partnerships to educate about e-Referral.  Workflow piece is critical </w:t>
      </w:r>
      <w:r w:rsidR="002401CE">
        <w:t xml:space="preserve">in addition to the technology.  </w:t>
      </w:r>
    </w:p>
    <w:p w:rsidR="002401CE" w:rsidRDefault="002401CE" w:rsidP="00310191">
      <w:pPr>
        <w:ind w:left="720"/>
      </w:pPr>
      <w:r>
        <w:t>Gateway Demo:  3 Parts to e-Referral</w:t>
      </w:r>
    </w:p>
    <w:p w:rsidR="0086132A" w:rsidRDefault="0086132A" w:rsidP="002401CE">
      <w:pPr>
        <w:pStyle w:val="ListParagraph"/>
        <w:numPr>
          <w:ilvl w:val="0"/>
          <w:numId w:val="1"/>
        </w:numPr>
      </w:pPr>
      <w:r>
        <w:t xml:space="preserve">The Referral: </w:t>
      </w:r>
      <w:r w:rsidR="002401CE">
        <w:t xml:space="preserve">Clinical – has the ability to send directly from medical record.  </w:t>
      </w:r>
    </w:p>
    <w:p w:rsidR="002401CE" w:rsidRDefault="002401CE" w:rsidP="0086132A">
      <w:pPr>
        <w:pStyle w:val="ListParagraph"/>
        <w:ind w:left="1800"/>
      </w:pPr>
      <w:r>
        <w:t>Gateway allows the community</w:t>
      </w:r>
      <w:r w:rsidR="0086132A">
        <w:t>-based user to function like an</w:t>
      </w:r>
      <w:r>
        <w:t xml:space="preserve"> email inbox.  Displayed will be where the referral comes from, who is </w:t>
      </w:r>
      <w:r w:rsidR="0086132A">
        <w:t>the main contact, and pertinent information from medical record is sent.</w:t>
      </w:r>
    </w:p>
    <w:p w:rsidR="0086132A" w:rsidRDefault="0086132A" w:rsidP="002401CE">
      <w:pPr>
        <w:pStyle w:val="ListParagraph"/>
        <w:numPr>
          <w:ilvl w:val="0"/>
          <w:numId w:val="1"/>
        </w:numPr>
      </w:pPr>
      <w:r>
        <w:t xml:space="preserve">Feedback:  Reports can be </w:t>
      </w:r>
      <w:proofErr w:type="gramStart"/>
      <w:r>
        <w:t>reviewed/created</w:t>
      </w:r>
      <w:proofErr w:type="gramEnd"/>
      <w:r>
        <w:t xml:space="preserve">.  A referral can be opened or closed and “activity status” can provide details on participation.  Required documents can be attached and </w:t>
      </w:r>
    </w:p>
    <w:p w:rsidR="0086132A" w:rsidRDefault="0086132A" w:rsidP="002401CE">
      <w:pPr>
        <w:pStyle w:val="ListParagraph"/>
        <w:numPr>
          <w:ilvl w:val="0"/>
          <w:numId w:val="1"/>
        </w:numPr>
      </w:pPr>
      <w:r>
        <w:t>Sent to Clinical organization and can be embedded into the electronic medical record.</w:t>
      </w:r>
    </w:p>
    <w:p w:rsidR="00340311" w:rsidRDefault="00340311" w:rsidP="0086132A">
      <w:pPr>
        <w:pStyle w:val="ListParagraph"/>
        <w:ind w:left="90"/>
        <w:rPr>
          <w:u w:val="single"/>
        </w:rPr>
      </w:pPr>
    </w:p>
    <w:p w:rsidR="00340311" w:rsidRDefault="00340311" w:rsidP="0086132A">
      <w:pPr>
        <w:pStyle w:val="ListParagraph"/>
        <w:ind w:left="90"/>
        <w:rPr>
          <w:u w:val="single"/>
        </w:rPr>
      </w:pPr>
    </w:p>
    <w:p w:rsidR="00340311" w:rsidRDefault="00340311" w:rsidP="0086132A">
      <w:pPr>
        <w:pStyle w:val="ListParagraph"/>
        <w:ind w:left="90"/>
        <w:rPr>
          <w:u w:val="single"/>
        </w:rPr>
      </w:pPr>
    </w:p>
    <w:p w:rsidR="00AD671F" w:rsidRDefault="00AD671F" w:rsidP="0086132A">
      <w:pPr>
        <w:pStyle w:val="ListParagraph"/>
        <w:ind w:left="90"/>
      </w:pPr>
      <w:proofErr w:type="gramStart"/>
      <w:r w:rsidRPr="00AD671F">
        <w:rPr>
          <w:u w:val="single"/>
        </w:rPr>
        <w:t>e-referral</w:t>
      </w:r>
      <w:proofErr w:type="gramEnd"/>
      <w:r w:rsidRPr="00AD671F">
        <w:rPr>
          <w:u w:val="single"/>
        </w:rPr>
        <w:t xml:space="preserve"> - </w:t>
      </w:r>
      <w:r w:rsidR="0086132A" w:rsidRPr="00AD671F">
        <w:rPr>
          <w:u w:val="single"/>
        </w:rPr>
        <w:t xml:space="preserve">Susan Svencer </w:t>
      </w:r>
      <w:r w:rsidR="00DF17E8">
        <w:t xml:space="preserve">– TA Generalist </w:t>
      </w:r>
      <w:r w:rsidR="0086132A">
        <w:t>–</w:t>
      </w:r>
      <w:r w:rsidR="00017F60">
        <w:t xml:space="preserve"> </w:t>
      </w:r>
      <w:r>
        <w:t xml:space="preserve">is the liaison between PWTF and e-Referral </w:t>
      </w:r>
    </w:p>
    <w:p w:rsidR="00AD671F" w:rsidRDefault="00AD671F" w:rsidP="0086132A">
      <w:pPr>
        <w:pStyle w:val="ListParagraph"/>
        <w:ind w:left="90"/>
      </w:pPr>
    </w:p>
    <w:p w:rsidR="0086132A" w:rsidRDefault="0086132A" w:rsidP="00AD671F">
      <w:pPr>
        <w:pStyle w:val="ListParagraph"/>
        <w:ind w:left="1440"/>
      </w:pPr>
      <w:r>
        <w:t>Material Development</w:t>
      </w:r>
      <w:r w:rsidR="00AD671F">
        <w:t xml:space="preserve"> </w:t>
      </w:r>
      <w:r>
        <w:t>Checklists are used to track and update what is needed to go live with e-Referral.</w:t>
      </w:r>
    </w:p>
    <w:p w:rsidR="0086132A" w:rsidRDefault="0086132A" w:rsidP="0086132A">
      <w:pPr>
        <w:pStyle w:val="ListParagraph"/>
        <w:ind w:left="90"/>
      </w:pPr>
      <w:r>
        <w:tab/>
      </w:r>
      <w:r w:rsidR="00AD671F">
        <w:tab/>
      </w:r>
      <w:r>
        <w:t>FAQs and Glossaries of Terms clarify information involved in processes</w:t>
      </w:r>
    </w:p>
    <w:p w:rsidR="0086132A" w:rsidRDefault="0086132A" w:rsidP="0086132A">
      <w:pPr>
        <w:pStyle w:val="ListParagraph"/>
        <w:ind w:left="90"/>
      </w:pPr>
      <w:r>
        <w:tab/>
      </w:r>
      <w:r w:rsidR="00AD671F">
        <w:tab/>
      </w:r>
      <w:r>
        <w:t xml:space="preserve">A collaborative model allows examples to be drawn from what works and </w:t>
      </w:r>
      <w:r w:rsidR="00340311">
        <w:t xml:space="preserve">to be </w:t>
      </w:r>
      <w:r>
        <w:t>shared</w:t>
      </w:r>
      <w:r w:rsidR="00340311">
        <w:t>.</w:t>
      </w:r>
    </w:p>
    <w:p w:rsidR="0086132A" w:rsidRDefault="0086132A" w:rsidP="0086132A">
      <w:pPr>
        <w:pStyle w:val="ListParagraph"/>
        <w:ind w:left="90"/>
      </w:pPr>
    </w:p>
    <w:p w:rsidR="0086132A" w:rsidRDefault="00AD671F" w:rsidP="0086132A">
      <w:pPr>
        <w:pStyle w:val="ListParagraph"/>
        <w:ind w:left="90"/>
      </w:pPr>
      <w:r w:rsidRPr="00F17442">
        <w:rPr>
          <w:i/>
        </w:rPr>
        <w:t>Comment</w:t>
      </w:r>
      <w:r>
        <w:t xml:space="preserve">: </w:t>
      </w:r>
      <w:r w:rsidR="00017F60">
        <w:t>Lisa Renee Holderby-</w:t>
      </w:r>
      <w:r w:rsidR="0086132A">
        <w:t xml:space="preserve">Fox </w:t>
      </w:r>
      <w:r w:rsidR="00DF17E8">
        <w:t xml:space="preserve">– Board Member – Acknowledges </w:t>
      </w:r>
      <w:r w:rsidR="00BF6F67">
        <w:t>the</w:t>
      </w:r>
      <w:r w:rsidR="0086132A">
        <w:t xml:space="preserve"> Team</w:t>
      </w:r>
      <w:r w:rsidR="00BF6F67">
        <w:t>’s effort and comments</w:t>
      </w:r>
      <w:r w:rsidR="0086132A">
        <w:t xml:space="preserve"> on the amount of work and the learning curve involved for Community Organizations </w:t>
      </w:r>
      <w:r w:rsidR="00BF6F67">
        <w:t>and that it seems manageable as presented.</w:t>
      </w:r>
    </w:p>
    <w:p w:rsidR="00BF6F67" w:rsidRDefault="00BF6F67" w:rsidP="0086132A">
      <w:pPr>
        <w:pStyle w:val="ListParagraph"/>
        <w:ind w:left="90"/>
      </w:pPr>
    </w:p>
    <w:p w:rsidR="00BF6F67" w:rsidRDefault="00AD671F" w:rsidP="0086132A">
      <w:pPr>
        <w:pStyle w:val="ListParagraph"/>
        <w:ind w:left="90"/>
      </w:pPr>
      <w:r w:rsidRPr="00F17442">
        <w:rPr>
          <w:i/>
        </w:rPr>
        <w:t>Comment:</w:t>
      </w:r>
      <w:r>
        <w:t xml:space="preserve"> </w:t>
      </w:r>
      <w:r w:rsidR="00BF6F67">
        <w:t>Carlene Pavlos: Acknowledges that the greatest challenge is talking about Workflow.  The TA coaches are performing the critical work involved in preparation for onboarding e-Referral.</w:t>
      </w:r>
    </w:p>
    <w:p w:rsidR="00BF6F67" w:rsidRDefault="00BF6F67" w:rsidP="0086132A">
      <w:pPr>
        <w:pStyle w:val="ListParagraph"/>
        <w:ind w:left="90"/>
      </w:pPr>
    </w:p>
    <w:p w:rsidR="00BF6F67" w:rsidRDefault="00AD671F" w:rsidP="0086132A">
      <w:pPr>
        <w:pStyle w:val="ListParagraph"/>
        <w:ind w:left="90"/>
      </w:pPr>
      <w:r w:rsidRPr="00F17442">
        <w:rPr>
          <w:i/>
        </w:rPr>
        <w:t>Comment:</w:t>
      </w:r>
      <w:r>
        <w:t xml:space="preserve"> L</w:t>
      </w:r>
      <w:r w:rsidR="00BF6F67">
        <w:t>issette Blondet</w:t>
      </w:r>
      <w:r w:rsidR="00DF17E8">
        <w:t xml:space="preserve"> – Community TA/QI</w:t>
      </w:r>
      <w:r w:rsidR="00BF6F67">
        <w:t xml:space="preserve">:  Agrees that workflow is essential and that the discussion with grantees is multi-layered.  10% </w:t>
      </w:r>
      <w:proofErr w:type="gramStart"/>
      <w:r w:rsidR="00BF6F67">
        <w:t>technology</w:t>
      </w:r>
      <w:r>
        <w:t xml:space="preserve"> </w:t>
      </w:r>
      <w:r w:rsidR="00BF6F67">
        <w:t xml:space="preserve"> 90</w:t>
      </w:r>
      <w:proofErr w:type="gramEnd"/>
      <w:r w:rsidR="00BF6F67">
        <w:t>% common sense.  The community organizations must have an understanding of how things relate.</w:t>
      </w:r>
    </w:p>
    <w:p w:rsidR="00BF6F67" w:rsidRDefault="00BF6F67" w:rsidP="0086132A">
      <w:pPr>
        <w:pStyle w:val="ListParagraph"/>
        <w:ind w:left="90"/>
      </w:pPr>
    </w:p>
    <w:p w:rsidR="00BF6F67" w:rsidRDefault="00AD671F" w:rsidP="0086132A">
      <w:pPr>
        <w:pStyle w:val="ListParagraph"/>
        <w:ind w:left="90"/>
      </w:pPr>
      <w:r w:rsidRPr="00F17442">
        <w:rPr>
          <w:i/>
        </w:rPr>
        <w:t>Question:</w:t>
      </w:r>
      <w:r>
        <w:t xml:space="preserve"> </w:t>
      </w:r>
      <w:r w:rsidR="00BF6F67">
        <w:t xml:space="preserve">Susan Servais asks:  Where does HPPA fall into this?  Are patients asked to sign-off that their information is being shared with a community organization?  </w:t>
      </w:r>
    </w:p>
    <w:p w:rsidR="00BF6F67" w:rsidRDefault="00BF6F67" w:rsidP="0086132A">
      <w:pPr>
        <w:pStyle w:val="ListParagraph"/>
        <w:ind w:left="90"/>
      </w:pPr>
    </w:p>
    <w:p w:rsidR="00BF6F67" w:rsidRDefault="00AD671F" w:rsidP="0086132A">
      <w:pPr>
        <w:pStyle w:val="ListParagraph"/>
        <w:ind w:left="90"/>
      </w:pPr>
      <w:r w:rsidRPr="00F17442">
        <w:rPr>
          <w:i/>
        </w:rPr>
        <w:t>Response:</w:t>
      </w:r>
      <w:r>
        <w:t xml:space="preserve"> </w:t>
      </w:r>
      <w:r w:rsidR="00BF6F67">
        <w:t>Carlene Pavlos replied that she has been working with the Mass League and DPH</w:t>
      </w:r>
      <w:r w:rsidR="009953E2">
        <w:t>’s</w:t>
      </w:r>
      <w:r w:rsidR="00BF6F67">
        <w:t xml:space="preserve"> own legal team to address the need for consent and a Data Sharing Agreement is in development.  DPH is comfortable with the partnerships sharing data with DPH and we are still working on that question.</w:t>
      </w:r>
    </w:p>
    <w:p w:rsidR="00C62B06" w:rsidRDefault="00C62B06" w:rsidP="0086132A">
      <w:pPr>
        <w:pStyle w:val="ListParagraph"/>
        <w:ind w:left="90"/>
      </w:pPr>
    </w:p>
    <w:p w:rsidR="00C62B06" w:rsidRDefault="00AD671F" w:rsidP="0086132A">
      <w:pPr>
        <w:pStyle w:val="ListParagraph"/>
        <w:ind w:left="90"/>
      </w:pPr>
      <w:r w:rsidRPr="00F17442">
        <w:rPr>
          <w:i/>
        </w:rPr>
        <w:t>Response:</w:t>
      </w:r>
      <w:r>
        <w:t xml:space="preserve"> </w:t>
      </w:r>
      <w:r w:rsidR="00C62B06">
        <w:t>Laura Nasuti</w:t>
      </w:r>
      <w:r w:rsidR="00017F60">
        <w:t>, OSE Deputy Director,</w:t>
      </w:r>
      <w:r w:rsidR="00C62B06">
        <w:t xml:space="preserve"> mentioned that there is already double consent in the Clinical Social Work model.  They always consent their patients.  Also, there is a need to simplify – determine what info is needed and then restrict info. Determine what that means in terms of consent.  This is a consideration also for data that partnerships share with DPH.</w:t>
      </w:r>
    </w:p>
    <w:p w:rsidR="00C62B06" w:rsidRDefault="00C62B06" w:rsidP="0086132A">
      <w:pPr>
        <w:pStyle w:val="ListParagraph"/>
        <w:ind w:left="90"/>
      </w:pPr>
    </w:p>
    <w:p w:rsidR="00C62B06" w:rsidRDefault="00F17442" w:rsidP="0086132A">
      <w:pPr>
        <w:pStyle w:val="ListParagraph"/>
        <w:ind w:left="90"/>
      </w:pPr>
      <w:r>
        <w:rPr>
          <w:i/>
        </w:rPr>
        <w:t>Question</w:t>
      </w:r>
      <w:r w:rsidR="00AD671F" w:rsidRPr="00F17442">
        <w:rPr>
          <w:i/>
        </w:rPr>
        <w:t>:</w:t>
      </w:r>
      <w:r w:rsidR="00AD671F" w:rsidRPr="00AD671F">
        <w:t xml:space="preserve"> </w:t>
      </w:r>
      <w:proofErr w:type="spellStart"/>
      <w:r w:rsidR="00AD671F" w:rsidRPr="00AD671F">
        <w:t>Stephenie</w:t>
      </w:r>
      <w:proofErr w:type="spellEnd"/>
      <w:r w:rsidR="00AD671F" w:rsidRPr="00AD671F">
        <w:t xml:space="preserve"> Lemon asks if the clinical partners</w:t>
      </w:r>
      <w:r w:rsidR="00AD671F">
        <w:t xml:space="preserve"> are buying in to the e-referral </w:t>
      </w:r>
      <w:proofErr w:type="gramStart"/>
      <w:r w:rsidR="00AD671F">
        <w:t>model?</w:t>
      </w:r>
      <w:proofErr w:type="gramEnd"/>
    </w:p>
    <w:p w:rsidR="00C62B06" w:rsidRDefault="00C62B06" w:rsidP="0086132A">
      <w:pPr>
        <w:pStyle w:val="ListParagraph"/>
        <w:ind w:left="90"/>
      </w:pPr>
    </w:p>
    <w:p w:rsidR="00C62B06" w:rsidRDefault="00AD671F" w:rsidP="0086132A">
      <w:pPr>
        <w:pStyle w:val="ListParagraph"/>
        <w:ind w:left="90"/>
      </w:pPr>
      <w:r w:rsidRPr="00F17442">
        <w:rPr>
          <w:i/>
        </w:rPr>
        <w:t>Response</w:t>
      </w:r>
      <w:r>
        <w:t xml:space="preserve">: </w:t>
      </w:r>
      <w:r w:rsidR="00C62B06">
        <w:t xml:space="preserve">Laura Nasuti replied that clinical providers do buy in.  The level of interest of clinicians will vary by site.  Some Community Centers have co-location with clinical sites.  Provider buy-in and provider trust could be issues.  Provider trust issue is not evident because pilot sites were already on board.  </w:t>
      </w:r>
    </w:p>
    <w:p w:rsidR="00C62B06" w:rsidRDefault="00C62B06" w:rsidP="0086132A">
      <w:pPr>
        <w:pStyle w:val="ListParagraph"/>
        <w:ind w:left="90"/>
      </w:pPr>
    </w:p>
    <w:p w:rsidR="00C62B06" w:rsidRDefault="00AD671F" w:rsidP="0086132A">
      <w:pPr>
        <w:pStyle w:val="ListParagraph"/>
        <w:ind w:left="90"/>
      </w:pPr>
      <w:r w:rsidRPr="00F17442">
        <w:rPr>
          <w:i/>
        </w:rPr>
        <w:t>Response</w:t>
      </w:r>
      <w:r>
        <w:t xml:space="preserve">: </w:t>
      </w:r>
      <w:r w:rsidR="00C62B06">
        <w:t xml:space="preserve">Pattie Daly provides an example from the field:  Ask </w:t>
      </w:r>
      <w:r w:rsidR="00DF17E8">
        <w:t>Doctors to recommend e-Referral programs to their colleagues.  The YMCA is hosting educational sessions for Providers.</w:t>
      </w:r>
    </w:p>
    <w:p w:rsidR="00DF17E8" w:rsidRDefault="00DF17E8" w:rsidP="0086132A">
      <w:pPr>
        <w:pStyle w:val="ListParagraph"/>
        <w:ind w:left="90"/>
      </w:pPr>
    </w:p>
    <w:p w:rsidR="00DF17E8" w:rsidRDefault="00017F60" w:rsidP="0086132A">
      <w:pPr>
        <w:pStyle w:val="ListParagraph"/>
        <w:ind w:left="90"/>
      </w:pPr>
      <w:r w:rsidRPr="00AD671F">
        <w:rPr>
          <w:u w:val="single"/>
        </w:rPr>
        <w:t>Dr. Thomas Land,</w:t>
      </w:r>
      <w:r w:rsidR="00DF17E8" w:rsidRPr="00AD671F">
        <w:rPr>
          <w:u w:val="single"/>
        </w:rPr>
        <w:t xml:space="preserve"> Director Data Management Outcomes and Assessment/Evaluation –</w:t>
      </w:r>
      <w:r w:rsidR="00DF17E8">
        <w:t xml:space="preserve"> discusses the pattern of information that comes in – the systems work effectively – acceleration of the data will result in a pattern and we will look for that pattern.  </w:t>
      </w:r>
    </w:p>
    <w:p w:rsidR="00DF17E8" w:rsidRDefault="00DF17E8" w:rsidP="0086132A">
      <w:pPr>
        <w:pStyle w:val="ListParagraph"/>
        <w:ind w:left="90"/>
      </w:pPr>
    </w:p>
    <w:p w:rsidR="00F17442" w:rsidRDefault="00F17442" w:rsidP="002B14A0">
      <w:pPr>
        <w:pStyle w:val="ListParagraph"/>
        <w:ind w:left="90"/>
      </w:pPr>
      <w:r>
        <w:t xml:space="preserve">Final Evaluation Plan – </w:t>
      </w:r>
    </w:p>
    <w:p w:rsidR="002B14A0" w:rsidRDefault="00F17442" w:rsidP="00F17442">
      <w:pPr>
        <w:pStyle w:val="ListParagraph"/>
      </w:pPr>
      <w:r>
        <w:t>RFP</w:t>
      </w:r>
      <w:r w:rsidR="00DF17E8">
        <w:t xml:space="preserve"> for Evaluation Groups – Evaluation </w:t>
      </w:r>
      <w:r w:rsidR="002B14A0">
        <w:t>Summits gave advice on how to evaluate the PWTF.  What should the baseline information be?  MDPH Net system is a looped system that is query-based.   Harvard Vanguard an</w:t>
      </w:r>
      <w:r w:rsidR="00AD671F">
        <w:t xml:space="preserve">d </w:t>
      </w:r>
      <w:proofErr w:type="spellStart"/>
      <w:r w:rsidR="00AD671F">
        <w:t>Atrius</w:t>
      </w:r>
      <w:proofErr w:type="spellEnd"/>
      <w:r w:rsidR="00AD671F">
        <w:t xml:space="preserve"> Health </w:t>
      </w:r>
      <w:r w:rsidR="002B14A0">
        <w:t>allow access to health information and will be useful for identifying prospect</w:t>
      </w:r>
      <w:r w:rsidR="00AD671F">
        <w:t>ive</w:t>
      </w:r>
      <w:r w:rsidR="002B14A0">
        <w:t xml:space="preserve"> territories for PWTF.  MDPH Net system compares data with other data sources (BPFSS) and accuracy is confirmed.  Solid estimates for very small populations allow us to look at data and identify where MDPH Net is weak.   Where do we need to add PWTF sites and supplement their funds?  </w:t>
      </w:r>
    </w:p>
    <w:p w:rsidR="002B14A0" w:rsidRDefault="002B14A0" w:rsidP="002B14A0">
      <w:pPr>
        <w:pStyle w:val="ListParagraph"/>
        <w:ind w:left="90"/>
      </w:pPr>
    </w:p>
    <w:p w:rsidR="00F17442" w:rsidRDefault="002B14A0" w:rsidP="002B14A0">
      <w:pPr>
        <w:pStyle w:val="ListParagraph"/>
        <w:ind w:left="90"/>
      </w:pPr>
      <w:r>
        <w:t>Estimating Impact</w:t>
      </w:r>
      <w:r w:rsidR="00203B8E">
        <w:t xml:space="preserve">: </w:t>
      </w:r>
    </w:p>
    <w:p w:rsidR="002B14A0" w:rsidRDefault="00F17442" w:rsidP="00F17442">
      <w:pPr>
        <w:pStyle w:val="ListParagraph"/>
      </w:pPr>
      <w:r>
        <w:t>W</w:t>
      </w:r>
      <w:r w:rsidR="00203B8E">
        <w:t>e</w:t>
      </w:r>
      <w:r w:rsidR="002B14A0">
        <w:t xml:space="preserve"> </w:t>
      </w:r>
      <w:r w:rsidR="00203B8E">
        <w:t>can use existing data to estimate a baseline and measure the impact of the work that we’ve done.  Evaluating the data – using the data linkage across Clinical and Community organizations will help determine whether a policy or service resulted in a change in that population’s health and healthcare costs.  Data linkage will allow comparison of cases, communities and comparison with areas outside of communities.   Trend lines will illustrate changes – will be able to correlate rapid reduction in risk and cost reduction</w:t>
      </w:r>
      <w:r w:rsidR="004C0392">
        <w:t xml:space="preserve"> with policy change.  Full cost estimates will be based on forecast.</w:t>
      </w:r>
    </w:p>
    <w:p w:rsidR="004C0392" w:rsidRDefault="004C0392" w:rsidP="00F17442">
      <w:pPr>
        <w:ind w:left="720"/>
      </w:pPr>
      <w:r>
        <w:t>We plan to involve Grantees i</w:t>
      </w:r>
      <w:r w:rsidR="00AD671F">
        <w:t xml:space="preserve">n the process of developing the </w:t>
      </w:r>
      <w:r>
        <w:t xml:space="preserve">evaluation process.    </w:t>
      </w:r>
      <w:r w:rsidR="00AD671F">
        <w:t xml:space="preserve">We will present to grantees the current framework and thinking of the evaluation framework and conduct a Request </w:t>
      </w:r>
      <w:proofErr w:type="gramStart"/>
      <w:r w:rsidR="00AD671F">
        <w:t>For</w:t>
      </w:r>
      <w:proofErr w:type="gramEnd"/>
      <w:r w:rsidR="00AD671F">
        <w:t xml:space="preserve"> Information for researchers to </w:t>
      </w:r>
      <w:r>
        <w:t>propose ideas on how PWTF should be evaluated and identify what team members are needed.</w:t>
      </w:r>
    </w:p>
    <w:p w:rsidR="004C0392" w:rsidRPr="00AD671F" w:rsidRDefault="004C0392" w:rsidP="004C0392">
      <w:pPr>
        <w:rPr>
          <w:u w:val="single"/>
        </w:rPr>
      </w:pPr>
      <w:r w:rsidRPr="00AD671F">
        <w:rPr>
          <w:u w:val="single"/>
        </w:rPr>
        <w:t>Next meeting:</w:t>
      </w:r>
    </w:p>
    <w:p w:rsidR="004C0392" w:rsidRDefault="009953E2" w:rsidP="004C0392">
      <w:proofErr w:type="gramStart"/>
      <w:r>
        <w:t>December  11</w:t>
      </w:r>
      <w:proofErr w:type="gramEnd"/>
      <w:r w:rsidR="00AD671F">
        <w:t xml:space="preserve">, 1:00 – </w:t>
      </w:r>
      <w:r>
        <w:t>2:30</w:t>
      </w:r>
    </w:p>
    <w:p w:rsidR="0014672D" w:rsidRDefault="004C0392" w:rsidP="009A0E72">
      <w:r>
        <w:t>Meeti</w:t>
      </w:r>
      <w:r w:rsidR="00AD671F">
        <w:t>ng Closed.</w:t>
      </w:r>
    </w:p>
    <w:p w:rsidR="0014672D" w:rsidRDefault="0014672D"/>
    <w:sectPr w:rsidR="0014672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769" w:rsidRDefault="00ED6769" w:rsidP="00AA3E87">
      <w:pPr>
        <w:spacing w:after="0" w:line="240" w:lineRule="auto"/>
      </w:pPr>
      <w:r>
        <w:separator/>
      </w:r>
    </w:p>
  </w:endnote>
  <w:endnote w:type="continuationSeparator" w:id="0">
    <w:p w:rsidR="00ED6769" w:rsidRDefault="00ED6769" w:rsidP="00AA3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367618"/>
      <w:docPartObj>
        <w:docPartGallery w:val="Page Numbers (Bottom of Page)"/>
        <w:docPartUnique/>
      </w:docPartObj>
    </w:sdtPr>
    <w:sdtEndPr>
      <w:rPr>
        <w:noProof/>
      </w:rPr>
    </w:sdtEndPr>
    <w:sdtContent>
      <w:p w:rsidR="009A0E72" w:rsidRDefault="009A0E72">
        <w:pPr>
          <w:pStyle w:val="Footer"/>
          <w:jc w:val="center"/>
        </w:pPr>
        <w:r>
          <w:fldChar w:fldCharType="begin"/>
        </w:r>
        <w:r>
          <w:instrText xml:space="preserve"> PAGE   \* MERGEFORMAT </w:instrText>
        </w:r>
        <w:r>
          <w:fldChar w:fldCharType="separate"/>
        </w:r>
        <w:r w:rsidR="00503E1E">
          <w:rPr>
            <w:noProof/>
          </w:rPr>
          <w:t>1</w:t>
        </w:r>
        <w:r>
          <w:rPr>
            <w:noProof/>
          </w:rPr>
          <w:fldChar w:fldCharType="end"/>
        </w:r>
      </w:p>
    </w:sdtContent>
  </w:sdt>
  <w:p w:rsidR="009A0E72" w:rsidRDefault="009A0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769" w:rsidRDefault="00ED6769" w:rsidP="00AA3E87">
      <w:pPr>
        <w:spacing w:after="0" w:line="240" w:lineRule="auto"/>
      </w:pPr>
      <w:r>
        <w:separator/>
      </w:r>
    </w:p>
  </w:footnote>
  <w:footnote w:type="continuationSeparator" w:id="0">
    <w:p w:rsidR="00ED6769" w:rsidRDefault="00ED6769" w:rsidP="00AA3E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72" w:rsidRDefault="009A0E72" w:rsidP="009A0E72">
    <w:pPr>
      <w:spacing w:after="0" w:line="240" w:lineRule="auto"/>
      <w:jc w:val="center"/>
      <w:rPr>
        <w:b/>
        <w:sz w:val="28"/>
        <w:szCs w:val="28"/>
      </w:rPr>
    </w:pPr>
    <w:r w:rsidRPr="009A0E72">
      <w:rPr>
        <w:b/>
        <w:sz w:val="28"/>
        <w:szCs w:val="28"/>
      </w:rPr>
      <w:t>Quarterly Meeting of the Prevention and Wellness Advisory Board</w:t>
    </w:r>
  </w:p>
  <w:p w:rsidR="009A0E72" w:rsidRPr="009A0E72" w:rsidRDefault="009A0E72" w:rsidP="009A0E72">
    <w:pPr>
      <w:spacing w:after="0" w:line="240" w:lineRule="auto"/>
      <w:jc w:val="center"/>
      <w:rPr>
        <w:b/>
        <w:sz w:val="28"/>
        <w:szCs w:val="28"/>
      </w:rPr>
    </w:pPr>
    <w:r>
      <w:t>October 2, 2014, 1:00 p.m. – 2:30 p.m.</w:t>
    </w:r>
  </w:p>
  <w:p w:rsidR="009A0E72" w:rsidRDefault="009A0E72">
    <w:pPr>
      <w:pStyle w:val="Header"/>
    </w:pPr>
  </w:p>
  <w:p w:rsidR="00AA3E87" w:rsidRDefault="00AA3E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307F"/>
    <w:multiLevelType w:val="hybridMultilevel"/>
    <w:tmpl w:val="44E0D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EBA0878"/>
    <w:multiLevelType w:val="hybridMultilevel"/>
    <w:tmpl w:val="09704DD4"/>
    <w:lvl w:ilvl="0" w:tplc="3DD451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9E02068"/>
    <w:multiLevelType w:val="hybridMultilevel"/>
    <w:tmpl w:val="1EFAD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CA1"/>
    <w:rsid w:val="00017F60"/>
    <w:rsid w:val="0005032F"/>
    <w:rsid w:val="00061735"/>
    <w:rsid w:val="00100CFC"/>
    <w:rsid w:val="0014672D"/>
    <w:rsid w:val="001D1E50"/>
    <w:rsid w:val="00203B8E"/>
    <w:rsid w:val="002401CE"/>
    <w:rsid w:val="00252F41"/>
    <w:rsid w:val="00280441"/>
    <w:rsid w:val="002B14A0"/>
    <w:rsid w:val="002E1AAE"/>
    <w:rsid w:val="00310191"/>
    <w:rsid w:val="00312EDA"/>
    <w:rsid w:val="00340311"/>
    <w:rsid w:val="0039006D"/>
    <w:rsid w:val="003D3822"/>
    <w:rsid w:val="0042577E"/>
    <w:rsid w:val="004416F0"/>
    <w:rsid w:val="004C0392"/>
    <w:rsid w:val="004E1081"/>
    <w:rsid w:val="00503E1E"/>
    <w:rsid w:val="005B7A38"/>
    <w:rsid w:val="00625E59"/>
    <w:rsid w:val="00656211"/>
    <w:rsid w:val="006A0CAE"/>
    <w:rsid w:val="006C6530"/>
    <w:rsid w:val="006F45EF"/>
    <w:rsid w:val="00726AEE"/>
    <w:rsid w:val="007B13E4"/>
    <w:rsid w:val="0086132A"/>
    <w:rsid w:val="008A4332"/>
    <w:rsid w:val="00901062"/>
    <w:rsid w:val="00932CF5"/>
    <w:rsid w:val="009953E2"/>
    <w:rsid w:val="009A0E72"/>
    <w:rsid w:val="009C50EC"/>
    <w:rsid w:val="00A24E57"/>
    <w:rsid w:val="00AA3E87"/>
    <w:rsid w:val="00AD671F"/>
    <w:rsid w:val="00B22F0D"/>
    <w:rsid w:val="00BA647B"/>
    <w:rsid w:val="00BC5E3D"/>
    <w:rsid w:val="00BD3BD8"/>
    <w:rsid w:val="00BF6F67"/>
    <w:rsid w:val="00C62B06"/>
    <w:rsid w:val="00C632FC"/>
    <w:rsid w:val="00D60853"/>
    <w:rsid w:val="00DE0199"/>
    <w:rsid w:val="00DE3EA6"/>
    <w:rsid w:val="00DF17E8"/>
    <w:rsid w:val="00E7452D"/>
    <w:rsid w:val="00ED6769"/>
    <w:rsid w:val="00F01A99"/>
    <w:rsid w:val="00F17442"/>
    <w:rsid w:val="00F71CA1"/>
    <w:rsid w:val="00F80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1CE"/>
    <w:pPr>
      <w:ind w:left="720"/>
      <w:contextualSpacing/>
    </w:pPr>
  </w:style>
  <w:style w:type="paragraph" w:styleId="Header">
    <w:name w:val="header"/>
    <w:basedOn w:val="Normal"/>
    <w:link w:val="HeaderChar"/>
    <w:uiPriority w:val="99"/>
    <w:unhideWhenUsed/>
    <w:rsid w:val="00AA3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E87"/>
  </w:style>
  <w:style w:type="paragraph" w:styleId="Footer">
    <w:name w:val="footer"/>
    <w:basedOn w:val="Normal"/>
    <w:link w:val="FooterChar"/>
    <w:uiPriority w:val="99"/>
    <w:unhideWhenUsed/>
    <w:rsid w:val="00AA3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E87"/>
  </w:style>
  <w:style w:type="paragraph" w:styleId="BalloonText">
    <w:name w:val="Balloon Text"/>
    <w:basedOn w:val="Normal"/>
    <w:link w:val="BalloonTextChar"/>
    <w:uiPriority w:val="99"/>
    <w:semiHidden/>
    <w:unhideWhenUsed/>
    <w:rsid w:val="00252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F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1CE"/>
    <w:pPr>
      <w:ind w:left="720"/>
      <w:contextualSpacing/>
    </w:pPr>
  </w:style>
  <w:style w:type="paragraph" w:styleId="Header">
    <w:name w:val="header"/>
    <w:basedOn w:val="Normal"/>
    <w:link w:val="HeaderChar"/>
    <w:uiPriority w:val="99"/>
    <w:unhideWhenUsed/>
    <w:rsid w:val="00AA3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E87"/>
  </w:style>
  <w:style w:type="paragraph" w:styleId="Footer">
    <w:name w:val="footer"/>
    <w:basedOn w:val="Normal"/>
    <w:link w:val="FooterChar"/>
    <w:uiPriority w:val="99"/>
    <w:unhideWhenUsed/>
    <w:rsid w:val="00AA3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E87"/>
  </w:style>
  <w:style w:type="paragraph" w:styleId="BalloonText">
    <w:name w:val="Balloon Text"/>
    <w:basedOn w:val="Normal"/>
    <w:link w:val="BalloonTextChar"/>
    <w:uiPriority w:val="99"/>
    <w:semiHidden/>
    <w:unhideWhenUsed/>
    <w:rsid w:val="00252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F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188B6D95</Template>
  <TotalTime>0</TotalTime>
  <Pages>7</Pages>
  <Words>2432</Words>
  <Characters>13867</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16267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2014-12-30T16:33:00Z</dcterms:created>
  <dc:creator>Schultz, Marilyn (DPH)</dc:creator>
  <lastModifiedBy/>
  <dcterms:modified xsi:type="dcterms:W3CDTF">2014-12-30T16:33:00Z</dcterms:modified>
  <revision>2</revision>
</coreProperties>
</file>