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347F" w14:textId="77777777" w:rsidR="00F95777" w:rsidRDefault="00F95777" w:rsidP="00F95777">
      <w:pPr>
        <w:pStyle w:val="NormalWeb"/>
        <w:contextualSpacing/>
        <w:jc w:val="center"/>
        <w:rPr>
          <w:u w:val="single"/>
        </w:rPr>
      </w:pPr>
      <w:bookmarkStart w:id="0" w:name="_Hlk37240201"/>
    </w:p>
    <w:p w14:paraId="16DE4A61" w14:textId="77777777" w:rsidR="00F95777" w:rsidRDefault="00F95777" w:rsidP="00F95777">
      <w:pPr>
        <w:pStyle w:val="NormalWeb"/>
        <w:contextualSpacing/>
        <w:jc w:val="center"/>
        <w:rPr>
          <w:u w:val="single"/>
        </w:rPr>
      </w:pPr>
    </w:p>
    <w:p w14:paraId="4988FCD6" w14:textId="77777777" w:rsidR="00F95777" w:rsidRDefault="00F95777" w:rsidP="00F95777">
      <w:pPr>
        <w:pStyle w:val="NormalWeb"/>
        <w:contextualSpacing/>
        <w:jc w:val="center"/>
        <w:rPr>
          <w:u w:val="single"/>
        </w:rPr>
      </w:pPr>
    </w:p>
    <w:p w14:paraId="09D90AD2" w14:textId="77777777" w:rsidR="00F95777" w:rsidRDefault="00F95777" w:rsidP="00F95777">
      <w:pPr>
        <w:pStyle w:val="NormalWeb"/>
        <w:contextualSpacing/>
        <w:jc w:val="center"/>
        <w:rPr>
          <w:u w:val="single"/>
        </w:rPr>
      </w:pPr>
    </w:p>
    <w:p w14:paraId="12CA2499" w14:textId="27588452" w:rsidR="008E51DA" w:rsidRDefault="008E51DA" w:rsidP="00F95777">
      <w:pPr>
        <w:pStyle w:val="NormalWeb"/>
        <w:contextualSpacing/>
        <w:jc w:val="center"/>
        <w:rPr>
          <w:u w:val="single"/>
        </w:rPr>
      </w:pPr>
      <w:r w:rsidRPr="008E51DA">
        <w:rPr>
          <w:u w:val="single"/>
        </w:rPr>
        <w:t>Designation of Authorized Health Care Activities Pursuant to the PREP Act</w:t>
      </w:r>
    </w:p>
    <w:bookmarkEnd w:id="0"/>
    <w:p w14:paraId="62BB3754" w14:textId="77777777" w:rsidR="008E51DA" w:rsidRPr="008E51DA" w:rsidRDefault="008E51DA" w:rsidP="008E51DA">
      <w:pPr>
        <w:pStyle w:val="NormalWeb"/>
        <w:ind w:firstLine="720"/>
        <w:contextualSpacing/>
        <w:jc w:val="center"/>
        <w:rPr>
          <w:u w:val="single"/>
        </w:rPr>
      </w:pPr>
    </w:p>
    <w:p w14:paraId="35A6432C" w14:textId="64119D3D" w:rsidR="00D02048" w:rsidRPr="00AA7FCB" w:rsidRDefault="00A5116C" w:rsidP="008E520C">
      <w:pPr>
        <w:pStyle w:val="NormalWeb"/>
        <w:ind w:firstLine="720"/>
      </w:pPr>
      <w:r w:rsidRPr="002F449F">
        <w:t xml:space="preserve">Pursuant to the </w:t>
      </w:r>
      <w:r w:rsidR="00B153FA">
        <w:t xml:space="preserve">federal </w:t>
      </w:r>
      <w:r w:rsidRPr="002F449F">
        <w:t>Public Readiness and Emergency Preparedness Act (</w:t>
      </w:r>
      <w:r w:rsidR="00E97349" w:rsidRPr="002F449F">
        <w:t>“</w:t>
      </w:r>
      <w:r w:rsidRPr="002F449F">
        <w:t>PREP Act</w:t>
      </w:r>
      <w:r w:rsidR="00E97349" w:rsidRPr="002F449F">
        <w:t>”</w:t>
      </w:r>
      <w:r w:rsidRPr="002F449F">
        <w:t>)</w:t>
      </w:r>
      <w:r w:rsidR="000E481B" w:rsidRPr="002F449F">
        <w:t xml:space="preserve">, the Secretary of </w:t>
      </w:r>
      <w:r w:rsidR="005F611E">
        <w:t xml:space="preserve">the U.S. Department of </w:t>
      </w:r>
      <w:r w:rsidR="000E481B" w:rsidRPr="002F449F">
        <w:t xml:space="preserve">Health and Human Services issued a Declaration providing immunity from liability to certain individuals and entities against claims arising out of the manufacture, </w:t>
      </w:r>
      <w:r w:rsidR="00217B8B">
        <w:t xml:space="preserve">testing, development, </w:t>
      </w:r>
      <w:r w:rsidR="000E481B" w:rsidRPr="002F449F">
        <w:t xml:space="preserve">distribution, administration, or use of </w:t>
      </w:r>
      <w:r w:rsidR="00217B8B">
        <w:t xml:space="preserve">Covered </w:t>
      </w:r>
      <w:r w:rsidR="000E481B" w:rsidRPr="002F449F">
        <w:t xml:space="preserve"> </w:t>
      </w:r>
      <w:r w:rsidR="00217B8B">
        <w:t>C</w:t>
      </w:r>
      <w:r w:rsidR="000E481B" w:rsidRPr="002F449F">
        <w:t xml:space="preserve">ountermeasures to address the COVID-19 outbreak.  </w:t>
      </w:r>
      <w:r w:rsidR="009E543E">
        <w:t xml:space="preserve">85 Fed. Reg. 15198 (Mar. 17, 2020).  </w:t>
      </w:r>
      <w:r w:rsidR="000E481B" w:rsidRPr="002F449F">
        <w:t>The Secretary’s Declaration</w:t>
      </w:r>
      <w:r w:rsidR="00E97349" w:rsidRPr="002F449F">
        <w:t xml:space="preserve"> </w:t>
      </w:r>
      <w:r w:rsidR="000E481B" w:rsidRPr="002F449F">
        <w:t>provides that</w:t>
      </w:r>
      <w:r w:rsidR="00E97349" w:rsidRPr="002F449F">
        <w:t xml:space="preserve"> the immunity extends to</w:t>
      </w:r>
      <w:r w:rsidR="00217B8B">
        <w:t xml:space="preserve"> activities</w:t>
      </w:r>
      <w:r w:rsidR="00E163C4" w:rsidRPr="002F449F">
        <w:t xml:space="preserve"> </w:t>
      </w:r>
      <w:r w:rsidR="00DD62E1">
        <w:t xml:space="preserve">authorized </w:t>
      </w:r>
      <w:r w:rsidR="00575943">
        <w:t xml:space="preserve">by </w:t>
      </w:r>
      <w:r w:rsidR="00C63AFF" w:rsidRPr="002F449F">
        <w:t xml:space="preserve">the </w:t>
      </w:r>
      <w:r w:rsidR="00DD62E1">
        <w:t>“</w:t>
      </w:r>
      <w:r w:rsidR="00C63AFF" w:rsidRPr="002F449F">
        <w:t>Authority Having Jurisdiction</w:t>
      </w:r>
      <w:r w:rsidR="007D2329">
        <w:t>”</w:t>
      </w:r>
      <w:r w:rsidR="00C63AFF" w:rsidRPr="002F449F">
        <w:t xml:space="preserve"> </w:t>
      </w:r>
      <w:r w:rsidR="003B00F9">
        <w:t xml:space="preserve">to prescribe, administer, deliver, distribute, or dispense </w:t>
      </w:r>
      <w:r w:rsidR="00AA7FCB">
        <w:t>“</w:t>
      </w:r>
      <w:r w:rsidR="003B00F9">
        <w:t>Covered Countermeasures</w:t>
      </w:r>
      <w:r w:rsidR="00AA7FCB">
        <w:t>”</w:t>
      </w:r>
      <w:r w:rsidR="003B00F9">
        <w:t xml:space="preserve"> following a declaration of an emergency</w:t>
      </w:r>
      <w:r w:rsidR="00AA7FCB">
        <w:t xml:space="preserve">.  </w:t>
      </w:r>
      <w:r w:rsidR="00AA7FCB">
        <w:rPr>
          <w:i/>
          <w:iCs/>
        </w:rPr>
        <w:t>See id.</w:t>
      </w:r>
      <w:r w:rsidR="00AA7FCB">
        <w:t xml:space="preserve"> at 15202</w:t>
      </w:r>
      <w:r w:rsidR="00863838">
        <w:t>, § VII(b).</w:t>
      </w:r>
    </w:p>
    <w:p w14:paraId="4852E419" w14:textId="3A899428" w:rsidR="002F449F" w:rsidRDefault="00E97349" w:rsidP="00D02048">
      <w:pPr>
        <w:pStyle w:val="NormalWeb"/>
        <w:ind w:firstLine="720"/>
      </w:pPr>
      <w:r w:rsidRPr="002F449F">
        <w:t>As Governor</w:t>
      </w:r>
      <w:r w:rsidR="00D84FB6">
        <w:t xml:space="preserve"> and the Authority Having Jurisdiction </w:t>
      </w:r>
      <w:r w:rsidR="00DD62E1">
        <w:t xml:space="preserve">to </w:t>
      </w:r>
      <w:r w:rsidR="00E92178">
        <w:t>direct the Commonwealth of Massachusetts’</w:t>
      </w:r>
      <w:r w:rsidR="00F95777">
        <w:t>s</w:t>
      </w:r>
      <w:r w:rsidR="00E92178">
        <w:t xml:space="preserve"> response to the COVID-19 outbreak, </w:t>
      </w:r>
      <w:r w:rsidRPr="002F449F">
        <w:t xml:space="preserve">I hereby designate the following activities as authorized </w:t>
      </w:r>
      <w:r w:rsidR="00384A04" w:rsidRPr="002F449F">
        <w:t xml:space="preserve">in accordance with the </w:t>
      </w:r>
      <w:r w:rsidR="00D84FB6">
        <w:t xml:space="preserve">Commonwealth’s </w:t>
      </w:r>
      <w:r w:rsidR="00384A04" w:rsidRPr="002F449F">
        <w:t>public health and medical response to the COVID-19 outbreak following my declaration of a state of emergency on March 10, 2020:</w:t>
      </w:r>
    </w:p>
    <w:p w14:paraId="5A47C6FF" w14:textId="2DBA3739" w:rsidR="005C0C8E" w:rsidRDefault="00443732" w:rsidP="004324BB">
      <w:pPr>
        <w:pStyle w:val="NormalWeb"/>
        <w:numPr>
          <w:ilvl w:val="0"/>
          <w:numId w:val="3"/>
        </w:numPr>
        <w:tabs>
          <w:tab w:val="left" w:pos="2652"/>
        </w:tabs>
        <w:spacing w:before="0" w:beforeAutospacing="0" w:after="0" w:afterAutospacing="0"/>
      </w:pPr>
      <w:r>
        <w:t xml:space="preserve">The </w:t>
      </w:r>
      <w:r w:rsidR="00E92178">
        <w:t>prescription, administration, delivery, distribution, or dispensing</w:t>
      </w:r>
      <w:r>
        <w:t xml:space="preserve"> of </w:t>
      </w:r>
      <w:r w:rsidR="00732ECD">
        <w:t>Covered Countermeasures</w:t>
      </w:r>
      <w:r>
        <w:t xml:space="preserve"> by a </w:t>
      </w:r>
      <w:r w:rsidR="001E4BBA">
        <w:t>H</w:t>
      </w:r>
      <w:r>
        <w:t xml:space="preserve">ealth </w:t>
      </w:r>
      <w:r w:rsidR="001E4BBA">
        <w:t>C</w:t>
      </w:r>
      <w:r>
        <w:t xml:space="preserve">are </w:t>
      </w:r>
      <w:r w:rsidR="001E4BBA">
        <w:t>P</w:t>
      </w:r>
      <w:r>
        <w:t xml:space="preserve">rofessional </w:t>
      </w:r>
      <w:r w:rsidR="00D84FB6">
        <w:t>for t</w:t>
      </w:r>
      <w:r w:rsidR="00F241E6">
        <w:t>h</w:t>
      </w:r>
      <w:r w:rsidR="00D84FB6">
        <w:t>e</w:t>
      </w:r>
      <w:r w:rsidR="00D84FB6" w:rsidRPr="002F449F">
        <w:t xml:space="preserve"> treatment, diagnosis, prevention</w:t>
      </w:r>
      <w:r w:rsidR="00D84FB6">
        <w:t>,</w:t>
      </w:r>
      <w:r w:rsidR="00D84FB6" w:rsidRPr="002F449F">
        <w:t xml:space="preserve"> </w:t>
      </w:r>
      <w:r w:rsidR="00D84FB6">
        <w:t>and</w:t>
      </w:r>
      <w:r w:rsidR="00D84FB6" w:rsidRPr="002F449F">
        <w:t xml:space="preserve"> mitigation of COVID-19</w:t>
      </w:r>
      <w:r w:rsidR="00B153FA">
        <w:t xml:space="preserve">; </w:t>
      </w:r>
      <w:r w:rsidR="001E4BBA">
        <w:t>and</w:t>
      </w:r>
    </w:p>
    <w:p w14:paraId="1F617D26" w14:textId="77777777" w:rsidR="006C2A66" w:rsidRDefault="006C2A66" w:rsidP="00042937"/>
    <w:p w14:paraId="1ED149D0" w14:textId="600B516A" w:rsidR="00DD62E1" w:rsidRDefault="00E92178" w:rsidP="004324BB">
      <w:pPr>
        <w:pStyle w:val="NormalWeb"/>
        <w:numPr>
          <w:ilvl w:val="0"/>
          <w:numId w:val="3"/>
        </w:numPr>
        <w:spacing w:before="0" w:beforeAutospacing="0" w:after="0" w:afterAutospacing="0"/>
      </w:pPr>
      <w:r>
        <w:t>The prescription, administration, delivery, distribution</w:t>
      </w:r>
      <w:r w:rsidR="00145EFD">
        <w:t>,</w:t>
      </w:r>
      <w:r>
        <w:t xml:space="preserve"> or dispensing of Covered Countermeasures as part of any program </w:t>
      </w:r>
      <w:r w:rsidR="00051119">
        <w:t>established</w:t>
      </w:r>
      <w:r w:rsidR="007D2329">
        <w:t>, supervised,</w:t>
      </w:r>
      <w:r w:rsidR="00051119">
        <w:t xml:space="preserve"> or administered </w:t>
      </w:r>
      <w:r w:rsidR="00B153FA">
        <w:t xml:space="preserve">by </w:t>
      </w:r>
      <w:r w:rsidR="00D02048">
        <w:t xml:space="preserve">a </w:t>
      </w:r>
      <w:r w:rsidR="007D2329">
        <w:t>Health Care</w:t>
      </w:r>
      <w:r w:rsidR="00846FF9">
        <w:t xml:space="preserve"> </w:t>
      </w:r>
      <w:r w:rsidR="0084329A">
        <w:t xml:space="preserve">Facility </w:t>
      </w:r>
      <w:r w:rsidR="00051119">
        <w:t>for</w:t>
      </w:r>
      <w:r w:rsidR="00732ECD">
        <w:t xml:space="preserve"> </w:t>
      </w:r>
      <w:r w:rsidR="00051119">
        <w:t xml:space="preserve">the </w:t>
      </w:r>
      <w:r w:rsidR="00443732" w:rsidRPr="002F449F">
        <w:t>treatment, diagnosis, prevention</w:t>
      </w:r>
      <w:r w:rsidR="009660E1">
        <w:t>,</w:t>
      </w:r>
      <w:r w:rsidR="0084329A">
        <w:t xml:space="preserve"> </w:t>
      </w:r>
      <w:r w:rsidR="00443732" w:rsidRPr="002F449F">
        <w:t>or mitigation of COVID-19</w:t>
      </w:r>
      <w:r>
        <w:t xml:space="preserve"> or as part of the Commonwealth’s response to the COVID-19 outbreak</w:t>
      </w:r>
      <w:r w:rsidR="00994D17">
        <w:t>.</w:t>
      </w:r>
      <w:r w:rsidR="00A820E6">
        <w:t xml:space="preserve">  This designation shall include authorization for</w:t>
      </w:r>
      <w:r w:rsidR="00DD20F8">
        <w:t xml:space="preserve"> the</w:t>
      </w:r>
      <w:r w:rsidR="00F83817">
        <w:t xml:space="preserve"> activities of</w:t>
      </w:r>
      <w:r w:rsidR="00A820E6">
        <w:t xml:space="preserve"> Program Planner</w:t>
      </w:r>
      <w:r w:rsidR="00AD4E3A">
        <w:t>s</w:t>
      </w:r>
      <w:r w:rsidR="00A820E6">
        <w:t xml:space="preserve"> who supervise and administer such programs. </w:t>
      </w:r>
    </w:p>
    <w:p w14:paraId="2C7FBBA6" w14:textId="77777777" w:rsidR="0076526E" w:rsidRDefault="0076526E" w:rsidP="00527194">
      <w:pPr>
        <w:pStyle w:val="ListParagraph"/>
      </w:pPr>
    </w:p>
    <w:p w14:paraId="6F4E4B37" w14:textId="14EEEEC1" w:rsidR="002F449F" w:rsidRDefault="00133BFF" w:rsidP="007323F9">
      <w:pPr>
        <w:pStyle w:val="NormalWeb"/>
        <w:spacing w:before="0" w:beforeAutospacing="0" w:after="0" w:afterAutospacing="0"/>
        <w:ind w:firstLine="720"/>
      </w:pPr>
      <w:r>
        <w:t>The effect of these</w:t>
      </w:r>
      <w:r w:rsidR="00DD62E1">
        <w:t xml:space="preserve"> designations </w:t>
      </w:r>
      <w:r>
        <w:t>shall be to</w:t>
      </w:r>
      <w:r w:rsidR="00DD62E1">
        <w:t xml:space="preserve"> provide </w:t>
      </w:r>
      <w:r>
        <w:t>the covered persons and entities with civil immunity to the fullest extent provided in the PREP Act in their efforts to contribute to the Commonwealth’s public health and medical response to the COVID-19 outbreak.</w:t>
      </w:r>
    </w:p>
    <w:p w14:paraId="14B8FCBA" w14:textId="20F41812" w:rsidR="00E163C4" w:rsidRPr="002F449F" w:rsidRDefault="00384A04" w:rsidP="00AD4E3A">
      <w:pPr>
        <w:pStyle w:val="NormalWeb"/>
        <w:ind w:firstLine="720"/>
      </w:pPr>
      <w:r w:rsidRPr="002F449F">
        <w:t xml:space="preserve">Accordingly, </w:t>
      </w:r>
      <w:r w:rsidR="00A40CCF">
        <w:t xml:space="preserve">a </w:t>
      </w:r>
      <w:r w:rsidR="00C314AC">
        <w:t>H</w:t>
      </w:r>
      <w:r w:rsidR="00FA500D" w:rsidRPr="00421DF8">
        <w:t xml:space="preserve">ealth </w:t>
      </w:r>
      <w:r w:rsidR="00C314AC">
        <w:t>C</w:t>
      </w:r>
      <w:r w:rsidR="00FA500D" w:rsidRPr="00421DF8">
        <w:t xml:space="preserve">are </w:t>
      </w:r>
      <w:r w:rsidR="00C314AC">
        <w:t>P</w:t>
      </w:r>
      <w:r w:rsidR="00FA500D" w:rsidRPr="00421DF8">
        <w:t>rofessional</w:t>
      </w:r>
      <w:r w:rsidR="003B476E">
        <w:t xml:space="preserve"> </w:t>
      </w:r>
      <w:r w:rsidR="0076526E">
        <w:t xml:space="preserve">and a Health Care Facility </w:t>
      </w:r>
      <w:r w:rsidR="00FA500D" w:rsidRPr="00421DF8">
        <w:t xml:space="preserve">shall </w:t>
      </w:r>
      <w:r w:rsidR="00D871D1" w:rsidRPr="002F449F">
        <w:t xml:space="preserve">be immune from </w:t>
      </w:r>
      <w:r w:rsidR="004F23D1">
        <w:t>suit</w:t>
      </w:r>
      <w:r w:rsidR="00D1754A">
        <w:t xml:space="preserve"> or</w:t>
      </w:r>
      <w:r w:rsidR="004F23D1">
        <w:t xml:space="preserve"> </w:t>
      </w:r>
      <w:r w:rsidR="00D871D1" w:rsidRPr="002F449F">
        <w:t>civil liability</w:t>
      </w:r>
      <w:r w:rsidR="00FA500D" w:rsidRPr="00421DF8">
        <w:t xml:space="preserve"> for any harm </w:t>
      </w:r>
      <w:r w:rsidR="004F23D1">
        <w:t xml:space="preserve">caused by, arising out of, relating to, or resulting from </w:t>
      </w:r>
      <w:r w:rsidR="00784D88">
        <w:t xml:space="preserve">such </w:t>
      </w:r>
      <w:r w:rsidR="00C314AC">
        <w:t>P</w:t>
      </w:r>
      <w:r w:rsidR="00FA500D" w:rsidRPr="00421DF8">
        <w:t>rofessional</w:t>
      </w:r>
      <w:r w:rsidR="0076526E">
        <w:t xml:space="preserve">’s </w:t>
      </w:r>
      <w:r w:rsidR="00784D88">
        <w:t xml:space="preserve">or Facility’s </w:t>
      </w:r>
      <w:r w:rsidR="0076526E">
        <w:t xml:space="preserve">authorized activities as defined above, </w:t>
      </w:r>
      <w:r w:rsidR="008F72DF" w:rsidRPr="002F449F">
        <w:t>except for harm caused by willful misconduct as defined in 42 U.S.C. § 247d–6d(c)</w:t>
      </w:r>
      <w:r w:rsidR="00A00560" w:rsidRPr="002F449F">
        <w:t>.</w:t>
      </w:r>
      <w:r w:rsidRPr="002F449F">
        <w:t xml:space="preserve"> </w:t>
      </w:r>
      <w:r w:rsidR="00AD4E3A">
        <w:t xml:space="preserve"> </w:t>
      </w:r>
      <w:r w:rsidR="009A6DC7">
        <w:t xml:space="preserve">This immunity shall extend to any Program Planner involved in </w:t>
      </w:r>
      <w:r w:rsidR="00575943">
        <w:t>the supervision</w:t>
      </w:r>
      <w:r w:rsidR="009A6DC7">
        <w:t xml:space="preserve"> or </w:t>
      </w:r>
      <w:r w:rsidR="00575943">
        <w:t xml:space="preserve">administration of </w:t>
      </w:r>
      <w:r w:rsidR="009A6DC7">
        <w:t xml:space="preserve">Health Care Facility programs for the </w:t>
      </w:r>
      <w:r w:rsidR="009A6DC7" w:rsidRPr="002F449F">
        <w:t>treatment, diagnosis, prevention</w:t>
      </w:r>
      <w:r w:rsidR="009A6DC7">
        <w:t>,</w:t>
      </w:r>
      <w:r w:rsidR="009A6DC7" w:rsidRPr="002F449F">
        <w:t xml:space="preserve"> or mitigation of COVID-19</w:t>
      </w:r>
      <w:r w:rsidR="009A6DC7">
        <w:t>.</w:t>
      </w:r>
    </w:p>
    <w:p w14:paraId="7385BC4B" w14:textId="0632F0B6" w:rsidR="005F611E" w:rsidRDefault="00301ABD">
      <w:r>
        <w:t xml:space="preserve">For the purposes of this </w:t>
      </w:r>
      <w:r w:rsidR="009E5EEB">
        <w:t>designation</w:t>
      </w:r>
      <w:r>
        <w:t xml:space="preserve">, </w:t>
      </w:r>
      <w:r w:rsidR="003B476E">
        <w:t>the following words have the following meanings:</w:t>
      </w:r>
    </w:p>
    <w:p w14:paraId="0A46C044" w14:textId="77777777" w:rsidR="005962B1" w:rsidRDefault="005962B1"/>
    <w:p w14:paraId="60BAA2B6" w14:textId="58BA9CF6" w:rsidR="005962B1" w:rsidRDefault="005F611E" w:rsidP="00C2206C">
      <w:r>
        <w:t xml:space="preserve">“Covered Countermeasure”, </w:t>
      </w:r>
      <w:r w:rsidR="00EA3DAE">
        <w:t xml:space="preserve">has the meaning set forth in </w:t>
      </w:r>
      <w:r>
        <w:t>Section VI of the Secretary of the U.S. Department of Health and Human Services’ Notice of Declaration under the PREP Act for medical countermeasures against COVID-19</w:t>
      </w:r>
      <w:r w:rsidR="00B5780A">
        <w:t>: “</w:t>
      </w:r>
      <w:bookmarkStart w:id="1" w:name="_Hlk37146102"/>
      <w:r w:rsidR="00C2206C">
        <w:t>any antiviral, any other drug, any biologic, any diagnostic, any other device, or any vaccine, used to treat, diagnose, cure, prevent, or mitigate COVID–19, or the transmission of SARS-</w:t>
      </w:r>
      <w:proofErr w:type="spellStart"/>
      <w:r w:rsidR="00C2206C">
        <w:t>CoV</w:t>
      </w:r>
      <w:proofErr w:type="spellEnd"/>
      <w:r w:rsidR="00C2206C">
        <w:t>–2 or a virus mutating therefrom, or any device used in the administration of any such product, and all components and constituent materials of any such product</w:t>
      </w:r>
      <w:bookmarkEnd w:id="1"/>
      <w:r w:rsidR="00C2206C">
        <w:t>.</w:t>
      </w:r>
      <w:r w:rsidR="00DF4AB3">
        <w:t xml:space="preserve">  </w:t>
      </w:r>
      <w:r w:rsidR="00C2206C">
        <w:t>Covered Countermeasures must be</w:t>
      </w:r>
      <w:r w:rsidR="00DF4AB3">
        <w:t xml:space="preserve"> ‘</w:t>
      </w:r>
      <w:r w:rsidR="00C2206C">
        <w:t>qualified pandemic or epidemic</w:t>
      </w:r>
      <w:r w:rsidR="00DF4AB3">
        <w:t xml:space="preserve"> </w:t>
      </w:r>
      <w:r w:rsidR="00C2206C">
        <w:t>products,</w:t>
      </w:r>
      <w:r w:rsidR="00DF4AB3">
        <w:t>’</w:t>
      </w:r>
      <w:r w:rsidR="00C2206C">
        <w:t xml:space="preserve"> or </w:t>
      </w:r>
      <w:r w:rsidR="00DF4AB3">
        <w:t>‘</w:t>
      </w:r>
      <w:r w:rsidR="00C2206C">
        <w:t>security</w:t>
      </w:r>
      <w:r w:rsidR="00DF4AB3">
        <w:t xml:space="preserve"> </w:t>
      </w:r>
      <w:r w:rsidR="00C2206C">
        <w:t>countermeasures,</w:t>
      </w:r>
      <w:r w:rsidR="00DF4AB3">
        <w:t>’</w:t>
      </w:r>
      <w:r w:rsidR="00C2206C">
        <w:t xml:space="preserve"> or drugs, biological</w:t>
      </w:r>
      <w:r w:rsidR="00DF4AB3">
        <w:t xml:space="preserve"> </w:t>
      </w:r>
      <w:r w:rsidR="00C2206C">
        <w:t>products, or devices authorized for</w:t>
      </w:r>
      <w:r w:rsidR="00DF4AB3">
        <w:t xml:space="preserve"> </w:t>
      </w:r>
      <w:r w:rsidR="00C2206C">
        <w:t>investigational or emergency use, as</w:t>
      </w:r>
      <w:r w:rsidR="00DF4AB3">
        <w:t xml:space="preserve"> </w:t>
      </w:r>
      <w:r w:rsidR="00C2206C">
        <w:t>those terms are defined</w:t>
      </w:r>
      <w:r w:rsidR="00DF4AB3">
        <w:t xml:space="preserve"> </w:t>
      </w:r>
      <w:r w:rsidR="00C2206C">
        <w:t>in the PREP Act,</w:t>
      </w:r>
      <w:r w:rsidR="00DF4AB3">
        <w:t xml:space="preserve"> </w:t>
      </w:r>
      <w:r w:rsidR="00C2206C">
        <w:t>the FD&amp;C Act, and the Public Health</w:t>
      </w:r>
      <w:r w:rsidR="00DF4AB3">
        <w:t xml:space="preserve"> </w:t>
      </w:r>
      <w:r w:rsidR="00C2206C">
        <w:t>Service Act.”  85 Fed. Reg. 15202.</w:t>
      </w:r>
    </w:p>
    <w:p w14:paraId="073D00C9" w14:textId="77777777" w:rsidR="005962B1" w:rsidRDefault="005962B1"/>
    <w:p w14:paraId="30C18676" w14:textId="77777777" w:rsidR="00E55285" w:rsidRPr="00CB6FB5" w:rsidRDefault="00E55285" w:rsidP="00E55285">
      <w:r w:rsidRPr="00CB6FB5">
        <w:t>“Health care facility”, means:</w:t>
      </w:r>
    </w:p>
    <w:p w14:paraId="0B502BB2" w14:textId="77777777" w:rsidR="00E55285" w:rsidRDefault="00E55285" w:rsidP="00E55285">
      <w:pPr>
        <w:pStyle w:val="ListParagraph"/>
        <w:numPr>
          <w:ilvl w:val="0"/>
          <w:numId w:val="5"/>
        </w:numPr>
      </w:pPr>
      <w:bookmarkStart w:id="2" w:name="_Hlk37055153"/>
      <w:r w:rsidRPr="00CB6FB5">
        <w:t xml:space="preserve">Hospitals, including acute and chronic disease rehabilitation hospitals, as licensed under section 51 of chapter 111 of the General </w:t>
      </w:r>
      <w:proofErr w:type="gramStart"/>
      <w:r w:rsidRPr="00CB6FB5">
        <w:t>Laws</w:t>
      </w:r>
      <w:r>
        <w:t>;</w:t>
      </w:r>
      <w:proofErr w:type="gramEnd"/>
    </w:p>
    <w:p w14:paraId="1DA90270" w14:textId="77777777" w:rsidR="00E55285" w:rsidRDefault="00E55285" w:rsidP="00E55285">
      <w:pPr>
        <w:pStyle w:val="ListParagraph"/>
        <w:numPr>
          <w:ilvl w:val="0"/>
          <w:numId w:val="5"/>
        </w:numPr>
      </w:pPr>
      <w:r>
        <w:t>State hospitals, mental health centers and other mental health facilities under the control of the department of mental health pursuant to section 7 of chapter 19</w:t>
      </w:r>
      <w:bookmarkStart w:id="3" w:name="_Hlk37224078"/>
      <w:r>
        <w:t xml:space="preserve"> of the General </w:t>
      </w:r>
      <w:proofErr w:type="gramStart"/>
      <w:r>
        <w:t>Laws</w:t>
      </w:r>
      <w:bookmarkEnd w:id="3"/>
      <w:r w:rsidRPr="00CB6FB5">
        <w:t>;</w:t>
      </w:r>
      <w:proofErr w:type="gramEnd"/>
    </w:p>
    <w:p w14:paraId="77CF540E" w14:textId="77A1A47A" w:rsidR="00E55285" w:rsidRDefault="00E55285" w:rsidP="00E55285">
      <w:pPr>
        <w:pStyle w:val="ListParagraph"/>
        <w:numPr>
          <w:ilvl w:val="0"/>
          <w:numId w:val="5"/>
        </w:numPr>
      </w:pPr>
      <w:r>
        <w:t xml:space="preserve">Hospitals operated by the </w:t>
      </w:r>
      <w:r w:rsidR="00AD6BE6">
        <w:t>D</w:t>
      </w:r>
      <w:r>
        <w:t xml:space="preserve">epartment of </w:t>
      </w:r>
      <w:r w:rsidR="00AD6BE6">
        <w:t>P</w:t>
      </w:r>
      <w:r>
        <w:t xml:space="preserve">ublic </w:t>
      </w:r>
      <w:r w:rsidR="00AD6BE6">
        <w:t>H</w:t>
      </w:r>
      <w:r>
        <w:t>ealth pursuant to chapter 62I of the General Laws, section 69E of chapter 111 of the General Laws</w:t>
      </w:r>
      <w:r w:rsidR="00AD6BE6">
        <w:t>,</w:t>
      </w:r>
      <w:r>
        <w:t xml:space="preserve"> and chapter 122 of the General </w:t>
      </w:r>
      <w:proofErr w:type="gramStart"/>
      <w:r>
        <w:t>Laws;</w:t>
      </w:r>
      <w:proofErr w:type="gramEnd"/>
    </w:p>
    <w:p w14:paraId="7D98204C" w14:textId="669EA471" w:rsidR="00E55285" w:rsidRPr="00CB6FB5" w:rsidRDefault="00E55285" w:rsidP="00E55285">
      <w:pPr>
        <w:pStyle w:val="ListParagraph"/>
        <w:numPr>
          <w:ilvl w:val="0"/>
          <w:numId w:val="5"/>
        </w:numPr>
      </w:pPr>
      <w:r w:rsidRPr="00CB6FB5">
        <w:t xml:space="preserve">Psychiatric </w:t>
      </w:r>
      <w:r w:rsidR="00AD6BE6">
        <w:t>H</w:t>
      </w:r>
      <w:r w:rsidRPr="00CB6FB5">
        <w:t xml:space="preserve">ospitals, as licensed under section 19 of chapter 19 of the General </w:t>
      </w:r>
      <w:proofErr w:type="gramStart"/>
      <w:r w:rsidRPr="00CB6FB5">
        <w:t>Laws;</w:t>
      </w:r>
      <w:proofErr w:type="gramEnd"/>
      <w:r w:rsidRPr="00CB6FB5">
        <w:t xml:space="preserve"> </w:t>
      </w:r>
    </w:p>
    <w:p w14:paraId="501BFB32" w14:textId="433E300B" w:rsidR="00E55285" w:rsidRPr="00CB6FB5" w:rsidRDefault="00E55285" w:rsidP="00E55285">
      <w:pPr>
        <w:pStyle w:val="ListParagraph"/>
        <w:numPr>
          <w:ilvl w:val="0"/>
          <w:numId w:val="5"/>
        </w:numPr>
      </w:pPr>
      <w:r w:rsidRPr="00CB6FB5">
        <w:t xml:space="preserve">Skilled </w:t>
      </w:r>
      <w:r w:rsidR="00AD6BE6">
        <w:t>N</w:t>
      </w:r>
      <w:r w:rsidRPr="00CB6FB5">
        <w:t xml:space="preserve">ursing </w:t>
      </w:r>
      <w:r w:rsidR="00AD6BE6">
        <w:t>F</w:t>
      </w:r>
      <w:r w:rsidRPr="00CB6FB5">
        <w:t xml:space="preserve">acilities, as licensed under section 71 of chapter 111 of the General </w:t>
      </w:r>
      <w:proofErr w:type="gramStart"/>
      <w:r w:rsidRPr="00CB6FB5">
        <w:t>Laws;</w:t>
      </w:r>
      <w:proofErr w:type="gramEnd"/>
      <w:r w:rsidRPr="00CB6FB5">
        <w:t xml:space="preserve"> </w:t>
      </w:r>
    </w:p>
    <w:p w14:paraId="5C80831B" w14:textId="6448819E" w:rsidR="00E55285" w:rsidRPr="00CB6FB5" w:rsidRDefault="00E55285" w:rsidP="00E55285">
      <w:pPr>
        <w:pStyle w:val="ListParagraph"/>
        <w:numPr>
          <w:ilvl w:val="0"/>
          <w:numId w:val="5"/>
        </w:numPr>
      </w:pPr>
      <w:r w:rsidRPr="00CB6FB5">
        <w:t xml:space="preserve">Assisted </w:t>
      </w:r>
      <w:r w:rsidR="00AD6BE6">
        <w:t>L</w:t>
      </w:r>
      <w:r w:rsidRPr="00CB6FB5">
        <w:t xml:space="preserve">iving </w:t>
      </w:r>
      <w:r w:rsidR="00AD6BE6">
        <w:t>R</w:t>
      </w:r>
      <w:r w:rsidRPr="00CB6FB5">
        <w:t xml:space="preserve">esidences, as defined in section 1 of chapter 19D of the General </w:t>
      </w:r>
      <w:proofErr w:type="gramStart"/>
      <w:r w:rsidRPr="00CB6FB5">
        <w:t>Laws;</w:t>
      </w:r>
      <w:proofErr w:type="gramEnd"/>
    </w:p>
    <w:p w14:paraId="493289C3" w14:textId="6819181D" w:rsidR="00E55285" w:rsidRPr="00CB6FB5" w:rsidRDefault="00E55285" w:rsidP="00E55285">
      <w:pPr>
        <w:pStyle w:val="ListParagraph"/>
        <w:numPr>
          <w:ilvl w:val="0"/>
          <w:numId w:val="5"/>
        </w:numPr>
      </w:pPr>
      <w:r w:rsidRPr="00CB6FB5">
        <w:t xml:space="preserve">Rest </w:t>
      </w:r>
      <w:r w:rsidR="00AD6BE6">
        <w:t>H</w:t>
      </w:r>
      <w:r w:rsidRPr="00CB6FB5">
        <w:t xml:space="preserve">omes, as referenced in section 71 of chapter 111of the General </w:t>
      </w:r>
      <w:proofErr w:type="gramStart"/>
      <w:r w:rsidRPr="00CB6FB5">
        <w:t>Laws;</w:t>
      </w:r>
      <w:proofErr w:type="gramEnd"/>
    </w:p>
    <w:p w14:paraId="32DBC758" w14:textId="29F7CBA2" w:rsidR="00E55285" w:rsidRPr="00CB6FB5" w:rsidRDefault="00E55285" w:rsidP="00E55285">
      <w:pPr>
        <w:pStyle w:val="ListParagraph"/>
        <w:numPr>
          <w:ilvl w:val="0"/>
          <w:numId w:val="5"/>
        </w:numPr>
      </w:pPr>
      <w:r w:rsidRPr="00CB6FB5">
        <w:t xml:space="preserve">Community </w:t>
      </w:r>
      <w:r w:rsidR="00AD6BE6">
        <w:t>H</w:t>
      </w:r>
      <w:r w:rsidRPr="00CB6FB5">
        <w:t xml:space="preserve">ealth </w:t>
      </w:r>
      <w:r w:rsidR="00AD6BE6">
        <w:t>C</w:t>
      </w:r>
      <w:r w:rsidRPr="00CB6FB5">
        <w:t xml:space="preserve">enters, as defined in </w:t>
      </w:r>
      <w:r>
        <w:t xml:space="preserve">130 CMR 405.000 </w:t>
      </w:r>
      <w:r w:rsidRPr="00CB6FB5">
        <w:t xml:space="preserve">and </w:t>
      </w:r>
      <w:r w:rsidR="00AD6BE6">
        <w:t>M</w:t>
      </w:r>
      <w:r w:rsidRPr="00CB6FB5">
        <w:t xml:space="preserve">ental </w:t>
      </w:r>
      <w:r w:rsidR="00AD6BE6">
        <w:t>H</w:t>
      </w:r>
      <w:r w:rsidRPr="00CB6FB5">
        <w:t xml:space="preserve">ealth </w:t>
      </w:r>
      <w:r w:rsidR="00AD6BE6">
        <w:t>C</w:t>
      </w:r>
      <w:r w:rsidRPr="00CB6FB5">
        <w:t xml:space="preserve">enters, as defined in 130 CMR </w:t>
      </w:r>
      <w:proofErr w:type="gramStart"/>
      <w:r w:rsidRPr="00CB6FB5">
        <w:t>429</w:t>
      </w:r>
      <w:r>
        <w:t>.000</w:t>
      </w:r>
      <w:r w:rsidRPr="00CB6FB5">
        <w:t>;</w:t>
      </w:r>
      <w:proofErr w:type="gramEnd"/>
    </w:p>
    <w:p w14:paraId="347B5C14" w14:textId="03CB7313" w:rsidR="00E55285" w:rsidRDefault="00E55285" w:rsidP="00E55285">
      <w:pPr>
        <w:pStyle w:val="ListParagraph"/>
        <w:numPr>
          <w:ilvl w:val="0"/>
          <w:numId w:val="5"/>
        </w:numPr>
      </w:pPr>
      <w:r w:rsidRPr="00CB6FB5">
        <w:t xml:space="preserve">Home </w:t>
      </w:r>
      <w:r w:rsidR="00AD6BE6">
        <w:t>H</w:t>
      </w:r>
      <w:r w:rsidRPr="00CB6FB5">
        <w:t xml:space="preserve">ealth </w:t>
      </w:r>
      <w:r w:rsidR="00AD6BE6">
        <w:t>A</w:t>
      </w:r>
      <w:r w:rsidRPr="00CB6FB5">
        <w:t>gencies that participate in Medicare;</w:t>
      </w:r>
      <w:r>
        <w:t xml:space="preserve"> or</w:t>
      </w:r>
    </w:p>
    <w:p w14:paraId="7B882E53" w14:textId="60B11737" w:rsidR="00E55285" w:rsidRPr="00CB6FB5" w:rsidRDefault="00E55285" w:rsidP="00E55285">
      <w:pPr>
        <w:pStyle w:val="ListParagraph"/>
        <w:numPr>
          <w:ilvl w:val="0"/>
          <w:numId w:val="5"/>
        </w:numPr>
      </w:pPr>
      <w:r w:rsidRPr="00CB6FB5">
        <w:t xml:space="preserve">A site designated by the </w:t>
      </w:r>
      <w:r w:rsidR="00AD6BE6">
        <w:t>C</w:t>
      </w:r>
      <w:r w:rsidRPr="00CB6FB5">
        <w:t xml:space="preserve">ommissioner of </w:t>
      </w:r>
      <w:r w:rsidR="00AD6BE6">
        <w:t>P</w:t>
      </w:r>
      <w:r w:rsidRPr="00CB6FB5">
        <w:t xml:space="preserve">ublic </w:t>
      </w:r>
      <w:r w:rsidR="00AD6BE6">
        <w:t>H</w:t>
      </w:r>
      <w:r w:rsidRPr="00CB6FB5">
        <w:t>ealth to provide COVID-19 health care services, including</w:t>
      </w:r>
      <w:r>
        <w:t>, without limitation,</w:t>
      </w:r>
      <w:r w:rsidRPr="00CB6FB5">
        <w:t xml:space="preserve"> step-down skilled nursing facilities, field hospitals, and hotels</w:t>
      </w:r>
      <w:bookmarkEnd w:id="2"/>
      <w:r>
        <w:t>.</w:t>
      </w:r>
    </w:p>
    <w:p w14:paraId="38D2B501" w14:textId="0676ACE7" w:rsidR="004324BB" w:rsidRDefault="004324BB"/>
    <w:p w14:paraId="71AF4D73" w14:textId="4F4B1664" w:rsidR="003E6BFA" w:rsidRDefault="001E4BBA" w:rsidP="008E76E5">
      <w:r>
        <w:t>“H</w:t>
      </w:r>
      <w:r w:rsidR="004324BB">
        <w:t xml:space="preserve">ealth </w:t>
      </w:r>
      <w:r>
        <w:t>C</w:t>
      </w:r>
      <w:r w:rsidR="004324BB">
        <w:t xml:space="preserve">are </w:t>
      </w:r>
      <w:r>
        <w:t>P</w:t>
      </w:r>
      <w:r w:rsidR="004324BB">
        <w:t>rofessional</w:t>
      </w:r>
      <w:r>
        <w:t xml:space="preserve">”, </w:t>
      </w:r>
      <w:r w:rsidR="00042937">
        <w:t>a</w:t>
      </w:r>
      <w:r w:rsidR="003E6BFA">
        <w:t xml:space="preserve"> </w:t>
      </w:r>
      <w:r>
        <w:t>licensed</w:t>
      </w:r>
      <w:r w:rsidR="008E76E5">
        <w:t>, registered,</w:t>
      </w:r>
      <w:r>
        <w:t xml:space="preserve"> or certified health care or emergency worke</w:t>
      </w:r>
      <w:r w:rsidR="003E6BFA">
        <w:t>r</w:t>
      </w:r>
      <w:r w:rsidR="004F4CD6">
        <w:t>, whether compensated or uncompensated,</w:t>
      </w:r>
      <w:r>
        <w:t xml:space="preserve"> who (</w:t>
      </w:r>
      <w:proofErr w:type="spellStart"/>
      <w:r>
        <w:t>i</w:t>
      </w:r>
      <w:proofErr w:type="spellEnd"/>
      <w:r>
        <w:t xml:space="preserve">) </w:t>
      </w:r>
      <w:r w:rsidR="00181B48">
        <w:t>is</w:t>
      </w:r>
      <w:r>
        <w:t xml:space="preserve"> providing health care services in response to the COVID-19 outbreak; or (ii) </w:t>
      </w:r>
      <w:r w:rsidR="00181B48">
        <w:t>is</w:t>
      </w:r>
      <w:r>
        <w:t xml:space="preserve"> working under the direction of the Massachusetts Emergency Management Agency or the Massachusetts Department of Public Health in response to the Commonwealth’s state of emergency</w:t>
      </w:r>
      <w:r w:rsidR="008E76E5">
        <w:t xml:space="preserve">; provided that the </w:t>
      </w:r>
      <w:r w:rsidR="004F4CD6">
        <w:t>H</w:t>
      </w:r>
      <w:r w:rsidR="008E76E5">
        <w:t xml:space="preserve">ealth </w:t>
      </w:r>
      <w:r w:rsidR="004F4CD6">
        <w:t>C</w:t>
      </w:r>
      <w:r w:rsidR="008E76E5">
        <w:t xml:space="preserve">are </w:t>
      </w:r>
      <w:r w:rsidR="004F4CD6">
        <w:t>P</w:t>
      </w:r>
      <w:r w:rsidR="008E76E5">
        <w:t>rofessional acts within the scope of his or her license, registration</w:t>
      </w:r>
      <w:r w:rsidR="00B153FA">
        <w:t>,</w:t>
      </w:r>
      <w:r w:rsidR="008E76E5">
        <w:t xml:space="preserve"> or certification</w:t>
      </w:r>
      <w:r w:rsidR="007323F9">
        <w:t xml:space="preserve">, as those licenses have been modified </w:t>
      </w:r>
      <w:r w:rsidR="00575943">
        <w:t>by Executive Order or by Order of the Commissioner of Public Health</w:t>
      </w:r>
      <w:r w:rsidR="003E6BFA">
        <w:t>.</w:t>
      </w:r>
      <w:r w:rsidR="00BB0BB8">
        <w:t xml:space="preserve">  </w:t>
      </w:r>
      <w:r w:rsidR="00BB0BB8" w:rsidRPr="000F096F">
        <w:t xml:space="preserve">Health Care Professional includes a student or trainee in an approved health care professional services academic program who is performing services under the supervision of </w:t>
      </w:r>
      <w:r w:rsidR="000F096F" w:rsidRPr="000F096F">
        <w:t>the</w:t>
      </w:r>
      <w:r w:rsidR="00BB0BB8" w:rsidRPr="000F096F">
        <w:t xml:space="preserve"> program, and as part of an education and training course offered by the program</w:t>
      </w:r>
      <w:r w:rsidR="00FF5299">
        <w:t xml:space="preserve">, and unlicensed individuals authorized to practice nursing pursuant to </w:t>
      </w:r>
      <w:r w:rsidR="00BF463A">
        <w:t xml:space="preserve">an </w:t>
      </w:r>
      <w:r w:rsidR="00FF5299">
        <w:t xml:space="preserve">order of the </w:t>
      </w:r>
      <w:r w:rsidR="00F95777">
        <w:t>C</w:t>
      </w:r>
      <w:r w:rsidR="00FF5299">
        <w:t xml:space="preserve">ommissioner of </w:t>
      </w:r>
      <w:r w:rsidR="00F95777">
        <w:t>P</w:t>
      </w:r>
      <w:r w:rsidR="00FF5299">
        <w:t xml:space="preserve">ublic </w:t>
      </w:r>
      <w:r w:rsidR="00F95777">
        <w:t>H</w:t>
      </w:r>
      <w:r w:rsidR="00FF5299">
        <w:t>ealth</w:t>
      </w:r>
      <w:r w:rsidR="00BB0BB8" w:rsidRPr="000F096F">
        <w:t>.</w:t>
      </w:r>
    </w:p>
    <w:p w14:paraId="65620466" w14:textId="59A4FA2A" w:rsidR="008E76E5" w:rsidRDefault="003E6BFA" w:rsidP="004F6F10">
      <w:pPr>
        <w:pStyle w:val="NormalWeb"/>
      </w:pPr>
      <w:r>
        <w:t xml:space="preserve">“Program Planner”, </w:t>
      </w:r>
      <w:r w:rsidR="00540F17">
        <w:t>a state or local government, including an Indian tribe; a person employed by the state or local government; or an</w:t>
      </w:r>
      <w:r w:rsidR="00AE1564">
        <w:t xml:space="preserve">y </w:t>
      </w:r>
      <w:r w:rsidR="00540F17">
        <w:t>other</w:t>
      </w:r>
      <w:r w:rsidR="00042937">
        <w:t xml:space="preserve"> person</w:t>
      </w:r>
      <w:r w:rsidR="00BF2210">
        <w:t xml:space="preserve"> or entity</w:t>
      </w:r>
      <w:r w:rsidR="00540F17">
        <w:t xml:space="preserve"> </w:t>
      </w:r>
      <w:r w:rsidR="00042937">
        <w:t>who supervises or administers a program for the</w:t>
      </w:r>
      <w:r w:rsidR="00042937" w:rsidRPr="002F449F">
        <w:t xml:space="preserve"> treatment, diagnosis, prevention</w:t>
      </w:r>
      <w:r w:rsidR="00042937">
        <w:t>,</w:t>
      </w:r>
      <w:r w:rsidR="00042937" w:rsidRPr="002F449F">
        <w:t xml:space="preserve"> </w:t>
      </w:r>
      <w:r w:rsidR="00042937">
        <w:t>and</w:t>
      </w:r>
      <w:r w:rsidR="00042937" w:rsidRPr="002F449F">
        <w:t xml:space="preserve"> mitigation of COVID-19</w:t>
      </w:r>
      <w:r w:rsidR="004F6F10">
        <w:t xml:space="preserve">, </w:t>
      </w:r>
      <w:r w:rsidR="00042937">
        <w:t xml:space="preserve">including a person who establishes requirements, provides policy guidance, or supplies technical or scientific advice or assistance or provides a facility </w:t>
      </w:r>
      <w:r w:rsidR="004F6F10">
        <w:t>for the</w:t>
      </w:r>
      <w:r w:rsidR="004F6F10" w:rsidRPr="002F449F">
        <w:t xml:space="preserve"> treatment, diagnosis, prevention</w:t>
      </w:r>
      <w:r w:rsidR="004F6F10">
        <w:t>,</w:t>
      </w:r>
      <w:r w:rsidR="004F6F10" w:rsidRPr="002F449F">
        <w:t xml:space="preserve"> </w:t>
      </w:r>
      <w:r w:rsidR="004F6F10">
        <w:t>and</w:t>
      </w:r>
      <w:r w:rsidR="004F6F10" w:rsidRPr="002F449F">
        <w:t xml:space="preserve"> mitigation of COVID-19</w:t>
      </w:r>
      <w:r w:rsidR="00042937">
        <w:t>.  </w:t>
      </w:r>
      <w:r w:rsidR="00BF2210">
        <w:t>For the purposes of</w:t>
      </w:r>
      <w:r w:rsidR="00042937">
        <w:t xml:space="preserve"> this definition, a private sector employer or community group or other “person” can be a program planner when it carries out the described activities.</w:t>
      </w:r>
    </w:p>
    <w:p w14:paraId="00C14AC3" w14:textId="32C66A7E" w:rsidR="006031C0" w:rsidRDefault="00490C61" w:rsidP="008D0FA4">
      <w:pPr>
        <w:ind w:firstLine="720"/>
      </w:pPr>
      <w:r w:rsidRPr="001A457E">
        <w:rPr>
          <w:rFonts w:eastAsia="Calibri"/>
        </w:rPr>
        <w:t>Th</w:t>
      </w:r>
      <w:r w:rsidR="00795D65">
        <w:rPr>
          <w:rFonts w:eastAsia="Calibri"/>
        </w:rPr>
        <w:t>e</w:t>
      </w:r>
      <w:r w:rsidRPr="001A457E">
        <w:rPr>
          <w:rFonts w:eastAsia="Calibri"/>
        </w:rPr>
        <w:t xml:space="preserve"> </w:t>
      </w:r>
      <w:r w:rsidR="00DD62E1">
        <w:rPr>
          <w:rFonts w:eastAsia="Calibri"/>
        </w:rPr>
        <w:t xml:space="preserve">provisions of this </w:t>
      </w:r>
      <w:r w:rsidR="00527194">
        <w:rPr>
          <w:rFonts w:eastAsia="Calibri"/>
        </w:rPr>
        <w:t>designation</w:t>
      </w:r>
      <w:r w:rsidR="00527194" w:rsidRPr="001A457E">
        <w:rPr>
          <w:rFonts w:eastAsia="Calibri"/>
        </w:rPr>
        <w:t xml:space="preserve"> </w:t>
      </w:r>
      <w:r w:rsidR="00DD62E1">
        <w:rPr>
          <w:rFonts w:eastAsia="Calibri"/>
        </w:rPr>
        <w:t>shall be</w:t>
      </w:r>
      <w:r w:rsidR="00DD62E1" w:rsidRPr="001A457E">
        <w:rPr>
          <w:rFonts w:eastAsia="Calibri"/>
        </w:rPr>
        <w:t xml:space="preserve"> </w:t>
      </w:r>
      <w:r w:rsidRPr="001A457E">
        <w:rPr>
          <w:rFonts w:eastAsia="Calibri"/>
        </w:rPr>
        <w:t xml:space="preserve">effective </w:t>
      </w:r>
      <w:r>
        <w:rPr>
          <w:rFonts w:eastAsia="Calibri"/>
        </w:rPr>
        <w:t>as of March 10, 2020</w:t>
      </w:r>
      <w:r w:rsidR="00527194">
        <w:rPr>
          <w:rFonts w:eastAsia="Calibri"/>
        </w:rPr>
        <w:t>.</w:t>
      </w:r>
      <w:r w:rsidR="00DD62E1">
        <w:t xml:space="preserve"> </w:t>
      </w:r>
      <w:r w:rsidR="00AD4E3A">
        <w:t xml:space="preserve"> </w:t>
      </w:r>
      <w:r w:rsidR="004959B4">
        <w:t>N</w:t>
      </w:r>
      <w:r w:rsidR="00AD4E3A">
        <w:t xml:space="preserve">othing in this </w:t>
      </w:r>
      <w:r w:rsidR="009E5EEB">
        <w:t>designation</w:t>
      </w:r>
      <w:r w:rsidR="00AD4E3A">
        <w:t xml:space="preserve"> shall be construed to invalidate or diminish any immunity or protection provided by the PREP Act</w:t>
      </w:r>
      <w:r w:rsidR="00D5093D">
        <w:t xml:space="preserve"> or other applicable law</w:t>
      </w:r>
      <w:r w:rsidR="00AD4E3A">
        <w:t>.</w:t>
      </w:r>
    </w:p>
    <w:p w14:paraId="00F02D48" w14:textId="1905DDE7" w:rsidR="00786E4E" w:rsidRDefault="00786E4E" w:rsidP="008D0FA4">
      <w:pPr>
        <w:ind w:firstLine="720"/>
      </w:pPr>
    </w:p>
    <w:p w14:paraId="58CD8A5A" w14:textId="77777777" w:rsidR="008E51DA" w:rsidRDefault="008E51DA" w:rsidP="008E51DA">
      <w:pPr>
        <w:rPr>
          <w:szCs w:val="22"/>
        </w:rPr>
      </w:pPr>
    </w:p>
    <w:p w14:paraId="049228A0" w14:textId="3CABAE5A" w:rsidR="008E51DA" w:rsidRDefault="008E51DA" w:rsidP="008E51DA">
      <w:pPr>
        <w:spacing w:after="120"/>
        <w:ind w:left="5040"/>
      </w:pPr>
      <w:r>
        <w:t>Given in Boston at _____ PM this 8th day of April, two thousand and twenty</w:t>
      </w:r>
    </w:p>
    <w:p w14:paraId="3E65B284" w14:textId="5E7E46FF" w:rsidR="008E51DA" w:rsidRDefault="008E51DA" w:rsidP="008E51DA">
      <w:pPr>
        <w:spacing w:after="120"/>
        <w:ind w:left="5040"/>
      </w:pPr>
    </w:p>
    <w:p w14:paraId="2D7684B2" w14:textId="36CD7542" w:rsidR="008E51DA" w:rsidRDefault="008E51DA" w:rsidP="008E51DA">
      <w:pPr>
        <w:spacing w:after="120"/>
        <w:ind w:left="5040"/>
      </w:pPr>
    </w:p>
    <w:p w14:paraId="03184198" w14:textId="151BC8BE" w:rsidR="008E51DA" w:rsidRDefault="008E51DA" w:rsidP="008E51DA">
      <w:pPr>
        <w:spacing w:after="120"/>
        <w:ind w:left="5040"/>
      </w:pPr>
      <w:r>
        <w:t>_________________________</w:t>
      </w:r>
    </w:p>
    <w:p w14:paraId="65F0DCAA" w14:textId="300B597C" w:rsidR="008E51DA" w:rsidRDefault="008E51DA" w:rsidP="008E51DA">
      <w:pPr>
        <w:spacing w:after="120"/>
        <w:ind w:left="5040"/>
        <w:contextualSpacing/>
      </w:pPr>
      <w:r>
        <w:t>Charles D. Baker</w:t>
      </w:r>
    </w:p>
    <w:p w14:paraId="3E74B0B4" w14:textId="05A548D1" w:rsidR="008E51DA" w:rsidRDefault="008E51DA" w:rsidP="008E51DA">
      <w:pPr>
        <w:spacing w:after="120"/>
        <w:ind w:left="5040"/>
        <w:contextualSpacing/>
      </w:pPr>
      <w:r>
        <w:t>Governor</w:t>
      </w:r>
    </w:p>
    <w:p w14:paraId="30E71A85" w14:textId="19BA128C" w:rsidR="008E51DA" w:rsidRDefault="008E51DA" w:rsidP="008E51DA">
      <w:pPr>
        <w:spacing w:after="120"/>
        <w:ind w:left="5040"/>
        <w:contextualSpacing/>
      </w:pPr>
      <w:r>
        <w:t>Commonwealth of Massachusetts</w:t>
      </w:r>
    </w:p>
    <w:p w14:paraId="65EC8ACF" w14:textId="77777777" w:rsidR="008E51DA" w:rsidRDefault="008E51DA" w:rsidP="008E51DA">
      <w:pPr>
        <w:spacing w:after="120"/>
        <w:ind w:left="5040"/>
      </w:pPr>
    </w:p>
    <w:p w14:paraId="111EA9FC" w14:textId="77777777" w:rsidR="00786E4E" w:rsidRPr="006031C0" w:rsidRDefault="00786E4E" w:rsidP="008E51DA">
      <w:pPr>
        <w:ind w:left="5040"/>
        <w:jc w:val="both"/>
      </w:pPr>
    </w:p>
    <w:sectPr w:rsidR="00786E4E" w:rsidRPr="006031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5DE1" w14:textId="77777777" w:rsidR="00650D0B" w:rsidRDefault="00650D0B" w:rsidP="00FA500D">
      <w:r>
        <w:separator/>
      </w:r>
    </w:p>
  </w:endnote>
  <w:endnote w:type="continuationSeparator" w:id="0">
    <w:p w14:paraId="06CFD90F" w14:textId="77777777" w:rsidR="00650D0B" w:rsidRDefault="00650D0B" w:rsidP="00FA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579B" w14:textId="5BB7353F" w:rsidR="00EE1D48" w:rsidRDefault="00EE1D48">
    <w:pPr>
      <w:pStyle w:val="Footer"/>
      <w:jc w:val="center"/>
    </w:pPr>
  </w:p>
  <w:p w14:paraId="01C6D327" w14:textId="77777777" w:rsidR="00EE1D48" w:rsidRDefault="00EE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971C" w14:textId="77777777" w:rsidR="00650D0B" w:rsidRDefault="00650D0B" w:rsidP="00FA500D">
      <w:r>
        <w:separator/>
      </w:r>
    </w:p>
  </w:footnote>
  <w:footnote w:type="continuationSeparator" w:id="0">
    <w:p w14:paraId="0E9D53FA" w14:textId="77777777" w:rsidR="00650D0B" w:rsidRDefault="00650D0B" w:rsidP="00FA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08B3"/>
    <w:multiLevelType w:val="hybridMultilevel"/>
    <w:tmpl w:val="CA6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66243"/>
    <w:multiLevelType w:val="hybridMultilevel"/>
    <w:tmpl w:val="2B74462E"/>
    <w:lvl w:ilvl="0" w:tplc="40FEC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7B34B2"/>
    <w:multiLevelType w:val="hybridMultilevel"/>
    <w:tmpl w:val="88F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50C52"/>
    <w:multiLevelType w:val="hybridMultilevel"/>
    <w:tmpl w:val="8716C034"/>
    <w:lvl w:ilvl="0" w:tplc="88B88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A70BB"/>
    <w:multiLevelType w:val="hybridMultilevel"/>
    <w:tmpl w:val="EA4E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02"/>
    <w:rsid w:val="00006204"/>
    <w:rsid w:val="000358DC"/>
    <w:rsid w:val="00042937"/>
    <w:rsid w:val="00051119"/>
    <w:rsid w:val="0005782E"/>
    <w:rsid w:val="00071382"/>
    <w:rsid w:val="00084B8F"/>
    <w:rsid w:val="000C264E"/>
    <w:rsid w:val="000D5CED"/>
    <w:rsid w:val="000D7FFC"/>
    <w:rsid w:val="000E481B"/>
    <w:rsid w:val="000F096F"/>
    <w:rsid w:val="00106AF6"/>
    <w:rsid w:val="00110229"/>
    <w:rsid w:val="001125DD"/>
    <w:rsid w:val="00113C54"/>
    <w:rsid w:val="001152B1"/>
    <w:rsid w:val="00133BFF"/>
    <w:rsid w:val="00145EFD"/>
    <w:rsid w:val="00146FA0"/>
    <w:rsid w:val="0017084B"/>
    <w:rsid w:val="0017238E"/>
    <w:rsid w:val="00181B48"/>
    <w:rsid w:val="0018703D"/>
    <w:rsid w:val="001A6E6E"/>
    <w:rsid w:val="001C0C05"/>
    <w:rsid w:val="001D09FC"/>
    <w:rsid w:val="001E4BBA"/>
    <w:rsid w:val="00217B8B"/>
    <w:rsid w:val="00252AB7"/>
    <w:rsid w:val="00265C6D"/>
    <w:rsid w:val="002867F8"/>
    <w:rsid w:val="00286C8F"/>
    <w:rsid w:val="002A1182"/>
    <w:rsid w:val="002D0B92"/>
    <w:rsid w:val="002E5534"/>
    <w:rsid w:val="002F449F"/>
    <w:rsid w:val="0030166C"/>
    <w:rsid w:val="00301ABD"/>
    <w:rsid w:val="00333BFD"/>
    <w:rsid w:val="00342368"/>
    <w:rsid w:val="00384A04"/>
    <w:rsid w:val="003A0998"/>
    <w:rsid w:val="003A352F"/>
    <w:rsid w:val="003B00F9"/>
    <w:rsid w:val="003B476E"/>
    <w:rsid w:val="003B4D94"/>
    <w:rsid w:val="003C7A20"/>
    <w:rsid w:val="003E6BFA"/>
    <w:rsid w:val="00402255"/>
    <w:rsid w:val="004324BB"/>
    <w:rsid w:val="004401A7"/>
    <w:rsid w:val="00443732"/>
    <w:rsid w:val="00451271"/>
    <w:rsid w:val="00473EA8"/>
    <w:rsid w:val="00490C61"/>
    <w:rsid w:val="004959B4"/>
    <w:rsid w:val="00497802"/>
    <w:rsid w:val="004B04AC"/>
    <w:rsid w:val="004C6B73"/>
    <w:rsid w:val="004F23D1"/>
    <w:rsid w:val="004F4CD6"/>
    <w:rsid w:val="004F6F10"/>
    <w:rsid w:val="00520718"/>
    <w:rsid w:val="00527194"/>
    <w:rsid w:val="005403DC"/>
    <w:rsid w:val="00540F17"/>
    <w:rsid w:val="00563068"/>
    <w:rsid w:val="00575943"/>
    <w:rsid w:val="0058114F"/>
    <w:rsid w:val="005846E5"/>
    <w:rsid w:val="005962B1"/>
    <w:rsid w:val="005A4CF5"/>
    <w:rsid w:val="005C0C8E"/>
    <w:rsid w:val="005E5C38"/>
    <w:rsid w:val="005F611E"/>
    <w:rsid w:val="006031C0"/>
    <w:rsid w:val="00632F66"/>
    <w:rsid w:val="00633A9C"/>
    <w:rsid w:val="00641ED8"/>
    <w:rsid w:val="00650D0B"/>
    <w:rsid w:val="00686BC9"/>
    <w:rsid w:val="00691C62"/>
    <w:rsid w:val="006B2141"/>
    <w:rsid w:val="006C1540"/>
    <w:rsid w:val="006C2A66"/>
    <w:rsid w:val="006D0F57"/>
    <w:rsid w:val="007266A5"/>
    <w:rsid w:val="007323F9"/>
    <w:rsid w:val="00732ECD"/>
    <w:rsid w:val="00757773"/>
    <w:rsid w:val="00760C18"/>
    <w:rsid w:val="0076526E"/>
    <w:rsid w:val="00765502"/>
    <w:rsid w:val="00767F10"/>
    <w:rsid w:val="00784D88"/>
    <w:rsid w:val="00786E4E"/>
    <w:rsid w:val="00795D65"/>
    <w:rsid w:val="007D2329"/>
    <w:rsid w:val="00816358"/>
    <w:rsid w:val="0084329A"/>
    <w:rsid w:val="00846FF9"/>
    <w:rsid w:val="00863838"/>
    <w:rsid w:val="00867A03"/>
    <w:rsid w:val="00887784"/>
    <w:rsid w:val="008A25C0"/>
    <w:rsid w:val="008C1131"/>
    <w:rsid w:val="008D0FA4"/>
    <w:rsid w:val="008E3A20"/>
    <w:rsid w:val="008E4510"/>
    <w:rsid w:val="008E49E5"/>
    <w:rsid w:val="008E51DA"/>
    <w:rsid w:val="008E520C"/>
    <w:rsid w:val="008E76E5"/>
    <w:rsid w:val="008F72DF"/>
    <w:rsid w:val="009049AF"/>
    <w:rsid w:val="00937632"/>
    <w:rsid w:val="009660E1"/>
    <w:rsid w:val="0097203C"/>
    <w:rsid w:val="00984AF6"/>
    <w:rsid w:val="009910E4"/>
    <w:rsid w:val="009913EE"/>
    <w:rsid w:val="00994D17"/>
    <w:rsid w:val="009A6DC7"/>
    <w:rsid w:val="009B7315"/>
    <w:rsid w:val="009E543E"/>
    <w:rsid w:val="009E5EEB"/>
    <w:rsid w:val="00A00560"/>
    <w:rsid w:val="00A33A91"/>
    <w:rsid w:val="00A40CCF"/>
    <w:rsid w:val="00A47353"/>
    <w:rsid w:val="00A5116C"/>
    <w:rsid w:val="00A575CD"/>
    <w:rsid w:val="00A74914"/>
    <w:rsid w:val="00A77B1A"/>
    <w:rsid w:val="00A820E6"/>
    <w:rsid w:val="00A96E37"/>
    <w:rsid w:val="00A9747B"/>
    <w:rsid w:val="00AA7FCB"/>
    <w:rsid w:val="00AB3091"/>
    <w:rsid w:val="00AD0862"/>
    <w:rsid w:val="00AD4E3A"/>
    <w:rsid w:val="00AD6BE6"/>
    <w:rsid w:val="00AE1564"/>
    <w:rsid w:val="00AF096A"/>
    <w:rsid w:val="00B02317"/>
    <w:rsid w:val="00B12139"/>
    <w:rsid w:val="00B153FA"/>
    <w:rsid w:val="00B2776A"/>
    <w:rsid w:val="00B5780A"/>
    <w:rsid w:val="00B77501"/>
    <w:rsid w:val="00B8710C"/>
    <w:rsid w:val="00BB0BB8"/>
    <w:rsid w:val="00BD32B1"/>
    <w:rsid w:val="00BF2210"/>
    <w:rsid w:val="00BF463A"/>
    <w:rsid w:val="00C01C36"/>
    <w:rsid w:val="00C01FF8"/>
    <w:rsid w:val="00C14329"/>
    <w:rsid w:val="00C2206C"/>
    <w:rsid w:val="00C314AC"/>
    <w:rsid w:val="00C4577F"/>
    <w:rsid w:val="00C526B7"/>
    <w:rsid w:val="00C63AFF"/>
    <w:rsid w:val="00C870A7"/>
    <w:rsid w:val="00C9736C"/>
    <w:rsid w:val="00CA1347"/>
    <w:rsid w:val="00D02048"/>
    <w:rsid w:val="00D02410"/>
    <w:rsid w:val="00D15163"/>
    <w:rsid w:val="00D15242"/>
    <w:rsid w:val="00D1697E"/>
    <w:rsid w:val="00D1754A"/>
    <w:rsid w:val="00D17F6B"/>
    <w:rsid w:val="00D5093D"/>
    <w:rsid w:val="00D66077"/>
    <w:rsid w:val="00D84FB6"/>
    <w:rsid w:val="00D871D1"/>
    <w:rsid w:val="00DD20F8"/>
    <w:rsid w:val="00DD62E1"/>
    <w:rsid w:val="00DF4AB3"/>
    <w:rsid w:val="00E12076"/>
    <w:rsid w:val="00E14254"/>
    <w:rsid w:val="00E163C4"/>
    <w:rsid w:val="00E41BFC"/>
    <w:rsid w:val="00E55285"/>
    <w:rsid w:val="00E662F1"/>
    <w:rsid w:val="00E80130"/>
    <w:rsid w:val="00E80B73"/>
    <w:rsid w:val="00E92178"/>
    <w:rsid w:val="00E97349"/>
    <w:rsid w:val="00EA3DAE"/>
    <w:rsid w:val="00ED2D50"/>
    <w:rsid w:val="00EE1D48"/>
    <w:rsid w:val="00F103C0"/>
    <w:rsid w:val="00F12E19"/>
    <w:rsid w:val="00F241E6"/>
    <w:rsid w:val="00F6708C"/>
    <w:rsid w:val="00F71593"/>
    <w:rsid w:val="00F83817"/>
    <w:rsid w:val="00F95777"/>
    <w:rsid w:val="00FA500D"/>
    <w:rsid w:val="00FB13DB"/>
    <w:rsid w:val="00FB5057"/>
    <w:rsid w:val="00FE15B0"/>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6E100"/>
  <w15:chartTrackingRefBased/>
  <w15:docId w15:val="{5839B2C0-9BF8-448D-AB0C-739990CE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502"/>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502"/>
    <w:pPr>
      <w:spacing w:before="100" w:beforeAutospacing="1" w:after="100" w:afterAutospacing="1"/>
    </w:pPr>
    <w:rPr>
      <w:rFonts w:eastAsia="Times New Roman"/>
    </w:rPr>
  </w:style>
  <w:style w:type="paragraph" w:styleId="Header">
    <w:name w:val="header"/>
    <w:basedOn w:val="Normal"/>
    <w:link w:val="HeaderChar"/>
    <w:uiPriority w:val="99"/>
    <w:unhideWhenUsed/>
    <w:rsid w:val="00FA500D"/>
    <w:pPr>
      <w:tabs>
        <w:tab w:val="center" w:pos="4680"/>
        <w:tab w:val="right" w:pos="9360"/>
      </w:tabs>
    </w:pPr>
  </w:style>
  <w:style w:type="character" w:customStyle="1" w:styleId="HeaderChar">
    <w:name w:val="Header Char"/>
    <w:basedOn w:val="DefaultParagraphFont"/>
    <w:link w:val="Header"/>
    <w:uiPriority w:val="99"/>
    <w:rsid w:val="00FA500D"/>
    <w:rPr>
      <w:rFonts w:cs="Times New Roman"/>
      <w:szCs w:val="24"/>
    </w:rPr>
  </w:style>
  <w:style w:type="paragraph" w:styleId="Footer">
    <w:name w:val="footer"/>
    <w:basedOn w:val="Normal"/>
    <w:link w:val="FooterChar"/>
    <w:uiPriority w:val="99"/>
    <w:unhideWhenUsed/>
    <w:rsid w:val="00FA500D"/>
    <w:pPr>
      <w:tabs>
        <w:tab w:val="center" w:pos="4680"/>
        <w:tab w:val="right" w:pos="9360"/>
      </w:tabs>
    </w:pPr>
  </w:style>
  <w:style w:type="character" w:customStyle="1" w:styleId="FooterChar">
    <w:name w:val="Footer Char"/>
    <w:basedOn w:val="DefaultParagraphFont"/>
    <w:link w:val="Footer"/>
    <w:uiPriority w:val="99"/>
    <w:rsid w:val="00FA500D"/>
    <w:rPr>
      <w:rFonts w:cs="Times New Roman"/>
      <w:szCs w:val="24"/>
    </w:rPr>
  </w:style>
  <w:style w:type="paragraph" w:styleId="FootnoteText">
    <w:name w:val="footnote text"/>
    <w:basedOn w:val="Normal"/>
    <w:link w:val="FootnoteTextChar"/>
    <w:uiPriority w:val="99"/>
    <w:semiHidden/>
    <w:unhideWhenUsed/>
    <w:rsid w:val="00E97349"/>
    <w:rPr>
      <w:sz w:val="20"/>
      <w:szCs w:val="20"/>
    </w:rPr>
  </w:style>
  <w:style w:type="character" w:customStyle="1" w:styleId="FootnoteTextChar">
    <w:name w:val="Footnote Text Char"/>
    <w:basedOn w:val="DefaultParagraphFont"/>
    <w:link w:val="FootnoteText"/>
    <w:uiPriority w:val="99"/>
    <w:semiHidden/>
    <w:rsid w:val="00E97349"/>
    <w:rPr>
      <w:rFonts w:cs="Times New Roman"/>
      <w:sz w:val="20"/>
      <w:szCs w:val="20"/>
    </w:rPr>
  </w:style>
  <w:style w:type="character" w:styleId="FootnoteReference">
    <w:name w:val="footnote reference"/>
    <w:basedOn w:val="DefaultParagraphFont"/>
    <w:uiPriority w:val="99"/>
    <w:semiHidden/>
    <w:unhideWhenUsed/>
    <w:rsid w:val="00E97349"/>
    <w:rPr>
      <w:vertAlign w:val="superscript"/>
    </w:rPr>
  </w:style>
  <w:style w:type="character" w:styleId="CommentReference">
    <w:name w:val="annotation reference"/>
    <w:basedOn w:val="DefaultParagraphFont"/>
    <w:uiPriority w:val="99"/>
    <w:semiHidden/>
    <w:unhideWhenUsed/>
    <w:rsid w:val="00443732"/>
    <w:rPr>
      <w:sz w:val="16"/>
      <w:szCs w:val="16"/>
    </w:rPr>
  </w:style>
  <w:style w:type="paragraph" w:styleId="CommentText">
    <w:name w:val="annotation text"/>
    <w:basedOn w:val="Normal"/>
    <w:link w:val="CommentTextChar"/>
    <w:uiPriority w:val="99"/>
    <w:unhideWhenUsed/>
    <w:rsid w:val="00443732"/>
    <w:rPr>
      <w:sz w:val="20"/>
      <w:szCs w:val="20"/>
    </w:rPr>
  </w:style>
  <w:style w:type="character" w:customStyle="1" w:styleId="CommentTextChar">
    <w:name w:val="Comment Text Char"/>
    <w:basedOn w:val="DefaultParagraphFont"/>
    <w:link w:val="CommentText"/>
    <w:uiPriority w:val="99"/>
    <w:rsid w:val="00443732"/>
    <w:rPr>
      <w:rFonts w:cs="Times New Roman"/>
      <w:sz w:val="20"/>
      <w:szCs w:val="20"/>
    </w:rPr>
  </w:style>
  <w:style w:type="paragraph" w:styleId="CommentSubject">
    <w:name w:val="annotation subject"/>
    <w:basedOn w:val="CommentText"/>
    <w:next w:val="CommentText"/>
    <w:link w:val="CommentSubjectChar"/>
    <w:uiPriority w:val="99"/>
    <w:semiHidden/>
    <w:unhideWhenUsed/>
    <w:rsid w:val="00443732"/>
    <w:rPr>
      <w:b/>
      <w:bCs/>
    </w:rPr>
  </w:style>
  <w:style w:type="character" w:customStyle="1" w:styleId="CommentSubjectChar">
    <w:name w:val="Comment Subject Char"/>
    <w:basedOn w:val="CommentTextChar"/>
    <w:link w:val="CommentSubject"/>
    <w:uiPriority w:val="99"/>
    <w:semiHidden/>
    <w:rsid w:val="00443732"/>
    <w:rPr>
      <w:rFonts w:cs="Times New Roman"/>
      <w:b/>
      <w:bCs/>
      <w:sz w:val="20"/>
      <w:szCs w:val="20"/>
    </w:rPr>
  </w:style>
  <w:style w:type="paragraph" w:styleId="BalloonText">
    <w:name w:val="Balloon Text"/>
    <w:basedOn w:val="Normal"/>
    <w:link w:val="BalloonTextChar"/>
    <w:uiPriority w:val="99"/>
    <w:semiHidden/>
    <w:unhideWhenUsed/>
    <w:rsid w:val="00443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32"/>
    <w:rPr>
      <w:rFonts w:ascii="Segoe UI" w:hAnsi="Segoe UI" w:cs="Segoe UI"/>
      <w:sz w:val="18"/>
      <w:szCs w:val="18"/>
    </w:rPr>
  </w:style>
  <w:style w:type="paragraph" w:styleId="ListParagraph">
    <w:name w:val="List Paragraph"/>
    <w:basedOn w:val="Normal"/>
    <w:uiPriority w:val="34"/>
    <w:qFormat/>
    <w:rsid w:val="0060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5256">
      <w:bodyDiv w:val="1"/>
      <w:marLeft w:val="0"/>
      <w:marRight w:val="0"/>
      <w:marTop w:val="0"/>
      <w:marBottom w:val="0"/>
      <w:divBdr>
        <w:top w:val="none" w:sz="0" w:space="0" w:color="auto"/>
        <w:left w:val="none" w:sz="0" w:space="0" w:color="auto"/>
        <w:bottom w:val="none" w:sz="0" w:space="0" w:color="auto"/>
        <w:right w:val="none" w:sz="0" w:space="0" w:color="auto"/>
      </w:divBdr>
    </w:div>
    <w:div w:id="453137884">
      <w:bodyDiv w:val="1"/>
      <w:marLeft w:val="0"/>
      <w:marRight w:val="0"/>
      <w:marTop w:val="0"/>
      <w:marBottom w:val="0"/>
      <w:divBdr>
        <w:top w:val="none" w:sz="0" w:space="0" w:color="auto"/>
        <w:left w:val="none" w:sz="0" w:space="0" w:color="auto"/>
        <w:bottom w:val="none" w:sz="0" w:space="0" w:color="auto"/>
        <w:right w:val="none" w:sz="0" w:space="0" w:color="auto"/>
      </w:divBdr>
    </w:div>
    <w:div w:id="573855160">
      <w:bodyDiv w:val="1"/>
      <w:marLeft w:val="0"/>
      <w:marRight w:val="0"/>
      <w:marTop w:val="0"/>
      <w:marBottom w:val="0"/>
      <w:divBdr>
        <w:top w:val="none" w:sz="0" w:space="0" w:color="auto"/>
        <w:left w:val="none" w:sz="0" w:space="0" w:color="auto"/>
        <w:bottom w:val="none" w:sz="0" w:space="0" w:color="auto"/>
        <w:right w:val="none" w:sz="0" w:space="0" w:color="auto"/>
      </w:divBdr>
    </w:div>
    <w:div w:id="619143135">
      <w:bodyDiv w:val="1"/>
      <w:marLeft w:val="0"/>
      <w:marRight w:val="0"/>
      <w:marTop w:val="0"/>
      <w:marBottom w:val="0"/>
      <w:divBdr>
        <w:top w:val="none" w:sz="0" w:space="0" w:color="auto"/>
        <w:left w:val="none" w:sz="0" w:space="0" w:color="auto"/>
        <w:bottom w:val="none" w:sz="0" w:space="0" w:color="auto"/>
        <w:right w:val="none" w:sz="0" w:space="0" w:color="auto"/>
      </w:divBdr>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967660175">
      <w:bodyDiv w:val="1"/>
      <w:marLeft w:val="0"/>
      <w:marRight w:val="0"/>
      <w:marTop w:val="0"/>
      <w:marBottom w:val="0"/>
      <w:divBdr>
        <w:top w:val="none" w:sz="0" w:space="0" w:color="auto"/>
        <w:left w:val="none" w:sz="0" w:space="0" w:color="auto"/>
        <w:bottom w:val="none" w:sz="0" w:space="0" w:color="auto"/>
        <w:right w:val="none" w:sz="0" w:space="0" w:color="auto"/>
      </w:divBdr>
    </w:div>
    <w:div w:id="1065762253">
      <w:bodyDiv w:val="1"/>
      <w:marLeft w:val="0"/>
      <w:marRight w:val="0"/>
      <w:marTop w:val="0"/>
      <w:marBottom w:val="0"/>
      <w:divBdr>
        <w:top w:val="none" w:sz="0" w:space="0" w:color="auto"/>
        <w:left w:val="none" w:sz="0" w:space="0" w:color="auto"/>
        <w:bottom w:val="none" w:sz="0" w:space="0" w:color="auto"/>
        <w:right w:val="none" w:sz="0" w:space="0" w:color="auto"/>
      </w:divBdr>
    </w:div>
    <w:div w:id="1172526200">
      <w:bodyDiv w:val="1"/>
      <w:marLeft w:val="0"/>
      <w:marRight w:val="0"/>
      <w:marTop w:val="0"/>
      <w:marBottom w:val="0"/>
      <w:divBdr>
        <w:top w:val="none" w:sz="0" w:space="0" w:color="auto"/>
        <w:left w:val="none" w:sz="0" w:space="0" w:color="auto"/>
        <w:bottom w:val="none" w:sz="0" w:space="0" w:color="auto"/>
        <w:right w:val="none" w:sz="0" w:space="0" w:color="auto"/>
      </w:divBdr>
    </w:div>
    <w:div w:id="1200361433">
      <w:bodyDiv w:val="1"/>
      <w:marLeft w:val="0"/>
      <w:marRight w:val="0"/>
      <w:marTop w:val="0"/>
      <w:marBottom w:val="0"/>
      <w:divBdr>
        <w:top w:val="none" w:sz="0" w:space="0" w:color="auto"/>
        <w:left w:val="none" w:sz="0" w:space="0" w:color="auto"/>
        <w:bottom w:val="none" w:sz="0" w:space="0" w:color="auto"/>
        <w:right w:val="none" w:sz="0" w:space="0" w:color="auto"/>
      </w:divBdr>
    </w:div>
    <w:div w:id="1204176360">
      <w:bodyDiv w:val="1"/>
      <w:marLeft w:val="0"/>
      <w:marRight w:val="0"/>
      <w:marTop w:val="0"/>
      <w:marBottom w:val="0"/>
      <w:divBdr>
        <w:top w:val="none" w:sz="0" w:space="0" w:color="auto"/>
        <w:left w:val="none" w:sz="0" w:space="0" w:color="auto"/>
        <w:bottom w:val="none" w:sz="0" w:space="0" w:color="auto"/>
        <w:right w:val="none" w:sz="0" w:space="0" w:color="auto"/>
      </w:divBdr>
    </w:div>
    <w:div w:id="1215893056">
      <w:bodyDiv w:val="1"/>
      <w:marLeft w:val="0"/>
      <w:marRight w:val="0"/>
      <w:marTop w:val="0"/>
      <w:marBottom w:val="0"/>
      <w:divBdr>
        <w:top w:val="none" w:sz="0" w:space="0" w:color="auto"/>
        <w:left w:val="none" w:sz="0" w:space="0" w:color="auto"/>
        <w:bottom w:val="none" w:sz="0" w:space="0" w:color="auto"/>
        <w:right w:val="none" w:sz="0" w:space="0" w:color="auto"/>
      </w:divBdr>
    </w:div>
    <w:div w:id="1656183913">
      <w:bodyDiv w:val="1"/>
      <w:marLeft w:val="0"/>
      <w:marRight w:val="0"/>
      <w:marTop w:val="0"/>
      <w:marBottom w:val="0"/>
      <w:divBdr>
        <w:top w:val="none" w:sz="0" w:space="0" w:color="auto"/>
        <w:left w:val="none" w:sz="0" w:space="0" w:color="auto"/>
        <w:bottom w:val="none" w:sz="0" w:space="0" w:color="auto"/>
        <w:right w:val="none" w:sz="0" w:space="0" w:color="auto"/>
      </w:divBdr>
    </w:div>
    <w:div w:id="1721444464">
      <w:bodyDiv w:val="1"/>
      <w:marLeft w:val="0"/>
      <w:marRight w:val="0"/>
      <w:marTop w:val="0"/>
      <w:marBottom w:val="0"/>
      <w:divBdr>
        <w:top w:val="none" w:sz="0" w:space="0" w:color="auto"/>
        <w:left w:val="none" w:sz="0" w:space="0" w:color="auto"/>
        <w:bottom w:val="none" w:sz="0" w:space="0" w:color="auto"/>
        <w:right w:val="none" w:sz="0" w:space="0" w:color="auto"/>
      </w:divBdr>
    </w:div>
    <w:div w:id="1803494587">
      <w:bodyDiv w:val="1"/>
      <w:marLeft w:val="0"/>
      <w:marRight w:val="0"/>
      <w:marTop w:val="0"/>
      <w:marBottom w:val="0"/>
      <w:divBdr>
        <w:top w:val="none" w:sz="0" w:space="0" w:color="auto"/>
        <w:left w:val="none" w:sz="0" w:space="0" w:color="auto"/>
        <w:bottom w:val="none" w:sz="0" w:space="0" w:color="auto"/>
        <w:right w:val="none" w:sz="0" w:space="0" w:color="auto"/>
      </w:divBdr>
    </w:div>
    <w:div w:id="1893036660">
      <w:bodyDiv w:val="1"/>
      <w:marLeft w:val="0"/>
      <w:marRight w:val="0"/>
      <w:marTop w:val="0"/>
      <w:marBottom w:val="0"/>
      <w:divBdr>
        <w:top w:val="none" w:sz="0" w:space="0" w:color="auto"/>
        <w:left w:val="none" w:sz="0" w:space="0" w:color="auto"/>
        <w:bottom w:val="none" w:sz="0" w:space="0" w:color="auto"/>
        <w:right w:val="none" w:sz="0" w:space="0" w:color="auto"/>
      </w:divBdr>
    </w:div>
    <w:div w:id="2012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20F533A387A4CACE7BF298630FEE7" ma:contentTypeVersion="9" ma:contentTypeDescription="Create a new document." ma:contentTypeScope="" ma:versionID="ee59e5a840cc11650dc47e30f86eb434">
  <xsd:schema xmlns:xsd="http://www.w3.org/2001/XMLSchema" xmlns:xs="http://www.w3.org/2001/XMLSchema" xmlns:p="http://schemas.microsoft.com/office/2006/metadata/properties" xmlns:ns3="4e42ba2e-57ae-4e41-bb24-0844362e1782" targetNamespace="http://schemas.microsoft.com/office/2006/metadata/properties" ma:root="true" ma:fieldsID="7e22213f872c2041c990e0002c4db108" ns3:_="">
    <xsd:import namespace="4e42ba2e-57ae-4e41-bb24-0844362e17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2ba2e-57ae-4e41-bb24-0844362e1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0DC1-4BDF-476B-A4DA-1A1D98C6F3AD}">
  <ds:schemaRefs>
    <ds:schemaRef ds:uri="http://schemas.microsoft.com/sharepoint/v3/contenttype/forms"/>
  </ds:schemaRefs>
</ds:datastoreItem>
</file>

<file path=customXml/itemProps2.xml><?xml version="1.0" encoding="utf-8"?>
<ds:datastoreItem xmlns:ds="http://schemas.openxmlformats.org/officeDocument/2006/customXml" ds:itemID="{2B2F89BA-4FD2-4A8B-B19B-65F2E02A5D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4B2DD9-6C40-4617-B826-DBFD2DA56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2ba2e-57ae-4e41-bb24-0844362e1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6021D-56EF-407C-B067-BFB5B6CC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Denniston, Elizabeth F. (GOV)</dc:creator>
  <cp:keywords/>
  <dc:description/>
  <cp:lastModifiedBy>Kaneb, Michael (GOV)</cp:lastModifiedBy>
  <cp:revision>5</cp:revision>
  <cp:lastPrinted>2020-04-08T16:10:00Z</cp:lastPrinted>
  <dcterms:created xsi:type="dcterms:W3CDTF">2020-04-08T15:32:00Z</dcterms:created>
  <dcterms:modified xsi:type="dcterms:W3CDTF">2020-04-08T16:16:00Z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0x010100A4920F533A387A4CACE7BF298630FEE7</vt:lpwstr>
  </property>
</Properties>
</file>