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mc:Ignorable="w14 w15 w16se w16cid w16 w16cex w16sdtdh w16sdtfl w16du wp14">
  <w:body>
    <w:p w:rsidR="00F11409" w:rsidP="00900E67" w:rsidRDefault="00900E67" w14:paraId="38E53508" w14:textId="2825E298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32F52" w:rsidR="008E53B1" w:rsidP="4CB88954" w:rsidRDefault="0076E01C" w14:paraId="3F825627" w14:textId="2B47CC5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name="_Toc166848823" w:id="0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Pr="5A76BED9" w:rsidR="00900E67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Pr="5A76BED9" w:rsidR="53E7D088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Pr="5A76BED9" w:rsidR="004557D2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5A76BED9" w:rsidR="00900E67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:rsidRPr="00132F52" w:rsidR="008E53B1" w:rsidP="00132F52" w:rsidRDefault="00040A48" w14:paraId="7DF17F19" w14:textId="6B04165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Pr="4CB88954" w:rsidR="701C7240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Pr="4CB88954" w:rsidR="00900E67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4CB88954" w:rsidR="008E53B1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:rsidR="0087545A" w:rsidP="0087545A" w:rsidRDefault="00900E67" w14:paraId="1EAE19B0" w14:textId="27E8CCF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ACO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:rsidRPr="0087545A" w:rsidR="0087545A" w:rsidP="0087545A" w:rsidRDefault="0087545A" w14:paraId="6B0E2AEC" w14:textId="0CD9E83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 2</w:t>
      </w:r>
    </w:p>
    <w:p w:rsidRPr="00C623C0" w:rsidR="00D44292" w:rsidP="00D44292" w:rsidRDefault="00D44292" w14:paraId="0B0F94A1" w14:textId="228771BF">
      <w:pPr>
        <w:rPr>
          <w:rFonts w:ascii="Arial" w:hAnsi="Arial" w:cs="Arial"/>
          <w:color w:val="000000" w:themeColor="text1"/>
        </w:rPr>
      </w:pPr>
    </w:p>
    <w:p w:rsidR="006A1000" w:rsidP="00D44292" w:rsidRDefault="00900E67" w14:paraId="4149A549" w14:textId="00EC7FDB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Pr="5A76BED9" w:rsidR="000A27BC">
        <w:rPr>
          <w:rFonts w:ascii="Arial" w:hAnsi="Arial" w:cs="Arial"/>
          <w:color w:val="000000" w:themeColor="text1"/>
        </w:rPr>
        <w:t xml:space="preserve">outlines </w:t>
      </w:r>
      <w:r w:rsidRPr="5A76BED9" w:rsidR="3B0EA2D3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Pr="5A76BED9" w:rsidR="04B64386">
        <w:rPr>
          <w:rFonts w:ascii="Arial" w:hAnsi="Arial" w:cs="Arial"/>
          <w:color w:val="000000" w:themeColor="text1"/>
        </w:rPr>
        <w:t>,</w:t>
      </w:r>
      <w:r w:rsidRPr="5A76BED9" w:rsidR="004557D2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Pr="5A76BED9" w:rsidR="00040A48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Pr="5A76BED9" w:rsidR="00040A48">
        <w:rPr>
          <w:rFonts w:ascii="Arial" w:hAnsi="Arial" w:cs="Arial"/>
          <w:color w:val="000000" w:themeColor="text1"/>
        </w:rPr>
        <w:t xml:space="preserve">Technical Specifications for </w:t>
      </w:r>
      <w:r w:rsidRPr="5A76BED9" w:rsidR="000A27BC">
        <w:rPr>
          <w:rFonts w:ascii="Arial" w:hAnsi="Arial" w:cs="Arial"/>
          <w:color w:val="000000" w:themeColor="text1"/>
        </w:rPr>
        <w:t>Performance Year</w:t>
      </w:r>
      <w:r w:rsidR="007D0942">
        <w:rPr>
          <w:rFonts w:ascii="Arial" w:hAnsi="Arial" w:cs="Arial"/>
          <w:color w:val="000000" w:themeColor="text1"/>
        </w:rPr>
        <w:t xml:space="preserve"> 2</w:t>
      </w:r>
      <w:r w:rsidRPr="5A76BED9" w:rsidR="000A27BC">
        <w:rPr>
          <w:rFonts w:ascii="Arial" w:hAnsi="Arial" w:cs="Arial"/>
          <w:color w:val="000000" w:themeColor="text1"/>
        </w:rPr>
        <w:t xml:space="preserve"> (PY2) </w:t>
      </w:r>
      <w:r w:rsidRPr="5A76BED9" w:rsidR="002C4109">
        <w:rPr>
          <w:rFonts w:ascii="Arial" w:hAnsi="Arial" w:cs="Arial"/>
          <w:color w:val="000000" w:themeColor="text1"/>
        </w:rPr>
        <w:t xml:space="preserve">of </w:t>
      </w:r>
      <w:r w:rsidRPr="5A76BED9" w:rsidR="00040A48">
        <w:rPr>
          <w:rFonts w:ascii="Arial" w:hAnsi="Arial" w:cs="Arial"/>
          <w:color w:val="000000" w:themeColor="text1"/>
        </w:rPr>
        <w:t xml:space="preserve">the MassHealth </w:t>
      </w:r>
      <w:r w:rsidR="007326C7">
        <w:rPr>
          <w:rFonts w:ascii="Arial" w:hAnsi="Arial" w:cs="Arial"/>
          <w:color w:val="000000" w:themeColor="text1"/>
        </w:rPr>
        <w:t xml:space="preserve">ACO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Pr="5A76BED9" w:rsidR="00611017">
        <w:rPr>
          <w:rFonts w:ascii="Arial" w:hAnsi="Arial" w:cs="Arial"/>
          <w:color w:val="000000" w:themeColor="text1"/>
        </w:rPr>
        <w:t xml:space="preserve"> (</w:t>
      </w:r>
      <w:r w:rsidR="007326C7">
        <w:rPr>
          <w:rFonts w:ascii="Arial" w:hAnsi="Arial" w:cs="Arial"/>
          <w:color w:val="000000" w:themeColor="text1"/>
        </w:rPr>
        <w:t>A</w:t>
      </w:r>
      <w:r w:rsidRPr="5A76BED9" w:rsidR="00611017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Pr="5A76BED9" w:rsidR="00D44292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:rsidR="00B75291" w:rsidP="4CB88954" w:rsidRDefault="00B75291" w14:paraId="4ABBDDE5" w14:textId="4B6ADF42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Pr="4CB88954" w:rsidR="002C4109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Pr="4CB88954" w:rsidR="6BA86436">
        <w:rPr>
          <w:rFonts w:ascii="Arial" w:hAnsi="Arial" w:cs="Arial"/>
          <w:color w:val="000000" w:themeColor="text1"/>
        </w:rPr>
        <w:t xml:space="preserve">clarification, </w:t>
      </w:r>
      <w:r w:rsidRPr="4CB88954" w:rsidR="00EF6E1D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Pr="4CB88954" w:rsidR="002C4109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:rsidR="1A92BC77" w:rsidP="4CB88954" w:rsidRDefault="1A92BC77" w14:paraId="529D676D" w14:textId="75082579">
      <w:pPr>
        <w:ind w:firstLine="720"/>
        <w:rPr>
          <w:rFonts w:ascii="Arial" w:hAnsi="Arial" w:eastAsia="Arial" w:cs="Arial"/>
        </w:rPr>
      </w:pPr>
      <w:r w:rsidRPr="4CB88954">
        <w:rPr>
          <w:rFonts w:ascii="Arial" w:hAnsi="Arial" w:eastAsia="Arial" w:cs="Arial"/>
          <w:b/>
          <w:bCs/>
        </w:rPr>
        <w:t>Clarification</w:t>
      </w:r>
      <w:r w:rsidRPr="4CB88954">
        <w:rPr>
          <w:rFonts w:ascii="Arial" w:hAnsi="Arial" w:eastAsia="Arial" w:cs="Arial"/>
        </w:rPr>
        <w:t xml:space="preserve"> is additional information that explains an existing requirement</w:t>
      </w:r>
      <w:r w:rsidRPr="4CB88954" w:rsidR="6233C127">
        <w:rPr>
          <w:rFonts w:ascii="Arial" w:hAnsi="Arial" w:eastAsia="Arial" w:cs="Arial"/>
        </w:rPr>
        <w:t>.</w:t>
      </w:r>
    </w:p>
    <w:p w:rsidR="0044507C" w:rsidP="4CB88954" w:rsidRDefault="0044507C" w14:paraId="63FC9A23" w14:textId="40CC968A">
      <w:pPr>
        <w:ind w:firstLine="720"/>
        <w:rPr>
          <w:rFonts w:ascii="Arial" w:hAnsi="Arial" w:eastAsia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Pr="5A76BED9" w:rsidR="00D44292">
        <w:rPr>
          <w:rFonts w:ascii="Arial" w:hAnsi="Arial" w:cs="Arial"/>
          <w:b/>
          <w:bCs/>
        </w:rPr>
        <w:t xml:space="preserve">Correction </w:t>
      </w:r>
      <w:r w:rsidRPr="5A76BED9" w:rsidR="00D44292">
        <w:rPr>
          <w:rFonts w:ascii="Arial" w:hAnsi="Arial" w:cs="Arial"/>
        </w:rPr>
        <w:t>is a change made to rectify an error in the technical specification</w:t>
      </w:r>
      <w:r w:rsidRPr="5A76BED9" w:rsidR="27AB41D5">
        <w:rPr>
          <w:rFonts w:ascii="Arial" w:hAnsi="Arial" w:cs="Arial"/>
        </w:rPr>
        <w:t>.</w:t>
      </w:r>
    </w:p>
    <w:p w:rsidRPr="00C623C0" w:rsidR="00D44292" w:rsidP="00403F2D" w:rsidRDefault="00D44292" w14:paraId="471BF302" w14:textId="449691EF">
      <w:pPr>
        <w:spacing w:after="0"/>
        <w:ind w:left="720"/>
        <w:rPr>
          <w:rFonts w:ascii="Arial" w:hAnsi="Arial" w:cs="Arial"/>
        </w:rPr>
      </w:pPr>
      <w:r w:rsidRPr="1D7B430F" w:rsidR="00D44292">
        <w:rPr>
          <w:rFonts w:ascii="Arial" w:hAnsi="Arial" w:cs="Arial"/>
          <w:b w:val="1"/>
          <w:bCs w:val="1"/>
        </w:rPr>
        <w:t xml:space="preserve">Policy Update </w:t>
      </w:r>
      <w:r w:rsidRPr="1D7B430F" w:rsidR="00D44292">
        <w:rPr>
          <w:rFonts w:ascii="Arial" w:hAnsi="Arial" w:cs="Arial"/>
        </w:rPr>
        <w:t>is a modification of an existing requirement</w:t>
      </w:r>
      <w:r w:rsidRPr="1D7B430F" w:rsidR="3631D69A">
        <w:rPr>
          <w:rFonts w:ascii="Arial" w:hAnsi="Arial" w:cs="Arial"/>
        </w:rPr>
        <w:t>.</w:t>
      </w:r>
    </w:p>
    <w:p w:rsidR="1D7B430F" w:rsidP="1D7B430F" w:rsidRDefault="1D7B430F" w14:paraId="2B324CD4" w14:textId="11C22C56">
      <w:pPr>
        <w:pStyle w:val="Normal"/>
        <w:spacing w:after="0"/>
        <w:ind w:left="0"/>
        <w:rPr>
          <w:rFonts w:ascii="Arial" w:hAnsi="Arial" w:cs="Arial"/>
        </w:r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635"/>
        <w:gridCol w:w="705"/>
        <w:gridCol w:w="1245"/>
        <w:gridCol w:w="1620"/>
        <w:gridCol w:w="3240"/>
        <w:gridCol w:w="1028"/>
      </w:tblGrid>
      <w:tr w:rsidR="1D7B430F" w:rsidTr="1D7B430F" w14:paraId="54FC3B14">
        <w:trPr>
          <w:trHeight w:val="480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42F0099" w14:textId="2D2392E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4A73101" w14:textId="1F885F2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88B01D0" w14:textId="5F7EBF3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62049DA" w14:textId="3C55A88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4AF9F98" w14:textId="36D16A5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FE48A3C" w14:textId="6EA19FC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Update release date</w:t>
            </w:r>
          </w:p>
        </w:tc>
      </w:tr>
      <w:tr w:rsidR="1D7B430F" w:rsidTr="1D7B430F" w14:paraId="56C45D39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5F8AF53" w14:textId="34B916C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RELD SOGI Data Completeness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4E56A29" w14:textId="3C4DE30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47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34A381F" w14:textId="4A59F03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3BBEF59" w14:textId="4C9CE20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CFA0636" w14:textId="04A76B0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Updated reference to “Member Data and Member Enrollment Monthly Submission Specifications for all Entities” from Version 2.0 to Version 3.0.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0D8CE10" w14:textId="1BBA759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6E9F4CD9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FFFC13A" w14:textId="621C9D2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BC65532" w14:textId="221AD7E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53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6B3B63A" w14:textId="07F1AB3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545E41A" w14:textId="0F0F0B8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Administrative Data Reporting Requirements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68CBBE6" w14:textId="7518B4D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“CPT” Code System to “HCPCS” Code System.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33FEA88" w14:textId="57A636A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657417BA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AF5D1C4" w14:textId="49DA93F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661A47C" w14:textId="5273338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52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6D68D54" w14:textId="5F309CD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D6163B7" w14:textId="75C057B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DC2EAC3" w14:textId="756B522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Add “Member died during the measurement period” as an exclusion for Rate 1.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CD344F7" w14:textId="1910B14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03070E12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19D8CAD" w14:textId="63E2C0C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2C74C38" w14:textId="47F0CDA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57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1D8715A" w14:textId="7EB2BA0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3FDA6BF" w14:textId="06B27E1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Supplemental Data Reporting Requirements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8AAD1FE" w14:textId="3D5E0BE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“CPT” Code System to “HCPCS” Code System.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CF9B32C" w14:textId="3DCCC46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6DA3E517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69AA519" w14:textId="03D142A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EE1CAB8" w14:textId="3FD7D25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57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9564B5D" w14:textId="24CC3F3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E7A87E0" w14:textId="66A504F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4C00251" w14:textId="1184B40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the due date from March 31, 2025 to June 30, 2025.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77BBE8D" w14:textId="0378BBF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7A39AC29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FC82EFD" w14:textId="58EE598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73EBB97" w14:textId="4DFFF2E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5AA1D1C" w14:textId="1F1E458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7DF3218" w14:textId="0174AF9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8BEE827" w14:textId="7960685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Anchor Date from “December 31, 2024” to “Date of Qualifying Outpatient Visit.”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6E56A43" w14:textId="222BD4C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7484D3C6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3C84DD0" w14:textId="50D3754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DE50D2A" w14:textId="762D05B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EF7617F" w14:textId="13D4737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ED26C7B" w14:textId="188E74C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06540CA" w14:textId="1A120B0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Add details around identifying eligible outpatient visits occurring at ACO Primary Care Entities (PCEs).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27B508E" w14:textId="63A1C94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5161C8C0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6245A49" w14:textId="7F8B050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27F5A6A" w14:textId="69B2055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FF00E22" w14:textId="0F60D70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47ECB5E" w14:textId="423F1AF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Definitions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AE09AB0" w14:textId="548EFDA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definition of “Interpreter Services” to definition of “Language Assistance Services.”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699CB21" w14:textId="0AAC58A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16B85667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C740325" w14:textId="1AF85CF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4433125" w14:textId="32AC479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3BBC967" w14:textId="1F27759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EBF4DB7" w14:textId="685BB07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4A289BB" w14:textId="56339C8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Clarify that Component 2 applies to outpatient visits occurring at ACO PCEs.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1D5D7E9" w14:textId="48ED6D3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4281340B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6015E38" w14:textId="27B0352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1C0A5E9" w14:textId="0C49B4A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0262E37" w14:textId="4FF85DB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6672B4D" w14:textId="00F8E7A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05C126E" w14:textId="651053A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Remove “Member dies during the outpatient visit” as an exclusion.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1003076" w14:textId="572696B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44FFA022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287B350" w14:textId="4E79318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7C8064E" w14:textId="12AD844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049352F" w14:textId="3BF6F48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350F6A8" w14:textId="4AEEC14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E4D0200" w14:textId="1EF74AB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Update sampling methodology language to be visit-based rather than member based.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4080F55" w14:textId="1318576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12772328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2CF98A0" w14:textId="5FA7BBF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C4E1367" w14:textId="09F6D5C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25C2B0B" w14:textId="4580F62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E949EFE" w14:textId="04AE931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146257A" w14:textId="454073E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the due date of Component 1 from December 31, 2024 to March 31, 2025, and the due date of Component 2 from March 31, 2025 to June 30, 2025.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9573613" w14:textId="69935F9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5C244215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00D9BD4" w14:textId="00713FC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D19081A" w14:textId="7A4FAC9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7CC3BA5" w14:textId="0B0B6B2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4618FC2" w14:textId="31FE609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AEF3B3B" w14:textId="3DE6076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Clarify that the eligible population is all patient-facing staff across ACO PCEs.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31EBF7E" w14:textId="59A12FC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2A4990C8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D2D3744" w14:textId="7EFD89B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28F65AE" w14:textId="04E9F95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80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1DA2479" w14:textId="613E43E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89EC757" w14:textId="2C9859E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1B4F28E" w14:textId="012F1E6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the denominator for the Component 2 Rate to “Total # of Patient-Facing Staff.”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89FB207" w14:textId="19BBB33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60DBBF2D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74A0AC1" w14:textId="1C9D806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Disability Accommodation Needs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57CFA0C" w14:textId="0500AC8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86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3CE10D9" w14:textId="31801A9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D43D225" w14:textId="7A1B7D1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5E5BDBC" w14:textId="1EC3E4C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Add final supplemental questions added to the Member Experience Survey (MES) related to accommodation needs.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3DE3E33" w14:textId="7D69FFC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6CFE904C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A535044" w14:textId="14FA80C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External Standards for Health Equity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EEE9ED0" w14:textId="797C22C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90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CFC90A8" w14:textId="3A3DA95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7CC7388" w14:textId="36D4F98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D5883B8" w14:textId="1036AC0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Change the due date from December 31, 2024 to January 31, 2025.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EA8B1CE" w14:textId="335D10D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255C0D53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7458E27" w14:textId="572BE1A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Member Experience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38B8C1F" w14:textId="54471ED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92-95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03F57F3" w14:textId="1FB780D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3A69631" w14:textId="0C464F1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Entire measure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8CF67B1" w14:textId="63E858A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Simplified language throughout the specification.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1072EF8" w14:textId="3FFC7AC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5AA1D726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5705207" w14:textId="47449A0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Member Experience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DD36B98" w14:textId="18F2426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93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B0EEC1F" w14:textId="1E84D19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DBEB774" w14:textId="43EF3F8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167BC5D" w14:textId="423958B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Updated MES questions in the Adult &amp; Child Communication Composites to reflect updated PY2 survey.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9390F57" w14:textId="3D7689D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1D7B430F" w:rsidTr="1D7B430F" w14:paraId="3B6A1289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E7CBC2F" w14:textId="0717A9E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RELD SOGI: All sub-measures 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8A02240" w14:textId="6DFABAF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3, 9, 14, 22, 34, 39 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6B26202" w14:textId="080276E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A281364" w14:textId="253C0C2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Overview 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6546C4F" w14:textId="18E9F38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numerator source to “ACO ‘Member Data and Member Enrollment’ Monthly Data File Submission” and clarified denominator source to “MassHealth Enrollment Data.” 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7F2B7BD" w14:textId="4C4B405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10ACFFE3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BE2B1E5" w14:textId="7547F01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36776BB" w14:textId="775240A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47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64E6F1E" w14:textId="62B7922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C4DA64F" w14:textId="0A7A218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Measure Summary 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EC53193" w14:textId="42BCFE6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Rate 2: HRSN Screen Positive Rate to “Rate of HRSN identified (i.e., screen positive) among cases in Rate 1 numerator.” 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7280B69" w14:textId="0649760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5CC279EE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27BFF3A" w14:textId="068D623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FEF0AA7" w14:textId="2B231DC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47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D4008EC" w14:textId="3FF8F4C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4D25F69" w14:textId="5E5162E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DD3E7F4" w14:textId="50111C2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that Continuous Enrollment is “90 days” and Allowable Gap is “None.”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94C26E5" w14:textId="536497E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32124FFD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E665A28" w14:textId="3765150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HRSN Screening 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05F4B50" w14:textId="754555D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ptos" w:hAnsi="Aptos" w:eastAsia="Aptos" w:cs="Aptos"/>
                <w:sz w:val="22"/>
                <w:szCs w:val="22"/>
              </w:rPr>
              <w:t>50</w:t>
            </w: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EEDC589" w14:textId="3B2BB91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6D6580C" w14:textId="4DB0D1E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Administrative Specification 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3805BA4" w14:textId="253F817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description of Rate 2: HRSN Screen Positive Rate to “Rate of HRSN identified (i.e., screen positive) among cases in Rate 1 numerator.” 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AAFE71A" w14:textId="4BED533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3DCBBBA6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2550135" w14:textId="11E1766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BE64184" w14:textId="4E007E1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5770498" w14:textId="7D19199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4BE03D6" w14:textId="77F910A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Administrative Specification 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947E617" w14:textId="3B0C699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Rate 2 denominator description. 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89E7568" w14:textId="044BE15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41A5BF9D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C813B0B" w14:textId="085ED4C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EF00D21" w14:textId="247A9AC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54 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16A2F22" w14:textId="449A372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Technical Correction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60C4AE2" w14:textId="20A8DF4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Administrative Data Reporting Requirements 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80A8832" w14:textId="4F8F08E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Added ICD-10 Code “Z59.12” to ICD-10 Codes Contribution to Rate 2 Numerators for Utility Difficulties. 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8F8F474" w14:textId="3EC1840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46F2BC75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1FC849F" w14:textId="69FE9A1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59AB168" w14:textId="7A3827B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CDB4C95" w14:textId="34746E2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ED10AE7" w14:textId="2927E7D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Supplemental Data Reporting Requirements 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007EE16" w14:textId="25E4AA8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Added language about audit expectations.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3F6B6DB" w14:textId="5559B6C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30C7896F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A0EF5DC" w14:textId="7616FA1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E31B1E0" w14:textId="48B07A9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0AF2168" w14:textId="5B76823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C24B3A3" w14:textId="6D0FCFB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DC6AEA4" w14:textId="42C54D9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Clarified that the data submission due date is applicable to all data submitted by the ACO (administrative and supplemental, as applicable).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5738C1C" w14:textId="63EBB14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5960735E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3C9C91F" w14:textId="642696D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Quality Performance Disparities Reduction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278089C" w14:textId="1816B92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2E0706E" w14:textId="3F0151A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7EF8689" w14:textId="4743247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71E3879" w14:textId="599E98B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Added language about requesting additional member-level data.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66F33D0" w14:textId="15FADAC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17AAE9FC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3E3AE0A" w14:textId="69FFB23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Equity Improvement Interventions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BF5368E" w14:textId="60F4BF6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AAA3B8B" w14:textId="492649C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FA9A050" w14:textId="355E106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PY2-5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0DD0CF9" w14:textId="2254F72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Updated PIP2 Planning Report due date to 3/31/2025 (originally 3/30/2025) and the PIP1 Remeasurement 1 Report due date to 8/29/2025 (originally 8/1/2025).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7D80377" w14:textId="21B04AD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5D81EA26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B3B995A" w14:textId="0825F29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D21963B" w14:textId="54B7A94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FB4205A" w14:textId="01C56B9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F80A192" w14:textId="05E37F4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Measure Summary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6622A23" w14:textId="4979F89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setting of eligible outpatient visits: “ACO Primary Care Entities.”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F854BDA" w14:textId="6A495C8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7DDD1D6F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F868BD9" w14:textId="061DCE9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74042BD" w14:textId="0179C84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69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12E2371" w14:textId="0ABDCDE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B05A6E2" w14:textId="4DFF107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56C92F8" w14:textId="7B2CEE9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that the ACO may use their internal data to identify members with a preferred spoken language other than English if not available from the site where the visit occurred.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01F6D91" w14:textId="282326C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6CD9B699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7AABAC0" w14:textId="33FDCC6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C35666E" w14:textId="582E33C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28CB55D" w14:textId="02B531E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E821257" w14:textId="07AEF94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35610C6" w14:textId="1995EA2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sampling methodology language and added reference to the QEIP Portal User Guide, which contains further sampling methodology details.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A045B25" w14:textId="7F37CEE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1406C40A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24A432D" w14:textId="4EC9114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FA763D7" w14:textId="3FB0D42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F3B5175" w14:textId="259B3DC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0F9258C" w14:textId="0E4C295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A90C7C6" w14:textId="4741057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Added language about audit expectations.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53E797E" w14:textId="343E648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33C7FE96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F2CA579" w14:textId="7322C42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8AA2B22" w14:textId="465CD00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7E443C1" w14:textId="5428DFF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44B0206" w14:textId="75CDBEE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85EFB2E" w14:textId="5439FDB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that the DCC Training Rate denominator is all patient-facing staff “at the ACO’s Primary Care Entities.”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545B8F1" w14:textId="3D5AADD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79997DBC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4445B17" w14:textId="0CD2BEF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CFA9F82" w14:textId="6840657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A9B7E89" w14:textId="3138C4D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93A40D3" w14:textId="3A3F10C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CF71B08" w14:textId="723A780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that entities must report total number of patient-facing staff in their DCC Training Report.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9A23077" w14:textId="3DC917F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3B604BE3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DF5E10B" w14:textId="1AD0457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Member Experience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47782FD" w14:textId="216E63A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93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20F3F39" w14:textId="1D7892C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DB0A5D0" w14:textId="1086264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Additional Measure Information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653D61C" w14:textId="468DC3B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that MassHealth reports data to ACOs, including stratifications.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06BFD13" w14:textId="455570E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1D7B430F" w:rsidTr="1D7B430F" w14:paraId="63DBEC42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D3D7986" w14:textId="2F0F71F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Health-Related Social Needs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5FFC1AB" w14:textId="18527FE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D2E344D" w14:textId="7A11937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0D0AF50" w14:textId="136A48F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173DAEC" w14:textId="512EFFB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Removed “pending” and replaced with “</w:t>
            </w:r>
            <w:r w:rsidRPr="1D7B430F" w:rsidR="1D7B430F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with</w:t>
            </w: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 xml:space="preserve"> permission from NCQA.”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A10358C" w14:textId="29ED71D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04F7F9B9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553A016" w14:textId="49CC274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E66862F" w14:textId="54192A2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9B9272E" w14:textId="3D89D3C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Policy Update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BE5B323" w14:textId="39EC517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DB4CC97" w14:textId="1015B78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Removing requirement to submit member-level Race and Ethnicity data alongside annual clinical quality measure reporting.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60164C0" w14:textId="73F7E61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6D836B15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F4A7BD5" w14:textId="4EE3FBA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BD1C840" w14:textId="389C46D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59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01F4D05" w14:textId="2BA93362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7C5A038" w14:textId="1A911D0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11683A3" w14:textId="559AE61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Removed “30 day follow up” from FUM, FUA, and FUH (to align with Quality measure reporting).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34A4E7D" w14:textId="675E766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35E2858D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192AC0D" w14:textId="205DF09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B63A885" w14:textId="0F5A441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59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A75AA4F" w14:textId="749A2B5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374197B" w14:textId="2436284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Additional Measure Information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FE6B7F8" w14:textId="720E50E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Clarified acceptable use of imputed data in the stratified reports.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B7E27A8" w14:textId="3A0446E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0D8B6D32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87E4A10" w14:textId="389B445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6B8F282" w14:textId="457EB19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D5A3A0F" w14:textId="54C9E05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Policy Update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C6B88D3" w14:textId="0C60CC8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9A7755A" w14:textId="76DDFEB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Updating the Performance Assessment, so that 100% of the measure points are attributed to submission of stratified reports.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D48543E" w14:textId="53B1D21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3549831A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E25A7F2" w14:textId="5F3047B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0420E53" w14:textId="1A2EA4D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64F6949" w14:textId="1D3787F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0AD57AC" w14:textId="01BC47A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Measure Summary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9A3E6EE" w14:textId="49BBF04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Clarified Component 2, changing “either interpreter services or in language services” to “language assistance services.”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22571CB" w14:textId="4DF8CEB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78301781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C75C269" w14:textId="7AC7A93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1624BD4" w14:textId="42826B7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E28AA80" w14:textId="5F6D101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091301F" w14:textId="6A301ADA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Eligible Population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7F8FA42" w14:textId="69E668C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Removed “pending” and replaced with “</w:t>
            </w:r>
            <w:r w:rsidRPr="1D7B430F" w:rsidR="1D7B430F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with</w:t>
            </w: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 xml:space="preserve"> permission from NCQA.”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14466D3" w14:textId="6AC0813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2C554CC3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AC25ED2" w14:textId="1FED221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C4CCBA2" w14:textId="3E7933E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52EE10A" w14:textId="61265E5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1510109" w14:textId="03FEA59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Eligible Population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11818E8" w14:textId="33D9B5B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 xml:space="preserve">Clarified Step 2 of “Event/Diagnosis,” adding </w:t>
            </w: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“language services documentation system (e.g., vendor logs)” as an acceptable source for preferred spoken language other than English data.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7EB7753" w14:textId="76276921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79F85D5B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40A2812" w14:textId="162E677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45AE88D" w14:textId="36726A8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70, 71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F952A2E" w14:textId="4E12E75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A726443" w14:textId="1FA61158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2639C9F" w14:textId="6E1408B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Component 2 description and numerator, changing “either interpreter services or in language services” to “language assistance services.”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397626B8" w14:textId="36D421A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75DCF640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E9E0F7C" w14:textId="3D82849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6429EE6" w14:textId="4F657437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BB93A4E" w14:textId="71B209C6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9B058C2" w14:textId="14C683D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5E1864DF" w14:textId="212C562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For Component 2 Numerator, addition of “language services documentation system (e.g., vendor logs)” as an acceptable source of documentation for language assistance services provided.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D2A040B" w14:textId="3103564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657C17D2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D189434" w14:textId="659F164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Disability Accommodation Needs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81FBC72" w14:textId="6436EC0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82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A17D62C" w14:textId="4341371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18041E2" w14:textId="2FCEC2B4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Definitions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E10F345" w14:textId="396DA25B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Clarified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383E2C3" w14:textId="0A40C2C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1D7B430F" w:rsidTr="1D7B430F" w14:paraId="0482CA29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1DA1CA40" w14:textId="335F519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 xml:space="preserve">Equity Improvement Interventions 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205473C" w14:textId="5F8EECE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63-64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14D3E08" w14:textId="5E06E735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 xml:space="preserve">Technical Correction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8FE8603" w14:textId="76161FDC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 xml:space="preserve">Performance Requirements and Assessment 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6CB085D8" w14:textId="64DBB5C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 xml:space="preserve">Revised information to reflect only PY2 submission requirements 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D300199" w14:textId="63CD628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7/15/25</w:t>
            </w:r>
          </w:p>
        </w:tc>
      </w:tr>
      <w:tr w:rsidR="1D7B430F" w:rsidTr="1D7B430F" w14:paraId="4FF14C5C">
        <w:trPr>
          <w:trHeight w:val="225"/>
        </w:trPr>
        <w:tc>
          <w:tcPr>
            <w:tcW w:w="16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5F6B7FB" w14:textId="3B2C5560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70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89B9064" w14:textId="66CAD3AD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76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4D21A99C" w14:textId="47842E79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7FE7952E" w14:textId="15D5BBDE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0B09B314" w14:textId="669BEB13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Corrected the formula for calculating the DCC Training Rate.</w:t>
            </w:r>
          </w:p>
        </w:tc>
        <w:tc>
          <w:tcPr>
            <w:tcW w:w="102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D7B430F" w:rsidP="1D7B430F" w:rsidRDefault="1D7B430F" w14:paraId="2CF14955" w14:textId="028C343F">
            <w:pPr>
              <w:bidi w:val="0"/>
              <w:spacing w:before="0" w:beforeAutospacing="off" w:after="0" w:afterAutospacing="off" w:line="257" w:lineRule="auto"/>
            </w:pPr>
            <w:r w:rsidRPr="1D7B430F" w:rsidR="1D7B430F">
              <w:rPr>
                <w:rFonts w:ascii="Arial" w:hAnsi="Arial" w:eastAsia="Arial" w:cs="Arial"/>
                <w:sz w:val="22"/>
                <w:szCs w:val="22"/>
              </w:rPr>
              <w:t>8/25/25</w:t>
            </w:r>
          </w:p>
        </w:tc>
      </w:tr>
    </w:tbl>
    <w:p w:rsidR="1D7B430F" w:rsidP="1D7B430F" w:rsidRDefault="1D7B430F" w14:paraId="458F76DE" w14:textId="1B932560">
      <w:pPr>
        <w:bidi w:val="0"/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1D7B430F" w:rsidP="1D7B430F" w:rsidRDefault="1D7B430F" w14:paraId="4ECB955C" w14:textId="3B456C83">
      <w:pPr>
        <w:spacing w:after="0"/>
        <w:ind w:left="0"/>
        <w:rPr>
          <w:rFonts w:ascii="Arial" w:hAnsi="Arial" w:cs="Arial"/>
        </w:rPr>
      </w:pPr>
    </w:p>
    <w:p w:rsidRPr="00C623C0" w:rsidR="00611017" w:rsidP="00611017" w:rsidRDefault="00611017" w14:paraId="16DACEBC" w14:textId="4A59AAFC">
      <w:pPr>
        <w:spacing w:after="0" w:line="240" w:lineRule="auto"/>
        <w:rPr>
          <w:rFonts w:ascii="Arial" w:hAnsi="Arial" w:cs="Arial"/>
        </w:rPr>
      </w:pPr>
    </w:p>
    <w:bookmarkEnd w:id="0"/>
    <w:p w:rsidRPr="00C623C0" w:rsidR="00403F2D" w:rsidP="5A76BED9" w:rsidRDefault="00403F2D" w14:paraId="5A361ACD" w14:textId="6720AE47" w14:noSpellErr="1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p w:rsidR="1D7B430F" w:rsidP="1D7B430F" w:rsidRDefault="1D7B430F" w14:paraId="49786771" w14:textId="51AF5EE3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p w:rsidR="1D7B430F" w:rsidP="1D7B430F" w:rsidRDefault="1D7B430F" w14:paraId="1583E759" w14:textId="0D8ACAD1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Pr="00C623C0" w:rsidR="00403F2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03191"/>
    <w:rsid w:val="00005830"/>
    <w:rsid w:val="0003320C"/>
    <w:rsid w:val="000351D9"/>
    <w:rsid w:val="00037F29"/>
    <w:rsid w:val="00040A48"/>
    <w:rsid w:val="000510BC"/>
    <w:rsid w:val="00063810"/>
    <w:rsid w:val="00067641"/>
    <w:rsid w:val="00071B67"/>
    <w:rsid w:val="00087882"/>
    <w:rsid w:val="000958C2"/>
    <w:rsid w:val="000A27BC"/>
    <w:rsid w:val="000C4055"/>
    <w:rsid w:val="000D41BA"/>
    <w:rsid w:val="000F1403"/>
    <w:rsid w:val="000F6DCC"/>
    <w:rsid w:val="00126848"/>
    <w:rsid w:val="00132F52"/>
    <w:rsid w:val="00140191"/>
    <w:rsid w:val="00162062"/>
    <w:rsid w:val="00174A68"/>
    <w:rsid w:val="00182D0A"/>
    <w:rsid w:val="00187DDF"/>
    <w:rsid w:val="00190A16"/>
    <w:rsid w:val="00193743"/>
    <w:rsid w:val="001B759E"/>
    <w:rsid w:val="001C47D1"/>
    <w:rsid w:val="001D1610"/>
    <w:rsid w:val="001D7031"/>
    <w:rsid w:val="001D7850"/>
    <w:rsid w:val="001E447E"/>
    <w:rsid w:val="00237D9D"/>
    <w:rsid w:val="002472F5"/>
    <w:rsid w:val="00253146"/>
    <w:rsid w:val="0025420D"/>
    <w:rsid w:val="00254AA4"/>
    <w:rsid w:val="00261AC9"/>
    <w:rsid w:val="0027736D"/>
    <w:rsid w:val="0029186F"/>
    <w:rsid w:val="002B12B2"/>
    <w:rsid w:val="002B736D"/>
    <w:rsid w:val="002C03EC"/>
    <w:rsid w:val="002C4109"/>
    <w:rsid w:val="002D5B7B"/>
    <w:rsid w:val="002E79EE"/>
    <w:rsid w:val="002F246D"/>
    <w:rsid w:val="00301065"/>
    <w:rsid w:val="00302779"/>
    <w:rsid w:val="00304F0F"/>
    <w:rsid w:val="00306D61"/>
    <w:rsid w:val="00314637"/>
    <w:rsid w:val="00320F9C"/>
    <w:rsid w:val="0033747F"/>
    <w:rsid w:val="00341FC4"/>
    <w:rsid w:val="0034287B"/>
    <w:rsid w:val="00343A3E"/>
    <w:rsid w:val="003538A1"/>
    <w:rsid w:val="00354906"/>
    <w:rsid w:val="003637EC"/>
    <w:rsid w:val="00364FDA"/>
    <w:rsid w:val="00365550"/>
    <w:rsid w:val="00382C48"/>
    <w:rsid w:val="003B0904"/>
    <w:rsid w:val="003B09E5"/>
    <w:rsid w:val="003B5827"/>
    <w:rsid w:val="003B6EA3"/>
    <w:rsid w:val="003B7481"/>
    <w:rsid w:val="003C4C04"/>
    <w:rsid w:val="003C6EAA"/>
    <w:rsid w:val="003D5F02"/>
    <w:rsid w:val="00403F2D"/>
    <w:rsid w:val="00404031"/>
    <w:rsid w:val="00421B65"/>
    <w:rsid w:val="00424CF0"/>
    <w:rsid w:val="00444C9E"/>
    <w:rsid w:val="0044507C"/>
    <w:rsid w:val="00445DB9"/>
    <w:rsid w:val="00453219"/>
    <w:rsid w:val="0045392D"/>
    <w:rsid w:val="004557D2"/>
    <w:rsid w:val="00457372"/>
    <w:rsid w:val="00460D13"/>
    <w:rsid w:val="00467A44"/>
    <w:rsid w:val="004777D8"/>
    <w:rsid w:val="00483C3C"/>
    <w:rsid w:val="00494A2D"/>
    <w:rsid w:val="004C1C18"/>
    <w:rsid w:val="004D4163"/>
    <w:rsid w:val="004E00E1"/>
    <w:rsid w:val="004E46F8"/>
    <w:rsid w:val="004F23D6"/>
    <w:rsid w:val="00521CB8"/>
    <w:rsid w:val="00526AFB"/>
    <w:rsid w:val="00533038"/>
    <w:rsid w:val="00540D8E"/>
    <w:rsid w:val="005466D2"/>
    <w:rsid w:val="005632FB"/>
    <w:rsid w:val="0056791B"/>
    <w:rsid w:val="00580202"/>
    <w:rsid w:val="00594DB7"/>
    <w:rsid w:val="005A6D01"/>
    <w:rsid w:val="005A7621"/>
    <w:rsid w:val="005A7AD2"/>
    <w:rsid w:val="005B3687"/>
    <w:rsid w:val="005B39D7"/>
    <w:rsid w:val="005C1DE2"/>
    <w:rsid w:val="005D39DD"/>
    <w:rsid w:val="005F5A06"/>
    <w:rsid w:val="005F6892"/>
    <w:rsid w:val="00605B8F"/>
    <w:rsid w:val="00611017"/>
    <w:rsid w:val="00611C0D"/>
    <w:rsid w:val="00622450"/>
    <w:rsid w:val="00627654"/>
    <w:rsid w:val="00634EB4"/>
    <w:rsid w:val="006573DE"/>
    <w:rsid w:val="00661C9B"/>
    <w:rsid w:val="0066418E"/>
    <w:rsid w:val="00683822"/>
    <w:rsid w:val="00693B29"/>
    <w:rsid w:val="006A1000"/>
    <w:rsid w:val="006C1C5A"/>
    <w:rsid w:val="006C5B27"/>
    <w:rsid w:val="006D30EB"/>
    <w:rsid w:val="006D7AC0"/>
    <w:rsid w:val="006F1E05"/>
    <w:rsid w:val="006F764A"/>
    <w:rsid w:val="00720020"/>
    <w:rsid w:val="00720B7A"/>
    <w:rsid w:val="0072161E"/>
    <w:rsid w:val="0072538A"/>
    <w:rsid w:val="007326C7"/>
    <w:rsid w:val="00732CAA"/>
    <w:rsid w:val="00743E9D"/>
    <w:rsid w:val="00754D57"/>
    <w:rsid w:val="0076E01C"/>
    <w:rsid w:val="00771B76"/>
    <w:rsid w:val="00775A59"/>
    <w:rsid w:val="00796112"/>
    <w:rsid w:val="007B459C"/>
    <w:rsid w:val="007B7F69"/>
    <w:rsid w:val="007C5BCA"/>
    <w:rsid w:val="007D0942"/>
    <w:rsid w:val="007D5BAD"/>
    <w:rsid w:val="007D7B22"/>
    <w:rsid w:val="007F4AA9"/>
    <w:rsid w:val="007F5D97"/>
    <w:rsid w:val="007F6ADB"/>
    <w:rsid w:val="007F7B42"/>
    <w:rsid w:val="00801BE4"/>
    <w:rsid w:val="00805EF9"/>
    <w:rsid w:val="008375BC"/>
    <w:rsid w:val="0084192F"/>
    <w:rsid w:val="00843295"/>
    <w:rsid w:val="00853DD4"/>
    <w:rsid w:val="00856C7A"/>
    <w:rsid w:val="0087545A"/>
    <w:rsid w:val="00884AA2"/>
    <w:rsid w:val="008A47AA"/>
    <w:rsid w:val="008B3758"/>
    <w:rsid w:val="008C0E19"/>
    <w:rsid w:val="008C320C"/>
    <w:rsid w:val="008D1E87"/>
    <w:rsid w:val="008E0B55"/>
    <w:rsid w:val="008E10D2"/>
    <w:rsid w:val="008E30FD"/>
    <w:rsid w:val="008E53B1"/>
    <w:rsid w:val="008E6BC4"/>
    <w:rsid w:val="00900E67"/>
    <w:rsid w:val="009106C2"/>
    <w:rsid w:val="00910C76"/>
    <w:rsid w:val="00910E3D"/>
    <w:rsid w:val="00917BAA"/>
    <w:rsid w:val="00940CF4"/>
    <w:rsid w:val="009624A3"/>
    <w:rsid w:val="009779D6"/>
    <w:rsid w:val="00983982"/>
    <w:rsid w:val="00986FD3"/>
    <w:rsid w:val="009876D1"/>
    <w:rsid w:val="009C0130"/>
    <w:rsid w:val="009C7119"/>
    <w:rsid w:val="009D2101"/>
    <w:rsid w:val="009F4A64"/>
    <w:rsid w:val="009F6CA6"/>
    <w:rsid w:val="009F7C23"/>
    <w:rsid w:val="00A03933"/>
    <w:rsid w:val="00A2693D"/>
    <w:rsid w:val="00A27DAF"/>
    <w:rsid w:val="00A44624"/>
    <w:rsid w:val="00A44F0C"/>
    <w:rsid w:val="00A54584"/>
    <w:rsid w:val="00A60D85"/>
    <w:rsid w:val="00A64215"/>
    <w:rsid w:val="00A731D9"/>
    <w:rsid w:val="00A82656"/>
    <w:rsid w:val="00A83D0F"/>
    <w:rsid w:val="00A95EDD"/>
    <w:rsid w:val="00AA5AF5"/>
    <w:rsid w:val="00AC09F2"/>
    <w:rsid w:val="00AE46FC"/>
    <w:rsid w:val="00AE5111"/>
    <w:rsid w:val="00AF0A96"/>
    <w:rsid w:val="00AF30D9"/>
    <w:rsid w:val="00AF3C6B"/>
    <w:rsid w:val="00AF5A59"/>
    <w:rsid w:val="00B100C8"/>
    <w:rsid w:val="00B2642B"/>
    <w:rsid w:val="00B35853"/>
    <w:rsid w:val="00B646C1"/>
    <w:rsid w:val="00B6789D"/>
    <w:rsid w:val="00B745E2"/>
    <w:rsid w:val="00B75291"/>
    <w:rsid w:val="00B92F26"/>
    <w:rsid w:val="00B94D35"/>
    <w:rsid w:val="00B95A53"/>
    <w:rsid w:val="00BA073B"/>
    <w:rsid w:val="00BA7794"/>
    <w:rsid w:val="00BB0ED8"/>
    <w:rsid w:val="00BB562A"/>
    <w:rsid w:val="00BC3CBA"/>
    <w:rsid w:val="00BC79C8"/>
    <w:rsid w:val="00BD5D3B"/>
    <w:rsid w:val="00BE04E4"/>
    <w:rsid w:val="00BF35AF"/>
    <w:rsid w:val="00BF4CC9"/>
    <w:rsid w:val="00C10EFA"/>
    <w:rsid w:val="00C41197"/>
    <w:rsid w:val="00C45842"/>
    <w:rsid w:val="00C623C0"/>
    <w:rsid w:val="00C7711A"/>
    <w:rsid w:val="00CA0ECC"/>
    <w:rsid w:val="00CA18E8"/>
    <w:rsid w:val="00CA27E4"/>
    <w:rsid w:val="00CB4406"/>
    <w:rsid w:val="00CC0581"/>
    <w:rsid w:val="00CC0F5F"/>
    <w:rsid w:val="00D077DE"/>
    <w:rsid w:val="00D110E1"/>
    <w:rsid w:val="00D1614E"/>
    <w:rsid w:val="00D16A4C"/>
    <w:rsid w:val="00D215CD"/>
    <w:rsid w:val="00D2594F"/>
    <w:rsid w:val="00D27FCA"/>
    <w:rsid w:val="00D36C94"/>
    <w:rsid w:val="00D44292"/>
    <w:rsid w:val="00D45ACC"/>
    <w:rsid w:val="00D504AD"/>
    <w:rsid w:val="00D564FE"/>
    <w:rsid w:val="00D57127"/>
    <w:rsid w:val="00D61A27"/>
    <w:rsid w:val="00D81A30"/>
    <w:rsid w:val="00DB3D49"/>
    <w:rsid w:val="00DD49E5"/>
    <w:rsid w:val="00DF27DE"/>
    <w:rsid w:val="00DF5B4A"/>
    <w:rsid w:val="00E14A9E"/>
    <w:rsid w:val="00E2748D"/>
    <w:rsid w:val="00E33874"/>
    <w:rsid w:val="00E47F82"/>
    <w:rsid w:val="00E50535"/>
    <w:rsid w:val="00E9596D"/>
    <w:rsid w:val="00E95A7E"/>
    <w:rsid w:val="00EA14DA"/>
    <w:rsid w:val="00EA2B7B"/>
    <w:rsid w:val="00EA3157"/>
    <w:rsid w:val="00EB2655"/>
    <w:rsid w:val="00EC6AB3"/>
    <w:rsid w:val="00ED3E91"/>
    <w:rsid w:val="00ED6CDC"/>
    <w:rsid w:val="00EF30F3"/>
    <w:rsid w:val="00EF48F9"/>
    <w:rsid w:val="00EF6E1D"/>
    <w:rsid w:val="00F07471"/>
    <w:rsid w:val="00F11409"/>
    <w:rsid w:val="00F24930"/>
    <w:rsid w:val="00F460EC"/>
    <w:rsid w:val="00F514E6"/>
    <w:rsid w:val="00F7305B"/>
    <w:rsid w:val="00F74E6C"/>
    <w:rsid w:val="00F7706F"/>
    <w:rsid w:val="00FA07FA"/>
    <w:rsid w:val="00FC3A33"/>
    <w:rsid w:val="00FC3B7E"/>
    <w:rsid w:val="00FD5044"/>
    <w:rsid w:val="00FE0C97"/>
    <w:rsid w:val="00FE6B94"/>
    <w:rsid w:val="00FF3DB8"/>
    <w:rsid w:val="0123013D"/>
    <w:rsid w:val="04B64386"/>
    <w:rsid w:val="05322332"/>
    <w:rsid w:val="0BA8957E"/>
    <w:rsid w:val="0E5B2887"/>
    <w:rsid w:val="12F3C1D1"/>
    <w:rsid w:val="1614398C"/>
    <w:rsid w:val="16B05469"/>
    <w:rsid w:val="1A92BC77"/>
    <w:rsid w:val="1B0585DC"/>
    <w:rsid w:val="1C641513"/>
    <w:rsid w:val="1D7B430F"/>
    <w:rsid w:val="1DF2EF5A"/>
    <w:rsid w:val="1F1093D5"/>
    <w:rsid w:val="23AB06F0"/>
    <w:rsid w:val="27AB41D5"/>
    <w:rsid w:val="27E5DF70"/>
    <w:rsid w:val="28649E86"/>
    <w:rsid w:val="2C110A82"/>
    <w:rsid w:val="2F766A57"/>
    <w:rsid w:val="3288F856"/>
    <w:rsid w:val="3631D69A"/>
    <w:rsid w:val="36750660"/>
    <w:rsid w:val="3838D80D"/>
    <w:rsid w:val="3B0EA2D3"/>
    <w:rsid w:val="41DA218C"/>
    <w:rsid w:val="4282149C"/>
    <w:rsid w:val="4311782F"/>
    <w:rsid w:val="4ADA647A"/>
    <w:rsid w:val="4CB88954"/>
    <w:rsid w:val="53E7D088"/>
    <w:rsid w:val="55516D6E"/>
    <w:rsid w:val="5A76BED9"/>
    <w:rsid w:val="5FB377D0"/>
    <w:rsid w:val="6233C127"/>
    <w:rsid w:val="63C679A0"/>
    <w:rsid w:val="679025C5"/>
    <w:rsid w:val="69EBB0FC"/>
    <w:rsid w:val="6AA42312"/>
    <w:rsid w:val="6BA86436"/>
    <w:rsid w:val="6C15FA33"/>
    <w:rsid w:val="6CB9750D"/>
    <w:rsid w:val="6E2E8C08"/>
    <w:rsid w:val="6F8ED833"/>
    <w:rsid w:val="701C7240"/>
    <w:rsid w:val="74332C9E"/>
    <w:rsid w:val="7718ADA4"/>
    <w:rsid w:val="7718ADA4"/>
    <w:rsid w:val="77D6B87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88E807CA-4CF2-493F-AD0E-D616FC1B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0E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0E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0E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styleId="MHSummaryHeadline" w:customStyle="1">
    <w:name w:val="MH – Summary Headline"/>
    <w:qFormat/>
    <w:rsid w:val="00900E67"/>
    <w:pPr>
      <w:spacing w:before="600" w:after="200" w:line="240" w:lineRule="auto"/>
    </w:pPr>
    <w:rPr>
      <w:rFonts w:asciiTheme="majorHAnsi" w:hAnsiTheme="majorHAnsi" w:eastAsiaTheme="majorEastAsia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styleId="normaltextrun" w:customStyle="1">
    <w:name w:val="normaltextrun"/>
    <w:basedOn w:val="DefaultParagraphFont"/>
    <w:rsid w:val="009624A3"/>
  </w:style>
  <w:style w:type="character" w:styleId="eop" w:customStyle="1">
    <w:name w:val="eop"/>
    <w:basedOn w:val="DefaultParagraphFont"/>
    <w:rsid w:val="009624A3"/>
  </w:style>
</w:styles>
</file>

<file path=word/tasks.xml><?xml version="1.0" encoding="utf-8"?>
<t:Tasks xmlns:t="http://schemas.microsoft.com/office/tasks/2019/documenttasks" xmlns:oel="http://schemas.microsoft.com/office/2019/extlst">
  <t:Task id="{0771D30E-D080-4B40-9BC9-E72DC9D7E37E}">
    <t:Anchor>
      <t:Comment id="1647068222"/>
    </t:Anchor>
    <t:History>
      <t:Event id="{902056AA-7C72-4E95-89A5-7853CE8DB7AF}" time="2025-09-17T15:23:11.144Z">
        <t:Attribution userId="S::ayobami.olugbenga@mass.gov::07b25b2c-eb63-4d7d-81d2-5b7a184e2dbd" userProvider="AD" userName="Olugbenga, Ayobami (EHS)"/>
        <t:Anchor>
          <t:Comment id="1647068222"/>
        </t:Anchor>
        <t:Create/>
      </t:Event>
      <t:Event id="{0FB2041F-6345-487F-AAFD-58273B49690A}" time="2025-09-17T15:23:11.144Z">
        <t:Attribution userId="S::ayobami.olugbenga@mass.gov::07b25b2c-eb63-4d7d-81d2-5b7a184e2dbd" userProvider="AD" userName="Olugbenga, Ayobami (EHS)"/>
        <t:Anchor>
          <t:Comment id="1647068222"/>
        </t:Anchor>
        <t:Assign userId="S::Nazmim.Bhuiya2@mass.gov::11e6bf75-486a-4014-a4ac-5c9bb4570b65" userProvider="AD" userName="Bhuiya, Nazmim (EHS)"/>
      </t:Event>
      <t:Event id="{9AEBB7BD-7618-462D-8FD3-B3AE8956F9FD}" time="2025-09-17T15:23:11.144Z">
        <t:Attribution userId="S::ayobami.olugbenga@mass.gov::07b25b2c-eb63-4d7d-81d2-5b7a184e2dbd" userProvider="AD" userName="Olugbenga, Ayobami (EHS)"/>
        <t:Anchor>
          <t:Comment id="1647068222"/>
        </t:Anchor>
        <t:SetTitle title="Hi @Bhuiya, Nazmim (EHS) . Noting that the most recent changes are places on top of this table, should we move this row to the top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11/relationships/people" Target="people.xml" Id="Rb3fbb5e062b94a7a" /><Relationship Type="http://schemas.microsoft.com/office/2011/relationships/commentsExtended" Target="commentsExtended.xml" Id="R245c60fd5caa45eb" /><Relationship Type="http://schemas.microsoft.com/office/2016/09/relationships/commentsIds" Target="commentsIds.xml" Id="R22f251f2477949e6" /><Relationship Type="http://schemas.microsoft.com/office/2019/05/relationships/documenttasks" Target="tasks.xml" Id="R27d09c4980f741e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59D0F-BC5B-4E86-AB1E-876282322E29}"/>
</file>

<file path=customXml/itemProps2.xml><?xml version="1.0" encoding="utf-8"?>
<ds:datastoreItem xmlns:ds="http://schemas.openxmlformats.org/officeDocument/2006/customXml" ds:itemID="{5C2F6250-C6E2-41FB-88DB-34FCA00D1B0E}">
  <ds:schemaRefs>
    <ds:schemaRef ds:uri="a84c8341-80aa-4b48-9373-d3a3de2ad48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a181a51-b58f-4101-967e-bee951ab042e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Guimaraes, Erica (EHS)</dc:creator>
  <keywords/>
  <dc:description/>
  <lastModifiedBy>Olugbenga, Ayobami (EHS)</lastModifiedBy>
  <revision>157</revision>
  <dcterms:created xsi:type="dcterms:W3CDTF">2024-11-04T20:27:00.0000000Z</dcterms:created>
  <dcterms:modified xsi:type="dcterms:W3CDTF">2025-10-02T16:52:48.6843943Z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b2c5cfbf-35a1-4b56-a83c-8f27d8394547</vt:lpwstr>
  </property>
</Properties>
</file>