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Default="00900E67" w:rsidP="00900E67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132F52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id="0" w:name="_Toc166848823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="53E7D088" w:rsidRPr="5A76BED9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="004557D2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14:paraId="7DF17F19" w14:textId="7E009696" w:rsidR="008E53B1" w:rsidRPr="00132F52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="701C7240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the </w:t>
      </w:r>
      <w:r w:rsidR="00153EAE">
        <w:rPr>
          <w:rFonts w:ascii="Arial" w:hAnsi="Arial" w:cs="Arial"/>
          <w:b/>
          <w:bCs/>
          <w:color w:val="002060"/>
          <w:sz w:val="22"/>
          <w:szCs w:val="22"/>
        </w:rPr>
        <w:t>Performance Assessment Methodology Manual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for</w:t>
      </w:r>
      <w:r w:rsidR="00900E67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8E53B1" w:rsidRPr="4CB88954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14:paraId="1EAE19B0" w14:textId="5218AED2" w:rsidR="0087545A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153EAE">
        <w:rPr>
          <w:rFonts w:ascii="Arial" w:hAnsi="Arial" w:cs="Arial"/>
          <w:b/>
          <w:bCs/>
          <w:color w:val="002060"/>
          <w:sz w:val="22"/>
          <w:szCs w:val="22"/>
        </w:rPr>
        <w:t>A</w:t>
      </w:r>
      <w:r w:rsidR="009C7119">
        <w:rPr>
          <w:rFonts w:ascii="Arial" w:hAnsi="Arial" w:cs="Arial"/>
          <w:b/>
          <w:bCs/>
          <w:color w:val="002060"/>
          <w:sz w:val="22"/>
          <w:szCs w:val="22"/>
        </w:rPr>
        <w:t xml:space="preserve">CO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14:paraId="6B0E2AEC" w14:textId="7FFBFE0B" w:rsidR="0087545A" w:rsidRPr="0087545A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s</w:t>
      </w:r>
      <w:r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3-5</w:t>
      </w:r>
    </w:p>
    <w:p w14:paraId="0B0F94A1" w14:textId="228771BF" w:rsidR="00D44292" w:rsidRPr="00C623C0" w:rsidRDefault="00D44292" w:rsidP="00D44292">
      <w:pPr>
        <w:rPr>
          <w:rFonts w:ascii="Arial" w:hAnsi="Arial" w:cs="Arial"/>
          <w:color w:val="000000" w:themeColor="text1"/>
        </w:rPr>
      </w:pPr>
    </w:p>
    <w:p w14:paraId="16DACEBC" w14:textId="29F0482B" w:rsidR="00611017" w:rsidRPr="005D2377" w:rsidRDefault="00900E67" w:rsidP="005D2377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="000A27BC" w:rsidRPr="5A76BED9">
        <w:rPr>
          <w:rFonts w:ascii="Arial" w:hAnsi="Arial" w:cs="Arial"/>
          <w:color w:val="000000" w:themeColor="text1"/>
        </w:rPr>
        <w:t xml:space="preserve">outlines </w:t>
      </w:r>
      <w:r w:rsidR="3B0EA2D3" w:rsidRPr="5A76BED9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="04B64386" w:rsidRPr="5A76BED9">
        <w:rPr>
          <w:rFonts w:ascii="Arial" w:hAnsi="Arial" w:cs="Arial"/>
          <w:color w:val="000000" w:themeColor="text1"/>
        </w:rPr>
        <w:t>,</w:t>
      </w:r>
      <w:r w:rsidR="004557D2" w:rsidRPr="5A76BED9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="00040A48" w:rsidRPr="5A76BED9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="007E0C98">
        <w:rPr>
          <w:rFonts w:ascii="Arial" w:hAnsi="Arial" w:cs="Arial"/>
          <w:color w:val="000000" w:themeColor="text1"/>
        </w:rPr>
        <w:t xml:space="preserve">Performance Assessment Methodology (PAM) Manual </w:t>
      </w:r>
      <w:r w:rsidR="00040A48" w:rsidRPr="5A76BED9">
        <w:rPr>
          <w:rFonts w:ascii="Arial" w:hAnsi="Arial" w:cs="Arial"/>
          <w:color w:val="000000" w:themeColor="text1"/>
        </w:rPr>
        <w:t xml:space="preserve">for </w:t>
      </w:r>
      <w:r w:rsidR="000A27BC" w:rsidRPr="5A76BED9">
        <w:rPr>
          <w:rFonts w:ascii="Arial" w:hAnsi="Arial" w:cs="Arial"/>
          <w:color w:val="000000" w:themeColor="text1"/>
        </w:rPr>
        <w:t xml:space="preserve">Performance Year </w:t>
      </w:r>
      <w:r w:rsidR="00CC3BFA">
        <w:rPr>
          <w:rFonts w:ascii="Arial" w:hAnsi="Arial" w:cs="Arial"/>
          <w:color w:val="000000" w:themeColor="text1"/>
        </w:rPr>
        <w:t xml:space="preserve">3-5 </w:t>
      </w:r>
      <w:r w:rsidR="000A27BC" w:rsidRPr="5A76BED9">
        <w:rPr>
          <w:rFonts w:ascii="Arial" w:hAnsi="Arial" w:cs="Arial"/>
          <w:color w:val="000000" w:themeColor="text1"/>
        </w:rPr>
        <w:t>(PY</w:t>
      </w:r>
      <w:r w:rsidR="00CC3BFA">
        <w:rPr>
          <w:rFonts w:ascii="Arial" w:hAnsi="Arial" w:cs="Arial"/>
          <w:color w:val="000000" w:themeColor="text1"/>
        </w:rPr>
        <w:t>3-5</w:t>
      </w:r>
      <w:r w:rsidR="000A27BC" w:rsidRPr="5A76BED9">
        <w:rPr>
          <w:rFonts w:ascii="Arial" w:hAnsi="Arial" w:cs="Arial"/>
          <w:color w:val="000000" w:themeColor="text1"/>
        </w:rPr>
        <w:t xml:space="preserve">) </w:t>
      </w:r>
      <w:r w:rsidR="002C4109" w:rsidRPr="5A76BED9">
        <w:rPr>
          <w:rFonts w:ascii="Arial" w:hAnsi="Arial" w:cs="Arial"/>
          <w:color w:val="000000" w:themeColor="text1"/>
        </w:rPr>
        <w:t xml:space="preserve">of </w:t>
      </w:r>
      <w:r w:rsidR="00040A48" w:rsidRPr="5A76BED9">
        <w:rPr>
          <w:rFonts w:ascii="Arial" w:hAnsi="Arial" w:cs="Arial"/>
          <w:color w:val="000000" w:themeColor="text1"/>
        </w:rPr>
        <w:t xml:space="preserve">the MassHealth </w:t>
      </w:r>
      <w:r w:rsidR="007326C7">
        <w:rPr>
          <w:rFonts w:ascii="Arial" w:hAnsi="Arial" w:cs="Arial"/>
          <w:color w:val="000000" w:themeColor="text1"/>
        </w:rPr>
        <w:t xml:space="preserve">ACO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="00611017" w:rsidRPr="5A76BED9">
        <w:rPr>
          <w:rFonts w:ascii="Arial" w:hAnsi="Arial" w:cs="Arial"/>
          <w:color w:val="000000" w:themeColor="text1"/>
        </w:rPr>
        <w:t xml:space="preserve"> (</w:t>
      </w:r>
      <w:r w:rsidR="007326C7">
        <w:rPr>
          <w:rFonts w:ascii="Arial" w:hAnsi="Arial" w:cs="Arial"/>
          <w:color w:val="000000" w:themeColor="text1"/>
        </w:rPr>
        <w:t>A</w:t>
      </w:r>
      <w:r w:rsidR="00611017" w:rsidRPr="5A76BED9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="00D44292" w:rsidRPr="5A76BED9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95"/>
        <w:gridCol w:w="1090"/>
        <w:gridCol w:w="4593"/>
        <w:gridCol w:w="1072"/>
      </w:tblGrid>
      <w:tr w:rsidR="00CB4FB7" w:rsidRPr="00B93AC3" w14:paraId="3EAEF6C6" w14:textId="77777777" w:rsidTr="00F574F5">
        <w:trPr>
          <w:trHeight w:val="479"/>
          <w:tblHeader/>
        </w:trPr>
        <w:tc>
          <w:tcPr>
            <w:tcW w:w="1388" w:type="pct"/>
          </w:tcPr>
          <w:p w14:paraId="4E022361" w14:textId="68E65AFC" w:rsidR="00CB4FB7" w:rsidRPr="00B93AC3" w:rsidRDefault="00CB4FB7" w:rsidP="0061101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B93AC3">
              <w:rPr>
                <w:rFonts w:ascii="Arial" w:hAnsi="Arial" w:cs="Arial"/>
                <w:b/>
                <w:bCs/>
                <w:color w:val="002060"/>
              </w:rPr>
              <w:t>Section Header/Sub-section Header</w:t>
            </w:r>
          </w:p>
        </w:tc>
        <w:tc>
          <w:tcPr>
            <w:tcW w:w="583" w:type="pct"/>
          </w:tcPr>
          <w:p w14:paraId="431431C1" w14:textId="59C259DC" w:rsidR="00CB4FB7" w:rsidRPr="00B93AC3" w:rsidRDefault="00CB4FB7" w:rsidP="0061101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B93AC3">
              <w:rPr>
                <w:rFonts w:ascii="Arial" w:hAnsi="Arial" w:cs="Arial"/>
                <w:b/>
                <w:bCs/>
                <w:color w:val="002060"/>
              </w:rPr>
              <w:t>Page #</w:t>
            </w:r>
          </w:p>
        </w:tc>
        <w:tc>
          <w:tcPr>
            <w:tcW w:w="2456" w:type="pct"/>
          </w:tcPr>
          <w:p w14:paraId="55485D80" w14:textId="2120236B" w:rsidR="00CB4FB7" w:rsidRPr="00B93AC3" w:rsidRDefault="00CB4FB7" w:rsidP="0061101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B93AC3">
              <w:rPr>
                <w:rFonts w:ascii="Arial" w:hAnsi="Arial" w:cs="Arial"/>
                <w:b/>
                <w:bCs/>
                <w:color w:val="002060"/>
              </w:rPr>
              <w:t>Update</w:t>
            </w:r>
          </w:p>
        </w:tc>
        <w:tc>
          <w:tcPr>
            <w:tcW w:w="573" w:type="pct"/>
          </w:tcPr>
          <w:p w14:paraId="5437C9D8" w14:textId="5FBAFB85" w:rsidR="00CB4FB7" w:rsidRPr="00B93AC3" w:rsidRDefault="00CB4FB7" w:rsidP="0061101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B93AC3">
              <w:rPr>
                <w:rFonts w:ascii="Arial" w:hAnsi="Arial" w:cs="Arial"/>
                <w:b/>
                <w:bCs/>
                <w:color w:val="002060"/>
              </w:rPr>
              <w:t>Update release date</w:t>
            </w:r>
          </w:p>
        </w:tc>
      </w:tr>
      <w:tr w:rsidR="00CB4FB7" w:rsidRPr="00B93AC3" w14:paraId="5BA2A7FA" w14:textId="77777777" w:rsidTr="00F574F5">
        <w:trPr>
          <w:trHeight w:val="557"/>
        </w:trPr>
        <w:tc>
          <w:tcPr>
            <w:tcW w:w="1388" w:type="pct"/>
          </w:tcPr>
          <w:p w14:paraId="1126AC46" w14:textId="2E6CEAB4" w:rsidR="00CB4FB7" w:rsidRPr="00B93AC3" w:rsidRDefault="00CB4FB7" w:rsidP="00B93AC3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583" w:type="pct"/>
          </w:tcPr>
          <w:p w14:paraId="13ABA3D8" w14:textId="2374BC48" w:rsidR="00CB4FB7" w:rsidRPr="00B93AC3" w:rsidRDefault="00CB4FB7" w:rsidP="00B93AC3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2456" w:type="pct"/>
          </w:tcPr>
          <w:p w14:paraId="2BC2F399" w14:textId="300BE2AB" w:rsidR="00CB4FB7" w:rsidRPr="00B93AC3" w:rsidRDefault="00CB4FB7" w:rsidP="00B93AC3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a note: “Performance thresholds, goals, and improvement targets will be monitored and may be adjusted as needed.”</w:t>
            </w:r>
          </w:p>
        </w:tc>
        <w:tc>
          <w:tcPr>
            <w:tcW w:w="573" w:type="pct"/>
          </w:tcPr>
          <w:p w14:paraId="71080487" w14:textId="4BB4CA1E" w:rsidR="00CB4FB7" w:rsidRPr="00B93AC3" w:rsidRDefault="005C1080" w:rsidP="00B93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B4FB7" w:rsidRPr="00B93AC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9</w:t>
            </w:r>
            <w:r w:rsidR="00CB4FB7" w:rsidRPr="00B93AC3">
              <w:rPr>
                <w:rFonts w:ascii="Arial" w:hAnsi="Arial" w:cs="Arial"/>
              </w:rPr>
              <w:t>/26</w:t>
            </w:r>
          </w:p>
        </w:tc>
      </w:tr>
      <w:tr w:rsidR="005C1080" w:rsidRPr="00B93AC3" w14:paraId="7BDBAECC" w14:textId="77777777" w:rsidTr="00F574F5">
        <w:trPr>
          <w:trHeight w:val="557"/>
        </w:trPr>
        <w:tc>
          <w:tcPr>
            <w:tcW w:w="1388" w:type="pct"/>
          </w:tcPr>
          <w:p w14:paraId="56C9EC61" w14:textId="7DB87250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583" w:type="pct"/>
          </w:tcPr>
          <w:p w14:paraId="1B7E3183" w14:textId="20AFDE78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456" w:type="pct"/>
          </w:tcPr>
          <w:p w14:paraId="146278AF" w14:textId="507742AC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Noted in Table 1 that subcomponents of Quality Performance Disparities Reduction Measure are quality measures to be selected by ACOs.</w:t>
            </w:r>
          </w:p>
        </w:tc>
        <w:tc>
          <w:tcPr>
            <w:tcW w:w="573" w:type="pct"/>
          </w:tcPr>
          <w:p w14:paraId="20BC88E0" w14:textId="55C148BF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5764E239" w14:textId="77777777" w:rsidTr="00F574F5">
        <w:trPr>
          <w:trHeight w:val="557"/>
        </w:trPr>
        <w:tc>
          <w:tcPr>
            <w:tcW w:w="1388" w:type="pct"/>
          </w:tcPr>
          <w:p w14:paraId="3A573415" w14:textId="28066A44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583" w:type="pct"/>
          </w:tcPr>
          <w:p w14:paraId="3E75E771" w14:textId="5C106C53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456" w:type="pct"/>
          </w:tcPr>
          <w:p w14:paraId="4C6FAA4C" w14:textId="438EB8EF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Removed in Table 1 the “Member Experience Survey (MES) Accommodation Needs Screening Rate sub-component from the Disability Accommodation Needs measure.</w:t>
            </w:r>
          </w:p>
        </w:tc>
        <w:tc>
          <w:tcPr>
            <w:tcW w:w="573" w:type="pct"/>
          </w:tcPr>
          <w:p w14:paraId="72E507B0" w14:textId="5FC9A275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3CD0CF7D" w14:textId="77777777" w:rsidTr="00F574F5">
        <w:trPr>
          <w:trHeight w:val="557"/>
        </w:trPr>
        <w:tc>
          <w:tcPr>
            <w:tcW w:w="1388" w:type="pct"/>
          </w:tcPr>
          <w:p w14:paraId="3545EC78" w14:textId="19276848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583" w:type="pct"/>
          </w:tcPr>
          <w:p w14:paraId="568D8C30" w14:textId="0D8ED448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456" w:type="pct"/>
          </w:tcPr>
          <w:p w14:paraId="54EABBAE" w14:textId="0FB9648A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Changed in Table 1 the name of subcomponents of Member Experience measure from “CG-CAPHS” to “Member Experience Survey” questions. </w:t>
            </w:r>
          </w:p>
        </w:tc>
        <w:tc>
          <w:tcPr>
            <w:tcW w:w="573" w:type="pct"/>
          </w:tcPr>
          <w:p w14:paraId="4C2EDC93" w14:textId="6903FD58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37696B67" w14:textId="77777777" w:rsidTr="00F574F5">
        <w:trPr>
          <w:trHeight w:val="557"/>
        </w:trPr>
        <w:tc>
          <w:tcPr>
            <w:tcW w:w="1388" w:type="pct"/>
          </w:tcPr>
          <w:p w14:paraId="4E7A03F5" w14:textId="17D840C4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A. Individual Measure Scoring Approaches</w:t>
            </w:r>
          </w:p>
        </w:tc>
        <w:tc>
          <w:tcPr>
            <w:tcW w:w="583" w:type="pct"/>
          </w:tcPr>
          <w:p w14:paraId="39F6B482" w14:textId="02F06D73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4</w:t>
            </w:r>
          </w:p>
        </w:tc>
        <w:tc>
          <w:tcPr>
            <w:tcW w:w="2456" w:type="pct"/>
          </w:tcPr>
          <w:p w14:paraId="310CB4FE" w14:textId="4689EC67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Changed Member Experience PY4 performance status to P4R (pay-for-reporting).</w:t>
            </w:r>
          </w:p>
        </w:tc>
        <w:tc>
          <w:tcPr>
            <w:tcW w:w="573" w:type="pct"/>
          </w:tcPr>
          <w:p w14:paraId="4F883516" w14:textId="7C7CA2DD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0C34F9DA" w14:textId="77777777" w:rsidTr="00F574F5">
        <w:trPr>
          <w:trHeight w:val="557"/>
        </w:trPr>
        <w:tc>
          <w:tcPr>
            <w:tcW w:w="1388" w:type="pct"/>
          </w:tcPr>
          <w:p w14:paraId="00C9CB48" w14:textId="12FD154C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 xml:space="preserve">B. Performance Assessment </w:t>
            </w:r>
            <w:proofErr w:type="gramStart"/>
            <w:r w:rsidRPr="00B93AC3">
              <w:rPr>
                <w:rFonts w:ascii="Arial" w:hAnsi="Arial" w:cs="Arial"/>
              </w:rPr>
              <w:t>Methodolog</w:t>
            </w:r>
            <w:r>
              <w:rPr>
                <w:rFonts w:ascii="Arial" w:hAnsi="Arial" w:cs="Arial"/>
              </w:rPr>
              <w:t>y;</w:t>
            </w:r>
            <w:proofErr w:type="gramEnd"/>
            <w:r w:rsidRPr="00B93AC3">
              <w:rPr>
                <w:rFonts w:ascii="Arial" w:hAnsi="Arial" w:cs="Arial"/>
              </w:rPr>
              <w:t xml:space="preserve"> </w:t>
            </w:r>
          </w:p>
          <w:p w14:paraId="2ABC3990" w14:textId="76F64DAB" w:rsidR="005C1080" w:rsidRPr="00B93AC3" w:rsidRDefault="005C1080" w:rsidP="005C1080">
            <w:pPr>
              <w:rPr>
                <w:rFonts w:ascii="Arial" w:hAnsi="Arial" w:cs="Arial"/>
              </w:rPr>
            </w:pPr>
            <w:proofErr w:type="spellStart"/>
            <w:r w:rsidRPr="00B93AC3">
              <w:rPr>
                <w:rFonts w:ascii="Arial" w:hAnsi="Arial" w:cs="Arial"/>
              </w:rPr>
              <w:t>i.RELDSOGI</w:t>
            </w:r>
            <w:proofErr w:type="spellEnd"/>
            <w:r w:rsidRPr="00B93AC3">
              <w:rPr>
                <w:rFonts w:ascii="Arial" w:hAnsi="Arial" w:cs="Arial"/>
              </w:rPr>
              <w:t xml:space="preserve"> Data Completeness, HRSN Screen, Language Acces</w:t>
            </w:r>
            <w:r>
              <w:rPr>
                <w:rFonts w:ascii="Arial" w:hAnsi="Arial" w:cs="Arial"/>
              </w:rPr>
              <w:t xml:space="preserve">s, Disability Competent </w:t>
            </w:r>
            <w:proofErr w:type="gramStart"/>
            <w:r>
              <w:rPr>
                <w:rFonts w:ascii="Arial" w:hAnsi="Arial" w:cs="Arial"/>
              </w:rPr>
              <w:t>Care,…</w:t>
            </w:r>
            <w:proofErr w:type="gramEnd"/>
          </w:p>
        </w:tc>
        <w:tc>
          <w:tcPr>
            <w:tcW w:w="583" w:type="pct"/>
          </w:tcPr>
          <w:p w14:paraId="11F90017" w14:textId="01C6C72D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5</w:t>
            </w:r>
          </w:p>
        </w:tc>
        <w:tc>
          <w:tcPr>
            <w:tcW w:w="2456" w:type="pct"/>
          </w:tcPr>
          <w:p w14:paraId="45C45CAA" w14:textId="51B818BB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Included clarification on meeting minimum denominator to be eligible for scoring on measures/sub-measures.</w:t>
            </w:r>
          </w:p>
        </w:tc>
        <w:tc>
          <w:tcPr>
            <w:tcW w:w="573" w:type="pct"/>
          </w:tcPr>
          <w:p w14:paraId="1923C478" w14:textId="732B60C2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79360DC6" w14:textId="77777777" w:rsidTr="00F574F5">
        <w:trPr>
          <w:trHeight w:val="557"/>
        </w:trPr>
        <w:tc>
          <w:tcPr>
            <w:tcW w:w="1388" w:type="pct"/>
          </w:tcPr>
          <w:p w14:paraId="24BE9CD8" w14:textId="1D5D4819" w:rsidR="005C1080" w:rsidRPr="00B93AC3" w:rsidRDefault="005C1080" w:rsidP="005C10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3F93D6D2" w14:textId="49F12638" w:rsidR="005C1080" w:rsidRPr="00B93AC3" w:rsidRDefault="00A165DE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6</w:t>
            </w:r>
          </w:p>
        </w:tc>
        <w:tc>
          <w:tcPr>
            <w:tcW w:w="2456" w:type="pct"/>
          </w:tcPr>
          <w:p w14:paraId="48EFAD95" w14:textId="556C982C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Clarified baseline periods for each measure and when the potential for improvement points </w:t>
            </w:r>
            <w:proofErr w:type="gramStart"/>
            <w:r w:rsidRPr="00B93AC3">
              <w:rPr>
                <w:rStyle w:val="normaltextrun"/>
                <w:rFonts w:ascii="Arial" w:hAnsi="Arial" w:cs="Arial"/>
                <w:color w:val="000000"/>
              </w:rPr>
              <w:t>takes</w:t>
            </w:r>
            <w:proofErr w:type="gramEnd"/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 effect.</w:t>
            </w:r>
          </w:p>
        </w:tc>
        <w:tc>
          <w:tcPr>
            <w:tcW w:w="573" w:type="pct"/>
          </w:tcPr>
          <w:p w14:paraId="2DE304A6" w14:textId="4843CED3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33478023" w14:textId="77777777" w:rsidTr="00F574F5">
        <w:trPr>
          <w:trHeight w:val="557"/>
        </w:trPr>
        <w:tc>
          <w:tcPr>
            <w:tcW w:w="1388" w:type="pct"/>
          </w:tcPr>
          <w:p w14:paraId="452B612A" w14:textId="2BF668B6" w:rsidR="005C1080" w:rsidRDefault="005C1080" w:rsidP="005C10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>
              <w:t>ame</w:t>
            </w:r>
          </w:p>
        </w:tc>
        <w:tc>
          <w:tcPr>
            <w:tcW w:w="583" w:type="pct"/>
          </w:tcPr>
          <w:p w14:paraId="2C3B507D" w14:textId="271BD946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5-12</w:t>
            </w:r>
          </w:p>
        </w:tc>
        <w:tc>
          <w:tcPr>
            <w:tcW w:w="2456" w:type="pct"/>
          </w:tcPr>
          <w:p w14:paraId="5AE4D332" w14:textId="0FDF7AAC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 xml:space="preserve">General re-organization of sections for improved flow of content: Member </w:t>
            </w:r>
            <w:r>
              <w:rPr>
                <w:rStyle w:val="normaltextrun"/>
                <w:rFonts w:ascii="Arial" w:hAnsi="Arial" w:cs="Arial"/>
                <w:color w:val="000000"/>
              </w:rPr>
              <w:lastRenderedPageBreak/>
              <w:t>experience and Table 2 moved up before section on “Interaction of Attainment Threshold, Performance Goal, and Improvement Threshold. Table 3 set as its own subsection.</w:t>
            </w:r>
          </w:p>
        </w:tc>
        <w:tc>
          <w:tcPr>
            <w:tcW w:w="573" w:type="pct"/>
          </w:tcPr>
          <w:p w14:paraId="17870E97" w14:textId="156986EB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lastRenderedPageBreak/>
              <w:t>3/9/26</w:t>
            </w:r>
          </w:p>
        </w:tc>
      </w:tr>
      <w:tr w:rsidR="005C1080" w:rsidRPr="00B93AC3" w14:paraId="7A6D9359" w14:textId="77777777" w:rsidTr="00F574F5">
        <w:trPr>
          <w:trHeight w:val="557"/>
        </w:trPr>
        <w:tc>
          <w:tcPr>
            <w:tcW w:w="1388" w:type="pct"/>
          </w:tcPr>
          <w:p w14:paraId="73AF6991" w14:textId="24B6B7BF" w:rsidR="005C1080" w:rsidRPr="00B93AC3" w:rsidRDefault="005C1080" w:rsidP="005C1080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2B71E2E0" w14:textId="5BC2156D" w:rsidR="005C1080" w:rsidRPr="00B93AC3" w:rsidRDefault="00A165DE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7-9</w:t>
            </w:r>
          </w:p>
        </w:tc>
        <w:tc>
          <w:tcPr>
            <w:tcW w:w="2456" w:type="pct"/>
          </w:tcPr>
          <w:p w14:paraId="2D68DD08" w14:textId="4D892739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2. Added a reference to the QEIP User Guide about the audit process.</w:t>
            </w:r>
          </w:p>
        </w:tc>
        <w:tc>
          <w:tcPr>
            <w:tcW w:w="573" w:type="pct"/>
          </w:tcPr>
          <w:p w14:paraId="2AF454FF" w14:textId="4BDFBA12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4A500334" w14:textId="77777777" w:rsidTr="00F574F5">
        <w:trPr>
          <w:trHeight w:val="557"/>
        </w:trPr>
        <w:tc>
          <w:tcPr>
            <w:tcW w:w="1388" w:type="pct"/>
          </w:tcPr>
          <w:p w14:paraId="55036F56" w14:textId="10B3E3F8" w:rsidR="005C1080" w:rsidRPr="00B93AC3" w:rsidRDefault="005C1080" w:rsidP="005C1080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7FD308A9" w14:textId="2C9B0FFA" w:rsidR="005C1080" w:rsidRPr="00B93AC3" w:rsidRDefault="00A165DE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8</w:t>
            </w:r>
          </w:p>
        </w:tc>
        <w:tc>
          <w:tcPr>
            <w:tcW w:w="2456" w:type="pct"/>
          </w:tcPr>
          <w:p w14:paraId="48DBBB43" w14:textId="7F6B5884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2. Removed MES Rate sub-component of the Disability Accommodation Needs measure.</w:t>
            </w:r>
          </w:p>
        </w:tc>
        <w:tc>
          <w:tcPr>
            <w:tcW w:w="573" w:type="pct"/>
          </w:tcPr>
          <w:p w14:paraId="30ABCFCF" w14:textId="439B3FE0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68E59704" w14:textId="77777777" w:rsidTr="00F574F5">
        <w:trPr>
          <w:trHeight w:val="557"/>
        </w:trPr>
        <w:tc>
          <w:tcPr>
            <w:tcW w:w="1388" w:type="pct"/>
          </w:tcPr>
          <w:p w14:paraId="6A623CBD" w14:textId="603D62CE" w:rsidR="005C1080" w:rsidRPr="00B93AC3" w:rsidRDefault="005C1080" w:rsidP="005C1080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55C0FC52" w14:textId="4E1B2596" w:rsidR="005C1080" w:rsidRPr="00B93AC3" w:rsidRDefault="00A165DE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9</w:t>
            </w:r>
          </w:p>
        </w:tc>
        <w:tc>
          <w:tcPr>
            <w:tcW w:w="2456" w:type="pct"/>
          </w:tcPr>
          <w:p w14:paraId="015541CD" w14:textId="47C60673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2. Adjusted Member Experience Measure to indicate measure is P4R (and therefore no benchmarks) in PY4 and to be determined in PY5.</w:t>
            </w:r>
          </w:p>
        </w:tc>
        <w:tc>
          <w:tcPr>
            <w:tcW w:w="573" w:type="pct"/>
          </w:tcPr>
          <w:p w14:paraId="3ECA1071" w14:textId="12F91D1F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3E8AE6BB" w14:textId="77777777" w:rsidTr="00F574F5">
        <w:trPr>
          <w:trHeight w:val="557"/>
        </w:trPr>
        <w:tc>
          <w:tcPr>
            <w:tcW w:w="1388" w:type="pct"/>
          </w:tcPr>
          <w:p w14:paraId="6A8BDF19" w14:textId="2E045E24" w:rsidR="005C1080" w:rsidRPr="00B93AC3" w:rsidRDefault="005C1080" w:rsidP="005C1080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12FAB82D" w14:textId="725B7E05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</w:t>
            </w:r>
            <w:r w:rsidR="00A165DE">
              <w:rPr>
                <w:rStyle w:val="normaltextrun"/>
                <w:rFonts w:ascii="Arial" w:hAnsi="Arial" w:cs="Arial"/>
                <w:color w:val="000000"/>
              </w:rPr>
              <w:t>2</w:t>
            </w:r>
          </w:p>
        </w:tc>
        <w:tc>
          <w:tcPr>
            <w:tcW w:w="2456" w:type="pct"/>
          </w:tcPr>
          <w:p w14:paraId="1BEE9E40" w14:textId="7A23C975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3. Removed MES Rate from sub-measure weights for Disability Accommodation Needs Measure. Redistributed sub-measure weight to Rate and 2.</w:t>
            </w:r>
          </w:p>
        </w:tc>
        <w:tc>
          <w:tcPr>
            <w:tcW w:w="573" w:type="pct"/>
          </w:tcPr>
          <w:p w14:paraId="2C39C016" w14:textId="75F1680E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7FC60387" w14:textId="77777777" w:rsidTr="00F574F5">
        <w:trPr>
          <w:trHeight w:val="557"/>
        </w:trPr>
        <w:tc>
          <w:tcPr>
            <w:tcW w:w="1388" w:type="pct"/>
          </w:tcPr>
          <w:p w14:paraId="0E0EDC2E" w14:textId="789C54BB" w:rsidR="005C1080" w:rsidRPr="00B93AC3" w:rsidRDefault="005C1080" w:rsidP="005C1080">
            <w:pPr>
              <w:rPr>
                <w:rFonts w:ascii="Arial" w:hAnsi="Arial" w:cs="Arial"/>
              </w:rPr>
            </w:pPr>
            <w:r w:rsidRPr="006F46DC">
              <w:rPr>
                <w:rFonts w:ascii="Arial" w:hAnsi="Arial" w:cs="Arial"/>
              </w:rPr>
              <w:t>Same as above.</w:t>
            </w:r>
          </w:p>
        </w:tc>
        <w:tc>
          <w:tcPr>
            <w:tcW w:w="583" w:type="pct"/>
          </w:tcPr>
          <w:p w14:paraId="6B219531" w14:textId="3794B329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56" w:type="pct"/>
          </w:tcPr>
          <w:p w14:paraId="09FCABD2" w14:textId="6237CB7B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Table 3. Removed sub-measure weights for Member Experience measure for PY4 (as it is P4R) and ‘To be determined’ for PY5.</w:t>
            </w:r>
          </w:p>
        </w:tc>
        <w:tc>
          <w:tcPr>
            <w:tcW w:w="573" w:type="pct"/>
          </w:tcPr>
          <w:p w14:paraId="3D584E70" w14:textId="172FC191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698835E0" w14:textId="77777777" w:rsidTr="00F574F5">
        <w:trPr>
          <w:trHeight w:val="557"/>
        </w:trPr>
        <w:tc>
          <w:tcPr>
            <w:tcW w:w="1388" w:type="pct"/>
          </w:tcPr>
          <w:p w14:paraId="453045B9" w14:textId="71DA9B4A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ii. Quality Performance Disparities Reduction</w:t>
            </w:r>
          </w:p>
        </w:tc>
        <w:tc>
          <w:tcPr>
            <w:tcW w:w="583" w:type="pct"/>
          </w:tcPr>
          <w:p w14:paraId="67EFB38E" w14:textId="52849D18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13-15</w:t>
            </w:r>
          </w:p>
        </w:tc>
        <w:tc>
          <w:tcPr>
            <w:tcW w:w="2456" w:type="pct"/>
          </w:tcPr>
          <w:p w14:paraId="28FCD5AA" w14:textId="60CEB105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a description of the performance assessment methodology for the Quality Performance Disparities Reduction measure.</w:t>
            </w:r>
          </w:p>
        </w:tc>
        <w:tc>
          <w:tcPr>
            <w:tcW w:w="573" w:type="pct"/>
          </w:tcPr>
          <w:p w14:paraId="069DA9D0" w14:textId="0A093024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0060A737" w14:textId="77777777" w:rsidTr="00F574F5">
        <w:trPr>
          <w:trHeight w:val="557"/>
        </w:trPr>
        <w:tc>
          <w:tcPr>
            <w:tcW w:w="1388" w:type="pct"/>
          </w:tcPr>
          <w:p w14:paraId="7D034879" w14:textId="163AE2AF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iii. Equity Improvement Interventions</w:t>
            </w:r>
          </w:p>
        </w:tc>
        <w:tc>
          <w:tcPr>
            <w:tcW w:w="583" w:type="pct"/>
          </w:tcPr>
          <w:p w14:paraId="020053FB" w14:textId="0103AB8B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16</w:t>
            </w:r>
          </w:p>
        </w:tc>
        <w:tc>
          <w:tcPr>
            <w:tcW w:w="2456" w:type="pct"/>
          </w:tcPr>
          <w:p w14:paraId="2E73FB7D" w14:textId="6C1706E6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Updated PIP reporting scoring information.</w:t>
            </w:r>
          </w:p>
        </w:tc>
        <w:tc>
          <w:tcPr>
            <w:tcW w:w="573" w:type="pct"/>
          </w:tcPr>
          <w:p w14:paraId="3283ABC0" w14:textId="1CA04218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35E45F93" w14:textId="77777777" w:rsidTr="00F574F5">
        <w:trPr>
          <w:trHeight w:val="557"/>
        </w:trPr>
        <w:tc>
          <w:tcPr>
            <w:tcW w:w="1388" w:type="pct"/>
          </w:tcPr>
          <w:p w14:paraId="02A3C693" w14:textId="4DB656C4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iv. Achievement of External Standards for Health Equity</w:t>
            </w:r>
          </w:p>
        </w:tc>
        <w:tc>
          <w:tcPr>
            <w:tcW w:w="583" w:type="pct"/>
          </w:tcPr>
          <w:p w14:paraId="60059625" w14:textId="672B849A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17</w:t>
            </w:r>
          </w:p>
        </w:tc>
        <w:tc>
          <w:tcPr>
            <w:tcW w:w="2456" w:type="pct"/>
          </w:tcPr>
          <w:p w14:paraId="1C0FF0E0" w14:textId="7095BB30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proofErr w:type="gramStart"/>
            <w:r w:rsidRPr="00B93AC3">
              <w:rPr>
                <w:rStyle w:val="normaltextrun"/>
                <w:rFonts w:ascii="Arial" w:hAnsi="Arial" w:cs="Arial"/>
                <w:color w:val="000000"/>
              </w:rPr>
              <w:t>Included</w:t>
            </w:r>
            <w:proofErr w:type="gramEnd"/>
            <w:r w:rsidRPr="00B93AC3">
              <w:rPr>
                <w:rStyle w:val="normaltextrun"/>
                <w:rFonts w:ascii="Arial" w:hAnsi="Arial" w:cs="Arial"/>
                <w:color w:val="000000"/>
              </w:rPr>
              <w:t xml:space="preserve"> a footnote that effective January 15, 2026, per the NCQA, the health Equity Accreditation is renamed Health Outcomes Accreditation.</w:t>
            </w:r>
          </w:p>
        </w:tc>
        <w:tc>
          <w:tcPr>
            <w:tcW w:w="573" w:type="pct"/>
          </w:tcPr>
          <w:p w14:paraId="2A98759A" w14:textId="6468573D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5C1080" w:rsidRPr="00B93AC3" w14:paraId="6B0AA065" w14:textId="77777777" w:rsidTr="00F574F5">
        <w:trPr>
          <w:trHeight w:val="557"/>
        </w:trPr>
        <w:tc>
          <w:tcPr>
            <w:tcW w:w="1388" w:type="pct"/>
          </w:tcPr>
          <w:p w14:paraId="415D9496" w14:textId="35C217EF" w:rsidR="005C1080" w:rsidRPr="00B93AC3" w:rsidRDefault="005C1080" w:rsidP="005C1080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iv. Achievement of External Standards for Health Equity</w:t>
            </w:r>
          </w:p>
        </w:tc>
        <w:tc>
          <w:tcPr>
            <w:tcW w:w="583" w:type="pct"/>
          </w:tcPr>
          <w:p w14:paraId="3E1A1DE0" w14:textId="21704BFD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17</w:t>
            </w:r>
          </w:p>
        </w:tc>
        <w:tc>
          <w:tcPr>
            <w:tcW w:w="2456" w:type="pct"/>
          </w:tcPr>
          <w:p w14:paraId="0D0E0486" w14:textId="2A56384B" w:rsidR="005C1080" w:rsidRPr="00B93AC3" w:rsidRDefault="005C1080" w:rsidP="005C108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Included a footnote that TJC HCE Certification is now referred to as Excellent Health Outcomes for All Certification.</w:t>
            </w:r>
          </w:p>
        </w:tc>
        <w:tc>
          <w:tcPr>
            <w:tcW w:w="573" w:type="pct"/>
          </w:tcPr>
          <w:p w14:paraId="6DD04C43" w14:textId="1708FDAD" w:rsidR="005C1080" w:rsidRPr="00B93AC3" w:rsidRDefault="005C1080" w:rsidP="005C1080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0C4EBB" w:rsidRPr="00B93AC3" w14:paraId="2AC0E631" w14:textId="77777777" w:rsidTr="00F574F5">
        <w:trPr>
          <w:trHeight w:val="557"/>
        </w:trPr>
        <w:tc>
          <w:tcPr>
            <w:tcW w:w="1388" w:type="pct"/>
          </w:tcPr>
          <w:p w14:paraId="19E3811B" w14:textId="0821F540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iv. Achievement of External Standards for Health Equity</w:t>
            </w:r>
          </w:p>
        </w:tc>
        <w:tc>
          <w:tcPr>
            <w:tcW w:w="583" w:type="pct"/>
          </w:tcPr>
          <w:p w14:paraId="47DCA414" w14:textId="1381A64D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1</w:t>
            </w:r>
            <w:r w:rsidR="00A165DE">
              <w:rPr>
                <w:rStyle w:val="normaltextrun"/>
                <w:rFonts w:ascii="Arial" w:hAnsi="Arial" w:cs="Arial"/>
                <w:color w:val="000000"/>
              </w:rPr>
              <w:t>7</w:t>
            </w:r>
          </w:p>
        </w:tc>
        <w:tc>
          <w:tcPr>
            <w:tcW w:w="2456" w:type="pct"/>
          </w:tcPr>
          <w:p w14:paraId="768F60BD" w14:textId="0393B00B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Clarified that PY4 and PY5 are pay-for-reporting.</w:t>
            </w:r>
          </w:p>
        </w:tc>
        <w:tc>
          <w:tcPr>
            <w:tcW w:w="573" w:type="pct"/>
          </w:tcPr>
          <w:p w14:paraId="757F2BD1" w14:textId="53D552B0" w:rsidR="000C4EBB" w:rsidRPr="00F313CF" w:rsidRDefault="000C4EBB" w:rsidP="000C4EBB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0C4EBB" w:rsidRPr="00B93AC3" w14:paraId="4B9208EE" w14:textId="77777777" w:rsidTr="00F574F5">
        <w:trPr>
          <w:trHeight w:val="557"/>
        </w:trPr>
        <w:tc>
          <w:tcPr>
            <w:tcW w:w="1388" w:type="pct"/>
          </w:tcPr>
          <w:p w14:paraId="256A4792" w14:textId="58F7A729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C. Performance Measure, Domain, and Health Equity Scoring; ii. Domain Scoring</w:t>
            </w:r>
          </w:p>
        </w:tc>
        <w:tc>
          <w:tcPr>
            <w:tcW w:w="583" w:type="pct"/>
          </w:tcPr>
          <w:p w14:paraId="79486CA0" w14:textId="196771C9" w:rsidR="000C4EBB" w:rsidRPr="00B93AC3" w:rsidRDefault="00A165DE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19</w:t>
            </w:r>
          </w:p>
        </w:tc>
        <w:tc>
          <w:tcPr>
            <w:tcW w:w="2456" w:type="pct"/>
          </w:tcPr>
          <w:p w14:paraId="37CA6275" w14:textId="0D9D8BB1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Clarified domain scoring formula and that bonus points are added to the domain score and capped at the maximum eligible points for the domain.</w:t>
            </w:r>
          </w:p>
        </w:tc>
        <w:tc>
          <w:tcPr>
            <w:tcW w:w="573" w:type="pct"/>
          </w:tcPr>
          <w:p w14:paraId="6A2FEC88" w14:textId="2FF2843D" w:rsidR="000C4EBB" w:rsidRPr="00B93AC3" w:rsidRDefault="000C4EBB" w:rsidP="000C4EBB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0C4EBB" w:rsidRPr="00B93AC3" w14:paraId="4A153ECF" w14:textId="77777777" w:rsidTr="00F574F5">
        <w:trPr>
          <w:trHeight w:val="557"/>
        </w:trPr>
        <w:tc>
          <w:tcPr>
            <w:tcW w:w="1388" w:type="pct"/>
          </w:tcPr>
          <w:p w14:paraId="741996DC" w14:textId="42837564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Appendix C</w:t>
            </w:r>
          </w:p>
        </w:tc>
        <w:tc>
          <w:tcPr>
            <w:tcW w:w="583" w:type="pct"/>
          </w:tcPr>
          <w:p w14:paraId="14BD59A8" w14:textId="3D906418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26-27</w:t>
            </w:r>
          </w:p>
        </w:tc>
        <w:tc>
          <w:tcPr>
            <w:tcW w:w="2456" w:type="pct"/>
          </w:tcPr>
          <w:p w14:paraId="10299D6C" w14:textId="52AD88CD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Added scoring examples for Quality Performance Disparities Reduction measure – Disparities Reduction Methodology – Stepwise Calculation</w:t>
            </w:r>
          </w:p>
        </w:tc>
        <w:tc>
          <w:tcPr>
            <w:tcW w:w="573" w:type="pct"/>
          </w:tcPr>
          <w:p w14:paraId="2788E711" w14:textId="61B00646" w:rsidR="000C4EBB" w:rsidRPr="00B93AC3" w:rsidRDefault="000C4EBB" w:rsidP="000C4EBB">
            <w:pPr>
              <w:rPr>
                <w:rFonts w:ascii="Arial" w:hAnsi="Arial" w:cs="Arial"/>
              </w:rPr>
            </w:pPr>
            <w:r w:rsidRPr="00F313CF">
              <w:rPr>
                <w:rFonts w:ascii="Arial" w:hAnsi="Arial" w:cs="Arial"/>
              </w:rPr>
              <w:t>3/9/26</w:t>
            </w:r>
          </w:p>
        </w:tc>
      </w:tr>
      <w:tr w:rsidR="000C4EBB" w:rsidRPr="00B93AC3" w14:paraId="23F72063" w14:textId="77777777" w:rsidTr="00F574F5">
        <w:trPr>
          <w:trHeight w:val="557"/>
        </w:trPr>
        <w:tc>
          <w:tcPr>
            <w:tcW w:w="1388" w:type="pct"/>
          </w:tcPr>
          <w:p w14:paraId="389D9A5D" w14:textId="001FD586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lastRenderedPageBreak/>
              <w:t>Individual Measure Scoring Approaches</w:t>
            </w:r>
          </w:p>
        </w:tc>
        <w:tc>
          <w:tcPr>
            <w:tcW w:w="583" w:type="pct"/>
          </w:tcPr>
          <w:p w14:paraId="1137A825" w14:textId="604F1765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3</w:t>
            </w:r>
          </w:p>
        </w:tc>
        <w:tc>
          <w:tcPr>
            <w:tcW w:w="2456" w:type="pct"/>
          </w:tcPr>
          <w:p w14:paraId="1CF871EE" w14:textId="4B066B94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Clarified that bonus points are applied to the domain score.</w:t>
            </w:r>
          </w:p>
        </w:tc>
        <w:tc>
          <w:tcPr>
            <w:tcW w:w="573" w:type="pct"/>
          </w:tcPr>
          <w:p w14:paraId="02377103" w14:textId="5059F07F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28077C40" w14:textId="77777777" w:rsidTr="00F574F5">
        <w:trPr>
          <w:trHeight w:val="557"/>
        </w:trPr>
        <w:tc>
          <w:tcPr>
            <w:tcW w:w="1388" w:type="pct"/>
          </w:tcPr>
          <w:p w14:paraId="0BA7614F" w14:textId="19657598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Measure Assessment Overview &amp; Scoring</w:t>
            </w:r>
          </w:p>
        </w:tc>
        <w:tc>
          <w:tcPr>
            <w:tcW w:w="583" w:type="pct"/>
          </w:tcPr>
          <w:p w14:paraId="2F4CD351" w14:textId="07B3A02B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5</w:t>
            </w:r>
          </w:p>
        </w:tc>
        <w:tc>
          <w:tcPr>
            <w:tcW w:w="2456" w:type="pct"/>
          </w:tcPr>
          <w:p w14:paraId="1AAA0854" w14:textId="282937A3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Removed notes that an ACO will earn 0 points if “both threshold and improvement target are not met” and that “partial points may not be earned in PY3 or PY4 if the improvement target is not met…” [see “Interaction of Attainment Threshold, Performance Goal, and Improvement Threshold” Section for more information on earning partial improvement points].</w:t>
            </w:r>
          </w:p>
        </w:tc>
        <w:tc>
          <w:tcPr>
            <w:tcW w:w="573" w:type="pct"/>
          </w:tcPr>
          <w:p w14:paraId="080E4F5E" w14:textId="0488C62E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57958244" w14:textId="77777777" w:rsidTr="00F574F5">
        <w:trPr>
          <w:trHeight w:val="557"/>
        </w:trPr>
        <w:tc>
          <w:tcPr>
            <w:tcW w:w="1388" w:type="pct"/>
          </w:tcPr>
          <w:p w14:paraId="4884244D" w14:textId="5A7C5D0A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Measure Assessment Overview &amp; Scoring</w:t>
            </w:r>
          </w:p>
        </w:tc>
        <w:tc>
          <w:tcPr>
            <w:tcW w:w="583" w:type="pct"/>
          </w:tcPr>
          <w:p w14:paraId="10716FDF" w14:textId="17CC0879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6</w:t>
            </w:r>
          </w:p>
        </w:tc>
        <w:tc>
          <w:tcPr>
            <w:tcW w:w="2456" w:type="pct"/>
          </w:tcPr>
          <w:p w14:paraId="4F6856C7" w14:textId="2EAC34C5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Moved the DCC Measure partial improvement points example to Appendix B.</w:t>
            </w:r>
          </w:p>
        </w:tc>
        <w:tc>
          <w:tcPr>
            <w:tcW w:w="573" w:type="pct"/>
          </w:tcPr>
          <w:p w14:paraId="70D5DD3E" w14:textId="192644D4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04E5E154" w14:textId="77777777" w:rsidTr="00F574F5">
        <w:trPr>
          <w:trHeight w:val="557"/>
        </w:trPr>
        <w:tc>
          <w:tcPr>
            <w:tcW w:w="1388" w:type="pct"/>
          </w:tcPr>
          <w:p w14:paraId="4401373C" w14:textId="0A705A90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Interaction of Attainment Threshold, Performance Goal, &amp; Improvement Threshold</w:t>
            </w:r>
          </w:p>
        </w:tc>
        <w:tc>
          <w:tcPr>
            <w:tcW w:w="583" w:type="pct"/>
          </w:tcPr>
          <w:p w14:paraId="7DB0CEE3" w14:textId="134EEBC8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6</w:t>
            </w:r>
          </w:p>
        </w:tc>
        <w:tc>
          <w:tcPr>
            <w:tcW w:w="2456" w:type="pct"/>
          </w:tcPr>
          <w:p w14:paraId="5E089752" w14:textId="55EF58C4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Clarified the language regarding how ACOs can earn partial improvement points when the performance goal is not met but attainment threshold and/or improvement targets are met or not met. Added reference to a new Appendix A that provides a flowchart outlining how points are earned in PY3-5.</w:t>
            </w:r>
          </w:p>
        </w:tc>
        <w:tc>
          <w:tcPr>
            <w:tcW w:w="573" w:type="pct"/>
          </w:tcPr>
          <w:p w14:paraId="0AA206A7" w14:textId="2E67FA7A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34F7D4FF" w14:textId="77777777" w:rsidTr="00F574F5">
        <w:trPr>
          <w:trHeight w:val="557"/>
        </w:trPr>
        <w:tc>
          <w:tcPr>
            <w:tcW w:w="1388" w:type="pct"/>
          </w:tcPr>
          <w:p w14:paraId="17BD0D2B" w14:textId="7E8B0CC2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Quality Performance Disparities Reduction</w:t>
            </w:r>
          </w:p>
        </w:tc>
        <w:tc>
          <w:tcPr>
            <w:tcW w:w="583" w:type="pct"/>
          </w:tcPr>
          <w:p w14:paraId="4AAEE42A" w14:textId="5EE8A9FC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13</w:t>
            </w:r>
          </w:p>
        </w:tc>
        <w:tc>
          <w:tcPr>
            <w:tcW w:w="2456" w:type="pct"/>
          </w:tcPr>
          <w:p w14:paraId="2907E4A6" w14:textId="259CBEE2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Updated anticipated timing of Disparities Reduction PAM to Summer 2025.</w:t>
            </w:r>
          </w:p>
        </w:tc>
        <w:tc>
          <w:tcPr>
            <w:tcW w:w="573" w:type="pct"/>
          </w:tcPr>
          <w:p w14:paraId="2EDB7A84" w14:textId="0A9B031D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16DC3A62" w14:textId="77777777" w:rsidTr="00F574F5">
        <w:trPr>
          <w:trHeight w:val="557"/>
        </w:trPr>
        <w:tc>
          <w:tcPr>
            <w:tcW w:w="1388" w:type="pct"/>
          </w:tcPr>
          <w:p w14:paraId="20454797" w14:textId="537BAEB7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Measure Scoring</w:t>
            </w:r>
          </w:p>
        </w:tc>
        <w:tc>
          <w:tcPr>
            <w:tcW w:w="583" w:type="pct"/>
          </w:tcPr>
          <w:p w14:paraId="1CD832AB" w14:textId="5BFED318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16</w:t>
            </w:r>
          </w:p>
        </w:tc>
        <w:tc>
          <w:tcPr>
            <w:tcW w:w="2456" w:type="pct"/>
          </w:tcPr>
          <w:p w14:paraId="38C1DB8D" w14:textId="2C0BE445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 xml:space="preserve">Clarified that sub-measures will be </w:t>
            </w:r>
            <w:proofErr w:type="gramStart"/>
            <w:r w:rsidRPr="00B93AC3">
              <w:rPr>
                <w:rFonts w:ascii="Arial" w:hAnsi="Arial" w:cs="Arial"/>
              </w:rPr>
              <w:t>weighted</w:t>
            </w:r>
            <w:proofErr w:type="gramEnd"/>
            <w:r w:rsidRPr="00B93AC3">
              <w:rPr>
                <w:rFonts w:ascii="Arial" w:hAnsi="Arial" w:cs="Arial"/>
              </w:rPr>
              <w:t xml:space="preserve"> as outlined in Tables 3 and 4.</w:t>
            </w:r>
          </w:p>
        </w:tc>
        <w:tc>
          <w:tcPr>
            <w:tcW w:w="573" w:type="pct"/>
          </w:tcPr>
          <w:p w14:paraId="001092CC" w14:textId="584568A5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55586644" w14:textId="77777777" w:rsidTr="00F574F5">
        <w:trPr>
          <w:trHeight w:val="557"/>
        </w:trPr>
        <w:tc>
          <w:tcPr>
            <w:tcW w:w="1388" w:type="pct"/>
          </w:tcPr>
          <w:p w14:paraId="156DFAB6" w14:textId="2565935A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Appendix A</w:t>
            </w:r>
          </w:p>
        </w:tc>
        <w:tc>
          <w:tcPr>
            <w:tcW w:w="583" w:type="pct"/>
          </w:tcPr>
          <w:p w14:paraId="3737E345" w14:textId="60E6C329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18</w:t>
            </w:r>
          </w:p>
        </w:tc>
        <w:tc>
          <w:tcPr>
            <w:tcW w:w="2456" w:type="pct"/>
          </w:tcPr>
          <w:p w14:paraId="5F4554AA" w14:textId="709C0229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Added a flowchart outlining how points can be earned in PY3-5, for clarity.</w:t>
            </w:r>
          </w:p>
        </w:tc>
        <w:tc>
          <w:tcPr>
            <w:tcW w:w="573" w:type="pct"/>
          </w:tcPr>
          <w:p w14:paraId="01CDF5B9" w14:textId="79CC5688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tr w:rsidR="000C4EBB" w:rsidRPr="00B93AC3" w14:paraId="6E357E7D" w14:textId="77777777" w:rsidTr="00F574F5">
        <w:trPr>
          <w:trHeight w:val="557"/>
        </w:trPr>
        <w:tc>
          <w:tcPr>
            <w:tcW w:w="1388" w:type="pct"/>
          </w:tcPr>
          <w:p w14:paraId="245DC533" w14:textId="42A569F5" w:rsidR="000C4EBB" w:rsidRPr="00B93AC3" w:rsidRDefault="000C4EBB" w:rsidP="000C4EBB">
            <w:pPr>
              <w:rPr>
                <w:rFonts w:ascii="Arial" w:hAnsi="Arial" w:cs="Arial"/>
                <w:color w:val="000000" w:themeColor="text1"/>
              </w:rPr>
            </w:pPr>
            <w:r w:rsidRPr="00B93AC3">
              <w:rPr>
                <w:rFonts w:ascii="Arial" w:hAnsi="Arial" w:cs="Arial"/>
                <w:color w:val="000000" w:themeColor="text1"/>
              </w:rPr>
              <w:t>Appendix B</w:t>
            </w:r>
          </w:p>
        </w:tc>
        <w:tc>
          <w:tcPr>
            <w:tcW w:w="583" w:type="pct"/>
          </w:tcPr>
          <w:p w14:paraId="3C62F48B" w14:textId="74F97EE3" w:rsidR="000C4EBB" w:rsidRPr="00B93AC3" w:rsidRDefault="000C4EBB" w:rsidP="000C4EBB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B93AC3">
              <w:rPr>
                <w:rStyle w:val="normaltextrun"/>
                <w:rFonts w:ascii="Arial" w:hAnsi="Arial" w:cs="Arial"/>
                <w:color w:val="000000"/>
              </w:rPr>
              <w:t>19</w:t>
            </w:r>
          </w:p>
        </w:tc>
        <w:tc>
          <w:tcPr>
            <w:tcW w:w="2456" w:type="pct"/>
          </w:tcPr>
          <w:p w14:paraId="789DEED1" w14:textId="21788548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Moved DCC example from “</w:t>
            </w:r>
            <w:r w:rsidRPr="00B93AC3">
              <w:rPr>
                <w:rFonts w:ascii="Arial" w:hAnsi="Arial" w:cs="Arial"/>
                <w:color w:val="000000" w:themeColor="text1"/>
              </w:rPr>
              <w:t>Measure Assessment Overview &amp; Scoring” example to Appendix B.</w:t>
            </w:r>
          </w:p>
        </w:tc>
        <w:tc>
          <w:tcPr>
            <w:tcW w:w="573" w:type="pct"/>
          </w:tcPr>
          <w:p w14:paraId="5DDFCFD8" w14:textId="2F20A262" w:rsidR="000C4EBB" w:rsidRPr="00B93AC3" w:rsidRDefault="000C4EBB" w:rsidP="000C4EBB">
            <w:pPr>
              <w:rPr>
                <w:rFonts w:ascii="Arial" w:hAnsi="Arial" w:cs="Arial"/>
              </w:rPr>
            </w:pPr>
            <w:r w:rsidRPr="00B93AC3">
              <w:rPr>
                <w:rFonts w:ascii="Arial" w:hAnsi="Arial" w:cs="Arial"/>
              </w:rPr>
              <w:t>6/20/25</w:t>
            </w:r>
          </w:p>
        </w:tc>
      </w:tr>
      <w:bookmarkEnd w:id="0"/>
    </w:tbl>
    <w:p w14:paraId="5A361ACD" w14:textId="6720AE47" w:rsidR="00403F2D" w:rsidRPr="00C623C0" w:rsidRDefault="00403F2D" w:rsidP="5A76BED9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sectPr w:rsidR="00403F2D" w:rsidRPr="00C623C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24456" w14:textId="77777777" w:rsidR="005C1F8C" w:rsidRDefault="005C1F8C" w:rsidP="00A07F99">
      <w:pPr>
        <w:spacing w:after="0" w:line="240" w:lineRule="auto"/>
      </w:pPr>
      <w:r>
        <w:separator/>
      </w:r>
    </w:p>
  </w:endnote>
  <w:endnote w:type="continuationSeparator" w:id="0">
    <w:p w14:paraId="74A18F29" w14:textId="77777777" w:rsidR="005C1F8C" w:rsidRDefault="005C1F8C" w:rsidP="00A0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7682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544D12" w14:textId="0775F015" w:rsidR="00A07F99" w:rsidRDefault="00D1136F" w:rsidP="00D1136F">
            <w:pPr>
              <w:pStyle w:val="Footer"/>
            </w:pPr>
            <w:r>
              <w:t xml:space="preserve">Updated Log – PY3-5 PAM for ACO QEIP. Updated </w:t>
            </w:r>
            <w:r w:rsidR="003E7A4F">
              <w:t>March 9,</w:t>
            </w:r>
            <w:r>
              <w:t xml:space="preserve"> 2026.                                           </w:t>
            </w:r>
            <w:r w:rsidR="00A07F99">
              <w:t xml:space="preserve">Page </w:t>
            </w:r>
            <w:r w:rsidR="00A07F99">
              <w:rPr>
                <w:b/>
                <w:bCs/>
                <w:sz w:val="24"/>
                <w:szCs w:val="24"/>
              </w:rPr>
              <w:fldChar w:fldCharType="begin"/>
            </w:r>
            <w:r w:rsidR="00A07F99">
              <w:rPr>
                <w:b/>
                <w:bCs/>
              </w:rPr>
              <w:instrText xml:space="preserve"> PAGE </w:instrText>
            </w:r>
            <w:r w:rsidR="00A07F99">
              <w:rPr>
                <w:b/>
                <w:bCs/>
                <w:sz w:val="24"/>
                <w:szCs w:val="24"/>
              </w:rPr>
              <w:fldChar w:fldCharType="separate"/>
            </w:r>
            <w:r w:rsidR="00A07F99">
              <w:rPr>
                <w:b/>
                <w:bCs/>
                <w:noProof/>
              </w:rPr>
              <w:t>2</w:t>
            </w:r>
            <w:r w:rsidR="00A07F99">
              <w:rPr>
                <w:b/>
                <w:bCs/>
                <w:sz w:val="24"/>
                <w:szCs w:val="24"/>
              </w:rPr>
              <w:fldChar w:fldCharType="end"/>
            </w:r>
            <w:r w:rsidR="00A07F99">
              <w:t xml:space="preserve"> of </w:t>
            </w:r>
            <w:r w:rsidR="00A07F99">
              <w:rPr>
                <w:b/>
                <w:bCs/>
                <w:sz w:val="24"/>
                <w:szCs w:val="24"/>
              </w:rPr>
              <w:fldChar w:fldCharType="begin"/>
            </w:r>
            <w:r w:rsidR="00A07F99">
              <w:rPr>
                <w:b/>
                <w:bCs/>
              </w:rPr>
              <w:instrText xml:space="preserve"> NUMPAGES  </w:instrText>
            </w:r>
            <w:r w:rsidR="00A07F99">
              <w:rPr>
                <w:b/>
                <w:bCs/>
                <w:sz w:val="24"/>
                <w:szCs w:val="24"/>
              </w:rPr>
              <w:fldChar w:fldCharType="separate"/>
            </w:r>
            <w:r w:rsidR="00A07F99">
              <w:rPr>
                <w:b/>
                <w:bCs/>
                <w:noProof/>
              </w:rPr>
              <w:t>2</w:t>
            </w:r>
            <w:r w:rsidR="00A07F9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0F55ED" w14:textId="77777777" w:rsidR="00A07F99" w:rsidRDefault="00A07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BEB6" w14:textId="77777777" w:rsidR="005C1F8C" w:rsidRDefault="005C1F8C" w:rsidP="00A07F99">
      <w:pPr>
        <w:spacing w:after="0" w:line="240" w:lineRule="auto"/>
      </w:pPr>
      <w:r>
        <w:separator/>
      </w:r>
    </w:p>
  </w:footnote>
  <w:footnote w:type="continuationSeparator" w:id="0">
    <w:p w14:paraId="4074BA91" w14:textId="77777777" w:rsidR="005C1F8C" w:rsidRDefault="005C1F8C" w:rsidP="00A0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03191"/>
    <w:rsid w:val="00005830"/>
    <w:rsid w:val="00016185"/>
    <w:rsid w:val="0003320C"/>
    <w:rsid w:val="00037F29"/>
    <w:rsid w:val="00040A48"/>
    <w:rsid w:val="000510BC"/>
    <w:rsid w:val="000540CE"/>
    <w:rsid w:val="00063810"/>
    <w:rsid w:val="00067641"/>
    <w:rsid w:val="0007610A"/>
    <w:rsid w:val="0008278A"/>
    <w:rsid w:val="00086279"/>
    <w:rsid w:val="00087882"/>
    <w:rsid w:val="0009350D"/>
    <w:rsid w:val="000937FD"/>
    <w:rsid w:val="000A27BC"/>
    <w:rsid w:val="000C4EBB"/>
    <w:rsid w:val="000D357D"/>
    <w:rsid w:val="000D41BA"/>
    <w:rsid w:val="000E7E03"/>
    <w:rsid w:val="000F1403"/>
    <w:rsid w:val="000F5073"/>
    <w:rsid w:val="001018DA"/>
    <w:rsid w:val="00110F8A"/>
    <w:rsid w:val="00125468"/>
    <w:rsid w:val="001313B3"/>
    <w:rsid w:val="00132F52"/>
    <w:rsid w:val="001374B1"/>
    <w:rsid w:val="00153EAE"/>
    <w:rsid w:val="0015421F"/>
    <w:rsid w:val="00162062"/>
    <w:rsid w:val="00174A68"/>
    <w:rsid w:val="00187DDF"/>
    <w:rsid w:val="00193743"/>
    <w:rsid w:val="00195344"/>
    <w:rsid w:val="001B759E"/>
    <w:rsid w:val="001D7850"/>
    <w:rsid w:val="001F64BE"/>
    <w:rsid w:val="00200865"/>
    <w:rsid w:val="00202925"/>
    <w:rsid w:val="00207EFB"/>
    <w:rsid w:val="00210EFC"/>
    <w:rsid w:val="00254082"/>
    <w:rsid w:val="0025420D"/>
    <w:rsid w:val="00254AA4"/>
    <w:rsid w:val="00261AC9"/>
    <w:rsid w:val="0027736D"/>
    <w:rsid w:val="00285135"/>
    <w:rsid w:val="002B0EFA"/>
    <w:rsid w:val="002B12B2"/>
    <w:rsid w:val="002B2C47"/>
    <w:rsid w:val="002B736D"/>
    <w:rsid w:val="002C03EC"/>
    <w:rsid w:val="002C4109"/>
    <w:rsid w:val="002D5B7B"/>
    <w:rsid w:val="00301065"/>
    <w:rsid w:val="00304F0F"/>
    <w:rsid w:val="00320F9C"/>
    <w:rsid w:val="003330E8"/>
    <w:rsid w:val="00336C9C"/>
    <w:rsid w:val="0033747F"/>
    <w:rsid w:val="00341FC4"/>
    <w:rsid w:val="0034287B"/>
    <w:rsid w:val="00343A3E"/>
    <w:rsid w:val="003450B6"/>
    <w:rsid w:val="00354906"/>
    <w:rsid w:val="00363605"/>
    <w:rsid w:val="00363E4A"/>
    <w:rsid w:val="00364FDA"/>
    <w:rsid w:val="00382C48"/>
    <w:rsid w:val="00387568"/>
    <w:rsid w:val="00390F71"/>
    <w:rsid w:val="00393ABA"/>
    <w:rsid w:val="003B0904"/>
    <w:rsid w:val="003B2E59"/>
    <w:rsid w:val="003B6EA3"/>
    <w:rsid w:val="003B7481"/>
    <w:rsid w:val="003C4C04"/>
    <w:rsid w:val="003C684E"/>
    <w:rsid w:val="003C6EAA"/>
    <w:rsid w:val="003E7A4F"/>
    <w:rsid w:val="003F020F"/>
    <w:rsid w:val="00403F2D"/>
    <w:rsid w:val="00420FCB"/>
    <w:rsid w:val="00421B65"/>
    <w:rsid w:val="00424CF0"/>
    <w:rsid w:val="00444C9E"/>
    <w:rsid w:val="0044507C"/>
    <w:rsid w:val="00445DB9"/>
    <w:rsid w:val="00453219"/>
    <w:rsid w:val="0045392D"/>
    <w:rsid w:val="004557D2"/>
    <w:rsid w:val="00455EBC"/>
    <w:rsid w:val="00457372"/>
    <w:rsid w:val="00460D13"/>
    <w:rsid w:val="00467A44"/>
    <w:rsid w:val="00476811"/>
    <w:rsid w:val="004777D8"/>
    <w:rsid w:val="00483C3C"/>
    <w:rsid w:val="0049437E"/>
    <w:rsid w:val="00494A2D"/>
    <w:rsid w:val="00497FF1"/>
    <w:rsid w:val="004C1C18"/>
    <w:rsid w:val="004D4163"/>
    <w:rsid w:val="004E03EF"/>
    <w:rsid w:val="004E46F8"/>
    <w:rsid w:val="004E5B3B"/>
    <w:rsid w:val="004F23D6"/>
    <w:rsid w:val="00502DDC"/>
    <w:rsid w:val="005211C9"/>
    <w:rsid w:val="0052140D"/>
    <w:rsid w:val="0052193D"/>
    <w:rsid w:val="0053244F"/>
    <w:rsid w:val="00533038"/>
    <w:rsid w:val="00540D8E"/>
    <w:rsid w:val="005551BC"/>
    <w:rsid w:val="005632FB"/>
    <w:rsid w:val="00580202"/>
    <w:rsid w:val="005808CF"/>
    <w:rsid w:val="005938C5"/>
    <w:rsid w:val="00594DB7"/>
    <w:rsid w:val="005A50ED"/>
    <w:rsid w:val="005A7621"/>
    <w:rsid w:val="005A7AD2"/>
    <w:rsid w:val="005B3687"/>
    <w:rsid w:val="005B39D7"/>
    <w:rsid w:val="005C1080"/>
    <w:rsid w:val="005C1DE2"/>
    <w:rsid w:val="005C1F8C"/>
    <w:rsid w:val="005D2377"/>
    <w:rsid w:val="005D3A5B"/>
    <w:rsid w:val="005F38D0"/>
    <w:rsid w:val="005F5A06"/>
    <w:rsid w:val="005F6892"/>
    <w:rsid w:val="00605B8F"/>
    <w:rsid w:val="00611017"/>
    <w:rsid w:val="00611C0D"/>
    <w:rsid w:val="00622450"/>
    <w:rsid w:val="00627654"/>
    <w:rsid w:val="006434E6"/>
    <w:rsid w:val="00651C67"/>
    <w:rsid w:val="006573DE"/>
    <w:rsid w:val="0066418E"/>
    <w:rsid w:val="00674498"/>
    <w:rsid w:val="00693B29"/>
    <w:rsid w:val="006945B6"/>
    <w:rsid w:val="006A1000"/>
    <w:rsid w:val="006C5B27"/>
    <w:rsid w:val="006D30EB"/>
    <w:rsid w:val="006F5F5D"/>
    <w:rsid w:val="006F764A"/>
    <w:rsid w:val="007127FF"/>
    <w:rsid w:val="00720B7A"/>
    <w:rsid w:val="0072180B"/>
    <w:rsid w:val="00722E8C"/>
    <w:rsid w:val="007242A9"/>
    <w:rsid w:val="007259BA"/>
    <w:rsid w:val="007272F4"/>
    <w:rsid w:val="007318D6"/>
    <w:rsid w:val="007326C7"/>
    <w:rsid w:val="00735ADF"/>
    <w:rsid w:val="00743E9D"/>
    <w:rsid w:val="00761E6D"/>
    <w:rsid w:val="0076E01C"/>
    <w:rsid w:val="00771B76"/>
    <w:rsid w:val="00775A59"/>
    <w:rsid w:val="007858D3"/>
    <w:rsid w:val="00785C72"/>
    <w:rsid w:val="007B459C"/>
    <w:rsid w:val="007B5D7F"/>
    <w:rsid w:val="007C2DE8"/>
    <w:rsid w:val="007C5BCA"/>
    <w:rsid w:val="007C7DAD"/>
    <w:rsid w:val="007D3751"/>
    <w:rsid w:val="007D7B22"/>
    <w:rsid w:val="007E0C98"/>
    <w:rsid w:val="007E13C7"/>
    <w:rsid w:val="007F4AA9"/>
    <w:rsid w:val="007F6ADB"/>
    <w:rsid w:val="007F6D4B"/>
    <w:rsid w:val="00801BE4"/>
    <w:rsid w:val="00805EF9"/>
    <w:rsid w:val="00807773"/>
    <w:rsid w:val="008171D2"/>
    <w:rsid w:val="00836CEC"/>
    <w:rsid w:val="0084192F"/>
    <w:rsid w:val="0084414A"/>
    <w:rsid w:val="008457D9"/>
    <w:rsid w:val="00853DD4"/>
    <w:rsid w:val="00856C7A"/>
    <w:rsid w:val="00872B5A"/>
    <w:rsid w:val="00873847"/>
    <w:rsid w:val="0087545A"/>
    <w:rsid w:val="00884AA2"/>
    <w:rsid w:val="00887DDC"/>
    <w:rsid w:val="008A47AA"/>
    <w:rsid w:val="008C0E19"/>
    <w:rsid w:val="008C320C"/>
    <w:rsid w:val="008D1E87"/>
    <w:rsid w:val="008E07D7"/>
    <w:rsid w:val="008E0B55"/>
    <w:rsid w:val="008E10D2"/>
    <w:rsid w:val="008E30FD"/>
    <w:rsid w:val="008E53B1"/>
    <w:rsid w:val="008E6BC4"/>
    <w:rsid w:val="008F03F3"/>
    <w:rsid w:val="00900E67"/>
    <w:rsid w:val="00904388"/>
    <w:rsid w:val="009106C2"/>
    <w:rsid w:val="00910C76"/>
    <w:rsid w:val="00917BAA"/>
    <w:rsid w:val="00926664"/>
    <w:rsid w:val="00956CBF"/>
    <w:rsid w:val="009624A3"/>
    <w:rsid w:val="009679CB"/>
    <w:rsid w:val="00973387"/>
    <w:rsid w:val="0097721E"/>
    <w:rsid w:val="009779D6"/>
    <w:rsid w:val="00983982"/>
    <w:rsid w:val="00983C03"/>
    <w:rsid w:val="009876D1"/>
    <w:rsid w:val="00993DCB"/>
    <w:rsid w:val="009942AB"/>
    <w:rsid w:val="009C0130"/>
    <w:rsid w:val="009C7119"/>
    <w:rsid w:val="009D19FC"/>
    <w:rsid w:val="009E40A3"/>
    <w:rsid w:val="009E77BB"/>
    <w:rsid w:val="009F5E26"/>
    <w:rsid w:val="009F6CA6"/>
    <w:rsid w:val="009F7671"/>
    <w:rsid w:val="00A03933"/>
    <w:rsid w:val="00A07F99"/>
    <w:rsid w:val="00A165DE"/>
    <w:rsid w:val="00A2693D"/>
    <w:rsid w:val="00A27DAF"/>
    <w:rsid w:val="00A438A1"/>
    <w:rsid w:val="00A54584"/>
    <w:rsid w:val="00A731D9"/>
    <w:rsid w:val="00AA2271"/>
    <w:rsid w:val="00AA5AF5"/>
    <w:rsid w:val="00AB2114"/>
    <w:rsid w:val="00AB4A57"/>
    <w:rsid w:val="00AC09F2"/>
    <w:rsid w:val="00AC1C3D"/>
    <w:rsid w:val="00AE1EE5"/>
    <w:rsid w:val="00AE46FC"/>
    <w:rsid w:val="00AE5111"/>
    <w:rsid w:val="00AF1EC5"/>
    <w:rsid w:val="00AF30D9"/>
    <w:rsid w:val="00AF3C6B"/>
    <w:rsid w:val="00B00359"/>
    <w:rsid w:val="00B07A1E"/>
    <w:rsid w:val="00B14C1A"/>
    <w:rsid w:val="00B2642B"/>
    <w:rsid w:val="00B331DD"/>
    <w:rsid w:val="00B35853"/>
    <w:rsid w:val="00B409CD"/>
    <w:rsid w:val="00B51353"/>
    <w:rsid w:val="00B646C1"/>
    <w:rsid w:val="00B6789D"/>
    <w:rsid w:val="00B75291"/>
    <w:rsid w:val="00B93AC3"/>
    <w:rsid w:val="00B93E2E"/>
    <w:rsid w:val="00BA073B"/>
    <w:rsid w:val="00BB0ED8"/>
    <w:rsid w:val="00BC79C8"/>
    <w:rsid w:val="00BE04E4"/>
    <w:rsid w:val="00BE757A"/>
    <w:rsid w:val="00BF35AF"/>
    <w:rsid w:val="00BF4CC9"/>
    <w:rsid w:val="00BF62EB"/>
    <w:rsid w:val="00C147EE"/>
    <w:rsid w:val="00C4449D"/>
    <w:rsid w:val="00C45842"/>
    <w:rsid w:val="00C57FD0"/>
    <w:rsid w:val="00C623C0"/>
    <w:rsid w:val="00C7711A"/>
    <w:rsid w:val="00C772FE"/>
    <w:rsid w:val="00C81DFD"/>
    <w:rsid w:val="00C941DF"/>
    <w:rsid w:val="00CA18E8"/>
    <w:rsid w:val="00CA6FFA"/>
    <w:rsid w:val="00CB3C38"/>
    <w:rsid w:val="00CB4406"/>
    <w:rsid w:val="00CB4FB7"/>
    <w:rsid w:val="00CC0F5F"/>
    <w:rsid w:val="00CC3BFA"/>
    <w:rsid w:val="00D077DE"/>
    <w:rsid w:val="00D1091A"/>
    <w:rsid w:val="00D110E1"/>
    <w:rsid w:val="00D1136F"/>
    <w:rsid w:val="00D1614E"/>
    <w:rsid w:val="00D16A4C"/>
    <w:rsid w:val="00D208AB"/>
    <w:rsid w:val="00D27FCA"/>
    <w:rsid w:val="00D30FA7"/>
    <w:rsid w:val="00D36C94"/>
    <w:rsid w:val="00D42F1A"/>
    <w:rsid w:val="00D44292"/>
    <w:rsid w:val="00D504AD"/>
    <w:rsid w:val="00D61A27"/>
    <w:rsid w:val="00D653C6"/>
    <w:rsid w:val="00D72E07"/>
    <w:rsid w:val="00DD49E5"/>
    <w:rsid w:val="00DE0C7E"/>
    <w:rsid w:val="00DF27DE"/>
    <w:rsid w:val="00DF5B4A"/>
    <w:rsid w:val="00E03BAB"/>
    <w:rsid w:val="00E14A9E"/>
    <w:rsid w:val="00E2748D"/>
    <w:rsid w:val="00E279DF"/>
    <w:rsid w:val="00E33680"/>
    <w:rsid w:val="00E42F9B"/>
    <w:rsid w:val="00E44C25"/>
    <w:rsid w:val="00E47F82"/>
    <w:rsid w:val="00E607C7"/>
    <w:rsid w:val="00E6209D"/>
    <w:rsid w:val="00E74D3B"/>
    <w:rsid w:val="00E9596D"/>
    <w:rsid w:val="00E95A7E"/>
    <w:rsid w:val="00EA14DA"/>
    <w:rsid w:val="00EA3157"/>
    <w:rsid w:val="00EB0E4A"/>
    <w:rsid w:val="00EB1C3A"/>
    <w:rsid w:val="00EB5B98"/>
    <w:rsid w:val="00EF30F3"/>
    <w:rsid w:val="00EF3252"/>
    <w:rsid w:val="00EF48F9"/>
    <w:rsid w:val="00EF6E1D"/>
    <w:rsid w:val="00F10FBE"/>
    <w:rsid w:val="00F11409"/>
    <w:rsid w:val="00F11D33"/>
    <w:rsid w:val="00F460EC"/>
    <w:rsid w:val="00F574F5"/>
    <w:rsid w:val="00F7305B"/>
    <w:rsid w:val="00F74E6C"/>
    <w:rsid w:val="00F7706F"/>
    <w:rsid w:val="00F847FF"/>
    <w:rsid w:val="00F86B8C"/>
    <w:rsid w:val="00F86D0F"/>
    <w:rsid w:val="00F95C44"/>
    <w:rsid w:val="00F95F00"/>
    <w:rsid w:val="00FB4204"/>
    <w:rsid w:val="00FC2148"/>
    <w:rsid w:val="00FC3A33"/>
    <w:rsid w:val="00FD5044"/>
    <w:rsid w:val="00FE0C97"/>
    <w:rsid w:val="00FE6B94"/>
    <w:rsid w:val="00FF3DB8"/>
    <w:rsid w:val="04B64386"/>
    <w:rsid w:val="05322332"/>
    <w:rsid w:val="0BA8957E"/>
    <w:rsid w:val="0E5B2887"/>
    <w:rsid w:val="12F3C1D1"/>
    <w:rsid w:val="1614398C"/>
    <w:rsid w:val="16B05469"/>
    <w:rsid w:val="1A92BC77"/>
    <w:rsid w:val="27AB41D5"/>
    <w:rsid w:val="28649E86"/>
    <w:rsid w:val="2C110A82"/>
    <w:rsid w:val="2F766A57"/>
    <w:rsid w:val="3631D69A"/>
    <w:rsid w:val="3838D80D"/>
    <w:rsid w:val="3B0EA2D3"/>
    <w:rsid w:val="41DA218C"/>
    <w:rsid w:val="4311782F"/>
    <w:rsid w:val="4CB88954"/>
    <w:rsid w:val="53E7D088"/>
    <w:rsid w:val="55516D6E"/>
    <w:rsid w:val="5A76BED9"/>
    <w:rsid w:val="6233C127"/>
    <w:rsid w:val="6AA42312"/>
    <w:rsid w:val="6BA86436"/>
    <w:rsid w:val="6F8ED833"/>
    <w:rsid w:val="701C7240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DA2B7CA2-6985-4624-B490-732969AB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9624A3"/>
  </w:style>
  <w:style w:type="character" w:customStyle="1" w:styleId="eop">
    <w:name w:val="eop"/>
    <w:basedOn w:val="DefaultParagraphFont"/>
    <w:rsid w:val="009624A3"/>
  </w:style>
  <w:style w:type="paragraph" w:styleId="Header">
    <w:name w:val="header"/>
    <w:basedOn w:val="Normal"/>
    <w:link w:val="HeaderChar"/>
    <w:uiPriority w:val="99"/>
    <w:unhideWhenUsed/>
    <w:rsid w:val="00A07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F99"/>
  </w:style>
  <w:style w:type="paragraph" w:styleId="Footer">
    <w:name w:val="footer"/>
    <w:basedOn w:val="Normal"/>
    <w:link w:val="FooterChar"/>
    <w:uiPriority w:val="99"/>
    <w:unhideWhenUsed/>
    <w:rsid w:val="00A07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C1E86-28B0-4E1D-A9D8-C1A97FDC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4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3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220</cp:revision>
  <cp:lastPrinted>2026-03-09T19:45:00Z</cp:lastPrinted>
  <dcterms:created xsi:type="dcterms:W3CDTF">2024-11-04T17:27:00Z</dcterms:created>
  <dcterms:modified xsi:type="dcterms:W3CDTF">2026-03-09T19:45:00Z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