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8044" w14:textId="77777777" w:rsidR="00432314" w:rsidRPr="00ED460A" w:rsidRDefault="00432314" w:rsidP="00432314">
      <w:pPr>
        <w:pStyle w:val="Heading1"/>
        <w:jc w:val="center"/>
        <w:rPr>
          <w:rFonts w:ascii="Arial" w:hAnsi="Arial" w:cs="Arial"/>
          <w:b/>
          <w:lang w:val="en"/>
        </w:rPr>
      </w:pPr>
      <w:r w:rsidRPr="00ED460A">
        <w:rPr>
          <w:rFonts w:ascii="Arial" w:hAnsi="Arial" w:cs="Arial"/>
          <w:b/>
          <w:lang w:val="en"/>
        </w:rPr>
        <w:t>Massachusetts Board of Registration in Nursing</w:t>
      </w:r>
    </w:p>
    <w:p w14:paraId="52A173D7" w14:textId="77777777" w:rsidR="00432314" w:rsidRPr="00ED460A" w:rsidRDefault="00432314" w:rsidP="00432314">
      <w:pPr>
        <w:jc w:val="center"/>
        <w:rPr>
          <w:rFonts w:ascii="Arial" w:hAnsi="Arial" w:cs="Arial"/>
          <w:lang w:val="en"/>
        </w:rPr>
      </w:pPr>
      <w:r w:rsidRPr="00ED460A">
        <w:rPr>
          <w:rFonts w:ascii="Arial" w:hAnsi="Arial" w:cs="Arial"/>
          <w:lang w:val="en"/>
        </w:rPr>
        <w:t>Advisory Ruling on Nursing Practice</w:t>
      </w:r>
    </w:p>
    <w:p w14:paraId="16E5CF5B" w14:textId="77777777" w:rsidR="00432314" w:rsidRPr="00ED460A" w:rsidRDefault="00432314" w:rsidP="00432314">
      <w:pPr>
        <w:rPr>
          <w:lang w:val="en"/>
        </w:rPr>
      </w:pPr>
    </w:p>
    <w:p w14:paraId="74CF9AE0" w14:textId="06BBAE28" w:rsidR="00432314" w:rsidRPr="00A63DB9" w:rsidRDefault="00432314" w:rsidP="00432314">
      <w:pPr>
        <w:keepNext/>
        <w:outlineLvl w:val="0"/>
        <w:rPr>
          <w:rFonts w:ascii="Arial" w:hAnsi="Arial" w:cs="Arial"/>
          <w:szCs w:val="24"/>
          <w:lang w:val="en"/>
        </w:rPr>
      </w:pPr>
      <w:r w:rsidRPr="00A63DB9">
        <w:rPr>
          <w:rFonts w:ascii="Arial" w:hAnsi="Arial" w:cs="Arial"/>
          <w:b/>
          <w:szCs w:val="24"/>
          <w:lang w:val="en"/>
        </w:rPr>
        <w:t>Title:</w:t>
      </w:r>
      <w:r w:rsidR="00BD542C">
        <w:rPr>
          <w:rFonts w:ascii="Arial" w:hAnsi="Arial" w:cs="Arial"/>
          <w:szCs w:val="24"/>
          <w:lang w:val="en"/>
        </w:rPr>
        <w:t xml:space="preserve">  </w:t>
      </w:r>
      <w:r w:rsidR="00AB0758" w:rsidRPr="00A63DB9">
        <w:rPr>
          <w:rFonts w:ascii="Arial" w:hAnsi="Arial" w:cs="Arial"/>
          <w:szCs w:val="24"/>
          <w:lang w:val="en"/>
        </w:rPr>
        <w:t>Invokement of Health Care Proxy</w:t>
      </w:r>
      <w:r w:rsidR="004A0466">
        <w:rPr>
          <w:rFonts w:ascii="Arial" w:hAnsi="Arial" w:cs="Arial"/>
          <w:szCs w:val="24"/>
          <w:lang w:val="en"/>
        </w:rPr>
        <w:t xml:space="preserve"> by Advanced Practice Registered Nurses</w:t>
      </w:r>
    </w:p>
    <w:p w14:paraId="698F8289" w14:textId="77777777" w:rsidR="00432314" w:rsidRPr="00A63DB9" w:rsidRDefault="00432314" w:rsidP="00432314">
      <w:pPr>
        <w:keepNext/>
        <w:outlineLvl w:val="0"/>
        <w:rPr>
          <w:rFonts w:ascii="Arial" w:hAnsi="Arial" w:cs="Arial"/>
          <w:szCs w:val="24"/>
          <w:lang w:val="en"/>
        </w:rPr>
      </w:pPr>
    </w:p>
    <w:p w14:paraId="4738B0C6" w14:textId="05AE7683" w:rsidR="00432314" w:rsidRPr="00A63DB9" w:rsidRDefault="00432314" w:rsidP="00432314">
      <w:pPr>
        <w:rPr>
          <w:rFonts w:ascii="Arial" w:hAnsi="Arial" w:cs="Arial"/>
          <w:bCs/>
          <w:szCs w:val="24"/>
          <w:lang w:val="en"/>
        </w:rPr>
      </w:pPr>
      <w:r w:rsidRPr="00A63DB9">
        <w:rPr>
          <w:rFonts w:ascii="Arial" w:hAnsi="Arial" w:cs="Arial"/>
          <w:b/>
          <w:bCs/>
          <w:szCs w:val="24"/>
          <w:lang w:val="en"/>
        </w:rPr>
        <w:t xml:space="preserve">Advisory Ruling Number: </w:t>
      </w:r>
      <w:r w:rsidR="00831946" w:rsidRPr="00A63DB9">
        <w:rPr>
          <w:rFonts w:ascii="Arial" w:hAnsi="Arial" w:cs="Arial"/>
          <w:b/>
          <w:bCs/>
          <w:szCs w:val="24"/>
          <w:lang w:val="en"/>
        </w:rPr>
        <w:t>2</w:t>
      </w:r>
      <w:r w:rsidR="00AB0758" w:rsidRPr="00A63DB9">
        <w:rPr>
          <w:rFonts w:ascii="Arial" w:hAnsi="Arial" w:cs="Arial"/>
          <w:b/>
          <w:bCs/>
          <w:szCs w:val="24"/>
          <w:lang w:val="en"/>
        </w:rPr>
        <w:t>4</w:t>
      </w:r>
      <w:r w:rsidR="00831946" w:rsidRPr="00A63DB9">
        <w:rPr>
          <w:rFonts w:ascii="Arial" w:hAnsi="Arial" w:cs="Arial"/>
          <w:b/>
          <w:bCs/>
          <w:szCs w:val="24"/>
          <w:lang w:val="en"/>
        </w:rPr>
        <w:t>-0</w:t>
      </w:r>
      <w:r w:rsidR="00392D4A">
        <w:rPr>
          <w:rFonts w:ascii="Arial" w:hAnsi="Arial" w:cs="Arial"/>
          <w:b/>
          <w:bCs/>
          <w:szCs w:val="24"/>
          <w:lang w:val="en"/>
        </w:rPr>
        <w:t>2</w:t>
      </w:r>
    </w:p>
    <w:p w14:paraId="43181B09" w14:textId="77777777" w:rsidR="00432314" w:rsidRPr="00A63DB9" w:rsidRDefault="00432314" w:rsidP="00432314">
      <w:pPr>
        <w:rPr>
          <w:rFonts w:ascii="Arial" w:hAnsi="Arial" w:cs="Arial"/>
          <w:b/>
          <w:bCs/>
          <w:szCs w:val="24"/>
          <w:lang w:val="en"/>
        </w:rPr>
      </w:pPr>
    </w:p>
    <w:p w14:paraId="0ED21106" w14:textId="5E0F47EF" w:rsidR="00432314" w:rsidRPr="00A63DB9" w:rsidRDefault="00432314" w:rsidP="00432314">
      <w:pPr>
        <w:rPr>
          <w:rFonts w:ascii="Arial" w:hAnsi="Arial" w:cs="Arial"/>
          <w:szCs w:val="24"/>
        </w:rPr>
      </w:pPr>
      <w:r w:rsidRPr="00A63DB9">
        <w:rPr>
          <w:rFonts w:ascii="Arial" w:hAnsi="Arial" w:cs="Arial"/>
          <w:b/>
          <w:bCs/>
          <w:szCs w:val="24"/>
          <w:lang w:val="en"/>
        </w:rPr>
        <w:t>Authority:</w:t>
      </w:r>
      <w:r w:rsidRPr="00A63DB9">
        <w:rPr>
          <w:rFonts w:ascii="Arial" w:hAnsi="Arial" w:cs="Arial"/>
          <w:szCs w:val="24"/>
        </w:rPr>
        <w:t xml:space="preserve"> 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w:t>
      </w:r>
      <w:r w:rsidR="00F07142">
        <w:rPr>
          <w:rFonts w:ascii="Arial" w:hAnsi="Arial" w:cs="Arial"/>
          <w:szCs w:val="24"/>
        </w:rPr>
        <w:t xml:space="preserve"> </w:t>
      </w:r>
      <w:r w:rsidRPr="00A63DB9">
        <w:rPr>
          <w:rFonts w:ascii="Arial" w:hAnsi="Arial" w:cs="Arial"/>
          <w:szCs w:val="24"/>
        </w:rPr>
        <w:t>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BE3C41C" w14:textId="110539AA" w:rsidR="00432314" w:rsidRPr="00A63DB9" w:rsidRDefault="00432314" w:rsidP="00432314">
      <w:pPr>
        <w:spacing w:before="100" w:beforeAutospacing="1" w:after="100" w:afterAutospacing="1"/>
        <w:rPr>
          <w:rFonts w:ascii="Arial" w:hAnsi="Arial" w:cs="Arial"/>
          <w:szCs w:val="24"/>
          <w:lang w:val="en"/>
        </w:rPr>
      </w:pPr>
      <w:r w:rsidRPr="00A63DB9">
        <w:rPr>
          <w:rFonts w:ascii="Arial" w:hAnsi="Arial" w:cs="Arial"/>
          <w:b/>
          <w:bCs/>
          <w:szCs w:val="24"/>
          <w:lang w:val="en"/>
        </w:rPr>
        <w:t>Date Issued:</w:t>
      </w:r>
      <w:r w:rsidRPr="00A63DB9">
        <w:rPr>
          <w:rFonts w:ascii="Arial" w:hAnsi="Arial" w:cs="Arial"/>
          <w:szCs w:val="24"/>
          <w:lang w:val="en"/>
        </w:rPr>
        <w:t xml:space="preserve"> </w:t>
      </w:r>
      <w:r w:rsidR="00392D4A">
        <w:rPr>
          <w:rFonts w:ascii="Arial" w:hAnsi="Arial" w:cs="Arial"/>
          <w:szCs w:val="24"/>
          <w:lang w:val="en"/>
        </w:rPr>
        <w:t xml:space="preserve">November </w:t>
      </w:r>
      <w:r w:rsidR="00590EA4">
        <w:rPr>
          <w:rFonts w:ascii="Arial" w:hAnsi="Arial" w:cs="Arial"/>
          <w:szCs w:val="24"/>
          <w:lang w:val="en"/>
        </w:rPr>
        <w:t>13</w:t>
      </w:r>
      <w:r w:rsidR="00406280" w:rsidRPr="00A63DB9">
        <w:rPr>
          <w:rFonts w:ascii="Arial" w:hAnsi="Arial" w:cs="Arial"/>
          <w:szCs w:val="24"/>
          <w:lang w:val="en"/>
        </w:rPr>
        <w:t>, 2024</w:t>
      </w:r>
    </w:p>
    <w:p w14:paraId="5BE73119" w14:textId="0B9B8B7A" w:rsidR="00432314" w:rsidRPr="00A63DB9" w:rsidRDefault="00432314" w:rsidP="00432314">
      <w:pPr>
        <w:spacing w:before="100" w:beforeAutospacing="1" w:after="100" w:afterAutospacing="1"/>
        <w:rPr>
          <w:rFonts w:ascii="Arial" w:hAnsi="Arial" w:cs="Arial"/>
          <w:szCs w:val="24"/>
          <w:lang w:val="en"/>
        </w:rPr>
      </w:pPr>
      <w:r w:rsidRPr="00A63DB9">
        <w:rPr>
          <w:rFonts w:ascii="Arial" w:hAnsi="Arial" w:cs="Arial"/>
          <w:b/>
          <w:bCs/>
          <w:szCs w:val="24"/>
          <w:lang w:val="en"/>
        </w:rPr>
        <w:t>Date Revised:</w:t>
      </w:r>
      <w:r w:rsidRPr="00A63DB9">
        <w:rPr>
          <w:rFonts w:ascii="Arial" w:hAnsi="Arial" w:cs="Arial"/>
          <w:szCs w:val="24"/>
          <w:lang w:val="en"/>
        </w:rPr>
        <w:t xml:space="preserve">  </w:t>
      </w:r>
    </w:p>
    <w:p w14:paraId="610F9269" w14:textId="406B14C7" w:rsidR="00432314" w:rsidRPr="00750398" w:rsidRDefault="00432314" w:rsidP="00750398">
      <w:pPr>
        <w:spacing w:before="100" w:beforeAutospacing="1" w:after="100" w:afterAutospacing="1"/>
        <w:rPr>
          <w:rFonts w:ascii="Arial" w:hAnsi="Arial" w:cs="Arial"/>
          <w:szCs w:val="24"/>
          <w:lang w:val="en"/>
        </w:rPr>
      </w:pPr>
      <w:r w:rsidRPr="00A63DB9">
        <w:rPr>
          <w:rFonts w:ascii="Arial" w:hAnsi="Arial" w:cs="Arial"/>
          <w:b/>
          <w:bCs/>
          <w:szCs w:val="24"/>
          <w:lang w:val="en"/>
        </w:rPr>
        <w:t xml:space="preserve">Scope of Practice: </w:t>
      </w:r>
      <w:r w:rsidR="00A64F0F" w:rsidRPr="00750398">
        <w:rPr>
          <w:rFonts w:ascii="Arial" w:hAnsi="Arial" w:cs="Arial"/>
          <w:szCs w:val="24"/>
          <w:lang w:val="en"/>
        </w:rPr>
        <w:t xml:space="preserve">Certified </w:t>
      </w:r>
      <w:r w:rsidR="00406280" w:rsidRPr="00750398">
        <w:rPr>
          <w:rFonts w:ascii="Arial" w:hAnsi="Arial" w:cs="Arial"/>
          <w:szCs w:val="24"/>
          <w:lang w:val="en"/>
        </w:rPr>
        <w:t>Nurse Practitioner</w:t>
      </w:r>
      <w:r w:rsidR="00A64F0F" w:rsidRPr="00750398">
        <w:rPr>
          <w:rFonts w:ascii="Arial" w:hAnsi="Arial" w:cs="Arial"/>
          <w:szCs w:val="24"/>
          <w:lang w:val="en"/>
        </w:rPr>
        <w:t>s</w:t>
      </w:r>
      <w:r w:rsidR="00BE1165" w:rsidRPr="00750398">
        <w:rPr>
          <w:rFonts w:ascii="Arial" w:hAnsi="Arial" w:cs="Arial"/>
          <w:szCs w:val="24"/>
          <w:lang w:val="en"/>
        </w:rPr>
        <w:t xml:space="preserve"> (CNP</w:t>
      </w:r>
      <w:r w:rsidR="00EE228D" w:rsidRPr="00750398">
        <w:rPr>
          <w:rFonts w:ascii="Arial" w:hAnsi="Arial" w:cs="Arial"/>
          <w:szCs w:val="24"/>
          <w:lang w:val="en"/>
        </w:rPr>
        <w:t>s</w:t>
      </w:r>
      <w:r w:rsidR="00750398" w:rsidRPr="00750398">
        <w:rPr>
          <w:rFonts w:ascii="Arial" w:hAnsi="Arial" w:cs="Arial"/>
          <w:szCs w:val="24"/>
          <w:lang w:val="en"/>
        </w:rPr>
        <w:t>), Psychiatric</w:t>
      </w:r>
      <w:r w:rsidR="00F1526A" w:rsidRPr="00750398">
        <w:rPr>
          <w:rFonts w:ascii="Arial" w:hAnsi="Arial" w:cs="Arial"/>
          <w:szCs w:val="24"/>
          <w:lang w:val="en"/>
        </w:rPr>
        <w:t xml:space="preserve"> Nurse Mental Health </w:t>
      </w:r>
      <w:r w:rsidR="00BE1165" w:rsidRPr="00750398">
        <w:rPr>
          <w:rFonts w:ascii="Arial" w:hAnsi="Arial" w:cs="Arial"/>
          <w:szCs w:val="24"/>
          <w:lang w:val="en"/>
        </w:rPr>
        <w:t>Clinical Specialists</w:t>
      </w:r>
      <w:r w:rsidR="00EE228D" w:rsidRPr="00750398">
        <w:rPr>
          <w:rFonts w:ascii="Arial" w:hAnsi="Arial" w:cs="Arial"/>
          <w:szCs w:val="24"/>
          <w:lang w:val="en"/>
        </w:rPr>
        <w:t xml:space="preserve"> (PCNSs)</w:t>
      </w:r>
      <w:r w:rsidRPr="00750398">
        <w:rPr>
          <w:rFonts w:ascii="Arial" w:hAnsi="Arial" w:cs="Arial"/>
          <w:szCs w:val="24"/>
          <w:lang w:val="en"/>
        </w:rPr>
        <w:br/>
      </w:r>
      <w:r w:rsidRPr="00A63DB9">
        <w:rPr>
          <w:rFonts w:ascii="Arial" w:hAnsi="Arial" w:cs="Arial"/>
          <w:b/>
          <w:bCs/>
          <w:szCs w:val="24"/>
          <w:lang w:val="en"/>
        </w:rPr>
        <w:t xml:space="preserve">Purpose: </w:t>
      </w:r>
      <w:r w:rsidR="0024178F" w:rsidRPr="00750398">
        <w:rPr>
          <w:rFonts w:ascii="Arial" w:hAnsi="Arial" w:cs="Arial"/>
          <w:szCs w:val="24"/>
          <w:lang w:val="en"/>
        </w:rPr>
        <w:t xml:space="preserve">To </w:t>
      </w:r>
      <w:r w:rsidR="007D3A38" w:rsidRPr="00750398">
        <w:rPr>
          <w:rFonts w:ascii="Arial" w:hAnsi="Arial" w:cs="Arial"/>
          <w:szCs w:val="24"/>
          <w:lang w:val="en"/>
        </w:rPr>
        <w:t xml:space="preserve">guide the </w:t>
      </w:r>
      <w:r w:rsidR="004E6142" w:rsidRPr="00750398">
        <w:rPr>
          <w:rFonts w:ascii="Arial" w:hAnsi="Arial" w:cs="Arial"/>
          <w:szCs w:val="24"/>
          <w:lang w:val="en"/>
        </w:rPr>
        <w:t>practice</w:t>
      </w:r>
      <w:r w:rsidR="007D3A38" w:rsidRPr="00750398">
        <w:rPr>
          <w:rFonts w:ascii="Arial" w:hAnsi="Arial" w:cs="Arial"/>
          <w:szCs w:val="24"/>
          <w:lang w:val="en"/>
        </w:rPr>
        <w:t xml:space="preserve"> of </w:t>
      </w:r>
      <w:r w:rsidR="007D5A51">
        <w:rPr>
          <w:rFonts w:ascii="Arial" w:hAnsi="Arial" w:cs="Arial"/>
          <w:szCs w:val="24"/>
          <w:lang w:val="en"/>
        </w:rPr>
        <w:t xml:space="preserve">CNPs and PCNSs </w:t>
      </w:r>
      <w:r w:rsidR="00F026BE" w:rsidRPr="00750398">
        <w:rPr>
          <w:rFonts w:ascii="Arial" w:hAnsi="Arial" w:cs="Arial"/>
          <w:szCs w:val="24"/>
          <w:lang w:val="en"/>
        </w:rPr>
        <w:t>wh</w:t>
      </w:r>
      <w:r w:rsidR="0049315A" w:rsidRPr="00750398">
        <w:rPr>
          <w:rFonts w:ascii="Arial" w:hAnsi="Arial" w:cs="Arial"/>
          <w:szCs w:val="24"/>
          <w:lang w:val="en"/>
        </w:rPr>
        <w:t>en required</w:t>
      </w:r>
      <w:r w:rsidR="00F026BE" w:rsidRPr="00750398">
        <w:rPr>
          <w:rFonts w:ascii="Arial" w:hAnsi="Arial" w:cs="Arial"/>
          <w:szCs w:val="24"/>
          <w:lang w:val="en"/>
        </w:rPr>
        <w:t xml:space="preserve"> </w:t>
      </w:r>
      <w:r w:rsidR="0049315A" w:rsidRPr="00750398">
        <w:rPr>
          <w:rFonts w:ascii="Arial" w:hAnsi="Arial" w:cs="Arial"/>
          <w:szCs w:val="24"/>
          <w:lang w:val="en"/>
        </w:rPr>
        <w:t>to invoke a health care proxy.</w:t>
      </w:r>
    </w:p>
    <w:p w14:paraId="0C7C03F8" w14:textId="1A50D8AB" w:rsidR="00432314" w:rsidRDefault="00432314" w:rsidP="00432314">
      <w:pPr>
        <w:rPr>
          <w:rFonts w:ascii="Arial" w:hAnsi="Arial" w:cs="Arial"/>
          <w:bCs/>
          <w:szCs w:val="24"/>
        </w:rPr>
      </w:pPr>
      <w:r w:rsidRPr="002C2926">
        <w:rPr>
          <w:rFonts w:ascii="Arial" w:hAnsi="Arial" w:cs="Arial"/>
          <w:b/>
          <w:szCs w:val="24"/>
        </w:rPr>
        <w:t>Advisory</w:t>
      </w:r>
      <w:r w:rsidRPr="00A63DB9">
        <w:rPr>
          <w:rFonts w:ascii="Arial" w:hAnsi="Arial" w:cs="Arial"/>
          <w:bCs/>
          <w:szCs w:val="24"/>
        </w:rPr>
        <w:t>:</w:t>
      </w:r>
      <w:r w:rsidR="00540517" w:rsidRPr="00A63DB9">
        <w:rPr>
          <w:rFonts w:ascii="Arial" w:hAnsi="Arial" w:cs="Arial"/>
          <w:bCs/>
          <w:szCs w:val="24"/>
        </w:rPr>
        <w:t xml:space="preserve">  </w:t>
      </w:r>
      <w:r w:rsidR="002608A6">
        <w:rPr>
          <w:rFonts w:ascii="Arial" w:hAnsi="Arial" w:cs="Arial"/>
          <w:bCs/>
          <w:szCs w:val="24"/>
        </w:rPr>
        <w:t>CNPs</w:t>
      </w:r>
      <w:r w:rsidR="009D49D5" w:rsidRPr="00A63DB9">
        <w:rPr>
          <w:rFonts w:ascii="Arial" w:hAnsi="Arial" w:cs="Arial"/>
          <w:bCs/>
          <w:szCs w:val="24"/>
        </w:rPr>
        <w:t xml:space="preserve"> </w:t>
      </w:r>
      <w:r w:rsidR="00172176">
        <w:rPr>
          <w:rFonts w:ascii="Arial" w:hAnsi="Arial" w:cs="Arial"/>
          <w:bCs/>
          <w:szCs w:val="24"/>
        </w:rPr>
        <w:t>and PCNSs</w:t>
      </w:r>
      <w:r w:rsidR="00C63C5F">
        <w:rPr>
          <w:rFonts w:ascii="Arial" w:hAnsi="Arial" w:cs="Arial"/>
          <w:bCs/>
          <w:szCs w:val="24"/>
        </w:rPr>
        <w:t xml:space="preserve"> </w:t>
      </w:r>
      <w:r w:rsidR="0049315A" w:rsidRPr="00A63DB9">
        <w:rPr>
          <w:rFonts w:ascii="Arial" w:hAnsi="Arial" w:cs="Arial"/>
          <w:bCs/>
          <w:szCs w:val="24"/>
        </w:rPr>
        <w:t xml:space="preserve">authorized to practice </w:t>
      </w:r>
      <w:r w:rsidR="00981F63" w:rsidRPr="00A63DB9">
        <w:rPr>
          <w:rFonts w:ascii="Arial" w:hAnsi="Arial" w:cs="Arial"/>
          <w:bCs/>
          <w:szCs w:val="24"/>
        </w:rPr>
        <w:t xml:space="preserve">by the Board will engage in the </w:t>
      </w:r>
      <w:r w:rsidR="00A64F0F" w:rsidRPr="00A63DB9">
        <w:rPr>
          <w:rFonts w:ascii="Arial" w:hAnsi="Arial" w:cs="Arial"/>
          <w:bCs/>
          <w:szCs w:val="24"/>
        </w:rPr>
        <w:t xml:space="preserve">advanced </w:t>
      </w:r>
      <w:r w:rsidR="00981F63" w:rsidRPr="00A63DB9">
        <w:rPr>
          <w:rFonts w:ascii="Arial" w:hAnsi="Arial" w:cs="Arial"/>
          <w:bCs/>
          <w:szCs w:val="24"/>
        </w:rPr>
        <w:t xml:space="preserve">practice of nursing in accordance with accepted professional standards. The nurse must acquire and maintain necessary knowledge, skills, and abilities before assuming duties and responsibilities for performing procedures </w:t>
      </w:r>
      <w:r w:rsidR="00696909" w:rsidRPr="00A63DB9">
        <w:rPr>
          <w:rFonts w:ascii="Arial" w:hAnsi="Arial" w:cs="Arial"/>
          <w:bCs/>
          <w:szCs w:val="24"/>
        </w:rPr>
        <w:t xml:space="preserve">associated with </w:t>
      </w:r>
      <w:r w:rsidR="00A64F0F" w:rsidRPr="00A63DB9">
        <w:rPr>
          <w:rFonts w:ascii="Arial" w:hAnsi="Arial" w:cs="Arial"/>
          <w:bCs/>
          <w:szCs w:val="24"/>
        </w:rPr>
        <w:t>invokement of health care proxies</w:t>
      </w:r>
      <w:r w:rsidR="00696909" w:rsidRPr="00A63DB9">
        <w:rPr>
          <w:rFonts w:ascii="Arial" w:hAnsi="Arial" w:cs="Arial"/>
          <w:bCs/>
          <w:szCs w:val="24"/>
        </w:rPr>
        <w:t>.</w:t>
      </w:r>
    </w:p>
    <w:p w14:paraId="71AC32FA" w14:textId="77777777" w:rsidR="0049034D" w:rsidRDefault="0049034D" w:rsidP="00432314">
      <w:pPr>
        <w:rPr>
          <w:rFonts w:ascii="Arial" w:hAnsi="Arial" w:cs="Arial"/>
          <w:bCs/>
          <w:szCs w:val="24"/>
        </w:rPr>
      </w:pPr>
    </w:p>
    <w:p w14:paraId="3B0D932F" w14:textId="71C9E27F" w:rsidR="009D7D2E" w:rsidRDefault="0049034D" w:rsidP="0049034D">
      <w:pPr>
        <w:rPr>
          <w:rFonts w:ascii="Arial" w:hAnsi="Arial" w:cs="Arial"/>
          <w:bCs/>
          <w:szCs w:val="24"/>
        </w:rPr>
      </w:pPr>
      <w:r w:rsidRPr="00A63DB9">
        <w:rPr>
          <w:rFonts w:ascii="Arial" w:hAnsi="Arial" w:cs="Arial"/>
          <w:bCs/>
          <w:szCs w:val="24"/>
        </w:rPr>
        <w:t xml:space="preserve">Although </w:t>
      </w:r>
      <w:r w:rsidR="00FC0A51">
        <w:rPr>
          <w:rFonts w:ascii="Arial" w:hAnsi="Arial" w:cs="Arial"/>
          <w:bCs/>
          <w:szCs w:val="24"/>
        </w:rPr>
        <w:t>the statute pertaining to health care proxies (</w:t>
      </w:r>
      <w:r w:rsidRPr="00A63DB9">
        <w:rPr>
          <w:rFonts w:ascii="Arial" w:hAnsi="Arial" w:cs="Arial"/>
          <w:bCs/>
          <w:szCs w:val="24"/>
        </w:rPr>
        <w:t xml:space="preserve">MGL Chapter 201D, </w:t>
      </w:r>
      <w:bookmarkStart w:id="0" w:name="_Hlk180580645"/>
      <w:r w:rsidRPr="00A63DB9">
        <w:rPr>
          <w:rFonts w:ascii="Arial" w:hAnsi="Arial" w:cs="Arial"/>
          <w:szCs w:val="24"/>
        </w:rPr>
        <w:t>§</w:t>
      </w:r>
      <w:r w:rsidR="00F07142">
        <w:rPr>
          <w:rFonts w:ascii="Arial" w:hAnsi="Arial" w:cs="Arial"/>
          <w:szCs w:val="24"/>
        </w:rPr>
        <w:t xml:space="preserve"> </w:t>
      </w:r>
      <w:r w:rsidRPr="00A63DB9">
        <w:rPr>
          <w:rFonts w:ascii="Arial" w:hAnsi="Arial" w:cs="Arial"/>
          <w:bCs/>
          <w:szCs w:val="24"/>
        </w:rPr>
        <w:t>6</w:t>
      </w:r>
      <w:bookmarkEnd w:id="0"/>
      <w:r>
        <w:rPr>
          <w:rStyle w:val="FootnoteReference"/>
          <w:rFonts w:ascii="Arial" w:hAnsi="Arial" w:cs="Arial"/>
          <w:bCs/>
          <w:szCs w:val="24"/>
        </w:rPr>
        <w:footnoteReference w:id="1"/>
      </w:r>
      <w:r w:rsidR="00FC0A51">
        <w:rPr>
          <w:rFonts w:ascii="Arial" w:hAnsi="Arial" w:cs="Arial"/>
          <w:bCs/>
          <w:szCs w:val="24"/>
        </w:rPr>
        <w:t>)</w:t>
      </w:r>
      <w:r w:rsidRPr="00A63DB9">
        <w:rPr>
          <w:rFonts w:ascii="Arial" w:hAnsi="Arial" w:cs="Arial"/>
          <w:bCs/>
          <w:szCs w:val="24"/>
        </w:rPr>
        <w:t xml:space="preserve"> states </w:t>
      </w:r>
      <w:r w:rsidR="00682291">
        <w:rPr>
          <w:rFonts w:ascii="Arial" w:hAnsi="Arial" w:cs="Arial"/>
          <w:bCs/>
          <w:szCs w:val="24"/>
        </w:rPr>
        <w:t xml:space="preserve">it is the role of </w:t>
      </w:r>
      <w:r w:rsidRPr="00A63DB9">
        <w:rPr>
          <w:rFonts w:ascii="Arial" w:hAnsi="Arial" w:cs="Arial"/>
          <w:bCs/>
          <w:szCs w:val="24"/>
        </w:rPr>
        <w:t xml:space="preserve">“attending physicians” </w:t>
      </w:r>
      <w:r w:rsidR="00682291">
        <w:rPr>
          <w:rFonts w:ascii="Arial" w:hAnsi="Arial" w:cs="Arial"/>
          <w:bCs/>
          <w:szCs w:val="24"/>
        </w:rPr>
        <w:t xml:space="preserve">to </w:t>
      </w:r>
      <w:r w:rsidRPr="00A63DB9">
        <w:rPr>
          <w:rFonts w:ascii="Arial" w:hAnsi="Arial" w:cs="Arial"/>
          <w:bCs/>
          <w:szCs w:val="24"/>
        </w:rPr>
        <w:t xml:space="preserve">invoke health </w:t>
      </w:r>
      <w:r w:rsidR="004526FB" w:rsidRPr="00A63DB9">
        <w:rPr>
          <w:rFonts w:ascii="Arial" w:hAnsi="Arial" w:cs="Arial"/>
          <w:bCs/>
          <w:szCs w:val="24"/>
        </w:rPr>
        <w:t>proxies, it</w:t>
      </w:r>
      <w:r w:rsidRPr="00A63DB9">
        <w:rPr>
          <w:rFonts w:ascii="Arial" w:hAnsi="Arial" w:cs="Arial"/>
          <w:bCs/>
          <w:szCs w:val="24"/>
        </w:rPr>
        <w:t xml:space="preserve"> is the Board’s position that CNPs and PCNSs</w:t>
      </w:r>
      <w:r w:rsidR="00FC0A51">
        <w:rPr>
          <w:rFonts w:ascii="Arial" w:hAnsi="Arial" w:cs="Arial"/>
          <w:bCs/>
          <w:szCs w:val="24"/>
        </w:rPr>
        <w:t>,</w:t>
      </w:r>
      <w:r w:rsidRPr="00A63DB9">
        <w:rPr>
          <w:rFonts w:ascii="Arial" w:hAnsi="Arial" w:cs="Arial"/>
          <w:bCs/>
          <w:szCs w:val="24"/>
        </w:rPr>
        <w:t xml:space="preserve"> who have attained the required knowledge and competencies</w:t>
      </w:r>
      <w:r w:rsidR="000C11AC">
        <w:rPr>
          <w:rFonts w:ascii="Arial" w:hAnsi="Arial" w:cs="Arial"/>
          <w:bCs/>
          <w:szCs w:val="24"/>
        </w:rPr>
        <w:t>,</w:t>
      </w:r>
      <w:r w:rsidRPr="00A63DB9">
        <w:rPr>
          <w:rFonts w:ascii="Arial" w:hAnsi="Arial" w:cs="Arial"/>
          <w:bCs/>
          <w:szCs w:val="24"/>
        </w:rPr>
        <w:t xml:space="preserve"> may </w:t>
      </w:r>
      <w:r w:rsidR="00FC0A51">
        <w:rPr>
          <w:rFonts w:ascii="Arial" w:hAnsi="Arial" w:cs="Arial"/>
          <w:bCs/>
          <w:szCs w:val="24"/>
        </w:rPr>
        <w:t xml:space="preserve">also </w:t>
      </w:r>
      <w:r w:rsidRPr="00A63DB9">
        <w:rPr>
          <w:rFonts w:ascii="Arial" w:hAnsi="Arial" w:cs="Arial"/>
          <w:bCs/>
          <w:szCs w:val="24"/>
        </w:rPr>
        <w:t xml:space="preserve">invoke health care proxies, in compliance with MGL 112 </w:t>
      </w:r>
      <w:r w:rsidRPr="00A63DB9">
        <w:rPr>
          <w:rFonts w:ascii="Arial" w:hAnsi="Arial" w:cs="Arial"/>
          <w:szCs w:val="24"/>
        </w:rPr>
        <w:t>§</w:t>
      </w:r>
      <w:r w:rsidR="00F07142">
        <w:rPr>
          <w:rFonts w:ascii="Arial" w:hAnsi="Arial" w:cs="Arial"/>
          <w:szCs w:val="24"/>
        </w:rPr>
        <w:t xml:space="preserve"> </w:t>
      </w:r>
      <w:r w:rsidRPr="00A63DB9">
        <w:rPr>
          <w:rFonts w:ascii="Arial" w:hAnsi="Arial" w:cs="Arial"/>
          <w:bCs/>
          <w:szCs w:val="24"/>
        </w:rPr>
        <w:t>80</w:t>
      </w:r>
      <w:r w:rsidR="00F07142">
        <w:rPr>
          <w:rFonts w:ascii="Arial" w:hAnsi="Arial" w:cs="Arial"/>
          <w:bCs/>
          <w:szCs w:val="24"/>
        </w:rPr>
        <w:t>B</w:t>
      </w:r>
      <w:r w:rsidRPr="00A63DB9">
        <w:rPr>
          <w:rFonts w:ascii="Arial" w:hAnsi="Arial" w:cs="Arial"/>
          <w:bCs/>
          <w:szCs w:val="24"/>
        </w:rPr>
        <w:t xml:space="preserve">, </w:t>
      </w:r>
      <w:r w:rsidRPr="00A63DB9">
        <w:rPr>
          <w:rFonts w:ascii="Arial" w:hAnsi="Arial" w:cs="Arial"/>
          <w:szCs w:val="24"/>
        </w:rPr>
        <w:t>§</w:t>
      </w:r>
      <w:r w:rsidR="00F07142">
        <w:rPr>
          <w:rFonts w:ascii="Arial" w:hAnsi="Arial" w:cs="Arial"/>
          <w:szCs w:val="24"/>
        </w:rPr>
        <w:t xml:space="preserve"> </w:t>
      </w:r>
      <w:r w:rsidRPr="00A63DB9">
        <w:rPr>
          <w:rFonts w:ascii="Arial" w:hAnsi="Arial" w:cs="Arial"/>
          <w:bCs/>
          <w:szCs w:val="24"/>
        </w:rPr>
        <w:t>80</w:t>
      </w:r>
      <w:r w:rsidR="00F07142">
        <w:rPr>
          <w:rFonts w:ascii="Arial" w:hAnsi="Arial" w:cs="Arial"/>
          <w:bCs/>
          <w:szCs w:val="24"/>
        </w:rPr>
        <w:t>I</w:t>
      </w:r>
      <w:r w:rsidRPr="00A63DB9">
        <w:rPr>
          <w:rFonts w:ascii="Arial" w:hAnsi="Arial" w:cs="Arial"/>
          <w:bCs/>
          <w:szCs w:val="24"/>
        </w:rPr>
        <w:t xml:space="preserve"> and 244 CMR 4.06 (3)(c).</w:t>
      </w:r>
    </w:p>
    <w:p w14:paraId="722127D4" w14:textId="77777777" w:rsidR="009D7D2E" w:rsidRDefault="009D7D2E" w:rsidP="0049034D">
      <w:pPr>
        <w:rPr>
          <w:rFonts w:ascii="Arial" w:hAnsi="Arial" w:cs="Arial"/>
          <w:bCs/>
          <w:szCs w:val="24"/>
        </w:rPr>
      </w:pPr>
    </w:p>
    <w:p w14:paraId="21DDF69A" w14:textId="04F70896" w:rsidR="0049034D" w:rsidRDefault="009D7D2E" w:rsidP="0049034D">
      <w:pPr>
        <w:rPr>
          <w:rFonts w:ascii="Arial" w:hAnsi="Arial" w:cs="Arial"/>
          <w:b/>
          <w:szCs w:val="24"/>
        </w:rPr>
      </w:pPr>
      <w:r w:rsidRPr="009D7D2E">
        <w:rPr>
          <w:rFonts w:ascii="Arial" w:hAnsi="Arial" w:cs="Arial"/>
          <w:b/>
          <w:szCs w:val="24"/>
        </w:rPr>
        <w:t>Definitions:</w:t>
      </w:r>
      <w:r w:rsidR="0049034D" w:rsidRPr="009D7D2E">
        <w:rPr>
          <w:rFonts w:ascii="Arial" w:hAnsi="Arial" w:cs="Arial"/>
          <w:b/>
          <w:szCs w:val="24"/>
        </w:rPr>
        <w:t xml:space="preserve">  </w:t>
      </w:r>
    </w:p>
    <w:p w14:paraId="6AEAAF02" w14:textId="6B66DDB6" w:rsidR="00A934E0" w:rsidRPr="002B7717" w:rsidRDefault="00A934E0" w:rsidP="0049034D">
      <w:pPr>
        <w:rPr>
          <w:rFonts w:ascii="Arial" w:hAnsi="Arial" w:cs="Arial"/>
          <w:bCs/>
          <w:szCs w:val="24"/>
        </w:rPr>
      </w:pPr>
      <w:r w:rsidRPr="002126EB">
        <w:rPr>
          <w:rFonts w:ascii="Arial" w:hAnsi="Arial" w:cs="Arial"/>
          <w:b/>
          <w:szCs w:val="24"/>
        </w:rPr>
        <w:t>A</w:t>
      </w:r>
      <w:r w:rsidR="002B7717" w:rsidRPr="002126EB">
        <w:rPr>
          <w:rFonts w:ascii="Arial" w:hAnsi="Arial" w:cs="Arial"/>
          <w:b/>
          <w:szCs w:val="24"/>
        </w:rPr>
        <w:t xml:space="preserve">PRN Practice:  </w:t>
      </w:r>
      <w:r w:rsidR="002B7717" w:rsidRPr="002126EB">
        <w:rPr>
          <w:rFonts w:ascii="Arial" w:hAnsi="Arial" w:cs="Arial"/>
          <w:bCs/>
          <w:szCs w:val="24"/>
        </w:rPr>
        <w:t>mean</w:t>
      </w:r>
      <w:r w:rsidR="002126EB" w:rsidRPr="002126EB">
        <w:rPr>
          <w:rFonts w:ascii="Arial" w:hAnsi="Arial" w:cs="Arial"/>
          <w:bCs/>
          <w:szCs w:val="24"/>
        </w:rPr>
        <w:t>s p</w:t>
      </w:r>
      <w:r w:rsidR="002B7717" w:rsidRPr="002126EB">
        <w:rPr>
          <w:rFonts w:ascii="Arial" w:hAnsi="Arial" w:cs="Arial"/>
        </w:rPr>
        <w:t xml:space="preserve">rofessional nursing activities including, but not limited to: advanced assessment, diagnosis, treatment, referrals, consultations, and other modalities for individuals, groups or communities across the life span for health </w:t>
      </w:r>
      <w:r w:rsidR="002B7717" w:rsidRPr="002126EB">
        <w:rPr>
          <w:rFonts w:ascii="Arial" w:hAnsi="Arial" w:cs="Arial"/>
        </w:rPr>
        <w:lastRenderedPageBreak/>
        <w:t>promotion or health maintenance and for those who are experiencing acute or chronic disease, illness, trauma or other life-altering event in which rehabilitative, and/or palliative interventions are necessary, to the extent that those activities lie within the APRN's authorized clinical category, scope of practice competencies, and accepted standards of Advanced Nursing practice</w:t>
      </w:r>
      <w:r w:rsidR="00AF2768">
        <w:rPr>
          <w:rStyle w:val="FootnoteReference"/>
          <w:rFonts w:ascii="Arial" w:hAnsi="Arial" w:cs="Arial"/>
        </w:rPr>
        <w:footnoteReference w:id="2"/>
      </w:r>
      <w:r w:rsidR="002B7717" w:rsidRPr="002126EB">
        <w:rPr>
          <w:rFonts w:ascii="Arial" w:hAnsi="Arial" w:cs="Arial"/>
        </w:rPr>
        <w:t>.</w:t>
      </w:r>
      <w:r w:rsidR="002B7717">
        <w:t xml:space="preserve"> </w:t>
      </w:r>
    </w:p>
    <w:p w14:paraId="0A761812" w14:textId="77777777" w:rsidR="0049034D" w:rsidRPr="00A63DB9" w:rsidRDefault="0049034D" w:rsidP="00432314">
      <w:pPr>
        <w:rPr>
          <w:rFonts w:ascii="Arial" w:hAnsi="Arial" w:cs="Arial"/>
          <w:bCs/>
          <w:szCs w:val="24"/>
        </w:rPr>
      </w:pPr>
    </w:p>
    <w:p w14:paraId="76E41CAD" w14:textId="69030E08" w:rsidR="007943F9" w:rsidRPr="00A63DB9" w:rsidRDefault="00F81733" w:rsidP="00432314">
      <w:pPr>
        <w:rPr>
          <w:rFonts w:ascii="Arial" w:hAnsi="Arial" w:cs="Arial"/>
          <w:szCs w:val="24"/>
        </w:rPr>
      </w:pPr>
      <w:r w:rsidRPr="007047E8">
        <w:rPr>
          <w:rFonts w:ascii="Arial" w:hAnsi="Arial" w:cs="Arial"/>
          <w:b/>
          <w:szCs w:val="24"/>
        </w:rPr>
        <w:t>Massachusetts General Law (MGL) Chapter 112</w:t>
      </w:r>
      <w:r w:rsidR="00181EC8" w:rsidRPr="007047E8">
        <w:rPr>
          <w:rFonts w:ascii="Arial" w:hAnsi="Arial" w:cs="Arial"/>
          <w:b/>
          <w:szCs w:val="24"/>
        </w:rPr>
        <w:t xml:space="preserve"> </w:t>
      </w:r>
      <w:bookmarkStart w:id="1" w:name="_Hlk180580024"/>
      <w:r w:rsidR="00181EC8" w:rsidRPr="007047E8">
        <w:rPr>
          <w:rFonts w:ascii="Arial" w:hAnsi="Arial" w:cs="Arial"/>
          <w:b/>
          <w:szCs w:val="24"/>
        </w:rPr>
        <w:t>§</w:t>
      </w:r>
      <w:bookmarkEnd w:id="1"/>
      <w:r w:rsidR="00F07142">
        <w:rPr>
          <w:rFonts w:ascii="Arial" w:hAnsi="Arial" w:cs="Arial"/>
          <w:b/>
          <w:szCs w:val="24"/>
        </w:rPr>
        <w:t xml:space="preserve"> </w:t>
      </w:r>
      <w:r w:rsidR="00181EC8" w:rsidRPr="007047E8">
        <w:rPr>
          <w:rFonts w:ascii="Arial" w:hAnsi="Arial" w:cs="Arial"/>
          <w:b/>
          <w:szCs w:val="24"/>
        </w:rPr>
        <w:t>80</w:t>
      </w:r>
      <w:r w:rsidR="00F07142">
        <w:rPr>
          <w:rFonts w:ascii="Arial" w:hAnsi="Arial" w:cs="Arial"/>
          <w:b/>
          <w:szCs w:val="24"/>
        </w:rPr>
        <w:t>B</w:t>
      </w:r>
      <w:r w:rsidR="00A31E37" w:rsidRPr="00A63DB9">
        <w:rPr>
          <w:rStyle w:val="FootnoteReference"/>
          <w:rFonts w:ascii="Arial" w:hAnsi="Arial" w:cs="Arial"/>
          <w:szCs w:val="24"/>
        </w:rPr>
        <w:footnoteReference w:id="3"/>
      </w:r>
      <w:r w:rsidR="00181EC8" w:rsidRPr="00A63DB9">
        <w:rPr>
          <w:rFonts w:ascii="Arial" w:hAnsi="Arial" w:cs="Arial"/>
          <w:szCs w:val="24"/>
        </w:rPr>
        <w:t xml:space="preserve"> states:  </w:t>
      </w:r>
    </w:p>
    <w:p w14:paraId="111D8184" w14:textId="15BBF182" w:rsidR="00003F55" w:rsidRPr="00A63DB9" w:rsidRDefault="00003F55" w:rsidP="00F53922">
      <w:pPr>
        <w:ind w:left="720"/>
        <w:rPr>
          <w:rFonts w:ascii="Arial" w:hAnsi="Arial" w:cs="Arial"/>
          <w:bCs/>
          <w:szCs w:val="24"/>
        </w:rPr>
      </w:pPr>
      <w:r w:rsidRPr="00A63DB9">
        <w:rPr>
          <w:rFonts w:ascii="Arial" w:hAnsi="Arial" w:cs="Arial"/>
          <w:szCs w:val="24"/>
        </w:rPr>
        <w:t>“</w:t>
      </w:r>
      <w:r w:rsidRPr="00A63DB9">
        <w:rPr>
          <w:rFonts w:ascii="Arial" w:hAnsi="Arial" w:cs="Arial"/>
          <w:color w:val="333333"/>
          <w:szCs w:val="24"/>
          <w:shd w:val="clear" w:color="auto" w:fill="FFFFFF"/>
        </w:rPr>
        <w:t>The standards of care to which nurses in advanced practice shall be held, shall be those standards which protect consumers, and provide them with safe and comprehensive care, and shall be standards comparable to other professionals, including physicians, providing the same services.</w:t>
      </w:r>
      <w:r w:rsidR="00F53922" w:rsidRPr="00A63DB9">
        <w:rPr>
          <w:rFonts w:ascii="Arial" w:hAnsi="Arial" w:cs="Arial"/>
          <w:color w:val="333333"/>
          <w:szCs w:val="24"/>
          <w:shd w:val="clear" w:color="auto" w:fill="FFFFFF"/>
        </w:rPr>
        <w:t>”</w:t>
      </w:r>
    </w:p>
    <w:p w14:paraId="711CBFA6" w14:textId="77777777" w:rsidR="0089747B" w:rsidRDefault="0089747B" w:rsidP="00432314">
      <w:pPr>
        <w:rPr>
          <w:rFonts w:ascii="Arial" w:hAnsi="Arial" w:cs="Arial"/>
          <w:bCs/>
          <w:szCs w:val="24"/>
        </w:rPr>
      </w:pPr>
    </w:p>
    <w:p w14:paraId="594C47E5" w14:textId="353E3853" w:rsidR="00816CBF" w:rsidRPr="00A63DB9" w:rsidRDefault="00F53922" w:rsidP="00432314">
      <w:pPr>
        <w:rPr>
          <w:rFonts w:ascii="Arial" w:hAnsi="Arial" w:cs="Arial"/>
          <w:bCs/>
          <w:szCs w:val="24"/>
        </w:rPr>
      </w:pPr>
      <w:r w:rsidRPr="007047E8">
        <w:rPr>
          <w:rFonts w:ascii="Arial" w:hAnsi="Arial" w:cs="Arial"/>
          <w:b/>
          <w:szCs w:val="24"/>
        </w:rPr>
        <w:t xml:space="preserve">MGL </w:t>
      </w:r>
      <w:r w:rsidR="004152C2" w:rsidRPr="007047E8">
        <w:rPr>
          <w:rFonts w:ascii="Arial" w:hAnsi="Arial" w:cs="Arial"/>
          <w:b/>
          <w:szCs w:val="24"/>
        </w:rPr>
        <w:t xml:space="preserve">c. 112 </w:t>
      </w:r>
      <w:r w:rsidR="00D53F04" w:rsidRPr="007047E8">
        <w:rPr>
          <w:rFonts w:ascii="Arial" w:hAnsi="Arial" w:cs="Arial"/>
          <w:b/>
          <w:szCs w:val="24"/>
        </w:rPr>
        <w:t>§</w:t>
      </w:r>
      <w:r w:rsidR="00F07142">
        <w:rPr>
          <w:rFonts w:ascii="Arial" w:hAnsi="Arial" w:cs="Arial"/>
          <w:b/>
          <w:szCs w:val="24"/>
        </w:rPr>
        <w:t xml:space="preserve"> </w:t>
      </w:r>
      <w:r w:rsidR="004152C2" w:rsidRPr="007047E8">
        <w:rPr>
          <w:rFonts w:ascii="Arial" w:hAnsi="Arial" w:cs="Arial"/>
          <w:b/>
          <w:szCs w:val="24"/>
        </w:rPr>
        <w:t>80</w:t>
      </w:r>
      <w:r w:rsidR="00F07142">
        <w:rPr>
          <w:rFonts w:ascii="Arial" w:hAnsi="Arial" w:cs="Arial"/>
          <w:b/>
          <w:szCs w:val="24"/>
        </w:rPr>
        <w:t>I</w:t>
      </w:r>
      <w:r w:rsidR="00F0408F" w:rsidRPr="00A63DB9">
        <w:rPr>
          <w:rStyle w:val="FootnoteReference"/>
          <w:rFonts w:ascii="Arial" w:hAnsi="Arial" w:cs="Arial"/>
          <w:bCs/>
          <w:szCs w:val="24"/>
        </w:rPr>
        <w:footnoteReference w:id="4"/>
      </w:r>
      <w:r w:rsidR="004152C2" w:rsidRPr="00A63DB9">
        <w:rPr>
          <w:rFonts w:ascii="Arial" w:hAnsi="Arial" w:cs="Arial"/>
          <w:bCs/>
          <w:szCs w:val="24"/>
        </w:rPr>
        <w:t xml:space="preserve"> further states:</w:t>
      </w:r>
    </w:p>
    <w:p w14:paraId="5978E7C2" w14:textId="03A582C2" w:rsidR="004152C2" w:rsidRDefault="007C4E4B" w:rsidP="007C4E4B">
      <w:pPr>
        <w:ind w:left="720"/>
        <w:rPr>
          <w:rFonts w:ascii="Arial" w:hAnsi="Arial" w:cs="Arial"/>
          <w:color w:val="333333"/>
          <w:szCs w:val="24"/>
          <w:shd w:val="clear" w:color="auto" w:fill="FFFFFF"/>
        </w:rPr>
      </w:pPr>
      <w:r w:rsidRPr="00A63DB9">
        <w:rPr>
          <w:rFonts w:ascii="Arial" w:hAnsi="Arial" w:cs="Arial"/>
          <w:bCs/>
          <w:szCs w:val="24"/>
        </w:rPr>
        <w:t>“</w:t>
      </w:r>
      <w:r w:rsidRPr="00A63DB9">
        <w:rPr>
          <w:rFonts w:ascii="Arial" w:hAnsi="Arial" w:cs="Arial"/>
          <w:color w:val="333333"/>
          <w:szCs w:val="24"/>
          <w:shd w:val="clear" w:color="auto" w:fill="FFFFFF"/>
        </w:rPr>
        <w:t>When a law or rule requires a signature, certification, stamp, verification, affidavit or endorsement by a physician, when relating to physical or mental health, that requirement may be fulfilled by a nurse practitioner or psychiatric nurse mental health clinical specialist practicing under section 80B”.</w:t>
      </w:r>
    </w:p>
    <w:p w14:paraId="44E87D1F" w14:textId="77777777" w:rsidR="00F07142" w:rsidRPr="00A63DB9" w:rsidRDefault="00F07142" w:rsidP="007C4E4B">
      <w:pPr>
        <w:ind w:left="720"/>
        <w:rPr>
          <w:rFonts w:ascii="Arial" w:hAnsi="Arial" w:cs="Arial"/>
          <w:color w:val="333333"/>
          <w:szCs w:val="24"/>
          <w:shd w:val="clear" w:color="auto" w:fill="FFFFFF"/>
        </w:rPr>
      </w:pPr>
    </w:p>
    <w:p w14:paraId="04C91D96" w14:textId="2F03A5D0" w:rsidR="004D6348" w:rsidRPr="00A63DB9" w:rsidRDefault="00D8763A" w:rsidP="004D6348">
      <w:pPr>
        <w:rPr>
          <w:rFonts w:ascii="Arial" w:hAnsi="Arial" w:cs="Arial"/>
          <w:color w:val="333333"/>
          <w:szCs w:val="24"/>
          <w:shd w:val="clear" w:color="auto" w:fill="FFFFFF"/>
        </w:rPr>
      </w:pPr>
      <w:r w:rsidRPr="00A63DB9">
        <w:rPr>
          <w:rFonts w:ascii="Arial" w:hAnsi="Arial" w:cs="Arial"/>
          <w:color w:val="333333"/>
          <w:szCs w:val="24"/>
          <w:shd w:val="clear" w:color="auto" w:fill="FFFFFF"/>
        </w:rPr>
        <w:t xml:space="preserve"> </w:t>
      </w:r>
      <w:r w:rsidRPr="007047E8">
        <w:rPr>
          <w:rFonts w:ascii="Arial" w:hAnsi="Arial" w:cs="Arial"/>
          <w:b/>
          <w:bCs/>
          <w:color w:val="333333"/>
          <w:szCs w:val="24"/>
          <w:shd w:val="clear" w:color="auto" w:fill="FFFFFF"/>
        </w:rPr>
        <w:t>244 CMR 4.06 (3)</w:t>
      </w:r>
      <w:r w:rsidR="00AA078B" w:rsidRPr="007047E8">
        <w:rPr>
          <w:rFonts w:ascii="Arial" w:hAnsi="Arial" w:cs="Arial"/>
          <w:b/>
          <w:bCs/>
          <w:color w:val="333333"/>
          <w:szCs w:val="24"/>
          <w:shd w:val="clear" w:color="auto" w:fill="FFFFFF"/>
        </w:rPr>
        <w:t>(</w:t>
      </w:r>
      <w:r w:rsidR="0022028C" w:rsidRPr="007047E8">
        <w:rPr>
          <w:rFonts w:ascii="Arial" w:hAnsi="Arial" w:cs="Arial"/>
          <w:b/>
          <w:bCs/>
          <w:color w:val="333333"/>
          <w:szCs w:val="24"/>
          <w:shd w:val="clear" w:color="auto" w:fill="FFFFFF"/>
        </w:rPr>
        <w:t>c)</w:t>
      </w:r>
      <w:r w:rsidR="00EC0DAC" w:rsidRPr="00A63DB9">
        <w:rPr>
          <w:rStyle w:val="FootnoteReference"/>
          <w:rFonts w:ascii="Arial" w:hAnsi="Arial" w:cs="Arial"/>
          <w:color w:val="333333"/>
          <w:szCs w:val="24"/>
          <w:shd w:val="clear" w:color="auto" w:fill="FFFFFF"/>
        </w:rPr>
        <w:footnoteReference w:id="5"/>
      </w:r>
      <w:r w:rsidR="00AA078B" w:rsidRPr="00A63DB9">
        <w:rPr>
          <w:rFonts w:ascii="Arial" w:hAnsi="Arial" w:cs="Arial"/>
          <w:color w:val="333333"/>
          <w:szCs w:val="24"/>
          <w:shd w:val="clear" w:color="auto" w:fill="FFFFFF"/>
        </w:rPr>
        <w:t xml:space="preserve"> states:</w:t>
      </w:r>
    </w:p>
    <w:p w14:paraId="5F03D571" w14:textId="26FB3C0F" w:rsidR="005B5DE8" w:rsidRPr="00A63DB9" w:rsidRDefault="005B5DE8" w:rsidP="005B5DE8">
      <w:pPr>
        <w:ind w:left="720"/>
        <w:rPr>
          <w:rFonts w:ascii="Arial" w:hAnsi="Arial" w:cs="Arial"/>
          <w:bCs/>
          <w:szCs w:val="24"/>
        </w:rPr>
      </w:pPr>
      <w:r w:rsidRPr="00A63DB9">
        <w:rPr>
          <w:rFonts w:ascii="Arial" w:hAnsi="Arial" w:cs="Arial"/>
          <w:szCs w:val="24"/>
        </w:rPr>
        <w:t>“Pursuant to M.G.L. c. 112, § 80I, when a law or rule requires a signature, certification, stamp, verification, affidavit or endorsement by a physician, when relating to physical or mental health, that requirement may be fulfilled by a CNP, provided that the signature, certification, stamp, verification, affidavit, or endorsement is consistent with established scope of practice standards and does not expand the scope of practice of the CNP”.</w:t>
      </w:r>
    </w:p>
    <w:p w14:paraId="7A34BBE9" w14:textId="77777777" w:rsidR="004D6348" w:rsidRPr="00A63DB9" w:rsidRDefault="004D6348" w:rsidP="005B5DE8">
      <w:pPr>
        <w:ind w:left="720"/>
        <w:rPr>
          <w:rFonts w:ascii="Arial" w:hAnsi="Arial" w:cs="Arial"/>
          <w:bCs/>
          <w:szCs w:val="24"/>
        </w:rPr>
      </w:pPr>
    </w:p>
    <w:p w14:paraId="7D83611C" w14:textId="34317140" w:rsidR="00432314" w:rsidRPr="00A63DB9" w:rsidRDefault="00432314" w:rsidP="00432314">
      <w:pPr>
        <w:rPr>
          <w:rFonts w:ascii="Arial" w:hAnsi="Arial" w:cs="Arial"/>
          <w:b/>
          <w:szCs w:val="24"/>
        </w:rPr>
      </w:pPr>
    </w:p>
    <w:p w14:paraId="6F3E51AD" w14:textId="3EEEFABB" w:rsidR="00F204F6" w:rsidRPr="00A63DB9" w:rsidRDefault="00F204F6" w:rsidP="00432314">
      <w:pPr>
        <w:rPr>
          <w:rFonts w:ascii="Arial" w:hAnsi="Arial" w:cs="Arial"/>
          <w:szCs w:val="24"/>
        </w:rPr>
      </w:pPr>
    </w:p>
    <w:sectPr w:rsidR="00F204F6" w:rsidRPr="00A63D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00B34" w14:textId="77777777" w:rsidR="00A31E37" w:rsidRDefault="00A31E37" w:rsidP="00A31E37">
      <w:r>
        <w:separator/>
      </w:r>
    </w:p>
  </w:endnote>
  <w:endnote w:type="continuationSeparator" w:id="0">
    <w:p w14:paraId="6055D81D" w14:textId="77777777" w:rsidR="00A31E37" w:rsidRDefault="00A31E37" w:rsidP="00A3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3EA7E" w14:textId="77777777" w:rsidR="00A31E37" w:rsidRDefault="00A31E37" w:rsidP="00A31E37">
      <w:r>
        <w:separator/>
      </w:r>
    </w:p>
  </w:footnote>
  <w:footnote w:type="continuationSeparator" w:id="0">
    <w:p w14:paraId="2C692D83" w14:textId="77777777" w:rsidR="00A31E37" w:rsidRDefault="00A31E37" w:rsidP="00A31E37">
      <w:r>
        <w:continuationSeparator/>
      </w:r>
    </w:p>
  </w:footnote>
  <w:footnote w:id="1">
    <w:p w14:paraId="5B4A35C1" w14:textId="1C9BA0C6" w:rsidR="0049034D" w:rsidRPr="00D90DD2" w:rsidRDefault="0049034D" w:rsidP="0049034D">
      <w:pPr>
        <w:pStyle w:val="FootnoteText"/>
        <w:rPr>
          <w:bCs/>
        </w:rPr>
      </w:pPr>
      <w:r>
        <w:rPr>
          <w:rStyle w:val="FootnoteReference"/>
        </w:rPr>
        <w:footnoteRef/>
      </w:r>
      <w:r>
        <w:t xml:space="preserve"> Massachusetts General Law Chapter 201D</w:t>
      </w:r>
      <w:r w:rsidRPr="00F07142">
        <w:t xml:space="preserve">, </w:t>
      </w:r>
      <w:r w:rsidRPr="008F16D8">
        <w:t>§</w:t>
      </w:r>
      <w:r w:rsidR="00F07142" w:rsidRPr="008F16D8">
        <w:t xml:space="preserve"> </w:t>
      </w:r>
      <w:r w:rsidRPr="008F16D8">
        <w:rPr>
          <w:bCs/>
        </w:rPr>
        <w:t>6</w:t>
      </w:r>
      <w:r>
        <w:rPr>
          <w:rFonts w:ascii="Arial" w:hAnsi="Arial" w:cs="Arial"/>
          <w:bCs/>
          <w:sz w:val="24"/>
          <w:szCs w:val="24"/>
        </w:rPr>
        <w:t xml:space="preserve"> </w:t>
      </w:r>
      <w:r w:rsidRPr="00D90DD2">
        <w:rPr>
          <w:bCs/>
        </w:rPr>
        <w:t xml:space="preserve">Accessed at </w:t>
      </w:r>
    </w:p>
    <w:p w14:paraId="48FD15B7" w14:textId="77777777" w:rsidR="0049034D" w:rsidRPr="00D90DD2" w:rsidRDefault="0049034D" w:rsidP="0049034D">
      <w:pPr>
        <w:pStyle w:val="FootnoteText"/>
        <w:ind w:left="720"/>
      </w:pPr>
      <w:hyperlink r:id="rId1" w:history="1">
        <w:r w:rsidRPr="00BC029C">
          <w:rPr>
            <w:rStyle w:val="Hyperlink"/>
            <w:bCs/>
          </w:rPr>
          <w:t>https://malegislature.gov/Laws/GeneralLaws/PartII/TitleII/Chapter201D</w:t>
        </w:r>
      </w:hyperlink>
      <w:r>
        <w:rPr>
          <w:bCs/>
        </w:rPr>
        <w:t xml:space="preserve"> </w:t>
      </w:r>
    </w:p>
  </w:footnote>
  <w:footnote w:id="2">
    <w:p w14:paraId="0881F299" w14:textId="38D05BBA" w:rsidR="009639DA" w:rsidRPr="007047E8" w:rsidRDefault="00AF2768">
      <w:pPr>
        <w:pStyle w:val="FootnoteText"/>
      </w:pPr>
      <w:r>
        <w:rPr>
          <w:rStyle w:val="FootnoteReference"/>
        </w:rPr>
        <w:footnoteRef/>
      </w:r>
      <w:r>
        <w:t xml:space="preserve"> </w:t>
      </w:r>
      <w:r w:rsidR="0041374F" w:rsidRPr="007047E8">
        <w:t xml:space="preserve">Massachusetts Board of Registration in Nursing. Definitions and Severability. </w:t>
      </w:r>
      <w:r w:rsidR="00B33307" w:rsidRPr="007047E8">
        <w:t>244 CMR 10</w:t>
      </w:r>
      <w:r w:rsidR="005C0A0D">
        <w:t>.</w:t>
      </w:r>
      <w:r w:rsidR="00B33307" w:rsidRPr="007047E8">
        <w:t>00</w:t>
      </w:r>
      <w:r w:rsidR="009639DA" w:rsidRPr="007047E8">
        <w:t xml:space="preserve">. </w:t>
      </w:r>
      <w:r w:rsidR="0041374F" w:rsidRPr="007047E8">
        <w:t xml:space="preserve">Accessed at </w:t>
      </w:r>
    </w:p>
    <w:p w14:paraId="1CDC2837" w14:textId="3064C096" w:rsidR="005C0A0D" w:rsidRPr="007047E8" w:rsidRDefault="005C0A0D" w:rsidP="005C0A0D">
      <w:pPr>
        <w:pStyle w:val="FootnoteText"/>
        <w:ind w:left="720"/>
      </w:pPr>
      <w:hyperlink r:id="rId2" w:history="1">
        <w:r w:rsidRPr="00EC57A6">
          <w:rPr>
            <w:rStyle w:val="Hyperlink"/>
          </w:rPr>
          <w:t>https://www.mass.gov/doc/244-cmr-1000-definitions-and-severability/download</w:t>
        </w:r>
      </w:hyperlink>
    </w:p>
  </w:footnote>
  <w:footnote w:id="3">
    <w:p w14:paraId="6DCD5AD5" w14:textId="2C5BCFE7" w:rsidR="00F0408F" w:rsidRPr="007047E8" w:rsidRDefault="00A31E37">
      <w:pPr>
        <w:pStyle w:val="FootnoteText"/>
      </w:pPr>
      <w:r w:rsidRPr="007047E8">
        <w:rPr>
          <w:rStyle w:val="FootnoteReference"/>
        </w:rPr>
        <w:footnoteRef/>
      </w:r>
      <w:r w:rsidRPr="007047E8">
        <w:t xml:space="preserve"> </w:t>
      </w:r>
      <w:r w:rsidRPr="007047E8">
        <w:rPr>
          <w:bCs/>
        </w:rPr>
        <w:t xml:space="preserve">Massachusetts General Law (MGL) Chapter 112 </w:t>
      </w:r>
      <w:r w:rsidRPr="007047E8">
        <w:t>§</w:t>
      </w:r>
      <w:r w:rsidR="005C0A0D">
        <w:t xml:space="preserve"> </w:t>
      </w:r>
      <w:r w:rsidRPr="007047E8">
        <w:t>80</w:t>
      </w:r>
      <w:r w:rsidR="00F07142">
        <w:t>B</w:t>
      </w:r>
      <w:r w:rsidR="00FD39A8" w:rsidRPr="007047E8">
        <w:t xml:space="preserve">.  Accessed at </w:t>
      </w:r>
    </w:p>
    <w:p w14:paraId="7D354F4C" w14:textId="31FE621D" w:rsidR="00A31E37" w:rsidRPr="007047E8" w:rsidRDefault="00F0408F" w:rsidP="00F0408F">
      <w:pPr>
        <w:pStyle w:val="FootnoteText"/>
        <w:ind w:firstLine="720"/>
      </w:pPr>
      <w:hyperlink r:id="rId3" w:history="1">
        <w:r w:rsidRPr="007047E8">
          <w:rPr>
            <w:rStyle w:val="Hyperlink"/>
          </w:rPr>
          <w:t>https://malegislature.gov/laws/generallaws/parti/titlexvi/chapter112/section80b</w:t>
        </w:r>
      </w:hyperlink>
      <w:r w:rsidR="00FD39A8" w:rsidRPr="007047E8">
        <w:t xml:space="preserve"> </w:t>
      </w:r>
    </w:p>
  </w:footnote>
  <w:footnote w:id="4">
    <w:p w14:paraId="56389012" w14:textId="5943A8E2" w:rsidR="009C1123" w:rsidRPr="007047E8" w:rsidRDefault="00F0408F">
      <w:pPr>
        <w:pStyle w:val="FootnoteText"/>
      </w:pPr>
      <w:r w:rsidRPr="007047E8">
        <w:rPr>
          <w:rStyle w:val="FootnoteReference"/>
        </w:rPr>
        <w:footnoteRef/>
      </w:r>
      <w:r w:rsidRPr="007047E8">
        <w:t xml:space="preserve"> </w:t>
      </w:r>
      <w:r w:rsidR="009D27A4" w:rsidRPr="007047E8">
        <w:rPr>
          <w:bCs/>
        </w:rPr>
        <w:t xml:space="preserve">Massachusetts General Law (MGL) Chapter 112 </w:t>
      </w:r>
      <w:r w:rsidR="009D27A4" w:rsidRPr="007047E8">
        <w:t>§</w:t>
      </w:r>
      <w:r w:rsidR="005C0A0D">
        <w:t xml:space="preserve"> </w:t>
      </w:r>
      <w:r w:rsidR="009D27A4" w:rsidRPr="007047E8">
        <w:t>80</w:t>
      </w:r>
      <w:r w:rsidR="00F07142">
        <w:t>I</w:t>
      </w:r>
      <w:r w:rsidR="009D27A4" w:rsidRPr="007047E8">
        <w:t>.  Accessed at</w:t>
      </w:r>
      <w:r w:rsidR="009C1123" w:rsidRPr="007047E8">
        <w:t xml:space="preserve"> </w:t>
      </w:r>
    </w:p>
    <w:p w14:paraId="00F3D142" w14:textId="4D4D9B34" w:rsidR="009C1123" w:rsidRPr="007047E8" w:rsidRDefault="009C1123" w:rsidP="007047E8">
      <w:pPr>
        <w:pStyle w:val="FootnoteText"/>
        <w:ind w:left="720"/>
      </w:pPr>
      <w:hyperlink r:id="rId4" w:history="1">
        <w:r w:rsidRPr="007047E8">
          <w:rPr>
            <w:rStyle w:val="Hyperlink"/>
          </w:rPr>
          <w:t>https://malegislature.gov/Laws/GeneralLaws/PartI/TitleXVI/Chapter112/Section80I</w:t>
        </w:r>
      </w:hyperlink>
    </w:p>
  </w:footnote>
  <w:footnote w:id="5">
    <w:p w14:paraId="66B0D66D" w14:textId="4CE481ED" w:rsidR="00A63DB9" w:rsidRPr="007047E8" w:rsidRDefault="00EC0DAC" w:rsidP="009639DA">
      <w:pPr>
        <w:pStyle w:val="FootnoteText"/>
      </w:pPr>
      <w:r w:rsidRPr="007047E8">
        <w:rPr>
          <w:rStyle w:val="FootnoteReference"/>
        </w:rPr>
        <w:footnoteRef/>
      </w:r>
      <w:r w:rsidRPr="007047E8">
        <w:t xml:space="preserve"> Massachusetts Board of Registration in Nursing</w:t>
      </w:r>
      <w:r w:rsidR="00BC514D" w:rsidRPr="007047E8">
        <w:t xml:space="preserve">. Advanced Practice Registered Nurses. 244 CMR 4.06 (3)(c).  </w:t>
      </w:r>
    </w:p>
    <w:p w14:paraId="179F1FE6" w14:textId="05F32024" w:rsidR="00EC0DAC" w:rsidRPr="007047E8" w:rsidRDefault="00BC514D" w:rsidP="009639DA">
      <w:pPr>
        <w:pStyle w:val="FootnoteText"/>
        <w:ind w:left="720"/>
      </w:pPr>
      <w:r w:rsidRPr="007047E8">
        <w:t xml:space="preserve">Accessed at </w:t>
      </w:r>
      <w:hyperlink r:id="rId5" w:history="1">
        <w:r w:rsidR="00D90DD2" w:rsidRPr="007047E8">
          <w:rPr>
            <w:rStyle w:val="Hyperlink"/>
          </w:rPr>
          <w:t>https://www.mass.gov/doc/244-cmr-4-advanced-practice-registered-nursing/download</w:t>
        </w:r>
      </w:hyperlink>
      <w:r w:rsidR="00D90DD2" w:rsidRPr="007047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842FD" w14:textId="09B7BF59" w:rsidR="00594AA3" w:rsidRDefault="0059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0372F"/>
    <w:multiLevelType w:val="hybridMultilevel"/>
    <w:tmpl w:val="92B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59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3F55"/>
    <w:rsid w:val="000B5DDC"/>
    <w:rsid w:val="000C11AC"/>
    <w:rsid w:val="000E02B7"/>
    <w:rsid w:val="0011272D"/>
    <w:rsid w:val="00172176"/>
    <w:rsid w:val="00181EC8"/>
    <w:rsid w:val="002126EB"/>
    <w:rsid w:val="0022028C"/>
    <w:rsid w:val="00225863"/>
    <w:rsid w:val="0024178F"/>
    <w:rsid w:val="002608A6"/>
    <w:rsid w:val="002810A7"/>
    <w:rsid w:val="002B7717"/>
    <w:rsid w:val="002C2926"/>
    <w:rsid w:val="002F0F88"/>
    <w:rsid w:val="00392D4A"/>
    <w:rsid w:val="003E6357"/>
    <w:rsid w:val="003E6807"/>
    <w:rsid w:val="00406280"/>
    <w:rsid w:val="0041374F"/>
    <w:rsid w:val="004152C2"/>
    <w:rsid w:val="00432314"/>
    <w:rsid w:val="004526FB"/>
    <w:rsid w:val="00484901"/>
    <w:rsid w:val="0049034D"/>
    <w:rsid w:val="0049315A"/>
    <w:rsid w:val="004A0466"/>
    <w:rsid w:val="004B41C9"/>
    <w:rsid w:val="004C247A"/>
    <w:rsid w:val="004C2FBF"/>
    <w:rsid w:val="004D6348"/>
    <w:rsid w:val="004E6142"/>
    <w:rsid w:val="0053437B"/>
    <w:rsid w:val="00540517"/>
    <w:rsid w:val="00590EA4"/>
    <w:rsid w:val="00594AA3"/>
    <w:rsid w:val="005B5DE8"/>
    <w:rsid w:val="005C0A0D"/>
    <w:rsid w:val="00633E7C"/>
    <w:rsid w:val="00640E1C"/>
    <w:rsid w:val="00641DC0"/>
    <w:rsid w:val="00660C3B"/>
    <w:rsid w:val="006703DF"/>
    <w:rsid w:val="00671A9A"/>
    <w:rsid w:val="00682291"/>
    <w:rsid w:val="00696909"/>
    <w:rsid w:val="006B0162"/>
    <w:rsid w:val="006B4C03"/>
    <w:rsid w:val="006C4CFF"/>
    <w:rsid w:val="006C66CE"/>
    <w:rsid w:val="006E2524"/>
    <w:rsid w:val="007047E8"/>
    <w:rsid w:val="00740532"/>
    <w:rsid w:val="00750398"/>
    <w:rsid w:val="007775FC"/>
    <w:rsid w:val="007943F9"/>
    <w:rsid w:val="007C4E4B"/>
    <w:rsid w:val="007C7550"/>
    <w:rsid w:val="007D3A38"/>
    <w:rsid w:val="007D5A51"/>
    <w:rsid w:val="00816CBF"/>
    <w:rsid w:val="00831946"/>
    <w:rsid w:val="00892CA5"/>
    <w:rsid w:val="0089747B"/>
    <w:rsid w:val="008F16D8"/>
    <w:rsid w:val="00941B1D"/>
    <w:rsid w:val="009639DA"/>
    <w:rsid w:val="00981F63"/>
    <w:rsid w:val="00983381"/>
    <w:rsid w:val="009976AD"/>
    <w:rsid w:val="009B0851"/>
    <w:rsid w:val="009C1123"/>
    <w:rsid w:val="009C2CE0"/>
    <w:rsid w:val="009D27A4"/>
    <w:rsid w:val="009D49D5"/>
    <w:rsid w:val="009D7D2E"/>
    <w:rsid w:val="00A31E37"/>
    <w:rsid w:val="00A36B89"/>
    <w:rsid w:val="00A63DB9"/>
    <w:rsid w:val="00A64F0F"/>
    <w:rsid w:val="00A934E0"/>
    <w:rsid w:val="00AA078B"/>
    <w:rsid w:val="00AB0758"/>
    <w:rsid w:val="00AF2768"/>
    <w:rsid w:val="00B24D38"/>
    <w:rsid w:val="00B33307"/>
    <w:rsid w:val="00BC514D"/>
    <w:rsid w:val="00BD542C"/>
    <w:rsid w:val="00BE1165"/>
    <w:rsid w:val="00C104A7"/>
    <w:rsid w:val="00C63C5F"/>
    <w:rsid w:val="00CA4C81"/>
    <w:rsid w:val="00CC53CA"/>
    <w:rsid w:val="00D171E3"/>
    <w:rsid w:val="00D340EC"/>
    <w:rsid w:val="00D53F04"/>
    <w:rsid w:val="00D8763A"/>
    <w:rsid w:val="00D90DD2"/>
    <w:rsid w:val="00E65000"/>
    <w:rsid w:val="00E7057D"/>
    <w:rsid w:val="00EB75A4"/>
    <w:rsid w:val="00EC0DAC"/>
    <w:rsid w:val="00EC4104"/>
    <w:rsid w:val="00EE228D"/>
    <w:rsid w:val="00EF0574"/>
    <w:rsid w:val="00F0031F"/>
    <w:rsid w:val="00F026BE"/>
    <w:rsid w:val="00F0408F"/>
    <w:rsid w:val="00F07142"/>
    <w:rsid w:val="00F1526A"/>
    <w:rsid w:val="00F204F6"/>
    <w:rsid w:val="00F53922"/>
    <w:rsid w:val="00F81733"/>
    <w:rsid w:val="00F93C91"/>
    <w:rsid w:val="00F940CB"/>
    <w:rsid w:val="00FC0A51"/>
    <w:rsid w:val="00FD39A8"/>
    <w:rsid w:val="00FE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EC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740532"/>
    <w:pPr>
      <w:ind w:left="720"/>
      <w:contextualSpacing/>
    </w:pPr>
  </w:style>
  <w:style w:type="paragraph" w:styleId="FootnoteText">
    <w:name w:val="footnote text"/>
    <w:basedOn w:val="Normal"/>
    <w:link w:val="FootnoteTextChar"/>
    <w:uiPriority w:val="99"/>
    <w:semiHidden/>
    <w:unhideWhenUsed/>
    <w:rsid w:val="00A31E37"/>
    <w:rPr>
      <w:sz w:val="20"/>
    </w:rPr>
  </w:style>
  <w:style w:type="character" w:customStyle="1" w:styleId="FootnoteTextChar">
    <w:name w:val="Footnote Text Char"/>
    <w:basedOn w:val="DefaultParagraphFont"/>
    <w:link w:val="FootnoteText"/>
    <w:uiPriority w:val="99"/>
    <w:semiHidden/>
    <w:rsid w:val="00A31E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31E37"/>
    <w:rPr>
      <w:vertAlign w:val="superscript"/>
    </w:rPr>
  </w:style>
  <w:style w:type="character" w:styleId="Hyperlink">
    <w:name w:val="Hyperlink"/>
    <w:basedOn w:val="DefaultParagraphFont"/>
    <w:uiPriority w:val="99"/>
    <w:unhideWhenUsed/>
    <w:rsid w:val="00FD39A8"/>
    <w:rPr>
      <w:color w:val="0563C1" w:themeColor="hyperlink"/>
      <w:u w:val="single"/>
    </w:rPr>
  </w:style>
  <w:style w:type="character" w:styleId="UnresolvedMention">
    <w:name w:val="Unresolved Mention"/>
    <w:basedOn w:val="DefaultParagraphFont"/>
    <w:uiPriority w:val="99"/>
    <w:semiHidden/>
    <w:unhideWhenUsed/>
    <w:rsid w:val="00FD39A8"/>
    <w:rPr>
      <w:color w:val="605E5C"/>
      <w:shd w:val="clear" w:color="auto" w:fill="E1DFDD"/>
    </w:rPr>
  </w:style>
  <w:style w:type="paragraph" w:styleId="Header">
    <w:name w:val="header"/>
    <w:basedOn w:val="Normal"/>
    <w:link w:val="HeaderChar"/>
    <w:uiPriority w:val="99"/>
    <w:unhideWhenUsed/>
    <w:rsid w:val="00594AA3"/>
    <w:pPr>
      <w:tabs>
        <w:tab w:val="center" w:pos="4680"/>
        <w:tab w:val="right" w:pos="9360"/>
      </w:tabs>
    </w:pPr>
  </w:style>
  <w:style w:type="character" w:customStyle="1" w:styleId="HeaderChar">
    <w:name w:val="Header Char"/>
    <w:basedOn w:val="DefaultParagraphFont"/>
    <w:link w:val="Header"/>
    <w:uiPriority w:val="99"/>
    <w:rsid w:val="00594AA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4AA3"/>
    <w:pPr>
      <w:tabs>
        <w:tab w:val="center" w:pos="4680"/>
        <w:tab w:val="right" w:pos="9360"/>
      </w:tabs>
    </w:pPr>
  </w:style>
  <w:style w:type="character" w:customStyle="1" w:styleId="FooterChar">
    <w:name w:val="Footer Char"/>
    <w:basedOn w:val="DefaultParagraphFont"/>
    <w:link w:val="Footer"/>
    <w:uiPriority w:val="99"/>
    <w:rsid w:val="00594AA3"/>
    <w:rPr>
      <w:rFonts w:ascii="Times New Roman" w:eastAsia="Times New Roman" w:hAnsi="Times New Roman" w:cs="Times New Roman"/>
      <w:sz w:val="24"/>
      <w:szCs w:val="20"/>
    </w:rPr>
  </w:style>
  <w:style w:type="paragraph" w:styleId="Revision">
    <w:name w:val="Revision"/>
    <w:hidden/>
    <w:uiPriority w:val="99"/>
    <w:semiHidden/>
    <w:rsid w:val="00F0714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alegislature.gov/laws/generallaws/parti/titlexvi/chapter112/section80b" TargetMode="External"/><Relationship Id="rId2" Type="http://schemas.openxmlformats.org/officeDocument/2006/relationships/hyperlink" Target="https://www.mass.gov/doc/244-cmr-1000-definitions-and-severability/download" TargetMode="External"/><Relationship Id="rId1" Type="http://schemas.openxmlformats.org/officeDocument/2006/relationships/hyperlink" Target="https://malegislature.gov/Laws/GeneralLaws/PartII/TitleII/Chapter201D" TargetMode="External"/><Relationship Id="rId5" Type="http://schemas.openxmlformats.org/officeDocument/2006/relationships/hyperlink" Target="https://www.mass.gov/doc/244-cmr-4-advanced-practice-registered-nursing/download" TargetMode="External"/><Relationship Id="rId4" Type="http://schemas.openxmlformats.org/officeDocument/2006/relationships/hyperlink" Target="https://malegislature.gov/Laws/GeneralLaws/PartI/TitleXVI/Chapter112/Section8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25D8-858B-40C4-9FA3-B56C881487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2024-11-13T15:34:00Z</dcterms:created>
  <dcterms:modified xsi:type="dcterms:W3CDTF">2024-11-13T15:34:00Z</dcterms:modified>
</cp:coreProperties>
</file>